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2E449" w14:textId="77777777" w:rsidR="00A94167" w:rsidRPr="00872B32" w:rsidRDefault="00A94167" w:rsidP="008C54E8">
      <w:pPr>
        <w:snapToGrid w:val="0"/>
        <w:spacing w:line="360" w:lineRule="auto"/>
        <w:jc w:val="both"/>
        <w:rPr>
          <w:rFonts w:ascii="Book Antiqua" w:hAnsi="Book Antiqua"/>
          <w:b/>
          <w:color w:val="000000"/>
        </w:rPr>
      </w:pPr>
      <w:r w:rsidRPr="00872B32">
        <w:rPr>
          <w:rFonts w:ascii="Book Antiqua" w:hAnsi="Book Antiqua"/>
          <w:b/>
          <w:color w:val="000000"/>
        </w:rPr>
        <w:t xml:space="preserve">Name of Journal: </w:t>
      </w:r>
      <w:r w:rsidRPr="00872B32">
        <w:rPr>
          <w:rFonts w:ascii="Book Antiqua" w:hAnsi="Book Antiqua"/>
          <w:b/>
          <w:i/>
          <w:color w:val="000000"/>
        </w:rPr>
        <w:t>World Journal of Gastrointestinal Oncology</w:t>
      </w:r>
    </w:p>
    <w:p w14:paraId="298C6FE8" w14:textId="77777777" w:rsidR="00A94167" w:rsidRPr="00872B32" w:rsidRDefault="00A94167" w:rsidP="008C54E8">
      <w:pPr>
        <w:snapToGrid w:val="0"/>
        <w:spacing w:line="360" w:lineRule="auto"/>
        <w:jc w:val="both"/>
        <w:rPr>
          <w:rFonts w:ascii="Book Antiqua" w:eastAsia="宋体" w:hAnsi="Book Antiqua"/>
          <w:b/>
          <w:color w:val="000000"/>
          <w:lang w:eastAsia="zh-CN"/>
        </w:rPr>
      </w:pPr>
      <w:r w:rsidRPr="00872B32">
        <w:rPr>
          <w:rFonts w:ascii="Book Antiqua" w:hAnsi="Book Antiqua"/>
          <w:b/>
          <w:color w:val="000000"/>
        </w:rPr>
        <w:t xml:space="preserve">Manuscript NO: </w:t>
      </w:r>
      <w:r w:rsidRPr="00872B32">
        <w:rPr>
          <w:rFonts w:ascii="Book Antiqua" w:eastAsia="宋体" w:hAnsi="Book Antiqua"/>
          <w:b/>
          <w:color w:val="000000"/>
          <w:lang w:eastAsia="zh-CN"/>
        </w:rPr>
        <w:t>42249</w:t>
      </w:r>
    </w:p>
    <w:p w14:paraId="0BADD147" w14:textId="77777777" w:rsidR="00216A58" w:rsidRPr="00872B32" w:rsidRDefault="00A94167" w:rsidP="008C54E8">
      <w:pPr>
        <w:snapToGrid w:val="0"/>
        <w:spacing w:line="360" w:lineRule="auto"/>
        <w:jc w:val="both"/>
        <w:rPr>
          <w:rFonts w:ascii="Book Antiqua" w:eastAsia="宋体" w:hAnsi="Book Antiqua"/>
          <w:b/>
          <w:color w:val="000000"/>
          <w:lang w:eastAsia="zh-CN"/>
        </w:rPr>
      </w:pPr>
      <w:r w:rsidRPr="00872B32">
        <w:rPr>
          <w:rFonts w:ascii="Book Antiqua" w:hAnsi="Book Antiqua"/>
          <w:b/>
          <w:color w:val="000000"/>
        </w:rPr>
        <w:t>Manuscript Type: ORIGINAL ARTICLE</w:t>
      </w:r>
    </w:p>
    <w:p w14:paraId="26425AE6" w14:textId="77777777" w:rsidR="00A94167" w:rsidRPr="00872B32" w:rsidRDefault="00A94167" w:rsidP="008C54E8">
      <w:pPr>
        <w:snapToGrid w:val="0"/>
        <w:spacing w:line="360" w:lineRule="auto"/>
        <w:jc w:val="both"/>
        <w:rPr>
          <w:rFonts w:ascii="Book Antiqua" w:eastAsia="宋体" w:hAnsi="Book Antiqua"/>
          <w:color w:val="000000"/>
          <w:lang w:eastAsia="zh-CN"/>
        </w:rPr>
      </w:pPr>
    </w:p>
    <w:p w14:paraId="5AA5F5AE" w14:textId="77777777" w:rsidR="00984B1A" w:rsidRPr="00872B32" w:rsidRDefault="00984B1A" w:rsidP="008C54E8">
      <w:pPr>
        <w:snapToGrid w:val="0"/>
        <w:spacing w:line="360" w:lineRule="auto"/>
        <w:jc w:val="both"/>
        <w:rPr>
          <w:rFonts w:ascii="Book Antiqua" w:eastAsia="宋体" w:hAnsi="Book Antiqua"/>
          <w:b/>
          <w:i/>
          <w:color w:val="000000"/>
          <w:lang w:eastAsia="zh-CN"/>
        </w:rPr>
      </w:pPr>
      <w:r w:rsidRPr="00872B32">
        <w:rPr>
          <w:rFonts w:ascii="Book Antiqua" w:eastAsia="宋体" w:hAnsi="Book Antiqua"/>
          <w:b/>
          <w:i/>
          <w:color w:val="000000"/>
          <w:lang w:eastAsia="zh-CN"/>
        </w:rPr>
        <w:t xml:space="preserve">Retrospective Study </w:t>
      </w:r>
    </w:p>
    <w:p w14:paraId="2BCF0308" w14:textId="47FBEE66" w:rsidR="00216A58" w:rsidRPr="00872B32" w:rsidRDefault="00216A58" w:rsidP="008C54E8">
      <w:pPr>
        <w:snapToGrid w:val="0"/>
        <w:spacing w:line="360" w:lineRule="auto"/>
        <w:jc w:val="both"/>
        <w:rPr>
          <w:rFonts w:ascii="Book Antiqua" w:hAnsi="Book Antiqua"/>
          <w:b/>
          <w:color w:val="000000"/>
        </w:rPr>
      </w:pPr>
      <w:r w:rsidRPr="00872B32">
        <w:rPr>
          <w:rFonts w:ascii="Book Antiqua" w:hAnsi="Book Antiqua"/>
          <w:b/>
          <w:color w:val="000000"/>
        </w:rPr>
        <w:t>Redox, immune and genetic biomarker system for personalized treatments in colorectal cancer</w:t>
      </w:r>
    </w:p>
    <w:p w14:paraId="3FB4162F" w14:textId="77777777" w:rsidR="00216A58" w:rsidRPr="00872B32" w:rsidRDefault="00216A58" w:rsidP="008C54E8">
      <w:pPr>
        <w:snapToGrid w:val="0"/>
        <w:spacing w:line="360" w:lineRule="auto"/>
        <w:jc w:val="both"/>
        <w:rPr>
          <w:rFonts w:ascii="Book Antiqua" w:hAnsi="Book Antiqua"/>
          <w:b/>
          <w:color w:val="000000"/>
        </w:rPr>
      </w:pPr>
    </w:p>
    <w:p w14:paraId="7AC3DF77" w14:textId="39671ECD" w:rsidR="00F6186E" w:rsidRPr="00872B32" w:rsidRDefault="00F6186E" w:rsidP="008C54E8">
      <w:pPr>
        <w:snapToGrid w:val="0"/>
        <w:spacing w:line="360" w:lineRule="auto"/>
        <w:jc w:val="both"/>
        <w:rPr>
          <w:rFonts w:ascii="Book Antiqua" w:hAnsi="Book Antiqua"/>
          <w:color w:val="000000"/>
        </w:rPr>
      </w:pPr>
      <w:r w:rsidRPr="00872B32">
        <w:rPr>
          <w:rFonts w:ascii="Book Antiqua" w:hAnsi="Book Antiqua"/>
          <w:color w:val="000000"/>
        </w:rPr>
        <w:t xml:space="preserve">Berghella AM </w:t>
      </w:r>
      <w:r w:rsidRPr="00872B32">
        <w:rPr>
          <w:rFonts w:ascii="Book Antiqua" w:hAnsi="Book Antiqua"/>
          <w:i/>
          <w:color w:val="000000"/>
        </w:rPr>
        <w:t>et al</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Biomarker system in aging and cancer</w:t>
      </w:r>
      <w:r w:rsidR="00C808A0" w:rsidRPr="00872B32">
        <w:rPr>
          <w:rFonts w:ascii="Book Antiqua" w:hAnsi="Book Antiqua"/>
          <w:color w:val="000000"/>
        </w:rPr>
        <w:t xml:space="preserve"> </w:t>
      </w:r>
    </w:p>
    <w:p w14:paraId="4760C2A1" w14:textId="77777777" w:rsidR="00216A58" w:rsidRPr="00872B32" w:rsidRDefault="00216A58" w:rsidP="008C54E8">
      <w:pPr>
        <w:snapToGrid w:val="0"/>
        <w:spacing w:line="360" w:lineRule="auto"/>
        <w:jc w:val="both"/>
        <w:rPr>
          <w:rFonts w:ascii="Book Antiqua" w:hAnsi="Book Antiqua"/>
          <w:color w:val="000000"/>
        </w:rPr>
      </w:pPr>
    </w:p>
    <w:p w14:paraId="661771A1" w14:textId="77777777" w:rsidR="000B6DDD" w:rsidRPr="00872B32" w:rsidRDefault="000956E5" w:rsidP="008C54E8">
      <w:pPr>
        <w:snapToGrid w:val="0"/>
        <w:spacing w:line="360" w:lineRule="auto"/>
        <w:jc w:val="both"/>
        <w:rPr>
          <w:rFonts w:ascii="Book Antiqua" w:hAnsi="Book Antiqua"/>
          <w:color w:val="000000"/>
          <w:lang w:val="it-IT"/>
        </w:rPr>
      </w:pPr>
      <w:r w:rsidRPr="00872B32">
        <w:rPr>
          <w:rFonts w:ascii="Book Antiqua" w:hAnsi="Book Antiqua"/>
          <w:color w:val="000000"/>
          <w:lang w:val="it-IT"/>
        </w:rPr>
        <w:t xml:space="preserve">Anna Maria Berghella, Anna Aureli, Angelica Canossi, </w:t>
      </w:r>
      <w:bookmarkStart w:id="0" w:name="OLE_LINK1"/>
      <w:bookmarkStart w:id="1" w:name="OLE_LINK2"/>
      <w:r w:rsidRPr="00872B32">
        <w:rPr>
          <w:rFonts w:ascii="Book Antiqua" w:hAnsi="Book Antiqua"/>
          <w:color w:val="000000"/>
          <w:lang w:val="it-IT"/>
        </w:rPr>
        <w:t>Tiziana Del Beato</w:t>
      </w:r>
      <w:bookmarkEnd w:id="0"/>
      <w:bookmarkEnd w:id="1"/>
      <w:r w:rsidRPr="00872B32">
        <w:rPr>
          <w:rFonts w:ascii="Book Antiqua" w:hAnsi="Book Antiqua"/>
          <w:color w:val="000000"/>
          <w:lang w:val="it-IT"/>
        </w:rPr>
        <w:t xml:space="preserve">, </w:t>
      </w:r>
      <w:r w:rsidR="0063598A" w:rsidRPr="00872B32">
        <w:rPr>
          <w:rFonts w:ascii="Book Antiqua" w:hAnsi="Book Antiqua"/>
          <w:color w:val="000000"/>
          <w:lang w:val="it-IT"/>
        </w:rPr>
        <w:t>A</w:t>
      </w:r>
      <w:r w:rsidR="003161D1" w:rsidRPr="00872B32">
        <w:rPr>
          <w:rFonts w:ascii="Book Antiqua" w:hAnsi="Book Antiqua"/>
          <w:color w:val="000000"/>
          <w:lang w:val="it-IT"/>
        </w:rPr>
        <w:t xml:space="preserve">lessia Colanardi, </w:t>
      </w:r>
      <w:r w:rsidRPr="00872B32">
        <w:rPr>
          <w:rFonts w:ascii="Book Antiqua" w:hAnsi="Book Antiqua"/>
          <w:color w:val="000000"/>
          <w:lang w:val="it-IT"/>
        </w:rPr>
        <w:t xml:space="preserve">Patrizia </w:t>
      </w:r>
      <w:r w:rsidR="005025BF" w:rsidRPr="00872B32">
        <w:rPr>
          <w:rFonts w:ascii="Book Antiqua" w:hAnsi="Book Antiqua"/>
          <w:color w:val="000000"/>
          <w:lang w:val="it-IT"/>
        </w:rPr>
        <w:t>P</w:t>
      </w:r>
      <w:r w:rsidRPr="00872B32">
        <w:rPr>
          <w:rFonts w:ascii="Book Antiqua" w:hAnsi="Book Antiqua"/>
          <w:color w:val="000000"/>
          <w:lang w:val="it-IT"/>
        </w:rPr>
        <w:t>ellegrini</w:t>
      </w:r>
    </w:p>
    <w:p w14:paraId="2C6F10D8" w14:textId="77777777" w:rsidR="000B6DDD" w:rsidRPr="00872B32" w:rsidRDefault="000B6DDD" w:rsidP="008C54E8">
      <w:pPr>
        <w:snapToGrid w:val="0"/>
        <w:spacing w:line="360" w:lineRule="auto"/>
        <w:jc w:val="both"/>
        <w:rPr>
          <w:rFonts w:ascii="Book Antiqua" w:hAnsi="Book Antiqua"/>
          <w:color w:val="000000"/>
          <w:lang w:val="it-IT"/>
        </w:rPr>
      </w:pPr>
    </w:p>
    <w:p w14:paraId="3BE602C3" w14:textId="77777777" w:rsidR="000B6DDD" w:rsidRPr="00872B32" w:rsidRDefault="0063598A" w:rsidP="008C54E8">
      <w:pPr>
        <w:snapToGrid w:val="0"/>
        <w:spacing w:line="360" w:lineRule="auto"/>
        <w:jc w:val="both"/>
        <w:rPr>
          <w:rFonts w:ascii="Book Antiqua" w:eastAsia="宋体" w:hAnsi="Book Antiqua"/>
          <w:color w:val="000000"/>
          <w:lang w:val="it-IT" w:eastAsia="zh-CN"/>
        </w:rPr>
      </w:pPr>
      <w:r w:rsidRPr="00872B32">
        <w:rPr>
          <w:rFonts w:ascii="Book Antiqua" w:hAnsi="Book Antiqua"/>
          <w:b/>
          <w:color w:val="000000"/>
          <w:lang w:val="it-IT"/>
        </w:rPr>
        <w:t>Anna</w:t>
      </w:r>
      <w:r w:rsidR="00231DF0" w:rsidRPr="00872B32">
        <w:rPr>
          <w:rFonts w:ascii="Book Antiqua" w:hAnsi="Book Antiqua"/>
          <w:b/>
          <w:color w:val="000000"/>
          <w:lang w:val="it-IT"/>
        </w:rPr>
        <w:t xml:space="preserve"> Maria Berghella, Anna Aureli, </w:t>
      </w:r>
      <w:r w:rsidR="00B73496" w:rsidRPr="00872B32">
        <w:rPr>
          <w:rFonts w:ascii="Book Antiqua" w:hAnsi="Book Antiqua"/>
          <w:b/>
          <w:color w:val="000000"/>
          <w:lang w:val="it-IT"/>
        </w:rPr>
        <w:t xml:space="preserve">Angelica Canossi, </w:t>
      </w:r>
      <w:r w:rsidRPr="00872B32">
        <w:rPr>
          <w:rFonts w:ascii="Book Antiqua" w:hAnsi="Book Antiqua"/>
          <w:b/>
          <w:color w:val="000000"/>
          <w:lang w:val="it-IT"/>
        </w:rPr>
        <w:t>Tiziana Del Beato, Alessia Colanardi, Patrizia Pellegrini,</w:t>
      </w:r>
      <w:r w:rsidRPr="00872B32">
        <w:rPr>
          <w:rFonts w:ascii="Book Antiqua" w:hAnsi="Book Antiqua"/>
          <w:color w:val="000000"/>
          <w:lang w:val="it-IT"/>
        </w:rPr>
        <w:t xml:space="preserve"> Istituto di Farmacologia Traslazionale, Consiglio Nazionale</w:t>
      </w:r>
      <w:r w:rsidR="001D3822" w:rsidRPr="00872B32">
        <w:rPr>
          <w:rFonts w:ascii="Book Antiqua" w:hAnsi="Book Antiqua"/>
          <w:color w:val="000000"/>
          <w:lang w:val="it-IT"/>
        </w:rPr>
        <w:t xml:space="preserve"> delle Ricerche, L</w:t>
      </w:r>
      <w:r w:rsidR="001D3822" w:rsidRPr="00872B32">
        <w:rPr>
          <w:rFonts w:ascii="Book Antiqua" w:eastAsia="宋体" w:hAnsi="Book Antiqua"/>
          <w:color w:val="000000"/>
          <w:lang w:val="it-IT" w:eastAsia="zh-CN"/>
        </w:rPr>
        <w:t>’</w:t>
      </w:r>
      <w:r w:rsidR="001D3822" w:rsidRPr="00872B32">
        <w:rPr>
          <w:rFonts w:ascii="Book Antiqua" w:hAnsi="Book Antiqua"/>
          <w:color w:val="000000"/>
          <w:lang w:val="it-IT"/>
        </w:rPr>
        <w:t>Aquila</w:t>
      </w:r>
      <w:r w:rsidR="001D3822" w:rsidRPr="00872B32">
        <w:rPr>
          <w:rFonts w:ascii="Book Antiqua" w:eastAsia="宋体" w:hAnsi="Book Antiqua"/>
          <w:color w:val="000000"/>
          <w:lang w:val="it-IT" w:eastAsia="zh-CN"/>
        </w:rPr>
        <w:t xml:space="preserve"> </w:t>
      </w:r>
      <w:r w:rsidR="001D3822" w:rsidRPr="00872B32">
        <w:rPr>
          <w:rFonts w:ascii="Book Antiqua" w:hAnsi="Book Antiqua"/>
          <w:color w:val="000000"/>
          <w:lang w:val="it-IT"/>
        </w:rPr>
        <w:t>67100</w:t>
      </w:r>
      <w:r w:rsidR="001D3822" w:rsidRPr="00872B32">
        <w:rPr>
          <w:rFonts w:ascii="Book Antiqua" w:eastAsia="宋体" w:hAnsi="Book Antiqua"/>
          <w:color w:val="000000"/>
          <w:lang w:val="it-IT" w:eastAsia="zh-CN"/>
        </w:rPr>
        <w:t xml:space="preserve">, </w:t>
      </w:r>
      <w:r w:rsidRPr="00872B32">
        <w:rPr>
          <w:rFonts w:ascii="Book Antiqua" w:hAnsi="Book Antiqua"/>
          <w:color w:val="000000"/>
          <w:lang w:val="it-IT"/>
        </w:rPr>
        <w:t>Italy</w:t>
      </w:r>
    </w:p>
    <w:p w14:paraId="0204D9F2" w14:textId="77777777" w:rsidR="000B6DDD" w:rsidRPr="00872B32" w:rsidRDefault="000B6DDD" w:rsidP="008C54E8">
      <w:pPr>
        <w:autoSpaceDE w:val="0"/>
        <w:autoSpaceDN w:val="0"/>
        <w:adjustRightInd w:val="0"/>
        <w:snapToGrid w:val="0"/>
        <w:spacing w:line="360" w:lineRule="auto"/>
        <w:jc w:val="both"/>
        <w:rPr>
          <w:rFonts w:ascii="Book Antiqua" w:eastAsia="Calibri" w:hAnsi="Book Antiqua"/>
          <w:color w:val="000000"/>
          <w:lang w:val="it-IT"/>
        </w:rPr>
      </w:pPr>
    </w:p>
    <w:p w14:paraId="0F29C9FF" w14:textId="77777777" w:rsidR="00C24E3C" w:rsidRPr="00526FCE" w:rsidRDefault="007D0FE8" w:rsidP="008C54E8">
      <w:pPr>
        <w:snapToGrid w:val="0"/>
        <w:spacing w:line="360" w:lineRule="auto"/>
        <w:jc w:val="both"/>
        <w:rPr>
          <w:rFonts w:ascii="Book Antiqua" w:eastAsia="宋体" w:hAnsi="Book Antiqua"/>
          <w:color w:val="000000"/>
          <w:lang w:val="it-IT" w:eastAsia="zh-CN"/>
        </w:rPr>
      </w:pPr>
      <w:r w:rsidRPr="00872B32">
        <w:rPr>
          <w:rFonts w:ascii="Book Antiqua" w:hAnsi="Book Antiqua"/>
          <w:b/>
          <w:color w:val="000000"/>
          <w:lang w:val="it-IT"/>
        </w:rPr>
        <w:t>ORCID number:</w:t>
      </w:r>
      <w:r w:rsidRPr="00872B32">
        <w:rPr>
          <w:rFonts w:ascii="Book Antiqua" w:hAnsi="Book Antiqua"/>
          <w:color w:val="000000"/>
          <w:lang w:val="it-IT"/>
        </w:rPr>
        <w:t xml:space="preserve"> Anna Maria Berghella</w:t>
      </w:r>
      <w:r w:rsidR="00215E82" w:rsidRPr="00872B32">
        <w:rPr>
          <w:rFonts w:ascii="Book Antiqua" w:hAnsi="Book Antiqua"/>
          <w:color w:val="000000"/>
          <w:lang w:val="it-IT"/>
        </w:rPr>
        <w:t xml:space="preserve"> </w:t>
      </w:r>
      <w:r w:rsidR="00227147" w:rsidRPr="00872B32">
        <w:rPr>
          <w:rFonts w:ascii="Book Antiqua" w:hAnsi="Book Antiqua"/>
          <w:color w:val="000000"/>
          <w:lang w:val="it-IT"/>
        </w:rPr>
        <w:t>(</w:t>
      </w:r>
      <w:hyperlink r:id="rId9" w:history="1">
        <w:r w:rsidR="00C24E3C" w:rsidRPr="00872B32">
          <w:rPr>
            <w:rStyle w:val="a8"/>
            <w:rFonts w:ascii="Book Antiqua" w:hAnsi="Book Antiqua"/>
            <w:color w:val="000000"/>
            <w:u w:val="none"/>
            <w:lang w:val="it-IT"/>
          </w:rPr>
          <w:t>0000-0002-6381-113X</w:t>
        </w:r>
      </w:hyperlink>
      <w:r w:rsidR="00227147" w:rsidRPr="00872B32">
        <w:rPr>
          <w:rFonts w:ascii="Book Antiqua" w:hAnsi="Book Antiqua"/>
          <w:color w:val="000000"/>
          <w:lang w:val="it-IT"/>
        </w:rPr>
        <w:t>)</w:t>
      </w:r>
      <w:r w:rsidR="00215E82" w:rsidRPr="00872B32">
        <w:rPr>
          <w:rFonts w:ascii="Book Antiqua" w:hAnsi="Book Antiqua"/>
          <w:color w:val="000000"/>
          <w:lang w:val="it-IT"/>
        </w:rPr>
        <w:t xml:space="preserve">; </w:t>
      </w:r>
      <w:r w:rsidR="00220716" w:rsidRPr="00872B32">
        <w:rPr>
          <w:rFonts w:ascii="Book Antiqua" w:hAnsi="Book Antiqua"/>
          <w:color w:val="000000"/>
          <w:lang w:val="it-IT"/>
        </w:rPr>
        <w:t>Anna Aureli</w:t>
      </w:r>
      <w:r w:rsidR="00227147" w:rsidRPr="00872B32">
        <w:rPr>
          <w:rFonts w:ascii="Book Antiqua" w:hAnsi="Book Antiqua"/>
          <w:color w:val="000000"/>
          <w:lang w:val="it-IT"/>
        </w:rPr>
        <w:t xml:space="preserve"> (</w:t>
      </w:r>
      <w:hyperlink r:id="rId10" w:history="1">
        <w:r w:rsidR="00C24E3C" w:rsidRPr="00872B32">
          <w:rPr>
            <w:rStyle w:val="a8"/>
            <w:rFonts w:ascii="Book Antiqua" w:hAnsi="Book Antiqua"/>
            <w:color w:val="000000"/>
            <w:u w:val="none"/>
            <w:lang w:val="it-IT"/>
          </w:rPr>
          <w:t>0000-0003-3533-4265</w:t>
        </w:r>
      </w:hyperlink>
      <w:r w:rsidR="00227147" w:rsidRPr="00872B32">
        <w:rPr>
          <w:rFonts w:ascii="Book Antiqua" w:hAnsi="Book Antiqua"/>
          <w:color w:val="000000"/>
          <w:lang w:val="it-IT"/>
        </w:rPr>
        <w:t>)</w:t>
      </w:r>
      <w:r w:rsidR="00215E82" w:rsidRPr="00872B32">
        <w:rPr>
          <w:rFonts w:ascii="Book Antiqua" w:hAnsi="Book Antiqua"/>
          <w:color w:val="000000"/>
          <w:lang w:val="it-IT"/>
        </w:rPr>
        <w:t xml:space="preserve">; </w:t>
      </w:r>
      <w:r w:rsidR="00C24E3C" w:rsidRPr="00872B32">
        <w:rPr>
          <w:rFonts w:ascii="Book Antiqua" w:hAnsi="Book Antiqua"/>
          <w:color w:val="000000"/>
          <w:lang w:val="it-IT"/>
        </w:rPr>
        <w:t xml:space="preserve">Angelica Canossi </w:t>
      </w:r>
      <w:hyperlink r:id="rId11" w:history="1">
        <w:r w:rsidR="00227147" w:rsidRPr="00872B32">
          <w:rPr>
            <w:rStyle w:val="a8"/>
            <w:rFonts w:ascii="Book Antiqua" w:hAnsi="Book Antiqua"/>
            <w:color w:val="000000"/>
            <w:u w:val="none"/>
            <w:lang w:val="it-IT"/>
          </w:rPr>
          <w:t>(</w:t>
        </w:r>
        <w:r w:rsidR="00215E82" w:rsidRPr="00872B32">
          <w:rPr>
            <w:rStyle w:val="a8"/>
            <w:rFonts w:ascii="Book Antiqua" w:hAnsi="Book Antiqua"/>
            <w:color w:val="000000"/>
            <w:u w:val="none"/>
            <w:lang w:val="it-IT"/>
          </w:rPr>
          <w:t>0000-0002-2790-905</w:t>
        </w:r>
        <w:r w:rsidR="00B86008" w:rsidRPr="00872B32">
          <w:rPr>
            <w:rStyle w:val="a8"/>
            <w:rFonts w:ascii="Book Antiqua" w:hAnsi="Book Antiqua"/>
            <w:color w:val="000000"/>
            <w:u w:val="none"/>
            <w:lang w:val="it-IT"/>
          </w:rPr>
          <w:t>X</w:t>
        </w:r>
        <w:r w:rsidR="00227147" w:rsidRPr="00872B32">
          <w:rPr>
            <w:rStyle w:val="a8"/>
            <w:rFonts w:ascii="Book Antiqua" w:hAnsi="Book Antiqua"/>
            <w:color w:val="000000"/>
            <w:u w:val="none"/>
            <w:lang w:val="it-IT"/>
          </w:rPr>
          <w:t>)</w:t>
        </w:r>
        <w:r w:rsidR="00397A55" w:rsidRPr="00872B32">
          <w:rPr>
            <w:rStyle w:val="a8"/>
            <w:rFonts w:ascii="Book Antiqua" w:hAnsi="Book Antiqua"/>
            <w:color w:val="000000"/>
            <w:u w:val="none"/>
            <w:lang w:val="it-IT"/>
          </w:rPr>
          <w:t>;</w:t>
        </w:r>
      </w:hyperlink>
      <w:r w:rsidR="00397A55" w:rsidRPr="00872B32">
        <w:rPr>
          <w:rFonts w:ascii="Book Antiqua" w:hAnsi="Book Antiqua"/>
          <w:color w:val="000000"/>
          <w:lang w:val="it-IT"/>
        </w:rPr>
        <w:t xml:space="preserve"> </w:t>
      </w:r>
      <w:r w:rsidR="00C24E3C" w:rsidRPr="00872B32">
        <w:rPr>
          <w:rFonts w:ascii="Book Antiqua" w:hAnsi="Book Antiqua"/>
          <w:color w:val="000000"/>
          <w:lang w:val="it-IT"/>
        </w:rPr>
        <w:t>Tiziana</w:t>
      </w:r>
      <w:r w:rsidR="00CE3BF6" w:rsidRPr="00872B32">
        <w:rPr>
          <w:rFonts w:ascii="Book Antiqua" w:hAnsi="Book Antiqua"/>
          <w:color w:val="000000"/>
          <w:lang w:val="it-IT"/>
        </w:rPr>
        <w:t xml:space="preserve"> Del </w:t>
      </w:r>
      <w:r w:rsidR="00220716" w:rsidRPr="00872B32">
        <w:rPr>
          <w:rFonts w:ascii="Book Antiqua" w:hAnsi="Book Antiqua"/>
          <w:color w:val="000000"/>
          <w:lang w:val="it-IT"/>
        </w:rPr>
        <w:t>Beato</w:t>
      </w:r>
      <w:r w:rsidR="00227147" w:rsidRPr="00872B32">
        <w:rPr>
          <w:rFonts w:ascii="Book Antiqua" w:hAnsi="Book Antiqua"/>
          <w:color w:val="000000"/>
          <w:lang w:val="it-IT"/>
        </w:rPr>
        <w:t xml:space="preserve"> (</w:t>
      </w:r>
      <w:hyperlink r:id="rId12" w:history="1">
        <w:r w:rsidR="00E069DA" w:rsidRPr="00872B32">
          <w:rPr>
            <w:rStyle w:val="a8"/>
            <w:rFonts w:ascii="Book Antiqua" w:hAnsi="Book Antiqua" w:cs="Arial"/>
            <w:color w:val="000000"/>
            <w:u w:val="none"/>
            <w:lang w:val="it-IT"/>
          </w:rPr>
          <w:t>0000-0002-8559-7023</w:t>
        </w:r>
      </w:hyperlink>
      <w:r w:rsidR="00227147" w:rsidRPr="00872B32">
        <w:rPr>
          <w:rFonts w:ascii="Book Antiqua" w:hAnsi="Book Antiqua"/>
          <w:color w:val="000000"/>
          <w:lang w:val="it-IT"/>
        </w:rPr>
        <w:t>)</w:t>
      </w:r>
      <w:r w:rsidR="00FE4840" w:rsidRPr="00872B32">
        <w:rPr>
          <w:rFonts w:ascii="Book Antiqua" w:hAnsi="Book Antiqua"/>
          <w:color w:val="000000"/>
          <w:lang w:val="it-IT"/>
        </w:rPr>
        <w:t xml:space="preserve">; </w:t>
      </w:r>
      <w:r w:rsidR="00220716" w:rsidRPr="00872B32">
        <w:rPr>
          <w:rFonts w:ascii="Book Antiqua" w:hAnsi="Book Antiqua"/>
          <w:color w:val="000000"/>
          <w:lang w:val="it-IT"/>
        </w:rPr>
        <w:t>Alessia Colanardi (</w:t>
      </w:r>
      <w:hyperlink r:id="rId13" w:history="1">
        <w:r w:rsidR="00220716" w:rsidRPr="00872B32">
          <w:rPr>
            <w:rStyle w:val="a8"/>
            <w:rFonts w:ascii="Book Antiqua" w:hAnsi="Book Antiqua" w:cs="Arial"/>
            <w:color w:val="000000"/>
            <w:u w:val="none"/>
            <w:lang w:val="it-IT"/>
          </w:rPr>
          <w:t>0000-0002-1914-1407)</w:t>
        </w:r>
      </w:hyperlink>
      <w:r w:rsidR="00397A55" w:rsidRPr="00872B32">
        <w:rPr>
          <w:rStyle w:val="a8"/>
          <w:rFonts w:ascii="Book Antiqua" w:hAnsi="Book Antiqua" w:cs="Arial"/>
          <w:color w:val="000000"/>
          <w:u w:val="none"/>
          <w:lang w:val="it-IT"/>
        </w:rPr>
        <w:t xml:space="preserve">; </w:t>
      </w:r>
      <w:r w:rsidRPr="00872B32">
        <w:rPr>
          <w:rFonts w:ascii="Book Antiqua" w:hAnsi="Book Antiqua"/>
          <w:color w:val="000000"/>
          <w:lang w:val="it-IT"/>
        </w:rPr>
        <w:t>Patrizia Pellegrini</w:t>
      </w:r>
      <w:r w:rsidR="005C34DC" w:rsidRPr="00872B32">
        <w:rPr>
          <w:rFonts w:ascii="Book Antiqua" w:hAnsi="Book Antiqua"/>
          <w:color w:val="000000"/>
          <w:lang w:val="it-IT"/>
        </w:rPr>
        <w:t xml:space="preserve"> </w:t>
      </w:r>
      <w:r w:rsidR="00227147" w:rsidRPr="00872B32">
        <w:rPr>
          <w:rFonts w:ascii="Book Antiqua" w:hAnsi="Book Antiqua"/>
          <w:color w:val="000000"/>
          <w:lang w:val="it-IT"/>
        </w:rPr>
        <w:t>(</w:t>
      </w:r>
      <w:hyperlink r:id="rId14" w:history="1">
        <w:r w:rsidR="00C24E3C" w:rsidRPr="00872B32">
          <w:rPr>
            <w:rStyle w:val="a8"/>
            <w:rFonts w:ascii="Book Antiqua" w:hAnsi="Book Antiqua"/>
            <w:color w:val="000000"/>
            <w:u w:val="none"/>
            <w:lang w:val="it-IT"/>
          </w:rPr>
          <w:t>0000-0002-2758-9391</w:t>
        </w:r>
      </w:hyperlink>
      <w:r w:rsidR="00227147" w:rsidRPr="00872B32">
        <w:rPr>
          <w:rFonts w:ascii="Book Antiqua" w:hAnsi="Book Antiqua"/>
          <w:color w:val="000000"/>
          <w:lang w:val="it-IT"/>
        </w:rPr>
        <w:t>)</w:t>
      </w:r>
      <w:r w:rsidR="00632AE8" w:rsidRPr="00526FCE">
        <w:rPr>
          <w:rFonts w:ascii="Book Antiqua" w:eastAsia="宋体" w:hAnsi="Book Antiqua"/>
          <w:color w:val="000000"/>
          <w:lang w:val="it-IT" w:eastAsia="zh-CN"/>
        </w:rPr>
        <w:t>.</w:t>
      </w:r>
    </w:p>
    <w:p w14:paraId="5136EE24" w14:textId="77777777" w:rsidR="000107C3" w:rsidRPr="00A4725F" w:rsidRDefault="000107C3" w:rsidP="008C54E8">
      <w:pPr>
        <w:snapToGrid w:val="0"/>
        <w:spacing w:line="360" w:lineRule="auto"/>
        <w:jc w:val="both"/>
        <w:rPr>
          <w:rFonts w:ascii="Book Antiqua" w:eastAsia="宋体" w:hAnsi="Book Antiqua"/>
          <w:color w:val="000000"/>
          <w:lang w:val="it-IT" w:eastAsia="zh-CN"/>
        </w:rPr>
      </w:pPr>
    </w:p>
    <w:p w14:paraId="435AB5E4" w14:textId="26B947A8" w:rsidR="000107C3" w:rsidRPr="00872B32" w:rsidRDefault="00825A00" w:rsidP="008C54E8">
      <w:pPr>
        <w:snapToGrid w:val="0"/>
        <w:spacing w:line="360" w:lineRule="auto"/>
        <w:jc w:val="both"/>
        <w:rPr>
          <w:rFonts w:ascii="Book Antiqua" w:hAnsi="Book Antiqua"/>
          <w:color w:val="000000"/>
          <w:lang w:eastAsia="it-IT"/>
        </w:rPr>
      </w:pPr>
      <w:r w:rsidRPr="00872B32">
        <w:rPr>
          <w:rFonts w:ascii="Book Antiqua" w:hAnsi="Book Antiqua"/>
          <w:b/>
          <w:color w:val="000000"/>
        </w:rPr>
        <w:t>Author contributions:</w:t>
      </w:r>
      <w:r w:rsidR="007D70F1" w:rsidRPr="00872B32">
        <w:rPr>
          <w:rFonts w:ascii="Book Antiqua" w:hAnsi="Book Antiqua"/>
          <w:b/>
          <w:color w:val="000000"/>
          <w:lang w:eastAsia="it-IT"/>
        </w:rPr>
        <w:t xml:space="preserve"> </w:t>
      </w:r>
      <w:r w:rsidR="000107C3" w:rsidRPr="00872B32">
        <w:rPr>
          <w:rFonts w:ascii="Book Antiqua" w:hAnsi="Book Antiqua"/>
          <w:color w:val="000000"/>
          <w:lang w:eastAsia="it-IT"/>
        </w:rPr>
        <w:t xml:space="preserve">Berghella </w:t>
      </w:r>
      <w:r w:rsidRPr="00526FCE">
        <w:rPr>
          <w:rFonts w:ascii="Book Antiqua" w:eastAsia="宋体" w:hAnsi="Book Antiqua"/>
          <w:color w:val="000000"/>
          <w:lang w:eastAsia="zh-CN"/>
        </w:rPr>
        <w:t xml:space="preserve">AM </w:t>
      </w:r>
      <w:r w:rsidR="000107C3" w:rsidRPr="00872B32">
        <w:rPr>
          <w:rFonts w:ascii="Book Antiqua" w:hAnsi="Book Antiqua"/>
          <w:color w:val="000000"/>
          <w:lang w:eastAsia="it-IT"/>
        </w:rPr>
        <w:t xml:space="preserve">designed the research, performed the statistical study, analyzed and interpreted data </w:t>
      </w:r>
      <w:r w:rsidR="008D09D9">
        <w:rPr>
          <w:rFonts w:ascii="Book Antiqua" w:hAnsi="Book Antiqua"/>
          <w:color w:val="000000"/>
          <w:lang w:eastAsia="it-IT"/>
        </w:rPr>
        <w:t xml:space="preserve">and </w:t>
      </w:r>
      <w:r w:rsidR="000107C3" w:rsidRPr="00872B32">
        <w:rPr>
          <w:rFonts w:ascii="Book Antiqua" w:hAnsi="Book Antiqua"/>
          <w:color w:val="000000"/>
          <w:lang w:eastAsia="it-IT"/>
        </w:rPr>
        <w:t>wrote and reviewed the manuscript</w:t>
      </w:r>
      <w:r w:rsidRPr="00526FCE">
        <w:rPr>
          <w:rFonts w:ascii="Book Antiqua" w:eastAsia="宋体" w:hAnsi="Book Antiqua"/>
          <w:color w:val="000000"/>
          <w:lang w:eastAsia="zh-CN"/>
        </w:rPr>
        <w:t>;</w:t>
      </w:r>
      <w:r w:rsidR="000107C3" w:rsidRPr="00872B32">
        <w:rPr>
          <w:rFonts w:ascii="Book Antiqua" w:hAnsi="Book Antiqua"/>
          <w:color w:val="000000"/>
          <w:lang w:eastAsia="it-IT"/>
        </w:rPr>
        <w:t xml:space="preserve"> Pellegrini </w:t>
      </w:r>
      <w:r w:rsidRPr="00526FCE">
        <w:rPr>
          <w:rFonts w:ascii="Book Antiqua" w:eastAsia="宋体" w:hAnsi="Book Antiqua"/>
          <w:color w:val="000000"/>
          <w:lang w:eastAsia="zh-CN"/>
        </w:rPr>
        <w:t xml:space="preserve">P </w:t>
      </w:r>
      <w:r w:rsidR="000107C3" w:rsidRPr="00872B32">
        <w:rPr>
          <w:rFonts w:ascii="Book Antiqua" w:hAnsi="Book Antiqua"/>
          <w:color w:val="000000"/>
          <w:lang w:eastAsia="it-IT"/>
        </w:rPr>
        <w:t xml:space="preserve">performed the analyses of phenotypic antigens, the ELISA method for cytokine determination, the acquisition of statistical data, </w:t>
      </w:r>
      <w:r w:rsidR="008D09D9">
        <w:rPr>
          <w:rFonts w:ascii="Book Antiqua" w:hAnsi="Book Antiqua"/>
          <w:color w:val="000000"/>
          <w:lang w:eastAsia="it-IT"/>
        </w:rPr>
        <w:t xml:space="preserve">prepared </w:t>
      </w:r>
      <w:r w:rsidR="000107C3" w:rsidRPr="00872B32">
        <w:rPr>
          <w:rFonts w:ascii="Book Antiqua" w:hAnsi="Book Antiqua"/>
          <w:color w:val="000000"/>
          <w:lang w:eastAsia="it-IT"/>
        </w:rPr>
        <w:t>the figures and tables and reviewed the manuscript</w:t>
      </w:r>
      <w:r w:rsidRPr="00526FCE">
        <w:rPr>
          <w:rFonts w:ascii="Book Antiqua" w:eastAsia="宋体" w:hAnsi="Book Antiqua"/>
          <w:color w:val="000000"/>
          <w:lang w:eastAsia="zh-CN"/>
        </w:rPr>
        <w:t xml:space="preserve">; </w:t>
      </w:r>
      <w:r w:rsidR="000107C3" w:rsidRPr="00872B32">
        <w:rPr>
          <w:rFonts w:ascii="Book Antiqua" w:hAnsi="Book Antiqua"/>
          <w:color w:val="000000"/>
          <w:lang w:eastAsia="it-IT"/>
        </w:rPr>
        <w:t xml:space="preserve">Aureli </w:t>
      </w:r>
      <w:r w:rsidRPr="00526FCE">
        <w:rPr>
          <w:rFonts w:ascii="Book Antiqua" w:eastAsia="宋体" w:hAnsi="Book Antiqua"/>
          <w:color w:val="000000"/>
          <w:lang w:eastAsia="zh-CN"/>
        </w:rPr>
        <w:t xml:space="preserve">A </w:t>
      </w:r>
      <w:r w:rsidR="000107C3" w:rsidRPr="00872B32">
        <w:rPr>
          <w:rFonts w:ascii="Book Antiqua" w:hAnsi="Book Antiqua"/>
          <w:color w:val="000000"/>
          <w:lang w:eastAsia="it-IT"/>
        </w:rPr>
        <w:t>performed FcγRIIa</w:t>
      </w:r>
      <w:r w:rsidR="00FE56CA" w:rsidRPr="00872B32">
        <w:rPr>
          <w:rFonts w:ascii="Book Antiqua" w:hAnsi="Book Antiqua"/>
          <w:color w:val="000000"/>
          <w:lang w:eastAsia="it-IT"/>
        </w:rPr>
        <w:t>-</w:t>
      </w:r>
      <w:r w:rsidR="000107C3" w:rsidRPr="00872B32">
        <w:rPr>
          <w:rFonts w:ascii="Book Antiqua" w:hAnsi="Book Antiqua"/>
          <w:color w:val="000000"/>
          <w:lang w:eastAsia="it-IT"/>
        </w:rPr>
        <w:t>131H/R and FcγRIIIa</w:t>
      </w:r>
      <w:r w:rsidR="00FE56CA" w:rsidRPr="00872B32">
        <w:rPr>
          <w:rFonts w:ascii="Book Antiqua" w:hAnsi="Book Antiqua"/>
          <w:color w:val="000000"/>
          <w:lang w:eastAsia="it-IT"/>
        </w:rPr>
        <w:t>-</w:t>
      </w:r>
      <w:r w:rsidR="000107C3" w:rsidRPr="00872B32">
        <w:rPr>
          <w:rFonts w:ascii="Book Antiqua" w:hAnsi="Book Antiqua"/>
          <w:color w:val="000000"/>
          <w:lang w:eastAsia="it-IT"/>
        </w:rPr>
        <w:t>158V/F polymorphism genotyping</w:t>
      </w:r>
      <w:r w:rsidR="008D09D9">
        <w:rPr>
          <w:rFonts w:ascii="Book Antiqua" w:hAnsi="Book Antiqua"/>
          <w:color w:val="000000"/>
          <w:lang w:eastAsia="it-IT"/>
        </w:rPr>
        <w:t xml:space="preserve"> and</w:t>
      </w:r>
      <w:r w:rsidR="000107C3" w:rsidRPr="00872B32">
        <w:rPr>
          <w:rFonts w:ascii="Book Antiqua" w:hAnsi="Book Antiqua"/>
          <w:color w:val="000000"/>
          <w:lang w:eastAsia="it-IT"/>
        </w:rPr>
        <w:t xml:space="preserve"> reviewed the manuscript</w:t>
      </w:r>
      <w:r w:rsidR="008D1257">
        <w:rPr>
          <w:rFonts w:ascii="Book Antiqua" w:hAnsi="Book Antiqua"/>
          <w:color w:val="000000"/>
          <w:lang w:eastAsia="it-IT"/>
        </w:rPr>
        <w:t>;</w:t>
      </w:r>
      <w:r w:rsidR="000107C3" w:rsidRPr="00872B32">
        <w:rPr>
          <w:rFonts w:ascii="Book Antiqua" w:hAnsi="Book Antiqua"/>
          <w:color w:val="000000"/>
          <w:lang w:eastAsia="it-IT"/>
        </w:rPr>
        <w:t xml:space="preserve"> Canossi</w:t>
      </w:r>
      <w:r w:rsidR="000107C3" w:rsidRPr="00000012">
        <w:rPr>
          <w:rFonts w:ascii="Book Antiqua" w:hAnsi="Book Antiqua"/>
          <w:color w:val="000000"/>
          <w:lang w:eastAsia="it-IT"/>
        </w:rPr>
        <w:t xml:space="preserve"> </w:t>
      </w:r>
      <w:r w:rsidR="00000012" w:rsidRPr="00000012">
        <w:rPr>
          <w:rFonts w:ascii="Book Antiqua" w:hAnsi="Book Antiqua"/>
          <w:color w:val="000000"/>
          <w:lang w:eastAsia="it-IT"/>
        </w:rPr>
        <w:t>A</w:t>
      </w:r>
      <w:r w:rsidR="00000012">
        <w:rPr>
          <w:rFonts w:ascii="Book Antiqua" w:hAnsi="Book Antiqua"/>
          <w:color w:val="000000"/>
          <w:lang w:eastAsia="it-IT"/>
        </w:rPr>
        <w:t xml:space="preserve"> </w:t>
      </w:r>
      <w:r w:rsidR="000107C3" w:rsidRPr="00872B32">
        <w:rPr>
          <w:rFonts w:ascii="Book Antiqua" w:hAnsi="Book Antiqua"/>
          <w:color w:val="000000"/>
          <w:lang w:eastAsia="it-IT"/>
        </w:rPr>
        <w:t>performed KIR polymorphism genotyping</w:t>
      </w:r>
      <w:r w:rsidRPr="00526FCE">
        <w:rPr>
          <w:rFonts w:ascii="Book Antiqua" w:eastAsia="宋体" w:hAnsi="Book Antiqua"/>
          <w:color w:val="000000"/>
          <w:lang w:eastAsia="zh-CN"/>
        </w:rPr>
        <w:t>;</w:t>
      </w:r>
      <w:r w:rsidR="000107C3" w:rsidRPr="00872B32">
        <w:rPr>
          <w:rFonts w:ascii="Book Antiqua" w:hAnsi="Book Antiqua"/>
          <w:color w:val="000000"/>
          <w:lang w:eastAsia="it-IT"/>
        </w:rPr>
        <w:t xml:space="preserve"> Del Beato </w:t>
      </w:r>
      <w:r w:rsidRPr="00526FCE">
        <w:rPr>
          <w:rFonts w:ascii="Book Antiqua" w:eastAsia="宋体" w:hAnsi="Book Antiqua"/>
          <w:color w:val="000000"/>
          <w:lang w:eastAsia="zh-CN"/>
        </w:rPr>
        <w:t xml:space="preserve">T </w:t>
      </w:r>
      <w:r w:rsidR="008D09D9">
        <w:rPr>
          <w:rFonts w:ascii="Book Antiqua" w:hAnsi="Book Antiqua"/>
          <w:color w:val="000000"/>
          <w:lang w:eastAsia="it-IT"/>
        </w:rPr>
        <w:t>performed</w:t>
      </w:r>
      <w:r w:rsidR="000107C3" w:rsidRPr="00872B32">
        <w:rPr>
          <w:rFonts w:ascii="Book Antiqua" w:hAnsi="Book Antiqua"/>
          <w:color w:val="000000"/>
          <w:lang w:eastAsia="it-IT"/>
        </w:rPr>
        <w:t xml:space="preserve"> polymorphism genotyping</w:t>
      </w:r>
      <w:r w:rsidRPr="00526FCE">
        <w:rPr>
          <w:rFonts w:ascii="Book Antiqua" w:eastAsia="宋体" w:hAnsi="Book Antiqua"/>
          <w:color w:val="000000"/>
          <w:lang w:eastAsia="zh-CN"/>
        </w:rPr>
        <w:t>;</w:t>
      </w:r>
      <w:r w:rsidRPr="00872B32">
        <w:rPr>
          <w:rFonts w:ascii="Book Antiqua" w:hAnsi="Book Antiqua"/>
          <w:color w:val="000000"/>
          <w:lang w:eastAsia="it-IT"/>
        </w:rPr>
        <w:t xml:space="preserve"> </w:t>
      </w:r>
      <w:r w:rsidR="000107C3" w:rsidRPr="00872B32">
        <w:rPr>
          <w:rFonts w:ascii="Book Antiqua" w:hAnsi="Book Antiqua"/>
          <w:color w:val="000000"/>
          <w:lang w:eastAsia="it-IT"/>
        </w:rPr>
        <w:t xml:space="preserve">Colanardi </w:t>
      </w:r>
      <w:r w:rsidRPr="00526FCE">
        <w:rPr>
          <w:rFonts w:ascii="Book Antiqua" w:eastAsia="宋体" w:hAnsi="Book Antiqua"/>
          <w:color w:val="000000"/>
          <w:lang w:eastAsia="zh-CN"/>
        </w:rPr>
        <w:t xml:space="preserve">A </w:t>
      </w:r>
      <w:r w:rsidR="008D09D9">
        <w:rPr>
          <w:rFonts w:ascii="Book Antiqua" w:hAnsi="Book Antiqua"/>
          <w:color w:val="000000"/>
          <w:lang w:eastAsia="it-IT"/>
        </w:rPr>
        <w:t>collected</w:t>
      </w:r>
      <w:r w:rsidR="000107C3" w:rsidRPr="00872B32">
        <w:rPr>
          <w:rFonts w:ascii="Book Antiqua" w:hAnsi="Book Antiqua"/>
          <w:color w:val="000000"/>
          <w:lang w:eastAsia="it-IT"/>
        </w:rPr>
        <w:t xml:space="preserve"> biological material</w:t>
      </w:r>
      <w:r w:rsidRPr="00526FCE">
        <w:rPr>
          <w:rFonts w:ascii="Book Antiqua" w:eastAsia="宋体" w:hAnsi="Book Antiqua"/>
          <w:color w:val="000000"/>
          <w:lang w:eastAsia="zh-CN"/>
        </w:rPr>
        <w:t>;</w:t>
      </w:r>
      <w:r w:rsidR="00C808A0" w:rsidRPr="00872B32">
        <w:rPr>
          <w:rFonts w:ascii="Book Antiqua" w:hAnsi="Book Antiqua"/>
          <w:color w:val="000000"/>
          <w:lang w:eastAsia="it-IT"/>
        </w:rPr>
        <w:t xml:space="preserve"> </w:t>
      </w:r>
      <w:r w:rsidR="008D1257">
        <w:rPr>
          <w:rFonts w:ascii="Book Antiqua" w:hAnsi="Book Antiqua"/>
          <w:color w:val="000000"/>
          <w:lang w:eastAsia="it-IT"/>
        </w:rPr>
        <w:t>A</w:t>
      </w:r>
      <w:r w:rsidR="000107C3" w:rsidRPr="00872B32">
        <w:rPr>
          <w:rFonts w:ascii="Book Antiqua" w:hAnsi="Book Antiqua"/>
          <w:color w:val="000000"/>
          <w:lang w:eastAsia="it-IT"/>
        </w:rPr>
        <w:t xml:space="preserve">ll authors read and approved the final manuscript. </w:t>
      </w:r>
    </w:p>
    <w:p w14:paraId="0A00CB5E" w14:textId="77777777" w:rsidR="000C3172" w:rsidRPr="00526FCE" w:rsidRDefault="000C3172" w:rsidP="008C54E8">
      <w:pPr>
        <w:snapToGrid w:val="0"/>
        <w:spacing w:line="360" w:lineRule="auto"/>
        <w:jc w:val="both"/>
        <w:rPr>
          <w:rFonts w:ascii="Book Antiqua" w:eastAsia="宋体" w:hAnsi="Book Antiqua"/>
          <w:color w:val="000000"/>
          <w:lang w:eastAsia="zh-CN"/>
        </w:rPr>
      </w:pPr>
    </w:p>
    <w:p w14:paraId="5B8678F6" w14:textId="77777777" w:rsidR="000C3172" w:rsidRPr="00872B32" w:rsidRDefault="000C3172" w:rsidP="008C54E8">
      <w:pPr>
        <w:snapToGrid w:val="0"/>
        <w:spacing w:line="360" w:lineRule="auto"/>
        <w:jc w:val="both"/>
        <w:rPr>
          <w:rFonts w:ascii="Book Antiqua" w:hAnsi="Book Antiqua"/>
          <w:b/>
          <w:color w:val="000000"/>
        </w:rPr>
      </w:pPr>
      <w:r w:rsidRPr="00872B32">
        <w:rPr>
          <w:rFonts w:ascii="Book Antiqua" w:hAnsi="Book Antiqua"/>
          <w:b/>
          <w:color w:val="000000"/>
        </w:rPr>
        <w:t>Institutional review board statement</w:t>
      </w:r>
      <w:r w:rsidRPr="00872B32">
        <w:rPr>
          <w:rFonts w:ascii="Book Antiqua" w:hAnsi="Book Antiqua"/>
          <w:b/>
          <w:iCs/>
          <w:color w:val="000000"/>
        </w:rPr>
        <w:t xml:space="preserve">: </w:t>
      </w:r>
      <w:r w:rsidRPr="00872B32">
        <w:rPr>
          <w:rFonts w:ascii="Book Antiqua" w:hAnsi="Book Antiqua"/>
          <w:color w:val="000000"/>
        </w:rPr>
        <w:t>All subjects in this study were enrolled in the L’Aquila, Pescara and Popoli Hospitals (Italy). Human studies were performed in accordance with the standards of the Ethics Committee (Good clinical practice, N°18-Prot. n 43/C.E) and all persons gave their written informed consent prior to their inclusion in the study.</w:t>
      </w:r>
    </w:p>
    <w:p w14:paraId="50DB6ED3" w14:textId="77777777" w:rsidR="000C3172" w:rsidRPr="00526FCE" w:rsidRDefault="000C3172" w:rsidP="008C54E8">
      <w:pPr>
        <w:snapToGrid w:val="0"/>
        <w:spacing w:line="360" w:lineRule="auto"/>
        <w:jc w:val="both"/>
        <w:rPr>
          <w:rFonts w:ascii="Book Antiqua" w:eastAsia="宋体" w:hAnsi="Book Antiqua"/>
          <w:b/>
          <w:color w:val="000000"/>
          <w:lang w:eastAsia="zh-CN"/>
        </w:rPr>
      </w:pPr>
    </w:p>
    <w:p w14:paraId="0D377F5B" w14:textId="77777777" w:rsidR="000C3172" w:rsidRPr="00872B32" w:rsidRDefault="000C3172" w:rsidP="008C54E8">
      <w:pPr>
        <w:snapToGrid w:val="0"/>
        <w:spacing w:line="360" w:lineRule="auto"/>
        <w:jc w:val="both"/>
        <w:rPr>
          <w:rFonts w:ascii="Book Antiqua" w:hAnsi="Book Antiqua"/>
          <w:b/>
          <w:color w:val="000000"/>
        </w:rPr>
      </w:pPr>
      <w:r w:rsidRPr="00872B32">
        <w:rPr>
          <w:rFonts w:ascii="Book Antiqua" w:hAnsi="Book Antiqua"/>
          <w:b/>
          <w:color w:val="000000"/>
        </w:rPr>
        <w:t>Conflict-of-interest statement</w:t>
      </w:r>
      <w:r w:rsidRPr="00872B32">
        <w:rPr>
          <w:rFonts w:ascii="Book Antiqua" w:hAnsi="Book Antiqua" w:cs="TimesNewRomanPS-BoldItalicMT"/>
          <w:b/>
          <w:iCs/>
          <w:color w:val="000000"/>
        </w:rPr>
        <w:t xml:space="preserve">: </w:t>
      </w:r>
      <w:r w:rsidRPr="00872B32">
        <w:rPr>
          <w:rFonts w:ascii="Book Antiqua" w:hAnsi="Book Antiqua"/>
          <w:color w:val="000000"/>
        </w:rPr>
        <w:t>The authors declare no conflicts of interest.</w:t>
      </w:r>
    </w:p>
    <w:p w14:paraId="251D6C59" w14:textId="77777777" w:rsidR="000C3172" w:rsidRPr="00526FCE" w:rsidRDefault="000C3172" w:rsidP="008D1257">
      <w:pPr>
        <w:adjustRightInd w:val="0"/>
        <w:snapToGrid w:val="0"/>
        <w:spacing w:line="360" w:lineRule="auto"/>
        <w:jc w:val="both"/>
        <w:rPr>
          <w:rFonts w:ascii="Book Antiqua" w:eastAsia="宋体" w:hAnsi="Book Antiqua"/>
          <w:color w:val="000000"/>
          <w:lang w:eastAsia="zh-CN"/>
        </w:rPr>
      </w:pPr>
    </w:p>
    <w:p w14:paraId="74D26533" w14:textId="2CFED219" w:rsidR="000C3172" w:rsidRPr="00872B32" w:rsidRDefault="000C3172" w:rsidP="008D1257">
      <w:pPr>
        <w:adjustRightInd w:val="0"/>
        <w:snapToGrid w:val="0"/>
        <w:spacing w:line="360" w:lineRule="auto"/>
        <w:jc w:val="both"/>
        <w:rPr>
          <w:rFonts w:ascii="Book Antiqua" w:hAnsi="Book Antiqua"/>
          <w:color w:val="000000"/>
        </w:rPr>
      </w:pPr>
      <w:r w:rsidRPr="00872B32">
        <w:rPr>
          <w:rFonts w:ascii="Book Antiqua" w:hAnsi="Book Antiqua"/>
          <w:b/>
          <w:color w:val="000000"/>
        </w:rPr>
        <w:t xml:space="preserve">Open-Access: </w:t>
      </w:r>
      <w:r w:rsidRPr="00872B32">
        <w:rPr>
          <w:rFonts w:ascii="Book Antiqua" w:hAnsi="Book Antiqua"/>
          <w:color w:val="000000"/>
        </w:rPr>
        <w:t xml:space="preserve">This article is an open-access article </w:t>
      </w:r>
      <w:r w:rsidR="008D09D9">
        <w:rPr>
          <w:rFonts w:ascii="Book Antiqua" w:hAnsi="Book Antiqua"/>
          <w:color w:val="000000"/>
        </w:rPr>
        <w:t>that</w:t>
      </w:r>
      <w:r w:rsidR="008D09D9" w:rsidRPr="00872B32">
        <w:rPr>
          <w:rFonts w:ascii="Book Antiqua" w:hAnsi="Book Antiqua"/>
          <w:color w:val="000000"/>
        </w:rPr>
        <w:t xml:space="preserve"> </w:t>
      </w:r>
      <w:r w:rsidRPr="00872B32">
        <w:rPr>
          <w:rFonts w:ascii="Book Antiqua" w:hAnsi="Book Antiqua"/>
          <w:color w:val="000000"/>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5" w:history="1">
        <w:r w:rsidRPr="00872B32">
          <w:rPr>
            <w:rStyle w:val="a8"/>
            <w:rFonts w:ascii="Book Antiqua" w:hAnsi="Book Antiqua"/>
            <w:color w:val="000000"/>
            <w:u w:val="none"/>
          </w:rPr>
          <w:t>http://creativecommons.org/licenses/by-nc/4.0/</w:t>
        </w:r>
      </w:hyperlink>
    </w:p>
    <w:p w14:paraId="468151AF" w14:textId="77777777" w:rsidR="00B73496" w:rsidRPr="00526FCE" w:rsidRDefault="00B73496" w:rsidP="008C54E8">
      <w:pPr>
        <w:snapToGrid w:val="0"/>
        <w:spacing w:line="360" w:lineRule="auto"/>
        <w:jc w:val="both"/>
        <w:rPr>
          <w:rFonts w:ascii="Book Antiqua" w:eastAsia="宋体" w:hAnsi="Book Antiqua"/>
          <w:color w:val="000000"/>
          <w:lang w:eastAsia="zh-CN"/>
        </w:rPr>
      </w:pPr>
    </w:p>
    <w:p w14:paraId="6A277FA9" w14:textId="77777777" w:rsidR="000C3172" w:rsidRPr="00872B32" w:rsidRDefault="000C3172" w:rsidP="008C54E8">
      <w:pPr>
        <w:snapToGrid w:val="0"/>
        <w:spacing w:line="360" w:lineRule="auto"/>
        <w:jc w:val="both"/>
        <w:rPr>
          <w:rFonts w:ascii="Book Antiqua" w:eastAsia="宋体" w:hAnsi="Book Antiqua" w:cs="宋体"/>
          <w:color w:val="000000"/>
          <w:lang w:eastAsia="zh-CN"/>
        </w:rPr>
      </w:pPr>
      <w:r w:rsidRPr="00872B32">
        <w:rPr>
          <w:rFonts w:ascii="Book Antiqua" w:eastAsia="宋体" w:hAnsi="Book Antiqua" w:cs="宋体"/>
          <w:b/>
          <w:color w:val="000000"/>
        </w:rPr>
        <w:t>Manuscript source:</w:t>
      </w:r>
      <w:r w:rsidRPr="00872B32">
        <w:rPr>
          <w:rFonts w:ascii="Book Antiqua" w:eastAsia="宋体" w:hAnsi="Book Antiqua" w:cs="宋体"/>
          <w:color w:val="000000"/>
        </w:rPr>
        <w:t> Invited manuscript</w:t>
      </w:r>
    </w:p>
    <w:p w14:paraId="0859757A" w14:textId="77777777" w:rsidR="000C3172" w:rsidRPr="00526FCE" w:rsidRDefault="000C3172" w:rsidP="008C54E8">
      <w:pPr>
        <w:snapToGrid w:val="0"/>
        <w:spacing w:line="360" w:lineRule="auto"/>
        <w:jc w:val="both"/>
        <w:rPr>
          <w:rFonts w:ascii="Book Antiqua" w:eastAsia="宋体" w:hAnsi="Book Antiqua"/>
          <w:color w:val="000000"/>
          <w:lang w:eastAsia="zh-CN"/>
        </w:rPr>
      </w:pPr>
    </w:p>
    <w:p w14:paraId="6AFC7F31" w14:textId="77777777" w:rsidR="00825A00" w:rsidRPr="00526FCE" w:rsidRDefault="00180B7F" w:rsidP="008C54E8">
      <w:pPr>
        <w:snapToGrid w:val="0"/>
        <w:spacing w:line="360" w:lineRule="auto"/>
        <w:jc w:val="both"/>
        <w:rPr>
          <w:rFonts w:ascii="Book Antiqua" w:eastAsia="宋体" w:hAnsi="Book Antiqua"/>
          <w:color w:val="000000"/>
          <w:lang w:eastAsia="zh-CN"/>
        </w:rPr>
      </w:pPr>
      <w:r w:rsidRPr="000A7335">
        <w:rPr>
          <w:rFonts w:ascii="Book Antiqua" w:hAnsi="Book Antiqua"/>
          <w:b/>
          <w:color w:val="000000"/>
          <w:lang w:val="it-IT"/>
        </w:rPr>
        <w:t>Corresponding author</w:t>
      </w:r>
      <w:r w:rsidR="00825A00" w:rsidRPr="00A4725F">
        <w:rPr>
          <w:rFonts w:ascii="Book Antiqua" w:hAnsi="Book Antiqua"/>
          <w:b/>
          <w:color w:val="000000"/>
          <w:lang w:val="it-IT"/>
        </w:rPr>
        <w:t xml:space="preserve">: </w:t>
      </w:r>
      <w:r w:rsidR="000956E5" w:rsidRPr="00A4725F">
        <w:rPr>
          <w:rFonts w:ascii="Book Antiqua" w:hAnsi="Book Antiqua"/>
          <w:b/>
          <w:color w:val="000000"/>
          <w:lang w:val="it-IT"/>
        </w:rPr>
        <w:t>Anna Maria Berghella</w:t>
      </w:r>
      <w:r w:rsidR="00883162" w:rsidRPr="00A4725F">
        <w:rPr>
          <w:rFonts w:ascii="Book Antiqua" w:hAnsi="Book Antiqua"/>
          <w:b/>
          <w:color w:val="000000"/>
          <w:lang w:val="it-IT"/>
        </w:rPr>
        <w:t xml:space="preserve">, </w:t>
      </w:r>
      <w:r w:rsidR="00825A00" w:rsidRPr="00A4725F">
        <w:rPr>
          <w:rFonts w:ascii="Book Antiqua" w:hAnsi="Book Antiqua"/>
          <w:b/>
          <w:color w:val="000000"/>
          <w:lang w:val="it-IT"/>
        </w:rPr>
        <w:t>PhD, Research Scientist,</w:t>
      </w:r>
      <w:r w:rsidR="00883162" w:rsidRPr="00A4725F">
        <w:rPr>
          <w:rFonts w:ascii="Book Antiqua" w:hAnsi="Book Antiqua"/>
          <w:color w:val="000000"/>
          <w:lang w:val="it-IT"/>
        </w:rPr>
        <w:t xml:space="preserve"> </w:t>
      </w:r>
      <w:r w:rsidR="00825A00" w:rsidRPr="00872B32">
        <w:rPr>
          <w:rFonts w:ascii="Book Antiqua" w:hAnsi="Book Antiqua"/>
          <w:color w:val="000000"/>
          <w:lang w:val="it-IT"/>
        </w:rPr>
        <w:t>Istituto di Farmacologia Traslazionale, Consiglio Nazionale delle Ricerche,</w:t>
      </w:r>
      <w:r w:rsidR="00825A00" w:rsidRPr="00A4725F">
        <w:rPr>
          <w:rFonts w:ascii="Book Antiqua" w:hAnsi="Book Antiqua"/>
          <w:color w:val="000000"/>
          <w:lang w:val="it-IT"/>
        </w:rPr>
        <w:t xml:space="preserve"> Via G. Carducci 32,</w:t>
      </w:r>
      <w:r w:rsidR="00825A00" w:rsidRPr="00872B32">
        <w:rPr>
          <w:rFonts w:ascii="Book Antiqua" w:hAnsi="Book Antiqua"/>
          <w:color w:val="000000"/>
          <w:lang w:val="it-IT"/>
        </w:rPr>
        <w:t xml:space="preserve"> L</w:t>
      </w:r>
      <w:r w:rsidR="00825A00" w:rsidRPr="00872B32">
        <w:rPr>
          <w:rFonts w:ascii="Book Antiqua" w:eastAsia="宋体" w:hAnsi="Book Antiqua"/>
          <w:color w:val="000000"/>
          <w:lang w:val="it-IT" w:eastAsia="zh-CN"/>
        </w:rPr>
        <w:t>’</w:t>
      </w:r>
      <w:r w:rsidR="00825A00" w:rsidRPr="00872B32">
        <w:rPr>
          <w:rFonts w:ascii="Book Antiqua" w:hAnsi="Book Antiqua"/>
          <w:color w:val="000000"/>
          <w:lang w:val="it-IT"/>
        </w:rPr>
        <w:t>Aquila</w:t>
      </w:r>
      <w:r w:rsidR="00825A00" w:rsidRPr="00872B32">
        <w:rPr>
          <w:rFonts w:ascii="Book Antiqua" w:eastAsia="宋体" w:hAnsi="Book Antiqua"/>
          <w:color w:val="000000"/>
          <w:lang w:val="it-IT" w:eastAsia="zh-CN"/>
        </w:rPr>
        <w:t xml:space="preserve"> </w:t>
      </w:r>
      <w:r w:rsidR="00825A00" w:rsidRPr="00872B32">
        <w:rPr>
          <w:rFonts w:ascii="Book Antiqua" w:hAnsi="Book Antiqua"/>
          <w:color w:val="000000"/>
          <w:lang w:val="it-IT"/>
        </w:rPr>
        <w:t>67100</w:t>
      </w:r>
      <w:r w:rsidR="00825A00" w:rsidRPr="00872B32">
        <w:rPr>
          <w:rFonts w:ascii="Book Antiqua" w:eastAsia="宋体" w:hAnsi="Book Antiqua"/>
          <w:color w:val="000000"/>
          <w:lang w:val="it-IT" w:eastAsia="zh-CN"/>
        </w:rPr>
        <w:t xml:space="preserve">, </w:t>
      </w:r>
      <w:r w:rsidR="00825A00" w:rsidRPr="00872B32">
        <w:rPr>
          <w:rFonts w:ascii="Book Antiqua" w:hAnsi="Book Antiqua"/>
          <w:color w:val="000000"/>
          <w:lang w:val="it-IT"/>
        </w:rPr>
        <w:t>Italy</w:t>
      </w:r>
      <w:r w:rsidR="00825A00" w:rsidRPr="00526FCE">
        <w:rPr>
          <w:rFonts w:ascii="Book Antiqua" w:eastAsia="宋体" w:hAnsi="Book Antiqua"/>
          <w:color w:val="000000"/>
          <w:lang w:val="it-IT" w:eastAsia="zh-CN"/>
        </w:rPr>
        <w:t>.</w:t>
      </w:r>
      <w:r w:rsidR="00825A00" w:rsidRPr="00A4725F">
        <w:rPr>
          <w:rFonts w:ascii="Book Antiqua" w:hAnsi="Book Antiqua"/>
          <w:color w:val="000000"/>
          <w:lang w:val="it-IT"/>
        </w:rPr>
        <w:t xml:space="preserve"> </w:t>
      </w:r>
      <w:hyperlink r:id="rId16" w:history="1">
        <w:r w:rsidR="00825A00" w:rsidRPr="00872B32">
          <w:rPr>
            <w:rStyle w:val="a8"/>
            <w:rFonts w:ascii="Book Antiqua" w:hAnsi="Book Antiqua"/>
            <w:color w:val="000000"/>
            <w:u w:val="none"/>
          </w:rPr>
          <w:t>annamaria.berghella@cnr.it</w:t>
        </w:r>
      </w:hyperlink>
    </w:p>
    <w:p w14:paraId="73A86BA4" w14:textId="77777777" w:rsidR="00883162" w:rsidRPr="00872B32" w:rsidRDefault="00883162" w:rsidP="008C54E8">
      <w:pPr>
        <w:snapToGrid w:val="0"/>
        <w:spacing w:line="360" w:lineRule="auto"/>
        <w:jc w:val="both"/>
        <w:rPr>
          <w:rFonts w:ascii="Book Antiqua" w:hAnsi="Book Antiqua"/>
          <w:color w:val="000000"/>
        </w:rPr>
      </w:pPr>
      <w:r w:rsidRPr="00872B32">
        <w:rPr>
          <w:rFonts w:ascii="Book Antiqua" w:hAnsi="Book Antiqua"/>
          <w:b/>
          <w:color w:val="000000"/>
        </w:rPr>
        <w:t>Telephone</w:t>
      </w:r>
      <w:r w:rsidR="00825A00" w:rsidRPr="008C54E8">
        <w:rPr>
          <w:rFonts w:ascii="Book Antiqua" w:hAnsi="Book Antiqua"/>
          <w:b/>
          <w:color w:val="000000"/>
        </w:rPr>
        <w:t>:</w:t>
      </w:r>
      <w:r w:rsidR="00825A00" w:rsidRPr="00872B32">
        <w:rPr>
          <w:rFonts w:ascii="Book Antiqua" w:hAnsi="Book Antiqua"/>
          <w:color w:val="000000"/>
        </w:rPr>
        <w:t xml:space="preserve"> +39-</w:t>
      </w:r>
      <w:r w:rsidRPr="00872B32">
        <w:rPr>
          <w:rFonts w:ascii="Book Antiqua" w:hAnsi="Book Antiqua"/>
          <w:color w:val="000000"/>
        </w:rPr>
        <w:t>862-318843</w:t>
      </w:r>
    </w:p>
    <w:p w14:paraId="1F3661B3" w14:textId="77777777" w:rsidR="007D70F1" w:rsidRPr="00872B32" w:rsidRDefault="007D70F1" w:rsidP="008C54E8">
      <w:pPr>
        <w:snapToGrid w:val="0"/>
        <w:spacing w:line="360" w:lineRule="auto"/>
        <w:jc w:val="both"/>
        <w:rPr>
          <w:rFonts w:ascii="Book Antiqua" w:eastAsia="Calibri" w:hAnsi="Book Antiqua"/>
          <w:b/>
          <w:color w:val="000000"/>
        </w:rPr>
      </w:pPr>
    </w:p>
    <w:p w14:paraId="044ED1E5" w14:textId="77777777" w:rsidR="000C3172" w:rsidRPr="00872B32" w:rsidRDefault="000C3172" w:rsidP="008C54E8">
      <w:pPr>
        <w:snapToGrid w:val="0"/>
        <w:spacing w:line="360" w:lineRule="auto"/>
        <w:jc w:val="both"/>
        <w:rPr>
          <w:rFonts w:ascii="Book Antiqua" w:hAnsi="Book Antiqua"/>
          <w:b/>
          <w:color w:val="000000"/>
        </w:rPr>
      </w:pPr>
      <w:r w:rsidRPr="00872B32">
        <w:rPr>
          <w:rFonts w:ascii="Book Antiqua" w:hAnsi="Book Antiqua"/>
          <w:b/>
          <w:color w:val="000000"/>
        </w:rPr>
        <w:t xml:space="preserve">Received: </w:t>
      </w:r>
      <w:r w:rsidR="009358BC" w:rsidRPr="00526FCE">
        <w:rPr>
          <w:rFonts w:ascii="Book Antiqua" w:eastAsia="宋体" w:hAnsi="Book Antiqua"/>
          <w:color w:val="000000"/>
          <w:lang w:eastAsia="zh-CN"/>
        </w:rPr>
        <w:t>September 19, 2018</w:t>
      </w:r>
      <w:r w:rsidR="00C808A0" w:rsidRPr="00872B32">
        <w:rPr>
          <w:rFonts w:ascii="Book Antiqua" w:hAnsi="Book Antiqua"/>
          <w:color w:val="000000"/>
        </w:rPr>
        <w:t xml:space="preserve"> </w:t>
      </w:r>
    </w:p>
    <w:p w14:paraId="5ED6E4B4" w14:textId="77777777" w:rsidR="000C3172" w:rsidRPr="00872B32" w:rsidRDefault="000C3172" w:rsidP="008C54E8">
      <w:pPr>
        <w:snapToGrid w:val="0"/>
        <w:spacing w:line="360" w:lineRule="auto"/>
        <w:jc w:val="both"/>
        <w:rPr>
          <w:rFonts w:ascii="Book Antiqua" w:hAnsi="Book Antiqua"/>
          <w:b/>
          <w:color w:val="000000"/>
        </w:rPr>
      </w:pPr>
      <w:r w:rsidRPr="00872B32">
        <w:rPr>
          <w:rFonts w:ascii="Book Antiqua" w:hAnsi="Book Antiqua"/>
          <w:b/>
          <w:color w:val="000000"/>
        </w:rPr>
        <w:t>Peer-review started:</w:t>
      </w:r>
      <w:r w:rsidR="009358BC" w:rsidRPr="00526FCE">
        <w:rPr>
          <w:rFonts w:ascii="Book Antiqua" w:eastAsia="宋体" w:hAnsi="Book Antiqua"/>
          <w:color w:val="000000"/>
          <w:lang w:eastAsia="zh-CN"/>
        </w:rPr>
        <w:t xml:space="preserve"> </w:t>
      </w:r>
      <w:r w:rsidR="009358BC" w:rsidRPr="00872B32">
        <w:rPr>
          <w:rFonts w:ascii="Book Antiqua" w:eastAsia="宋体" w:hAnsi="Book Antiqua"/>
          <w:color w:val="000000"/>
          <w:lang w:eastAsia="zh-CN"/>
        </w:rPr>
        <w:t>September 19, 2018</w:t>
      </w:r>
      <w:r w:rsidR="00C808A0" w:rsidRPr="00872B32">
        <w:rPr>
          <w:rFonts w:ascii="Book Antiqua" w:hAnsi="Book Antiqua"/>
          <w:color w:val="000000"/>
        </w:rPr>
        <w:t xml:space="preserve"> </w:t>
      </w:r>
    </w:p>
    <w:p w14:paraId="7510B52A" w14:textId="77777777" w:rsidR="000C3172" w:rsidRPr="00526FCE" w:rsidRDefault="000C3172" w:rsidP="008C54E8">
      <w:pPr>
        <w:snapToGrid w:val="0"/>
        <w:spacing w:line="360" w:lineRule="auto"/>
        <w:jc w:val="both"/>
        <w:rPr>
          <w:rFonts w:ascii="Book Antiqua" w:eastAsia="宋体" w:hAnsi="Book Antiqua"/>
          <w:b/>
          <w:color w:val="000000"/>
          <w:lang w:eastAsia="zh-CN"/>
        </w:rPr>
      </w:pPr>
      <w:r w:rsidRPr="00872B32">
        <w:rPr>
          <w:rFonts w:ascii="Book Antiqua" w:hAnsi="Book Antiqua"/>
          <w:b/>
          <w:color w:val="000000"/>
        </w:rPr>
        <w:t>First decision:</w:t>
      </w:r>
      <w:r w:rsidR="009358BC" w:rsidRPr="00526FCE">
        <w:rPr>
          <w:rFonts w:ascii="Book Antiqua" w:eastAsia="宋体" w:hAnsi="Book Antiqua"/>
          <w:b/>
          <w:color w:val="000000"/>
          <w:lang w:eastAsia="zh-CN"/>
        </w:rPr>
        <w:t xml:space="preserve"> </w:t>
      </w:r>
      <w:r w:rsidR="009358BC" w:rsidRPr="00526FCE">
        <w:rPr>
          <w:rFonts w:ascii="Book Antiqua" w:eastAsia="宋体" w:hAnsi="Book Antiqua"/>
          <w:color w:val="000000"/>
          <w:lang w:eastAsia="zh-CN"/>
        </w:rPr>
        <w:t>October 16, 2018</w:t>
      </w:r>
    </w:p>
    <w:p w14:paraId="1D02FC0E" w14:textId="77777777" w:rsidR="000C3172" w:rsidRPr="00872B32" w:rsidRDefault="000C3172" w:rsidP="008C54E8">
      <w:pPr>
        <w:snapToGrid w:val="0"/>
        <w:spacing w:line="360" w:lineRule="auto"/>
        <w:jc w:val="both"/>
        <w:rPr>
          <w:rFonts w:ascii="Book Antiqua" w:hAnsi="Book Antiqua"/>
          <w:b/>
          <w:color w:val="000000"/>
        </w:rPr>
      </w:pPr>
      <w:r w:rsidRPr="00872B32">
        <w:rPr>
          <w:rFonts w:ascii="Book Antiqua" w:hAnsi="Book Antiqua"/>
          <w:b/>
          <w:color w:val="000000"/>
        </w:rPr>
        <w:t xml:space="preserve">Revised: </w:t>
      </w:r>
      <w:r w:rsidR="009358BC" w:rsidRPr="00872B32">
        <w:rPr>
          <w:rFonts w:ascii="Book Antiqua" w:eastAsia="宋体" w:hAnsi="Book Antiqua"/>
          <w:color w:val="000000"/>
          <w:lang w:eastAsia="zh-CN"/>
        </w:rPr>
        <w:t>November 20, 2018</w:t>
      </w:r>
      <w:r w:rsidR="00C808A0" w:rsidRPr="00872B32">
        <w:rPr>
          <w:rFonts w:ascii="Book Antiqua" w:hAnsi="Book Antiqua"/>
          <w:color w:val="000000"/>
        </w:rPr>
        <w:t xml:space="preserve"> </w:t>
      </w:r>
    </w:p>
    <w:p w14:paraId="168C58DD" w14:textId="77777777" w:rsidR="000C3172" w:rsidRPr="00872B32" w:rsidRDefault="000C3172" w:rsidP="008C54E8">
      <w:pPr>
        <w:snapToGrid w:val="0"/>
        <w:spacing w:line="360" w:lineRule="auto"/>
        <w:jc w:val="both"/>
        <w:rPr>
          <w:rFonts w:ascii="Book Antiqua" w:hAnsi="Book Antiqua"/>
          <w:b/>
          <w:color w:val="000000"/>
        </w:rPr>
      </w:pPr>
      <w:r w:rsidRPr="00872B32">
        <w:rPr>
          <w:rFonts w:ascii="Book Antiqua" w:hAnsi="Book Antiqua"/>
          <w:b/>
          <w:color w:val="000000"/>
        </w:rPr>
        <w:t>Accepted:</w:t>
      </w:r>
      <w:r w:rsidR="00C808A0" w:rsidRPr="00872B32">
        <w:rPr>
          <w:rFonts w:ascii="Book Antiqua" w:hAnsi="Book Antiqua"/>
          <w:b/>
          <w:color w:val="000000"/>
        </w:rPr>
        <w:t xml:space="preserve"> </w:t>
      </w:r>
      <w:r w:rsidR="00AA1584" w:rsidRPr="00AA1584">
        <w:rPr>
          <w:rFonts w:ascii="Book Antiqua" w:hAnsi="Book Antiqua"/>
          <w:color w:val="000000"/>
        </w:rPr>
        <w:t>January 10, 2019</w:t>
      </w:r>
    </w:p>
    <w:p w14:paraId="2139DD78" w14:textId="2C9827CE" w:rsidR="000C3172" w:rsidRPr="00872B32" w:rsidRDefault="000C3172" w:rsidP="008C54E8">
      <w:pPr>
        <w:snapToGrid w:val="0"/>
        <w:spacing w:line="360" w:lineRule="auto"/>
        <w:jc w:val="both"/>
        <w:rPr>
          <w:rFonts w:ascii="Book Antiqua" w:hAnsi="Book Antiqua"/>
          <w:color w:val="000000"/>
        </w:rPr>
      </w:pPr>
      <w:r w:rsidRPr="00872B32">
        <w:rPr>
          <w:rFonts w:ascii="Book Antiqua" w:hAnsi="Book Antiqua"/>
          <w:b/>
          <w:color w:val="000000"/>
        </w:rPr>
        <w:t>Article in press:</w:t>
      </w:r>
      <w:r w:rsidR="00C808A0" w:rsidRPr="00872B32">
        <w:rPr>
          <w:rFonts w:ascii="Book Antiqua" w:hAnsi="Book Antiqua"/>
          <w:color w:val="000000"/>
        </w:rPr>
        <w:t xml:space="preserve"> </w:t>
      </w:r>
      <w:r w:rsidR="008C54E8" w:rsidRPr="00AA1584">
        <w:rPr>
          <w:rFonts w:ascii="Book Antiqua" w:hAnsi="Book Antiqua"/>
          <w:color w:val="000000"/>
        </w:rPr>
        <w:t>January 10, 2019</w:t>
      </w:r>
    </w:p>
    <w:p w14:paraId="43F20D80" w14:textId="01E7BAFA" w:rsidR="000C3172" w:rsidRPr="00872B32" w:rsidRDefault="000C3172" w:rsidP="008C54E8">
      <w:pPr>
        <w:snapToGrid w:val="0"/>
        <w:spacing w:line="360" w:lineRule="auto"/>
        <w:jc w:val="both"/>
        <w:rPr>
          <w:rFonts w:ascii="Book Antiqua" w:hAnsi="Book Antiqua"/>
          <w:b/>
          <w:color w:val="000000"/>
        </w:rPr>
      </w:pPr>
      <w:r w:rsidRPr="00872B32">
        <w:rPr>
          <w:rFonts w:ascii="Book Antiqua" w:hAnsi="Book Antiqua"/>
          <w:b/>
          <w:color w:val="000000"/>
        </w:rPr>
        <w:t xml:space="preserve">Published online: </w:t>
      </w:r>
      <w:r w:rsidR="008C54E8" w:rsidRPr="006B6E78">
        <w:rPr>
          <w:rFonts w:ascii="Book Antiqua" w:hAnsi="Book Antiqua" w:hint="eastAsia"/>
          <w:color w:val="000000"/>
          <w:szCs w:val="21"/>
        </w:rPr>
        <w:t>February</w:t>
      </w:r>
      <w:r w:rsidR="008C54E8" w:rsidRPr="006B6E78">
        <w:rPr>
          <w:rFonts w:ascii="Book Antiqua" w:hAnsi="Book Antiqua"/>
          <w:color w:val="000000"/>
          <w:szCs w:val="21"/>
        </w:rPr>
        <w:t xml:space="preserve"> 1</w:t>
      </w:r>
      <w:r w:rsidR="008C54E8" w:rsidRPr="006B6E78">
        <w:rPr>
          <w:rFonts w:ascii="Book Antiqua" w:hAnsi="Book Antiqua" w:hint="eastAsia"/>
          <w:color w:val="000000"/>
          <w:szCs w:val="21"/>
        </w:rPr>
        <w:t>5</w:t>
      </w:r>
      <w:r w:rsidR="008C54E8" w:rsidRPr="006B6E78">
        <w:rPr>
          <w:rFonts w:ascii="Book Antiqua" w:hAnsi="Book Antiqua"/>
          <w:color w:val="000000"/>
          <w:szCs w:val="21"/>
        </w:rPr>
        <w:t>, 2019</w:t>
      </w:r>
    </w:p>
    <w:p w14:paraId="37FCB739" w14:textId="77777777" w:rsidR="002F2092" w:rsidRPr="00BA0ACA" w:rsidRDefault="00D65548" w:rsidP="008C54E8">
      <w:pPr>
        <w:snapToGrid w:val="0"/>
        <w:spacing w:line="360" w:lineRule="auto"/>
        <w:jc w:val="both"/>
        <w:rPr>
          <w:rFonts w:ascii="Book Antiqua" w:eastAsia="宋体" w:hAnsi="Book Antiqua"/>
          <w:b/>
          <w:color w:val="000000"/>
          <w:lang w:eastAsia="zh-CN"/>
        </w:rPr>
      </w:pPr>
      <w:r w:rsidRPr="00872B32">
        <w:rPr>
          <w:rFonts w:ascii="Book Antiqua" w:eastAsia="Calibri" w:hAnsi="Book Antiqua"/>
          <w:b/>
          <w:color w:val="000000"/>
        </w:rPr>
        <w:br w:type="page"/>
      </w:r>
      <w:r w:rsidR="002F2092" w:rsidRPr="00872B32">
        <w:rPr>
          <w:rFonts w:ascii="Book Antiqua" w:eastAsia="Calibri" w:hAnsi="Book Antiqua"/>
          <w:b/>
          <w:color w:val="000000"/>
        </w:rPr>
        <w:lastRenderedPageBreak/>
        <w:t>Abstract</w:t>
      </w:r>
    </w:p>
    <w:p w14:paraId="750DE9BC" w14:textId="77777777" w:rsidR="0007090C" w:rsidRPr="00BA0ACA" w:rsidRDefault="0007090C" w:rsidP="008C54E8">
      <w:pPr>
        <w:snapToGrid w:val="0"/>
        <w:spacing w:line="360" w:lineRule="auto"/>
        <w:jc w:val="both"/>
        <w:rPr>
          <w:rFonts w:ascii="Book Antiqua" w:eastAsia="宋体" w:hAnsi="Book Antiqua"/>
          <w:b/>
          <w:i/>
          <w:color w:val="000000"/>
          <w:lang w:eastAsia="zh-CN"/>
        </w:rPr>
      </w:pPr>
      <w:r w:rsidRPr="00BA0ACA">
        <w:rPr>
          <w:rFonts w:ascii="Book Antiqua" w:eastAsia="宋体" w:hAnsi="Book Antiqua"/>
          <w:b/>
          <w:i/>
          <w:color w:val="000000"/>
          <w:lang w:eastAsia="zh-CN"/>
        </w:rPr>
        <w:t>BACKGROUND</w:t>
      </w:r>
    </w:p>
    <w:p w14:paraId="31CCBDF2" w14:textId="43CF7D90" w:rsidR="0007090C" w:rsidRPr="0007090C" w:rsidRDefault="0007090C" w:rsidP="008C54E8">
      <w:pPr>
        <w:snapToGrid w:val="0"/>
        <w:spacing w:line="360" w:lineRule="auto"/>
        <w:jc w:val="both"/>
        <w:rPr>
          <w:rFonts w:ascii="Book Antiqua" w:eastAsia="宋体" w:hAnsi="Book Antiqua"/>
          <w:color w:val="000000"/>
          <w:lang w:eastAsia="zh-CN"/>
        </w:rPr>
      </w:pPr>
      <w:r w:rsidRPr="0007090C">
        <w:rPr>
          <w:rFonts w:ascii="Book Antiqua" w:eastAsia="宋体" w:hAnsi="Book Antiqua"/>
          <w:color w:val="000000"/>
          <w:lang w:eastAsia="zh-CN"/>
        </w:rPr>
        <w:t xml:space="preserve">Identifying biomarkers </w:t>
      </w:r>
      <w:r w:rsidR="008D09D9">
        <w:rPr>
          <w:rFonts w:ascii="Book Antiqua" w:eastAsia="宋体" w:hAnsi="Book Antiqua"/>
          <w:color w:val="000000"/>
          <w:lang w:eastAsia="zh-CN"/>
        </w:rPr>
        <w:t>for</w:t>
      </w:r>
      <w:r w:rsidRPr="0007090C">
        <w:rPr>
          <w:rFonts w:ascii="Book Antiqua" w:eastAsia="宋体" w:hAnsi="Book Antiqua"/>
          <w:color w:val="000000"/>
          <w:lang w:eastAsia="zh-CN"/>
        </w:rPr>
        <w:t xml:space="preserve"> the risk of develop</w:t>
      </w:r>
      <w:r w:rsidR="008D09D9">
        <w:rPr>
          <w:rFonts w:ascii="Book Antiqua" w:eastAsia="宋体" w:hAnsi="Book Antiqua"/>
          <w:color w:val="000000"/>
          <w:lang w:eastAsia="zh-CN"/>
        </w:rPr>
        <w:t>ing</w:t>
      </w:r>
      <w:r w:rsidRPr="0007090C">
        <w:rPr>
          <w:rFonts w:ascii="Book Antiqua" w:eastAsia="宋体" w:hAnsi="Book Antiqua"/>
          <w:color w:val="000000"/>
          <w:lang w:eastAsia="zh-CN"/>
        </w:rPr>
        <w:t xml:space="preserve"> degenerative processes linked to aging and colorectal cancer (CRC) onset</w:t>
      </w:r>
      <w:r w:rsidR="008D09D9">
        <w:rPr>
          <w:rFonts w:ascii="Book Antiqua" w:eastAsia="宋体" w:hAnsi="Book Antiqua"/>
          <w:color w:val="000000"/>
          <w:lang w:eastAsia="zh-CN"/>
        </w:rPr>
        <w:t xml:space="preserve"> that </w:t>
      </w:r>
      <w:r w:rsidRPr="0007090C">
        <w:rPr>
          <w:rFonts w:ascii="Book Antiqua" w:eastAsia="宋体" w:hAnsi="Book Antiqua"/>
          <w:color w:val="000000"/>
          <w:lang w:eastAsia="zh-CN"/>
        </w:rPr>
        <w:t xml:space="preserve"> could improve clinical strategies.</w:t>
      </w:r>
    </w:p>
    <w:p w14:paraId="169FAF14" w14:textId="77777777" w:rsidR="0007090C" w:rsidRPr="00BA0ACA" w:rsidRDefault="0007090C" w:rsidP="008C54E8">
      <w:pPr>
        <w:snapToGrid w:val="0"/>
        <w:spacing w:line="360" w:lineRule="auto"/>
        <w:jc w:val="both"/>
        <w:rPr>
          <w:rFonts w:ascii="Book Antiqua" w:eastAsia="宋体" w:hAnsi="Book Antiqua"/>
          <w:b/>
          <w:color w:val="000000"/>
          <w:lang w:eastAsia="zh-CN"/>
        </w:rPr>
      </w:pPr>
    </w:p>
    <w:p w14:paraId="070C54A8" w14:textId="77777777" w:rsidR="002F2092" w:rsidRPr="00872B32" w:rsidRDefault="002F2092" w:rsidP="008C54E8">
      <w:pPr>
        <w:snapToGrid w:val="0"/>
        <w:spacing w:line="360" w:lineRule="auto"/>
        <w:jc w:val="both"/>
        <w:rPr>
          <w:rFonts w:ascii="Book Antiqua" w:eastAsia="Calibri" w:hAnsi="Book Antiqua"/>
          <w:b/>
          <w:i/>
          <w:color w:val="000000"/>
        </w:rPr>
      </w:pPr>
      <w:r w:rsidRPr="00872B32">
        <w:rPr>
          <w:rFonts w:ascii="Book Antiqua" w:eastAsia="Calibri" w:hAnsi="Book Antiqua"/>
          <w:b/>
          <w:i/>
          <w:color w:val="000000"/>
        </w:rPr>
        <w:t>AIM</w:t>
      </w:r>
    </w:p>
    <w:p w14:paraId="7F1861F5" w14:textId="77777777" w:rsidR="008642C8" w:rsidRPr="00872B32" w:rsidRDefault="00CA0B2E"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xml:space="preserve">To determine valid </w:t>
      </w:r>
      <w:r w:rsidR="008642C8" w:rsidRPr="00872B32">
        <w:rPr>
          <w:rFonts w:ascii="Book Antiqua" w:eastAsia="Calibri" w:hAnsi="Book Antiqua"/>
          <w:color w:val="000000"/>
        </w:rPr>
        <w:t xml:space="preserve">targets and a predictive </w:t>
      </w:r>
      <w:r w:rsidR="0007090C" w:rsidRPr="00872B32">
        <w:rPr>
          <w:rFonts w:ascii="Book Antiqua" w:eastAsia="Calibri" w:hAnsi="Book Antiqua"/>
          <w:color w:val="000000"/>
        </w:rPr>
        <w:t>biomarker</w:t>
      </w:r>
      <w:r w:rsidR="0007090C" w:rsidRPr="00BA0ACA">
        <w:rPr>
          <w:rFonts w:ascii="Book Antiqua" w:eastAsia="宋体" w:hAnsi="Book Antiqua"/>
          <w:color w:val="000000"/>
          <w:lang w:eastAsia="zh-CN"/>
        </w:rPr>
        <w:t>’</w:t>
      </w:r>
      <w:r w:rsidR="0007090C" w:rsidRPr="00872B32">
        <w:rPr>
          <w:rFonts w:ascii="Book Antiqua" w:eastAsia="Calibri" w:hAnsi="Book Antiqua"/>
          <w:color w:val="000000"/>
        </w:rPr>
        <w:t xml:space="preserve">s </w:t>
      </w:r>
      <w:r w:rsidR="008642C8" w:rsidRPr="00872B32">
        <w:rPr>
          <w:rFonts w:ascii="Book Antiqua" w:eastAsia="Calibri" w:hAnsi="Book Antiqua"/>
          <w:color w:val="000000"/>
        </w:rPr>
        <w:t xml:space="preserve">system of chronicization of inflammation </w:t>
      </w:r>
      <w:r w:rsidRPr="00872B32">
        <w:rPr>
          <w:rFonts w:ascii="Book Antiqua" w:eastAsia="Calibri" w:hAnsi="Book Antiqua"/>
          <w:color w:val="000000"/>
        </w:rPr>
        <w:t>for cancer treatm</w:t>
      </w:r>
      <w:r w:rsidR="006963EB" w:rsidRPr="00872B32">
        <w:rPr>
          <w:rFonts w:ascii="Book Antiqua" w:eastAsia="Calibri" w:hAnsi="Book Antiqua"/>
          <w:color w:val="000000"/>
        </w:rPr>
        <w:t>e</w:t>
      </w:r>
      <w:r w:rsidRPr="00872B32">
        <w:rPr>
          <w:rFonts w:ascii="Book Antiqua" w:eastAsia="Calibri" w:hAnsi="Book Antiqua"/>
          <w:color w:val="000000"/>
        </w:rPr>
        <w:t>nt</w:t>
      </w:r>
      <w:r w:rsidR="0007090C" w:rsidRPr="00BA0ACA">
        <w:rPr>
          <w:rFonts w:ascii="Book Antiqua" w:eastAsia="宋体" w:hAnsi="Book Antiqua" w:hint="eastAsia"/>
          <w:color w:val="000000"/>
          <w:lang w:eastAsia="zh-CN"/>
        </w:rPr>
        <w:t>.</w:t>
      </w:r>
      <w:r w:rsidR="00C808A0" w:rsidRPr="00872B32">
        <w:rPr>
          <w:rFonts w:ascii="Book Antiqua" w:eastAsia="Calibri" w:hAnsi="Book Antiqua"/>
          <w:color w:val="000000"/>
        </w:rPr>
        <w:t xml:space="preserve"> </w:t>
      </w:r>
    </w:p>
    <w:p w14:paraId="6572E54B" w14:textId="77777777" w:rsidR="008642C8" w:rsidRPr="00872B32" w:rsidRDefault="008642C8" w:rsidP="008C54E8">
      <w:pPr>
        <w:snapToGrid w:val="0"/>
        <w:spacing w:line="360" w:lineRule="auto"/>
        <w:jc w:val="both"/>
        <w:rPr>
          <w:rFonts w:ascii="Book Antiqua" w:eastAsia="Calibri" w:hAnsi="Book Antiqua"/>
          <w:color w:val="000000"/>
        </w:rPr>
      </w:pPr>
    </w:p>
    <w:p w14:paraId="03D360AA" w14:textId="77777777" w:rsidR="002F2092" w:rsidRPr="00872B32" w:rsidRDefault="002F2092" w:rsidP="008C54E8">
      <w:pPr>
        <w:snapToGrid w:val="0"/>
        <w:spacing w:line="360" w:lineRule="auto"/>
        <w:jc w:val="both"/>
        <w:rPr>
          <w:rFonts w:ascii="Book Antiqua" w:eastAsia="Calibri" w:hAnsi="Book Antiqua"/>
          <w:b/>
          <w:i/>
          <w:color w:val="000000"/>
        </w:rPr>
      </w:pPr>
      <w:r w:rsidRPr="00872B32">
        <w:rPr>
          <w:rFonts w:ascii="Book Antiqua" w:eastAsia="Calibri" w:hAnsi="Book Antiqua"/>
          <w:b/>
          <w:i/>
          <w:color w:val="000000"/>
        </w:rPr>
        <w:t>METHODS</w:t>
      </w:r>
    </w:p>
    <w:p w14:paraId="5F301B3E" w14:textId="2D601765" w:rsidR="002F2092" w:rsidRPr="00872B32" w:rsidRDefault="00E96584" w:rsidP="008C54E8">
      <w:pPr>
        <w:snapToGrid w:val="0"/>
        <w:spacing w:line="360" w:lineRule="auto"/>
        <w:jc w:val="both"/>
        <w:rPr>
          <w:rFonts w:ascii="Book Antiqua" w:eastAsia="Calibri" w:hAnsi="Book Antiqua"/>
          <w:color w:val="000000"/>
          <w:lang w:val="en-GB"/>
        </w:rPr>
      </w:pPr>
      <w:r w:rsidRPr="00872B32">
        <w:rPr>
          <w:rFonts w:ascii="Book Antiqua" w:eastAsia="Calibri" w:hAnsi="Book Antiqua"/>
          <w:color w:val="000000"/>
        </w:rPr>
        <w:t>A group</w:t>
      </w:r>
      <w:r w:rsidR="002F2092" w:rsidRPr="00872B32">
        <w:rPr>
          <w:rFonts w:ascii="Book Antiqua" w:eastAsia="Calibri" w:hAnsi="Book Antiqua"/>
          <w:color w:val="000000"/>
        </w:rPr>
        <w:t xml:space="preserve"> of 147 </w:t>
      </w:r>
      <w:r w:rsidR="00923368">
        <w:rPr>
          <w:rFonts w:ascii="Book Antiqua" w:eastAsia="Calibri" w:hAnsi="Book Antiqua"/>
          <w:color w:val="000000"/>
        </w:rPr>
        <w:t>CRC</w:t>
      </w:r>
      <w:r w:rsidR="00080793" w:rsidRPr="00872B32">
        <w:rPr>
          <w:rFonts w:ascii="Book Antiqua" w:eastAsia="Calibri" w:hAnsi="Book Antiqua"/>
          <w:color w:val="000000"/>
        </w:rPr>
        <w:t xml:space="preserve"> patients</w:t>
      </w:r>
      <w:r w:rsidR="00033E1F" w:rsidRPr="00872B32">
        <w:rPr>
          <w:rFonts w:ascii="Book Antiqua" w:eastAsia="Calibri" w:hAnsi="Book Antiqua"/>
          <w:color w:val="000000"/>
        </w:rPr>
        <w:t xml:space="preserve"> </w:t>
      </w:r>
      <w:r w:rsidR="002F2092" w:rsidRPr="00872B32">
        <w:rPr>
          <w:rFonts w:ascii="Book Antiqua" w:eastAsia="Calibri" w:hAnsi="Book Antiqua"/>
          <w:color w:val="000000"/>
        </w:rPr>
        <w:t>w</w:t>
      </w:r>
      <w:r w:rsidRPr="00872B32">
        <w:rPr>
          <w:rFonts w:ascii="Book Antiqua" w:eastAsia="Calibri" w:hAnsi="Book Antiqua"/>
          <w:color w:val="000000"/>
        </w:rPr>
        <w:t>as</w:t>
      </w:r>
      <w:r w:rsidR="002F2092" w:rsidRPr="00872B32">
        <w:rPr>
          <w:rFonts w:ascii="Book Antiqua" w:eastAsia="Calibri" w:hAnsi="Book Antiqua"/>
          <w:color w:val="000000"/>
        </w:rPr>
        <w:t xml:space="preserve"> studied.</w:t>
      </w:r>
      <w:r w:rsidR="00C808A0" w:rsidRPr="00872B32">
        <w:rPr>
          <w:rFonts w:ascii="Book Antiqua" w:eastAsia="Calibri" w:hAnsi="Book Antiqua"/>
          <w:color w:val="000000"/>
        </w:rPr>
        <w:t xml:space="preserve"> </w:t>
      </w:r>
      <w:r w:rsidR="008642C8" w:rsidRPr="00872B32">
        <w:rPr>
          <w:rFonts w:ascii="Book Antiqua" w:eastAsia="Calibri" w:hAnsi="Book Antiqua"/>
          <w:color w:val="000000"/>
        </w:rPr>
        <w:t>Clinical diagnosis was confirmed histopathologically</w:t>
      </w:r>
      <w:r w:rsidR="008D09D9">
        <w:rPr>
          <w:rFonts w:ascii="Book Antiqua" w:eastAsia="Calibri" w:hAnsi="Book Antiqua"/>
          <w:color w:val="000000"/>
        </w:rPr>
        <w:t>,</w:t>
      </w:r>
      <w:r w:rsidR="00033E1F" w:rsidRPr="00872B32">
        <w:rPr>
          <w:rFonts w:ascii="Book Antiqua" w:eastAsia="Calibri" w:hAnsi="Book Antiqua"/>
          <w:color w:val="000000"/>
        </w:rPr>
        <w:t xml:space="preserve"> </w:t>
      </w:r>
      <w:r w:rsidR="008642C8" w:rsidRPr="00872B32">
        <w:rPr>
          <w:rFonts w:ascii="Book Antiqua" w:eastAsia="Calibri" w:hAnsi="Book Antiqua"/>
          <w:color w:val="000000"/>
        </w:rPr>
        <w:t>and p</w:t>
      </w:r>
      <w:r w:rsidR="002F2092" w:rsidRPr="00872B32">
        <w:rPr>
          <w:rFonts w:ascii="Book Antiqua" w:eastAsia="Calibri" w:hAnsi="Book Antiqua"/>
          <w:color w:val="000000"/>
        </w:rPr>
        <w:t xml:space="preserve">atients were sub-typed using the </w:t>
      </w:r>
      <w:r w:rsidR="008D09D9">
        <w:rPr>
          <w:rFonts w:ascii="Book Antiqua" w:eastAsia="Calibri" w:hAnsi="Book Antiqua"/>
          <w:color w:val="000000"/>
        </w:rPr>
        <w:t xml:space="preserve">pathological tumor-node-metastasis </w:t>
      </w:r>
      <w:r w:rsidR="002F2092" w:rsidRPr="00872B32">
        <w:rPr>
          <w:rFonts w:ascii="Book Antiqua" w:eastAsia="Calibri" w:hAnsi="Book Antiqua"/>
          <w:color w:val="000000"/>
        </w:rPr>
        <w:t>classification</w:t>
      </w:r>
      <w:r w:rsidR="008642C8" w:rsidRPr="00872B32">
        <w:rPr>
          <w:rFonts w:ascii="Book Antiqua" w:eastAsia="Calibri" w:hAnsi="Book Antiqua"/>
          <w:color w:val="000000"/>
        </w:rPr>
        <w:t>.</w:t>
      </w:r>
      <w:r w:rsidR="002F2092" w:rsidRPr="00872B32">
        <w:rPr>
          <w:rFonts w:ascii="Book Antiqua" w:eastAsia="Calibri" w:hAnsi="Book Antiqua"/>
          <w:color w:val="000000"/>
        </w:rPr>
        <w:t xml:space="preserve"> </w:t>
      </w:r>
      <w:r w:rsidR="00000012">
        <w:rPr>
          <w:rFonts w:ascii="Book Antiqua" w:eastAsia="Calibri" w:hAnsi="Book Antiqua"/>
          <w:color w:val="000000"/>
        </w:rPr>
        <w:t>Th</w:t>
      </w:r>
      <w:r w:rsidR="008D09D9">
        <w:rPr>
          <w:rFonts w:ascii="Book Antiqua" w:eastAsia="Calibri" w:hAnsi="Book Antiqua"/>
          <w:color w:val="000000"/>
        </w:rPr>
        <w:t>i</w:t>
      </w:r>
      <w:r w:rsidR="00000012">
        <w:rPr>
          <w:rFonts w:ascii="Book Antiqua" w:eastAsia="Calibri" w:hAnsi="Book Antiqua"/>
          <w:color w:val="000000"/>
        </w:rPr>
        <w:t xml:space="preserve">rteen </w:t>
      </w:r>
      <w:r w:rsidR="002F2092" w:rsidRPr="00872B32">
        <w:rPr>
          <w:rFonts w:ascii="Book Antiqua" w:eastAsia="Calibri" w:hAnsi="Book Antiqua"/>
          <w:color w:val="000000"/>
        </w:rPr>
        <w:t xml:space="preserve">colon adenoma patients and 219 healthy subjects were also studied. A system biology study on Thioredoxin1/CD30 redox-immune systems (Trx1/CD30), T helper cytokines and polymorphisms of </w:t>
      </w:r>
      <w:r w:rsidR="00675A45" w:rsidRPr="00872B32">
        <w:rPr>
          <w:rFonts w:ascii="Book Antiqua" w:hAnsi="Book Antiqua"/>
          <w:color w:val="000000"/>
        </w:rPr>
        <w:t>killer immunoglobulin-like receptors</w:t>
      </w:r>
      <w:r w:rsidR="002F2092" w:rsidRPr="00872B32">
        <w:rPr>
          <w:rFonts w:ascii="Book Antiqua" w:eastAsia="Calibri" w:hAnsi="Book Antiqua"/>
          <w:color w:val="000000"/>
        </w:rPr>
        <w:t>, Fc</w:t>
      </w:r>
      <w:r w:rsidR="00C844B6" w:rsidRPr="00872B32">
        <w:rPr>
          <w:rFonts w:ascii="Book Antiqua" w:eastAsia="Calibri" w:hAnsi="Book Antiqua"/>
          <w:color w:val="000000"/>
        </w:rPr>
        <w:sym w:font="Symbol" w:char="F067"/>
      </w:r>
      <w:r w:rsidR="002F2092" w:rsidRPr="00872B32">
        <w:rPr>
          <w:rFonts w:ascii="Book Antiqua" w:eastAsia="Calibri" w:hAnsi="Book Antiqua"/>
          <w:color w:val="000000"/>
        </w:rPr>
        <w:t>RIIa-131</w:t>
      </w:r>
      <w:r w:rsidR="002F2092" w:rsidRPr="00872B32">
        <w:rPr>
          <w:rFonts w:ascii="Book Antiqua" w:eastAsia="Calibri" w:hAnsi="Book Antiqua"/>
          <w:i/>
          <w:color w:val="000000"/>
        </w:rPr>
        <w:t xml:space="preserve">H/R </w:t>
      </w:r>
      <w:r w:rsidR="002F2092" w:rsidRPr="00872B32">
        <w:rPr>
          <w:rFonts w:ascii="Book Antiqua" w:eastAsia="Calibri" w:hAnsi="Book Antiqua"/>
          <w:color w:val="000000"/>
        </w:rPr>
        <w:t>and Fc</w:t>
      </w:r>
      <w:r w:rsidR="00C844B6" w:rsidRPr="00872B32">
        <w:rPr>
          <w:rFonts w:ascii="Book Antiqua" w:eastAsia="Calibri" w:hAnsi="Book Antiqua"/>
          <w:color w:val="000000"/>
        </w:rPr>
        <w:sym w:font="Symbol" w:char="F067"/>
      </w:r>
      <w:r w:rsidR="002F2092" w:rsidRPr="00872B32">
        <w:rPr>
          <w:rFonts w:ascii="Book Antiqua" w:eastAsia="Calibri" w:hAnsi="Book Antiqua"/>
          <w:color w:val="000000"/>
        </w:rPr>
        <w:t>RIIIa-158</w:t>
      </w:r>
      <w:r w:rsidR="002F2092" w:rsidRPr="00872B32">
        <w:rPr>
          <w:rFonts w:ascii="Book Antiqua" w:eastAsia="Calibri" w:hAnsi="Book Antiqua"/>
          <w:i/>
          <w:color w:val="000000"/>
        </w:rPr>
        <w:t>V/F</w:t>
      </w:r>
      <w:r w:rsidR="002F2092" w:rsidRPr="00872B32">
        <w:rPr>
          <w:rFonts w:ascii="Book Antiqua" w:eastAsia="Calibri" w:hAnsi="Book Antiqua"/>
          <w:color w:val="000000"/>
        </w:rPr>
        <w:t xml:space="preserve"> was carried out. </w:t>
      </w:r>
      <w:r w:rsidR="000616F2">
        <w:rPr>
          <w:rFonts w:ascii="Book Antiqua" w:eastAsia="Calibri" w:hAnsi="Book Antiqua"/>
          <w:color w:val="000000"/>
        </w:rPr>
        <w:t xml:space="preserve">Enzyme-linked immunosorbent assay </w:t>
      </w:r>
      <w:r w:rsidR="008D09D9">
        <w:rPr>
          <w:rFonts w:ascii="Book Antiqua" w:eastAsia="Calibri" w:hAnsi="Book Antiqua"/>
          <w:color w:val="000000"/>
        </w:rPr>
        <w:t xml:space="preserve">was </w:t>
      </w:r>
      <w:r w:rsidR="002F2092" w:rsidRPr="00872B32">
        <w:rPr>
          <w:rFonts w:ascii="Book Antiqua" w:eastAsia="Calibri" w:hAnsi="Book Antiqua"/>
          <w:color w:val="000000"/>
        </w:rPr>
        <w:t xml:space="preserve">performed </w:t>
      </w:r>
      <w:r w:rsidR="008D09D9">
        <w:rPr>
          <w:rFonts w:ascii="Book Antiqua" w:eastAsia="Calibri" w:hAnsi="Book Antiqua"/>
          <w:color w:val="000000"/>
        </w:rPr>
        <w:t xml:space="preserve">to analyze </w:t>
      </w:r>
      <w:r w:rsidR="002F2092" w:rsidRPr="00872B32">
        <w:rPr>
          <w:rFonts w:ascii="Book Antiqua" w:eastAsia="Calibri" w:hAnsi="Book Antiqua"/>
          <w:color w:val="000000"/>
        </w:rPr>
        <w:t xml:space="preserve">sera. Genetic study was executed by </w:t>
      </w:r>
      <w:r w:rsidR="00D65548" w:rsidRPr="00872B32">
        <w:rPr>
          <w:rFonts w:ascii="Book Antiqua" w:hAnsi="Book Antiqua"/>
          <w:color w:val="000000"/>
        </w:rPr>
        <w:t>polymerase chain reaction sequence-specific primers</w:t>
      </w:r>
      <w:r w:rsidR="002F2092" w:rsidRPr="00872B32">
        <w:rPr>
          <w:rFonts w:ascii="Book Antiqua" w:eastAsia="Calibri" w:hAnsi="Book Antiqua"/>
          <w:color w:val="000000"/>
        </w:rPr>
        <w:t xml:space="preserve"> and </w:t>
      </w:r>
      <w:r w:rsidR="00D65548" w:rsidRPr="00872B32">
        <w:rPr>
          <w:rFonts w:ascii="Book Antiqua" w:hAnsi="Book Antiqua"/>
          <w:color w:val="000000"/>
        </w:rPr>
        <w:t>sequence-based typing</w:t>
      </w:r>
      <w:r w:rsidR="002F2092" w:rsidRPr="00872B32">
        <w:rPr>
          <w:rFonts w:ascii="Book Antiqua" w:eastAsia="Calibri" w:hAnsi="Book Antiqua"/>
          <w:color w:val="000000"/>
        </w:rPr>
        <w:t xml:space="preserve"> method.</w:t>
      </w:r>
      <w:r w:rsidR="0005505A" w:rsidRPr="00872B32">
        <w:rPr>
          <w:rFonts w:ascii="Book Antiqua" w:eastAsia="Calibri" w:hAnsi="Book Antiqua"/>
          <w:color w:val="000000"/>
        </w:rPr>
        <w:t xml:space="preserve"> </w:t>
      </w:r>
      <w:r w:rsidR="002F2092" w:rsidRPr="00872B32">
        <w:rPr>
          <w:rFonts w:ascii="Book Antiqua" w:eastAsia="Calibri" w:hAnsi="Book Antiqua"/>
          <w:color w:val="000000"/>
        </w:rPr>
        <w:t>S</w:t>
      </w:r>
      <w:r w:rsidR="002F2092" w:rsidRPr="00872B32">
        <w:rPr>
          <w:rFonts w:ascii="Book Antiqua" w:eastAsia="Calibri" w:hAnsi="Book Antiqua"/>
          <w:color w:val="000000"/>
          <w:lang w:val="en-GB"/>
        </w:rPr>
        <w:t xml:space="preserve">tatistical analysis was performed by using the </w:t>
      </w:r>
      <w:r w:rsidR="009D79B9" w:rsidRPr="00526FCE">
        <w:rPr>
          <w:rFonts w:ascii="Book Antiqua" w:eastAsia="宋体" w:hAnsi="Book Antiqua"/>
          <w:color w:val="000000"/>
          <w:lang w:val="en-GB" w:eastAsia="zh-CN"/>
        </w:rPr>
        <w:t>“</w:t>
      </w:r>
      <w:r w:rsidR="002F2092" w:rsidRPr="00872B32">
        <w:rPr>
          <w:rFonts w:ascii="Book Antiqua" w:eastAsia="Calibri" w:hAnsi="Book Antiqua"/>
          <w:color w:val="000000"/>
          <w:lang w:val="en-GB"/>
        </w:rPr>
        <w:t>Statgraphics software systems”</w:t>
      </w:r>
      <w:r w:rsidR="00000012">
        <w:rPr>
          <w:rFonts w:ascii="Book Antiqua" w:eastAsia="Calibri" w:hAnsi="Book Antiqua"/>
          <w:color w:val="000000"/>
          <w:lang w:val="en-GB"/>
        </w:rPr>
        <w:t>.</w:t>
      </w:r>
    </w:p>
    <w:p w14:paraId="53921049" w14:textId="77777777" w:rsidR="0005505A" w:rsidRPr="00872B32" w:rsidRDefault="0005505A" w:rsidP="008C54E8">
      <w:pPr>
        <w:snapToGrid w:val="0"/>
        <w:spacing w:line="360" w:lineRule="auto"/>
        <w:jc w:val="both"/>
        <w:rPr>
          <w:rFonts w:ascii="Book Antiqua" w:eastAsia="Calibri" w:hAnsi="Book Antiqua"/>
          <w:color w:val="000000"/>
        </w:rPr>
      </w:pPr>
    </w:p>
    <w:p w14:paraId="2587968A" w14:textId="77777777" w:rsidR="00E25F2D" w:rsidRPr="00872B32" w:rsidRDefault="000956E5" w:rsidP="008C54E8">
      <w:pPr>
        <w:pStyle w:val="a5"/>
        <w:snapToGrid w:val="0"/>
        <w:spacing w:line="360" w:lineRule="auto"/>
        <w:jc w:val="both"/>
        <w:rPr>
          <w:rFonts w:ascii="Book Antiqua" w:hAnsi="Book Antiqua"/>
          <w:b/>
          <w:i/>
          <w:color w:val="000000"/>
        </w:rPr>
      </w:pPr>
      <w:r w:rsidRPr="00872B32">
        <w:rPr>
          <w:rFonts w:ascii="Book Antiqua" w:hAnsi="Book Antiqua"/>
          <w:b/>
          <w:i/>
          <w:color w:val="000000"/>
        </w:rPr>
        <w:t>R</w:t>
      </w:r>
      <w:r w:rsidR="00E25F2D" w:rsidRPr="00872B32">
        <w:rPr>
          <w:rFonts w:ascii="Book Antiqua" w:hAnsi="Book Antiqua"/>
          <w:b/>
          <w:i/>
          <w:color w:val="000000"/>
        </w:rPr>
        <w:t>ESULTS</w:t>
      </w:r>
    </w:p>
    <w:p w14:paraId="68DF92AF" w14:textId="7D97E3A2" w:rsidR="0005505A" w:rsidRPr="00872B32" w:rsidRDefault="003F0AE8"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xml:space="preserve">We found </w:t>
      </w:r>
      <w:r w:rsidR="00E96584" w:rsidRPr="00872B32">
        <w:rPr>
          <w:rFonts w:ascii="Book Antiqua" w:eastAsia="Calibri" w:hAnsi="Book Antiqua"/>
          <w:color w:val="000000"/>
        </w:rPr>
        <w:t xml:space="preserve">a </w:t>
      </w:r>
      <w:r w:rsidRPr="00872B32">
        <w:rPr>
          <w:rFonts w:ascii="Book Antiqua" w:eastAsia="Calibri" w:hAnsi="Book Antiqua"/>
          <w:color w:val="000000"/>
        </w:rPr>
        <w:t>positive increase between Trx1/RTrx1 levels and sCD30 level and increased age. With respect to the gender relationships</w:t>
      </w:r>
      <w:r w:rsidR="00E80BBC" w:rsidRPr="00872B32">
        <w:rPr>
          <w:rFonts w:ascii="Book Antiqua" w:eastAsia="Calibri" w:hAnsi="Book Antiqua"/>
          <w:color w:val="000000"/>
        </w:rPr>
        <w:t>,</w:t>
      </w:r>
      <w:r w:rsidRPr="00872B32">
        <w:rPr>
          <w:rFonts w:ascii="Book Antiqua" w:eastAsia="Calibri" w:hAnsi="Book Antiqua"/>
          <w:color w:val="000000"/>
        </w:rPr>
        <w:t xml:space="preserve"> there </w:t>
      </w:r>
      <w:r w:rsidR="008D09D9">
        <w:rPr>
          <w:rFonts w:ascii="Book Antiqua" w:eastAsia="Calibri" w:hAnsi="Book Antiqua"/>
          <w:color w:val="000000"/>
        </w:rPr>
        <w:t>were</w:t>
      </w:r>
      <w:r w:rsidR="008D09D9" w:rsidRPr="00872B32">
        <w:rPr>
          <w:rFonts w:ascii="Book Antiqua" w:eastAsia="Calibri" w:hAnsi="Book Antiqua"/>
          <w:color w:val="000000"/>
        </w:rPr>
        <w:t xml:space="preserve"> </w:t>
      </w:r>
      <w:r w:rsidRPr="00872B32">
        <w:rPr>
          <w:rFonts w:ascii="Book Antiqua" w:eastAsia="Calibri" w:hAnsi="Book Antiqua"/>
          <w:color w:val="000000"/>
        </w:rPr>
        <w:t>distinct differences</w:t>
      </w:r>
      <w:r w:rsidR="000B3B9B" w:rsidRPr="00872B32">
        <w:rPr>
          <w:rFonts w:ascii="Book Antiqua" w:eastAsia="Calibri" w:hAnsi="Book Antiqua"/>
          <w:color w:val="000000"/>
        </w:rPr>
        <w:t>. F</w:t>
      </w:r>
      <w:r w:rsidRPr="00872B32">
        <w:rPr>
          <w:rFonts w:ascii="Book Antiqua" w:eastAsia="Calibri" w:hAnsi="Book Antiqua"/>
          <w:color w:val="000000"/>
        </w:rPr>
        <w:t>emales show</w:t>
      </w:r>
      <w:r w:rsidR="008D09D9">
        <w:rPr>
          <w:rFonts w:ascii="Book Antiqua" w:eastAsia="Calibri" w:hAnsi="Book Antiqua"/>
          <w:color w:val="000000"/>
        </w:rPr>
        <w:t>ed</w:t>
      </w:r>
      <w:r w:rsidRPr="00872B32">
        <w:rPr>
          <w:rFonts w:ascii="Book Antiqua" w:eastAsia="Calibri" w:hAnsi="Book Antiqua"/>
          <w:color w:val="000000"/>
        </w:rPr>
        <w:t xml:space="preserve"> a p</w:t>
      </w:r>
      <w:r w:rsidR="001867FD" w:rsidRPr="00872B32">
        <w:rPr>
          <w:rFonts w:ascii="Book Antiqua" w:eastAsia="Calibri" w:hAnsi="Book Antiqua"/>
          <w:color w:val="000000"/>
        </w:rPr>
        <w:t xml:space="preserve">rimary relationship between </w:t>
      </w:r>
      <w:r w:rsidR="00675A45">
        <w:rPr>
          <w:rFonts w:ascii="Book Antiqua" w:eastAsia="Calibri" w:hAnsi="Book Antiqua"/>
          <w:color w:val="000000"/>
        </w:rPr>
        <w:t>transforming growth factor beta (</w:t>
      </w:r>
      <w:r w:rsidR="001867FD" w:rsidRPr="00872B32">
        <w:rPr>
          <w:rFonts w:ascii="Book Antiqua" w:eastAsia="Calibri" w:hAnsi="Book Antiqua"/>
          <w:color w:val="000000"/>
        </w:rPr>
        <w:t>TGF</w:t>
      </w:r>
      <w:r w:rsidRPr="00872B32">
        <w:rPr>
          <w:rFonts w:ascii="Book Antiqua" w:eastAsia="Calibri" w:hAnsi="Book Antiqua"/>
          <w:color w:val="000000"/>
        </w:rPr>
        <w:t>β</w:t>
      </w:r>
      <w:r w:rsidR="00675A45">
        <w:rPr>
          <w:rFonts w:ascii="Book Antiqua" w:eastAsia="Calibri" w:hAnsi="Book Antiqua"/>
          <w:color w:val="000000"/>
        </w:rPr>
        <w:t>)</w:t>
      </w:r>
      <w:r w:rsidRPr="00872B32">
        <w:rPr>
          <w:rFonts w:ascii="Book Antiqua" w:eastAsia="Calibri" w:hAnsi="Book Antiqua"/>
          <w:color w:val="000000"/>
        </w:rPr>
        <w:t xml:space="preserve"> with Trx1</w:t>
      </w:r>
      <w:r w:rsidR="000B3B9B" w:rsidRPr="00872B32">
        <w:rPr>
          <w:rFonts w:ascii="Book Antiqua" w:eastAsia="Calibri" w:hAnsi="Book Antiqua"/>
          <w:color w:val="000000"/>
        </w:rPr>
        <w:t>,</w:t>
      </w:r>
      <w:r w:rsidR="00C808A0" w:rsidRPr="00872B32">
        <w:rPr>
          <w:rFonts w:ascii="Book Antiqua" w:eastAsia="Calibri" w:hAnsi="Book Antiqua"/>
          <w:color w:val="000000"/>
        </w:rPr>
        <w:t xml:space="preserve"> </w:t>
      </w:r>
      <w:r w:rsidR="005A7AEF" w:rsidRPr="00872B32">
        <w:rPr>
          <w:rFonts w:ascii="Book Antiqua" w:eastAsia="Calibri" w:hAnsi="Book Antiqua"/>
          <w:color w:val="000000"/>
        </w:rPr>
        <w:t>wh</w:t>
      </w:r>
      <w:r w:rsidR="005A7AEF">
        <w:rPr>
          <w:rFonts w:ascii="Book Antiqua" w:eastAsia="Calibri" w:hAnsi="Book Antiqua"/>
          <w:color w:val="000000"/>
        </w:rPr>
        <w:t>ereas</w:t>
      </w:r>
      <w:r w:rsidR="000616F2"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males </w:t>
      </w:r>
      <w:r w:rsidR="008D09D9">
        <w:rPr>
          <w:rFonts w:ascii="Book Antiqua" w:eastAsia="Calibri" w:hAnsi="Book Antiqua"/>
          <w:color w:val="000000"/>
        </w:rPr>
        <w:t xml:space="preserve">had one with </w:t>
      </w:r>
      <w:r w:rsidR="001867FD" w:rsidRPr="00872B32">
        <w:rPr>
          <w:rFonts w:ascii="Book Antiqua" w:eastAsia="Calibri" w:hAnsi="Book Antiqua"/>
          <w:color w:val="000000"/>
        </w:rPr>
        <w:t>TGF</w:t>
      </w:r>
      <w:r w:rsidRPr="00872B32">
        <w:rPr>
          <w:rFonts w:ascii="Book Antiqua" w:eastAsia="Calibri" w:hAnsi="Book Antiqua"/>
          <w:color w:val="000000"/>
        </w:rPr>
        <w:t>β and RTrx1. Trx1/CD30 controls the redox immune ho</w:t>
      </w:r>
      <w:r w:rsidR="000B3B9B" w:rsidRPr="00872B32">
        <w:rPr>
          <w:rFonts w:ascii="Book Antiqua" w:eastAsia="Calibri" w:hAnsi="Book Antiqua"/>
          <w:color w:val="000000"/>
        </w:rPr>
        <w:t>meostasis</w:t>
      </w:r>
      <w:r w:rsidR="008D09D9">
        <w:rPr>
          <w:rFonts w:ascii="Book Antiqua" w:eastAsia="Calibri" w:hAnsi="Book Antiqua"/>
          <w:color w:val="000000"/>
        </w:rPr>
        <w:t>,</w:t>
      </w:r>
      <w:r w:rsidR="00C808A0" w:rsidRPr="00872B32">
        <w:rPr>
          <w:rFonts w:ascii="Book Antiqua" w:eastAsia="Calibri" w:hAnsi="Book Antiqua"/>
          <w:color w:val="000000"/>
        </w:rPr>
        <w:t xml:space="preserve"> </w:t>
      </w:r>
      <w:r w:rsidRPr="00872B32">
        <w:rPr>
          <w:rFonts w:ascii="Book Antiqua" w:eastAsia="Calibri" w:hAnsi="Book Antiqua"/>
          <w:color w:val="000000"/>
        </w:rPr>
        <w:t>and an imbalance in the relationship between the Trx1/RTrx1 and sCD30 levels is linked to the</w:t>
      </w:r>
      <w:r w:rsidR="000B3B9B" w:rsidRPr="00872B32">
        <w:rPr>
          <w:rFonts w:ascii="Book Antiqua" w:eastAsia="Calibri" w:hAnsi="Book Antiqua"/>
          <w:color w:val="000000"/>
        </w:rPr>
        <w:t xml:space="preserve"> onset and progression of tumor. </w:t>
      </w:r>
      <w:r w:rsidR="00E96584" w:rsidRPr="00872B32">
        <w:rPr>
          <w:rFonts w:ascii="Book Antiqua" w:eastAsia="Calibri" w:hAnsi="Book Antiqua"/>
          <w:color w:val="000000"/>
        </w:rPr>
        <w:t xml:space="preserve">This event happens through </w:t>
      </w:r>
      <w:r w:rsidR="008642C8" w:rsidRPr="00872B32">
        <w:rPr>
          <w:rFonts w:ascii="Book Antiqua" w:eastAsia="Calibri" w:hAnsi="Book Antiqua"/>
          <w:color w:val="000000"/>
        </w:rPr>
        <w:t>different gender-specific cytokine pathways</w:t>
      </w:r>
      <w:r w:rsidR="00E96584"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Our study </w:t>
      </w:r>
      <w:r w:rsidR="00A5289B" w:rsidRPr="00872B32">
        <w:rPr>
          <w:rFonts w:ascii="Book Antiqua" w:eastAsia="Calibri" w:hAnsi="Book Antiqua"/>
          <w:color w:val="000000"/>
        </w:rPr>
        <w:t>demonstrated that</w:t>
      </w:r>
      <w:r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the serum levels of Trx1/RTrx1, </w:t>
      </w:r>
      <w:r w:rsidR="001867FD" w:rsidRPr="00872B32">
        <w:rPr>
          <w:rFonts w:ascii="Book Antiqua" w:eastAsia="Calibri" w:hAnsi="Book Antiqua"/>
          <w:color w:val="000000"/>
        </w:rPr>
        <w:t>TGFβ/</w:t>
      </w:r>
      <w:r w:rsidR="00675A45">
        <w:rPr>
          <w:rFonts w:ascii="Book Antiqua" w:eastAsia="Calibri" w:hAnsi="Book Antiqua"/>
          <w:color w:val="000000"/>
        </w:rPr>
        <w:t>interleukin (IL)</w:t>
      </w:r>
      <w:r w:rsidR="00675A45" w:rsidRPr="00872B32">
        <w:rPr>
          <w:rFonts w:ascii="Book Antiqua" w:eastAsia="Calibri" w:hAnsi="Book Antiqua"/>
          <w:color w:val="000000"/>
        </w:rPr>
        <w:t xml:space="preserve">6 </w:t>
      </w:r>
      <w:r w:rsidR="001867FD" w:rsidRPr="00872B32">
        <w:rPr>
          <w:rFonts w:ascii="Book Antiqua" w:eastAsia="Calibri" w:hAnsi="Book Antiqua"/>
          <w:color w:val="000000"/>
        </w:rPr>
        <w:t>and TGF</w:t>
      </w:r>
      <w:r w:rsidRPr="00872B32">
        <w:rPr>
          <w:rFonts w:ascii="Book Antiqua" w:eastAsia="Calibri" w:hAnsi="Book Antiqua"/>
          <w:color w:val="000000"/>
        </w:rPr>
        <w:t>β/IL4 combinations and the sCD30</w:t>
      </w:r>
      <w:r w:rsidR="00E96584" w:rsidRPr="00872B32">
        <w:rPr>
          <w:rFonts w:ascii="Book Antiqua" w:eastAsia="Calibri" w:hAnsi="Book Antiqua"/>
          <w:color w:val="000000"/>
        </w:rPr>
        <w:t>,</w:t>
      </w:r>
      <w:r w:rsidRPr="00872B32">
        <w:rPr>
          <w:rFonts w:ascii="Book Antiqua" w:eastAsia="Calibri" w:hAnsi="Book Antiqua"/>
          <w:color w:val="000000"/>
        </w:rPr>
        <w:t xml:space="preserve"> IFNγ and IL2 </w:t>
      </w:r>
      <w:r w:rsidRPr="00872B32">
        <w:rPr>
          <w:rFonts w:ascii="Book Antiqua" w:eastAsia="Calibri" w:hAnsi="Book Antiqua"/>
          <w:color w:val="000000"/>
        </w:rPr>
        <w:lastRenderedPageBreak/>
        <w:t xml:space="preserve">combination </w:t>
      </w:r>
      <w:r w:rsidR="000B3B9B" w:rsidRPr="00872B32">
        <w:rPr>
          <w:rFonts w:ascii="Book Antiqua" w:eastAsia="Calibri" w:hAnsi="Book Antiqua"/>
          <w:color w:val="000000"/>
        </w:rPr>
        <w:t xml:space="preserve">constitute </w:t>
      </w:r>
      <w:r w:rsidRPr="00872B32">
        <w:rPr>
          <w:rFonts w:ascii="Book Antiqua" w:eastAsia="Calibri" w:hAnsi="Book Antiqua"/>
          <w:color w:val="000000"/>
        </w:rPr>
        <w:t>a predictive gender specific biomarker system</w:t>
      </w:r>
      <w:r w:rsidR="000B3B9B" w:rsidRPr="00872B32">
        <w:rPr>
          <w:rFonts w:ascii="Book Antiqua" w:eastAsia="Calibri" w:hAnsi="Book Antiqua"/>
          <w:color w:val="000000"/>
        </w:rPr>
        <w:t xml:space="preserve">. This is relevant </w:t>
      </w:r>
      <w:r w:rsidRPr="00872B32">
        <w:rPr>
          <w:rFonts w:ascii="Book Antiqua" w:eastAsia="Calibri" w:hAnsi="Book Antiqua"/>
          <w:color w:val="000000"/>
        </w:rPr>
        <w:t xml:space="preserve">for clinical screening to detect the risk of the potential development or progression of a tumor. </w:t>
      </w:r>
    </w:p>
    <w:p w14:paraId="060C3A85" w14:textId="77777777" w:rsidR="00000012" w:rsidRDefault="00000012" w:rsidP="008C54E8">
      <w:pPr>
        <w:pStyle w:val="a5"/>
        <w:snapToGrid w:val="0"/>
        <w:spacing w:line="360" w:lineRule="auto"/>
        <w:jc w:val="both"/>
        <w:rPr>
          <w:rFonts w:ascii="Book Antiqua" w:hAnsi="Book Antiqua"/>
          <w:b/>
          <w:i/>
          <w:color w:val="000000"/>
        </w:rPr>
      </w:pPr>
    </w:p>
    <w:p w14:paraId="640B250E" w14:textId="77777777" w:rsidR="000956E5" w:rsidRPr="00872B32" w:rsidRDefault="000956E5" w:rsidP="008C54E8">
      <w:pPr>
        <w:pStyle w:val="a5"/>
        <w:snapToGrid w:val="0"/>
        <w:spacing w:line="360" w:lineRule="auto"/>
        <w:jc w:val="both"/>
        <w:rPr>
          <w:rFonts w:ascii="Book Antiqua" w:hAnsi="Book Antiqua"/>
          <w:b/>
          <w:i/>
          <w:color w:val="000000"/>
        </w:rPr>
      </w:pPr>
      <w:r w:rsidRPr="00872B32">
        <w:rPr>
          <w:rFonts w:ascii="Book Antiqua" w:hAnsi="Book Antiqua"/>
          <w:b/>
          <w:i/>
          <w:color w:val="000000"/>
        </w:rPr>
        <w:t>C</w:t>
      </w:r>
      <w:r w:rsidR="00E25F2D" w:rsidRPr="00872B32">
        <w:rPr>
          <w:rFonts w:ascii="Book Antiqua" w:hAnsi="Book Antiqua"/>
          <w:b/>
          <w:i/>
          <w:color w:val="000000"/>
        </w:rPr>
        <w:t>ONCLUSION</w:t>
      </w:r>
    </w:p>
    <w:p w14:paraId="1A996FFE" w14:textId="1D690BE0" w:rsidR="00165A54" w:rsidRPr="00872B32" w:rsidRDefault="002568B3" w:rsidP="008C54E8">
      <w:pPr>
        <w:pStyle w:val="a5"/>
        <w:snapToGrid w:val="0"/>
        <w:spacing w:line="360" w:lineRule="auto"/>
        <w:jc w:val="both"/>
        <w:rPr>
          <w:rFonts w:ascii="Book Antiqua" w:hAnsi="Book Antiqua"/>
          <w:color w:val="000000"/>
        </w:rPr>
      </w:pPr>
      <w:r w:rsidRPr="00872B32">
        <w:rPr>
          <w:rFonts w:ascii="Book Antiqua" w:hAnsi="Book Antiqua"/>
          <w:color w:val="000000"/>
        </w:rPr>
        <w:t>Oxidative stress on Trx1/CD30 is a trigger of cancer disease</w:t>
      </w:r>
      <w:r w:rsidR="00675A45">
        <w:rPr>
          <w:rFonts w:ascii="Book Antiqua" w:hAnsi="Book Antiqua"/>
          <w:color w:val="000000"/>
        </w:rPr>
        <w:t>,</w:t>
      </w:r>
      <w:r w:rsidRPr="00872B32">
        <w:rPr>
          <w:rFonts w:ascii="Book Antiqua" w:hAnsi="Book Antiqua"/>
          <w:color w:val="000000"/>
        </w:rPr>
        <w:t xml:space="preserve"> and the selected oxidation and immune products </w:t>
      </w:r>
      <w:r w:rsidR="004919EE" w:rsidRPr="00872B32">
        <w:rPr>
          <w:rFonts w:ascii="Book Antiqua" w:hAnsi="Book Antiqua"/>
          <w:color w:val="000000"/>
        </w:rPr>
        <w:t>are</w:t>
      </w:r>
      <w:r w:rsidRPr="00872B32">
        <w:rPr>
          <w:rFonts w:ascii="Book Antiqua" w:hAnsi="Book Antiqua"/>
          <w:color w:val="000000"/>
        </w:rPr>
        <w:t xml:space="preserve"> a biomarker system </w:t>
      </w:r>
      <w:r w:rsidR="00675A45">
        <w:rPr>
          <w:rFonts w:ascii="Book Antiqua" w:hAnsi="Book Antiqua"/>
          <w:color w:val="000000"/>
        </w:rPr>
        <w:t>for</w:t>
      </w:r>
      <w:r w:rsidR="00675A45" w:rsidRPr="00872B32">
        <w:rPr>
          <w:rFonts w:ascii="Book Antiqua" w:hAnsi="Book Antiqua"/>
          <w:color w:val="000000"/>
        </w:rPr>
        <w:t xml:space="preserve"> </w:t>
      </w:r>
      <w:r w:rsidRPr="00872B32">
        <w:rPr>
          <w:rFonts w:ascii="Book Antiqua" w:hAnsi="Book Antiqua"/>
          <w:color w:val="000000"/>
        </w:rPr>
        <w:t>aging and cancer.</w:t>
      </w:r>
    </w:p>
    <w:p w14:paraId="0B6A17F4" w14:textId="77777777" w:rsidR="008642C8" w:rsidRPr="00872B32" w:rsidRDefault="008642C8" w:rsidP="008C54E8">
      <w:pPr>
        <w:pStyle w:val="a5"/>
        <w:snapToGrid w:val="0"/>
        <w:spacing w:line="360" w:lineRule="auto"/>
        <w:jc w:val="both"/>
        <w:rPr>
          <w:rFonts w:ascii="Book Antiqua" w:hAnsi="Book Antiqua"/>
          <w:color w:val="000000"/>
        </w:rPr>
      </w:pPr>
    </w:p>
    <w:p w14:paraId="0025935B" w14:textId="77777777" w:rsidR="00706381" w:rsidRPr="00526FCE" w:rsidRDefault="000956E5" w:rsidP="008C54E8">
      <w:pPr>
        <w:snapToGrid w:val="0"/>
        <w:spacing w:line="360" w:lineRule="auto"/>
        <w:jc w:val="both"/>
        <w:rPr>
          <w:rFonts w:ascii="Book Antiqua" w:eastAsia="宋体" w:hAnsi="Book Antiqua"/>
          <w:color w:val="000000"/>
          <w:lang w:eastAsia="zh-CN"/>
        </w:rPr>
      </w:pPr>
      <w:r w:rsidRPr="00872B32">
        <w:rPr>
          <w:rFonts w:ascii="Book Antiqua" w:hAnsi="Book Antiqua"/>
          <w:b/>
          <w:color w:val="000000"/>
        </w:rPr>
        <w:t>Key words</w:t>
      </w:r>
      <w:r w:rsidRPr="00095BB5">
        <w:rPr>
          <w:rFonts w:ascii="Book Antiqua" w:hAnsi="Book Antiqua"/>
          <w:b/>
          <w:color w:val="000000"/>
        </w:rPr>
        <w:t>:</w:t>
      </w:r>
      <w:r w:rsidRPr="00095BB5">
        <w:rPr>
          <w:rFonts w:ascii="Book Antiqua" w:hAnsi="Book Antiqua"/>
          <w:color w:val="000000"/>
        </w:rPr>
        <w:t xml:space="preserve"> </w:t>
      </w:r>
      <w:r w:rsidR="00D65548" w:rsidRPr="00872B32">
        <w:rPr>
          <w:rFonts w:ascii="Book Antiqua" w:hAnsi="Book Antiqua"/>
          <w:color w:val="000000"/>
        </w:rPr>
        <w:t xml:space="preserve">Aging </w:t>
      </w:r>
      <w:r w:rsidR="000D1EFC" w:rsidRPr="00872B32">
        <w:rPr>
          <w:rFonts w:ascii="Book Antiqua" w:hAnsi="Book Antiqua"/>
          <w:color w:val="000000"/>
        </w:rPr>
        <w:t>and cancer biomarker</w:t>
      </w:r>
      <w:r w:rsidR="00D65548" w:rsidRPr="00526FCE">
        <w:rPr>
          <w:rFonts w:ascii="Book Antiqua" w:eastAsia="宋体" w:hAnsi="Book Antiqua"/>
          <w:color w:val="000000"/>
          <w:lang w:eastAsia="zh-CN"/>
        </w:rPr>
        <w:t>;</w:t>
      </w:r>
      <w:r w:rsidR="000D1EFC" w:rsidRPr="00872B32">
        <w:rPr>
          <w:rFonts w:ascii="Book Antiqua" w:hAnsi="Book Antiqua"/>
          <w:color w:val="000000"/>
        </w:rPr>
        <w:t xml:space="preserve"> </w:t>
      </w:r>
      <w:r w:rsidR="00D65548" w:rsidRPr="00872B32">
        <w:rPr>
          <w:rFonts w:ascii="Book Antiqua" w:hAnsi="Book Antiqua"/>
          <w:color w:val="000000"/>
        </w:rPr>
        <w:t xml:space="preserve">Cancer </w:t>
      </w:r>
      <w:r w:rsidRPr="00872B32">
        <w:rPr>
          <w:rFonts w:ascii="Book Antiqua" w:hAnsi="Book Antiqua"/>
          <w:color w:val="000000"/>
        </w:rPr>
        <w:t>personalized treatments</w:t>
      </w:r>
      <w:r w:rsidR="00D65548" w:rsidRPr="00526FCE">
        <w:rPr>
          <w:rFonts w:ascii="Book Antiqua" w:eastAsia="宋体" w:hAnsi="Book Antiqua"/>
          <w:color w:val="000000"/>
          <w:lang w:eastAsia="zh-CN"/>
        </w:rPr>
        <w:t>;</w:t>
      </w:r>
      <w:r w:rsidRPr="00872B32">
        <w:rPr>
          <w:rFonts w:ascii="Book Antiqua" w:hAnsi="Book Antiqua"/>
          <w:color w:val="000000"/>
        </w:rPr>
        <w:t xml:space="preserve"> </w:t>
      </w:r>
      <w:r w:rsidR="00D65548" w:rsidRPr="00872B32">
        <w:rPr>
          <w:rFonts w:ascii="Book Antiqua" w:hAnsi="Book Antiqua"/>
          <w:color w:val="000000"/>
        </w:rPr>
        <w:t xml:space="preserve">Oxidation </w:t>
      </w:r>
      <w:r w:rsidR="001F4124" w:rsidRPr="00872B32">
        <w:rPr>
          <w:rFonts w:ascii="Book Antiqua" w:hAnsi="Book Antiqua"/>
          <w:color w:val="000000"/>
        </w:rPr>
        <w:t xml:space="preserve">and immune </w:t>
      </w:r>
      <w:r w:rsidR="00AF15FC" w:rsidRPr="00872B32">
        <w:rPr>
          <w:rFonts w:ascii="Book Antiqua" w:hAnsi="Book Antiqua"/>
          <w:color w:val="000000"/>
        </w:rPr>
        <w:t>biomarkers</w:t>
      </w:r>
      <w:r w:rsidR="00D65548" w:rsidRPr="00526FCE">
        <w:rPr>
          <w:rFonts w:ascii="Book Antiqua" w:eastAsia="宋体" w:hAnsi="Book Antiqua"/>
          <w:color w:val="000000"/>
          <w:lang w:eastAsia="zh-CN"/>
        </w:rPr>
        <w:t>;</w:t>
      </w:r>
      <w:r w:rsidR="00AF15FC" w:rsidRPr="00872B32">
        <w:rPr>
          <w:rFonts w:ascii="Book Antiqua" w:hAnsi="Book Antiqua"/>
          <w:color w:val="000000"/>
        </w:rPr>
        <w:t xml:space="preserve"> </w:t>
      </w:r>
      <w:r w:rsidRPr="00872B32">
        <w:rPr>
          <w:rFonts w:ascii="Book Antiqua" w:hAnsi="Book Antiqua"/>
          <w:color w:val="000000"/>
        </w:rPr>
        <w:t>Trx1/CD30 target</w:t>
      </w:r>
      <w:r w:rsidR="00D65548" w:rsidRPr="00526FCE">
        <w:rPr>
          <w:rFonts w:ascii="Book Antiqua" w:eastAsia="宋体" w:hAnsi="Book Antiqua"/>
          <w:color w:val="000000"/>
          <w:lang w:eastAsia="zh-CN"/>
        </w:rPr>
        <w:t>;</w:t>
      </w:r>
      <w:r w:rsidRPr="00872B32">
        <w:rPr>
          <w:rFonts w:ascii="Book Antiqua" w:hAnsi="Book Antiqua"/>
          <w:color w:val="000000"/>
        </w:rPr>
        <w:t xml:space="preserve"> </w:t>
      </w:r>
      <w:r w:rsidRPr="00872B32">
        <w:rPr>
          <w:rFonts w:ascii="Book Antiqua" w:hAnsi="Book Antiqua"/>
          <w:bCs/>
          <w:color w:val="000000"/>
        </w:rPr>
        <w:t>KIRs and Fc</w:t>
      </w:r>
      <w:r w:rsidR="00E7643C" w:rsidRPr="00872B32">
        <w:rPr>
          <w:rFonts w:ascii="Book Antiqua" w:hAnsi="Book Antiqua"/>
          <w:bCs/>
          <w:color w:val="000000"/>
        </w:rPr>
        <w:sym w:font="Symbol" w:char="F067"/>
      </w:r>
      <w:r w:rsidRPr="00872B32">
        <w:rPr>
          <w:rFonts w:ascii="Book Antiqua" w:hAnsi="Book Antiqua"/>
          <w:bCs/>
          <w:color w:val="000000"/>
        </w:rPr>
        <w:t>R polymorphisms</w:t>
      </w:r>
      <w:r w:rsidR="00D65548" w:rsidRPr="00526FCE">
        <w:rPr>
          <w:rFonts w:ascii="Book Antiqua" w:eastAsia="宋体" w:hAnsi="Book Antiqua"/>
          <w:bCs/>
          <w:color w:val="000000"/>
          <w:lang w:eastAsia="zh-CN"/>
        </w:rPr>
        <w:t>;</w:t>
      </w:r>
      <w:r w:rsidRPr="00872B32">
        <w:rPr>
          <w:rFonts w:ascii="Book Antiqua" w:hAnsi="Book Antiqua"/>
          <w:bCs/>
          <w:color w:val="000000"/>
        </w:rPr>
        <w:t xml:space="preserve"> Th cytokines</w:t>
      </w:r>
      <w:r w:rsidR="00D65548" w:rsidRPr="00526FCE">
        <w:rPr>
          <w:rFonts w:ascii="Book Antiqua" w:eastAsia="宋体" w:hAnsi="Book Antiqua"/>
          <w:bCs/>
          <w:color w:val="000000"/>
          <w:lang w:eastAsia="zh-CN"/>
        </w:rPr>
        <w:t>;</w:t>
      </w:r>
      <w:r w:rsidRPr="00872B32">
        <w:rPr>
          <w:rFonts w:ascii="Book Antiqua" w:hAnsi="Book Antiqua"/>
          <w:bCs/>
          <w:color w:val="000000"/>
        </w:rPr>
        <w:t xml:space="preserve"> </w:t>
      </w:r>
      <w:r w:rsidR="00D65548" w:rsidRPr="00872B32">
        <w:rPr>
          <w:rFonts w:ascii="Book Antiqua" w:hAnsi="Book Antiqua"/>
          <w:color w:val="000000"/>
        </w:rPr>
        <w:t xml:space="preserve">Aging </w:t>
      </w:r>
      <w:r w:rsidR="0056223C" w:rsidRPr="00872B32">
        <w:rPr>
          <w:rFonts w:ascii="Book Antiqua" w:hAnsi="Book Antiqua"/>
          <w:color w:val="000000"/>
        </w:rPr>
        <w:t>and disease</w:t>
      </w:r>
      <w:r w:rsidR="00D65548" w:rsidRPr="00526FCE">
        <w:rPr>
          <w:rFonts w:ascii="Book Antiqua" w:eastAsia="宋体" w:hAnsi="Book Antiqua"/>
          <w:color w:val="000000"/>
          <w:lang w:eastAsia="zh-CN"/>
        </w:rPr>
        <w:t>;</w:t>
      </w:r>
      <w:r w:rsidR="0056223C" w:rsidRPr="00872B32">
        <w:rPr>
          <w:rFonts w:ascii="Book Antiqua" w:hAnsi="Book Antiqua"/>
          <w:color w:val="000000"/>
        </w:rPr>
        <w:t xml:space="preserve"> </w:t>
      </w:r>
      <w:r w:rsidR="00D65548" w:rsidRPr="00872B32">
        <w:rPr>
          <w:rFonts w:ascii="Book Antiqua" w:hAnsi="Book Antiqua"/>
          <w:color w:val="000000"/>
        </w:rPr>
        <w:t>Cancer</w:t>
      </w:r>
      <w:r w:rsidR="00221872" w:rsidRPr="00872B32">
        <w:rPr>
          <w:rFonts w:ascii="Book Antiqua" w:hAnsi="Book Antiqua"/>
          <w:color w:val="000000"/>
        </w:rPr>
        <w:t>-related mechanisms</w:t>
      </w:r>
    </w:p>
    <w:p w14:paraId="3C92C7E0" w14:textId="77777777" w:rsidR="0005505A" w:rsidRPr="00526FCE" w:rsidRDefault="0005505A" w:rsidP="008C54E8">
      <w:pPr>
        <w:snapToGrid w:val="0"/>
        <w:spacing w:line="360" w:lineRule="auto"/>
        <w:jc w:val="both"/>
        <w:rPr>
          <w:rFonts w:ascii="Book Antiqua" w:eastAsia="宋体" w:hAnsi="Book Antiqua"/>
          <w:color w:val="000000"/>
          <w:lang w:eastAsia="zh-CN"/>
        </w:rPr>
      </w:pPr>
    </w:p>
    <w:p w14:paraId="660AB098" w14:textId="77777777" w:rsidR="00D65548" w:rsidRPr="00872B32" w:rsidRDefault="00D65548" w:rsidP="008C54E8">
      <w:pPr>
        <w:snapToGrid w:val="0"/>
        <w:spacing w:line="360" w:lineRule="auto"/>
        <w:jc w:val="both"/>
        <w:rPr>
          <w:rFonts w:ascii="Book Antiqua" w:hAnsi="Book Antiqua" w:cs="Arial"/>
          <w:color w:val="000000"/>
        </w:rPr>
      </w:pPr>
      <w:r w:rsidRPr="00872B32">
        <w:rPr>
          <w:rFonts w:ascii="Book Antiqua" w:hAnsi="Book Antiqua"/>
          <w:b/>
          <w:color w:val="000000"/>
        </w:rPr>
        <w:t xml:space="preserve">© </w:t>
      </w:r>
      <w:r w:rsidRPr="00872B32">
        <w:rPr>
          <w:rFonts w:ascii="Book Antiqua" w:hAnsi="Book Antiqua" w:cs="Arial"/>
          <w:b/>
          <w:color w:val="000000"/>
        </w:rPr>
        <w:t xml:space="preserve">The Author(s) </w:t>
      </w:r>
      <w:r w:rsidR="00601290" w:rsidRPr="00B50EED">
        <w:rPr>
          <w:rFonts w:ascii="Book Antiqua" w:eastAsia="宋体" w:hAnsi="Book Antiqua" w:cs="Arial" w:hint="eastAsia"/>
          <w:b/>
          <w:color w:val="000000"/>
          <w:lang w:eastAsia="zh-CN"/>
        </w:rPr>
        <w:t>2019</w:t>
      </w:r>
      <w:r w:rsidRPr="00872B32">
        <w:rPr>
          <w:rFonts w:ascii="Book Antiqua" w:hAnsi="Book Antiqua" w:cs="Arial"/>
          <w:b/>
          <w:color w:val="000000"/>
        </w:rPr>
        <w:t>.</w:t>
      </w:r>
      <w:r w:rsidRPr="00872B32">
        <w:rPr>
          <w:rFonts w:ascii="Book Antiqua" w:hAnsi="Book Antiqua" w:cs="Arial"/>
          <w:color w:val="000000"/>
        </w:rPr>
        <w:t xml:space="preserve"> Published by Baishideng Publishing Group Inc. All rights reserved.</w:t>
      </w:r>
    </w:p>
    <w:p w14:paraId="4325A5BD" w14:textId="77777777" w:rsidR="00D65548" w:rsidRPr="00526FCE" w:rsidRDefault="00D65548" w:rsidP="008C54E8">
      <w:pPr>
        <w:snapToGrid w:val="0"/>
        <w:spacing w:line="360" w:lineRule="auto"/>
        <w:jc w:val="both"/>
        <w:rPr>
          <w:rFonts w:ascii="Book Antiqua" w:eastAsia="宋体" w:hAnsi="Book Antiqua"/>
          <w:color w:val="000000"/>
          <w:lang w:eastAsia="zh-CN"/>
        </w:rPr>
      </w:pPr>
    </w:p>
    <w:p w14:paraId="16541A6E" w14:textId="4B451B76" w:rsidR="000263BF" w:rsidRPr="00526FCE" w:rsidRDefault="007179EE" w:rsidP="008C54E8">
      <w:pPr>
        <w:snapToGrid w:val="0"/>
        <w:spacing w:line="360" w:lineRule="auto"/>
        <w:jc w:val="both"/>
        <w:rPr>
          <w:rFonts w:ascii="Book Antiqua" w:eastAsia="宋体" w:hAnsi="Book Antiqua"/>
          <w:color w:val="000000"/>
          <w:lang w:eastAsia="zh-CN"/>
        </w:rPr>
      </w:pPr>
      <w:r w:rsidRPr="00872B32">
        <w:rPr>
          <w:rFonts w:ascii="Book Antiqua" w:hAnsi="Book Antiqua"/>
          <w:color w:val="000000"/>
        </w:rPr>
        <w:t xml:space="preserve"> </w:t>
      </w:r>
      <w:r w:rsidRPr="00872B32">
        <w:rPr>
          <w:rFonts w:ascii="Book Antiqua" w:hAnsi="Book Antiqua"/>
          <w:b/>
          <w:color w:val="000000"/>
        </w:rPr>
        <w:t xml:space="preserve">Core </w:t>
      </w:r>
      <w:r w:rsidR="00D65548" w:rsidRPr="00872B32">
        <w:rPr>
          <w:rFonts w:ascii="Book Antiqua" w:hAnsi="Book Antiqua"/>
          <w:b/>
          <w:color w:val="000000"/>
        </w:rPr>
        <w:t>t</w:t>
      </w:r>
      <w:r w:rsidRPr="00872B32">
        <w:rPr>
          <w:rFonts w:ascii="Book Antiqua" w:hAnsi="Book Antiqua"/>
          <w:b/>
          <w:color w:val="000000"/>
        </w:rPr>
        <w:t>ip:</w:t>
      </w:r>
      <w:r w:rsidRPr="00872B32">
        <w:rPr>
          <w:rFonts w:ascii="Book Antiqua" w:hAnsi="Book Antiqua"/>
          <w:color w:val="000000"/>
        </w:rPr>
        <w:t xml:space="preserve"> </w:t>
      </w:r>
      <w:r w:rsidR="006C4F8B" w:rsidRPr="00872B32">
        <w:rPr>
          <w:rFonts w:ascii="Book Antiqua" w:hAnsi="Book Antiqua"/>
          <w:color w:val="000000"/>
        </w:rPr>
        <w:t xml:space="preserve">Identifying biomarkers </w:t>
      </w:r>
      <w:r w:rsidR="008F5740">
        <w:rPr>
          <w:rFonts w:ascii="Book Antiqua" w:hAnsi="Book Antiqua"/>
          <w:color w:val="000000"/>
        </w:rPr>
        <w:t>for</w:t>
      </w:r>
      <w:r w:rsidR="006C4F8B" w:rsidRPr="00872B32">
        <w:rPr>
          <w:rFonts w:ascii="Book Antiqua" w:hAnsi="Book Antiqua"/>
          <w:color w:val="000000"/>
        </w:rPr>
        <w:t xml:space="preserve"> the risk of develop</w:t>
      </w:r>
      <w:r w:rsidR="00675A45">
        <w:rPr>
          <w:rFonts w:ascii="Book Antiqua" w:hAnsi="Book Antiqua"/>
          <w:color w:val="000000"/>
        </w:rPr>
        <w:t>ing</w:t>
      </w:r>
      <w:r w:rsidR="006C4F8B" w:rsidRPr="00872B32">
        <w:rPr>
          <w:rFonts w:ascii="Book Antiqua" w:hAnsi="Book Antiqua"/>
          <w:color w:val="000000"/>
        </w:rPr>
        <w:t xml:space="preserve"> degenerative processes linked to aging</w:t>
      </w:r>
      <w:r w:rsidR="006E1A0E" w:rsidRPr="00872B32">
        <w:rPr>
          <w:rFonts w:ascii="Book Antiqua" w:hAnsi="Book Antiqua"/>
          <w:color w:val="000000"/>
        </w:rPr>
        <w:t xml:space="preserve"> and </w:t>
      </w:r>
      <w:r w:rsidR="00D65548" w:rsidRPr="00872B32">
        <w:rPr>
          <w:rFonts w:ascii="Book Antiqua" w:eastAsia="Calibri" w:hAnsi="Book Antiqua"/>
          <w:color w:val="000000"/>
        </w:rPr>
        <w:t xml:space="preserve">colorectal cancer </w:t>
      </w:r>
      <w:r w:rsidR="006C4F8B" w:rsidRPr="00872B32">
        <w:rPr>
          <w:rFonts w:ascii="Book Antiqua" w:hAnsi="Book Antiqua"/>
          <w:color w:val="000000"/>
        </w:rPr>
        <w:t>onset could improve clinical strategies. The aim was to establish if Trx</w:t>
      </w:r>
      <w:r w:rsidR="008F7A29" w:rsidRPr="00872B32">
        <w:rPr>
          <w:rFonts w:ascii="Book Antiqua" w:hAnsi="Book Antiqua"/>
          <w:color w:val="000000"/>
        </w:rPr>
        <w:t>1</w:t>
      </w:r>
      <w:r w:rsidR="006C4F8B" w:rsidRPr="00872B32">
        <w:rPr>
          <w:rFonts w:ascii="Book Antiqua" w:hAnsi="Book Antiqua"/>
          <w:color w:val="000000"/>
        </w:rPr>
        <w:t xml:space="preserve"> and CD30 as dual target</w:t>
      </w:r>
      <w:r w:rsidR="00675A45">
        <w:rPr>
          <w:rFonts w:ascii="Book Antiqua" w:hAnsi="Book Antiqua"/>
          <w:color w:val="000000"/>
        </w:rPr>
        <w:t>s</w:t>
      </w:r>
      <w:r w:rsidR="006C4F8B" w:rsidRPr="00872B32">
        <w:rPr>
          <w:rFonts w:ascii="Book Antiqua" w:hAnsi="Book Antiqua"/>
          <w:color w:val="000000"/>
        </w:rPr>
        <w:t xml:space="preserve">, combined with cytokines and polymorphisms of </w:t>
      </w:r>
      <w:r w:rsidR="00675A45" w:rsidRPr="00872B32">
        <w:rPr>
          <w:rFonts w:ascii="Book Antiqua" w:hAnsi="Book Antiqua"/>
          <w:color w:val="000000"/>
        </w:rPr>
        <w:t>killer immunoglobulin-like receptors</w:t>
      </w:r>
      <w:r w:rsidR="006C4F8B" w:rsidRPr="00872B32">
        <w:rPr>
          <w:rFonts w:ascii="Book Antiqua" w:hAnsi="Book Antiqua"/>
          <w:color w:val="000000"/>
        </w:rPr>
        <w:t>, Fc</w:t>
      </w:r>
      <w:r w:rsidR="00E7643C" w:rsidRPr="00872B32">
        <w:rPr>
          <w:rFonts w:ascii="Book Antiqua" w:hAnsi="Book Antiqua"/>
          <w:color w:val="000000"/>
        </w:rPr>
        <w:sym w:font="Symbol" w:char="F067"/>
      </w:r>
      <w:r w:rsidR="006C4F8B" w:rsidRPr="00872B32">
        <w:rPr>
          <w:rFonts w:ascii="Book Antiqua" w:hAnsi="Book Antiqua"/>
          <w:color w:val="000000"/>
        </w:rPr>
        <w:t>RIIa-131</w:t>
      </w:r>
      <w:r w:rsidR="006C4F8B" w:rsidRPr="00872B32">
        <w:rPr>
          <w:rFonts w:ascii="Book Antiqua" w:hAnsi="Book Antiqua"/>
          <w:i/>
          <w:color w:val="000000"/>
        </w:rPr>
        <w:t>H/R</w:t>
      </w:r>
      <w:r w:rsidR="006C4F8B" w:rsidRPr="00872B32">
        <w:rPr>
          <w:rFonts w:ascii="Book Antiqua" w:hAnsi="Book Antiqua"/>
          <w:color w:val="000000"/>
        </w:rPr>
        <w:t xml:space="preserve"> and Fc</w:t>
      </w:r>
      <w:r w:rsidR="00E7643C" w:rsidRPr="00872B32">
        <w:rPr>
          <w:rFonts w:ascii="Book Antiqua" w:hAnsi="Book Antiqua"/>
          <w:color w:val="000000"/>
        </w:rPr>
        <w:sym w:font="Symbol" w:char="F067"/>
      </w:r>
      <w:r w:rsidR="006C4F8B" w:rsidRPr="00872B32">
        <w:rPr>
          <w:rFonts w:ascii="Book Antiqua" w:hAnsi="Book Antiqua"/>
          <w:color w:val="000000"/>
        </w:rPr>
        <w:t>RIIIa-158</w:t>
      </w:r>
      <w:r w:rsidR="006C4F8B" w:rsidRPr="00872B32">
        <w:rPr>
          <w:rFonts w:ascii="Book Antiqua" w:hAnsi="Book Antiqua"/>
          <w:i/>
          <w:color w:val="000000"/>
        </w:rPr>
        <w:t>V/F</w:t>
      </w:r>
      <w:r w:rsidR="006C4F8B" w:rsidRPr="00872B32">
        <w:rPr>
          <w:rFonts w:ascii="Book Antiqua" w:hAnsi="Book Antiqua"/>
          <w:color w:val="000000"/>
        </w:rPr>
        <w:t xml:space="preserve">, was more effective. </w:t>
      </w:r>
      <w:r w:rsidR="006E1A0E" w:rsidRPr="00872B32">
        <w:rPr>
          <w:rFonts w:ascii="Book Antiqua" w:hAnsi="Book Antiqua"/>
          <w:color w:val="000000"/>
        </w:rPr>
        <w:t>S</w:t>
      </w:r>
      <w:r w:rsidR="006C4F8B" w:rsidRPr="00872B32">
        <w:rPr>
          <w:rFonts w:ascii="Book Antiqua" w:hAnsi="Book Antiqua"/>
          <w:color w:val="000000"/>
        </w:rPr>
        <w:t xml:space="preserve">erum measures of Trx1/CD30, RTrx1, multiple cytokine levels and polymorphisms of </w:t>
      </w:r>
      <w:r w:rsidR="00675A45" w:rsidRPr="00872B32">
        <w:rPr>
          <w:rFonts w:ascii="Book Antiqua" w:hAnsi="Book Antiqua"/>
          <w:color w:val="000000"/>
        </w:rPr>
        <w:t>killer immunoglobulin-like receptors</w:t>
      </w:r>
      <w:r w:rsidR="006C4F8B" w:rsidRPr="00872B32">
        <w:rPr>
          <w:rFonts w:ascii="Book Antiqua" w:hAnsi="Book Antiqua"/>
          <w:color w:val="000000"/>
        </w:rPr>
        <w:t xml:space="preserve"> and FcγRIIa were used to estimate the effect of dise</w:t>
      </w:r>
      <w:r w:rsidR="006E1A0E" w:rsidRPr="00872B32">
        <w:rPr>
          <w:rFonts w:ascii="Book Antiqua" w:hAnsi="Book Antiqua"/>
          <w:color w:val="000000"/>
        </w:rPr>
        <w:t xml:space="preserve">ase, age and gender </w:t>
      </w:r>
      <w:r w:rsidR="006C4F8B" w:rsidRPr="00872B32">
        <w:rPr>
          <w:rFonts w:ascii="Book Antiqua" w:hAnsi="Book Antiqua"/>
          <w:color w:val="000000"/>
        </w:rPr>
        <w:t>to describe the variants in the biology of the redox immune system.</w:t>
      </w:r>
      <w:r w:rsidR="00C808A0" w:rsidRPr="00872B32">
        <w:rPr>
          <w:rFonts w:ascii="Book Antiqua" w:hAnsi="Book Antiqua"/>
          <w:color w:val="000000"/>
        </w:rPr>
        <w:t xml:space="preserve"> </w:t>
      </w:r>
      <w:r w:rsidR="006C4F8B" w:rsidRPr="00872B32">
        <w:rPr>
          <w:rFonts w:ascii="Book Antiqua" w:hAnsi="Book Antiqua"/>
          <w:color w:val="000000"/>
        </w:rPr>
        <w:t>Through these procedures</w:t>
      </w:r>
      <w:r w:rsidR="006E1A0E" w:rsidRPr="00872B32">
        <w:rPr>
          <w:rFonts w:ascii="Book Antiqua" w:hAnsi="Book Antiqua"/>
          <w:color w:val="000000"/>
        </w:rPr>
        <w:t>,</w:t>
      </w:r>
      <w:r w:rsidR="006C4F8B" w:rsidRPr="00872B32">
        <w:rPr>
          <w:rFonts w:ascii="Book Antiqua" w:hAnsi="Book Antiqua"/>
          <w:color w:val="000000"/>
        </w:rPr>
        <w:t xml:space="preserve"> the redox immune fingerprint of h</w:t>
      </w:r>
      <w:r w:rsidR="006E1A0E" w:rsidRPr="00872B32">
        <w:rPr>
          <w:rFonts w:ascii="Book Antiqua" w:hAnsi="Book Antiqua"/>
          <w:color w:val="000000"/>
        </w:rPr>
        <w:t>ealth, aging and cancer states</w:t>
      </w:r>
      <w:r w:rsidR="006C4F8B" w:rsidRPr="00872B32">
        <w:rPr>
          <w:rFonts w:ascii="Book Antiqua" w:hAnsi="Book Antiqua"/>
          <w:color w:val="000000"/>
        </w:rPr>
        <w:t xml:space="preserve"> was determined.</w:t>
      </w:r>
      <w:r w:rsidR="00C808A0" w:rsidRPr="00872B32">
        <w:rPr>
          <w:rFonts w:ascii="Book Antiqua" w:hAnsi="Book Antiqua"/>
          <w:color w:val="000000"/>
        </w:rPr>
        <w:t xml:space="preserve"> </w:t>
      </w:r>
    </w:p>
    <w:p w14:paraId="3386AE7A" w14:textId="77777777" w:rsidR="000263BF" w:rsidRPr="00872B32" w:rsidRDefault="000263BF" w:rsidP="008C54E8">
      <w:pPr>
        <w:snapToGrid w:val="0"/>
        <w:spacing w:line="360" w:lineRule="auto"/>
        <w:jc w:val="both"/>
        <w:rPr>
          <w:rFonts w:ascii="Book Antiqua" w:hAnsi="Book Antiqua"/>
          <w:color w:val="000000"/>
        </w:rPr>
      </w:pPr>
    </w:p>
    <w:p w14:paraId="1E910E33" w14:textId="40767E02" w:rsidR="008C54E8" w:rsidRDefault="008C54E8" w:rsidP="008C54E8">
      <w:pPr>
        <w:snapToGrid w:val="0"/>
        <w:spacing w:line="360" w:lineRule="auto"/>
        <w:jc w:val="both"/>
        <w:rPr>
          <w:rFonts w:ascii="Book Antiqua" w:eastAsiaTheme="minorEastAsia" w:hAnsi="Book Antiqua"/>
          <w:iCs/>
          <w:color w:val="000000"/>
          <w:szCs w:val="21"/>
          <w:lang w:eastAsia="zh-CN"/>
        </w:rPr>
      </w:pPr>
      <w:r w:rsidRPr="008C54E8">
        <w:rPr>
          <w:rFonts w:ascii="Book Antiqua" w:eastAsiaTheme="minorEastAsia" w:hAnsi="Book Antiqua" w:hint="eastAsia"/>
          <w:b/>
          <w:color w:val="000000"/>
          <w:lang w:eastAsia="zh-CN"/>
        </w:rPr>
        <w:t>Citation:</w:t>
      </w:r>
      <w:r>
        <w:rPr>
          <w:rFonts w:ascii="Book Antiqua" w:eastAsiaTheme="minorEastAsia" w:hAnsi="Book Antiqua" w:hint="eastAsia"/>
          <w:color w:val="000000"/>
          <w:lang w:eastAsia="zh-CN"/>
        </w:rPr>
        <w:t xml:space="preserve"> </w:t>
      </w:r>
      <w:r w:rsidR="000263BF" w:rsidRPr="00A4725F">
        <w:rPr>
          <w:rFonts w:ascii="Book Antiqua" w:hAnsi="Book Antiqua"/>
          <w:color w:val="000000"/>
        </w:rPr>
        <w:t>Berghella</w:t>
      </w:r>
      <w:r w:rsidR="000263BF" w:rsidRPr="00A4725F">
        <w:rPr>
          <w:rFonts w:ascii="Book Antiqua" w:eastAsia="宋体" w:hAnsi="Book Antiqua"/>
          <w:color w:val="000000"/>
          <w:lang w:eastAsia="zh-CN"/>
        </w:rPr>
        <w:t xml:space="preserve"> AM</w:t>
      </w:r>
      <w:r w:rsidR="000263BF" w:rsidRPr="00A4725F">
        <w:rPr>
          <w:rFonts w:ascii="Book Antiqua" w:hAnsi="Book Antiqua"/>
          <w:color w:val="000000"/>
        </w:rPr>
        <w:t>, Aureli</w:t>
      </w:r>
      <w:r w:rsidR="000263BF" w:rsidRPr="00A4725F">
        <w:rPr>
          <w:rFonts w:ascii="Book Antiqua" w:eastAsia="宋体" w:hAnsi="Book Antiqua"/>
          <w:color w:val="000000"/>
          <w:lang w:eastAsia="zh-CN"/>
        </w:rPr>
        <w:t xml:space="preserve"> A</w:t>
      </w:r>
      <w:r w:rsidR="000263BF" w:rsidRPr="00A4725F">
        <w:rPr>
          <w:rFonts w:ascii="Book Antiqua" w:hAnsi="Book Antiqua"/>
          <w:color w:val="000000"/>
        </w:rPr>
        <w:t>, Canossi</w:t>
      </w:r>
      <w:r w:rsidR="000263BF" w:rsidRPr="00A4725F">
        <w:rPr>
          <w:rFonts w:ascii="Book Antiqua" w:eastAsia="宋体" w:hAnsi="Book Antiqua"/>
          <w:color w:val="000000"/>
          <w:lang w:eastAsia="zh-CN"/>
        </w:rPr>
        <w:t xml:space="preserve"> A</w:t>
      </w:r>
      <w:r w:rsidR="000263BF" w:rsidRPr="00A4725F">
        <w:rPr>
          <w:rFonts w:ascii="Book Antiqua" w:hAnsi="Book Antiqua"/>
          <w:color w:val="000000"/>
        </w:rPr>
        <w:t>, Del Beato</w:t>
      </w:r>
      <w:r w:rsidR="000263BF" w:rsidRPr="00A4725F">
        <w:rPr>
          <w:rFonts w:ascii="Book Antiqua" w:eastAsia="宋体" w:hAnsi="Book Antiqua"/>
          <w:color w:val="000000"/>
          <w:lang w:eastAsia="zh-CN"/>
        </w:rPr>
        <w:t xml:space="preserve"> T</w:t>
      </w:r>
      <w:r w:rsidR="000263BF" w:rsidRPr="00A4725F">
        <w:rPr>
          <w:rFonts w:ascii="Book Antiqua" w:hAnsi="Book Antiqua"/>
          <w:color w:val="000000"/>
        </w:rPr>
        <w:t>, Colanardi</w:t>
      </w:r>
      <w:r w:rsidR="000263BF" w:rsidRPr="00A4725F">
        <w:rPr>
          <w:rFonts w:ascii="Book Antiqua" w:eastAsia="宋体" w:hAnsi="Book Antiqua"/>
          <w:color w:val="000000"/>
          <w:lang w:eastAsia="zh-CN"/>
        </w:rPr>
        <w:t xml:space="preserve"> A</w:t>
      </w:r>
      <w:r w:rsidR="000263BF" w:rsidRPr="00A4725F">
        <w:rPr>
          <w:rFonts w:ascii="Book Antiqua" w:hAnsi="Book Antiqua"/>
          <w:color w:val="000000"/>
        </w:rPr>
        <w:t>, Pellegrini</w:t>
      </w:r>
      <w:r w:rsidR="000263BF" w:rsidRPr="00A4725F">
        <w:rPr>
          <w:rFonts w:ascii="Book Antiqua" w:eastAsia="宋体" w:hAnsi="Book Antiqua"/>
          <w:color w:val="000000"/>
          <w:lang w:eastAsia="zh-CN"/>
        </w:rPr>
        <w:t xml:space="preserve"> P.</w:t>
      </w:r>
      <w:r w:rsidR="000263BF" w:rsidRPr="00872B32">
        <w:rPr>
          <w:rFonts w:ascii="Book Antiqua" w:hAnsi="Book Antiqua"/>
          <w:color w:val="000000"/>
        </w:rPr>
        <w:t xml:space="preserve"> Redox, immune and genetic biomarker</w:t>
      </w:r>
      <w:r w:rsidR="000263BF" w:rsidRPr="00526FCE">
        <w:rPr>
          <w:rFonts w:ascii="Book Antiqua" w:eastAsia="宋体" w:hAnsi="Book Antiqua"/>
          <w:color w:val="000000"/>
          <w:lang w:eastAsia="zh-CN"/>
        </w:rPr>
        <w:t>’</w:t>
      </w:r>
      <w:r w:rsidR="000263BF" w:rsidRPr="00872B32">
        <w:rPr>
          <w:rFonts w:ascii="Book Antiqua" w:hAnsi="Book Antiqua"/>
          <w:color w:val="000000"/>
        </w:rPr>
        <w:t>s system for personalized treatments in colorectal cancer</w:t>
      </w:r>
      <w:r w:rsidR="000263BF" w:rsidRPr="00526FCE">
        <w:rPr>
          <w:rFonts w:ascii="Book Antiqua" w:eastAsia="宋体" w:hAnsi="Book Antiqua"/>
          <w:color w:val="000000"/>
          <w:lang w:eastAsia="zh-CN"/>
        </w:rPr>
        <w:t>.</w:t>
      </w:r>
      <w:r w:rsidR="000263BF" w:rsidRPr="00872B32">
        <w:rPr>
          <w:rFonts w:ascii="Book Antiqua" w:hAnsi="Book Antiqua"/>
          <w:i/>
          <w:iCs/>
          <w:color w:val="000000"/>
        </w:rPr>
        <w:t xml:space="preserve"> World J Gastrointest Oncol</w:t>
      </w:r>
      <w:r w:rsidR="000263BF" w:rsidRPr="00526FCE">
        <w:rPr>
          <w:rFonts w:ascii="Book Antiqua" w:eastAsia="宋体" w:hAnsi="Book Antiqua"/>
          <w:i/>
          <w:iCs/>
          <w:color w:val="000000"/>
          <w:lang w:eastAsia="zh-CN"/>
        </w:rPr>
        <w:t xml:space="preserve"> </w:t>
      </w:r>
      <w:bookmarkStart w:id="2" w:name="_GoBack"/>
      <w:r w:rsidR="00F84683" w:rsidRPr="00F84683">
        <w:rPr>
          <w:rFonts w:ascii="Book Antiqua" w:eastAsia="宋体" w:hAnsi="Book Antiqua" w:hint="eastAsia"/>
          <w:iCs/>
          <w:color w:val="000000"/>
          <w:lang w:eastAsia="zh-CN"/>
        </w:rPr>
        <w:t>2</w:t>
      </w:r>
      <w:bookmarkEnd w:id="2"/>
      <w:r w:rsidRPr="006B6E78">
        <w:rPr>
          <w:rFonts w:ascii="Book Antiqua" w:hAnsi="Book Antiqua"/>
          <w:iCs/>
          <w:color w:val="000000"/>
          <w:szCs w:val="21"/>
        </w:rPr>
        <w:t xml:space="preserve">019; 11(2): </w:t>
      </w:r>
      <w:r>
        <w:rPr>
          <w:rFonts w:ascii="Book Antiqua" w:hAnsi="Book Antiqua" w:hint="eastAsia"/>
          <w:iCs/>
          <w:color w:val="000000"/>
          <w:szCs w:val="21"/>
        </w:rPr>
        <w:t>117</w:t>
      </w:r>
      <w:r w:rsidRPr="006B6E78">
        <w:rPr>
          <w:rFonts w:ascii="Book Antiqua" w:hAnsi="Book Antiqua"/>
          <w:iCs/>
          <w:color w:val="000000"/>
          <w:szCs w:val="21"/>
        </w:rPr>
        <w:t>-</w:t>
      </w:r>
      <w:r>
        <w:rPr>
          <w:rFonts w:ascii="Book Antiqua" w:hAnsi="Book Antiqua" w:hint="eastAsia"/>
          <w:iCs/>
          <w:color w:val="000000"/>
          <w:szCs w:val="21"/>
        </w:rPr>
        <w:t>138</w:t>
      </w:r>
      <w:r w:rsidRPr="006B6E78">
        <w:rPr>
          <w:rFonts w:ascii="Book Antiqua" w:hAnsi="Book Antiqua"/>
          <w:iCs/>
          <w:color w:val="000000"/>
          <w:szCs w:val="21"/>
        </w:rPr>
        <w:t xml:space="preserve">  </w:t>
      </w:r>
    </w:p>
    <w:p w14:paraId="00F71FD0" w14:textId="77777777" w:rsidR="008C54E8" w:rsidRDefault="008C54E8" w:rsidP="008C54E8">
      <w:pPr>
        <w:snapToGrid w:val="0"/>
        <w:spacing w:line="360" w:lineRule="auto"/>
        <w:jc w:val="both"/>
        <w:rPr>
          <w:rFonts w:ascii="Book Antiqua" w:eastAsiaTheme="minorEastAsia" w:hAnsi="Book Antiqua"/>
          <w:iCs/>
          <w:color w:val="000000"/>
          <w:szCs w:val="21"/>
          <w:lang w:eastAsia="zh-CN"/>
        </w:rPr>
      </w:pPr>
      <w:r w:rsidRPr="008C54E8">
        <w:rPr>
          <w:rFonts w:ascii="Book Antiqua" w:hAnsi="Book Antiqua"/>
          <w:b/>
          <w:iCs/>
          <w:color w:val="000000"/>
          <w:szCs w:val="21"/>
        </w:rPr>
        <w:t xml:space="preserve">URL: </w:t>
      </w:r>
      <w:r w:rsidRPr="006B6E78">
        <w:rPr>
          <w:rFonts w:ascii="Book Antiqua" w:hAnsi="Book Antiqua"/>
          <w:iCs/>
          <w:color w:val="000000"/>
          <w:szCs w:val="21"/>
        </w:rPr>
        <w:t>https://www.wjgnet.com/1948-5204/full/v11/i2/</w:t>
      </w:r>
      <w:r>
        <w:rPr>
          <w:rFonts w:ascii="Book Antiqua" w:hAnsi="Book Antiqua" w:hint="eastAsia"/>
          <w:iCs/>
          <w:color w:val="000000"/>
          <w:szCs w:val="21"/>
        </w:rPr>
        <w:t>117</w:t>
      </w:r>
      <w:r w:rsidRPr="006B6E78">
        <w:rPr>
          <w:rFonts w:ascii="Book Antiqua" w:hAnsi="Book Antiqua"/>
          <w:iCs/>
          <w:color w:val="000000"/>
          <w:szCs w:val="21"/>
        </w:rPr>
        <w:t xml:space="preserve">.htm  </w:t>
      </w:r>
    </w:p>
    <w:p w14:paraId="50E040DB" w14:textId="238C28A2" w:rsidR="000263BF" w:rsidRPr="00526FCE" w:rsidRDefault="008C54E8" w:rsidP="008C54E8">
      <w:pPr>
        <w:snapToGrid w:val="0"/>
        <w:spacing w:line="360" w:lineRule="auto"/>
        <w:jc w:val="both"/>
        <w:rPr>
          <w:rFonts w:ascii="Book Antiqua" w:eastAsia="宋体" w:hAnsi="Book Antiqua"/>
          <w:color w:val="000000"/>
          <w:lang w:eastAsia="zh-CN"/>
        </w:rPr>
      </w:pPr>
      <w:r w:rsidRPr="008C54E8">
        <w:rPr>
          <w:rFonts w:ascii="Book Antiqua" w:hAnsi="Book Antiqua"/>
          <w:b/>
          <w:iCs/>
          <w:color w:val="000000"/>
          <w:szCs w:val="21"/>
        </w:rPr>
        <w:t>DOI:</w:t>
      </w:r>
      <w:r w:rsidRPr="006B6E78">
        <w:rPr>
          <w:rFonts w:ascii="Book Antiqua" w:hAnsi="Book Antiqua"/>
          <w:iCs/>
          <w:color w:val="000000"/>
          <w:szCs w:val="21"/>
        </w:rPr>
        <w:t xml:space="preserve"> https://dx.doi.org/10.4251/wjgo.v11.i2.</w:t>
      </w:r>
      <w:r>
        <w:rPr>
          <w:rFonts w:ascii="Book Antiqua" w:hAnsi="Book Antiqua" w:hint="eastAsia"/>
          <w:iCs/>
          <w:color w:val="000000"/>
          <w:szCs w:val="21"/>
        </w:rPr>
        <w:t>117</w:t>
      </w:r>
    </w:p>
    <w:p w14:paraId="4624F6C9" w14:textId="77777777" w:rsidR="000956E5" w:rsidRPr="00872B32" w:rsidRDefault="000263BF" w:rsidP="008C54E8">
      <w:pPr>
        <w:snapToGrid w:val="0"/>
        <w:spacing w:line="360" w:lineRule="auto"/>
        <w:jc w:val="both"/>
        <w:rPr>
          <w:rFonts w:ascii="Book Antiqua" w:hAnsi="Book Antiqua"/>
          <w:b/>
          <w:color w:val="000000"/>
        </w:rPr>
      </w:pPr>
      <w:r w:rsidRPr="00526FCE">
        <w:rPr>
          <w:rFonts w:ascii="Book Antiqua" w:eastAsia="宋体" w:hAnsi="Book Antiqua"/>
          <w:b/>
          <w:color w:val="000000"/>
          <w:lang w:eastAsia="zh-CN"/>
        </w:rPr>
        <w:br w:type="page"/>
      </w:r>
      <w:r w:rsidR="000956E5" w:rsidRPr="00872B32">
        <w:rPr>
          <w:rFonts w:ascii="Book Antiqua" w:hAnsi="Book Antiqua"/>
          <w:b/>
          <w:color w:val="000000"/>
        </w:rPr>
        <w:lastRenderedPageBreak/>
        <w:t>I</w:t>
      </w:r>
      <w:r w:rsidR="00E25F2D" w:rsidRPr="00872B32">
        <w:rPr>
          <w:rFonts w:ascii="Book Antiqua" w:hAnsi="Book Antiqua"/>
          <w:b/>
          <w:color w:val="000000"/>
        </w:rPr>
        <w:t>NTRODUCTION</w:t>
      </w:r>
    </w:p>
    <w:p w14:paraId="131C6612" w14:textId="3C6CCA49" w:rsidR="00845621" w:rsidRPr="00872B32" w:rsidRDefault="000956E5" w:rsidP="008C54E8">
      <w:pPr>
        <w:snapToGrid w:val="0"/>
        <w:spacing w:line="360" w:lineRule="auto"/>
        <w:jc w:val="both"/>
        <w:rPr>
          <w:rFonts w:ascii="Book Antiqua" w:hAnsi="Book Antiqua"/>
          <w:color w:val="000000"/>
          <w:lang w:val="en-GB"/>
        </w:rPr>
      </w:pPr>
      <w:r w:rsidRPr="00872B32">
        <w:rPr>
          <w:rFonts w:ascii="Book Antiqua" w:hAnsi="Book Antiqua"/>
          <w:color w:val="000000"/>
        </w:rPr>
        <w:t xml:space="preserve">We are witnessing a progressive rise in average age </w:t>
      </w:r>
      <w:r w:rsidR="00C36AD4" w:rsidRPr="00872B32">
        <w:rPr>
          <w:rFonts w:ascii="Book Antiqua" w:hAnsi="Book Antiqua"/>
          <w:color w:val="000000"/>
        </w:rPr>
        <w:t xml:space="preserve">and people with </w:t>
      </w:r>
      <w:r w:rsidRPr="00872B32">
        <w:rPr>
          <w:rFonts w:ascii="Book Antiqua" w:hAnsi="Book Antiqua"/>
          <w:color w:val="000000"/>
        </w:rPr>
        <w:t>chronic inflammation and degenerative pa</w:t>
      </w:r>
      <w:r w:rsidR="00C36AD4" w:rsidRPr="00872B32">
        <w:rPr>
          <w:rFonts w:ascii="Book Antiqua" w:hAnsi="Book Antiqua"/>
          <w:color w:val="000000"/>
        </w:rPr>
        <w:t>thologies</w:t>
      </w:r>
      <w:r w:rsidRPr="00872B32">
        <w:rPr>
          <w:rFonts w:ascii="Book Antiqua" w:hAnsi="Book Antiqua"/>
          <w:color w:val="000000"/>
        </w:rPr>
        <w:t>. Th</w:t>
      </w:r>
      <w:r w:rsidR="00984F92">
        <w:rPr>
          <w:rFonts w:ascii="Book Antiqua" w:hAnsi="Book Antiqua"/>
          <w:color w:val="000000"/>
        </w:rPr>
        <w:t>us</w:t>
      </w:r>
      <w:r w:rsidRPr="00872B32">
        <w:rPr>
          <w:rFonts w:ascii="Book Antiqua" w:hAnsi="Book Antiqua"/>
          <w:color w:val="000000"/>
        </w:rPr>
        <w:t xml:space="preserve">, </w:t>
      </w:r>
      <w:r w:rsidR="008F5740">
        <w:rPr>
          <w:rFonts w:ascii="Book Antiqua" w:hAnsi="Book Antiqua"/>
          <w:color w:val="000000"/>
        </w:rPr>
        <w:t>for</w:t>
      </w:r>
      <w:r w:rsidRPr="00872B32">
        <w:rPr>
          <w:rFonts w:ascii="Book Antiqua" w:hAnsi="Book Antiqua"/>
          <w:color w:val="000000"/>
        </w:rPr>
        <w:t xml:space="preserve"> healthy longevity, it is essential to improve the prevention strategies </w:t>
      </w:r>
      <w:r w:rsidR="00675A45">
        <w:rPr>
          <w:rFonts w:ascii="Book Antiqua" w:hAnsi="Book Antiqua"/>
          <w:color w:val="000000"/>
        </w:rPr>
        <w:t>for</w:t>
      </w:r>
      <w:r w:rsidR="00675A45" w:rsidRPr="00872B32">
        <w:rPr>
          <w:rFonts w:ascii="Book Antiqua" w:hAnsi="Book Antiqua"/>
          <w:color w:val="000000"/>
        </w:rPr>
        <w:t xml:space="preserve"> </w:t>
      </w:r>
      <w:r w:rsidRPr="00872B32">
        <w:rPr>
          <w:rFonts w:ascii="Book Antiqua" w:hAnsi="Book Antiqua"/>
          <w:color w:val="000000"/>
        </w:rPr>
        <w:t>these pathologies in both the healthy subjects and those who are already ill and need to undergo clinical treatment. However,</w:t>
      </w:r>
      <w:r w:rsidR="00845621" w:rsidRPr="00872B32">
        <w:rPr>
          <w:rFonts w:ascii="Book Antiqua" w:hAnsi="Book Antiqua"/>
          <w:color w:val="000000"/>
        </w:rPr>
        <w:t xml:space="preserve"> t</w:t>
      </w:r>
      <w:r w:rsidRPr="00872B32">
        <w:rPr>
          <w:rFonts w:ascii="Book Antiqua" w:hAnsi="Book Antiqua"/>
          <w:color w:val="000000"/>
        </w:rPr>
        <w:t xml:space="preserve">o obtain this it is necessary to overcome the difficulties </w:t>
      </w:r>
      <w:r w:rsidRPr="00872B32">
        <w:rPr>
          <w:rFonts w:ascii="Book Antiqua" w:hAnsi="Book Antiqua"/>
          <w:color w:val="000000"/>
          <w:lang w:val="en-GB"/>
        </w:rPr>
        <w:t>in the early diagnosis of diseases and effective treatment.</w:t>
      </w:r>
      <w:r w:rsidRPr="00872B32">
        <w:rPr>
          <w:rFonts w:ascii="Book Antiqua" w:hAnsi="Book Antiqua"/>
          <w:color w:val="000000"/>
        </w:rPr>
        <w:tab/>
        <w:t>Research</w:t>
      </w:r>
      <w:r w:rsidRPr="00872B32">
        <w:rPr>
          <w:rFonts w:ascii="Book Antiqua" w:hAnsi="Book Antiqua"/>
          <w:color w:val="000000"/>
          <w:vertAlign w:val="superscript"/>
        </w:rPr>
        <w:t>[1]</w:t>
      </w:r>
      <w:r w:rsidRPr="00872B32">
        <w:rPr>
          <w:rFonts w:ascii="Book Antiqua" w:hAnsi="Book Antiqua"/>
          <w:color w:val="000000"/>
        </w:rPr>
        <w:t xml:space="preserve"> indicates that it is necessary to identify valid physiological parameters to select targets and biomarkers with features that make this “utopia” realistic to formulate such solving strategies.</w:t>
      </w:r>
      <w:r w:rsidR="00C808A0" w:rsidRPr="00872B32">
        <w:rPr>
          <w:rFonts w:ascii="Book Antiqua" w:hAnsi="Book Antiqua"/>
          <w:color w:val="000000"/>
        </w:rPr>
        <w:t xml:space="preserve"> </w:t>
      </w:r>
      <w:r w:rsidR="005D0988" w:rsidRPr="00872B32">
        <w:rPr>
          <w:rFonts w:ascii="Book Antiqua" w:hAnsi="Book Antiqua"/>
          <w:color w:val="000000"/>
        </w:rPr>
        <w:t xml:space="preserve">Biomarkers are </w:t>
      </w:r>
      <w:r w:rsidR="008603A0" w:rsidRPr="00872B32">
        <w:rPr>
          <w:rFonts w:ascii="Book Antiqua" w:eastAsia="Calibri" w:hAnsi="Book Antiqua"/>
          <w:color w:val="000000"/>
        </w:rPr>
        <w:t>generally</w:t>
      </w:r>
      <w:r w:rsidR="00C808A0" w:rsidRPr="00872B32">
        <w:rPr>
          <w:rFonts w:ascii="Book Antiqua" w:eastAsia="Calibri" w:hAnsi="Book Antiqua"/>
          <w:color w:val="000000"/>
        </w:rPr>
        <w:t xml:space="preserve"> </w:t>
      </w:r>
      <w:r w:rsidR="008603A0" w:rsidRPr="00872B32">
        <w:rPr>
          <w:rFonts w:ascii="Book Antiqua" w:hAnsi="Book Antiqua"/>
          <w:color w:val="000000"/>
        </w:rPr>
        <w:t>selected by</w:t>
      </w:r>
      <w:r w:rsidR="00221DF8" w:rsidRPr="00872B32">
        <w:rPr>
          <w:rFonts w:ascii="Book Antiqua" w:hAnsi="Book Antiqua"/>
          <w:color w:val="000000"/>
        </w:rPr>
        <w:t xml:space="preserve"> </w:t>
      </w:r>
      <w:r w:rsidRPr="00872B32">
        <w:rPr>
          <w:rFonts w:ascii="Book Antiqua" w:hAnsi="Book Antiqua"/>
          <w:color w:val="000000"/>
        </w:rPr>
        <w:t xml:space="preserve">system biology studies </w:t>
      </w:r>
      <w:r w:rsidR="00221DF8" w:rsidRPr="00872B32">
        <w:rPr>
          <w:rFonts w:ascii="Book Antiqua" w:hAnsi="Book Antiqua"/>
          <w:color w:val="000000"/>
        </w:rPr>
        <w:t xml:space="preserve">on </w:t>
      </w:r>
      <w:r w:rsidR="00845621" w:rsidRPr="00872B32">
        <w:rPr>
          <w:rFonts w:ascii="Book Antiqua" w:hAnsi="Book Antiqua"/>
          <w:color w:val="000000"/>
        </w:rPr>
        <w:t>biological parameters</w:t>
      </w:r>
      <w:r w:rsidRPr="00872B32">
        <w:rPr>
          <w:rFonts w:ascii="Book Antiqua" w:hAnsi="Book Antiqua"/>
          <w:color w:val="000000"/>
        </w:rPr>
        <w:t xml:space="preserve"> that </w:t>
      </w:r>
      <w:r w:rsidR="00221DF8" w:rsidRPr="00872B32">
        <w:rPr>
          <w:rFonts w:ascii="Book Antiqua" w:hAnsi="Book Antiqua"/>
          <w:color w:val="000000"/>
        </w:rPr>
        <w:t xml:space="preserve">affect </w:t>
      </w:r>
      <w:r w:rsidRPr="00872B32">
        <w:rPr>
          <w:rFonts w:ascii="Book Antiqua" w:hAnsi="Book Antiqua"/>
          <w:color w:val="000000"/>
        </w:rPr>
        <w:t>the</w:t>
      </w:r>
      <w:r w:rsidR="00221DF8" w:rsidRPr="00872B32">
        <w:rPr>
          <w:rFonts w:ascii="Book Antiqua" w:hAnsi="Book Antiqua"/>
          <w:color w:val="000000"/>
        </w:rPr>
        <w:t xml:space="preserve"> patho</w:t>
      </w:r>
      <w:r w:rsidR="00DE16FF" w:rsidRPr="00872B32">
        <w:rPr>
          <w:rFonts w:ascii="Book Antiqua" w:hAnsi="Book Antiqua"/>
          <w:color w:val="000000"/>
        </w:rPr>
        <w:t>genesis</w:t>
      </w:r>
      <w:r w:rsidR="00221DF8" w:rsidRPr="00872B32">
        <w:rPr>
          <w:rFonts w:ascii="Book Antiqua" w:hAnsi="Book Antiqua"/>
          <w:color w:val="000000"/>
        </w:rPr>
        <w:t xml:space="preserve"> and evolution</w:t>
      </w:r>
      <w:r w:rsidR="00DE16FF" w:rsidRPr="00872B32">
        <w:rPr>
          <w:rFonts w:ascii="Book Antiqua" w:hAnsi="Book Antiqua"/>
          <w:color w:val="000000"/>
        </w:rPr>
        <w:t xml:space="preserve"> of the disease</w:t>
      </w:r>
      <w:r w:rsidRPr="00872B32">
        <w:rPr>
          <w:rFonts w:ascii="Book Antiqua" w:hAnsi="Book Antiqua"/>
          <w:color w:val="000000"/>
        </w:rPr>
        <w:t xml:space="preserve">. </w:t>
      </w:r>
      <w:r w:rsidR="00513E63" w:rsidRPr="00872B32">
        <w:rPr>
          <w:rFonts w:ascii="Book Antiqua" w:hAnsi="Book Antiqua"/>
          <w:color w:val="000000"/>
          <w:lang w:val="en-GB"/>
        </w:rPr>
        <w:t>We suggest that the best ways to make an early diagnosis of cancer and support clinical and therapeutic monitoring is to employ serum, tissue and micro</w:t>
      </w:r>
      <w:r w:rsidR="00675A45">
        <w:rPr>
          <w:rFonts w:ascii="Book Antiqua" w:hAnsi="Book Antiqua"/>
          <w:color w:val="000000"/>
          <w:lang w:val="en-GB"/>
        </w:rPr>
        <w:t>-</w:t>
      </w:r>
      <w:r w:rsidR="00513E63" w:rsidRPr="00872B32">
        <w:rPr>
          <w:rFonts w:ascii="Book Antiqua" w:hAnsi="Book Antiqua"/>
          <w:color w:val="000000"/>
          <w:lang w:val="en-GB"/>
        </w:rPr>
        <w:t>environmental biomarkers.</w:t>
      </w:r>
      <w:r w:rsidR="00845621" w:rsidRPr="00872B32">
        <w:rPr>
          <w:rFonts w:ascii="Book Antiqua" w:hAnsi="Book Antiqua"/>
          <w:color w:val="000000"/>
        </w:rPr>
        <w:t xml:space="preserve"> </w:t>
      </w:r>
    </w:p>
    <w:p w14:paraId="43848D57" w14:textId="349921A5" w:rsidR="000956E5" w:rsidRPr="00872B32" w:rsidRDefault="000956E5" w:rsidP="008C54E8">
      <w:pPr>
        <w:snapToGrid w:val="0"/>
        <w:spacing w:line="360" w:lineRule="auto"/>
        <w:ind w:firstLineChars="100" w:firstLine="240"/>
        <w:jc w:val="both"/>
        <w:rPr>
          <w:rFonts w:ascii="Book Antiqua" w:hAnsi="Book Antiqua"/>
          <w:color w:val="000000"/>
          <w:lang w:val="en-GB"/>
        </w:rPr>
      </w:pPr>
      <w:r w:rsidRPr="00872B32">
        <w:rPr>
          <w:rFonts w:ascii="Book Antiqua" w:hAnsi="Book Antiqua"/>
          <w:color w:val="000000"/>
          <w:lang w:val="en-GB"/>
        </w:rPr>
        <w:t>There is a growing consensus that aging is related to</w:t>
      </w:r>
      <w:r w:rsidRPr="00872B32">
        <w:rPr>
          <w:rFonts w:ascii="Book Antiqua" w:hAnsi="Book Antiqua"/>
          <w:color w:val="000000"/>
        </w:rPr>
        <w:t xml:space="preserve"> </w:t>
      </w:r>
      <w:r w:rsidRPr="00872B32">
        <w:rPr>
          <w:rFonts w:ascii="Book Antiqua" w:hAnsi="Book Antiqua"/>
          <w:color w:val="000000"/>
          <w:lang w:val="en-GB"/>
        </w:rPr>
        <w:t>a low-grade inflammatory state that could cause the</w:t>
      </w:r>
      <w:r w:rsidRPr="00872B32">
        <w:rPr>
          <w:rFonts w:ascii="Book Antiqua" w:hAnsi="Book Antiqua"/>
          <w:color w:val="000000"/>
        </w:rPr>
        <w:t xml:space="preserve"> loss of physiological homeostasis</w:t>
      </w:r>
      <w:r w:rsidRPr="00872B32">
        <w:rPr>
          <w:rFonts w:ascii="Book Antiqua" w:hAnsi="Book Antiqua"/>
          <w:color w:val="000000"/>
          <w:lang w:val="en-GB"/>
        </w:rPr>
        <w:t xml:space="preserve"> and compromise the functioning of physiological regulatory systems</w:t>
      </w:r>
      <w:r w:rsidR="005D0988" w:rsidRPr="00872B32">
        <w:rPr>
          <w:rFonts w:ascii="Book Antiqua" w:hAnsi="Book Antiqua"/>
          <w:color w:val="000000"/>
          <w:lang w:val="en-GB"/>
        </w:rPr>
        <w:t xml:space="preserve"> and their mutual communication</w:t>
      </w:r>
      <w:r w:rsidRPr="00872B32">
        <w:rPr>
          <w:rFonts w:ascii="Book Antiqua" w:hAnsi="Book Antiqua"/>
          <w:color w:val="000000"/>
          <w:vertAlign w:val="superscript"/>
        </w:rPr>
        <w:t>[2]</w:t>
      </w:r>
      <w:r w:rsidRPr="00872B32">
        <w:rPr>
          <w:rFonts w:ascii="Book Antiqua" w:hAnsi="Book Antiqua"/>
          <w:color w:val="000000"/>
        </w:rPr>
        <w:t xml:space="preserve">. </w:t>
      </w:r>
      <w:r w:rsidRPr="00872B32">
        <w:rPr>
          <w:rFonts w:ascii="Book Antiqua" w:hAnsi="Book Antiqua"/>
          <w:color w:val="000000"/>
          <w:lang w:val="en-GB"/>
        </w:rPr>
        <w:t xml:space="preserve">This could cause </w:t>
      </w:r>
      <w:r w:rsidRPr="00872B32">
        <w:rPr>
          <w:rFonts w:ascii="Book Antiqua" w:hAnsi="Book Antiqua"/>
          <w:color w:val="000000"/>
        </w:rPr>
        <w:t>the</w:t>
      </w:r>
      <w:r w:rsidRPr="00872B32">
        <w:rPr>
          <w:rFonts w:ascii="Book Antiqua" w:hAnsi="Book Antiqua"/>
          <w:color w:val="000000"/>
          <w:lang w:val="en-GB"/>
        </w:rPr>
        <w:t xml:space="preserve"> development of a chronic-inflammatory state</w:t>
      </w:r>
      <w:r w:rsidR="006F3AE8" w:rsidRPr="00872B32">
        <w:rPr>
          <w:rFonts w:ascii="Book Antiqua" w:hAnsi="Book Antiqua"/>
          <w:color w:val="000000"/>
          <w:lang w:val="en-GB"/>
        </w:rPr>
        <w:t>,</w:t>
      </w:r>
      <w:r w:rsidRPr="00872B32">
        <w:rPr>
          <w:rFonts w:ascii="Book Antiqua" w:hAnsi="Book Antiqua"/>
          <w:color w:val="000000"/>
          <w:lang w:val="en-GB"/>
        </w:rPr>
        <w:t xml:space="preserve"> </w:t>
      </w:r>
      <w:r w:rsidR="006F3AE8" w:rsidRPr="00872B32">
        <w:rPr>
          <w:rFonts w:ascii="Book Antiqua" w:hAnsi="Book Antiqua"/>
          <w:color w:val="000000"/>
          <w:lang w:val="en-GB"/>
        </w:rPr>
        <w:t xml:space="preserve">which could </w:t>
      </w:r>
      <w:r w:rsidRPr="00872B32">
        <w:rPr>
          <w:rFonts w:ascii="Book Antiqua" w:hAnsi="Book Antiqua"/>
          <w:color w:val="000000"/>
          <w:lang w:val="en-GB"/>
        </w:rPr>
        <w:t>consequently lead to degenerative process</w:t>
      </w:r>
      <w:r w:rsidR="00675A45">
        <w:rPr>
          <w:rFonts w:ascii="Book Antiqua" w:hAnsi="Book Antiqua"/>
          <w:color w:val="000000"/>
          <w:lang w:val="en-GB"/>
        </w:rPr>
        <w:t>es</w:t>
      </w:r>
      <w:r w:rsidRPr="00872B32">
        <w:rPr>
          <w:rFonts w:ascii="Book Antiqua" w:hAnsi="Book Antiqua"/>
          <w:color w:val="000000"/>
          <w:lang w:val="en-GB"/>
        </w:rPr>
        <w:t xml:space="preserve"> and to the onset of chronic-degenerative pathologies related to aging.</w:t>
      </w:r>
    </w:p>
    <w:p w14:paraId="4F2F236A" w14:textId="032726BF" w:rsidR="000956E5"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To identify valid parameters to select targets and biomarkers</w:t>
      </w:r>
      <w:r w:rsidR="00162278">
        <w:rPr>
          <w:rFonts w:ascii="Book Antiqua" w:hAnsi="Book Antiqua"/>
          <w:color w:val="000000"/>
          <w:sz w:val="24"/>
          <w:szCs w:val="24"/>
          <w:lang w:val="en-US"/>
        </w:rPr>
        <w:t>,</w:t>
      </w:r>
      <w:r w:rsidRPr="00872B32">
        <w:rPr>
          <w:rFonts w:ascii="Book Antiqua" w:hAnsi="Book Antiqua"/>
          <w:color w:val="000000"/>
          <w:sz w:val="24"/>
          <w:szCs w:val="24"/>
          <w:lang w:val="en-US"/>
        </w:rPr>
        <w:t xml:space="preserve"> the system biology study should shed light on the physio and pathological pathways</w:t>
      </w:r>
      <w:r w:rsidR="008D13F0" w:rsidRPr="00872B32">
        <w:rPr>
          <w:rFonts w:ascii="Book Antiqua" w:hAnsi="Book Antiqua"/>
          <w:color w:val="000000"/>
          <w:sz w:val="24"/>
          <w:szCs w:val="24"/>
          <w:lang w:val="en-US"/>
        </w:rPr>
        <w:t>,</w:t>
      </w:r>
      <w:r w:rsidRPr="00872B32">
        <w:rPr>
          <w:rFonts w:ascii="Book Antiqua" w:hAnsi="Book Antiqua"/>
          <w:color w:val="000000"/>
          <w:sz w:val="24"/>
          <w:szCs w:val="24"/>
          <w:lang w:val="en-US"/>
        </w:rPr>
        <w:t xml:space="preserve"> which regulate the homeostasis that control inflammation. This clarification is necessary in the transition from the state of healthy</w:t>
      </w:r>
      <w:r w:rsidR="00845621" w:rsidRPr="00872B32">
        <w:rPr>
          <w:rFonts w:ascii="Book Antiqua" w:hAnsi="Book Antiqua"/>
          <w:color w:val="000000"/>
          <w:sz w:val="24"/>
          <w:szCs w:val="24"/>
          <w:lang w:val="en-US"/>
        </w:rPr>
        <w:t xml:space="preserve"> </w:t>
      </w:r>
      <w:r w:rsidR="001C029D" w:rsidRPr="00872B32">
        <w:rPr>
          <w:rFonts w:ascii="Book Antiqua" w:hAnsi="Book Antiqua"/>
          <w:color w:val="000000"/>
          <w:sz w:val="24"/>
          <w:szCs w:val="24"/>
          <w:lang w:val="en-US"/>
        </w:rPr>
        <w:t xml:space="preserve">(characterized by homeostasis in the control of inflammation), to that of temporary acute inflammation (in which the re-establishment of this equilibrium is yet very probable), and then on to </w:t>
      </w:r>
      <w:r w:rsidR="00A20886" w:rsidRPr="00872B32">
        <w:rPr>
          <w:rFonts w:ascii="Book Antiqua" w:hAnsi="Book Antiqua"/>
          <w:color w:val="000000"/>
          <w:sz w:val="24"/>
          <w:szCs w:val="24"/>
          <w:lang w:val="en-US"/>
        </w:rPr>
        <w:t xml:space="preserve">a </w:t>
      </w:r>
      <w:r w:rsidR="001C029D" w:rsidRPr="00872B32">
        <w:rPr>
          <w:rFonts w:ascii="Book Antiqua" w:hAnsi="Book Antiqua"/>
          <w:color w:val="000000"/>
          <w:sz w:val="24"/>
          <w:szCs w:val="24"/>
          <w:lang w:val="en-US"/>
        </w:rPr>
        <w:t xml:space="preserve">chronic steady inflammation </w:t>
      </w:r>
      <w:r w:rsidRPr="00872B32">
        <w:rPr>
          <w:rFonts w:ascii="Book Antiqua" w:hAnsi="Book Antiqua"/>
          <w:color w:val="000000"/>
          <w:sz w:val="24"/>
          <w:szCs w:val="24"/>
          <w:lang w:val="en-US"/>
        </w:rPr>
        <w:t>condition (where this recovery is physiologically very improbable, while the risk of progression toward degenerative pathologies is high). In this way</w:t>
      </w:r>
      <w:r w:rsidR="008D13F0" w:rsidRPr="00872B32">
        <w:rPr>
          <w:rFonts w:ascii="Book Antiqua" w:hAnsi="Book Antiqua"/>
          <w:color w:val="000000"/>
          <w:sz w:val="24"/>
          <w:szCs w:val="24"/>
          <w:lang w:val="en-US"/>
        </w:rPr>
        <w:t>,</w:t>
      </w:r>
      <w:r w:rsidRPr="00872B32">
        <w:rPr>
          <w:rFonts w:ascii="Book Antiqua" w:hAnsi="Book Antiqua"/>
          <w:color w:val="000000"/>
          <w:sz w:val="24"/>
          <w:szCs w:val="24"/>
          <w:lang w:val="en-US"/>
        </w:rPr>
        <w:t xml:space="preserve"> it will be possible to select the biological molecules, whose variations could quantify our personal future risk of losing control of inflammation, which could allow the tumor to develop and progress. To study the </w:t>
      </w:r>
      <w:r w:rsidRPr="00872B32">
        <w:rPr>
          <w:rFonts w:ascii="Book Antiqua" w:eastAsia="AdvP4DF60E" w:hAnsi="Book Antiqua"/>
          <w:color w:val="000000"/>
          <w:sz w:val="24"/>
          <w:szCs w:val="24"/>
          <w:lang w:val="en-US"/>
        </w:rPr>
        <w:t xml:space="preserve">precursor state of </w:t>
      </w:r>
      <w:r w:rsidR="00D65548" w:rsidRPr="00A4725F">
        <w:rPr>
          <w:rFonts w:ascii="Book Antiqua" w:hAnsi="Book Antiqua"/>
          <w:color w:val="000000"/>
          <w:sz w:val="24"/>
          <w:szCs w:val="24"/>
          <w:lang w:val="en-US"/>
        </w:rPr>
        <w:lastRenderedPageBreak/>
        <w:t>colorectal cancer (CRC)</w:t>
      </w:r>
      <w:r w:rsidRPr="00872B32">
        <w:rPr>
          <w:rFonts w:ascii="Book Antiqua" w:eastAsia="AdvP4DF60E" w:hAnsi="Book Antiqua"/>
          <w:color w:val="000000"/>
          <w:sz w:val="24"/>
          <w:szCs w:val="24"/>
          <w:lang w:val="en-US"/>
        </w:rPr>
        <w:t xml:space="preserve"> tumor</w:t>
      </w:r>
      <w:r w:rsidRPr="00872B32">
        <w:rPr>
          <w:rFonts w:ascii="Book Antiqua" w:hAnsi="Book Antiqua"/>
          <w:color w:val="000000"/>
          <w:sz w:val="24"/>
          <w:szCs w:val="24"/>
          <w:lang w:val="en-US"/>
        </w:rPr>
        <w:t xml:space="preserve"> it is to be considered that </w:t>
      </w:r>
      <w:r w:rsidRPr="00872B32">
        <w:rPr>
          <w:rFonts w:ascii="Book Antiqua" w:eastAsia="AdvP4DF60E" w:hAnsi="Book Antiqua"/>
          <w:color w:val="000000"/>
          <w:sz w:val="24"/>
          <w:szCs w:val="24"/>
          <w:lang w:val="en-US"/>
        </w:rPr>
        <w:t>CRC has a stepwise nature</w:t>
      </w:r>
      <w:r w:rsidR="009E6727">
        <w:rPr>
          <w:rFonts w:ascii="Book Antiqua" w:eastAsia="AdvP4DF60E" w:hAnsi="Book Antiqua"/>
          <w:color w:val="000000"/>
          <w:sz w:val="24"/>
          <w:szCs w:val="24"/>
          <w:lang w:val="en-US"/>
        </w:rPr>
        <w:t>,</w:t>
      </w:r>
      <w:r w:rsidRPr="00872B32">
        <w:rPr>
          <w:rFonts w:ascii="Book Antiqua" w:eastAsia="AdvP4DF60E" w:hAnsi="Book Antiqua"/>
          <w:color w:val="000000"/>
          <w:sz w:val="24"/>
          <w:szCs w:val="24"/>
          <w:lang w:val="en-US"/>
        </w:rPr>
        <w:t xml:space="preserve"> and colon adenoma has been identified as a precursor of this tumor. </w:t>
      </w:r>
      <w:r w:rsidR="008D13F0" w:rsidRPr="00872B32">
        <w:rPr>
          <w:rFonts w:ascii="Book Antiqua" w:eastAsia="AdvP4DF60E" w:hAnsi="Book Antiqua"/>
          <w:color w:val="000000"/>
          <w:sz w:val="24"/>
          <w:szCs w:val="24"/>
          <w:lang w:val="en-US"/>
        </w:rPr>
        <w:t xml:space="preserve">Based on </w:t>
      </w:r>
      <w:r w:rsidRPr="00872B32">
        <w:rPr>
          <w:rFonts w:ascii="Book Antiqua" w:eastAsia="AdvP4DF60E" w:hAnsi="Book Antiqua"/>
          <w:color w:val="000000"/>
          <w:sz w:val="24"/>
          <w:szCs w:val="24"/>
          <w:lang w:val="en-US"/>
        </w:rPr>
        <w:t xml:space="preserve">this, colon adenoma could be evaluated as a pre-stage of CRC stage I. </w:t>
      </w:r>
      <w:r w:rsidRPr="00872B32">
        <w:rPr>
          <w:rFonts w:ascii="Book Antiqua" w:hAnsi="Book Antiqua"/>
          <w:color w:val="000000"/>
          <w:sz w:val="24"/>
          <w:szCs w:val="24"/>
          <w:lang w:val="en-US"/>
        </w:rPr>
        <w:tab/>
      </w:r>
    </w:p>
    <w:p w14:paraId="5E6E670F" w14:textId="1F3993B3" w:rsidR="000956E5" w:rsidRPr="00872B32" w:rsidRDefault="005D0988"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In the latest directives</w:t>
      </w:r>
      <w:r w:rsidR="00250BD9" w:rsidRPr="00872B32">
        <w:rPr>
          <w:rFonts w:ascii="Book Antiqua" w:hAnsi="Book Antiqua"/>
          <w:color w:val="000000"/>
          <w:sz w:val="24"/>
          <w:szCs w:val="24"/>
          <w:vertAlign w:val="superscript"/>
          <w:lang w:val="en-US"/>
        </w:rPr>
        <w:t>[3]</w:t>
      </w:r>
      <w:r w:rsidR="00250BD9" w:rsidRPr="00872B32">
        <w:rPr>
          <w:rFonts w:ascii="Book Antiqua" w:hAnsi="Book Antiqua"/>
          <w:color w:val="000000"/>
          <w:sz w:val="24"/>
          <w:szCs w:val="24"/>
          <w:lang w:val="en-US"/>
        </w:rPr>
        <w:t xml:space="preserve"> of the European consortium of researchers </w:t>
      </w:r>
      <w:r w:rsidR="009E6727">
        <w:rPr>
          <w:rFonts w:ascii="Book Antiqua" w:hAnsi="Book Antiqua"/>
          <w:color w:val="000000"/>
          <w:sz w:val="24"/>
          <w:szCs w:val="24"/>
          <w:lang w:val="en-US"/>
        </w:rPr>
        <w:t>[</w:t>
      </w:r>
      <w:r w:rsidR="00250BD9" w:rsidRPr="00872B32">
        <w:rPr>
          <w:rFonts w:ascii="Book Antiqua" w:hAnsi="Book Antiqua"/>
          <w:color w:val="000000"/>
          <w:sz w:val="24"/>
          <w:szCs w:val="24"/>
          <w:lang w:val="en-US"/>
        </w:rPr>
        <w:t>European Cooperation in Science and Technology</w:t>
      </w:r>
      <w:r w:rsidR="009E6727">
        <w:rPr>
          <w:rFonts w:ascii="Book Antiqua" w:hAnsi="Book Antiqua"/>
          <w:color w:val="000000"/>
          <w:sz w:val="24"/>
          <w:szCs w:val="24"/>
          <w:lang w:val="en-US"/>
        </w:rPr>
        <w:t xml:space="preserve"> (</w:t>
      </w:r>
      <w:r w:rsidR="00250BD9" w:rsidRPr="00872B32">
        <w:rPr>
          <w:rFonts w:ascii="Book Antiqua" w:hAnsi="Book Antiqua"/>
          <w:color w:val="000000"/>
          <w:sz w:val="24"/>
          <w:szCs w:val="24"/>
          <w:lang w:val="en-US"/>
        </w:rPr>
        <w:t>COST)</w:t>
      </w:r>
      <w:r w:rsidR="009E6727">
        <w:rPr>
          <w:rFonts w:ascii="Book Antiqua" w:hAnsi="Book Antiqua"/>
          <w:color w:val="000000"/>
          <w:sz w:val="24"/>
          <w:szCs w:val="24"/>
          <w:lang w:val="en-US"/>
        </w:rPr>
        <w:t>]</w:t>
      </w:r>
      <w:r w:rsidR="00250BD9" w:rsidRPr="00872B32">
        <w:rPr>
          <w:rFonts w:ascii="Book Antiqua" w:hAnsi="Book Antiqua"/>
          <w:color w:val="000000"/>
          <w:sz w:val="24"/>
          <w:szCs w:val="24"/>
          <w:lang w:val="en-US"/>
        </w:rPr>
        <w:t xml:space="preserve">, the working group on redox biomarkers research networks indicates oxidation products as redox biomarkers. They refer </w:t>
      </w:r>
      <w:r w:rsidR="00C165DD" w:rsidRPr="00872B32">
        <w:rPr>
          <w:rFonts w:ascii="Book Antiqua" w:hAnsi="Book Antiqua"/>
          <w:color w:val="000000"/>
          <w:sz w:val="24"/>
          <w:szCs w:val="24"/>
          <w:lang w:val="en-US"/>
        </w:rPr>
        <w:t xml:space="preserve">that biological systems are influenced by a variety of endogenous and exogenous oxidants able of altering proteins, which could influence cell-signaling pathways and take part in inflammatory and chronic diseases. </w:t>
      </w:r>
      <w:r w:rsidR="00250BD9" w:rsidRPr="00872B32">
        <w:rPr>
          <w:rFonts w:ascii="Book Antiqua" w:hAnsi="Book Antiqua"/>
          <w:color w:val="000000"/>
          <w:sz w:val="24"/>
          <w:szCs w:val="24"/>
          <w:lang w:val="en-US"/>
        </w:rPr>
        <w:t>Therefore,</w:t>
      </w:r>
      <w:r w:rsidR="00A74DD9" w:rsidRPr="00872B32">
        <w:rPr>
          <w:rFonts w:ascii="Book Antiqua" w:hAnsi="Book Antiqua"/>
          <w:color w:val="000000"/>
          <w:sz w:val="24"/>
          <w:szCs w:val="24"/>
          <w:lang w:val="en-US"/>
        </w:rPr>
        <w:t xml:space="preserve"> </w:t>
      </w:r>
      <w:r w:rsidR="00250BD9" w:rsidRPr="00872B32">
        <w:rPr>
          <w:rFonts w:ascii="Book Antiqua" w:hAnsi="Book Antiqua"/>
          <w:color w:val="000000"/>
          <w:sz w:val="24"/>
          <w:szCs w:val="24"/>
          <w:lang w:val="en-US"/>
        </w:rPr>
        <w:t xml:space="preserve">they indicate the need </w:t>
      </w:r>
      <w:r w:rsidR="00801434">
        <w:rPr>
          <w:rFonts w:ascii="Book Antiqua" w:hAnsi="Book Antiqua"/>
          <w:color w:val="000000"/>
          <w:sz w:val="24"/>
          <w:szCs w:val="24"/>
          <w:lang w:val="en-US"/>
        </w:rPr>
        <w:t xml:space="preserve">to increase </w:t>
      </w:r>
      <w:r w:rsidR="00250BD9" w:rsidRPr="00872B32">
        <w:rPr>
          <w:rFonts w:ascii="Book Antiqua" w:hAnsi="Book Antiqua"/>
          <w:color w:val="000000"/>
          <w:sz w:val="24"/>
          <w:szCs w:val="24"/>
          <w:lang w:val="en-US"/>
        </w:rPr>
        <w:t>understanding of redox biology into advances in these human disease therapies.</w:t>
      </w:r>
      <w:r w:rsidR="00D06769" w:rsidRPr="00872B32">
        <w:rPr>
          <w:rFonts w:ascii="Book Antiqua" w:hAnsi="Book Antiqua"/>
          <w:color w:val="000000"/>
          <w:sz w:val="24"/>
          <w:szCs w:val="24"/>
          <w:lang w:val="en-US"/>
        </w:rPr>
        <w:t xml:space="preserve"> </w:t>
      </w:r>
      <w:r w:rsidR="00250BD9" w:rsidRPr="00872B32">
        <w:rPr>
          <w:rFonts w:ascii="Book Antiqua" w:hAnsi="Book Antiqua"/>
          <w:color w:val="000000"/>
          <w:sz w:val="24"/>
          <w:szCs w:val="24"/>
          <w:lang w:val="en-US"/>
        </w:rPr>
        <w:t>W</w:t>
      </w:r>
      <w:r w:rsidR="000956E5" w:rsidRPr="00872B32">
        <w:rPr>
          <w:rFonts w:ascii="Book Antiqua" w:eastAsia="AdvP4DF60E" w:hAnsi="Book Antiqua"/>
          <w:color w:val="000000"/>
          <w:sz w:val="24"/>
          <w:szCs w:val="24"/>
          <w:lang w:val="en-US"/>
        </w:rPr>
        <w:t xml:space="preserve">e must take into account that the redox and immune systems are among the most compromised, </w:t>
      </w:r>
      <w:r w:rsidR="000956E5" w:rsidRPr="00872B32">
        <w:rPr>
          <w:rFonts w:ascii="Book Antiqua" w:hAnsi="Book Antiqua"/>
          <w:color w:val="000000"/>
          <w:sz w:val="24"/>
          <w:szCs w:val="24"/>
          <w:lang w:val="en-GB"/>
        </w:rPr>
        <w:t>in the functioning and their mutual communication,</w:t>
      </w:r>
      <w:r w:rsidR="00987D3A" w:rsidRPr="00872B32">
        <w:rPr>
          <w:rFonts w:ascii="Book Antiqua" w:eastAsia="AdvP4DF60E" w:hAnsi="Book Antiqua"/>
          <w:color w:val="000000"/>
          <w:sz w:val="24"/>
          <w:szCs w:val="24"/>
          <w:lang w:val="en-US"/>
        </w:rPr>
        <w:t xml:space="preserve"> by aging</w:t>
      </w:r>
      <w:r w:rsidR="000956E5" w:rsidRPr="00872B32">
        <w:rPr>
          <w:rFonts w:ascii="Book Antiqua" w:hAnsi="Book Antiqua"/>
          <w:color w:val="000000"/>
          <w:sz w:val="24"/>
          <w:szCs w:val="24"/>
          <w:vertAlign w:val="superscript"/>
          <w:lang w:val="en-US"/>
        </w:rPr>
        <w:t>[</w:t>
      </w:r>
      <w:r w:rsidR="00250BD9" w:rsidRPr="00872B32">
        <w:rPr>
          <w:rFonts w:ascii="Book Antiqua" w:hAnsi="Book Antiqua"/>
          <w:color w:val="000000"/>
          <w:sz w:val="24"/>
          <w:szCs w:val="24"/>
          <w:vertAlign w:val="superscript"/>
          <w:lang w:val="en-US"/>
        </w:rPr>
        <w:t>4</w:t>
      </w:r>
      <w:r w:rsidR="000956E5" w:rsidRPr="00872B32">
        <w:rPr>
          <w:rFonts w:ascii="Book Antiqua" w:hAnsi="Book Antiqua"/>
          <w:color w:val="000000"/>
          <w:sz w:val="24"/>
          <w:szCs w:val="24"/>
          <w:vertAlign w:val="superscript"/>
          <w:lang w:val="en-US"/>
        </w:rPr>
        <w:t>]</w:t>
      </w:r>
      <w:r w:rsidR="000956E5" w:rsidRPr="00872B32">
        <w:rPr>
          <w:rFonts w:ascii="Book Antiqua" w:hAnsi="Book Antiqua"/>
          <w:color w:val="000000"/>
          <w:sz w:val="24"/>
          <w:szCs w:val="24"/>
          <w:lang w:val="en-US"/>
        </w:rPr>
        <w:t xml:space="preserve">. </w:t>
      </w:r>
      <w:r w:rsidR="000956E5" w:rsidRPr="00872B32">
        <w:rPr>
          <w:rFonts w:ascii="Book Antiqua" w:eastAsia="AdvP4DF60E" w:hAnsi="Book Antiqua"/>
          <w:color w:val="000000"/>
          <w:sz w:val="24"/>
          <w:szCs w:val="24"/>
          <w:lang w:val="en-US"/>
        </w:rPr>
        <w:t>Men and women follow different strategies for a healthy long lasting life</w:t>
      </w:r>
      <w:r w:rsidR="000956E5" w:rsidRPr="00872B32">
        <w:rPr>
          <w:rFonts w:ascii="Book Antiqua" w:eastAsia="AdvP4DF60E" w:hAnsi="Book Antiqua"/>
          <w:color w:val="000000"/>
          <w:sz w:val="24"/>
          <w:szCs w:val="24"/>
          <w:vertAlign w:val="superscript"/>
          <w:lang w:val="en-US"/>
        </w:rPr>
        <w:t>[4,5]</w:t>
      </w:r>
      <w:r w:rsidR="000956E5" w:rsidRPr="00872B32">
        <w:rPr>
          <w:rFonts w:ascii="Book Antiqua" w:eastAsia="AdvP4DF60E" w:hAnsi="Book Antiqua"/>
          <w:color w:val="000000"/>
          <w:sz w:val="24"/>
          <w:szCs w:val="24"/>
          <w:lang w:val="en-US"/>
        </w:rPr>
        <w:t>. In fact, they have different physiological pathways for the regulation of immune response homeostasis. Aging-related alterations of gender pathways predispose men an</w:t>
      </w:r>
      <w:r w:rsidR="00250BD9" w:rsidRPr="00872B32">
        <w:rPr>
          <w:rFonts w:ascii="Book Antiqua" w:eastAsia="AdvP4DF60E" w:hAnsi="Book Antiqua"/>
          <w:color w:val="000000"/>
          <w:sz w:val="24"/>
          <w:szCs w:val="24"/>
          <w:lang w:val="en-US"/>
        </w:rPr>
        <w:t>d women differently to diseases</w:t>
      </w:r>
      <w:r w:rsidR="000956E5" w:rsidRPr="00872B32">
        <w:rPr>
          <w:rFonts w:ascii="Book Antiqua" w:hAnsi="Book Antiqua"/>
          <w:color w:val="000000"/>
          <w:sz w:val="24"/>
          <w:szCs w:val="24"/>
          <w:lang w:val="en-US"/>
        </w:rPr>
        <w:t xml:space="preserve"> and</w:t>
      </w:r>
      <w:r w:rsidR="000956E5" w:rsidRPr="00872B32">
        <w:rPr>
          <w:rFonts w:ascii="Book Antiqua" w:eastAsia="AdvP4DF60E" w:hAnsi="Book Antiqua"/>
          <w:color w:val="000000"/>
          <w:sz w:val="24"/>
          <w:szCs w:val="24"/>
          <w:lang w:val="en-US"/>
        </w:rPr>
        <w:t xml:space="preserve"> therapeutic response</w:t>
      </w:r>
      <w:r w:rsidR="000956E5" w:rsidRPr="00872B32">
        <w:rPr>
          <w:rFonts w:ascii="Book Antiqua" w:eastAsia="AdvP4DF60E" w:hAnsi="Book Antiqua"/>
          <w:color w:val="000000"/>
          <w:sz w:val="24"/>
          <w:szCs w:val="24"/>
          <w:vertAlign w:val="superscript"/>
          <w:lang w:val="en-US"/>
        </w:rPr>
        <w:t>[</w:t>
      </w:r>
      <w:r w:rsidR="00A74DD9" w:rsidRPr="00872B32">
        <w:rPr>
          <w:rFonts w:ascii="Book Antiqua" w:eastAsia="AdvP4DF60E" w:hAnsi="Book Antiqua"/>
          <w:color w:val="000000"/>
          <w:sz w:val="24"/>
          <w:szCs w:val="24"/>
          <w:vertAlign w:val="superscript"/>
          <w:lang w:val="en-US"/>
        </w:rPr>
        <w:t>5,</w:t>
      </w:r>
      <w:r w:rsidR="000956E5" w:rsidRPr="00872B32">
        <w:rPr>
          <w:rFonts w:ascii="Book Antiqua" w:eastAsia="AdvP4DF60E" w:hAnsi="Book Antiqua"/>
          <w:color w:val="000000"/>
          <w:sz w:val="24"/>
          <w:szCs w:val="24"/>
          <w:vertAlign w:val="superscript"/>
          <w:lang w:val="en-US"/>
        </w:rPr>
        <w:t>6]</w:t>
      </w:r>
      <w:r w:rsidR="000956E5" w:rsidRPr="00872B32">
        <w:rPr>
          <w:rFonts w:ascii="Book Antiqua" w:hAnsi="Book Antiqua"/>
          <w:color w:val="000000"/>
          <w:sz w:val="24"/>
          <w:szCs w:val="24"/>
          <w:lang w:val="en-US"/>
        </w:rPr>
        <w:t>. Furthermore, results indicate redox immune homeostasis as a target and biomarker for preventing aging-related immune process and diseases</w:t>
      </w:r>
      <w:r w:rsidR="00801434">
        <w:rPr>
          <w:rFonts w:ascii="Book Antiqua" w:hAnsi="Book Antiqua"/>
          <w:color w:val="000000"/>
          <w:sz w:val="24"/>
          <w:szCs w:val="24"/>
          <w:lang w:val="en-US"/>
        </w:rPr>
        <w:t>,</w:t>
      </w:r>
      <w:r w:rsidR="000956E5" w:rsidRPr="00872B32">
        <w:rPr>
          <w:rFonts w:ascii="Book Antiqua" w:hAnsi="Book Antiqua"/>
          <w:color w:val="000000"/>
          <w:sz w:val="24"/>
          <w:szCs w:val="24"/>
          <w:lang w:val="en-US"/>
        </w:rPr>
        <w:t xml:space="preserve"> and </w:t>
      </w:r>
      <w:r w:rsidR="00801434">
        <w:rPr>
          <w:rFonts w:ascii="Book Antiqua" w:hAnsi="Book Antiqua"/>
          <w:color w:val="000000"/>
          <w:sz w:val="24"/>
          <w:szCs w:val="24"/>
          <w:lang w:val="en-US"/>
        </w:rPr>
        <w:t>T helper (Th)</w:t>
      </w:r>
      <w:r w:rsidR="000956E5" w:rsidRPr="00872B32">
        <w:rPr>
          <w:rFonts w:ascii="Book Antiqua" w:hAnsi="Book Antiqua"/>
          <w:color w:val="000000"/>
          <w:sz w:val="24"/>
          <w:szCs w:val="24"/>
          <w:lang w:val="en-US"/>
        </w:rPr>
        <w:t xml:space="preserve"> cells are the determinant elements in age-related pathological immunity</w:t>
      </w:r>
      <w:r w:rsidR="000956E5" w:rsidRPr="00872B32">
        <w:rPr>
          <w:rFonts w:ascii="Book Antiqua" w:hAnsi="Book Antiqua"/>
          <w:color w:val="000000"/>
          <w:sz w:val="24"/>
          <w:szCs w:val="24"/>
          <w:vertAlign w:val="superscript"/>
          <w:lang w:val="en-US"/>
        </w:rPr>
        <w:t>[4]</w:t>
      </w:r>
      <w:r w:rsidR="000956E5" w:rsidRPr="00872B32">
        <w:rPr>
          <w:rFonts w:ascii="Book Antiqua" w:hAnsi="Book Antiqua"/>
          <w:color w:val="000000"/>
          <w:sz w:val="24"/>
          <w:szCs w:val="24"/>
          <w:lang w:val="en-US"/>
        </w:rPr>
        <w:t>. Understanding how environmental signals interact with T cell metabolism and redox state to influence Th subset differentiation could clarify how aging compromises immune function.</w:t>
      </w:r>
      <w:r w:rsidR="00C808A0" w:rsidRPr="00872B32">
        <w:rPr>
          <w:rFonts w:ascii="Book Antiqua" w:hAnsi="Book Antiqua"/>
          <w:color w:val="000000"/>
          <w:sz w:val="24"/>
          <w:szCs w:val="24"/>
          <w:lang w:val="en-US"/>
        </w:rPr>
        <w:t xml:space="preserve"> </w:t>
      </w:r>
      <w:r w:rsidR="000956E5" w:rsidRPr="00872B32">
        <w:rPr>
          <w:rFonts w:ascii="Book Antiqua" w:hAnsi="Book Antiqua"/>
          <w:color w:val="000000"/>
          <w:sz w:val="24"/>
          <w:szCs w:val="24"/>
          <w:lang w:val="en-US"/>
        </w:rPr>
        <w:t xml:space="preserve">This will allow </w:t>
      </w:r>
      <w:r w:rsidR="00E20832" w:rsidRPr="00872B32">
        <w:rPr>
          <w:rFonts w:ascii="Book Antiqua" w:hAnsi="Book Antiqua"/>
          <w:color w:val="000000"/>
          <w:sz w:val="24"/>
          <w:szCs w:val="24"/>
          <w:lang w:val="en-US"/>
        </w:rPr>
        <w:t>identifying</w:t>
      </w:r>
      <w:r w:rsidR="00820027" w:rsidRPr="00872B32">
        <w:rPr>
          <w:rFonts w:ascii="Book Antiqua" w:hAnsi="Book Antiqua"/>
          <w:color w:val="000000"/>
          <w:sz w:val="24"/>
          <w:szCs w:val="24"/>
          <w:lang w:val="en-US"/>
        </w:rPr>
        <w:t xml:space="preserve"> the </w:t>
      </w:r>
      <w:r w:rsidR="000956E5" w:rsidRPr="00872B32">
        <w:rPr>
          <w:rFonts w:ascii="Book Antiqua" w:hAnsi="Book Antiqua"/>
          <w:color w:val="000000"/>
          <w:sz w:val="24"/>
          <w:szCs w:val="24"/>
          <w:lang w:val="en-US"/>
        </w:rPr>
        <w:t>target and biomarkers for</w:t>
      </w:r>
      <w:r w:rsidR="00C808A0" w:rsidRPr="00872B32">
        <w:rPr>
          <w:rFonts w:ascii="Book Antiqua" w:hAnsi="Book Antiqua"/>
          <w:color w:val="000000"/>
          <w:sz w:val="24"/>
          <w:szCs w:val="24"/>
          <w:lang w:val="en-US"/>
        </w:rPr>
        <w:t xml:space="preserve"> </w:t>
      </w:r>
      <w:r w:rsidR="000956E5" w:rsidRPr="00872B32">
        <w:rPr>
          <w:rFonts w:ascii="Book Antiqua" w:hAnsi="Book Antiqua"/>
          <w:color w:val="000000"/>
          <w:sz w:val="24"/>
          <w:szCs w:val="24"/>
          <w:lang w:val="en-US"/>
        </w:rPr>
        <w:t>new resolving treatments</w:t>
      </w:r>
      <w:r w:rsidR="000956E5" w:rsidRPr="00872B32">
        <w:rPr>
          <w:rFonts w:ascii="Book Antiqua" w:hAnsi="Book Antiqua"/>
          <w:color w:val="000000"/>
          <w:sz w:val="24"/>
          <w:szCs w:val="24"/>
          <w:vertAlign w:val="superscript"/>
          <w:lang w:val="en-US"/>
        </w:rPr>
        <w:t>[4]</w:t>
      </w:r>
      <w:r w:rsidR="000956E5" w:rsidRPr="00824A13">
        <w:rPr>
          <w:rFonts w:ascii="Book Antiqua" w:hAnsi="Book Antiqua"/>
          <w:color w:val="000000"/>
          <w:sz w:val="24"/>
          <w:szCs w:val="24"/>
          <w:lang w:val="en-US"/>
        </w:rPr>
        <w:t>.</w:t>
      </w:r>
    </w:p>
    <w:p w14:paraId="4C748436" w14:textId="320186C1" w:rsidR="000956E5"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Consequently, we think that the study of Trx1/CD30 interactions could be </w:t>
      </w:r>
      <w:r w:rsidR="00E20832" w:rsidRPr="00872B32">
        <w:rPr>
          <w:rFonts w:ascii="Book Antiqua" w:hAnsi="Book Antiqua"/>
          <w:color w:val="000000"/>
          <w:sz w:val="24"/>
          <w:szCs w:val="24"/>
          <w:lang w:val="en-US"/>
        </w:rPr>
        <w:t>interesting</w:t>
      </w:r>
      <w:r w:rsidRPr="00872B32">
        <w:rPr>
          <w:rFonts w:ascii="Book Antiqua" w:hAnsi="Book Antiqua"/>
          <w:color w:val="000000"/>
          <w:sz w:val="24"/>
          <w:szCs w:val="24"/>
          <w:lang w:val="en-US"/>
        </w:rPr>
        <w:t>. This investigation could lead to</w:t>
      </w:r>
      <w:r w:rsidR="00801434">
        <w:rPr>
          <w:rFonts w:ascii="Book Antiqua" w:hAnsi="Book Antiqua"/>
          <w:color w:val="000000"/>
          <w:sz w:val="24"/>
          <w:szCs w:val="24"/>
          <w:lang w:val="en-US"/>
        </w:rPr>
        <w:t xml:space="preserve"> the</w:t>
      </w:r>
      <w:r w:rsidRPr="00872B32">
        <w:rPr>
          <w:rFonts w:ascii="Book Antiqua" w:hAnsi="Book Antiqua"/>
          <w:color w:val="000000"/>
          <w:sz w:val="24"/>
          <w:szCs w:val="24"/>
          <w:lang w:val="en-US"/>
        </w:rPr>
        <w:t xml:space="preserve"> discover</w:t>
      </w:r>
      <w:r w:rsidR="00801434">
        <w:rPr>
          <w:rFonts w:ascii="Book Antiqua" w:hAnsi="Book Antiqua"/>
          <w:color w:val="000000"/>
          <w:sz w:val="24"/>
          <w:szCs w:val="24"/>
          <w:lang w:val="en-US"/>
        </w:rPr>
        <w:t>y of</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gender-specific changes induced by aging in the control of inflammation and</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select the above biomarkers for personalized clinical screening. Our hypothesis is based on the following. </w:t>
      </w:r>
    </w:p>
    <w:p w14:paraId="2D00FCAF" w14:textId="77777777" w:rsidR="000956E5"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Trx1 is a thermostable redox protein (</w:t>
      </w:r>
      <w:r w:rsidR="006F2A88" w:rsidRPr="00872B32">
        <w:rPr>
          <w:rFonts w:ascii="Book Antiqua" w:hAnsi="Book Antiqua"/>
          <w:color w:val="000000"/>
          <w:sz w:val="24"/>
          <w:szCs w:val="24"/>
          <w:lang w:val="en-US"/>
        </w:rPr>
        <w:t>constituted of 108 amino acids)</w:t>
      </w:r>
      <w:r w:rsidRPr="00872B32">
        <w:rPr>
          <w:rFonts w:ascii="Book Antiqua" w:hAnsi="Book Antiqua"/>
          <w:color w:val="000000"/>
          <w:sz w:val="24"/>
          <w:szCs w:val="24"/>
          <w:vertAlign w:val="superscript"/>
          <w:lang w:val="en-US"/>
        </w:rPr>
        <w:t>[7]</w:t>
      </w:r>
      <w:r w:rsidRPr="00872B32">
        <w:rPr>
          <w:rFonts w:ascii="Book Antiqua" w:hAnsi="Book Antiqua"/>
          <w:color w:val="000000"/>
          <w:sz w:val="24"/>
          <w:szCs w:val="24"/>
          <w:lang w:val="en-US"/>
        </w:rPr>
        <w:t xml:space="preserve">. It performs its redox immune functions by regulating the cell thiol redox state of the immune cells, which is a crucial mediator of multiple metabolic signaling and transcriptional processes. However, this redox immune regulation can only take </w:t>
      </w:r>
      <w:r w:rsidRPr="00872B32">
        <w:rPr>
          <w:rFonts w:ascii="Book Antiqua" w:hAnsi="Book Antiqua"/>
          <w:color w:val="000000"/>
          <w:sz w:val="24"/>
          <w:szCs w:val="24"/>
          <w:lang w:val="en-US"/>
        </w:rPr>
        <w:lastRenderedPageBreak/>
        <w:t>place if Trx1 can interact with its specific target, the CD30 receptor, on the cell membrane. It does this by going through the subsequent pathways</w:t>
      </w:r>
      <w:r w:rsidRPr="00872B32">
        <w:rPr>
          <w:rFonts w:ascii="Book Antiqua" w:hAnsi="Book Antiqua"/>
          <w:color w:val="000000"/>
          <w:sz w:val="24"/>
          <w:szCs w:val="24"/>
          <w:vertAlign w:val="superscript"/>
          <w:lang w:val="en-US"/>
        </w:rPr>
        <w:t>[8]</w:t>
      </w:r>
      <w:r w:rsidRPr="00872B32">
        <w:rPr>
          <w:rFonts w:ascii="Book Antiqua" w:hAnsi="Book Antiqua"/>
          <w:color w:val="000000"/>
          <w:sz w:val="24"/>
          <w:szCs w:val="24"/>
          <w:lang w:val="en-US"/>
        </w:rPr>
        <w:t xml:space="preserve"> (Fig</w:t>
      </w:r>
      <w:r w:rsidR="002B2352" w:rsidRPr="00872B32">
        <w:rPr>
          <w:rFonts w:ascii="Book Antiqua" w:hAnsi="Book Antiqua"/>
          <w:color w:val="000000"/>
          <w:sz w:val="24"/>
          <w:szCs w:val="24"/>
          <w:lang w:val="en-US"/>
        </w:rPr>
        <w:t>ure</w:t>
      </w:r>
      <w:r w:rsidRPr="00872B32">
        <w:rPr>
          <w:rFonts w:ascii="Book Antiqua" w:hAnsi="Book Antiqua"/>
          <w:color w:val="000000"/>
          <w:sz w:val="24"/>
          <w:szCs w:val="24"/>
          <w:lang w:val="en-US"/>
        </w:rPr>
        <w:t xml:space="preserve"> 1). </w:t>
      </w:r>
    </w:p>
    <w:p w14:paraId="19EAA316" w14:textId="7E54D7A5" w:rsidR="000C6F48"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Trx1 contains an S-S bridge</w:t>
      </w:r>
      <w:r w:rsidR="00801434">
        <w:rPr>
          <w:rFonts w:ascii="Book Antiqua" w:hAnsi="Book Antiqua"/>
          <w:color w:val="000000"/>
          <w:sz w:val="24"/>
          <w:szCs w:val="24"/>
          <w:lang w:val="en-US"/>
        </w:rPr>
        <w:t>,</w:t>
      </w:r>
      <w:r w:rsidRPr="00872B32">
        <w:rPr>
          <w:rFonts w:ascii="Book Antiqua" w:hAnsi="Book Antiqua"/>
          <w:color w:val="000000"/>
          <w:sz w:val="24"/>
          <w:szCs w:val="24"/>
          <w:lang w:val="en-US"/>
        </w:rPr>
        <w:t xml:space="preserve"> and it has a catalytic domain that is a donor of hydrogen for redox reactions. The Trx1 oxidized form (Trx1-S-S-) is converted into the reduced form (Trx1-SH) by the </w:t>
      </w:r>
      <w:r w:rsidR="00801434">
        <w:rPr>
          <w:rFonts w:ascii="Book Antiqua" w:hAnsi="Book Antiqua"/>
          <w:color w:val="000000"/>
          <w:sz w:val="24"/>
          <w:szCs w:val="24"/>
          <w:lang w:val="en-US"/>
        </w:rPr>
        <w:t>t</w:t>
      </w:r>
      <w:r w:rsidRPr="00872B32">
        <w:rPr>
          <w:rFonts w:ascii="Book Antiqua" w:hAnsi="Book Antiqua"/>
          <w:color w:val="000000"/>
          <w:sz w:val="24"/>
          <w:szCs w:val="24"/>
          <w:lang w:val="en-US"/>
        </w:rPr>
        <w:t>hioredoxin reductase flavoprotein (RTrx1), with the involvement of nicotinamide adenine dinucleotide phosphate. All these molecules constitute the “thioredoxin1 redox-system” (Fig</w:t>
      </w:r>
      <w:r w:rsidR="002B2352" w:rsidRPr="00872B32">
        <w:rPr>
          <w:rFonts w:ascii="Book Antiqua" w:hAnsi="Book Antiqua"/>
          <w:color w:val="000000"/>
          <w:sz w:val="24"/>
          <w:szCs w:val="24"/>
          <w:lang w:val="en-US"/>
        </w:rPr>
        <w:t>ure</w:t>
      </w:r>
      <w:r w:rsidRPr="00872B32">
        <w:rPr>
          <w:rFonts w:ascii="Book Antiqua" w:hAnsi="Book Antiqua"/>
          <w:color w:val="000000"/>
          <w:sz w:val="24"/>
          <w:szCs w:val="24"/>
          <w:lang w:val="en-US"/>
        </w:rPr>
        <w:t xml:space="preserve"> 1A). The reduced Trx1 fo</w:t>
      </w:r>
      <w:r w:rsidR="00707A78" w:rsidRPr="00872B32">
        <w:rPr>
          <w:rFonts w:ascii="Book Antiqua" w:hAnsi="Book Antiqua"/>
          <w:color w:val="000000"/>
          <w:sz w:val="24"/>
          <w:szCs w:val="24"/>
          <w:lang w:val="en-US"/>
        </w:rPr>
        <w:t xml:space="preserve">rm </w:t>
      </w:r>
      <w:r w:rsidRPr="00872B32">
        <w:rPr>
          <w:rFonts w:ascii="Book Antiqua" w:hAnsi="Book Antiqua"/>
          <w:color w:val="000000"/>
          <w:sz w:val="24"/>
          <w:szCs w:val="24"/>
          <w:lang w:val="en-US"/>
        </w:rPr>
        <w:t>(Trx1-SH) is able to interact with the oxidized CD30 (CD30 S-S) and reduce it (CD30 S-H). It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can only interact in this latter form with its ligand (CD30L) on activated </w:t>
      </w:r>
      <w:r w:rsidR="00801434">
        <w:rPr>
          <w:rFonts w:ascii="Book Antiqua" w:hAnsi="Book Antiqua"/>
          <w:color w:val="000000"/>
          <w:sz w:val="24"/>
          <w:szCs w:val="24"/>
          <w:lang w:val="en-US"/>
        </w:rPr>
        <w:t>n</w:t>
      </w:r>
      <w:r w:rsidRPr="00872B32">
        <w:rPr>
          <w:rFonts w:ascii="Book Antiqua" w:hAnsi="Book Antiqua"/>
          <w:color w:val="000000"/>
          <w:sz w:val="24"/>
          <w:szCs w:val="24"/>
          <w:lang w:val="en-US"/>
        </w:rPr>
        <w:t xml:space="preserve">atural </w:t>
      </w:r>
      <w:r w:rsidR="00801434">
        <w:rPr>
          <w:rFonts w:ascii="Book Antiqua" w:hAnsi="Book Antiqua"/>
          <w:color w:val="000000"/>
          <w:sz w:val="24"/>
          <w:szCs w:val="24"/>
          <w:lang w:val="en-US"/>
        </w:rPr>
        <w:t>k</w:t>
      </w:r>
      <w:r w:rsidRPr="00872B32">
        <w:rPr>
          <w:rFonts w:ascii="Book Antiqua" w:hAnsi="Book Antiqua"/>
          <w:color w:val="000000"/>
          <w:sz w:val="24"/>
          <w:szCs w:val="24"/>
          <w:lang w:val="en-US"/>
        </w:rPr>
        <w:t xml:space="preserve">iller (NK), </w:t>
      </w:r>
      <w:r w:rsidR="00801434">
        <w:rPr>
          <w:rFonts w:ascii="Book Antiqua" w:hAnsi="Book Antiqua"/>
          <w:color w:val="000000"/>
          <w:sz w:val="24"/>
          <w:szCs w:val="24"/>
          <w:lang w:val="en-US"/>
        </w:rPr>
        <w:t>d</w:t>
      </w:r>
      <w:r w:rsidRPr="00872B32">
        <w:rPr>
          <w:rFonts w:ascii="Book Antiqua" w:hAnsi="Book Antiqua"/>
          <w:color w:val="000000"/>
          <w:sz w:val="24"/>
          <w:szCs w:val="24"/>
          <w:lang w:val="en-US"/>
        </w:rPr>
        <w:t>endritic (DC), monocytes, 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neutrophils, eosinophils and B cells</w:t>
      </w:r>
      <w:r w:rsidRPr="00872B32">
        <w:rPr>
          <w:rFonts w:ascii="Book Antiqua" w:hAnsi="Book Antiqua"/>
          <w:color w:val="000000"/>
          <w:sz w:val="24"/>
          <w:szCs w:val="24"/>
          <w:vertAlign w:val="superscript"/>
          <w:lang w:val="en-US"/>
        </w:rPr>
        <w:t>[1,9]</w:t>
      </w:r>
      <w:r w:rsidRPr="00872B32">
        <w:rPr>
          <w:rFonts w:ascii="Book Antiqua" w:hAnsi="Book Antiqua"/>
          <w:color w:val="000000"/>
          <w:sz w:val="24"/>
          <w:szCs w:val="24"/>
          <w:lang w:val="en-US"/>
        </w:rPr>
        <w:t xml:space="preserve">. It has now been established that the normal interaction between these redox-immune molecules regulates the homeostasis of </w:t>
      </w:r>
      <w:r w:rsidR="00801434">
        <w:rPr>
          <w:rFonts w:ascii="Book Antiqua" w:hAnsi="Book Antiqua"/>
          <w:color w:val="000000"/>
          <w:sz w:val="24"/>
          <w:szCs w:val="24"/>
          <w:lang w:val="en-US"/>
        </w:rPr>
        <w:t>interferon gamma (</w:t>
      </w:r>
      <w:r w:rsidRPr="00872B32">
        <w:rPr>
          <w:rFonts w:ascii="Book Antiqua" w:hAnsi="Book Antiqua"/>
          <w:color w:val="000000"/>
          <w:sz w:val="24"/>
          <w:szCs w:val="24"/>
          <w:lang w:val="en-US"/>
        </w:rPr>
        <w:t>IFN</w:t>
      </w:r>
      <w:r w:rsidR="00E7643C" w:rsidRPr="00872B32">
        <w:rPr>
          <w:rFonts w:ascii="Book Antiqua" w:hAnsi="Book Antiqua"/>
          <w:color w:val="000000"/>
          <w:sz w:val="24"/>
          <w:szCs w:val="24"/>
        </w:rPr>
        <w:sym w:font="Symbol" w:char="F067"/>
      </w:r>
      <w:r w:rsidR="00801434">
        <w:rPr>
          <w:rFonts w:ascii="Book Antiqua" w:hAnsi="Book Antiqua"/>
          <w:color w:val="000000"/>
          <w:sz w:val="24"/>
          <w:szCs w:val="24"/>
        </w:rPr>
        <w:t>), interleukin (</w:t>
      </w:r>
      <w:r w:rsidRPr="00872B32">
        <w:rPr>
          <w:rFonts w:ascii="Book Antiqua" w:hAnsi="Book Antiqua"/>
          <w:color w:val="000000"/>
          <w:sz w:val="24"/>
          <w:szCs w:val="24"/>
          <w:lang w:val="en-US"/>
        </w:rPr>
        <w:t>IL</w:t>
      </w:r>
      <w:r w:rsidR="00801434">
        <w:rPr>
          <w:rFonts w:ascii="Book Antiqua" w:hAnsi="Book Antiqua"/>
          <w:color w:val="000000"/>
          <w:sz w:val="24"/>
          <w:szCs w:val="24"/>
          <w:lang w:val="en-US"/>
        </w:rPr>
        <w:t>)</w:t>
      </w:r>
      <w:r w:rsidRPr="00872B32">
        <w:rPr>
          <w:rFonts w:ascii="Book Antiqua" w:hAnsi="Book Antiqua"/>
          <w:color w:val="000000"/>
          <w:sz w:val="24"/>
          <w:szCs w:val="24"/>
          <w:lang w:val="en-US"/>
        </w:rPr>
        <w:t xml:space="preserve">4, </w:t>
      </w:r>
      <w:r w:rsidR="00801434">
        <w:rPr>
          <w:rFonts w:ascii="Book Antiqua" w:hAnsi="Book Antiqua"/>
          <w:color w:val="000000"/>
          <w:sz w:val="24"/>
          <w:szCs w:val="24"/>
          <w:lang w:val="en-US"/>
        </w:rPr>
        <w:t>transforming growth factor beta (</w:t>
      </w:r>
      <w:r w:rsidRPr="00872B32">
        <w:rPr>
          <w:rFonts w:ascii="Book Antiqua" w:hAnsi="Book Antiqua"/>
          <w:color w:val="000000"/>
          <w:sz w:val="24"/>
          <w:szCs w:val="24"/>
          <w:lang w:val="en-US"/>
        </w:rPr>
        <w:t>TGF</w:t>
      </w:r>
      <w:r w:rsidR="00E7643C" w:rsidRPr="00872B32">
        <w:rPr>
          <w:rFonts w:ascii="Book Antiqua" w:hAnsi="Book Antiqua"/>
          <w:color w:val="000000"/>
          <w:sz w:val="24"/>
          <w:szCs w:val="24"/>
        </w:rPr>
        <w:t>β</w:t>
      </w:r>
      <w:r w:rsidR="00801434">
        <w:rPr>
          <w:rFonts w:ascii="Book Antiqua" w:hAnsi="Book Antiqua"/>
          <w:color w:val="000000"/>
          <w:sz w:val="24"/>
          <w:szCs w:val="24"/>
        </w:rPr>
        <w:t>),</w:t>
      </w:r>
      <w:r w:rsidRPr="00872B32">
        <w:rPr>
          <w:rFonts w:ascii="Book Antiqua" w:hAnsi="Book Antiqua"/>
          <w:color w:val="000000"/>
          <w:sz w:val="24"/>
          <w:szCs w:val="24"/>
          <w:lang w:val="en-US"/>
        </w:rPr>
        <w:t xml:space="preserve"> IL6, IL10 and IL2 cytokine and cellular pathways</w:t>
      </w:r>
      <w:r w:rsidR="00801434">
        <w:rPr>
          <w:rFonts w:ascii="Book Antiqua" w:hAnsi="Book Antiqua"/>
          <w:color w:val="000000"/>
          <w:sz w:val="24"/>
          <w:szCs w:val="24"/>
          <w:lang w:val="en-US"/>
        </w:rPr>
        <w:t>. This homeostasis</w:t>
      </w:r>
      <w:r w:rsidRPr="00872B32">
        <w:rPr>
          <w:rFonts w:ascii="Book Antiqua" w:hAnsi="Book Antiqua"/>
          <w:color w:val="000000"/>
          <w:sz w:val="24"/>
          <w:szCs w:val="24"/>
          <w:lang w:val="en-US"/>
        </w:rPr>
        <w:t xml:space="preserve"> determines normal balance within Th differentiation in the respective subtypes (Th1, Th2, Treg, Th9 and Th17)</w:t>
      </w:r>
      <w:r w:rsidRPr="00872B32">
        <w:rPr>
          <w:rFonts w:ascii="Book Antiqua" w:hAnsi="Book Antiqua"/>
          <w:color w:val="000000"/>
          <w:sz w:val="24"/>
          <w:szCs w:val="24"/>
          <w:vertAlign w:val="superscript"/>
          <w:lang w:val="en-US"/>
        </w:rPr>
        <w:t>[8-</w:t>
      </w:r>
      <w:r w:rsidR="00DE7346" w:rsidRPr="00872B32">
        <w:rPr>
          <w:rFonts w:ascii="Book Antiqua" w:hAnsi="Book Antiqua"/>
          <w:color w:val="000000"/>
          <w:sz w:val="24"/>
          <w:szCs w:val="24"/>
          <w:vertAlign w:val="superscript"/>
          <w:lang w:val="en-US"/>
        </w:rPr>
        <w:t>10</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and, consequently, the homeostasis of Trx1/CD30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w:t>
      </w:r>
    </w:p>
    <w:p w14:paraId="597F50D7" w14:textId="3F77BB03" w:rsidR="007C5DA2"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The importance of cytokines is explained by the fact that the cytokine type in the cell microenvironment is the most important factor for the above processes. This is</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because they activate the specific cell transcription factors for the differentiation of the corresponding type of Th subset (</w:t>
      </w:r>
      <w:r w:rsidR="00944869" w:rsidRPr="00872B32">
        <w:rPr>
          <w:rFonts w:ascii="Book Antiqua" w:hAnsi="Book Antiqua"/>
          <w:color w:val="000000"/>
          <w:sz w:val="24"/>
          <w:szCs w:val="24"/>
          <w:lang w:val="en-US"/>
        </w:rPr>
        <w:t>Figure</w:t>
      </w:r>
      <w:r w:rsidRPr="00872B32">
        <w:rPr>
          <w:rFonts w:ascii="Book Antiqua" w:hAnsi="Book Antiqua"/>
          <w:color w:val="000000"/>
          <w:sz w:val="24"/>
          <w:szCs w:val="24"/>
          <w:lang w:val="en-US"/>
        </w:rPr>
        <w:t xml:space="preserve"> 1A). Th1 requires T bet</w:t>
      </w:r>
      <w:r w:rsidR="00DE7346" w:rsidRPr="00872B32">
        <w:rPr>
          <w:rFonts w:ascii="Book Antiqua" w:hAnsi="Book Antiqua"/>
          <w:color w:val="000000"/>
          <w:sz w:val="24"/>
          <w:szCs w:val="24"/>
          <w:vertAlign w:val="superscript"/>
          <w:lang w:val="en-US"/>
        </w:rPr>
        <w:t>[11</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Th2 GATA3</w:t>
      </w:r>
      <w:r w:rsidRPr="00872B32">
        <w:rPr>
          <w:rFonts w:ascii="Book Antiqua" w:hAnsi="Book Antiqua"/>
          <w:color w:val="000000"/>
          <w:sz w:val="24"/>
          <w:szCs w:val="24"/>
          <w:vertAlign w:val="superscript"/>
          <w:lang w:val="en-US"/>
        </w:rPr>
        <w:t>[</w:t>
      </w:r>
      <w:r w:rsidR="00DE7346" w:rsidRPr="00872B32">
        <w:rPr>
          <w:rFonts w:ascii="Book Antiqua" w:hAnsi="Book Antiqua"/>
          <w:color w:val="000000"/>
          <w:sz w:val="24"/>
          <w:szCs w:val="24"/>
          <w:vertAlign w:val="superscript"/>
          <w:lang w:val="en-US"/>
        </w:rPr>
        <w:t>12</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Treg c</w:t>
      </w:r>
      <w:r w:rsidR="00DE7346" w:rsidRPr="00872B32">
        <w:rPr>
          <w:rFonts w:ascii="Book Antiqua" w:hAnsi="Book Antiqua"/>
          <w:color w:val="000000"/>
          <w:sz w:val="24"/>
          <w:szCs w:val="24"/>
          <w:lang w:val="en-US"/>
        </w:rPr>
        <w:t>ells Forkhead box P3 (Foxp3)</w:t>
      </w:r>
      <w:r w:rsidR="00DE7346" w:rsidRPr="00872B32">
        <w:rPr>
          <w:rFonts w:ascii="Book Antiqua" w:hAnsi="Book Antiqua"/>
          <w:color w:val="000000"/>
          <w:sz w:val="24"/>
          <w:szCs w:val="24"/>
          <w:vertAlign w:val="superscript"/>
          <w:lang w:val="en-US"/>
        </w:rPr>
        <w:t>[13</w:t>
      </w:r>
      <w:r w:rsidRPr="00872B32">
        <w:rPr>
          <w:rFonts w:ascii="Book Antiqua" w:hAnsi="Book Antiqua"/>
          <w:color w:val="000000"/>
          <w:sz w:val="24"/>
          <w:szCs w:val="24"/>
          <w:vertAlign w:val="superscript"/>
          <w:lang w:val="en-US"/>
        </w:rPr>
        <w:t>]</w:t>
      </w:r>
      <w:r w:rsidR="00796D7F"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Th17 retinoic acid-related o</w:t>
      </w:r>
      <w:r w:rsidR="00DE7346" w:rsidRPr="00872B32">
        <w:rPr>
          <w:rFonts w:ascii="Book Antiqua" w:hAnsi="Book Antiqua"/>
          <w:color w:val="000000"/>
          <w:sz w:val="24"/>
          <w:szCs w:val="24"/>
          <w:lang w:val="en-US"/>
        </w:rPr>
        <w:t>rphan receptor gt</w:t>
      </w:r>
      <w:r w:rsidR="00DE7346" w:rsidRPr="00872B32">
        <w:rPr>
          <w:rFonts w:ascii="Book Antiqua" w:hAnsi="Book Antiqua"/>
          <w:color w:val="000000"/>
          <w:sz w:val="24"/>
          <w:szCs w:val="24"/>
          <w:vertAlign w:val="superscript"/>
          <w:lang w:val="en-US"/>
        </w:rPr>
        <w:t>[14,15</w:t>
      </w:r>
      <w:r w:rsidRPr="00872B32">
        <w:rPr>
          <w:rFonts w:ascii="Book Antiqua" w:hAnsi="Book Antiqua"/>
          <w:color w:val="000000"/>
          <w:sz w:val="24"/>
          <w:szCs w:val="24"/>
          <w:vertAlign w:val="superscript"/>
          <w:lang w:val="en-US"/>
        </w:rPr>
        <w:t xml:space="preserve">] </w:t>
      </w:r>
      <w:r w:rsidR="00DE7346" w:rsidRPr="00872B32">
        <w:rPr>
          <w:rFonts w:ascii="Book Antiqua" w:hAnsi="Book Antiqua"/>
          <w:color w:val="000000"/>
          <w:sz w:val="24"/>
          <w:szCs w:val="24"/>
          <w:lang w:val="en-US"/>
        </w:rPr>
        <w:t>and Th9 PU.1 bet</w:t>
      </w:r>
      <w:r w:rsidR="00DE7346" w:rsidRPr="00872B32">
        <w:rPr>
          <w:rFonts w:ascii="Book Antiqua" w:hAnsi="Book Antiqua"/>
          <w:color w:val="000000"/>
          <w:sz w:val="24"/>
          <w:szCs w:val="24"/>
          <w:vertAlign w:val="superscript"/>
          <w:lang w:val="en-US"/>
        </w:rPr>
        <w:t>[13-15</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 IFN</w:t>
      </w:r>
      <w:r w:rsidRPr="00872B32">
        <w:rPr>
          <w:rStyle w:val="mb"/>
          <w:rFonts w:ascii="Book Antiqua" w:hAnsi="Book Antiqua"/>
          <w:color w:val="000000"/>
          <w:sz w:val="24"/>
          <w:szCs w:val="24"/>
        </w:rPr>
        <w:t>γ</w:t>
      </w:r>
      <w:r w:rsidR="006A2ED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mediated signaling induces the first wave of T-bet expression</w:t>
      </w:r>
      <w:r w:rsidR="00DE7346" w:rsidRPr="00872B32">
        <w:rPr>
          <w:rFonts w:ascii="Book Antiqua" w:hAnsi="Book Antiqua"/>
          <w:color w:val="000000"/>
          <w:sz w:val="24"/>
          <w:szCs w:val="24"/>
          <w:vertAlign w:val="superscript"/>
          <w:lang w:val="en-US"/>
        </w:rPr>
        <w:t>[11</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for the generation of Th1 cells. On the other </w:t>
      </w:r>
      <w:r w:rsidR="00E20832" w:rsidRPr="00872B32">
        <w:rPr>
          <w:rFonts w:ascii="Book Antiqua" w:hAnsi="Book Antiqua"/>
          <w:color w:val="000000"/>
          <w:sz w:val="24"/>
          <w:szCs w:val="24"/>
          <w:lang w:val="en-US"/>
        </w:rPr>
        <w:t>hand,</w:t>
      </w:r>
      <w:r w:rsidRPr="00872B32">
        <w:rPr>
          <w:rFonts w:ascii="Book Antiqua" w:hAnsi="Book Antiqua"/>
          <w:color w:val="000000"/>
          <w:sz w:val="24"/>
          <w:szCs w:val="24"/>
          <w:lang w:val="en-US"/>
        </w:rPr>
        <w:t xml:space="preserve"> </w:t>
      </w:r>
      <w:r w:rsidR="00430119" w:rsidRPr="00872B32">
        <w:rPr>
          <w:rFonts w:ascii="Book Antiqua" w:hAnsi="Book Antiqua"/>
          <w:color w:val="000000"/>
          <w:sz w:val="24"/>
          <w:szCs w:val="24"/>
          <w:lang w:val="en-US"/>
        </w:rPr>
        <w:t>the expression of GATA-3 that is induced by IL4 is a limited time switch for t</w:t>
      </w:r>
      <w:r w:rsidR="00824A13">
        <w:rPr>
          <w:rFonts w:ascii="Book Antiqua" w:hAnsi="Book Antiqua"/>
          <w:color w:val="000000"/>
          <w:sz w:val="24"/>
          <w:szCs w:val="24"/>
          <w:lang w:val="en-US"/>
        </w:rPr>
        <w:t>he differentiation of Th2 cells</w:t>
      </w:r>
      <w:r w:rsidR="00C165DD" w:rsidRPr="00872B32">
        <w:rPr>
          <w:rFonts w:ascii="Book Antiqua" w:hAnsi="Book Antiqua"/>
          <w:color w:val="000000"/>
          <w:sz w:val="24"/>
          <w:szCs w:val="24"/>
          <w:vertAlign w:val="superscript"/>
          <w:lang w:val="en-US"/>
        </w:rPr>
        <w:t>[12]</w:t>
      </w:r>
      <w:r w:rsidR="006F2A88" w:rsidRPr="00872B32">
        <w:rPr>
          <w:rFonts w:ascii="Book Antiqua" w:eastAsia="宋体" w:hAnsi="Book Antiqua"/>
          <w:color w:val="000000"/>
          <w:sz w:val="24"/>
          <w:szCs w:val="24"/>
          <w:lang w:val="en-US" w:eastAsia="zh-CN"/>
        </w:rPr>
        <w:t xml:space="preserve">. </w:t>
      </w:r>
      <w:r w:rsidRPr="00872B32">
        <w:rPr>
          <w:rFonts w:ascii="Book Antiqua" w:hAnsi="Book Antiqua"/>
          <w:color w:val="000000"/>
          <w:sz w:val="24"/>
          <w:szCs w:val="24"/>
          <w:lang w:val="en-US"/>
        </w:rPr>
        <w:t>Moreover,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is fundamental for the expression of </w:t>
      </w:r>
      <w:r w:rsidR="00E20832" w:rsidRPr="00872B32">
        <w:rPr>
          <w:rFonts w:ascii="Book Antiqua" w:hAnsi="Book Antiqua"/>
          <w:color w:val="000000"/>
          <w:sz w:val="24"/>
          <w:szCs w:val="24"/>
          <w:lang w:val="en-US"/>
        </w:rPr>
        <w:t>Foxp3, which</w:t>
      </w:r>
      <w:r w:rsidRPr="00872B32">
        <w:rPr>
          <w:rFonts w:ascii="Book Antiqua" w:hAnsi="Book Antiqua"/>
          <w:color w:val="000000"/>
          <w:sz w:val="24"/>
          <w:szCs w:val="24"/>
          <w:lang w:val="en-US"/>
        </w:rPr>
        <w:t xml:space="preserve"> </w:t>
      </w:r>
      <w:r w:rsidR="00E20832" w:rsidRPr="00872B32">
        <w:rPr>
          <w:rFonts w:ascii="Book Antiqua" w:hAnsi="Book Antiqua"/>
          <w:color w:val="000000"/>
          <w:sz w:val="24"/>
          <w:szCs w:val="24"/>
          <w:lang w:val="en-US"/>
        </w:rPr>
        <w:t>generates Treg</w:t>
      </w:r>
      <w:r w:rsidR="00DE7346" w:rsidRPr="00872B32">
        <w:rPr>
          <w:rFonts w:ascii="Book Antiqua" w:hAnsi="Book Antiqua"/>
          <w:color w:val="000000"/>
          <w:sz w:val="24"/>
          <w:szCs w:val="24"/>
          <w:lang w:val="en-US"/>
        </w:rPr>
        <w:t xml:space="preserve"> cells</w:t>
      </w:r>
      <w:r w:rsidR="00DE7346" w:rsidRPr="00872B32">
        <w:rPr>
          <w:rFonts w:ascii="Book Antiqua" w:hAnsi="Book Antiqua"/>
          <w:color w:val="000000"/>
          <w:sz w:val="24"/>
          <w:szCs w:val="24"/>
          <w:vertAlign w:val="superscript"/>
          <w:lang w:val="en-US"/>
        </w:rPr>
        <w:t>[13</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However, the increase in levels of IL6 can inhibit the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d</w:t>
      </w:r>
      <w:r w:rsidR="00DE7346" w:rsidRPr="00872B32">
        <w:rPr>
          <w:rFonts w:ascii="Book Antiqua" w:hAnsi="Book Antiqua"/>
          <w:color w:val="000000"/>
          <w:sz w:val="24"/>
          <w:szCs w:val="24"/>
          <w:lang w:val="en-US"/>
        </w:rPr>
        <w:t>riven expression of Foxp3</w:t>
      </w:r>
      <w:r w:rsidR="00DE7346" w:rsidRPr="00872B32">
        <w:rPr>
          <w:rFonts w:ascii="Book Antiqua" w:hAnsi="Book Antiqua"/>
          <w:color w:val="000000"/>
          <w:sz w:val="24"/>
          <w:szCs w:val="24"/>
          <w:vertAlign w:val="superscript"/>
          <w:lang w:val="en-US"/>
        </w:rPr>
        <w:t>[14</w:t>
      </w:r>
      <w:r w:rsidR="00796D7F" w:rsidRPr="00872B32">
        <w:rPr>
          <w:rFonts w:ascii="Book Antiqua" w:hAnsi="Book Antiqua"/>
          <w:color w:val="000000"/>
          <w:sz w:val="24"/>
          <w:szCs w:val="24"/>
          <w:vertAlign w:val="superscript"/>
          <w:lang w:val="en-US"/>
        </w:rPr>
        <w:t>,</w:t>
      </w:r>
      <w:r w:rsidR="00E20832" w:rsidRPr="00872B32">
        <w:rPr>
          <w:rFonts w:ascii="Book Antiqua" w:hAnsi="Book Antiqua"/>
          <w:color w:val="000000"/>
          <w:sz w:val="24"/>
          <w:szCs w:val="24"/>
          <w:vertAlign w:val="superscript"/>
          <w:lang w:val="en-US"/>
        </w:rPr>
        <w:t>15</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and activate the ROR-gt transcription factor, which triggers Th17 cells. </w:t>
      </w:r>
      <w:r w:rsidR="00E20832" w:rsidRPr="00872B32">
        <w:rPr>
          <w:rFonts w:ascii="Book Antiqua" w:hAnsi="Book Antiqua"/>
          <w:color w:val="000000"/>
          <w:sz w:val="24"/>
          <w:szCs w:val="24"/>
          <w:lang w:val="en-US"/>
        </w:rPr>
        <w:t>Nevertheless,</w:t>
      </w:r>
      <w:r w:rsidRPr="00872B32">
        <w:rPr>
          <w:rFonts w:ascii="Book Antiqua" w:hAnsi="Book Antiqua"/>
          <w:color w:val="000000"/>
          <w:sz w:val="24"/>
          <w:szCs w:val="24"/>
          <w:lang w:val="en-US"/>
        </w:rPr>
        <w:t xml:space="preserve"> IL2 inhibits Th17 induction</w:t>
      </w:r>
      <w:r w:rsidRPr="00872B32">
        <w:rPr>
          <w:rFonts w:ascii="Book Antiqua" w:hAnsi="Book Antiqua"/>
          <w:color w:val="000000"/>
          <w:sz w:val="24"/>
          <w:szCs w:val="24"/>
          <w:vertAlign w:val="superscript"/>
          <w:lang w:val="en-US"/>
        </w:rPr>
        <w:t>[1</w:t>
      </w:r>
      <w:r w:rsidR="00DE7346" w:rsidRPr="00872B32">
        <w:rPr>
          <w:rFonts w:ascii="Book Antiqua" w:hAnsi="Book Antiqua"/>
          <w:color w:val="000000"/>
          <w:sz w:val="24"/>
          <w:szCs w:val="24"/>
          <w:vertAlign w:val="superscript"/>
          <w:lang w:val="en-US"/>
        </w:rPr>
        <w:t>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A significant IL4 increase also inhibits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induction of Foxp3 expression, but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together with IL4 activate the expression of the PU.1 transcription </w:t>
      </w:r>
      <w:r w:rsidR="00E20832" w:rsidRPr="00872B32">
        <w:rPr>
          <w:rFonts w:ascii="Book Antiqua" w:hAnsi="Book Antiqua"/>
          <w:color w:val="000000"/>
          <w:sz w:val="24"/>
          <w:szCs w:val="24"/>
          <w:lang w:val="en-US"/>
        </w:rPr>
        <w:t>factor, which</w:t>
      </w:r>
      <w:r w:rsidR="00DE7346" w:rsidRPr="00872B32">
        <w:rPr>
          <w:rFonts w:ascii="Book Antiqua" w:hAnsi="Book Antiqua"/>
          <w:color w:val="000000"/>
          <w:sz w:val="24"/>
          <w:szCs w:val="24"/>
          <w:lang w:val="en-US"/>
        </w:rPr>
        <w:t xml:space="preserve"> </w:t>
      </w:r>
      <w:r w:rsidR="00E20832" w:rsidRPr="00872B32">
        <w:rPr>
          <w:rFonts w:ascii="Book Antiqua" w:hAnsi="Book Antiqua"/>
          <w:color w:val="000000"/>
          <w:sz w:val="24"/>
          <w:szCs w:val="24"/>
          <w:lang w:val="en-US"/>
        </w:rPr>
        <w:t>generates Th9</w:t>
      </w:r>
      <w:r w:rsidR="00DE7346" w:rsidRPr="00872B32">
        <w:rPr>
          <w:rFonts w:ascii="Book Antiqua" w:hAnsi="Book Antiqua"/>
          <w:color w:val="000000"/>
          <w:sz w:val="24"/>
          <w:szCs w:val="24"/>
          <w:lang w:val="en-US"/>
        </w:rPr>
        <w:t xml:space="preserve"> cells</w:t>
      </w:r>
      <w:r w:rsidR="00DE7346" w:rsidRPr="00872B32">
        <w:rPr>
          <w:rFonts w:ascii="Book Antiqua" w:hAnsi="Book Antiqua"/>
          <w:color w:val="000000"/>
          <w:sz w:val="24"/>
          <w:szCs w:val="24"/>
          <w:vertAlign w:val="superscript"/>
          <w:lang w:val="en-US"/>
        </w:rPr>
        <w:t>[16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IFN</w:t>
      </w:r>
      <w:r w:rsidR="00E7643C" w:rsidRPr="00872B32">
        <w:rPr>
          <w:rFonts w:ascii="Book Antiqua" w:hAnsi="Book Antiqua"/>
          <w:color w:val="000000"/>
          <w:sz w:val="24"/>
          <w:szCs w:val="24"/>
        </w:rPr>
        <w:sym w:font="Symbol" w:char="F067"/>
      </w:r>
      <w:r w:rsidR="00077CEF"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and IL2 inhibit Th9 </w:t>
      </w:r>
      <w:r w:rsidRPr="00872B32">
        <w:rPr>
          <w:rFonts w:ascii="Book Antiqua" w:hAnsi="Book Antiqua"/>
          <w:color w:val="000000"/>
          <w:sz w:val="24"/>
          <w:szCs w:val="24"/>
          <w:lang w:val="en-US"/>
        </w:rPr>
        <w:lastRenderedPageBreak/>
        <w:t>generation</w:t>
      </w:r>
      <w:r w:rsidRPr="00872B32">
        <w:rPr>
          <w:rFonts w:ascii="Book Antiqua" w:hAnsi="Book Antiqua"/>
          <w:color w:val="000000"/>
          <w:sz w:val="24"/>
          <w:szCs w:val="24"/>
          <w:vertAlign w:val="superscript"/>
          <w:lang w:val="en-US"/>
        </w:rPr>
        <w:t>[1</w:t>
      </w:r>
      <w:r w:rsidR="00DE7346" w:rsidRPr="00872B32">
        <w:rPr>
          <w:rFonts w:ascii="Book Antiqua" w:hAnsi="Book Antiqua"/>
          <w:color w:val="000000"/>
          <w:sz w:val="24"/>
          <w:szCs w:val="24"/>
          <w:vertAlign w:val="superscript"/>
          <w:lang w:val="en-US"/>
        </w:rPr>
        <w:t>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Therefore, the normal interaction of all these network elements determines redox immune system homeostasis and consequently a healthy state during aging for both men and women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w:t>
      </w:r>
    </w:p>
    <w:p w14:paraId="044D3DBF" w14:textId="60EC1B35" w:rsidR="000956E5" w:rsidRPr="00872B32" w:rsidRDefault="000956E5" w:rsidP="008C54E8">
      <w:pPr>
        <w:pStyle w:val="a6"/>
        <w:snapToGrid w:val="0"/>
        <w:spacing w:after="0" w:line="360" w:lineRule="auto"/>
        <w:ind w:left="0" w:firstLineChars="100" w:firstLine="240"/>
        <w:contextualSpacing w:val="0"/>
        <w:jc w:val="both"/>
        <w:rPr>
          <w:rFonts w:ascii="Book Antiqua" w:eastAsia="AdvP4DF60E" w:hAnsi="Book Antiqua"/>
          <w:color w:val="000000"/>
          <w:sz w:val="24"/>
          <w:szCs w:val="24"/>
          <w:lang w:val="en-US"/>
        </w:rPr>
      </w:pPr>
      <w:r w:rsidRPr="00872B32">
        <w:rPr>
          <w:rFonts w:ascii="Book Antiqua" w:eastAsia="AdvP4DF60E" w:hAnsi="Book Antiqua"/>
          <w:color w:val="000000"/>
          <w:sz w:val="24"/>
          <w:szCs w:val="24"/>
          <w:lang w:val="en-US"/>
        </w:rPr>
        <w:t xml:space="preserve">Significant changes in the levels of these cytokines in the cellular </w:t>
      </w:r>
      <w:r w:rsidR="00E20832" w:rsidRPr="00872B32">
        <w:rPr>
          <w:rFonts w:ascii="Book Antiqua" w:eastAsia="AdvP4DF60E" w:hAnsi="Book Antiqua"/>
          <w:color w:val="000000"/>
          <w:sz w:val="24"/>
          <w:szCs w:val="24"/>
          <w:lang w:val="en-US"/>
        </w:rPr>
        <w:t>microenvironment</w:t>
      </w:r>
      <w:r w:rsidRPr="00872B32">
        <w:rPr>
          <w:rFonts w:ascii="Book Antiqua" w:eastAsia="AdvP4DF60E" w:hAnsi="Book Antiqua"/>
          <w:color w:val="000000"/>
          <w:sz w:val="24"/>
          <w:szCs w:val="24"/>
          <w:lang w:val="en-US"/>
        </w:rPr>
        <w:t xml:space="preserve"> network are polarization biomarkers of inappropriate cell populations that could be the cause of physiological non-homeostasis and a lack of control of inflammation. However, it must be pointed out that these changes could also be caused by </w:t>
      </w:r>
      <w:r w:rsidRPr="00872B32">
        <w:rPr>
          <w:rFonts w:ascii="Book Antiqua" w:hAnsi="Book Antiqua"/>
          <w:color w:val="000000"/>
          <w:sz w:val="24"/>
          <w:szCs w:val="24"/>
          <w:lang w:val="en-US"/>
        </w:rPr>
        <w:t xml:space="preserve">a lack of </w:t>
      </w:r>
      <w:r w:rsidR="00E20832" w:rsidRPr="00872B32">
        <w:rPr>
          <w:rFonts w:ascii="Book Antiqua" w:hAnsi="Book Antiqua"/>
          <w:color w:val="000000"/>
          <w:sz w:val="24"/>
          <w:szCs w:val="24"/>
          <w:lang w:val="en-US"/>
        </w:rPr>
        <w:t>regulation at</w:t>
      </w:r>
      <w:r w:rsidRPr="00872B32">
        <w:rPr>
          <w:rFonts w:ascii="Book Antiqua" w:hAnsi="Book Antiqua"/>
          <w:color w:val="000000"/>
          <w:sz w:val="24"/>
          <w:szCs w:val="24"/>
          <w:lang w:val="en-US"/>
        </w:rPr>
        <w:t xml:space="preserve"> the level of the interaction between Trx1/CD30</w:t>
      </w:r>
      <w:r w:rsidRPr="00872B32">
        <w:rPr>
          <w:rFonts w:ascii="Book Antiqua" w:hAnsi="Book Antiqua"/>
          <w:color w:val="000000"/>
          <w:sz w:val="24"/>
          <w:szCs w:val="24"/>
          <w:vertAlign w:val="superscript"/>
          <w:lang w:val="en-US"/>
        </w:rPr>
        <w:t>[8]</w:t>
      </w:r>
      <w:r w:rsidRPr="00872B32">
        <w:rPr>
          <w:rFonts w:ascii="Book Antiqua" w:hAnsi="Book Antiqua"/>
          <w:color w:val="000000"/>
          <w:sz w:val="24"/>
          <w:szCs w:val="24"/>
          <w:lang w:val="en-US"/>
        </w:rPr>
        <w:t xml:space="preserve">. </w:t>
      </w:r>
      <w:r w:rsidRPr="00872B32">
        <w:rPr>
          <w:rFonts w:ascii="Book Antiqua" w:eastAsia="AdvP4DF60E" w:hAnsi="Book Antiqua"/>
          <w:color w:val="000000"/>
          <w:sz w:val="24"/>
          <w:szCs w:val="24"/>
          <w:lang w:val="en-US"/>
        </w:rPr>
        <w:t>As a consequence, it is interesting to see that the IFN</w:t>
      </w:r>
      <w:r w:rsidR="00E7643C" w:rsidRPr="00872B32">
        <w:rPr>
          <w:rFonts w:ascii="Book Antiqua" w:eastAsia="AdvP4DF60E" w:hAnsi="Book Antiqua"/>
          <w:color w:val="000000"/>
          <w:sz w:val="24"/>
          <w:szCs w:val="24"/>
        </w:rPr>
        <w:sym w:font="Symbol" w:char="F067"/>
      </w:r>
      <w:r w:rsidR="00077CEF" w:rsidRPr="00872B32">
        <w:rPr>
          <w:rFonts w:ascii="Book Antiqua" w:eastAsia="AdvP4DF60E" w:hAnsi="Book Antiqua"/>
          <w:color w:val="000000"/>
          <w:sz w:val="24"/>
          <w:szCs w:val="24"/>
          <w:lang w:val="en-US"/>
        </w:rPr>
        <w:t xml:space="preserve"> </w:t>
      </w:r>
      <w:r w:rsidR="00685CE9" w:rsidRPr="00872B32">
        <w:rPr>
          <w:rFonts w:ascii="Book Antiqua" w:eastAsia="AdvP4DF60E" w:hAnsi="Book Antiqua"/>
          <w:color w:val="000000"/>
          <w:sz w:val="24"/>
          <w:szCs w:val="24"/>
          <w:lang w:val="en-US"/>
        </w:rPr>
        <w:t xml:space="preserve">pathways </w:t>
      </w:r>
      <w:r w:rsidRPr="00872B32">
        <w:rPr>
          <w:rFonts w:ascii="Book Antiqua" w:eastAsia="AdvP4DF60E" w:hAnsi="Book Antiqua"/>
          <w:color w:val="000000"/>
          <w:sz w:val="24"/>
          <w:szCs w:val="24"/>
          <w:lang w:val="en-US"/>
        </w:rPr>
        <w:t>are the principal regulators of the male immune system homeostasis, while the IL6 pathways are regulators of the female one</w:t>
      </w:r>
      <w:r w:rsidRPr="00872B32">
        <w:rPr>
          <w:rFonts w:ascii="Book Antiqua" w:hAnsi="Book Antiqua"/>
          <w:color w:val="000000"/>
          <w:sz w:val="24"/>
          <w:szCs w:val="24"/>
          <w:vertAlign w:val="superscript"/>
          <w:lang w:val="en-US"/>
        </w:rPr>
        <w:t>[</w:t>
      </w:r>
      <w:r w:rsidR="00DE7346" w:rsidRPr="00872B32">
        <w:rPr>
          <w:rFonts w:ascii="Book Antiqua" w:hAnsi="Book Antiqua"/>
          <w:color w:val="000000"/>
          <w:sz w:val="24"/>
          <w:szCs w:val="24"/>
          <w:vertAlign w:val="superscript"/>
          <w:lang w:val="en-US"/>
        </w:rPr>
        <w:t>17</w:t>
      </w:r>
      <w:r w:rsidRPr="00872B32">
        <w:rPr>
          <w:rFonts w:ascii="Book Antiqua" w:hAnsi="Book Antiqua"/>
          <w:color w:val="000000"/>
          <w:sz w:val="24"/>
          <w:szCs w:val="24"/>
          <w:vertAlign w:val="superscript"/>
          <w:lang w:val="en-US"/>
        </w:rPr>
        <w:t>]</w:t>
      </w:r>
      <w:r w:rsidRPr="00872B32">
        <w:rPr>
          <w:rFonts w:ascii="Book Antiqua" w:eastAsia="AdvP4DF60E" w:hAnsi="Book Antiqua"/>
          <w:color w:val="000000"/>
          <w:sz w:val="24"/>
          <w:szCs w:val="24"/>
          <w:lang w:val="en-US"/>
        </w:rPr>
        <w:t>. I</w:t>
      </w:r>
      <w:r w:rsidRPr="00872B32">
        <w:rPr>
          <w:rFonts w:ascii="Book Antiqua" w:hAnsi="Book Antiqua"/>
          <w:color w:val="000000"/>
          <w:sz w:val="24"/>
          <w:szCs w:val="24"/>
          <w:lang w:val="en-US"/>
        </w:rPr>
        <w:t xml:space="preserve">n healthy </w:t>
      </w:r>
      <w:r w:rsidR="00E20832" w:rsidRPr="00872B32">
        <w:rPr>
          <w:rFonts w:ascii="Book Antiqua" w:hAnsi="Book Antiqua"/>
          <w:color w:val="000000"/>
          <w:sz w:val="24"/>
          <w:szCs w:val="24"/>
          <w:lang w:val="en-US"/>
        </w:rPr>
        <w:t>subjects,</w:t>
      </w:r>
      <w:r w:rsidRPr="00872B32">
        <w:rPr>
          <w:rFonts w:ascii="Book Antiqua" w:hAnsi="Book Antiqua"/>
          <w:color w:val="000000"/>
          <w:sz w:val="24"/>
          <w:szCs w:val="24"/>
          <w:lang w:val="en-US"/>
        </w:rPr>
        <w:t xml:space="preserve"> the immunological response is produced through the gender-specific pathways, but they usually have no consequences until alterations occur. In both </w:t>
      </w:r>
      <w:r w:rsidR="00E20832" w:rsidRPr="00872B32">
        <w:rPr>
          <w:rFonts w:ascii="Book Antiqua" w:hAnsi="Book Antiqua"/>
          <w:color w:val="000000"/>
          <w:sz w:val="24"/>
          <w:szCs w:val="24"/>
          <w:lang w:val="en-US"/>
        </w:rPr>
        <w:t>genders,</w:t>
      </w:r>
      <w:r w:rsidRPr="00872B32">
        <w:rPr>
          <w:rFonts w:ascii="Book Antiqua" w:hAnsi="Book Antiqua"/>
          <w:color w:val="000000"/>
          <w:sz w:val="24"/>
          <w:szCs w:val="24"/>
          <w:lang w:val="en-US"/>
        </w:rPr>
        <w:t xml:space="preserve"> the immune system produces its own responses and retrieves its </w:t>
      </w:r>
      <w:r w:rsidR="005C5404" w:rsidRPr="00872B32">
        <w:rPr>
          <w:rFonts w:ascii="Book Antiqua" w:hAnsi="Book Antiqua"/>
          <w:color w:val="000000"/>
          <w:sz w:val="24"/>
          <w:szCs w:val="24"/>
          <w:lang w:val="en-US"/>
        </w:rPr>
        <w:t>original</w:t>
      </w:r>
      <w:r w:rsidRPr="00872B32">
        <w:rPr>
          <w:rFonts w:ascii="Book Antiqua" w:hAnsi="Book Antiqua"/>
          <w:color w:val="000000"/>
          <w:sz w:val="24"/>
          <w:szCs w:val="24"/>
          <w:lang w:val="en-US"/>
        </w:rPr>
        <w:t xml:space="preserve"> </w:t>
      </w:r>
      <w:r w:rsidR="005C5404" w:rsidRPr="00872B32">
        <w:rPr>
          <w:rFonts w:ascii="Book Antiqua" w:hAnsi="Book Antiqua"/>
          <w:color w:val="000000"/>
          <w:sz w:val="24"/>
          <w:szCs w:val="24"/>
          <w:lang w:val="en-US"/>
        </w:rPr>
        <w:t>equilibrium</w:t>
      </w:r>
      <w:r w:rsidRPr="00872B32">
        <w:rPr>
          <w:rFonts w:ascii="Book Antiqua" w:hAnsi="Book Antiqua"/>
          <w:color w:val="000000"/>
          <w:sz w:val="24"/>
          <w:szCs w:val="24"/>
          <w:lang w:val="en-US"/>
        </w:rPr>
        <w:t>,</w:t>
      </w:r>
      <w:r w:rsidR="005C5404" w:rsidRPr="00872B32">
        <w:rPr>
          <w:rFonts w:ascii="Book Antiqua" w:hAnsi="Book Antiqua"/>
          <w:color w:val="000000"/>
          <w:sz w:val="24"/>
          <w:szCs w:val="24"/>
          <w:lang w:val="en-US"/>
        </w:rPr>
        <w:t xml:space="preserve"> careless of the original or the evolution situations.</w:t>
      </w:r>
      <w:r w:rsidRPr="00872B32">
        <w:rPr>
          <w:rFonts w:ascii="Book Antiqua" w:hAnsi="Book Antiqua"/>
          <w:color w:val="000000"/>
          <w:sz w:val="24"/>
          <w:szCs w:val="24"/>
          <w:lang w:val="en-US"/>
        </w:rPr>
        <w:t xml:space="preserve"> </w:t>
      </w:r>
      <w:r w:rsidRPr="00872B32">
        <w:rPr>
          <w:rFonts w:ascii="Book Antiqua" w:eastAsia="AdvP4DF60E" w:hAnsi="Book Antiqua"/>
          <w:color w:val="000000"/>
          <w:sz w:val="24"/>
          <w:szCs w:val="24"/>
          <w:lang w:val="en-US"/>
        </w:rPr>
        <w:t>C</w:t>
      </w:r>
      <w:r w:rsidRPr="00872B32">
        <w:rPr>
          <w:rFonts w:ascii="Book Antiqua" w:hAnsi="Book Antiqua"/>
          <w:color w:val="000000"/>
          <w:sz w:val="24"/>
          <w:szCs w:val="24"/>
          <w:lang w:val="en-US"/>
        </w:rPr>
        <w:t xml:space="preserve">onversely, if </w:t>
      </w:r>
      <w:r w:rsidR="005C5404" w:rsidRPr="00872B32">
        <w:rPr>
          <w:rFonts w:ascii="Book Antiqua" w:hAnsi="Book Antiqua"/>
          <w:color w:val="000000"/>
          <w:sz w:val="24"/>
          <w:szCs w:val="24"/>
          <w:lang w:val="en-US"/>
        </w:rPr>
        <w:t>modifications</w:t>
      </w:r>
      <w:r w:rsidR="006F2A88" w:rsidRPr="00872B32">
        <w:rPr>
          <w:rFonts w:ascii="Book Antiqua" w:eastAsia="宋体" w:hAnsi="Book Antiqua"/>
          <w:color w:val="000000"/>
          <w:sz w:val="24"/>
          <w:szCs w:val="24"/>
          <w:lang w:val="en-US" w:eastAsia="zh-CN"/>
        </w:rPr>
        <w:t xml:space="preserve"> </w:t>
      </w:r>
      <w:r w:rsidRPr="00872B32">
        <w:rPr>
          <w:rFonts w:ascii="Book Antiqua" w:hAnsi="Book Antiqua"/>
          <w:color w:val="000000"/>
          <w:sz w:val="24"/>
          <w:szCs w:val="24"/>
          <w:lang w:val="en-US"/>
        </w:rPr>
        <w:t>take place in the gender pathways and they become chronic within the physiological network, it could induce a gender specific chronic non-homeostasis state (</w:t>
      </w:r>
      <w:r w:rsidR="00E20832" w:rsidRPr="00872B32">
        <w:rPr>
          <w:rFonts w:ascii="Book Antiqua" w:hAnsi="Book Antiqua"/>
          <w:color w:val="000000"/>
          <w:sz w:val="24"/>
          <w:szCs w:val="24"/>
          <w:lang w:val="en-US"/>
        </w:rPr>
        <w:t>Figure 1B</w:t>
      </w:r>
      <w:r w:rsidRPr="00872B32">
        <w:rPr>
          <w:rFonts w:ascii="Book Antiqua" w:hAnsi="Book Antiqua"/>
          <w:color w:val="000000"/>
          <w:sz w:val="24"/>
          <w:szCs w:val="24"/>
          <w:lang w:val="en-US"/>
        </w:rPr>
        <w:t>).</w:t>
      </w:r>
      <w:r w:rsidR="00D06769"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The reason should be looked for in the fact that alterations in the </w:t>
      </w:r>
      <w:r w:rsidRPr="00872B32">
        <w:rPr>
          <w:rFonts w:ascii="Book Antiqua" w:eastAsia="AdvP4DF60E" w:hAnsi="Book Antiqua"/>
          <w:color w:val="000000"/>
          <w:sz w:val="24"/>
          <w:szCs w:val="24"/>
          <w:lang w:val="en-US"/>
        </w:rPr>
        <w:t>IFN</w:t>
      </w:r>
      <w:r w:rsidR="00E7643C" w:rsidRPr="00872B32">
        <w:rPr>
          <w:rFonts w:ascii="Book Antiqua" w:eastAsia="AdvP4DF60E" w:hAnsi="Book Antiqua"/>
          <w:color w:val="000000"/>
          <w:sz w:val="24"/>
          <w:szCs w:val="24"/>
        </w:rPr>
        <w:sym w:font="Symbol" w:char="F067"/>
      </w:r>
      <w:r w:rsidRPr="00872B32">
        <w:rPr>
          <w:rFonts w:ascii="Book Antiqua" w:eastAsia="AdvP4DF60E" w:hAnsi="Book Antiqua"/>
          <w:color w:val="000000"/>
          <w:sz w:val="24"/>
          <w:szCs w:val="24"/>
          <w:lang w:val="en-US"/>
        </w:rPr>
        <w:t xml:space="preserve"> pathways create an unbalance at the level of </w:t>
      </w:r>
      <w:r w:rsidRPr="00872B32">
        <w:rPr>
          <w:rFonts w:ascii="Book Antiqua" w:hAnsi="Book Antiqua"/>
          <w:color w:val="000000"/>
          <w:sz w:val="24"/>
          <w:szCs w:val="24"/>
          <w:lang w:val="en-US"/>
        </w:rPr>
        <w:t>inhibiting</w:t>
      </w:r>
      <w:r w:rsidRPr="00872B32">
        <w:rPr>
          <w:rFonts w:ascii="Book Antiqua" w:eastAsia="AdvP4DF60E" w:hAnsi="Book Antiqua"/>
          <w:color w:val="000000"/>
          <w:sz w:val="24"/>
          <w:szCs w:val="24"/>
          <w:lang w:val="en-US"/>
        </w:rPr>
        <w:t xml:space="preserve"> </w:t>
      </w:r>
      <w:r w:rsidR="00D607A9">
        <w:rPr>
          <w:rFonts w:ascii="Book Antiqua" w:eastAsia="AdvP4DF60E" w:hAnsi="Book Antiqua"/>
          <w:color w:val="000000"/>
          <w:sz w:val="24"/>
          <w:szCs w:val="24"/>
          <w:lang w:val="en-US"/>
        </w:rPr>
        <w:t xml:space="preserve">the </w:t>
      </w:r>
      <w:r w:rsidRPr="00872B32">
        <w:rPr>
          <w:rFonts w:ascii="Book Antiqua" w:eastAsia="AdvP4DF60E" w:hAnsi="Book Antiqua"/>
          <w:color w:val="000000"/>
          <w:sz w:val="24"/>
          <w:szCs w:val="24"/>
          <w:lang w:val="en-US"/>
        </w:rPr>
        <w:t>effect of these pathways on the Th9 cell generation in men.</w:t>
      </w:r>
      <w:r w:rsidR="00C808A0" w:rsidRPr="00872B32">
        <w:rPr>
          <w:rFonts w:ascii="Book Antiqua" w:eastAsia="AdvP4DF60E" w:hAnsi="Book Antiqua"/>
          <w:color w:val="000000"/>
          <w:sz w:val="24"/>
          <w:szCs w:val="24"/>
          <w:lang w:val="en-US"/>
        </w:rPr>
        <w:t xml:space="preserve"> </w:t>
      </w:r>
      <w:r w:rsidRPr="00872B32">
        <w:rPr>
          <w:rFonts w:ascii="Book Antiqua" w:eastAsia="AdvP4DF60E" w:hAnsi="Book Antiqua"/>
          <w:color w:val="000000"/>
          <w:sz w:val="24"/>
          <w:szCs w:val="24"/>
          <w:lang w:val="en-US"/>
        </w:rPr>
        <w:t xml:space="preserve">Likewise, </w:t>
      </w:r>
      <w:r w:rsidRPr="00872B32">
        <w:rPr>
          <w:rFonts w:ascii="Book Antiqua" w:hAnsi="Book Antiqua"/>
          <w:color w:val="000000"/>
          <w:sz w:val="24"/>
          <w:szCs w:val="24"/>
          <w:lang w:val="en-US"/>
        </w:rPr>
        <w:t xml:space="preserve">alterations in the </w:t>
      </w:r>
      <w:r w:rsidRPr="00872B32">
        <w:rPr>
          <w:rFonts w:ascii="Book Antiqua" w:eastAsia="AdvP4DF60E" w:hAnsi="Book Antiqua"/>
          <w:color w:val="000000"/>
          <w:sz w:val="24"/>
          <w:szCs w:val="24"/>
          <w:lang w:val="en-US"/>
        </w:rPr>
        <w:t xml:space="preserve">IL6 pathways create an unbalance at the level of the activating effect of IL6 on Th17 cells in women. </w:t>
      </w:r>
      <w:r w:rsidRPr="00872B32">
        <w:rPr>
          <w:rFonts w:ascii="Book Antiqua" w:hAnsi="Book Antiqua"/>
          <w:color w:val="000000"/>
          <w:sz w:val="24"/>
          <w:szCs w:val="24"/>
          <w:lang w:val="en-US"/>
        </w:rPr>
        <w:t>Therefore,</w:t>
      </w:r>
      <w:r w:rsidRPr="00872B32">
        <w:rPr>
          <w:rFonts w:ascii="Book Antiqua" w:eastAsia="AdvP4DF60E" w:hAnsi="Book Antiqua"/>
          <w:color w:val="000000"/>
          <w:sz w:val="24"/>
          <w:szCs w:val="24"/>
          <w:lang w:val="en-US"/>
        </w:rPr>
        <w:t xml:space="preserve"> w</w:t>
      </w:r>
      <w:r w:rsidRPr="00872B32">
        <w:rPr>
          <w:rFonts w:ascii="Book Antiqua" w:hAnsi="Book Antiqua"/>
          <w:color w:val="000000"/>
          <w:sz w:val="24"/>
          <w:szCs w:val="24"/>
          <w:lang w:val="en-US"/>
        </w:rPr>
        <w:t xml:space="preserve">e could consider that </w:t>
      </w:r>
      <w:r w:rsidRPr="00872B32">
        <w:rPr>
          <w:rFonts w:ascii="Book Antiqua" w:eastAsia="AdvP4DF60E" w:hAnsi="Book Antiqua"/>
          <w:color w:val="000000"/>
          <w:sz w:val="24"/>
          <w:szCs w:val="24"/>
          <w:lang w:val="en-US"/>
        </w:rPr>
        <w:t xml:space="preserve">changes of gender pathways in the cytokine cellular </w:t>
      </w:r>
      <w:r w:rsidR="00E20832" w:rsidRPr="00872B32">
        <w:rPr>
          <w:rFonts w:ascii="Book Antiqua" w:eastAsia="AdvP4DF60E" w:hAnsi="Book Antiqua"/>
          <w:color w:val="000000"/>
          <w:sz w:val="24"/>
          <w:szCs w:val="24"/>
          <w:lang w:val="en-US"/>
        </w:rPr>
        <w:t>microenvironment</w:t>
      </w:r>
      <w:r w:rsidRPr="00872B32">
        <w:rPr>
          <w:rFonts w:ascii="Book Antiqua" w:eastAsia="AdvP4DF60E" w:hAnsi="Book Antiqua"/>
          <w:color w:val="000000"/>
          <w:sz w:val="24"/>
          <w:szCs w:val="24"/>
          <w:lang w:val="en-US"/>
        </w:rPr>
        <w:t xml:space="preserve"> network could </w:t>
      </w:r>
      <w:r w:rsidRPr="00872B32">
        <w:rPr>
          <w:rFonts w:ascii="Book Antiqua" w:hAnsi="Book Antiqua"/>
          <w:color w:val="000000"/>
          <w:sz w:val="24"/>
          <w:szCs w:val="24"/>
          <w:lang w:val="en-US"/>
        </w:rPr>
        <w:t>produce</w:t>
      </w:r>
      <w:r w:rsidRPr="00872B32">
        <w:rPr>
          <w:rFonts w:ascii="Book Antiqua" w:hAnsi="Book Antiqua"/>
          <w:color w:val="000000"/>
          <w:sz w:val="24"/>
          <w:szCs w:val="24"/>
          <w:lang w:val="en-GB"/>
        </w:rPr>
        <w:t xml:space="preserve"> different results. The polarization of Th17 cells </w:t>
      </w:r>
      <w:r w:rsidRPr="00872B32">
        <w:rPr>
          <w:rFonts w:ascii="Book Antiqua" w:hAnsi="Book Antiqua"/>
          <w:color w:val="000000"/>
          <w:sz w:val="24"/>
          <w:szCs w:val="24"/>
          <w:lang w:val="en-US"/>
        </w:rPr>
        <w:t>plays a key role in autoimmune diseases</w:t>
      </w:r>
      <w:r w:rsidRPr="00872B32">
        <w:rPr>
          <w:rFonts w:ascii="Book Antiqua" w:hAnsi="Book Antiqua"/>
          <w:color w:val="000000"/>
          <w:sz w:val="24"/>
          <w:szCs w:val="24"/>
          <w:lang w:val="en-GB"/>
        </w:rPr>
        <w:t xml:space="preserve"> in women</w:t>
      </w:r>
      <w:r w:rsidR="00D607A9">
        <w:rPr>
          <w:rFonts w:ascii="Book Antiqua" w:hAnsi="Book Antiqua"/>
          <w:color w:val="000000"/>
          <w:sz w:val="24"/>
          <w:szCs w:val="24"/>
          <w:lang w:val="en-GB"/>
        </w:rPr>
        <w:t>,</w:t>
      </w:r>
      <w:r w:rsidRPr="00872B32">
        <w:rPr>
          <w:rFonts w:ascii="Book Antiqua" w:hAnsi="Book Antiqua"/>
          <w:color w:val="000000"/>
          <w:sz w:val="24"/>
          <w:szCs w:val="24"/>
          <w:lang w:val="en-GB"/>
        </w:rPr>
        <w:t xml:space="preserve"> while the polarization of Th9 cells</w:t>
      </w:r>
      <w:r w:rsidRPr="00872B32">
        <w:rPr>
          <w:rFonts w:ascii="Book Antiqua" w:hAnsi="Book Antiqua"/>
          <w:bCs/>
          <w:color w:val="000000"/>
          <w:sz w:val="24"/>
          <w:szCs w:val="24"/>
          <w:lang w:val="en-US"/>
        </w:rPr>
        <w:t xml:space="preserve"> has a significant role in degenerative diseases in men</w:t>
      </w:r>
      <w:r w:rsidR="00DE7346" w:rsidRPr="00872B32">
        <w:rPr>
          <w:rFonts w:ascii="Book Antiqua" w:hAnsi="Book Antiqua"/>
          <w:color w:val="000000"/>
          <w:sz w:val="24"/>
          <w:szCs w:val="24"/>
          <w:vertAlign w:val="superscript"/>
          <w:lang w:val="en-US"/>
        </w:rPr>
        <w:t>[18</w:t>
      </w:r>
      <w:r w:rsidRPr="00872B32">
        <w:rPr>
          <w:rFonts w:ascii="Book Antiqua" w:hAnsi="Book Antiqua"/>
          <w:color w:val="000000"/>
          <w:sz w:val="24"/>
          <w:szCs w:val="24"/>
          <w:vertAlign w:val="superscript"/>
          <w:lang w:val="en-US"/>
        </w:rPr>
        <w:t>]</w:t>
      </w:r>
      <w:r w:rsidRPr="00872B32">
        <w:rPr>
          <w:rFonts w:ascii="Book Antiqua" w:hAnsi="Book Antiqua"/>
          <w:bCs/>
          <w:color w:val="000000"/>
          <w:sz w:val="24"/>
          <w:szCs w:val="24"/>
          <w:lang w:val="en-US"/>
        </w:rPr>
        <w:t xml:space="preserve">. </w:t>
      </w:r>
      <w:r w:rsidRPr="00872B32">
        <w:rPr>
          <w:rFonts w:ascii="Book Antiqua" w:hAnsi="Book Antiqua"/>
          <w:color w:val="000000"/>
          <w:sz w:val="24"/>
          <w:szCs w:val="24"/>
          <w:lang w:val="en-GB"/>
        </w:rPr>
        <w:t>Consequently,</w:t>
      </w:r>
      <w:r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GB"/>
        </w:rPr>
        <w:t xml:space="preserve">the chronicization of the increase </w:t>
      </w:r>
      <w:r w:rsidRPr="00872B32">
        <w:rPr>
          <w:rFonts w:ascii="Book Antiqua" w:eastAsia="AdvP4DF60E" w:hAnsi="Book Antiqua"/>
          <w:color w:val="000000"/>
          <w:sz w:val="24"/>
          <w:szCs w:val="24"/>
          <w:lang w:val="en-US"/>
        </w:rPr>
        <w:t xml:space="preserve">of both the cytokine couples that induce Th17 and Th9 subtype </w:t>
      </w:r>
      <w:r w:rsidR="00E20832" w:rsidRPr="00872B32">
        <w:rPr>
          <w:rFonts w:ascii="Book Antiqua" w:eastAsia="AdvP4DF60E" w:hAnsi="Book Antiqua"/>
          <w:color w:val="000000"/>
          <w:sz w:val="24"/>
          <w:szCs w:val="24"/>
          <w:lang w:val="en-US"/>
        </w:rPr>
        <w:t>and the</w:t>
      </w:r>
      <w:r w:rsidRPr="00872B32">
        <w:rPr>
          <w:rFonts w:ascii="Book Antiqua" w:eastAsia="AdvP4DF60E" w:hAnsi="Book Antiqua"/>
          <w:color w:val="000000"/>
          <w:sz w:val="24"/>
          <w:szCs w:val="24"/>
          <w:lang w:val="en-US"/>
        </w:rPr>
        <w:t xml:space="preserve"> decrease of </w:t>
      </w:r>
      <w:r w:rsidR="00E20832" w:rsidRPr="00872B32">
        <w:rPr>
          <w:rFonts w:ascii="Book Antiqua" w:eastAsia="AdvP4DF60E" w:hAnsi="Book Antiqua"/>
          <w:color w:val="000000"/>
          <w:sz w:val="24"/>
          <w:szCs w:val="24"/>
          <w:lang w:val="en-US"/>
        </w:rPr>
        <w:t>cytokines, which inhibit these pathways,</w:t>
      </w:r>
      <w:r w:rsidRPr="00872B32">
        <w:rPr>
          <w:rFonts w:ascii="Book Antiqua" w:eastAsia="AdvP4DF60E" w:hAnsi="Book Antiqua"/>
          <w:color w:val="000000"/>
          <w:sz w:val="24"/>
          <w:szCs w:val="24"/>
          <w:lang w:val="en-US"/>
        </w:rPr>
        <w:t xml:space="preserve"> could be considered as predictive biomarkers in </w:t>
      </w:r>
      <w:r w:rsidRPr="00872B32">
        <w:rPr>
          <w:rFonts w:ascii="Book Antiqua" w:hAnsi="Book Antiqua"/>
          <w:color w:val="000000"/>
          <w:sz w:val="24"/>
          <w:szCs w:val="24"/>
          <w:lang w:val="en-GB"/>
        </w:rPr>
        <w:t xml:space="preserve">the clinical screening of </w:t>
      </w:r>
      <w:r w:rsidRPr="00872B32">
        <w:rPr>
          <w:rFonts w:ascii="Book Antiqua" w:hAnsi="Book Antiqua"/>
          <w:bCs/>
          <w:color w:val="000000"/>
          <w:sz w:val="24"/>
          <w:szCs w:val="24"/>
          <w:lang w:val="en-US"/>
        </w:rPr>
        <w:t>gender specific susceptibility and clinical course in diseases</w:t>
      </w:r>
      <w:r w:rsidRPr="00872B32">
        <w:rPr>
          <w:rFonts w:ascii="Book Antiqua" w:hAnsi="Book Antiqua"/>
          <w:color w:val="000000"/>
          <w:sz w:val="24"/>
          <w:szCs w:val="24"/>
          <w:lang w:val="en-GB"/>
        </w:rPr>
        <w:t>.</w:t>
      </w:r>
    </w:p>
    <w:p w14:paraId="2246829C" w14:textId="7C27E107"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eastAsia="AdvP4DF60E" w:hAnsi="Book Antiqua"/>
          <w:color w:val="000000"/>
        </w:rPr>
        <w:t>In practice</w:t>
      </w:r>
      <w:r w:rsidRPr="00872B32">
        <w:rPr>
          <w:rFonts w:ascii="Book Antiqua" w:hAnsi="Book Antiqua"/>
          <w:color w:val="000000"/>
          <w:lang w:val="en-GB"/>
        </w:rPr>
        <w:t xml:space="preserve">, </w:t>
      </w:r>
      <w:r w:rsidRPr="00872B32">
        <w:rPr>
          <w:rFonts w:ascii="Book Antiqua" w:eastAsia="AdvP4DF60E" w:hAnsi="Book Antiqua"/>
          <w:color w:val="000000"/>
        </w:rPr>
        <w:t>normal or high levels of both IFN</w:t>
      </w:r>
      <w:r w:rsidR="00E7643C" w:rsidRPr="00872B32">
        <w:rPr>
          <w:rFonts w:ascii="Book Antiqua" w:eastAsia="AdvP4DF60E"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and </w:t>
      </w:r>
      <w:r w:rsidRPr="00872B32">
        <w:rPr>
          <w:rFonts w:ascii="Book Antiqua" w:hAnsi="Book Antiqua"/>
          <w:color w:val="000000"/>
          <w:lang w:val="en-GB"/>
        </w:rPr>
        <w:t xml:space="preserve">a negative relationship between </w:t>
      </w:r>
      <w:r w:rsidRPr="00872B32">
        <w:rPr>
          <w:rFonts w:ascii="Book Antiqua" w:hAnsi="Book Antiqua"/>
          <w:color w:val="000000"/>
        </w:rPr>
        <w:t>TGFβ-IL6 levels in women and TGFβ-IL4</w:t>
      </w:r>
      <w:r w:rsidRPr="00872B32">
        <w:rPr>
          <w:rFonts w:ascii="Book Antiqua" w:eastAsia="AdvP4DF60E" w:hAnsi="Book Antiqua"/>
          <w:color w:val="000000"/>
        </w:rPr>
        <w:t xml:space="preserve"> </w:t>
      </w:r>
      <w:r w:rsidRPr="00872B32">
        <w:rPr>
          <w:rFonts w:ascii="Book Antiqua" w:hAnsi="Book Antiqua"/>
          <w:color w:val="000000"/>
        </w:rPr>
        <w:t>levels</w:t>
      </w:r>
      <w:r w:rsidRPr="00872B32">
        <w:rPr>
          <w:rFonts w:ascii="Book Antiqua" w:eastAsia="AdvP4DF60E" w:hAnsi="Book Antiqua"/>
          <w:color w:val="000000"/>
        </w:rPr>
        <w:t xml:space="preserve"> in men </w:t>
      </w:r>
      <w:r w:rsidRPr="00872B32">
        <w:rPr>
          <w:rFonts w:ascii="Book Antiqua" w:hAnsi="Book Antiqua"/>
          <w:color w:val="000000"/>
        </w:rPr>
        <w:t xml:space="preserve">could be considered </w:t>
      </w:r>
      <w:r w:rsidRPr="00872B32">
        <w:rPr>
          <w:rFonts w:ascii="Book Antiqua" w:hAnsi="Book Antiqua"/>
          <w:color w:val="000000"/>
        </w:rPr>
        <w:lastRenderedPageBreak/>
        <w:t xml:space="preserve">as gender biomarkers of the homeostasis and of </w:t>
      </w:r>
      <w:r w:rsidR="00E20832" w:rsidRPr="00872B32">
        <w:rPr>
          <w:rFonts w:ascii="Book Antiqua" w:hAnsi="Book Antiqua"/>
          <w:color w:val="000000"/>
        </w:rPr>
        <w:t>non-disease</w:t>
      </w:r>
      <w:r w:rsidRPr="00872B32">
        <w:rPr>
          <w:rFonts w:ascii="Book Antiqua" w:hAnsi="Book Antiqua"/>
          <w:color w:val="000000"/>
        </w:rPr>
        <w:t xml:space="preserve"> risk. On the contrary,</w:t>
      </w:r>
      <w:r w:rsidRPr="00872B32">
        <w:rPr>
          <w:rFonts w:ascii="Book Antiqua" w:hAnsi="Book Antiqua"/>
          <w:color w:val="000000"/>
          <w:lang w:val="en-GB"/>
        </w:rPr>
        <w:t xml:space="preserve"> </w:t>
      </w:r>
      <w:r w:rsidRPr="00872B32">
        <w:rPr>
          <w:rFonts w:ascii="Book Antiqua" w:eastAsia="AdvP4DF60E" w:hAnsi="Book Antiqua"/>
          <w:color w:val="000000"/>
        </w:rPr>
        <w:t>low levels of both IFN</w:t>
      </w:r>
      <w:r w:rsidR="00E7643C" w:rsidRPr="00872B32">
        <w:rPr>
          <w:rFonts w:ascii="Book Antiqua" w:eastAsia="AdvP4DF60E"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and </w:t>
      </w:r>
      <w:r w:rsidRPr="00872B32">
        <w:rPr>
          <w:rFonts w:ascii="Book Antiqua" w:hAnsi="Book Antiqua"/>
          <w:color w:val="000000"/>
          <w:lang w:val="en-GB"/>
        </w:rPr>
        <w:t>a positive</w:t>
      </w:r>
      <w:r w:rsidRPr="00872B32">
        <w:rPr>
          <w:rFonts w:ascii="Book Antiqua" w:hAnsi="Book Antiqua"/>
          <w:color w:val="000000"/>
        </w:rPr>
        <w:t xml:space="preserve"> TGFβ-IL6</w:t>
      </w:r>
      <w:r w:rsidRPr="00872B32">
        <w:rPr>
          <w:rFonts w:ascii="Book Antiqua" w:hAnsi="Book Antiqua"/>
          <w:color w:val="000000"/>
          <w:lang w:val="en-GB"/>
        </w:rPr>
        <w:t xml:space="preserve"> relationship </w:t>
      </w:r>
      <w:r w:rsidRPr="00872B32">
        <w:rPr>
          <w:rFonts w:ascii="Book Antiqua" w:hAnsi="Book Antiqua"/>
          <w:color w:val="000000"/>
        </w:rPr>
        <w:t>in women and TGFβ-IL4</w:t>
      </w:r>
      <w:r w:rsidRPr="00872B32">
        <w:rPr>
          <w:rFonts w:ascii="Book Antiqua" w:eastAsia="AdvP4DF60E" w:hAnsi="Book Antiqua"/>
          <w:color w:val="000000"/>
        </w:rPr>
        <w:t xml:space="preserve"> in men </w:t>
      </w:r>
      <w:r w:rsidRPr="00872B32">
        <w:rPr>
          <w:rFonts w:ascii="Book Antiqua" w:hAnsi="Book Antiqua"/>
          <w:color w:val="000000"/>
        </w:rPr>
        <w:t xml:space="preserve">could be gender biomarkers </w:t>
      </w:r>
      <w:r w:rsidR="00E20832" w:rsidRPr="00872B32">
        <w:rPr>
          <w:rFonts w:ascii="Book Antiqua" w:hAnsi="Book Antiqua"/>
          <w:color w:val="000000"/>
        </w:rPr>
        <w:t xml:space="preserve">of </w:t>
      </w:r>
      <w:r w:rsidRPr="00872B32">
        <w:rPr>
          <w:rFonts w:ascii="Book Antiqua" w:hAnsi="Book Antiqua"/>
          <w:color w:val="000000"/>
        </w:rPr>
        <w:t xml:space="preserve">non-homeostasis and </w:t>
      </w:r>
      <w:r w:rsidR="00E20832" w:rsidRPr="00872B32">
        <w:rPr>
          <w:rFonts w:ascii="Book Antiqua" w:hAnsi="Book Antiqua"/>
          <w:color w:val="000000"/>
        </w:rPr>
        <w:t>of high</w:t>
      </w:r>
      <w:r w:rsidRPr="00872B32">
        <w:rPr>
          <w:rFonts w:ascii="Book Antiqua" w:hAnsi="Book Antiqua"/>
          <w:color w:val="000000"/>
        </w:rPr>
        <w:t xml:space="preserve"> disease risk.</w:t>
      </w:r>
    </w:p>
    <w:p w14:paraId="060D5352" w14:textId="6DA4B624" w:rsidR="000956E5" w:rsidRPr="00872B32" w:rsidRDefault="000956E5" w:rsidP="008C54E8">
      <w:pPr>
        <w:autoSpaceDE w:val="0"/>
        <w:autoSpaceDN w:val="0"/>
        <w:adjustRightInd w:val="0"/>
        <w:snapToGrid w:val="0"/>
        <w:spacing w:line="360" w:lineRule="auto"/>
        <w:ind w:firstLineChars="100" w:firstLine="240"/>
        <w:jc w:val="both"/>
        <w:rPr>
          <w:rFonts w:ascii="Book Antiqua" w:hAnsi="Book Antiqua"/>
          <w:color w:val="000000"/>
        </w:rPr>
      </w:pPr>
      <w:r w:rsidRPr="00872B32">
        <w:rPr>
          <w:rFonts w:ascii="Book Antiqua" w:hAnsi="Book Antiqua"/>
          <w:color w:val="000000"/>
        </w:rPr>
        <w:t>In normal conditions, Trx1 is able to modify the stoichiometric structure of the CD30 receptor</w:t>
      </w:r>
      <w:r w:rsidRPr="00872B32">
        <w:rPr>
          <w:rFonts w:ascii="Book Antiqua" w:hAnsi="Book Antiqua"/>
          <w:color w:val="000000"/>
          <w:vertAlign w:val="superscript"/>
        </w:rPr>
        <w:t>[</w:t>
      </w:r>
      <w:r w:rsidR="00DE7346" w:rsidRPr="00872B32">
        <w:rPr>
          <w:rFonts w:ascii="Book Antiqua" w:hAnsi="Book Antiqua"/>
          <w:color w:val="000000"/>
          <w:vertAlign w:val="superscript"/>
        </w:rPr>
        <w:t>19</w:t>
      </w:r>
      <w:r w:rsidRPr="00872B32">
        <w:rPr>
          <w:rFonts w:ascii="Book Antiqua" w:hAnsi="Book Antiqua"/>
          <w:color w:val="000000"/>
          <w:vertAlign w:val="superscript"/>
        </w:rPr>
        <w:t>]</w:t>
      </w:r>
      <w:r w:rsidRPr="00872B32">
        <w:rPr>
          <w:rFonts w:ascii="Book Antiqua" w:hAnsi="Book Antiqua"/>
          <w:color w:val="000000"/>
        </w:rPr>
        <w:t xml:space="preserve"> to allow CD30L (CD153) binding (</w:t>
      </w:r>
      <w:r w:rsidR="00944869" w:rsidRPr="00872B32">
        <w:rPr>
          <w:rFonts w:ascii="Book Antiqua" w:hAnsi="Book Antiqua"/>
          <w:color w:val="000000"/>
        </w:rPr>
        <w:t xml:space="preserve">Figure </w:t>
      </w:r>
      <w:r w:rsidRPr="00872B32">
        <w:rPr>
          <w:rFonts w:ascii="Book Antiqua" w:hAnsi="Book Antiqua"/>
          <w:color w:val="000000"/>
        </w:rPr>
        <w:t>1A). To do this</w:t>
      </w:r>
      <w:r w:rsidR="00D607A9">
        <w:rPr>
          <w:rFonts w:ascii="Book Antiqua" w:hAnsi="Book Antiqua"/>
          <w:color w:val="000000"/>
        </w:rPr>
        <w:t>,</w:t>
      </w:r>
      <w:r w:rsidRPr="00872B32">
        <w:rPr>
          <w:rFonts w:ascii="Book Antiqua" w:hAnsi="Book Antiqua"/>
          <w:color w:val="000000"/>
        </w:rPr>
        <w:t xml:space="preserve"> it needs similar RTrx1 levels. However, the binding site of CD30L could be blocked by an inappropriate increase in the sCD30 level, with which it has a strong affinity</w:t>
      </w:r>
      <w:r w:rsidRPr="00872B32">
        <w:rPr>
          <w:rFonts w:ascii="Book Antiqua" w:hAnsi="Book Antiqua"/>
          <w:color w:val="000000"/>
          <w:vertAlign w:val="superscript"/>
        </w:rPr>
        <w:t>[</w:t>
      </w:r>
      <w:r w:rsidR="00DE7346" w:rsidRPr="00872B32">
        <w:rPr>
          <w:rFonts w:ascii="Book Antiqua" w:hAnsi="Book Antiqua"/>
          <w:color w:val="000000"/>
          <w:vertAlign w:val="superscript"/>
        </w:rPr>
        <w:t>20</w:t>
      </w:r>
      <w:r w:rsidRPr="00872B32">
        <w:rPr>
          <w:rFonts w:ascii="Book Antiqua" w:hAnsi="Book Antiqua"/>
          <w:color w:val="000000"/>
          <w:vertAlign w:val="superscript"/>
        </w:rPr>
        <w:t>]</w:t>
      </w:r>
      <w:r w:rsidRPr="00872B32">
        <w:rPr>
          <w:rFonts w:ascii="Book Antiqua" w:hAnsi="Book Antiqua"/>
          <w:color w:val="000000"/>
        </w:rPr>
        <w:t>. Thus, regarding the redox molecules (</w:t>
      </w:r>
      <w:r w:rsidR="00944869" w:rsidRPr="00872B32">
        <w:rPr>
          <w:rFonts w:ascii="Book Antiqua" w:hAnsi="Book Antiqua"/>
          <w:color w:val="000000"/>
        </w:rPr>
        <w:t xml:space="preserve">Figure </w:t>
      </w:r>
      <w:r w:rsidRPr="00872B32">
        <w:rPr>
          <w:rFonts w:ascii="Book Antiqua" w:hAnsi="Book Antiqua"/>
          <w:color w:val="000000"/>
        </w:rPr>
        <w:t>1B), the unbalance between the Trx1/RTrx1 levels and an increase in the sCD30 level are also non-homeostasis biomarkers in both genders. Hence, they are also able to cause non-homeostasis of the redox immune system through their inhibiting action on the activation of CD30</w:t>
      </w:r>
      <w:r w:rsidRPr="00872B32">
        <w:rPr>
          <w:rFonts w:ascii="Book Antiqua" w:hAnsi="Book Antiqua"/>
          <w:color w:val="000000"/>
          <w:vertAlign w:val="superscript"/>
        </w:rPr>
        <w:t>[2</w:t>
      </w:r>
      <w:r w:rsidR="00DE7346" w:rsidRPr="00872B32">
        <w:rPr>
          <w:rFonts w:ascii="Book Antiqua" w:hAnsi="Book Antiqua"/>
          <w:color w:val="000000"/>
          <w:vertAlign w:val="superscript"/>
        </w:rPr>
        <w:t>0</w:t>
      </w:r>
      <w:r w:rsidRPr="00872B32">
        <w:rPr>
          <w:rFonts w:ascii="Book Antiqua" w:hAnsi="Book Antiqua"/>
          <w:color w:val="000000"/>
          <w:vertAlign w:val="superscript"/>
        </w:rPr>
        <w:t>]</w:t>
      </w:r>
      <w:r w:rsidRPr="00872B32">
        <w:rPr>
          <w:rFonts w:ascii="Book Antiqua" w:hAnsi="Book Antiqua"/>
          <w:color w:val="000000"/>
        </w:rPr>
        <w:t>. Therefore, an alteration between Trx1/RTrx1 levels</w:t>
      </w:r>
      <w:r w:rsidR="00C808A0" w:rsidRPr="00872B32">
        <w:rPr>
          <w:rFonts w:ascii="Book Antiqua" w:hAnsi="Book Antiqua"/>
          <w:color w:val="000000"/>
        </w:rPr>
        <w:t xml:space="preserve"> </w:t>
      </w:r>
      <w:r w:rsidRPr="00872B32">
        <w:rPr>
          <w:rFonts w:ascii="Book Antiqua" w:hAnsi="Book Antiqua"/>
          <w:color w:val="000000"/>
        </w:rPr>
        <w:t>and an increase</w:t>
      </w:r>
      <w:r w:rsidR="00C808A0" w:rsidRPr="00872B32">
        <w:rPr>
          <w:rFonts w:ascii="Book Antiqua" w:hAnsi="Book Antiqua"/>
          <w:color w:val="000000"/>
        </w:rPr>
        <w:t xml:space="preserve"> </w:t>
      </w:r>
      <w:r w:rsidRPr="00872B32">
        <w:rPr>
          <w:rFonts w:ascii="Book Antiqua" w:hAnsi="Book Antiqua"/>
          <w:color w:val="000000"/>
        </w:rPr>
        <w:t>of the sCD30 level should be biomarkers of</w:t>
      </w:r>
      <w:r w:rsidR="00C808A0" w:rsidRPr="00872B32">
        <w:rPr>
          <w:rFonts w:ascii="Book Antiqua" w:hAnsi="Book Antiqua"/>
          <w:color w:val="000000"/>
        </w:rPr>
        <w:t xml:space="preserve"> </w:t>
      </w:r>
      <w:r w:rsidRPr="00872B32">
        <w:rPr>
          <w:rFonts w:ascii="Book Antiqua" w:hAnsi="Book Antiqua"/>
          <w:color w:val="000000"/>
        </w:rPr>
        <w:t>the non-homeostasis of the redox immune system (</w:t>
      </w:r>
      <w:r w:rsidRPr="000507F8">
        <w:rPr>
          <w:rFonts w:ascii="Book Antiqua" w:hAnsi="Book Antiqua"/>
          <w:i/>
          <w:color w:val="000000"/>
        </w:rPr>
        <w:t>i.e</w:t>
      </w:r>
      <w:r w:rsidRPr="00872B32">
        <w:rPr>
          <w:rFonts w:ascii="Book Antiqua" w:hAnsi="Book Antiqua"/>
          <w:color w:val="000000"/>
        </w:rPr>
        <w:t>. chronic inflammation) and high disease risk (</w:t>
      </w:r>
      <w:r w:rsidR="002A074A" w:rsidRPr="00872B32">
        <w:rPr>
          <w:rFonts w:ascii="Book Antiqua" w:hAnsi="Book Antiqua"/>
          <w:color w:val="000000"/>
        </w:rPr>
        <w:t>Figure</w:t>
      </w:r>
      <w:r w:rsidRPr="00872B32">
        <w:rPr>
          <w:rFonts w:ascii="Book Antiqua" w:hAnsi="Book Antiqua"/>
          <w:color w:val="000000"/>
        </w:rPr>
        <w:t xml:space="preserve"> 1B). </w:t>
      </w:r>
    </w:p>
    <w:p w14:paraId="4842308E" w14:textId="77777777"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NK </w:t>
      </w:r>
      <w:r w:rsidR="00E20832" w:rsidRPr="00872B32">
        <w:rPr>
          <w:rFonts w:ascii="Book Antiqua" w:hAnsi="Book Antiqua"/>
          <w:color w:val="000000"/>
        </w:rPr>
        <w:t>cells</w:t>
      </w:r>
      <w:r w:rsidRPr="00872B32">
        <w:rPr>
          <w:rFonts w:ascii="Book Antiqua" w:hAnsi="Book Antiqua"/>
          <w:color w:val="000000"/>
        </w:rPr>
        <w:t xml:space="preserve"> provide the first-line of defense against malignant cells thanks to their ability to kill tumor cells. They can do this by means of cytokine production and </w:t>
      </w:r>
      <w:r w:rsidR="00E20832" w:rsidRPr="00872B32">
        <w:rPr>
          <w:rFonts w:ascii="Book Antiqua" w:hAnsi="Book Antiqua"/>
          <w:color w:val="000000"/>
        </w:rPr>
        <w:t>cross talking</w:t>
      </w:r>
      <w:r w:rsidRPr="00872B32">
        <w:rPr>
          <w:rFonts w:ascii="Book Antiqua" w:hAnsi="Book Antiqua"/>
          <w:color w:val="000000"/>
        </w:rPr>
        <w:t xml:space="preserve"> with the adaptive system. This cooperation is mediated by the interaction between CD30 on the NK cells and CD30L on the immature DC. This binding induces the secretion of cytokines by immature DC </w:t>
      </w:r>
      <w:r w:rsidRPr="008C54E8">
        <w:rPr>
          <w:rFonts w:ascii="Book Antiqua" w:hAnsi="Book Antiqua"/>
          <w:i/>
          <w:color w:val="000000"/>
        </w:rPr>
        <w:t>via</w:t>
      </w:r>
      <w:r w:rsidRPr="00872B32">
        <w:rPr>
          <w:rFonts w:ascii="Book Antiqua" w:hAnsi="Book Antiqua"/>
          <w:color w:val="000000"/>
        </w:rPr>
        <w:t xml:space="preserve"> the mitogen-activated protein kinase pathways and causes the differentiation of mature DC cells </w:t>
      </w:r>
      <w:r w:rsidR="00E20832" w:rsidRPr="00872B32">
        <w:rPr>
          <w:rFonts w:ascii="Book Antiqua" w:hAnsi="Book Antiqua"/>
          <w:color w:val="000000"/>
        </w:rPr>
        <w:t>and</w:t>
      </w:r>
      <w:r w:rsidRPr="00872B32">
        <w:rPr>
          <w:rFonts w:ascii="Book Antiqua" w:hAnsi="Book Antiqua"/>
          <w:color w:val="000000"/>
        </w:rPr>
        <w:t xml:space="preserve"> the release of TNF</w:t>
      </w:r>
      <w:r w:rsidR="00865E14" w:rsidRPr="00872B32">
        <w:rPr>
          <w:rFonts w:ascii="Book Antiqua" w:hAnsi="Book Antiqua"/>
          <w:color w:val="000000"/>
        </w:rPr>
        <w:t></w:t>
      </w:r>
      <w:r w:rsidRPr="00872B32">
        <w:rPr>
          <w:rFonts w:ascii="Book Antiqua" w:hAnsi="Book Antiqua"/>
          <w:color w:val="000000"/>
        </w:rPr>
        <w:t>/IFN</w:t>
      </w:r>
      <w:r w:rsidR="00865E14" w:rsidRPr="00872B32">
        <w:rPr>
          <w:rFonts w:ascii="Book Antiqua" w:hAnsi="Book Antiqua"/>
          <w:color w:val="000000"/>
        </w:rPr>
        <w:sym w:font="Symbol" w:char="F067"/>
      </w:r>
      <w:r w:rsidRPr="00872B32">
        <w:rPr>
          <w:rFonts w:ascii="Book Antiqua" w:hAnsi="Book Antiqua"/>
          <w:color w:val="000000"/>
        </w:rPr>
        <w:t xml:space="preserve"> by NK cells. The homeostasis of these interactions allows the generation of specific DC for the immune response and </w:t>
      </w:r>
      <w:r w:rsidR="00E20832" w:rsidRPr="00872B32">
        <w:rPr>
          <w:rFonts w:ascii="Book Antiqua" w:hAnsi="Book Antiqua"/>
          <w:color w:val="000000"/>
        </w:rPr>
        <w:t>then</w:t>
      </w:r>
      <w:r w:rsidRPr="00872B32">
        <w:rPr>
          <w:rFonts w:ascii="Book Antiqua" w:hAnsi="Book Antiqua"/>
          <w:color w:val="000000"/>
        </w:rPr>
        <w:t xml:space="preserve"> for the preservation of good health</w:t>
      </w:r>
      <w:r w:rsidRPr="00872B32">
        <w:rPr>
          <w:rFonts w:ascii="Book Antiqua" w:hAnsi="Book Antiqua"/>
          <w:color w:val="000000"/>
          <w:vertAlign w:val="superscript"/>
        </w:rPr>
        <w:t>[9]</w:t>
      </w:r>
      <w:r w:rsidRPr="00872B32">
        <w:rPr>
          <w:rFonts w:ascii="Book Antiqua" w:hAnsi="Book Antiqua"/>
          <w:color w:val="000000"/>
        </w:rPr>
        <w:t xml:space="preserve">. </w:t>
      </w:r>
    </w:p>
    <w:p w14:paraId="2E4D812B" w14:textId="62EC806E" w:rsidR="000956E5" w:rsidRPr="00872B32" w:rsidRDefault="00D270FE"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A balance of signal transduction achieved by both activating and inhibitory receptors</w:t>
      </w:r>
      <w:r w:rsidRPr="00872B32">
        <w:rPr>
          <w:rFonts w:ascii="Book Antiqua" w:hAnsi="Book Antiqua"/>
          <w:color w:val="000000"/>
          <w:vertAlign w:val="superscript"/>
        </w:rPr>
        <w:t>[21]</w:t>
      </w:r>
      <w:r w:rsidRPr="00872B32">
        <w:rPr>
          <w:rFonts w:ascii="Book Antiqua" w:hAnsi="Book Antiqua"/>
          <w:color w:val="000000"/>
        </w:rPr>
        <w:t>, among which the killer immunoglobulin-like receptors (KIRs) play an important regulatory function, regulates NK cell activity</w:t>
      </w:r>
      <w:r w:rsidR="000956E5" w:rsidRPr="00872B32">
        <w:rPr>
          <w:rFonts w:ascii="Book Antiqua" w:hAnsi="Book Antiqua"/>
          <w:color w:val="000000"/>
        </w:rPr>
        <w:t>. KIR polymorphisms and their interaction with HLA alleles may influence susceptibility to inflammatory diseases, viral infections and malignancies. It is known that KIR</w:t>
      </w:r>
      <w:r w:rsidR="000956E5" w:rsidRPr="00872B32">
        <w:rPr>
          <w:rFonts w:ascii="Book Antiqua" w:hAnsi="Book Antiqua"/>
          <w:i/>
          <w:color w:val="000000"/>
        </w:rPr>
        <w:t>2DL1</w:t>
      </w:r>
      <w:r w:rsidR="000956E5" w:rsidRPr="00872B32">
        <w:rPr>
          <w:rFonts w:ascii="Book Antiqua" w:hAnsi="Book Antiqua"/>
          <w:color w:val="000000"/>
        </w:rPr>
        <w:t xml:space="preserve"> and KIR</w:t>
      </w:r>
      <w:r w:rsidR="000956E5" w:rsidRPr="00872B32">
        <w:rPr>
          <w:rFonts w:ascii="Book Antiqua" w:hAnsi="Book Antiqua"/>
          <w:i/>
          <w:color w:val="000000"/>
        </w:rPr>
        <w:t>2DS1</w:t>
      </w:r>
      <w:r w:rsidR="000956E5" w:rsidRPr="00872B32">
        <w:rPr>
          <w:rFonts w:ascii="Book Antiqua" w:hAnsi="Book Antiqua"/>
          <w:color w:val="000000"/>
        </w:rPr>
        <w:t xml:space="preserve"> bind to HLA-C2, and KIR</w:t>
      </w:r>
      <w:r w:rsidR="000956E5" w:rsidRPr="00872B32">
        <w:rPr>
          <w:rFonts w:ascii="Book Antiqua" w:hAnsi="Book Antiqua"/>
          <w:i/>
          <w:color w:val="000000"/>
        </w:rPr>
        <w:t>2DL3</w:t>
      </w:r>
      <w:r w:rsidR="000956E5" w:rsidRPr="00872B32">
        <w:rPr>
          <w:rFonts w:ascii="Book Antiqua" w:hAnsi="Book Antiqua"/>
          <w:color w:val="000000"/>
        </w:rPr>
        <w:t>, KIR</w:t>
      </w:r>
      <w:r w:rsidR="000956E5" w:rsidRPr="00872B32">
        <w:rPr>
          <w:rFonts w:ascii="Book Antiqua" w:hAnsi="Book Antiqua"/>
          <w:i/>
          <w:color w:val="000000"/>
        </w:rPr>
        <w:t>2DS2</w:t>
      </w:r>
      <w:r w:rsidR="000956E5" w:rsidRPr="00872B32">
        <w:rPr>
          <w:rFonts w:ascii="Book Antiqua" w:hAnsi="Book Antiqua"/>
          <w:color w:val="000000"/>
        </w:rPr>
        <w:t xml:space="preserve"> and KIR2DL2 bind to HLA-C1. Up to now, specificities of the remaining KIRs are still unknown.</w:t>
      </w:r>
    </w:p>
    <w:p w14:paraId="6E611055" w14:textId="769B3F63"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bCs/>
          <w:color w:val="000000"/>
        </w:rPr>
        <w:lastRenderedPageBreak/>
        <w:t xml:space="preserve">Furthermore, antibody-dependent cell-mediated cytotoxicity (ADCC) is an important mechanism of </w:t>
      </w:r>
      <w:r w:rsidR="00707A78" w:rsidRPr="00872B32">
        <w:rPr>
          <w:rFonts w:ascii="Book Antiqua" w:hAnsi="Book Antiqua"/>
          <w:bCs/>
          <w:color w:val="000000"/>
        </w:rPr>
        <w:t>defense</w:t>
      </w:r>
      <w:r w:rsidRPr="00872B32">
        <w:rPr>
          <w:rFonts w:ascii="Book Antiqua" w:hAnsi="Book Antiqua"/>
          <w:bCs/>
          <w:color w:val="000000"/>
        </w:rPr>
        <w:t xml:space="preserve"> of the immune system in the killi</w:t>
      </w:r>
      <w:r w:rsidR="00A15AB6">
        <w:rPr>
          <w:rFonts w:ascii="Book Antiqua" w:hAnsi="Book Antiqua"/>
          <w:bCs/>
          <w:color w:val="000000"/>
        </w:rPr>
        <w:t>ng of tumor cells. The receptor</w:t>
      </w:r>
      <w:r w:rsidR="00A15AB6" w:rsidRPr="00526FCE">
        <w:rPr>
          <w:rFonts w:ascii="Book Antiqua" w:eastAsia="宋体" w:hAnsi="Book Antiqua" w:hint="eastAsia"/>
          <w:bCs/>
          <w:color w:val="000000"/>
          <w:lang w:eastAsia="zh-CN"/>
        </w:rPr>
        <w:t>s</w:t>
      </w:r>
      <w:r w:rsidRPr="00872B32">
        <w:rPr>
          <w:rFonts w:ascii="Book Antiqua" w:hAnsi="Book Antiqua"/>
          <w:bCs/>
          <w:color w:val="000000"/>
        </w:rPr>
        <w:t xml:space="preserve"> for the Fc domain of </w:t>
      </w:r>
      <w:r w:rsidR="005A7AEF">
        <w:rPr>
          <w:rFonts w:ascii="Book Antiqua" w:hAnsi="Book Antiqua"/>
          <w:bCs/>
          <w:color w:val="000000"/>
        </w:rPr>
        <w:t>immunoglobulin</w:t>
      </w:r>
      <w:r w:rsidR="00D607A9">
        <w:rPr>
          <w:rFonts w:ascii="Book Antiqua" w:hAnsi="Book Antiqua"/>
          <w:bCs/>
          <w:color w:val="000000"/>
        </w:rPr>
        <w:t xml:space="preserve"> G</w:t>
      </w:r>
      <w:r w:rsidRPr="00872B32">
        <w:rPr>
          <w:rFonts w:ascii="Book Antiqua" w:hAnsi="Book Antiqua"/>
          <w:bCs/>
          <w:color w:val="000000"/>
        </w:rPr>
        <w:t xml:space="preserve"> (Fc</w:t>
      </w:r>
      <w:r w:rsidRPr="00872B32">
        <w:rPr>
          <w:rFonts w:ascii="Book Antiqua" w:hAnsi="Book Antiqua"/>
          <w:color w:val="000000"/>
        </w:rPr>
        <w:sym w:font="Symbol" w:char="0067"/>
      </w:r>
      <w:r w:rsidRPr="00872B32">
        <w:rPr>
          <w:rFonts w:ascii="Book Antiqua" w:hAnsi="Book Antiqua"/>
          <w:bCs/>
          <w:color w:val="000000"/>
        </w:rPr>
        <w:t xml:space="preserve">R), which interact with antibodies linked to their cognate antigens, </w:t>
      </w:r>
      <w:r w:rsidR="008D1E2F" w:rsidRPr="00872B32">
        <w:rPr>
          <w:rFonts w:ascii="Book Antiqua" w:hAnsi="Book Antiqua"/>
          <w:bCs/>
          <w:color w:val="000000"/>
        </w:rPr>
        <w:t xml:space="preserve">give a crossing point between specific humoral and cellular immunity. </w:t>
      </w:r>
      <w:r w:rsidRPr="00872B32">
        <w:rPr>
          <w:rFonts w:ascii="Book Antiqua" w:hAnsi="Book Antiqua"/>
          <w:bCs/>
          <w:color w:val="000000"/>
        </w:rPr>
        <w:t>They appear to be the only molecules on human myeloid cells</w:t>
      </w:r>
      <w:r w:rsidR="00D607A9">
        <w:rPr>
          <w:rFonts w:ascii="Book Antiqua" w:hAnsi="Book Antiqua"/>
          <w:bCs/>
          <w:color w:val="000000"/>
        </w:rPr>
        <w:t xml:space="preserve"> that</w:t>
      </w:r>
      <w:r w:rsidRPr="00872B32">
        <w:rPr>
          <w:rFonts w:ascii="Book Antiqua" w:hAnsi="Book Antiqua"/>
          <w:bCs/>
          <w:color w:val="000000"/>
        </w:rPr>
        <w:t xml:space="preserve"> are </w:t>
      </w:r>
      <w:r w:rsidR="008D1E2F" w:rsidRPr="00872B32">
        <w:rPr>
          <w:rFonts w:ascii="Book Antiqua" w:hAnsi="Book Antiqua"/>
          <w:bCs/>
          <w:color w:val="000000"/>
        </w:rPr>
        <w:t xml:space="preserve">able to mediate </w:t>
      </w:r>
      <w:r w:rsidRPr="00872B32">
        <w:rPr>
          <w:rFonts w:ascii="Book Antiqua" w:hAnsi="Book Antiqua"/>
          <w:bCs/>
          <w:color w:val="000000"/>
        </w:rPr>
        <w:t xml:space="preserve">the ADCC of tumors and may be </w:t>
      </w:r>
      <w:r w:rsidR="00D270FE" w:rsidRPr="00872B32">
        <w:rPr>
          <w:rFonts w:ascii="Book Antiqua" w:hAnsi="Book Antiqua"/>
          <w:bCs/>
          <w:color w:val="000000"/>
        </w:rPr>
        <w:t>important in</w:t>
      </w:r>
      <w:r w:rsidRPr="00872B32">
        <w:rPr>
          <w:rFonts w:ascii="Book Antiqua" w:hAnsi="Book Antiqua"/>
          <w:bCs/>
          <w:color w:val="000000"/>
        </w:rPr>
        <w:t xml:space="preserve"> antibody therapy against cancer. Fc</w:t>
      </w:r>
      <w:r w:rsidRPr="00872B32">
        <w:rPr>
          <w:rFonts w:ascii="Book Antiqua" w:hAnsi="Book Antiqua"/>
          <w:color w:val="000000"/>
        </w:rPr>
        <w:sym w:font="Symbol" w:char="0067"/>
      </w:r>
      <w:r w:rsidRPr="00872B32">
        <w:rPr>
          <w:rFonts w:ascii="Book Antiqua" w:hAnsi="Book Antiqua"/>
          <w:bCs/>
          <w:color w:val="000000"/>
        </w:rPr>
        <w:t>Rs are</w:t>
      </w:r>
      <w:r w:rsidR="00C808A0" w:rsidRPr="00872B32">
        <w:rPr>
          <w:rFonts w:ascii="Book Antiqua" w:hAnsi="Book Antiqua"/>
          <w:bCs/>
          <w:color w:val="000000"/>
        </w:rPr>
        <w:t xml:space="preserve"> </w:t>
      </w:r>
      <w:r w:rsidRPr="00872B32">
        <w:rPr>
          <w:rFonts w:ascii="Book Antiqua" w:hAnsi="Book Antiqua"/>
          <w:bCs/>
          <w:color w:val="000000"/>
        </w:rPr>
        <w:t xml:space="preserve">expressed in a wide variety of human leukocytes. </w:t>
      </w:r>
      <w:r w:rsidRPr="00872B32">
        <w:rPr>
          <w:rFonts w:ascii="Book Antiqua" w:hAnsi="Book Antiqua"/>
          <w:color w:val="000000"/>
        </w:rPr>
        <w:t>Several FcR subtypes have been identified and can be distinguished by their affinity for the antibody Fc-fragment and by the signaling pathway they induce. In humans</w:t>
      </w:r>
      <w:r w:rsidR="00D607A9">
        <w:rPr>
          <w:rFonts w:ascii="Book Antiqua" w:hAnsi="Book Antiqua"/>
          <w:color w:val="000000"/>
        </w:rPr>
        <w:t>,</w:t>
      </w:r>
      <w:r w:rsidRPr="00872B32">
        <w:rPr>
          <w:rFonts w:ascii="Book Antiqua" w:hAnsi="Book Antiqua"/>
          <w:color w:val="000000"/>
        </w:rPr>
        <w:t xml:space="preserve"> there are activating Fc</w:t>
      </w:r>
      <w:r w:rsidR="00865E14" w:rsidRPr="00872B32">
        <w:rPr>
          <w:rFonts w:ascii="Book Antiqua" w:hAnsi="Book Antiqua"/>
          <w:color w:val="000000"/>
        </w:rPr>
        <w:sym w:font="Symbol" w:char="F067"/>
      </w:r>
      <w:r w:rsidRPr="00872B32">
        <w:rPr>
          <w:rFonts w:ascii="Book Antiqua" w:hAnsi="Book Antiqua"/>
          <w:color w:val="000000"/>
        </w:rPr>
        <w:t>RI (CD64), Fc</w:t>
      </w:r>
      <w:r w:rsidR="00865E14" w:rsidRPr="00872B32">
        <w:rPr>
          <w:rFonts w:ascii="Book Antiqua" w:hAnsi="Book Antiqua"/>
          <w:color w:val="000000"/>
        </w:rPr>
        <w:sym w:font="Symbol" w:char="F067"/>
      </w:r>
      <w:r w:rsidRPr="00872B32">
        <w:rPr>
          <w:rFonts w:ascii="Book Antiqua" w:hAnsi="Book Antiqua"/>
          <w:color w:val="000000"/>
        </w:rPr>
        <w:t>RIIa (CD32A), Fc</w:t>
      </w:r>
      <w:r w:rsidR="00865E14" w:rsidRPr="00872B32">
        <w:rPr>
          <w:rFonts w:ascii="Book Antiqua" w:hAnsi="Book Antiqua"/>
          <w:color w:val="000000"/>
        </w:rPr>
        <w:sym w:font="Symbol" w:char="F067"/>
      </w:r>
      <w:r w:rsidRPr="00872B32">
        <w:rPr>
          <w:rFonts w:ascii="Book Antiqua" w:hAnsi="Book Antiqua"/>
          <w:color w:val="000000"/>
        </w:rPr>
        <w:t>RIIc (CD32C), Fc</w:t>
      </w:r>
      <w:r w:rsidR="00865E14" w:rsidRPr="00872B32">
        <w:rPr>
          <w:rFonts w:ascii="Book Antiqua" w:hAnsi="Book Antiqua"/>
          <w:color w:val="000000"/>
        </w:rPr>
        <w:sym w:font="Symbol" w:char="F067"/>
      </w:r>
      <w:r w:rsidRPr="00872B32">
        <w:rPr>
          <w:rFonts w:ascii="Book Antiqua" w:hAnsi="Book Antiqua"/>
          <w:color w:val="000000"/>
        </w:rPr>
        <w:t>RIIIa (CD16A)</w:t>
      </w:r>
      <w:r w:rsidR="00D607A9">
        <w:rPr>
          <w:rFonts w:ascii="Book Antiqua" w:hAnsi="Book Antiqua"/>
          <w:color w:val="000000"/>
        </w:rPr>
        <w:t xml:space="preserve"> and</w:t>
      </w:r>
      <w:r w:rsidRPr="00872B32">
        <w:rPr>
          <w:rFonts w:ascii="Book Antiqua" w:hAnsi="Book Antiqua"/>
          <w:color w:val="000000"/>
        </w:rPr>
        <w:t xml:space="preserve"> Fc</w:t>
      </w:r>
      <w:r w:rsidR="00865E14" w:rsidRPr="00872B32">
        <w:rPr>
          <w:rFonts w:ascii="Book Antiqua" w:hAnsi="Book Antiqua"/>
          <w:color w:val="000000"/>
        </w:rPr>
        <w:sym w:font="Symbol" w:char="F067"/>
      </w:r>
      <w:r w:rsidRPr="00872B32">
        <w:rPr>
          <w:rFonts w:ascii="Book Antiqua" w:hAnsi="Book Antiqua"/>
          <w:color w:val="000000"/>
        </w:rPr>
        <w:t>RIIIb (CD16B) and inhibitory Fc</w:t>
      </w:r>
      <w:r w:rsidR="00865E14" w:rsidRPr="00872B32">
        <w:rPr>
          <w:rFonts w:ascii="Book Antiqua" w:hAnsi="Book Antiqua"/>
          <w:color w:val="000000"/>
        </w:rPr>
        <w:sym w:font="Symbol" w:char="F067"/>
      </w:r>
      <w:r w:rsidRPr="00872B32">
        <w:rPr>
          <w:rFonts w:ascii="Book Antiqua" w:hAnsi="Book Antiqua"/>
          <w:color w:val="000000"/>
        </w:rPr>
        <w:t>RIIb (CD32B)</w:t>
      </w:r>
      <w:r w:rsidR="0035434D" w:rsidRPr="00872B32">
        <w:rPr>
          <w:rFonts w:ascii="Book Antiqua" w:hAnsi="Book Antiqua"/>
          <w:color w:val="000000"/>
          <w:vertAlign w:val="superscript"/>
        </w:rPr>
        <w:t>[22]</w:t>
      </w:r>
      <w:r w:rsidRPr="00872B32">
        <w:rPr>
          <w:rFonts w:ascii="Book Antiqua" w:hAnsi="Book Antiqua"/>
          <w:color w:val="000000"/>
        </w:rPr>
        <w:t>.</w:t>
      </w:r>
      <w:r w:rsidRPr="00872B32">
        <w:rPr>
          <w:rFonts w:ascii="Book Antiqua" w:hAnsi="Book Antiqua"/>
          <w:bCs/>
          <w:color w:val="000000"/>
        </w:rPr>
        <w:t xml:space="preserve"> Some polymorphisms of Fc</w:t>
      </w:r>
      <w:r w:rsidRPr="00872B32">
        <w:rPr>
          <w:rFonts w:ascii="Book Antiqua" w:hAnsi="Book Antiqua"/>
          <w:color w:val="000000"/>
        </w:rPr>
        <w:sym w:font="Symbol" w:char="0067"/>
      </w:r>
      <w:r w:rsidRPr="00872B32">
        <w:rPr>
          <w:rFonts w:ascii="Book Antiqua" w:hAnsi="Book Antiqua"/>
          <w:bCs/>
          <w:color w:val="000000"/>
        </w:rPr>
        <w:t xml:space="preserve">R </w:t>
      </w:r>
      <w:r w:rsidR="00895956" w:rsidRPr="00872B32">
        <w:rPr>
          <w:rFonts w:ascii="Book Antiqua" w:hAnsi="Book Antiqua"/>
          <w:bCs/>
          <w:color w:val="000000"/>
        </w:rPr>
        <w:t xml:space="preserve">have been identified and could </w:t>
      </w:r>
      <w:r w:rsidRPr="00872B32">
        <w:rPr>
          <w:rFonts w:ascii="Book Antiqua" w:hAnsi="Book Antiqua"/>
          <w:bCs/>
          <w:color w:val="000000"/>
        </w:rPr>
        <w:t>have significant clinical relevance</w:t>
      </w:r>
      <w:r w:rsidRPr="00872B32">
        <w:rPr>
          <w:rFonts w:ascii="Book Antiqua" w:hAnsi="Book Antiqua"/>
          <w:color w:val="000000"/>
          <w:vertAlign w:val="superscript"/>
        </w:rPr>
        <w:t>[2</w:t>
      </w:r>
      <w:r w:rsidR="00055A1A" w:rsidRPr="00872B32">
        <w:rPr>
          <w:rFonts w:ascii="Book Antiqua" w:hAnsi="Book Antiqua"/>
          <w:color w:val="000000"/>
          <w:vertAlign w:val="superscript"/>
        </w:rPr>
        <w:t>3</w:t>
      </w:r>
      <w:r w:rsidRPr="00872B32">
        <w:rPr>
          <w:rFonts w:ascii="Book Antiqua" w:hAnsi="Book Antiqua"/>
          <w:color w:val="000000"/>
          <w:vertAlign w:val="superscript"/>
        </w:rPr>
        <w:t>]</w:t>
      </w:r>
      <w:r w:rsidRPr="00872B32">
        <w:rPr>
          <w:rFonts w:ascii="Book Antiqua" w:hAnsi="Book Antiqua"/>
          <w:color w:val="000000"/>
        </w:rPr>
        <w:t>. Fc</w:t>
      </w:r>
      <w:r w:rsidR="00865E14" w:rsidRPr="00872B32">
        <w:rPr>
          <w:rFonts w:ascii="Book Antiqua" w:hAnsi="Book Antiqua"/>
          <w:color w:val="000000"/>
        </w:rPr>
        <w:sym w:font="Symbol" w:char="F067"/>
      </w:r>
      <w:r w:rsidRPr="00872B32">
        <w:rPr>
          <w:rFonts w:ascii="Book Antiqua" w:hAnsi="Book Antiqua"/>
          <w:color w:val="000000"/>
        </w:rPr>
        <w:t>RIIIa and Fc</w:t>
      </w:r>
      <w:r w:rsidR="00865E14" w:rsidRPr="00872B32">
        <w:rPr>
          <w:rFonts w:ascii="Book Antiqua" w:hAnsi="Book Antiqua"/>
          <w:color w:val="000000"/>
        </w:rPr>
        <w:sym w:font="Symbol" w:char="F067"/>
      </w:r>
      <w:r w:rsidRPr="00872B32">
        <w:rPr>
          <w:rFonts w:ascii="Book Antiqua" w:hAnsi="Book Antiqua"/>
          <w:color w:val="000000"/>
        </w:rPr>
        <w:t>RIIa transmit activating signals to NK lymphocytes and myeloid cells, thus assuring the connection between the innate and the adaptive immune responses. Fc</w:t>
      </w:r>
      <w:r w:rsidR="00865E14" w:rsidRPr="00872B32">
        <w:rPr>
          <w:rFonts w:ascii="Book Antiqua" w:hAnsi="Book Antiqua"/>
          <w:color w:val="000000"/>
        </w:rPr>
        <w:sym w:font="Symbol" w:char="F067"/>
      </w:r>
      <w:r w:rsidRPr="00872B32">
        <w:rPr>
          <w:rFonts w:ascii="Book Antiqua" w:hAnsi="Book Antiqua"/>
          <w:color w:val="000000"/>
        </w:rPr>
        <w:t>RIIIa is expressed in NK lymphocytes and macrophages, while Fc</w:t>
      </w:r>
      <w:r w:rsidR="00865E14" w:rsidRPr="00872B32">
        <w:rPr>
          <w:rFonts w:ascii="Book Antiqua" w:hAnsi="Book Antiqua"/>
          <w:color w:val="000000"/>
        </w:rPr>
        <w:sym w:font="Symbol" w:char="F067"/>
      </w:r>
      <w:r w:rsidRPr="00872B32">
        <w:rPr>
          <w:rFonts w:ascii="Book Antiqua" w:hAnsi="Book Antiqua"/>
          <w:color w:val="000000"/>
        </w:rPr>
        <w:t>RIIa is widely expressed in myeloid cells</w:t>
      </w:r>
      <w:r w:rsidR="0035434D" w:rsidRPr="00872B32">
        <w:rPr>
          <w:rFonts w:ascii="Book Antiqua" w:hAnsi="Book Antiqua"/>
          <w:color w:val="000000"/>
          <w:vertAlign w:val="superscript"/>
        </w:rPr>
        <w:t>[24]</w:t>
      </w:r>
      <w:r w:rsidRPr="00872B32">
        <w:rPr>
          <w:rFonts w:ascii="Book Antiqua" w:hAnsi="Book Antiqua"/>
          <w:color w:val="000000"/>
        </w:rPr>
        <w:t xml:space="preserve"> </w:t>
      </w:r>
      <w:r w:rsidR="00303175">
        <w:rPr>
          <w:rFonts w:ascii="Book Antiqua" w:hAnsi="Book Antiqua"/>
          <w:color w:val="000000"/>
        </w:rPr>
        <w:t xml:space="preserve">. </w:t>
      </w:r>
      <w:r w:rsidRPr="00872B32">
        <w:rPr>
          <w:rFonts w:ascii="Book Antiqua" w:hAnsi="Book Antiqua"/>
          <w:color w:val="000000"/>
        </w:rPr>
        <w:t>Two functional polymorphisms of human Fc</w:t>
      </w:r>
      <w:r w:rsidRPr="00872B32">
        <w:rPr>
          <w:rFonts w:ascii="Book Antiqua" w:hAnsi="Book Antiqua"/>
          <w:color w:val="000000"/>
        </w:rPr>
        <w:sym w:font="Symbol" w:char="0067"/>
      </w:r>
      <w:r w:rsidRPr="00872B32">
        <w:rPr>
          <w:rFonts w:ascii="Book Antiqua" w:hAnsi="Book Antiqua"/>
          <w:color w:val="000000"/>
        </w:rPr>
        <w:t>RIIa and Fc</w:t>
      </w:r>
      <w:r w:rsidRPr="00872B32">
        <w:rPr>
          <w:rFonts w:ascii="Book Antiqua" w:hAnsi="Book Antiqua"/>
          <w:color w:val="000000"/>
        </w:rPr>
        <w:sym w:font="Symbol" w:char="0067"/>
      </w:r>
      <w:r w:rsidRPr="00872B32">
        <w:rPr>
          <w:rFonts w:ascii="Book Antiqua" w:hAnsi="Book Antiqua"/>
          <w:color w:val="000000"/>
        </w:rPr>
        <w:t>RIIIa have been identified in the extracellular regions of these receptors:</w:t>
      </w:r>
      <w:r w:rsidR="0035434D" w:rsidRPr="00872B32">
        <w:rPr>
          <w:rFonts w:ascii="Book Antiqua" w:hAnsi="Book Antiqua"/>
          <w:color w:val="000000"/>
        </w:rPr>
        <w:t xml:space="preserve"> </w:t>
      </w:r>
      <w:r w:rsidR="005A7AEF" w:rsidRPr="00872B32">
        <w:rPr>
          <w:rFonts w:ascii="Book Antiqua" w:hAnsi="Book Antiqua"/>
          <w:color w:val="000000"/>
        </w:rPr>
        <w:t>phenyla</w:t>
      </w:r>
      <w:r w:rsidR="005A7AEF">
        <w:rPr>
          <w:rFonts w:ascii="Book Antiqua" w:hAnsi="Book Antiqua"/>
          <w:color w:val="000000"/>
        </w:rPr>
        <w:t>la</w:t>
      </w:r>
      <w:r w:rsidR="005A7AEF" w:rsidRPr="00872B32">
        <w:rPr>
          <w:rFonts w:ascii="Book Antiqua" w:hAnsi="Book Antiqua"/>
          <w:color w:val="000000"/>
        </w:rPr>
        <w:t>nine</w:t>
      </w:r>
      <w:r w:rsidRPr="00872B32">
        <w:rPr>
          <w:rFonts w:ascii="Book Antiqua" w:hAnsi="Book Antiqua"/>
          <w:color w:val="000000"/>
        </w:rPr>
        <w:t>/valine-158 of Fc</w:t>
      </w:r>
      <w:r w:rsidRPr="00872B32">
        <w:rPr>
          <w:rFonts w:ascii="Book Antiqua" w:hAnsi="Book Antiqua"/>
          <w:color w:val="000000"/>
        </w:rPr>
        <w:sym w:font="Symbol" w:char="0067"/>
      </w:r>
      <w:r w:rsidRPr="00872B32">
        <w:rPr>
          <w:rFonts w:ascii="Book Antiqua" w:hAnsi="Book Antiqua"/>
          <w:color w:val="000000"/>
        </w:rPr>
        <w:t>RIIIa (Fc</w:t>
      </w:r>
      <w:r w:rsidRPr="00872B32">
        <w:rPr>
          <w:rFonts w:ascii="Book Antiqua" w:hAnsi="Book Antiqua"/>
          <w:color w:val="000000"/>
        </w:rPr>
        <w:sym w:font="Symbol" w:char="0067"/>
      </w:r>
      <w:r w:rsidRPr="00872B32">
        <w:rPr>
          <w:rFonts w:ascii="Book Antiqua" w:hAnsi="Book Antiqua"/>
          <w:color w:val="000000"/>
        </w:rPr>
        <w:t>RIIIa-158</w:t>
      </w:r>
      <w:r w:rsidRPr="00872B32">
        <w:rPr>
          <w:rFonts w:ascii="Book Antiqua" w:hAnsi="Book Antiqua"/>
          <w:i/>
          <w:color w:val="000000"/>
        </w:rPr>
        <w:t>F/V</w:t>
      </w:r>
      <w:r w:rsidRPr="00872B32">
        <w:rPr>
          <w:rFonts w:ascii="Book Antiqua" w:hAnsi="Book Antiqua"/>
          <w:color w:val="000000"/>
        </w:rPr>
        <w:t>) and histidine/arginine-131 of Fc</w:t>
      </w:r>
      <w:r w:rsidRPr="00872B32">
        <w:rPr>
          <w:rFonts w:ascii="Book Antiqua" w:hAnsi="Book Antiqua"/>
          <w:color w:val="000000"/>
        </w:rPr>
        <w:sym w:font="Symbol" w:char="0067"/>
      </w:r>
      <w:r w:rsidRPr="00872B32">
        <w:rPr>
          <w:rFonts w:ascii="Book Antiqua" w:hAnsi="Book Antiqua"/>
          <w:color w:val="000000"/>
        </w:rPr>
        <w:t>RIIa (Fc</w:t>
      </w:r>
      <w:r w:rsidRPr="00872B32">
        <w:rPr>
          <w:rFonts w:ascii="Book Antiqua" w:hAnsi="Book Antiqua"/>
          <w:color w:val="000000"/>
        </w:rPr>
        <w:sym w:font="Symbol" w:char="0067"/>
      </w:r>
      <w:r w:rsidRPr="00872B32">
        <w:rPr>
          <w:rFonts w:ascii="Book Antiqua" w:hAnsi="Book Antiqua"/>
          <w:color w:val="000000"/>
        </w:rPr>
        <w:t>RIIa-131</w:t>
      </w:r>
      <w:r w:rsidRPr="00872B32">
        <w:rPr>
          <w:rFonts w:ascii="Book Antiqua" w:hAnsi="Book Antiqua"/>
          <w:i/>
          <w:color w:val="000000"/>
        </w:rPr>
        <w:t>H/R</w:t>
      </w:r>
      <w:r w:rsidRPr="00872B32">
        <w:rPr>
          <w:rFonts w:ascii="Book Antiqua" w:hAnsi="Book Antiqua"/>
          <w:color w:val="000000"/>
        </w:rPr>
        <w:t xml:space="preserve">). They both modulate their affinity for certain human </w:t>
      </w:r>
      <w:r w:rsidR="00D607A9">
        <w:rPr>
          <w:rFonts w:ascii="Book Antiqua" w:hAnsi="Book Antiqua"/>
          <w:color w:val="000000"/>
        </w:rPr>
        <w:t>immunoglobulin G</w:t>
      </w:r>
      <w:r w:rsidRPr="00872B32">
        <w:rPr>
          <w:rFonts w:ascii="Book Antiqua" w:hAnsi="Book Antiqua"/>
          <w:color w:val="000000"/>
        </w:rPr>
        <w:t xml:space="preserve"> subclasses</w:t>
      </w:r>
      <w:r w:rsidRPr="00872B32">
        <w:rPr>
          <w:rFonts w:ascii="Book Antiqua" w:hAnsi="Book Antiqua"/>
          <w:color w:val="000000"/>
          <w:vertAlign w:val="superscript"/>
        </w:rPr>
        <w:t>[</w:t>
      </w:r>
      <w:r w:rsidR="00055A1A" w:rsidRPr="00872B32">
        <w:rPr>
          <w:rFonts w:ascii="Book Antiqua" w:hAnsi="Book Antiqua"/>
          <w:color w:val="000000"/>
          <w:vertAlign w:val="superscript"/>
        </w:rPr>
        <w:t>25,26</w:t>
      </w:r>
      <w:r w:rsidRPr="00872B32">
        <w:rPr>
          <w:rFonts w:ascii="Book Antiqua" w:hAnsi="Book Antiqua"/>
          <w:color w:val="000000"/>
          <w:vertAlign w:val="superscript"/>
        </w:rPr>
        <w:t>]</w:t>
      </w:r>
      <w:r w:rsidRPr="00872B32">
        <w:rPr>
          <w:rFonts w:ascii="Book Antiqua" w:hAnsi="Book Antiqua"/>
          <w:color w:val="000000"/>
        </w:rPr>
        <w:t>. Clinical studies have reported that the presence of Fc</w:t>
      </w:r>
      <w:r w:rsidRPr="00872B32">
        <w:rPr>
          <w:rFonts w:ascii="Book Antiqua" w:hAnsi="Book Antiqua"/>
          <w:color w:val="000000"/>
        </w:rPr>
        <w:sym w:font="Symbol" w:char="0067"/>
      </w:r>
      <w:r w:rsidRPr="00872B32">
        <w:rPr>
          <w:rFonts w:ascii="Book Antiqua" w:hAnsi="Book Antiqua"/>
          <w:color w:val="000000"/>
        </w:rPr>
        <w:t>RIIa-131</w:t>
      </w:r>
      <w:r w:rsidRPr="00872B32">
        <w:rPr>
          <w:rFonts w:ascii="Book Antiqua" w:hAnsi="Book Antiqua"/>
          <w:i/>
          <w:color w:val="000000"/>
        </w:rPr>
        <w:t xml:space="preserve">H/H </w:t>
      </w:r>
      <w:r w:rsidRPr="00872B32">
        <w:rPr>
          <w:rFonts w:ascii="Book Antiqua" w:hAnsi="Book Antiqua"/>
          <w:color w:val="000000"/>
        </w:rPr>
        <w:t>and Fc</w:t>
      </w:r>
      <w:r w:rsidRPr="00872B32">
        <w:rPr>
          <w:rFonts w:ascii="Book Antiqua" w:hAnsi="Book Antiqua"/>
          <w:color w:val="000000"/>
        </w:rPr>
        <w:sym w:font="Symbol" w:char="0067"/>
      </w:r>
      <w:r w:rsidRPr="00872B32">
        <w:rPr>
          <w:rFonts w:ascii="Book Antiqua" w:hAnsi="Book Antiqua"/>
          <w:color w:val="000000"/>
        </w:rPr>
        <w:t>RIIIa-158</w:t>
      </w:r>
      <w:r w:rsidRPr="00872B32">
        <w:rPr>
          <w:rFonts w:ascii="Book Antiqua" w:hAnsi="Book Antiqua"/>
          <w:i/>
          <w:color w:val="000000"/>
        </w:rPr>
        <w:t xml:space="preserve">V/V </w:t>
      </w:r>
      <w:r w:rsidRPr="00872B32">
        <w:rPr>
          <w:rFonts w:ascii="Book Antiqua" w:hAnsi="Book Antiqua"/>
          <w:color w:val="000000"/>
        </w:rPr>
        <w:t>genotypes is associated with a more efficient ADCC antitumor response. Therefore, the FcγRIIa</w:t>
      </w:r>
      <w:r w:rsidR="00705C54" w:rsidRPr="00872B32">
        <w:rPr>
          <w:rFonts w:ascii="Book Antiqua" w:hAnsi="Book Antiqua"/>
          <w:color w:val="000000"/>
        </w:rPr>
        <w:t>-</w:t>
      </w:r>
      <w:r w:rsidRPr="00872B32">
        <w:rPr>
          <w:rFonts w:ascii="Book Antiqua" w:hAnsi="Book Antiqua"/>
          <w:color w:val="000000"/>
        </w:rPr>
        <w:t>131</w:t>
      </w:r>
      <w:r w:rsidRPr="00872B32">
        <w:rPr>
          <w:rFonts w:ascii="Book Antiqua" w:hAnsi="Book Antiqua"/>
          <w:i/>
          <w:color w:val="000000"/>
        </w:rPr>
        <w:t xml:space="preserve">H/R </w:t>
      </w:r>
      <w:r w:rsidRPr="00872B32">
        <w:rPr>
          <w:rFonts w:ascii="Book Antiqua" w:hAnsi="Book Antiqua"/>
          <w:color w:val="000000"/>
        </w:rPr>
        <w:t>and the FcγRIIIa</w:t>
      </w:r>
      <w:r w:rsidR="00705C54" w:rsidRPr="00872B32">
        <w:rPr>
          <w:rFonts w:ascii="Book Antiqua" w:hAnsi="Book Antiqua"/>
          <w:color w:val="000000"/>
        </w:rPr>
        <w:t>-</w:t>
      </w:r>
      <w:r w:rsidRPr="00872B32">
        <w:rPr>
          <w:rFonts w:ascii="Book Antiqua" w:hAnsi="Book Antiqua"/>
          <w:color w:val="000000"/>
        </w:rPr>
        <w:t>158</w:t>
      </w:r>
      <w:r w:rsidRPr="00872B32">
        <w:rPr>
          <w:rFonts w:ascii="Book Antiqua" w:hAnsi="Book Antiqua"/>
          <w:i/>
          <w:color w:val="000000"/>
        </w:rPr>
        <w:t>V/F</w:t>
      </w:r>
      <w:r w:rsidRPr="00872B32">
        <w:rPr>
          <w:rFonts w:ascii="Book Antiqua" w:hAnsi="Book Antiqua"/>
          <w:color w:val="000000"/>
        </w:rPr>
        <w:t xml:space="preserve"> polymorphisms are early biomarkers because they are valid as genetic stratification parameters for quantifying the percentage of risk forecast by Trx1/CD30.</w:t>
      </w:r>
      <w:r w:rsidRPr="00872B32">
        <w:rPr>
          <w:rFonts w:ascii="Book Antiqua" w:hAnsi="Book Antiqua"/>
          <w:color w:val="000000"/>
        </w:rPr>
        <w:tab/>
      </w:r>
    </w:p>
    <w:p w14:paraId="1CBC722F" w14:textId="77777777" w:rsidR="00655E8F"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GB"/>
        </w:rPr>
      </w:pPr>
      <w:r w:rsidRPr="00872B32">
        <w:rPr>
          <w:rFonts w:ascii="Book Antiqua" w:hAnsi="Book Antiqua"/>
          <w:color w:val="000000"/>
          <w:sz w:val="24"/>
          <w:szCs w:val="24"/>
          <w:lang w:val="en-US"/>
        </w:rPr>
        <w:t xml:space="preserve">Consequently, research on Trx1/CD30 must be considered very useful for the formulation of personalized clinical solving strategies to improve healthy aging and tumor treatment. </w:t>
      </w:r>
      <w:r w:rsidRPr="00872B32">
        <w:rPr>
          <w:rFonts w:ascii="Book Antiqua" w:hAnsi="Book Antiqua"/>
          <w:bCs/>
          <w:color w:val="000000"/>
          <w:sz w:val="24"/>
          <w:szCs w:val="24"/>
          <w:lang w:val="en-US"/>
        </w:rPr>
        <w:t>In view of this,</w:t>
      </w:r>
      <w:r w:rsidRPr="00872B32">
        <w:rPr>
          <w:rFonts w:ascii="Book Antiqua" w:hAnsi="Book Antiqua"/>
          <w:color w:val="000000"/>
          <w:sz w:val="24"/>
          <w:szCs w:val="24"/>
          <w:lang w:val="en-US"/>
        </w:rPr>
        <w:t xml:space="preserve"> in order to validate or refute our hypothesis about the potential benefits of Trx1/CD30 screening in predictive medicine, </w:t>
      </w:r>
      <w:r w:rsidRPr="00872B32">
        <w:rPr>
          <w:rFonts w:ascii="Book Antiqua" w:hAnsi="Book Antiqua"/>
          <w:color w:val="000000"/>
          <w:sz w:val="24"/>
          <w:szCs w:val="24"/>
          <w:lang w:val="en-GB"/>
        </w:rPr>
        <w:t>the interactions between serum levels of Trx1, RTrx1 sCD30 molecules and Treg, Th1, Th9, Th17 cytokines with the polymorphism of KIRs, Fc</w:t>
      </w:r>
      <w:r w:rsidR="00865E14" w:rsidRPr="00872B32">
        <w:rPr>
          <w:rFonts w:ascii="Book Antiqua" w:hAnsi="Book Antiqua"/>
          <w:color w:val="000000"/>
          <w:sz w:val="24"/>
          <w:szCs w:val="24"/>
        </w:rPr>
        <w:sym w:font="Symbol" w:char="F067"/>
      </w:r>
      <w:r w:rsidRPr="00872B32">
        <w:rPr>
          <w:rFonts w:ascii="Book Antiqua" w:hAnsi="Book Antiqua"/>
          <w:color w:val="000000"/>
          <w:sz w:val="24"/>
          <w:szCs w:val="24"/>
          <w:lang w:val="en-GB"/>
        </w:rPr>
        <w:t>RIIa-131</w:t>
      </w:r>
      <w:r w:rsidRPr="00872B32">
        <w:rPr>
          <w:rFonts w:ascii="Book Antiqua" w:hAnsi="Book Antiqua"/>
          <w:i/>
          <w:color w:val="000000"/>
          <w:sz w:val="24"/>
          <w:szCs w:val="24"/>
          <w:lang w:val="en-GB"/>
        </w:rPr>
        <w:t xml:space="preserve">H/R </w:t>
      </w:r>
      <w:r w:rsidRPr="00872B32">
        <w:rPr>
          <w:rFonts w:ascii="Book Antiqua" w:hAnsi="Book Antiqua"/>
          <w:color w:val="000000"/>
          <w:sz w:val="24"/>
          <w:szCs w:val="24"/>
          <w:lang w:val="en-GB"/>
        </w:rPr>
        <w:t>and Fc</w:t>
      </w:r>
      <w:r w:rsidR="00865E14" w:rsidRPr="00872B32">
        <w:rPr>
          <w:rFonts w:ascii="Book Antiqua" w:hAnsi="Book Antiqua"/>
          <w:color w:val="000000"/>
          <w:sz w:val="24"/>
          <w:szCs w:val="24"/>
        </w:rPr>
        <w:sym w:font="Symbol" w:char="F067"/>
      </w:r>
      <w:r w:rsidRPr="00872B32">
        <w:rPr>
          <w:rFonts w:ascii="Book Antiqua" w:hAnsi="Book Antiqua"/>
          <w:color w:val="000000"/>
          <w:sz w:val="24"/>
          <w:szCs w:val="24"/>
          <w:lang w:val="en-GB"/>
        </w:rPr>
        <w:t>RIIIa-</w:t>
      </w:r>
      <w:r w:rsidRPr="00872B32">
        <w:rPr>
          <w:rFonts w:ascii="Book Antiqua" w:hAnsi="Book Antiqua"/>
          <w:color w:val="000000"/>
          <w:sz w:val="24"/>
          <w:szCs w:val="24"/>
          <w:lang w:val="en-GB"/>
        </w:rPr>
        <w:lastRenderedPageBreak/>
        <w:t>158</w:t>
      </w:r>
      <w:r w:rsidRPr="00872B32">
        <w:rPr>
          <w:rFonts w:ascii="Book Antiqua" w:hAnsi="Book Antiqua"/>
          <w:i/>
          <w:color w:val="000000"/>
          <w:sz w:val="24"/>
          <w:szCs w:val="24"/>
          <w:lang w:val="en-GB"/>
        </w:rPr>
        <w:t xml:space="preserve">V/F </w:t>
      </w:r>
      <w:r w:rsidRPr="00872B32">
        <w:rPr>
          <w:rFonts w:ascii="Book Antiqua" w:hAnsi="Book Antiqua"/>
          <w:color w:val="000000"/>
          <w:sz w:val="24"/>
          <w:szCs w:val="24"/>
          <w:lang w:val="en-GB"/>
        </w:rPr>
        <w:t xml:space="preserve">were examined. A </w:t>
      </w:r>
      <w:r w:rsidRPr="00872B32">
        <w:rPr>
          <w:rFonts w:ascii="Book Antiqua" w:hAnsi="Book Antiqua"/>
          <w:color w:val="000000"/>
          <w:sz w:val="24"/>
          <w:szCs w:val="24"/>
          <w:lang w:val="en-US"/>
        </w:rPr>
        <w:t>redox-immune</w:t>
      </w:r>
      <w:r w:rsidRPr="00872B32">
        <w:rPr>
          <w:rFonts w:ascii="Book Antiqua" w:hAnsi="Book Antiqua"/>
          <w:color w:val="000000"/>
          <w:sz w:val="24"/>
          <w:szCs w:val="24"/>
          <w:lang w:val="en-GB"/>
        </w:rPr>
        <w:t xml:space="preserve"> biological system study was carried out in healthy, adenoma and CRC individuals.</w:t>
      </w:r>
    </w:p>
    <w:p w14:paraId="04753EBC" w14:textId="77777777" w:rsidR="00CE6CFD" w:rsidRPr="00872B32" w:rsidRDefault="00CE6CFD" w:rsidP="008C54E8">
      <w:pPr>
        <w:snapToGrid w:val="0"/>
        <w:spacing w:line="360" w:lineRule="auto"/>
        <w:jc w:val="both"/>
        <w:rPr>
          <w:rFonts w:ascii="Book Antiqua" w:hAnsi="Book Antiqua"/>
          <w:color w:val="000000"/>
        </w:rPr>
      </w:pPr>
    </w:p>
    <w:p w14:paraId="20F4549E" w14:textId="77777777" w:rsidR="000956E5" w:rsidRPr="00872B32" w:rsidRDefault="000956E5" w:rsidP="008C54E8">
      <w:pPr>
        <w:snapToGrid w:val="0"/>
        <w:spacing w:line="360" w:lineRule="auto"/>
        <w:jc w:val="both"/>
        <w:rPr>
          <w:rFonts w:ascii="Book Antiqua" w:hAnsi="Book Antiqua"/>
          <w:b/>
          <w:color w:val="000000"/>
        </w:rPr>
      </w:pPr>
      <w:r w:rsidRPr="00872B32">
        <w:rPr>
          <w:rFonts w:ascii="Book Antiqua" w:hAnsi="Book Antiqua"/>
          <w:b/>
          <w:color w:val="000000"/>
        </w:rPr>
        <w:t>M</w:t>
      </w:r>
      <w:r w:rsidR="00E25F2D" w:rsidRPr="00872B32">
        <w:rPr>
          <w:rFonts w:ascii="Book Antiqua" w:hAnsi="Book Antiqua"/>
          <w:b/>
          <w:color w:val="000000"/>
        </w:rPr>
        <w:t>ATERIALS AND METHODS</w:t>
      </w:r>
    </w:p>
    <w:p w14:paraId="585EEC37" w14:textId="5161BA90"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t xml:space="preserve">Human </w:t>
      </w:r>
      <w:r w:rsidR="00303175" w:rsidRPr="00872B32">
        <w:rPr>
          <w:rFonts w:ascii="Book Antiqua" w:hAnsi="Book Antiqua"/>
          <w:color w:val="000000"/>
        </w:rPr>
        <w:t>stud</w:t>
      </w:r>
      <w:r w:rsidR="00303175">
        <w:rPr>
          <w:rFonts w:ascii="Book Antiqua" w:hAnsi="Book Antiqua"/>
          <w:color w:val="000000"/>
        </w:rPr>
        <w:t>y</w:t>
      </w:r>
      <w:r w:rsidR="00303175" w:rsidRPr="00872B32">
        <w:rPr>
          <w:rFonts w:ascii="Book Antiqua" w:hAnsi="Book Antiqua"/>
          <w:color w:val="000000"/>
        </w:rPr>
        <w:t xml:space="preserve"> w</w:t>
      </w:r>
      <w:r w:rsidR="00303175">
        <w:rPr>
          <w:rFonts w:ascii="Book Antiqua" w:hAnsi="Book Antiqua"/>
          <w:color w:val="000000"/>
        </w:rPr>
        <w:t>as</w:t>
      </w:r>
      <w:r w:rsidR="00303175" w:rsidRPr="00872B32">
        <w:rPr>
          <w:rFonts w:ascii="Book Antiqua" w:hAnsi="Book Antiqua"/>
          <w:color w:val="000000"/>
        </w:rPr>
        <w:t xml:space="preserve"> </w:t>
      </w:r>
      <w:r w:rsidRPr="00872B32">
        <w:rPr>
          <w:rFonts w:ascii="Book Antiqua" w:hAnsi="Book Antiqua"/>
          <w:color w:val="000000"/>
        </w:rPr>
        <w:t>performed in accordance with the standards of the Ethics Committee (Good clinical practice, N</w:t>
      </w:r>
      <w:r w:rsidR="0078240B" w:rsidRPr="00526FCE">
        <w:rPr>
          <w:rFonts w:ascii="Book Antiqua" w:eastAsia="宋体" w:hAnsi="Book Antiqua" w:hint="eastAsia"/>
          <w:color w:val="000000"/>
          <w:lang w:eastAsia="zh-CN"/>
        </w:rPr>
        <w:t xml:space="preserve">o. </w:t>
      </w:r>
      <w:r w:rsidRPr="00872B32">
        <w:rPr>
          <w:rFonts w:ascii="Book Antiqua" w:hAnsi="Book Antiqua"/>
          <w:color w:val="000000"/>
        </w:rPr>
        <w:t>18-Prot. n 43/C.E)</w:t>
      </w:r>
      <w:r w:rsidR="00D607A9">
        <w:rPr>
          <w:rFonts w:ascii="Book Antiqua" w:hAnsi="Book Antiqua"/>
          <w:color w:val="000000"/>
        </w:rPr>
        <w:t>,</w:t>
      </w:r>
      <w:r w:rsidRPr="00872B32">
        <w:rPr>
          <w:rFonts w:ascii="Book Antiqua" w:hAnsi="Book Antiqua"/>
          <w:color w:val="000000"/>
        </w:rPr>
        <w:t xml:space="preserve"> and all persons gave their written informed consent prior to their inclusion in the study.</w:t>
      </w:r>
    </w:p>
    <w:p w14:paraId="4C98EA5F" w14:textId="77777777" w:rsidR="00865E14" w:rsidRPr="00526FCE" w:rsidRDefault="00865E14" w:rsidP="008C54E8">
      <w:pPr>
        <w:snapToGrid w:val="0"/>
        <w:spacing w:line="360" w:lineRule="auto"/>
        <w:jc w:val="both"/>
        <w:rPr>
          <w:rFonts w:ascii="Book Antiqua" w:eastAsia="宋体" w:hAnsi="Book Antiqua"/>
          <w:b/>
          <w:i/>
          <w:color w:val="000000"/>
          <w:lang w:eastAsia="zh-CN"/>
        </w:rPr>
      </w:pPr>
    </w:p>
    <w:p w14:paraId="21642A09" w14:textId="77777777" w:rsidR="00281314" w:rsidRPr="00872B32" w:rsidRDefault="00281314" w:rsidP="008C54E8">
      <w:pPr>
        <w:snapToGrid w:val="0"/>
        <w:spacing w:line="360" w:lineRule="auto"/>
        <w:jc w:val="both"/>
        <w:rPr>
          <w:rFonts w:ascii="Book Antiqua" w:hAnsi="Book Antiqua"/>
          <w:b/>
          <w:i/>
          <w:color w:val="000000"/>
        </w:rPr>
      </w:pPr>
      <w:r w:rsidRPr="00872B32">
        <w:rPr>
          <w:rFonts w:ascii="Book Antiqua" w:hAnsi="Book Antiqua"/>
          <w:b/>
          <w:i/>
          <w:color w:val="000000"/>
        </w:rPr>
        <w:t xml:space="preserve">Patients and healthy subjects </w:t>
      </w:r>
    </w:p>
    <w:p w14:paraId="1AAD67D9" w14:textId="77777777" w:rsidR="00281314" w:rsidRPr="00872B32" w:rsidRDefault="00281314" w:rsidP="008C54E8">
      <w:pPr>
        <w:snapToGrid w:val="0"/>
        <w:spacing w:line="360" w:lineRule="auto"/>
        <w:jc w:val="both"/>
        <w:rPr>
          <w:rFonts w:ascii="Book Antiqua" w:hAnsi="Book Antiqua"/>
          <w:color w:val="000000"/>
        </w:rPr>
      </w:pPr>
      <w:r w:rsidRPr="00872B32">
        <w:rPr>
          <w:rFonts w:ascii="Book Antiqua" w:hAnsi="Book Antiqua"/>
          <w:color w:val="000000"/>
        </w:rPr>
        <w:t>We studied a group of 147 patients (90 men and 57 women), distribution of age (66.7 ± 0.1; minimum 44, maximum 90), who were diagnosed for the first time as having CRC and had to undergo colectomy (</w:t>
      </w:r>
      <w:r w:rsidR="004921D6" w:rsidRPr="004144D6">
        <w:rPr>
          <w:rFonts w:ascii="Book Antiqua" w:hAnsi="Book Antiqua"/>
          <w:color w:val="000000"/>
        </w:rPr>
        <w:t>Supplement</w:t>
      </w:r>
      <w:r w:rsidRPr="00872B32">
        <w:rPr>
          <w:rFonts w:ascii="Book Antiqua" w:hAnsi="Book Antiqua"/>
          <w:color w:val="000000"/>
        </w:rPr>
        <w:t xml:space="preserve"> Table</w:t>
      </w:r>
      <w:r w:rsidR="004921D6" w:rsidRPr="00A4413C">
        <w:rPr>
          <w:rFonts w:ascii="Book Antiqua" w:eastAsia="宋体" w:hAnsi="Book Antiqua" w:hint="eastAsia"/>
          <w:color w:val="000000"/>
          <w:lang w:eastAsia="zh-CN"/>
        </w:rPr>
        <w:t xml:space="preserve"> 1</w:t>
      </w:r>
      <w:r w:rsidRPr="00872B32">
        <w:rPr>
          <w:rFonts w:ascii="Book Antiqua" w:hAnsi="Book Antiqua"/>
          <w:color w:val="000000"/>
        </w:rPr>
        <w:t xml:space="preserve">). Distribution of age in male and female groups was the same (respectively: 67.3 ± 1.1 and 68 ± 1.4, </w:t>
      </w:r>
      <w:r w:rsidRPr="00872B32">
        <w:rPr>
          <w:rFonts w:ascii="Book Antiqua" w:hAnsi="Book Antiqua"/>
          <w:i/>
          <w:color w:val="000000"/>
        </w:rPr>
        <w:t xml:space="preserve">P </w:t>
      </w:r>
      <w:r w:rsidRPr="00872B32">
        <w:rPr>
          <w:rFonts w:ascii="Book Antiqua" w:hAnsi="Book Antiqua"/>
          <w:color w:val="000000"/>
        </w:rPr>
        <w:t xml:space="preserve">= 0.70). </w:t>
      </w:r>
    </w:p>
    <w:p w14:paraId="0975BBBD" w14:textId="2D3F119C" w:rsidR="00281314" w:rsidRPr="00872B32" w:rsidRDefault="00281314"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Clinical diagnosis was confirmed histopathologically and patients were sub-typed using the </w:t>
      </w:r>
      <w:r w:rsidR="00486040">
        <w:rPr>
          <w:rFonts w:ascii="Book Antiqua" w:eastAsia="Calibri" w:hAnsi="Book Antiqua"/>
          <w:color w:val="000000"/>
        </w:rPr>
        <w:t>pathological tumor-node-metastasis</w:t>
      </w:r>
      <w:r w:rsidRPr="00872B32">
        <w:rPr>
          <w:rFonts w:ascii="Book Antiqua" w:hAnsi="Book Antiqua"/>
          <w:color w:val="000000"/>
        </w:rPr>
        <w:t xml:space="preserve"> classification (according to the diagnostic criteria of the American Joint Committee on Cancer and the Committee of the International Union Against Cancer), as follows: 32 stage I (men 22, women 10), 59 stage II (men 34, women 25), 34 stage III (men 17, women 17), 22 stage IV, (men 17, women 5). Distribution of age in male and female stage groups was the same: stage I (men 67</w:t>
      </w:r>
      <w:r w:rsidR="0078240B" w:rsidRPr="00526FCE">
        <w:rPr>
          <w:rFonts w:ascii="Book Antiqua" w:eastAsia="宋体" w:hAnsi="Book Antiqua" w:hint="eastAsia"/>
          <w:color w:val="000000"/>
          <w:lang w:eastAsia="zh-CN"/>
        </w:rPr>
        <w:t>.</w:t>
      </w:r>
      <w:r w:rsidRPr="00872B32">
        <w:rPr>
          <w:rFonts w:ascii="Book Antiqua" w:hAnsi="Book Antiqua"/>
          <w:color w:val="000000"/>
        </w:rPr>
        <w:t>7 ± 2.4,</w:t>
      </w:r>
      <w:r w:rsidR="00C808A0" w:rsidRPr="00872B32">
        <w:rPr>
          <w:rFonts w:ascii="Book Antiqua" w:hAnsi="Book Antiqua"/>
          <w:color w:val="000000"/>
        </w:rPr>
        <w:t xml:space="preserve"> </w:t>
      </w:r>
      <w:r w:rsidRPr="00872B32">
        <w:rPr>
          <w:rFonts w:ascii="Book Antiqua" w:hAnsi="Book Antiqua"/>
          <w:color w:val="000000"/>
        </w:rPr>
        <w:t xml:space="preserve">women 64.4 ± 3.1, </w:t>
      </w:r>
      <w:r w:rsidRPr="00872B32">
        <w:rPr>
          <w:rFonts w:ascii="Book Antiqua" w:hAnsi="Book Antiqua"/>
          <w:i/>
          <w:color w:val="000000"/>
        </w:rPr>
        <w:t xml:space="preserve">P </w:t>
      </w:r>
      <w:r w:rsidRPr="00872B32">
        <w:rPr>
          <w:rFonts w:ascii="Book Antiqua" w:hAnsi="Book Antiqua"/>
          <w:color w:val="000000"/>
        </w:rPr>
        <w:t>= 0</w:t>
      </w:r>
      <w:r w:rsidR="00355C6E">
        <w:rPr>
          <w:rFonts w:ascii="Book Antiqua" w:hAnsi="Book Antiqua"/>
          <w:color w:val="000000"/>
        </w:rPr>
        <w:t>.</w:t>
      </w:r>
      <w:r w:rsidRPr="00872B32">
        <w:rPr>
          <w:rFonts w:ascii="Book Antiqua" w:hAnsi="Book Antiqua"/>
          <w:color w:val="000000"/>
        </w:rPr>
        <w:t>25), stage II (men 67,3 ± 1.9,</w:t>
      </w:r>
      <w:r w:rsidR="00C808A0" w:rsidRPr="00872B32">
        <w:rPr>
          <w:rFonts w:ascii="Book Antiqua" w:hAnsi="Book Antiqua"/>
          <w:color w:val="000000"/>
        </w:rPr>
        <w:t xml:space="preserve"> </w:t>
      </w:r>
      <w:r w:rsidRPr="00872B32">
        <w:rPr>
          <w:rFonts w:ascii="Book Antiqua" w:hAnsi="Book Antiqua"/>
          <w:color w:val="000000"/>
        </w:rPr>
        <w:t xml:space="preserve">women 70.7 ± 1.5, </w:t>
      </w:r>
      <w:r w:rsidRPr="00872B32">
        <w:rPr>
          <w:rFonts w:ascii="Book Antiqua" w:hAnsi="Book Antiqua"/>
          <w:i/>
          <w:color w:val="000000"/>
        </w:rPr>
        <w:t xml:space="preserve">P </w:t>
      </w:r>
      <w:r w:rsidRPr="00872B32">
        <w:rPr>
          <w:rFonts w:ascii="Book Antiqua" w:hAnsi="Book Antiqua"/>
          <w:color w:val="000000"/>
        </w:rPr>
        <w:t>= 0.40), stage III (men 64,5 ± 2.6,</w:t>
      </w:r>
      <w:r w:rsidR="00C808A0" w:rsidRPr="00872B32">
        <w:rPr>
          <w:rFonts w:ascii="Book Antiqua" w:hAnsi="Book Antiqua"/>
          <w:color w:val="000000"/>
        </w:rPr>
        <w:t xml:space="preserve"> </w:t>
      </w:r>
      <w:r w:rsidRPr="00872B32">
        <w:rPr>
          <w:rFonts w:ascii="Book Antiqua" w:hAnsi="Book Antiqua"/>
          <w:color w:val="000000"/>
        </w:rPr>
        <w:t xml:space="preserve">women 65.4 ± 3.3, </w:t>
      </w:r>
      <w:r w:rsidRPr="00872B32">
        <w:rPr>
          <w:rFonts w:ascii="Book Antiqua" w:hAnsi="Book Antiqua"/>
          <w:i/>
          <w:color w:val="000000"/>
        </w:rPr>
        <w:t xml:space="preserve">P </w:t>
      </w:r>
      <w:r w:rsidRPr="00872B32">
        <w:rPr>
          <w:rFonts w:ascii="Book Antiqua" w:hAnsi="Book Antiqua"/>
          <w:color w:val="000000"/>
        </w:rPr>
        <w:t>= 0.78), stage IV (men 71.7 ± 2.5,</w:t>
      </w:r>
      <w:r w:rsidR="00C808A0" w:rsidRPr="00872B32">
        <w:rPr>
          <w:rFonts w:ascii="Book Antiqua" w:hAnsi="Book Antiqua"/>
          <w:color w:val="000000"/>
        </w:rPr>
        <w:t xml:space="preserve"> </w:t>
      </w:r>
      <w:r w:rsidRPr="00872B32">
        <w:rPr>
          <w:rFonts w:ascii="Book Antiqua" w:hAnsi="Book Antiqua"/>
          <w:color w:val="000000"/>
        </w:rPr>
        <w:t xml:space="preserve">women 67.6 ± 5.3, </w:t>
      </w:r>
      <w:r w:rsidRPr="00872B32">
        <w:rPr>
          <w:rFonts w:ascii="Book Antiqua" w:hAnsi="Book Antiqua"/>
          <w:i/>
          <w:color w:val="000000"/>
        </w:rPr>
        <w:t xml:space="preserve">P </w:t>
      </w:r>
      <w:r w:rsidRPr="00872B32">
        <w:rPr>
          <w:rFonts w:ascii="Book Antiqua" w:hAnsi="Book Antiqua"/>
          <w:color w:val="000000"/>
        </w:rPr>
        <w:t>= 0.55).</w:t>
      </w:r>
      <w:r w:rsidR="00C808A0" w:rsidRPr="00872B32">
        <w:rPr>
          <w:rFonts w:ascii="Book Antiqua" w:hAnsi="Book Antiqua"/>
          <w:color w:val="000000"/>
        </w:rPr>
        <w:t xml:space="preserve"> </w:t>
      </w:r>
    </w:p>
    <w:p w14:paraId="04AFF537" w14:textId="1D97D706" w:rsidR="00281314" w:rsidRPr="00872B32" w:rsidRDefault="00281314"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A group of 13 colon adenoma patients (</w:t>
      </w:r>
      <w:r w:rsidR="00486040">
        <w:rPr>
          <w:rFonts w:ascii="Book Antiqua" w:hAnsi="Book Antiqua"/>
          <w:color w:val="000000"/>
        </w:rPr>
        <w:t>five</w:t>
      </w:r>
      <w:r w:rsidRPr="00872B32">
        <w:rPr>
          <w:rFonts w:ascii="Book Antiqua" w:hAnsi="Book Antiqua"/>
          <w:color w:val="000000"/>
        </w:rPr>
        <w:t xml:space="preserve"> men and </w:t>
      </w:r>
      <w:r w:rsidR="00486040">
        <w:rPr>
          <w:rFonts w:ascii="Book Antiqua" w:hAnsi="Book Antiqua"/>
          <w:color w:val="000000"/>
        </w:rPr>
        <w:t>eight</w:t>
      </w:r>
      <w:r w:rsidRPr="00872B32">
        <w:rPr>
          <w:rFonts w:ascii="Book Antiqua" w:hAnsi="Book Antiqua"/>
          <w:color w:val="000000"/>
        </w:rPr>
        <w:t xml:space="preserve"> women) was also studied. Distribution of age in the male and female groups was the same (men: 67.8</w:t>
      </w:r>
      <w:r w:rsidR="00C808A0" w:rsidRPr="00872B32">
        <w:rPr>
          <w:rFonts w:ascii="Book Antiqua" w:hAnsi="Book Antiqua"/>
          <w:color w:val="000000"/>
        </w:rPr>
        <w:t xml:space="preserve"> </w:t>
      </w:r>
      <w:r w:rsidRPr="00872B32">
        <w:rPr>
          <w:rFonts w:ascii="Book Antiqua" w:hAnsi="Book Antiqua"/>
          <w:color w:val="000000"/>
        </w:rPr>
        <w:t>± 3.6; women 69.8</w:t>
      </w:r>
      <w:r w:rsidR="00C808A0" w:rsidRPr="00872B32">
        <w:rPr>
          <w:rFonts w:ascii="Book Antiqua" w:hAnsi="Book Antiqua"/>
          <w:color w:val="000000"/>
        </w:rPr>
        <w:t xml:space="preserve"> </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 xml:space="preserve">4.3, </w:t>
      </w:r>
      <w:r w:rsidRPr="00872B32">
        <w:rPr>
          <w:rFonts w:ascii="Book Antiqua" w:hAnsi="Book Antiqua"/>
          <w:i/>
          <w:color w:val="000000"/>
        </w:rPr>
        <w:t>P</w:t>
      </w:r>
      <w:r w:rsidRPr="00872B32">
        <w:rPr>
          <w:rFonts w:ascii="Book Antiqua" w:hAnsi="Book Antiqua"/>
          <w:color w:val="000000"/>
        </w:rPr>
        <w:t xml:space="preserve"> = 0.94).</w:t>
      </w:r>
      <w:r w:rsidR="00A81D85" w:rsidRPr="00872B32">
        <w:rPr>
          <w:rFonts w:ascii="Book Antiqua" w:hAnsi="Book Antiqua"/>
          <w:color w:val="000000"/>
        </w:rPr>
        <w:t xml:space="preserve"> </w:t>
      </w:r>
      <w:r w:rsidRPr="00872B32">
        <w:rPr>
          <w:rFonts w:ascii="Book Antiqua" w:hAnsi="Book Antiqua"/>
          <w:color w:val="000000"/>
        </w:rPr>
        <w:t>Clinical diagnosis was confirmed histopathologically.</w:t>
      </w:r>
    </w:p>
    <w:p w14:paraId="6D5EF141" w14:textId="16B13BE5" w:rsidR="00281314" w:rsidRPr="00872B32" w:rsidRDefault="00281314"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A group of 219 healthy subjects was also studied (130 men and 89 women). Distribution of age (51</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 xml:space="preserve">1.1; minimum 22, maximum 100). None of the subjects was receiving concurrent drug treatment including widely used pharmaceuticals, such as salicylates and sex hormones (contraceptive pill, hormone replacement therapy). </w:t>
      </w:r>
      <w:r w:rsidRPr="00872B32">
        <w:rPr>
          <w:rFonts w:ascii="Book Antiqua" w:hAnsi="Book Antiqua"/>
          <w:color w:val="000000"/>
        </w:rPr>
        <w:lastRenderedPageBreak/>
        <w:t>Distribution of age in the male and female groups was the same (respectively: 50</w:t>
      </w:r>
      <w:r w:rsidR="00486040">
        <w:rPr>
          <w:rFonts w:ascii="Book Antiqua" w:hAnsi="Book Antiqua"/>
          <w:color w:val="000000"/>
        </w:rPr>
        <w:t>.0</w:t>
      </w:r>
      <w:r w:rsidRPr="00872B32">
        <w:rPr>
          <w:rFonts w:ascii="Book Antiqua" w:hAnsi="Book Antiqua"/>
          <w:color w:val="000000"/>
        </w:rPr>
        <w:t xml:space="preserve"> ± 1.2 and 52</w:t>
      </w:r>
      <w:r w:rsidR="00486040">
        <w:rPr>
          <w:rFonts w:ascii="Book Antiqua" w:hAnsi="Book Antiqua"/>
          <w:color w:val="000000"/>
        </w:rPr>
        <w:t>.0</w:t>
      </w:r>
      <w:r w:rsidRPr="00872B32">
        <w:rPr>
          <w:rFonts w:ascii="Book Antiqua" w:hAnsi="Book Antiqua"/>
          <w:color w:val="000000"/>
        </w:rPr>
        <w:t xml:space="preserve"> ± 1.9, </w:t>
      </w:r>
      <w:r w:rsidRPr="00872B32">
        <w:rPr>
          <w:rFonts w:ascii="Book Antiqua" w:hAnsi="Book Antiqua"/>
          <w:i/>
          <w:color w:val="000000"/>
        </w:rPr>
        <w:t xml:space="preserve">P </w:t>
      </w:r>
      <w:r w:rsidRPr="00872B32">
        <w:rPr>
          <w:rFonts w:ascii="Book Antiqua" w:hAnsi="Book Antiqua"/>
          <w:color w:val="000000"/>
        </w:rPr>
        <w:t>= 0.70).</w:t>
      </w:r>
    </w:p>
    <w:p w14:paraId="6E5A463E" w14:textId="6B60A24F" w:rsidR="00997C59" w:rsidRPr="00872B32" w:rsidRDefault="00997C59" w:rsidP="008C54E8">
      <w:pPr>
        <w:snapToGrid w:val="0"/>
        <w:spacing w:line="360" w:lineRule="auto"/>
        <w:ind w:firstLineChars="98" w:firstLine="235"/>
        <w:jc w:val="both"/>
        <w:rPr>
          <w:rFonts w:ascii="Book Antiqua" w:hAnsi="Book Antiqua"/>
          <w:b/>
          <w:bCs/>
          <w:i/>
          <w:color w:val="000000"/>
        </w:rPr>
      </w:pPr>
      <w:r w:rsidRPr="00872B32">
        <w:rPr>
          <w:rFonts w:ascii="Book Antiqua" w:hAnsi="Book Antiqua"/>
          <w:color w:val="000000"/>
        </w:rPr>
        <w:t xml:space="preserve">A genetic study was carried out in a </w:t>
      </w:r>
      <w:r w:rsidR="00C91AFD" w:rsidRPr="00872B32">
        <w:rPr>
          <w:rFonts w:ascii="Book Antiqua" w:hAnsi="Book Antiqua"/>
          <w:color w:val="000000"/>
        </w:rPr>
        <w:t>sub</w:t>
      </w:r>
      <w:r w:rsidRPr="00872B32">
        <w:rPr>
          <w:rFonts w:ascii="Book Antiqua" w:hAnsi="Book Antiqua"/>
          <w:color w:val="000000"/>
        </w:rPr>
        <w:t xml:space="preserve">group of 52 healthy subjects (19 men, 33 women), 34 CRC patients (22 men, 12 women), and </w:t>
      </w:r>
      <w:r w:rsidR="00486040">
        <w:rPr>
          <w:rFonts w:ascii="Book Antiqua" w:hAnsi="Book Antiqua"/>
          <w:color w:val="000000"/>
        </w:rPr>
        <w:t>five</w:t>
      </w:r>
      <w:r w:rsidRPr="00872B32">
        <w:rPr>
          <w:rFonts w:ascii="Book Antiqua" w:hAnsi="Book Antiqua"/>
          <w:color w:val="000000"/>
        </w:rPr>
        <w:t xml:space="preserve"> adenoma patients (</w:t>
      </w:r>
      <w:r w:rsidR="00486040">
        <w:rPr>
          <w:rFonts w:ascii="Book Antiqua" w:hAnsi="Book Antiqua"/>
          <w:color w:val="000000"/>
        </w:rPr>
        <w:t>one</w:t>
      </w:r>
      <w:r w:rsidRPr="00872B32">
        <w:rPr>
          <w:rFonts w:ascii="Book Antiqua" w:hAnsi="Book Antiqua"/>
          <w:color w:val="000000"/>
        </w:rPr>
        <w:t xml:space="preserve"> man, </w:t>
      </w:r>
      <w:r w:rsidR="00486040">
        <w:rPr>
          <w:rFonts w:ascii="Book Antiqua" w:hAnsi="Book Antiqua"/>
          <w:color w:val="000000"/>
        </w:rPr>
        <w:t>four</w:t>
      </w:r>
      <w:r w:rsidRPr="00872B32">
        <w:rPr>
          <w:rFonts w:ascii="Book Antiqua" w:hAnsi="Book Antiqua"/>
          <w:color w:val="000000"/>
        </w:rPr>
        <w:t xml:space="preserve"> women)</w:t>
      </w:r>
      <w:r w:rsidRPr="00872B32">
        <w:rPr>
          <w:rFonts w:ascii="Book Antiqua" w:eastAsia="Calibri" w:hAnsi="Book Antiqua"/>
          <w:color w:val="000000"/>
        </w:rPr>
        <w:t xml:space="preserve"> matched for age (</w:t>
      </w:r>
      <w:r w:rsidRPr="00872B32">
        <w:rPr>
          <w:rFonts w:ascii="Book Antiqua" w:hAnsi="Book Antiqua"/>
          <w:color w:val="000000"/>
        </w:rPr>
        <w:t xml:space="preserve">66.6 ± 13.8 in healthy subjects; 71.5 ± 8.6 in CRC patients; </w:t>
      </w:r>
      <w:r w:rsidR="00052F54" w:rsidRPr="00872B32">
        <w:rPr>
          <w:rFonts w:ascii="Book Antiqua" w:hAnsi="Book Antiqua"/>
          <w:color w:val="000000"/>
        </w:rPr>
        <w:t>67</w:t>
      </w:r>
      <w:r w:rsidR="00486040">
        <w:rPr>
          <w:rFonts w:ascii="Book Antiqua" w:hAnsi="Book Antiqua"/>
          <w:color w:val="000000"/>
        </w:rPr>
        <w:t>.0</w:t>
      </w:r>
      <w:r w:rsidR="00052F54" w:rsidRPr="00872B32">
        <w:rPr>
          <w:rFonts w:ascii="Book Antiqua" w:hAnsi="Book Antiqua"/>
          <w:color w:val="000000"/>
        </w:rPr>
        <w:t xml:space="preserve"> ± 12.4 in adenomas</w:t>
      </w:r>
      <w:r w:rsidRPr="00872B32">
        <w:rPr>
          <w:rFonts w:ascii="Book Antiqua" w:hAnsi="Book Antiqua"/>
          <w:color w:val="000000"/>
        </w:rPr>
        <w:t>)</w:t>
      </w:r>
    </w:p>
    <w:p w14:paraId="1845ADA4" w14:textId="77777777" w:rsidR="00997C59" w:rsidRPr="00872B32" w:rsidRDefault="00997C59" w:rsidP="008C54E8">
      <w:pPr>
        <w:snapToGrid w:val="0"/>
        <w:spacing w:line="360" w:lineRule="auto"/>
        <w:jc w:val="both"/>
        <w:rPr>
          <w:rFonts w:ascii="Book Antiqua" w:hAnsi="Book Antiqua"/>
          <w:b/>
          <w:bCs/>
          <w:i/>
          <w:color w:val="000000"/>
        </w:rPr>
      </w:pPr>
    </w:p>
    <w:p w14:paraId="44231C75" w14:textId="77777777" w:rsidR="000956E5" w:rsidRPr="00872B32" w:rsidRDefault="000956E5" w:rsidP="008C54E8">
      <w:pPr>
        <w:snapToGrid w:val="0"/>
        <w:spacing w:line="360" w:lineRule="auto"/>
        <w:jc w:val="both"/>
        <w:rPr>
          <w:rFonts w:ascii="Book Antiqua" w:hAnsi="Book Antiqua"/>
          <w:i/>
          <w:color w:val="000000"/>
        </w:rPr>
      </w:pPr>
      <w:r w:rsidRPr="00872B32">
        <w:rPr>
          <w:rFonts w:ascii="Book Antiqua" w:hAnsi="Book Antiqua"/>
          <w:b/>
          <w:bCs/>
          <w:i/>
          <w:color w:val="000000"/>
        </w:rPr>
        <w:t>Experimental design</w:t>
      </w:r>
      <w:r w:rsidR="005E4DD5" w:rsidRPr="00872B32">
        <w:rPr>
          <w:rFonts w:ascii="Book Antiqua" w:hAnsi="Book Antiqua"/>
          <w:i/>
          <w:color w:val="000000"/>
        </w:rPr>
        <w:t xml:space="preserve"> </w:t>
      </w:r>
    </w:p>
    <w:p w14:paraId="120790F8" w14:textId="16C771D3" w:rsidR="009512EE" w:rsidRPr="00872B32" w:rsidRDefault="000956E5" w:rsidP="008C54E8">
      <w:pPr>
        <w:pStyle w:val="a6"/>
        <w:snapToGrid w:val="0"/>
        <w:spacing w:after="0" w:line="360" w:lineRule="auto"/>
        <w:ind w:left="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In physiological </w:t>
      </w:r>
      <w:r w:rsidR="00895956" w:rsidRPr="00872B32">
        <w:rPr>
          <w:rFonts w:ascii="Book Antiqua" w:hAnsi="Book Antiqua"/>
          <w:color w:val="000000"/>
          <w:sz w:val="24"/>
          <w:szCs w:val="24"/>
          <w:lang w:val="en-US"/>
        </w:rPr>
        <w:t>systems,</w:t>
      </w:r>
      <w:r w:rsidRPr="00872B32">
        <w:rPr>
          <w:rFonts w:ascii="Book Antiqua" w:hAnsi="Book Antiqua"/>
          <w:color w:val="000000"/>
          <w:sz w:val="24"/>
          <w:szCs w:val="24"/>
          <w:lang w:val="en-US"/>
        </w:rPr>
        <w:t xml:space="preserve"> the different components operate as a network. They vary dynamically and co-vary with each other. </w:t>
      </w:r>
      <w:r w:rsidRPr="00872B32">
        <w:rPr>
          <w:rFonts w:ascii="Book Antiqua" w:hAnsi="Book Antiqua"/>
          <w:color w:val="000000"/>
          <w:sz w:val="24"/>
          <w:szCs w:val="24"/>
          <w:lang w:val="en-GB"/>
        </w:rPr>
        <w:t xml:space="preserve">Therefore, the comprehension of how the gender-specific physio-pathological pathways of </w:t>
      </w:r>
      <w:r w:rsidRPr="00872B32">
        <w:rPr>
          <w:rFonts w:ascii="Book Antiqua" w:hAnsi="Book Antiqua"/>
          <w:color w:val="000000"/>
          <w:sz w:val="24"/>
          <w:szCs w:val="24"/>
          <w:lang w:val="en-US"/>
        </w:rPr>
        <w:t>the redox immune systems</w:t>
      </w:r>
      <w:r w:rsidRPr="00872B32">
        <w:rPr>
          <w:rFonts w:ascii="Book Antiqua" w:hAnsi="Book Antiqua"/>
          <w:color w:val="000000"/>
          <w:sz w:val="24"/>
          <w:szCs w:val="24"/>
          <w:lang w:val="en-GB"/>
        </w:rPr>
        <w:t xml:space="preserve"> interfere with aging and lead to diseases </w:t>
      </w:r>
      <w:r w:rsidRPr="00872B32">
        <w:rPr>
          <w:rFonts w:ascii="Book Antiqua" w:hAnsi="Book Antiqua"/>
          <w:color w:val="000000"/>
          <w:sz w:val="24"/>
          <w:szCs w:val="24"/>
          <w:lang w:val="en-US"/>
        </w:rPr>
        <w:t>can only be achieved through a system biology study. Due to the complexity of network biological systems</w:t>
      </w:r>
      <w:r w:rsidR="00303175">
        <w:rPr>
          <w:rFonts w:ascii="Book Antiqua" w:hAnsi="Book Antiqua"/>
          <w:color w:val="000000"/>
          <w:sz w:val="24"/>
          <w:szCs w:val="24"/>
          <w:lang w:val="en-US"/>
        </w:rPr>
        <w:t>,</w:t>
      </w:r>
      <w:r w:rsidRPr="00872B32">
        <w:rPr>
          <w:rFonts w:ascii="Book Antiqua" w:hAnsi="Book Antiqua"/>
          <w:color w:val="000000"/>
          <w:sz w:val="24"/>
          <w:szCs w:val="24"/>
          <w:lang w:val="en-US"/>
        </w:rPr>
        <w:t xml:space="preserve"> this study requires the use of models of the redox immunological system</w:t>
      </w:r>
      <w:r w:rsidR="00303175">
        <w:rPr>
          <w:rFonts w:ascii="Book Antiqua" w:hAnsi="Book Antiqua"/>
          <w:color w:val="000000"/>
          <w:sz w:val="24"/>
          <w:szCs w:val="24"/>
          <w:lang w:val="en-US"/>
        </w:rPr>
        <w:t>,</w:t>
      </w:r>
      <w:r w:rsidRPr="00872B32">
        <w:rPr>
          <w:rFonts w:ascii="Book Antiqua" w:hAnsi="Book Antiqua"/>
          <w:color w:val="000000"/>
          <w:sz w:val="24"/>
          <w:szCs w:val="24"/>
          <w:lang w:val="en-US"/>
        </w:rPr>
        <w:t xml:space="preserve"> which provide a framework for determining the outcome and significance of the numerous and simultaneous time-dependent and space-dependent network relationships</w:t>
      </w:r>
      <w:r w:rsidRPr="00872B32">
        <w:rPr>
          <w:rFonts w:ascii="Book Antiqua" w:hAnsi="Book Antiqua"/>
          <w:color w:val="000000"/>
          <w:sz w:val="24"/>
          <w:szCs w:val="24"/>
          <w:vertAlign w:val="superscript"/>
          <w:lang w:val="en-US"/>
        </w:rPr>
        <w:t>[</w:t>
      </w:r>
      <w:r w:rsidR="00824A13">
        <w:rPr>
          <w:rFonts w:ascii="Book Antiqua" w:hAnsi="Book Antiqua"/>
          <w:color w:val="000000"/>
          <w:sz w:val="24"/>
          <w:szCs w:val="24"/>
          <w:vertAlign w:val="superscript"/>
          <w:lang w:val="en-US"/>
        </w:rPr>
        <w:t>27,</w:t>
      </w:r>
      <w:r w:rsidR="00055A1A" w:rsidRPr="00872B32">
        <w:rPr>
          <w:rFonts w:ascii="Book Antiqua" w:hAnsi="Book Antiqua"/>
          <w:color w:val="000000"/>
          <w:sz w:val="24"/>
          <w:szCs w:val="24"/>
          <w:vertAlign w:val="superscript"/>
          <w:lang w:val="en-US"/>
        </w:rPr>
        <w:t>28</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r w:rsidRPr="00872B32">
        <w:rPr>
          <w:rFonts w:ascii="Book Antiqua" w:hAnsi="Book Antiqua"/>
          <w:color w:val="000000"/>
          <w:sz w:val="24"/>
          <w:szCs w:val="24"/>
          <w:lang w:val="en-US"/>
        </w:rPr>
        <w:tab/>
      </w:r>
    </w:p>
    <w:p w14:paraId="4751331D" w14:textId="77777777" w:rsidR="007C5DA2"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We designed an experimental approach based on the use of data-driven computational models of the redox immune response of the health and tumor states. The models were performed by using redox immunological molecules, phenotypic antigens cellular expression, genetic </w:t>
      </w:r>
      <w:r w:rsidR="00895956" w:rsidRPr="00872B32">
        <w:rPr>
          <w:rFonts w:ascii="Book Antiqua" w:hAnsi="Book Antiqua"/>
          <w:color w:val="000000"/>
          <w:sz w:val="24"/>
          <w:szCs w:val="24"/>
          <w:lang w:val="en-US"/>
        </w:rPr>
        <w:t>polymorphisms and clinical</w:t>
      </w:r>
      <w:r w:rsidRPr="00872B32">
        <w:rPr>
          <w:rFonts w:ascii="Book Antiqua" w:hAnsi="Book Antiqua"/>
          <w:color w:val="000000"/>
          <w:sz w:val="24"/>
          <w:szCs w:val="24"/>
          <w:lang w:val="en-US"/>
        </w:rPr>
        <w:t xml:space="preserve"> parameters. </w:t>
      </w:r>
    </w:p>
    <w:p w14:paraId="1122C225" w14:textId="7DE6EBEB" w:rsidR="000956E5"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To evaluate the obtained results</w:t>
      </w:r>
      <w:r w:rsidR="00303175">
        <w:rPr>
          <w:rFonts w:ascii="Book Antiqua" w:hAnsi="Book Antiqua"/>
          <w:color w:val="000000"/>
          <w:sz w:val="24"/>
          <w:szCs w:val="24"/>
          <w:lang w:val="en-US"/>
        </w:rPr>
        <w:t>,</w:t>
      </w:r>
      <w:r w:rsidRPr="00872B32">
        <w:rPr>
          <w:rFonts w:ascii="Book Antiqua" w:hAnsi="Book Antiqua"/>
          <w:color w:val="000000"/>
          <w:sz w:val="24"/>
          <w:szCs w:val="24"/>
          <w:lang w:val="en-US"/>
        </w:rPr>
        <w:t xml:space="preserve"> w</w:t>
      </w:r>
      <w:r w:rsidRPr="00872B32">
        <w:rPr>
          <w:rFonts w:ascii="Book Antiqua" w:hAnsi="Book Antiqua"/>
          <w:bCs/>
          <w:color w:val="000000"/>
          <w:sz w:val="24"/>
          <w:szCs w:val="24"/>
          <w:lang w:val="en-US"/>
        </w:rPr>
        <w:t xml:space="preserve">e worked on the assumption that the balance between the levels of </w:t>
      </w:r>
      <w:r w:rsidRPr="00872B32">
        <w:rPr>
          <w:rFonts w:ascii="Book Antiqua" w:hAnsi="Book Antiqua"/>
          <w:color w:val="000000"/>
          <w:sz w:val="24"/>
          <w:szCs w:val="24"/>
          <w:lang w:val="en-US"/>
        </w:rPr>
        <w:t>IL2, IFN</w:t>
      </w:r>
      <w:r w:rsidR="00A71752" w:rsidRPr="00872B32">
        <w:rPr>
          <w:rFonts w:ascii="Book Antiqua" w:hAnsi="Book Antiqua"/>
          <w:color w:val="000000"/>
          <w:sz w:val="24"/>
          <w:szCs w:val="24"/>
        </w:rPr>
        <w:sym w:font="Symbol" w:char="F067"/>
      </w:r>
      <w:r w:rsidRPr="00872B32">
        <w:rPr>
          <w:rFonts w:ascii="Book Antiqua" w:hAnsi="Book Antiqua"/>
          <w:color w:val="000000"/>
          <w:sz w:val="24"/>
          <w:szCs w:val="24"/>
          <w:lang w:val="en-US"/>
        </w:rPr>
        <w:t>, IL4, IL6, IL10 and the TGF</w:t>
      </w:r>
      <w:r w:rsidRPr="00872B32">
        <w:rPr>
          <w:rFonts w:ascii="Book Antiqua" w:hAnsi="Book Antiqua"/>
          <w:color w:val="000000"/>
          <w:sz w:val="24"/>
          <w:szCs w:val="24"/>
        </w:rPr>
        <w:t>β</w:t>
      </w:r>
      <w:r w:rsidRPr="00872B32">
        <w:rPr>
          <w:rFonts w:ascii="Book Antiqua" w:hAnsi="Book Antiqua"/>
          <w:bCs/>
          <w:color w:val="000000"/>
          <w:sz w:val="24"/>
          <w:szCs w:val="24"/>
          <w:lang w:val="en-US"/>
        </w:rPr>
        <w:t xml:space="preserve"> cytokine network, in the healthy subject state, </w:t>
      </w:r>
      <w:r w:rsidR="00486040">
        <w:rPr>
          <w:rFonts w:ascii="Book Antiqua" w:hAnsi="Book Antiqua"/>
          <w:bCs/>
          <w:color w:val="000000"/>
          <w:sz w:val="24"/>
          <w:szCs w:val="24"/>
          <w:lang w:val="en-US"/>
        </w:rPr>
        <w:t>is a biomarker</w:t>
      </w:r>
      <w:r w:rsidRPr="00872B32">
        <w:rPr>
          <w:rFonts w:ascii="Book Antiqua" w:hAnsi="Book Antiqua"/>
          <w:bCs/>
          <w:color w:val="000000"/>
          <w:sz w:val="24"/>
          <w:szCs w:val="24"/>
          <w:lang w:val="en-US"/>
        </w:rPr>
        <w:t xml:space="preserve"> of the homeostasis</w:t>
      </w:r>
      <w:r w:rsidRPr="00872B32">
        <w:rPr>
          <w:rFonts w:ascii="Book Antiqua" w:hAnsi="Book Antiqua"/>
          <w:color w:val="000000"/>
          <w:sz w:val="24"/>
          <w:szCs w:val="24"/>
          <w:lang w:val="en-US"/>
        </w:rPr>
        <w:t xml:space="preserve"> of the Th1, Th2, Treg, Th9 or Th17 cell network </w:t>
      </w:r>
      <w:r w:rsidRPr="00872B32">
        <w:rPr>
          <w:rFonts w:ascii="Book Antiqua" w:hAnsi="Book Antiqua"/>
          <w:bCs/>
          <w:color w:val="000000"/>
          <w:sz w:val="24"/>
          <w:szCs w:val="24"/>
          <w:lang w:val="en-US"/>
        </w:rPr>
        <w:t xml:space="preserve">and homeostasis of the immune response. </w:t>
      </w:r>
      <w:r w:rsidRPr="00872B32">
        <w:rPr>
          <w:rFonts w:ascii="Book Antiqua" w:hAnsi="Book Antiqua"/>
          <w:color w:val="000000"/>
          <w:sz w:val="24"/>
          <w:szCs w:val="24"/>
          <w:lang w:val="en-US"/>
        </w:rPr>
        <w:t xml:space="preserve">The cytokine receptors and cytokines used </w:t>
      </w:r>
      <w:r w:rsidR="00895956" w:rsidRPr="00872B32">
        <w:rPr>
          <w:rFonts w:ascii="Book Antiqua" w:hAnsi="Book Antiqua"/>
          <w:color w:val="000000"/>
          <w:sz w:val="24"/>
          <w:szCs w:val="24"/>
          <w:lang w:val="en-US"/>
        </w:rPr>
        <w:t>were sIL2R</w:t>
      </w:r>
      <w:r w:rsidRPr="00872B32">
        <w:rPr>
          <w:rFonts w:ascii="Book Antiqua" w:hAnsi="Book Antiqua"/>
          <w:color w:val="000000"/>
          <w:sz w:val="24"/>
          <w:szCs w:val="24"/>
          <w:lang w:val="en-US"/>
        </w:rPr>
        <w:t>, sIL6R, IL2, IFN</w:t>
      </w:r>
      <w:r w:rsidR="00A71752" w:rsidRPr="00872B32">
        <w:rPr>
          <w:rFonts w:ascii="Book Antiqua" w:hAnsi="Book Antiqua"/>
          <w:color w:val="000000"/>
          <w:sz w:val="24"/>
          <w:szCs w:val="24"/>
        </w:rPr>
        <w:sym w:font="Symbol" w:char="F067"/>
      </w:r>
      <w:r w:rsidRPr="00872B32">
        <w:rPr>
          <w:rFonts w:ascii="Book Antiqua" w:hAnsi="Book Antiqua"/>
          <w:color w:val="000000"/>
          <w:sz w:val="24"/>
          <w:szCs w:val="24"/>
          <w:lang w:val="en-US"/>
        </w:rPr>
        <w:t>, IL4, IL6, IL10 and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Levels of Trx1, RTrx1 and sCD30 </w:t>
      </w:r>
      <w:r w:rsidR="00895956" w:rsidRPr="00872B32">
        <w:rPr>
          <w:rFonts w:ascii="Book Antiqua" w:hAnsi="Book Antiqua"/>
          <w:color w:val="000000"/>
          <w:sz w:val="24"/>
          <w:szCs w:val="24"/>
          <w:lang w:val="en-US"/>
        </w:rPr>
        <w:t>were</w:t>
      </w:r>
      <w:r w:rsidRPr="00872B32">
        <w:rPr>
          <w:rFonts w:ascii="Book Antiqua" w:hAnsi="Book Antiqua"/>
          <w:color w:val="000000"/>
          <w:sz w:val="24"/>
          <w:szCs w:val="24"/>
          <w:lang w:val="en-US"/>
        </w:rPr>
        <w:t xml:space="preserve"> determined. Network activation was evaluated by including the serum levels of sIL2R and sIL6R, which were used as markers, in the network</w:t>
      </w:r>
      <w:r w:rsidRPr="00872B32">
        <w:rPr>
          <w:rFonts w:ascii="Book Antiqua" w:hAnsi="Book Antiqua"/>
          <w:color w:val="000000"/>
          <w:sz w:val="24"/>
          <w:szCs w:val="24"/>
          <w:vertAlign w:val="superscript"/>
          <w:lang w:val="en-US"/>
        </w:rPr>
        <w:t>[</w:t>
      </w:r>
      <w:r w:rsidR="00C1349B" w:rsidRPr="00872B32">
        <w:rPr>
          <w:rFonts w:ascii="Book Antiqua" w:hAnsi="Book Antiqua"/>
          <w:color w:val="000000"/>
          <w:sz w:val="24"/>
          <w:szCs w:val="24"/>
          <w:vertAlign w:val="superscript"/>
          <w:lang w:val="en-US"/>
        </w:rPr>
        <w:t>28</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p>
    <w:p w14:paraId="7D7EBA6A" w14:textId="77777777" w:rsidR="00DE62AE" w:rsidRPr="00872B32" w:rsidRDefault="00DE62AE" w:rsidP="008C54E8">
      <w:pPr>
        <w:pStyle w:val="a6"/>
        <w:snapToGrid w:val="0"/>
        <w:spacing w:after="0" w:line="360" w:lineRule="auto"/>
        <w:ind w:left="0"/>
        <w:contextualSpacing w:val="0"/>
        <w:jc w:val="both"/>
        <w:rPr>
          <w:rFonts w:ascii="Book Antiqua" w:hAnsi="Book Antiqua"/>
          <w:color w:val="000000"/>
          <w:sz w:val="24"/>
          <w:szCs w:val="24"/>
          <w:lang w:val="en-US"/>
        </w:rPr>
      </w:pPr>
    </w:p>
    <w:p w14:paraId="01C25E76" w14:textId="77777777" w:rsidR="000956E5" w:rsidRPr="00872B32" w:rsidRDefault="000956E5" w:rsidP="008C54E8">
      <w:pPr>
        <w:snapToGrid w:val="0"/>
        <w:spacing w:line="360" w:lineRule="auto"/>
        <w:jc w:val="both"/>
        <w:rPr>
          <w:rFonts w:ascii="Book Antiqua" w:hAnsi="Book Antiqua"/>
          <w:b/>
          <w:i/>
          <w:color w:val="000000"/>
        </w:rPr>
      </w:pPr>
      <w:r w:rsidRPr="00872B32">
        <w:rPr>
          <w:rFonts w:ascii="Book Antiqua" w:hAnsi="Book Antiqua"/>
          <w:b/>
          <w:i/>
          <w:color w:val="000000"/>
        </w:rPr>
        <w:t xml:space="preserve">Cytokine </w:t>
      </w:r>
      <w:r w:rsidR="00895956" w:rsidRPr="00872B32">
        <w:rPr>
          <w:rFonts w:ascii="Book Antiqua" w:hAnsi="Book Antiqua"/>
          <w:b/>
          <w:i/>
          <w:color w:val="000000"/>
        </w:rPr>
        <w:t>and cytokine</w:t>
      </w:r>
      <w:r w:rsidRPr="00872B32">
        <w:rPr>
          <w:rFonts w:ascii="Book Antiqua" w:hAnsi="Book Antiqua"/>
          <w:b/>
          <w:i/>
          <w:color w:val="000000"/>
        </w:rPr>
        <w:t xml:space="preserve"> receptor determination in serum</w:t>
      </w:r>
    </w:p>
    <w:p w14:paraId="18AE825A" w14:textId="342DF36C"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lastRenderedPageBreak/>
        <w:t>Sera from patients and the healthy controls, collected within 1</w:t>
      </w:r>
      <w:r w:rsidR="00486040">
        <w:rPr>
          <w:rFonts w:ascii="Book Antiqua" w:hAnsi="Book Antiqua"/>
          <w:color w:val="000000"/>
        </w:rPr>
        <w:t xml:space="preserve"> </w:t>
      </w:r>
      <w:r w:rsidRPr="00872B32">
        <w:rPr>
          <w:rFonts w:ascii="Book Antiqua" w:hAnsi="Book Antiqua"/>
          <w:color w:val="000000"/>
        </w:rPr>
        <w:t>h of withdrawal were centrifuged at 250</w:t>
      </w:r>
      <w:r w:rsidR="00486040">
        <w:rPr>
          <w:rFonts w:ascii="Book Antiqua" w:hAnsi="Book Antiqua"/>
          <w:color w:val="000000"/>
        </w:rPr>
        <w:t xml:space="preserve"> </w:t>
      </w:r>
      <w:r w:rsidRPr="008C54E8">
        <w:rPr>
          <w:rFonts w:ascii="Book Antiqua" w:hAnsi="Book Antiqua"/>
          <w:i/>
          <w:color w:val="000000"/>
        </w:rPr>
        <w:t>g</w:t>
      </w:r>
      <w:r w:rsidRPr="00872B32">
        <w:rPr>
          <w:rFonts w:ascii="Book Antiqua" w:hAnsi="Book Antiqua"/>
          <w:color w:val="000000"/>
        </w:rPr>
        <w:t xml:space="preserve"> and stored frozen in aliquots at -80°C until use. Enzyme-linked immunosorbent assays were employed. This method has been described in detail elsewhere</w:t>
      </w:r>
      <w:r w:rsidR="00CF4356" w:rsidRPr="00872B32">
        <w:rPr>
          <w:rFonts w:ascii="Book Antiqua" w:hAnsi="Book Antiqua"/>
          <w:color w:val="000000"/>
          <w:vertAlign w:val="superscript"/>
        </w:rPr>
        <w:t>[28</w:t>
      </w:r>
      <w:r w:rsidRPr="00872B32">
        <w:rPr>
          <w:rFonts w:ascii="Book Antiqua" w:hAnsi="Book Antiqua"/>
          <w:color w:val="000000"/>
          <w:vertAlign w:val="superscript"/>
        </w:rPr>
        <w:t>]</w:t>
      </w:r>
      <w:r w:rsidR="00B258EE" w:rsidRPr="00872B32">
        <w:rPr>
          <w:rFonts w:ascii="Book Antiqua" w:hAnsi="Book Antiqua"/>
          <w:color w:val="000000"/>
        </w:rPr>
        <w:t xml:space="preserve">. </w:t>
      </w:r>
      <w:r w:rsidRPr="00872B32">
        <w:rPr>
          <w:rFonts w:ascii="Book Antiqua" w:hAnsi="Book Antiqua"/>
          <w:color w:val="000000"/>
        </w:rPr>
        <w:t>The sensitivities of these assays were as</w:t>
      </w:r>
      <w:r w:rsidR="00B258EE" w:rsidRPr="00872B32">
        <w:rPr>
          <w:rFonts w:ascii="Book Antiqua" w:hAnsi="Book Antiqua"/>
          <w:color w:val="000000"/>
        </w:rPr>
        <w:t xml:space="preserve"> follows: </w:t>
      </w:r>
      <w:r w:rsidRPr="00872B32">
        <w:rPr>
          <w:rFonts w:ascii="Book Antiqua" w:hAnsi="Book Antiqua"/>
          <w:color w:val="000000"/>
        </w:rPr>
        <w:t>sIL2R</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0.27</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IL2</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9.1</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IL4</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1.3</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IL6</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0.92</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IFN</w:t>
      </w:r>
      <w:r w:rsidR="00A71752" w:rsidRPr="00872B32">
        <w:rPr>
          <w:rFonts w:ascii="Book Antiqua" w:hAnsi="Book Antiqua"/>
          <w:color w:val="000000"/>
        </w:rPr>
        <w:sym w:font="Symbol" w:char="F067"/>
      </w:r>
      <w:r w:rsidR="00824A13" w:rsidRPr="0078130A">
        <w:rPr>
          <w:rFonts w:ascii="Symbol" w:hAnsi="Symbol"/>
        </w:rPr>
        <w:t></w:t>
      </w:r>
      <w:r w:rsidR="00824A13" w:rsidRPr="0078130A">
        <w:rPr>
          <w:rFonts w:ascii="Symbol" w:hAnsi="Symbol"/>
        </w:rPr>
        <w:t></w:t>
      </w:r>
      <w:r w:rsidR="00824A13" w:rsidRPr="00BA4E7C">
        <w:rPr>
          <w:rFonts w:ascii="Symbol" w:eastAsia="宋体" w:hAnsi="Symbol"/>
          <w:lang w:eastAsia="zh-CN"/>
        </w:rPr>
        <w:t></w:t>
      </w:r>
      <w:r w:rsidR="00824A13" w:rsidRPr="0078130A">
        <w:rPr>
          <w:rFonts w:ascii="Symbol" w:hAnsi="Symbol"/>
        </w:rPr>
        <w:t></w:t>
      </w:r>
      <w:r w:rsidR="00824A13" w:rsidRPr="0078130A">
        <w:rPr>
          <w:rFonts w:ascii="Symbol" w:hAnsi="Symbol"/>
        </w:rPr>
        <w:t></w:t>
      </w:r>
      <w:r w:rsidR="00824A13" w:rsidRPr="0078130A">
        <w:rPr>
          <w:rFonts w:ascii="Symbol" w:hAnsi="Symbol"/>
        </w:rPr>
        <w:t></w:t>
      </w:r>
      <w:r w:rsidR="00824A13" w:rsidRPr="0078130A">
        <w:rPr>
          <w:rFonts w:ascii="Symbol" w:hAnsi="Symbol"/>
        </w:rPr>
        <w:t></w:t>
      </w:r>
      <w:r w:rsidR="00824A13" w:rsidRPr="00BA4E7C">
        <w:rPr>
          <w:rFonts w:ascii="Book Antiqua" w:eastAsia="宋体"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sCD30</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0.33</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sIL6R</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0.01</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TGFβ</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8.6</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xml:space="preserve"> (Bender Med Systems GmbH, </w:t>
      </w:r>
      <w:r w:rsidR="00D842DD" w:rsidRPr="00872B32">
        <w:rPr>
          <w:rFonts w:ascii="Book Antiqua" w:hAnsi="Book Antiqua"/>
          <w:color w:val="000000"/>
        </w:rPr>
        <w:t>eBioscience, Inc.</w:t>
      </w:r>
      <w:r w:rsidR="00486040">
        <w:rPr>
          <w:rFonts w:ascii="Book Antiqua" w:hAnsi="Book Antiqua"/>
          <w:color w:val="000000"/>
        </w:rPr>
        <w:t>, Vienna, Austria</w:t>
      </w:r>
      <w:r w:rsidR="00D842DD" w:rsidRPr="00872B32">
        <w:rPr>
          <w:rFonts w:ascii="Book Antiqua" w:hAnsi="Book Antiqua"/>
          <w:color w:val="000000"/>
        </w:rPr>
        <w:t>),</w:t>
      </w:r>
      <w:r w:rsidRPr="00872B32">
        <w:rPr>
          <w:rFonts w:ascii="Book Antiqua" w:hAnsi="Book Antiqua"/>
          <w:color w:val="000000"/>
        </w:rPr>
        <w:t xml:space="preserve"> RTrx1</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&lt;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0.135</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00895956" w:rsidRPr="00872B32">
        <w:rPr>
          <w:rFonts w:ascii="Book Antiqua" w:hAnsi="Book Antiqua"/>
          <w:color w:val="000000"/>
        </w:rPr>
        <w:t xml:space="preserve"> Trx1</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&lt;</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13.1</w:t>
      </w:r>
      <w:r w:rsidR="0078240B" w:rsidRPr="00526FCE">
        <w:rPr>
          <w:rFonts w:ascii="Book Antiqua" w:eastAsia="宋体"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xml:space="preserve"> (Cloud-Clone Corp.</w:t>
      </w:r>
      <w:r w:rsidR="00486040">
        <w:rPr>
          <w:rFonts w:ascii="Book Antiqua" w:hAnsi="Book Antiqua"/>
          <w:color w:val="000000"/>
        </w:rPr>
        <w:t>,</w:t>
      </w:r>
      <w:r w:rsidR="0074350B" w:rsidRPr="00872B32">
        <w:rPr>
          <w:rFonts w:ascii="Book Antiqua" w:hAnsi="Book Antiqua"/>
          <w:color w:val="000000"/>
        </w:rPr>
        <w:t xml:space="preserve"> </w:t>
      </w:r>
      <w:r w:rsidRPr="00872B32">
        <w:rPr>
          <w:rFonts w:ascii="Book Antiqua" w:hAnsi="Book Antiqua"/>
          <w:color w:val="000000"/>
        </w:rPr>
        <w:t>Ho</w:t>
      </w:r>
      <w:r w:rsidR="00D842DD" w:rsidRPr="00872B32">
        <w:rPr>
          <w:rFonts w:ascii="Book Antiqua" w:hAnsi="Book Antiqua"/>
          <w:color w:val="000000"/>
        </w:rPr>
        <w:t>uston</w:t>
      </w:r>
      <w:r w:rsidR="00486040">
        <w:rPr>
          <w:rFonts w:ascii="Book Antiqua" w:hAnsi="Book Antiqua"/>
          <w:color w:val="000000"/>
        </w:rPr>
        <w:t>, TX,</w:t>
      </w:r>
      <w:r w:rsidR="00D842DD" w:rsidRPr="00872B32">
        <w:rPr>
          <w:rFonts w:ascii="Book Antiqua" w:hAnsi="Book Antiqua"/>
          <w:color w:val="000000"/>
        </w:rPr>
        <w:t xml:space="preserve"> U</w:t>
      </w:r>
      <w:r w:rsidR="0078240B" w:rsidRPr="00526FCE">
        <w:rPr>
          <w:rFonts w:ascii="Book Antiqua" w:eastAsia="宋体" w:hAnsi="Book Antiqua" w:hint="eastAsia"/>
          <w:color w:val="000000"/>
          <w:lang w:eastAsia="zh-CN"/>
        </w:rPr>
        <w:t xml:space="preserve">nited </w:t>
      </w:r>
      <w:r w:rsidR="00D842DD" w:rsidRPr="00872B32">
        <w:rPr>
          <w:rFonts w:ascii="Book Antiqua" w:hAnsi="Book Antiqua"/>
          <w:color w:val="000000"/>
        </w:rPr>
        <w:t>S</w:t>
      </w:r>
      <w:r w:rsidR="0078240B" w:rsidRPr="00526FCE">
        <w:rPr>
          <w:rFonts w:ascii="Book Antiqua" w:eastAsia="宋体" w:hAnsi="Book Antiqua" w:hint="eastAsia"/>
          <w:color w:val="000000"/>
          <w:lang w:eastAsia="zh-CN"/>
        </w:rPr>
        <w:t>tates</w:t>
      </w:r>
      <w:r w:rsidR="00D842DD" w:rsidRPr="00872B32">
        <w:rPr>
          <w:rFonts w:ascii="Book Antiqua" w:hAnsi="Book Antiqua"/>
          <w:color w:val="000000"/>
        </w:rPr>
        <w:t>)</w:t>
      </w:r>
    </w:p>
    <w:p w14:paraId="79CB73FC" w14:textId="77777777" w:rsidR="00281314" w:rsidRPr="00526FCE" w:rsidRDefault="00281314" w:rsidP="008C54E8">
      <w:pPr>
        <w:snapToGrid w:val="0"/>
        <w:spacing w:line="360" w:lineRule="auto"/>
        <w:jc w:val="both"/>
        <w:rPr>
          <w:rFonts w:ascii="Book Antiqua" w:eastAsia="宋体" w:hAnsi="Book Antiqua"/>
          <w:b/>
          <w:i/>
          <w:color w:val="000000"/>
          <w:lang w:eastAsia="zh-CN"/>
        </w:rPr>
      </w:pPr>
    </w:p>
    <w:p w14:paraId="0D2D91B9" w14:textId="77777777" w:rsidR="000956E5" w:rsidRPr="00872B32" w:rsidRDefault="000956E5" w:rsidP="008C54E8">
      <w:pPr>
        <w:snapToGrid w:val="0"/>
        <w:spacing w:line="360" w:lineRule="auto"/>
        <w:jc w:val="both"/>
        <w:rPr>
          <w:rFonts w:ascii="Book Antiqua" w:hAnsi="Book Antiqua"/>
          <w:b/>
          <w:i/>
          <w:color w:val="000000"/>
        </w:rPr>
      </w:pPr>
      <w:r w:rsidRPr="00872B32">
        <w:rPr>
          <w:rFonts w:ascii="Book Antiqua" w:hAnsi="Book Antiqua"/>
          <w:b/>
          <w:i/>
          <w:color w:val="000000"/>
        </w:rPr>
        <w:t>Analysis of phenotypic antigens</w:t>
      </w:r>
    </w:p>
    <w:p w14:paraId="283C0D65" w14:textId="4722E511"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t xml:space="preserve">The expression of phenotypic antigens on the surface of peripheral blood mononuclear cells was determined using monoclonal antibodies of </w:t>
      </w:r>
      <w:r w:rsidRPr="00872B32">
        <w:rPr>
          <w:rFonts w:ascii="Book Antiqua" w:hAnsi="Book Antiqua"/>
          <w:color w:val="000000"/>
          <w:lang w:val="en-GB"/>
        </w:rPr>
        <w:t xml:space="preserve">CD3, CD8, CD16, CD56, CD57 </w:t>
      </w:r>
      <w:r w:rsidRPr="00872B32">
        <w:rPr>
          <w:rFonts w:ascii="Book Antiqua" w:hAnsi="Book Antiqua"/>
          <w:color w:val="000000"/>
        </w:rPr>
        <w:t xml:space="preserve">receptors (Becton Dickinson). </w:t>
      </w:r>
      <w:r w:rsidR="00486040">
        <w:rPr>
          <w:rFonts w:ascii="Book Antiqua" w:hAnsi="Book Antiqua"/>
          <w:color w:val="000000"/>
        </w:rPr>
        <w:t>P</w:t>
      </w:r>
      <w:r w:rsidR="00486040" w:rsidRPr="00872B32">
        <w:rPr>
          <w:rFonts w:ascii="Book Antiqua" w:hAnsi="Book Antiqua"/>
          <w:color w:val="000000"/>
        </w:rPr>
        <w:t>eripheral blood mononuclear cells</w:t>
      </w:r>
      <w:r w:rsidR="00486040" w:rsidRPr="00872B32" w:rsidDel="00486040">
        <w:rPr>
          <w:rFonts w:ascii="Book Antiqua" w:hAnsi="Book Antiqua"/>
          <w:color w:val="000000"/>
        </w:rPr>
        <w:t xml:space="preserve"> </w:t>
      </w:r>
      <w:r w:rsidRPr="00872B32">
        <w:rPr>
          <w:rFonts w:ascii="Book Antiqua" w:hAnsi="Book Antiqua"/>
          <w:color w:val="000000"/>
        </w:rPr>
        <w:t>were separated by centrifugation over a Ficoll/Hypaque gradient (20 min, 1000</w:t>
      </w:r>
      <w:r w:rsidR="008B304B">
        <w:rPr>
          <w:rFonts w:ascii="Book Antiqua" w:hAnsi="Book Antiqua"/>
          <w:color w:val="000000"/>
        </w:rPr>
        <w:t xml:space="preserve"> </w:t>
      </w:r>
      <w:r w:rsidRPr="008C54E8">
        <w:rPr>
          <w:rFonts w:ascii="Book Antiqua" w:hAnsi="Book Antiqua"/>
          <w:i/>
          <w:color w:val="000000"/>
        </w:rPr>
        <w:t>g</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 xml:space="preserve">Briefly, the cells were washed twice in </w:t>
      </w:r>
      <w:r w:rsidR="008B304B">
        <w:rPr>
          <w:rFonts w:ascii="Book Antiqua" w:hAnsi="Book Antiqua"/>
          <w:color w:val="000000"/>
        </w:rPr>
        <w:t>phosphate buffered saline (</w:t>
      </w:r>
      <w:r w:rsidRPr="00872B32">
        <w:rPr>
          <w:rFonts w:ascii="Book Antiqua" w:hAnsi="Book Antiqua"/>
          <w:color w:val="000000"/>
        </w:rPr>
        <w:t>PBS</w:t>
      </w:r>
      <w:r w:rsidR="008B304B">
        <w:rPr>
          <w:rFonts w:ascii="Book Antiqua" w:hAnsi="Book Antiqua"/>
          <w:color w:val="000000"/>
        </w:rPr>
        <w:t>)</w:t>
      </w:r>
      <w:r w:rsidRPr="00872B32">
        <w:rPr>
          <w:rFonts w:ascii="Book Antiqua" w:hAnsi="Book Antiqua"/>
          <w:color w:val="000000"/>
        </w:rPr>
        <w:t xml:space="preserve"> and resuspended at 5</w:t>
      </w:r>
      <w:r w:rsidR="00E8528D" w:rsidRPr="00526FCE">
        <w:rPr>
          <w:rFonts w:ascii="Book Antiqua" w:eastAsia="宋体" w:hAnsi="Book Antiqua" w:hint="eastAsia"/>
          <w:color w:val="000000"/>
          <w:lang w:eastAsia="zh-CN"/>
        </w:rPr>
        <w:t xml:space="preserve"> </w:t>
      </w:r>
      <w:r w:rsidR="00E8528D" w:rsidRPr="009D014F">
        <w:rPr>
          <w:rFonts w:ascii="Book Antiqua" w:hAnsi="Book Antiqua"/>
          <w:color w:val="000000"/>
        </w:rPr>
        <w:t>×</w:t>
      </w:r>
      <w:r w:rsidR="00E8528D" w:rsidRPr="00526FCE">
        <w:rPr>
          <w:rFonts w:ascii="Book Antiqua" w:eastAsia="宋体" w:hAnsi="Book Antiqua" w:hint="eastAsia"/>
          <w:color w:val="000000"/>
          <w:lang w:eastAsia="zh-CN"/>
        </w:rPr>
        <w:t xml:space="preserve"> </w:t>
      </w:r>
      <w:r w:rsidRPr="00872B32">
        <w:rPr>
          <w:rFonts w:ascii="Book Antiqua" w:hAnsi="Book Antiqua"/>
          <w:color w:val="000000"/>
        </w:rPr>
        <w:t>10</w:t>
      </w:r>
      <w:r w:rsidRPr="00872B32">
        <w:rPr>
          <w:rFonts w:ascii="Book Antiqua" w:hAnsi="Book Antiqua"/>
          <w:color w:val="000000"/>
          <w:position w:val="6"/>
        </w:rPr>
        <w:t>6</w:t>
      </w:r>
      <w:r w:rsidRPr="00872B32">
        <w:rPr>
          <w:rFonts w:ascii="Book Antiqua" w:hAnsi="Book Antiqua"/>
          <w:color w:val="000000"/>
        </w:rPr>
        <w:t xml:space="preserve"> cells/m</w:t>
      </w:r>
      <w:r w:rsidR="00E8528D" w:rsidRPr="00872B32">
        <w:rPr>
          <w:rFonts w:ascii="Book Antiqua" w:hAnsi="Book Antiqua"/>
          <w:color w:val="000000"/>
        </w:rPr>
        <w:t>L</w:t>
      </w:r>
      <w:r w:rsidRPr="00872B32">
        <w:rPr>
          <w:rFonts w:ascii="Book Antiqua" w:hAnsi="Book Antiqua"/>
          <w:color w:val="000000"/>
        </w:rPr>
        <w:t xml:space="preserve">. </w:t>
      </w:r>
      <w:r w:rsidR="00E8528D" w:rsidRPr="00E8528D">
        <w:rPr>
          <w:rFonts w:ascii="Book Antiqua" w:hAnsi="Book Antiqua"/>
          <w:color w:val="000000"/>
        </w:rPr>
        <w:t>One hundred</w:t>
      </w:r>
      <w:r w:rsidR="00E8528D" w:rsidRPr="00526FCE">
        <w:rPr>
          <w:rFonts w:ascii="Book Antiqua" w:eastAsia="宋体" w:hAnsi="Book Antiqua" w:hint="eastAsia"/>
          <w:color w:val="000000"/>
          <w:lang w:eastAsia="zh-CN"/>
        </w:rPr>
        <w:t xml:space="preserve"> </w:t>
      </w:r>
      <w:r w:rsidR="00E8528D" w:rsidRPr="00E8528D">
        <w:rPr>
          <w:rFonts w:ascii="Book Antiqua" w:hAnsi="Book Antiqua"/>
          <w:color w:val="000000"/>
        </w:rPr>
        <w:t>microliter</w:t>
      </w:r>
      <w:r w:rsidR="008B304B">
        <w:rPr>
          <w:rFonts w:ascii="Book Antiqua" w:hAnsi="Book Antiqua"/>
          <w:color w:val="000000"/>
        </w:rPr>
        <w:t>s were</w:t>
      </w:r>
      <w:r w:rsidRPr="00872B32">
        <w:rPr>
          <w:rFonts w:ascii="Book Antiqua" w:hAnsi="Book Antiqua"/>
          <w:color w:val="000000"/>
        </w:rPr>
        <w:t xml:space="preserve"> utilized for each marker. A 20 </w:t>
      </w:r>
      <w:r w:rsidR="00B20420" w:rsidRPr="00872B32">
        <w:rPr>
          <w:rFonts w:ascii="Book Antiqua" w:hAnsi="Book Antiqua"/>
          <w:color w:val="000000"/>
        </w:rPr>
        <w:fldChar w:fldCharType="begin"/>
      </w:r>
      <w:r w:rsidRPr="00872B32">
        <w:rPr>
          <w:rFonts w:ascii="Book Antiqua" w:hAnsi="Book Antiqua"/>
          <w:color w:val="000000"/>
        </w:rPr>
        <w:instrText>\SYMBOL 109 \f "Symbol"</w:instrText>
      </w:r>
      <w:r w:rsidR="00B20420" w:rsidRPr="00872B32">
        <w:rPr>
          <w:rFonts w:ascii="Book Antiqua" w:hAnsi="Book Antiqua"/>
          <w:color w:val="000000"/>
        </w:rPr>
        <w:fldChar w:fldCharType="end"/>
      </w:r>
      <w:r w:rsidR="00E8528D" w:rsidRPr="00872B32">
        <w:rPr>
          <w:rFonts w:ascii="Book Antiqua" w:hAnsi="Book Antiqua"/>
          <w:color w:val="000000"/>
        </w:rPr>
        <w:t>L</w:t>
      </w:r>
      <w:r w:rsidRPr="00872B32">
        <w:rPr>
          <w:rFonts w:ascii="Book Antiqua" w:hAnsi="Book Antiqua"/>
          <w:color w:val="000000"/>
        </w:rPr>
        <w:t xml:space="preserve"> sample of fluorescein-isothiocyanate-conjugated antibody was added, vortexed and incubated in ice for 30 min. The sample was then washed twice and resuspended in 0.5 m</w:t>
      </w:r>
      <w:r w:rsidR="00F15019" w:rsidRPr="00872B32">
        <w:rPr>
          <w:rFonts w:ascii="Book Antiqua" w:hAnsi="Book Antiqua"/>
          <w:color w:val="000000"/>
        </w:rPr>
        <w:t xml:space="preserve">L </w:t>
      </w:r>
      <w:r w:rsidRPr="00872B32">
        <w:rPr>
          <w:rFonts w:ascii="Book Antiqua" w:hAnsi="Book Antiqua"/>
          <w:color w:val="000000"/>
        </w:rPr>
        <w:t>cold PBS for subsequent fluorescent-activated flow cytometer analysis. (Cytofluorograf-IIs</w:t>
      </w:r>
      <w:r w:rsidR="008B304B">
        <w:rPr>
          <w:rFonts w:ascii="Book Antiqua" w:hAnsi="Book Antiqua"/>
          <w:color w:val="000000"/>
        </w:rPr>
        <w:t xml:space="preserve">, </w:t>
      </w:r>
      <w:r w:rsidRPr="00872B32">
        <w:rPr>
          <w:rFonts w:ascii="Book Antiqua" w:hAnsi="Book Antiqua"/>
          <w:color w:val="000000"/>
        </w:rPr>
        <w:t>OrthoDiagnostic Sy</w:t>
      </w:r>
      <w:r w:rsidR="008B304B">
        <w:rPr>
          <w:rFonts w:ascii="Book Antiqua" w:hAnsi="Book Antiqua"/>
          <w:color w:val="000000"/>
        </w:rPr>
        <w:t>s</w:t>
      </w:r>
      <w:r w:rsidRPr="00872B32">
        <w:rPr>
          <w:rFonts w:ascii="Book Antiqua" w:hAnsi="Book Antiqua"/>
          <w:color w:val="000000"/>
        </w:rPr>
        <w:t>tem</w:t>
      </w:r>
      <w:r w:rsidR="008B304B">
        <w:rPr>
          <w:rFonts w:ascii="Book Antiqua" w:hAnsi="Book Antiqua"/>
          <w:color w:val="000000"/>
        </w:rPr>
        <w:t>s</w:t>
      </w:r>
      <w:r w:rsidRPr="00872B32">
        <w:rPr>
          <w:rFonts w:ascii="Book Antiqua" w:hAnsi="Book Antiqua"/>
          <w:color w:val="000000"/>
        </w:rPr>
        <w:t xml:space="preserve"> Inc.</w:t>
      </w:r>
      <w:r w:rsidR="008B304B">
        <w:rPr>
          <w:rFonts w:ascii="Book Antiqua" w:hAnsi="Book Antiqua"/>
          <w:color w:val="000000"/>
        </w:rPr>
        <w:t>, Westwood, MA, United States</w:t>
      </w:r>
      <w:r w:rsidRPr="00872B32">
        <w:rPr>
          <w:rFonts w:ascii="Book Antiqua" w:hAnsi="Book Antiqua"/>
          <w:color w:val="000000"/>
        </w:rPr>
        <w:t>)</w:t>
      </w:r>
    </w:p>
    <w:p w14:paraId="22DAB575" w14:textId="77777777" w:rsidR="00AE5DD5" w:rsidRPr="00872B32" w:rsidRDefault="00AE5DD5" w:rsidP="008C54E8">
      <w:pPr>
        <w:snapToGrid w:val="0"/>
        <w:spacing w:line="360" w:lineRule="auto"/>
        <w:jc w:val="both"/>
        <w:rPr>
          <w:rFonts w:ascii="Book Antiqua" w:hAnsi="Book Antiqua"/>
          <w:b/>
          <w:i/>
          <w:color w:val="000000"/>
        </w:rPr>
      </w:pPr>
    </w:p>
    <w:p w14:paraId="3B701435" w14:textId="77777777" w:rsidR="000956E5" w:rsidRPr="00872B32" w:rsidRDefault="000956E5" w:rsidP="008C54E8">
      <w:pPr>
        <w:snapToGrid w:val="0"/>
        <w:spacing w:line="360" w:lineRule="auto"/>
        <w:jc w:val="both"/>
        <w:rPr>
          <w:rFonts w:ascii="Book Antiqua" w:hAnsi="Book Antiqua"/>
          <w:b/>
          <w:i/>
          <w:color w:val="000000"/>
        </w:rPr>
      </w:pPr>
      <w:r w:rsidRPr="00872B32">
        <w:rPr>
          <w:rFonts w:ascii="Book Antiqua" w:hAnsi="Book Antiqua"/>
          <w:b/>
          <w:i/>
          <w:color w:val="000000"/>
        </w:rPr>
        <w:t xml:space="preserve">DNA extraction </w:t>
      </w:r>
    </w:p>
    <w:p w14:paraId="55C412C3" w14:textId="4DAC3949" w:rsidR="00281314" w:rsidRPr="00872B32" w:rsidRDefault="00281314" w:rsidP="008C54E8">
      <w:pPr>
        <w:snapToGrid w:val="0"/>
        <w:spacing w:line="360" w:lineRule="auto"/>
        <w:jc w:val="both"/>
        <w:rPr>
          <w:rFonts w:ascii="Book Antiqua" w:hAnsi="Book Antiqua"/>
          <w:color w:val="000000"/>
        </w:rPr>
      </w:pPr>
      <w:r w:rsidRPr="00872B32">
        <w:rPr>
          <w:rFonts w:ascii="Book Antiqua" w:hAnsi="Book Antiqua"/>
          <w:color w:val="000000"/>
        </w:rPr>
        <w:t xml:space="preserve">Genomic DNA was extracted from whole blood of 52 healthy subjects (19 men, 33 women), 34 CRC patients (22 men, 12 women), and </w:t>
      </w:r>
      <w:r w:rsidR="00076CB5">
        <w:rPr>
          <w:rFonts w:ascii="Book Antiqua" w:hAnsi="Book Antiqua"/>
          <w:color w:val="000000"/>
        </w:rPr>
        <w:t>five</w:t>
      </w:r>
      <w:r w:rsidR="00076CB5" w:rsidRPr="00872B32">
        <w:rPr>
          <w:rFonts w:ascii="Book Antiqua" w:hAnsi="Book Antiqua"/>
          <w:color w:val="000000"/>
        </w:rPr>
        <w:t xml:space="preserve"> </w:t>
      </w:r>
      <w:r w:rsidRPr="00872B32">
        <w:rPr>
          <w:rFonts w:ascii="Book Antiqua" w:hAnsi="Book Antiqua"/>
          <w:color w:val="000000"/>
        </w:rPr>
        <w:t>adenoma patients (</w:t>
      </w:r>
      <w:r w:rsidR="00076CB5">
        <w:rPr>
          <w:rFonts w:ascii="Book Antiqua" w:hAnsi="Book Antiqua"/>
          <w:color w:val="000000"/>
        </w:rPr>
        <w:t>one</w:t>
      </w:r>
      <w:r w:rsidRPr="00872B32">
        <w:rPr>
          <w:rFonts w:ascii="Book Antiqua" w:hAnsi="Book Antiqua"/>
          <w:color w:val="000000"/>
        </w:rPr>
        <w:t xml:space="preserve"> man, </w:t>
      </w:r>
      <w:r w:rsidR="00076CB5">
        <w:rPr>
          <w:rFonts w:ascii="Book Antiqua" w:hAnsi="Book Antiqua"/>
          <w:color w:val="000000"/>
        </w:rPr>
        <w:t>four</w:t>
      </w:r>
      <w:r w:rsidRPr="00872B32">
        <w:rPr>
          <w:rFonts w:ascii="Book Antiqua" w:hAnsi="Book Antiqua"/>
          <w:color w:val="000000"/>
        </w:rPr>
        <w:t xml:space="preserve"> women) according to the manufacturer’s protocol (QIAamp DNA blood MiniKit, Qiagen, Courtaboeuf, France) and kept at −20°C until use. DNA concentration and purity w</w:t>
      </w:r>
      <w:r w:rsidR="00076CB5">
        <w:rPr>
          <w:rFonts w:ascii="Book Antiqua" w:hAnsi="Book Antiqua"/>
          <w:color w:val="000000"/>
        </w:rPr>
        <w:t>ere</w:t>
      </w:r>
      <w:r w:rsidRPr="00872B32">
        <w:rPr>
          <w:rFonts w:ascii="Book Antiqua" w:hAnsi="Book Antiqua"/>
          <w:color w:val="000000"/>
        </w:rPr>
        <w:t xml:space="preserve"> determined using a spectrophotometer (Beckman Instruments, Inc. Fullerton, CA</w:t>
      </w:r>
      <w:r w:rsidR="00076CB5">
        <w:rPr>
          <w:rFonts w:ascii="Book Antiqua" w:hAnsi="Book Antiqua"/>
          <w:color w:val="000000"/>
        </w:rPr>
        <w:t>, United States</w:t>
      </w:r>
      <w:r w:rsidRPr="00872B32">
        <w:rPr>
          <w:rFonts w:ascii="Book Antiqua" w:hAnsi="Book Antiqua"/>
          <w:color w:val="000000"/>
        </w:rPr>
        <w:t>).</w:t>
      </w:r>
    </w:p>
    <w:p w14:paraId="5E10B70D" w14:textId="77777777" w:rsidR="007C5DA2" w:rsidRPr="00872B32" w:rsidRDefault="007C5DA2" w:rsidP="008C54E8">
      <w:pPr>
        <w:snapToGrid w:val="0"/>
        <w:spacing w:line="360" w:lineRule="auto"/>
        <w:jc w:val="both"/>
        <w:rPr>
          <w:rFonts w:ascii="Book Antiqua" w:hAnsi="Book Antiqua"/>
          <w:b/>
          <w:i/>
          <w:color w:val="000000"/>
        </w:rPr>
      </w:pPr>
    </w:p>
    <w:p w14:paraId="424B635C" w14:textId="77777777" w:rsidR="000956E5" w:rsidRPr="00872B32" w:rsidRDefault="000956E5" w:rsidP="008C54E8">
      <w:pPr>
        <w:snapToGrid w:val="0"/>
        <w:spacing w:line="360" w:lineRule="auto"/>
        <w:jc w:val="both"/>
        <w:rPr>
          <w:rFonts w:ascii="Book Antiqua" w:hAnsi="Book Antiqua"/>
          <w:i/>
          <w:color w:val="000000"/>
        </w:rPr>
      </w:pPr>
      <w:r w:rsidRPr="00872B32">
        <w:rPr>
          <w:rFonts w:ascii="Book Antiqua" w:hAnsi="Book Antiqua"/>
          <w:b/>
          <w:i/>
          <w:color w:val="000000"/>
        </w:rPr>
        <w:t>KIR genotyping</w:t>
      </w:r>
    </w:p>
    <w:p w14:paraId="612FA101" w14:textId="631E958A"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lastRenderedPageBreak/>
        <w:t>KIR genotyping was performed using polymerase chain reaction sequence-specific primers (PCR-SSP) for 17 KIR genes (KIR</w:t>
      </w:r>
      <w:r w:rsidRPr="00872B32">
        <w:rPr>
          <w:rFonts w:ascii="Book Antiqua" w:hAnsi="Book Antiqua"/>
          <w:i/>
          <w:color w:val="000000"/>
        </w:rPr>
        <w:t>2DL1</w:t>
      </w:r>
      <w:r w:rsidRPr="00872B32">
        <w:rPr>
          <w:rFonts w:ascii="Book Antiqua" w:hAnsi="Book Antiqua"/>
          <w:color w:val="000000"/>
        </w:rPr>
        <w:t xml:space="preserve">, </w:t>
      </w:r>
      <w:r w:rsidRPr="00872B32">
        <w:rPr>
          <w:rFonts w:ascii="Book Antiqua" w:hAnsi="Book Antiqua"/>
          <w:i/>
          <w:color w:val="000000"/>
        </w:rPr>
        <w:t>2DL2</w:t>
      </w:r>
      <w:r w:rsidRPr="00872B32">
        <w:rPr>
          <w:rFonts w:ascii="Book Antiqua" w:hAnsi="Book Antiqua"/>
          <w:color w:val="000000"/>
        </w:rPr>
        <w:t xml:space="preserve">, </w:t>
      </w:r>
      <w:r w:rsidRPr="00872B32">
        <w:rPr>
          <w:rFonts w:ascii="Book Antiqua" w:hAnsi="Book Antiqua"/>
          <w:i/>
          <w:color w:val="000000"/>
        </w:rPr>
        <w:t>2DL3</w:t>
      </w:r>
      <w:r w:rsidRPr="00872B32">
        <w:rPr>
          <w:rFonts w:ascii="Book Antiqua" w:hAnsi="Book Antiqua"/>
          <w:color w:val="000000"/>
        </w:rPr>
        <w:t xml:space="preserve">, </w:t>
      </w:r>
      <w:r w:rsidRPr="00872B32">
        <w:rPr>
          <w:rFonts w:ascii="Book Antiqua" w:hAnsi="Book Antiqua"/>
          <w:i/>
          <w:color w:val="000000"/>
        </w:rPr>
        <w:t>2DL4</w:t>
      </w:r>
      <w:r w:rsidRPr="00872B32">
        <w:rPr>
          <w:rFonts w:ascii="Book Antiqua" w:hAnsi="Book Antiqua"/>
          <w:color w:val="000000"/>
        </w:rPr>
        <w:t xml:space="preserve">, </w:t>
      </w:r>
      <w:r w:rsidRPr="00872B32">
        <w:rPr>
          <w:rFonts w:ascii="Book Antiqua" w:hAnsi="Book Antiqua"/>
          <w:i/>
          <w:color w:val="000000"/>
        </w:rPr>
        <w:t>2DL5A</w:t>
      </w:r>
      <w:r w:rsidRPr="00872B32">
        <w:rPr>
          <w:rFonts w:ascii="Book Antiqua" w:hAnsi="Book Antiqua"/>
          <w:color w:val="000000"/>
        </w:rPr>
        <w:t xml:space="preserve">, </w:t>
      </w:r>
      <w:r w:rsidRPr="00872B32">
        <w:rPr>
          <w:rFonts w:ascii="Book Antiqua" w:hAnsi="Book Antiqua"/>
          <w:i/>
          <w:color w:val="000000"/>
        </w:rPr>
        <w:t>2DL5B</w:t>
      </w:r>
      <w:r w:rsidRPr="00872B32">
        <w:rPr>
          <w:rFonts w:ascii="Book Antiqua" w:hAnsi="Book Antiqua"/>
          <w:color w:val="000000"/>
        </w:rPr>
        <w:t xml:space="preserve">, </w:t>
      </w:r>
      <w:r w:rsidRPr="00872B32">
        <w:rPr>
          <w:rFonts w:ascii="Book Antiqua" w:hAnsi="Book Antiqua"/>
          <w:i/>
          <w:color w:val="000000"/>
        </w:rPr>
        <w:t>2DS1</w:t>
      </w:r>
      <w:r w:rsidRPr="00872B32">
        <w:rPr>
          <w:rFonts w:ascii="Book Antiqua" w:hAnsi="Book Antiqua"/>
          <w:color w:val="000000"/>
        </w:rPr>
        <w:t xml:space="preserve">, </w:t>
      </w:r>
      <w:r w:rsidRPr="00872B32">
        <w:rPr>
          <w:rFonts w:ascii="Book Antiqua" w:hAnsi="Book Antiqua"/>
          <w:i/>
          <w:color w:val="000000"/>
        </w:rPr>
        <w:t>2DS2</w:t>
      </w:r>
      <w:r w:rsidRPr="00872B32">
        <w:rPr>
          <w:rFonts w:ascii="Book Antiqua" w:hAnsi="Book Antiqua"/>
          <w:color w:val="000000"/>
        </w:rPr>
        <w:t xml:space="preserve">, </w:t>
      </w:r>
      <w:r w:rsidRPr="00872B32">
        <w:rPr>
          <w:rFonts w:ascii="Book Antiqua" w:hAnsi="Book Antiqua"/>
          <w:i/>
          <w:color w:val="000000"/>
        </w:rPr>
        <w:t>2DS3</w:t>
      </w:r>
      <w:r w:rsidRPr="00872B32">
        <w:rPr>
          <w:rFonts w:ascii="Book Antiqua" w:hAnsi="Book Antiqua"/>
          <w:color w:val="000000"/>
        </w:rPr>
        <w:t xml:space="preserve">, </w:t>
      </w:r>
      <w:r w:rsidRPr="00872B32">
        <w:rPr>
          <w:rFonts w:ascii="Book Antiqua" w:hAnsi="Book Antiqua"/>
          <w:i/>
          <w:color w:val="000000"/>
        </w:rPr>
        <w:t>2DS4del</w:t>
      </w:r>
      <w:r w:rsidRPr="00872B32">
        <w:rPr>
          <w:rFonts w:ascii="Book Antiqua" w:hAnsi="Book Antiqua"/>
          <w:color w:val="000000"/>
        </w:rPr>
        <w:t xml:space="preserve"> and </w:t>
      </w:r>
      <w:r w:rsidRPr="00872B32">
        <w:rPr>
          <w:rFonts w:ascii="Book Antiqua" w:hAnsi="Book Antiqua"/>
          <w:i/>
          <w:color w:val="000000"/>
        </w:rPr>
        <w:t>2DS4ins</w:t>
      </w:r>
      <w:r w:rsidRPr="00872B32">
        <w:rPr>
          <w:rFonts w:ascii="Book Antiqua" w:hAnsi="Book Antiqua"/>
          <w:color w:val="000000"/>
        </w:rPr>
        <w:t xml:space="preserve">, </w:t>
      </w:r>
      <w:r w:rsidRPr="00872B32">
        <w:rPr>
          <w:rFonts w:ascii="Book Antiqua" w:hAnsi="Book Antiqua"/>
          <w:i/>
          <w:color w:val="000000"/>
        </w:rPr>
        <w:t>2DS5</w:t>
      </w:r>
      <w:r w:rsidRPr="00872B32">
        <w:rPr>
          <w:rFonts w:ascii="Book Antiqua" w:hAnsi="Book Antiqua"/>
          <w:color w:val="000000"/>
        </w:rPr>
        <w:t xml:space="preserve">, </w:t>
      </w:r>
      <w:r w:rsidRPr="00872B32">
        <w:rPr>
          <w:rFonts w:ascii="Book Antiqua" w:hAnsi="Book Antiqua"/>
          <w:i/>
          <w:color w:val="000000"/>
        </w:rPr>
        <w:t>3DL1</w:t>
      </w:r>
      <w:r w:rsidRPr="00872B32">
        <w:rPr>
          <w:rFonts w:ascii="Book Antiqua" w:hAnsi="Book Antiqua"/>
          <w:color w:val="000000"/>
        </w:rPr>
        <w:t xml:space="preserve">, </w:t>
      </w:r>
      <w:r w:rsidRPr="00872B32">
        <w:rPr>
          <w:rFonts w:ascii="Book Antiqua" w:hAnsi="Book Antiqua"/>
          <w:i/>
          <w:color w:val="000000"/>
        </w:rPr>
        <w:t>3DL2</w:t>
      </w:r>
      <w:r w:rsidRPr="00872B32">
        <w:rPr>
          <w:rFonts w:ascii="Book Antiqua" w:hAnsi="Book Antiqua"/>
          <w:color w:val="000000"/>
        </w:rPr>
        <w:t xml:space="preserve">, </w:t>
      </w:r>
      <w:r w:rsidRPr="00872B32">
        <w:rPr>
          <w:rFonts w:ascii="Book Antiqua" w:hAnsi="Book Antiqua"/>
          <w:i/>
          <w:color w:val="000000"/>
        </w:rPr>
        <w:t>3DL3</w:t>
      </w:r>
      <w:r w:rsidRPr="00872B32">
        <w:rPr>
          <w:rFonts w:ascii="Book Antiqua" w:hAnsi="Book Antiqua"/>
          <w:color w:val="000000"/>
        </w:rPr>
        <w:t xml:space="preserve">, </w:t>
      </w:r>
      <w:r w:rsidRPr="00872B32">
        <w:rPr>
          <w:rFonts w:ascii="Book Antiqua" w:hAnsi="Book Antiqua"/>
          <w:i/>
          <w:color w:val="000000"/>
        </w:rPr>
        <w:t>3DS1</w:t>
      </w:r>
      <w:r w:rsidRPr="00872B32">
        <w:rPr>
          <w:rFonts w:ascii="Book Antiqua" w:hAnsi="Book Antiqua"/>
          <w:color w:val="000000"/>
        </w:rPr>
        <w:t xml:space="preserve"> and </w:t>
      </w:r>
      <w:r w:rsidRPr="00872B32">
        <w:rPr>
          <w:rFonts w:ascii="Book Antiqua" w:hAnsi="Book Antiqua"/>
          <w:i/>
          <w:color w:val="000000"/>
        </w:rPr>
        <w:t>2DP1</w:t>
      </w:r>
      <w:r w:rsidRPr="00872B32">
        <w:rPr>
          <w:rFonts w:ascii="Book Antiqua" w:hAnsi="Book Antiqua"/>
          <w:color w:val="000000"/>
        </w:rPr>
        <w:t xml:space="preserve">, </w:t>
      </w:r>
      <w:r w:rsidRPr="00872B32">
        <w:rPr>
          <w:rFonts w:ascii="Book Antiqua" w:hAnsi="Book Antiqua"/>
          <w:i/>
          <w:color w:val="000000"/>
        </w:rPr>
        <w:t>3DP1</w:t>
      </w:r>
      <w:r w:rsidRPr="00872B32">
        <w:rPr>
          <w:rFonts w:ascii="Book Antiqua" w:hAnsi="Book Antiqua"/>
          <w:color w:val="000000"/>
        </w:rPr>
        <w:t xml:space="preserve"> pseudogenes) (KIR Typing Kit, MACS Molecular, Miltenyi Biotec</w:t>
      </w:r>
      <w:r w:rsidR="00076CB5">
        <w:rPr>
          <w:rFonts w:ascii="Book Antiqua" w:hAnsi="Book Antiqua"/>
          <w:color w:val="000000"/>
        </w:rPr>
        <w:t>, Bergisch Gladbach, Germany</w:t>
      </w:r>
      <w:r w:rsidRPr="00872B32">
        <w:rPr>
          <w:rFonts w:ascii="Book Antiqua" w:hAnsi="Book Antiqua"/>
          <w:color w:val="000000"/>
        </w:rPr>
        <w:t xml:space="preserve">), with a genomic DNA control for contamination, a β-actin positive control and a negative control. PCR products were analyzed on a 2% agarose gel electrophoresis containing ethidium bromide and photo documented on </w:t>
      </w:r>
      <w:r w:rsidR="00076CB5">
        <w:rPr>
          <w:rFonts w:ascii="Book Antiqua" w:hAnsi="Book Antiqua"/>
          <w:color w:val="000000"/>
        </w:rPr>
        <w:t>ultraviolet</w:t>
      </w:r>
      <w:r w:rsidR="00076CB5" w:rsidRPr="00872B32">
        <w:rPr>
          <w:rFonts w:ascii="Book Antiqua" w:hAnsi="Book Antiqua"/>
          <w:color w:val="000000"/>
        </w:rPr>
        <w:t xml:space="preserve"> </w:t>
      </w:r>
      <w:r w:rsidRPr="00872B32">
        <w:rPr>
          <w:rFonts w:ascii="Book Antiqua" w:hAnsi="Book Antiqua"/>
          <w:color w:val="000000"/>
        </w:rPr>
        <w:t>trans-illuminator.</w:t>
      </w:r>
    </w:p>
    <w:p w14:paraId="7B40825E" w14:textId="70C750D9"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KIR genotyping is utilized for the analysis of gene content and the categorization of A/B haplotypes as well as for prediction of NK cell reactivity in autologous and allo NK cell-based immunotherapy. The A haplotype contains several inhibitory KIR genes and only one activating KIR (</w:t>
      </w:r>
      <w:r w:rsidRPr="00872B32">
        <w:rPr>
          <w:rFonts w:ascii="Book Antiqua" w:hAnsi="Book Antiqua"/>
          <w:i/>
          <w:color w:val="000000"/>
        </w:rPr>
        <w:t>KIR2DS4</w:t>
      </w:r>
      <w:r w:rsidRPr="00872B32">
        <w:rPr>
          <w:rFonts w:ascii="Book Antiqua" w:hAnsi="Book Antiqua"/>
          <w:color w:val="000000"/>
        </w:rPr>
        <w:t>). Conversely, B haplotype displays more activating KIR genes (</w:t>
      </w:r>
      <w:r w:rsidRPr="00872B32">
        <w:rPr>
          <w:rFonts w:ascii="Book Antiqua" w:hAnsi="Book Antiqua"/>
          <w:i/>
          <w:color w:val="000000"/>
        </w:rPr>
        <w:t>KIR2DS1</w:t>
      </w:r>
      <w:r w:rsidRPr="00872B32">
        <w:rPr>
          <w:rFonts w:ascii="Book Antiqua" w:hAnsi="Book Antiqua"/>
          <w:color w:val="000000"/>
        </w:rPr>
        <w:t xml:space="preserve">, </w:t>
      </w:r>
      <w:r w:rsidRPr="00872B32">
        <w:rPr>
          <w:rFonts w:ascii="Book Antiqua" w:hAnsi="Book Antiqua"/>
          <w:i/>
          <w:color w:val="000000"/>
        </w:rPr>
        <w:t>KIR2DS2</w:t>
      </w:r>
      <w:r w:rsidRPr="00872B32">
        <w:rPr>
          <w:rFonts w:ascii="Book Antiqua" w:hAnsi="Book Antiqua"/>
          <w:color w:val="000000"/>
        </w:rPr>
        <w:t xml:space="preserve">, </w:t>
      </w:r>
      <w:r w:rsidRPr="00872B32">
        <w:rPr>
          <w:rFonts w:ascii="Book Antiqua" w:hAnsi="Book Antiqua"/>
          <w:i/>
          <w:color w:val="000000"/>
        </w:rPr>
        <w:t>KIR2DS3</w:t>
      </w:r>
      <w:r w:rsidRPr="00872B32">
        <w:rPr>
          <w:rFonts w:ascii="Book Antiqua" w:hAnsi="Book Antiqua"/>
          <w:color w:val="000000"/>
        </w:rPr>
        <w:t xml:space="preserve">, </w:t>
      </w:r>
      <w:r w:rsidRPr="00872B32">
        <w:rPr>
          <w:rFonts w:ascii="Book Antiqua" w:hAnsi="Book Antiqua"/>
          <w:i/>
          <w:color w:val="000000"/>
        </w:rPr>
        <w:t>KIR2DS5</w:t>
      </w:r>
      <w:r w:rsidRPr="00872B32">
        <w:rPr>
          <w:rFonts w:ascii="Book Antiqua" w:hAnsi="Book Antiqua"/>
          <w:color w:val="000000"/>
        </w:rPr>
        <w:t xml:space="preserve"> </w:t>
      </w:r>
      <w:r w:rsidR="00D842DD" w:rsidRPr="00872B32">
        <w:rPr>
          <w:rFonts w:ascii="Book Antiqua" w:hAnsi="Book Antiqua"/>
          <w:color w:val="000000"/>
        </w:rPr>
        <w:t xml:space="preserve">and </w:t>
      </w:r>
      <w:r w:rsidR="00D842DD" w:rsidRPr="00872B32">
        <w:rPr>
          <w:rFonts w:ascii="Book Antiqua" w:hAnsi="Book Antiqua"/>
          <w:i/>
          <w:color w:val="000000"/>
        </w:rPr>
        <w:t>KIR3DS1</w:t>
      </w:r>
      <w:r w:rsidRPr="00872B32">
        <w:rPr>
          <w:rFonts w:ascii="Book Antiqua" w:hAnsi="Book Antiqua"/>
          <w:color w:val="000000"/>
        </w:rPr>
        <w:t xml:space="preserve">). Based on the linkage disequilibrium between particular alleles of different KIR loci, within B haplotype, two gene clusters </w:t>
      </w:r>
      <w:r w:rsidR="00076CB5">
        <w:rPr>
          <w:rFonts w:ascii="Book Antiqua" w:hAnsi="Book Antiqua"/>
          <w:color w:val="000000"/>
        </w:rPr>
        <w:t>were</w:t>
      </w:r>
      <w:r w:rsidR="00076CB5" w:rsidRPr="00872B32">
        <w:rPr>
          <w:rFonts w:ascii="Book Antiqua" w:hAnsi="Book Antiqua"/>
          <w:color w:val="000000"/>
        </w:rPr>
        <w:t xml:space="preserve"> </w:t>
      </w:r>
      <w:r w:rsidRPr="00872B32">
        <w:rPr>
          <w:rFonts w:ascii="Book Antiqua" w:hAnsi="Book Antiqua"/>
          <w:color w:val="000000"/>
        </w:rPr>
        <w:t xml:space="preserve">identified. The first group consists </w:t>
      </w:r>
      <w:r w:rsidR="00D842DD" w:rsidRPr="00872B32">
        <w:rPr>
          <w:rFonts w:ascii="Book Antiqua" w:hAnsi="Book Antiqua"/>
          <w:color w:val="000000"/>
        </w:rPr>
        <w:t>of four</w:t>
      </w:r>
      <w:r w:rsidRPr="00872B32">
        <w:rPr>
          <w:rFonts w:ascii="Book Antiqua" w:hAnsi="Book Antiqua"/>
          <w:color w:val="000000"/>
        </w:rPr>
        <w:t xml:space="preserve"> centromeric KIR genes (C4 group): KIR</w:t>
      </w:r>
      <w:r w:rsidRPr="00872B32">
        <w:rPr>
          <w:rFonts w:ascii="Book Antiqua" w:hAnsi="Book Antiqua"/>
          <w:i/>
          <w:color w:val="000000"/>
        </w:rPr>
        <w:t>2DS2-2DL2-2DS3-2DL5B</w:t>
      </w:r>
      <w:r w:rsidRPr="00872B32">
        <w:rPr>
          <w:rFonts w:ascii="Book Antiqua" w:hAnsi="Book Antiqua"/>
          <w:color w:val="000000"/>
        </w:rPr>
        <w:t>. The second group contains telomeric genes (T4 group) including KIR</w:t>
      </w:r>
      <w:r w:rsidRPr="00872B32">
        <w:rPr>
          <w:rFonts w:ascii="Book Antiqua" w:hAnsi="Book Antiqua"/>
          <w:i/>
          <w:color w:val="000000"/>
        </w:rPr>
        <w:t>2DL5A-3DS1-2DS5-2DS1</w:t>
      </w:r>
      <w:r w:rsidRPr="00872B32">
        <w:rPr>
          <w:rFonts w:ascii="Book Antiqua" w:hAnsi="Book Antiqua"/>
          <w:color w:val="000000"/>
        </w:rPr>
        <w:t xml:space="preserve">. By the presence or absence of C4 and T4 clusters, four possible subsets could be present: CXT4, C4T4, C4TX and CXTX. </w:t>
      </w:r>
    </w:p>
    <w:p w14:paraId="74D65CA3" w14:textId="77777777" w:rsidR="005E4DD5" w:rsidRPr="00872B32" w:rsidRDefault="005E4DD5" w:rsidP="008C54E8">
      <w:pPr>
        <w:snapToGrid w:val="0"/>
        <w:spacing w:line="360" w:lineRule="auto"/>
        <w:jc w:val="both"/>
        <w:rPr>
          <w:rFonts w:ascii="Book Antiqua" w:hAnsi="Book Antiqua"/>
          <w:b/>
          <w:i/>
          <w:color w:val="000000"/>
        </w:rPr>
      </w:pPr>
    </w:p>
    <w:p w14:paraId="5EACC93B" w14:textId="77777777" w:rsidR="000956E5" w:rsidRPr="00872B32" w:rsidRDefault="000956E5" w:rsidP="008C54E8">
      <w:pPr>
        <w:snapToGrid w:val="0"/>
        <w:spacing w:line="360" w:lineRule="auto"/>
        <w:jc w:val="both"/>
        <w:rPr>
          <w:rFonts w:ascii="Book Antiqua" w:hAnsi="Book Antiqua"/>
          <w:b/>
          <w:i/>
          <w:color w:val="000000"/>
        </w:rPr>
      </w:pPr>
      <w:r w:rsidRPr="00872B32">
        <w:rPr>
          <w:rFonts w:ascii="Book Antiqua" w:hAnsi="Book Antiqua"/>
          <w:b/>
          <w:i/>
          <w:color w:val="000000"/>
        </w:rPr>
        <w:t>Analysis of FcγRIIa-H131R and FcγRIIIa-V158F polymorphisms</w:t>
      </w:r>
    </w:p>
    <w:p w14:paraId="25B0CB8E" w14:textId="29758049"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t>Two different Fc</w:t>
      </w:r>
      <w:r w:rsidR="00856529" w:rsidRPr="00872B32">
        <w:rPr>
          <w:rFonts w:ascii="Book Antiqua" w:hAnsi="Book Antiqua"/>
          <w:color w:val="000000"/>
        </w:rPr>
        <w:sym w:font="Symbol" w:char="F067"/>
      </w:r>
      <w:r w:rsidR="00705C54" w:rsidRPr="00872B32">
        <w:rPr>
          <w:rFonts w:ascii="Book Antiqua" w:hAnsi="Book Antiqua"/>
          <w:color w:val="000000"/>
        </w:rPr>
        <w:t xml:space="preserve"> </w:t>
      </w:r>
      <w:r w:rsidRPr="00872B32">
        <w:rPr>
          <w:rFonts w:ascii="Book Antiqua" w:hAnsi="Book Antiqua"/>
          <w:color w:val="000000"/>
        </w:rPr>
        <w:t>receptor polymorphisms, Fc</w:t>
      </w:r>
      <w:r w:rsidR="00856529" w:rsidRPr="00872B32">
        <w:rPr>
          <w:rFonts w:ascii="Book Antiqua" w:hAnsi="Book Antiqua"/>
          <w:color w:val="000000"/>
        </w:rPr>
        <w:sym w:font="Symbol" w:char="F067"/>
      </w:r>
      <w:r w:rsidRPr="00872B32">
        <w:rPr>
          <w:rFonts w:ascii="Book Antiqua" w:hAnsi="Book Antiqua"/>
          <w:color w:val="000000"/>
        </w:rPr>
        <w:t>RIIa-H131R (rs1801274) and Fc</w:t>
      </w:r>
      <w:r w:rsidR="00856529" w:rsidRPr="00872B32">
        <w:rPr>
          <w:rFonts w:ascii="Book Antiqua" w:hAnsi="Book Antiqua"/>
          <w:color w:val="000000"/>
        </w:rPr>
        <w:sym w:font="Symbol" w:char="F067"/>
      </w:r>
      <w:r w:rsidRPr="00872B32">
        <w:rPr>
          <w:rFonts w:ascii="Book Antiqua" w:hAnsi="Book Antiqua"/>
          <w:color w:val="000000"/>
        </w:rPr>
        <w:t xml:space="preserve">RIIIa-V158F (rs396991) were performed </w:t>
      </w:r>
      <w:r w:rsidR="00D842DD" w:rsidRPr="00872B32">
        <w:rPr>
          <w:rFonts w:ascii="Book Antiqua" w:hAnsi="Book Antiqua"/>
          <w:color w:val="000000"/>
        </w:rPr>
        <w:t>using sequence</w:t>
      </w:r>
      <w:r w:rsidRPr="00872B32">
        <w:rPr>
          <w:rFonts w:ascii="Book Antiqua" w:hAnsi="Book Antiqua"/>
          <w:color w:val="000000"/>
        </w:rPr>
        <w:t>-based typing method.</w:t>
      </w:r>
      <w:r w:rsidR="00E25F2D" w:rsidRPr="00872B32">
        <w:rPr>
          <w:rFonts w:ascii="Book Antiqua" w:hAnsi="Book Antiqua"/>
          <w:color w:val="000000"/>
        </w:rPr>
        <w:t xml:space="preserve"> </w:t>
      </w:r>
      <w:r w:rsidRPr="00872B32">
        <w:rPr>
          <w:rFonts w:ascii="Book Antiqua" w:hAnsi="Book Antiqua"/>
          <w:color w:val="000000"/>
        </w:rPr>
        <w:t>DNA segments were</w:t>
      </w:r>
      <w:r w:rsidR="00C808A0" w:rsidRPr="00872B32">
        <w:rPr>
          <w:rFonts w:ascii="Book Antiqua" w:hAnsi="Book Antiqua"/>
          <w:color w:val="000000"/>
        </w:rPr>
        <w:t xml:space="preserve"> </w:t>
      </w:r>
      <w:r w:rsidRPr="00872B32">
        <w:rPr>
          <w:rFonts w:ascii="Book Antiqua" w:hAnsi="Book Antiqua"/>
          <w:color w:val="000000"/>
        </w:rPr>
        <w:t>amplified by PCR using the following primers set; FcγRIIa-131</w:t>
      </w:r>
      <w:r w:rsidRPr="00872B32">
        <w:rPr>
          <w:rFonts w:ascii="Book Antiqua" w:hAnsi="Book Antiqua"/>
          <w:i/>
          <w:color w:val="000000"/>
        </w:rPr>
        <w:t>H/R</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forward primer</w:t>
      </w:r>
      <w:r w:rsidR="00AE5DD5" w:rsidRPr="00872B32">
        <w:rPr>
          <w:rFonts w:ascii="Book Antiqua" w:hAnsi="Book Antiqua"/>
          <w:color w:val="000000"/>
        </w:rPr>
        <w:t xml:space="preserve"> 5’-GGAGAAACCATCATGCTGAG-3’ </w:t>
      </w:r>
      <w:r w:rsidR="007D21B2" w:rsidRPr="00872B32">
        <w:rPr>
          <w:rFonts w:ascii="Book Antiqua" w:hAnsi="Book Antiqua"/>
          <w:color w:val="000000"/>
        </w:rPr>
        <w:t xml:space="preserve">and </w:t>
      </w:r>
      <w:r w:rsidRPr="00872B32">
        <w:rPr>
          <w:rFonts w:ascii="Book Antiqua" w:hAnsi="Book Antiqua"/>
          <w:color w:val="000000"/>
        </w:rPr>
        <w:t>reverse primer 5’-CAATTTTGCTGCTATGGGC-3’ and for</w:t>
      </w:r>
      <w:r w:rsidR="00C808A0" w:rsidRPr="00872B32">
        <w:rPr>
          <w:rFonts w:ascii="Book Antiqua" w:hAnsi="Book Antiqua"/>
          <w:color w:val="000000"/>
        </w:rPr>
        <w:t xml:space="preserve"> </w:t>
      </w:r>
      <w:r w:rsidRPr="00872B32">
        <w:rPr>
          <w:rFonts w:ascii="Book Antiqua" w:hAnsi="Book Antiqua"/>
          <w:color w:val="000000"/>
        </w:rPr>
        <w:t>FcγRIIIa-158V/F: forward primer 5’- TGT AAA ACG ACG GCC AGT TCA TCA TAA TTC TGT CTT CT-3’; reverse primer 5’–CAG GAA ACA GCT ATG ACC CTT GAG TGA TGG TGA TGT TCA-3’.</w:t>
      </w:r>
      <w:r w:rsidR="00C808A0" w:rsidRPr="00872B32">
        <w:rPr>
          <w:rFonts w:ascii="Book Antiqua" w:hAnsi="Book Antiqua"/>
          <w:color w:val="000000"/>
        </w:rPr>
        <w:t xml:space="preserve"> </w:t>
      </w:r>
    </w:p>
    <w:p w14:paraId="0A7DC860" w14:textId="02EAF728"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Briefly, amplifications were performed on 50 ng of genomic DNA per </w:t>
      </w:r>
      <w:r w:rsidR="00D842DD" w:rsidRPr="00872B32">
        <w:rPr>
          <w:rFonts w:ascii="Book Antiqua" w:hAnsi="Book Antiqua"/>
          <w:color w:val="000000"/>
        </w:rPr>
        <w:t>50</w:t>
      </w:r>
      <w:r w:rsidR="00076CB5">
        <w:rPr>
          <w:rFonts w:ascii="Book Antiqua" w:hAnsi="Book Antiqua"/>
          <w:color w:val="000000"/>
        </w:rPr>
        <w:t xml:space="preserve"> </w:t>
      </w:r>
      <w:r w:rsidR="00D842DD" w:rsidRPr="00872B32">
        <w:rPr>
          <w:rFonts w:ascii="Book Antiqua" w:hAnsi="Book Antiqua"/>
          <w:color w:val="000000"/>
        </w:rPr>
        <w:t>µ</w:t>
      </w:r>
      <w:r w:rsidR="00076CB5">
        <w:rPr>
          <w:rFonts w:ascii="Book Antiqua" w:hAnsi="Book Antiqua"/>
          <w:color w:val="000000"/>
        </w:rPr>
        <w:t>L</w:t>
      </w:r>
      <w:r w:rsidRPr="00872B32">
        <w:rPr>
          <w:rFonts w:ascii="Book Antiqua" w:hAnsi="Book Antiqua"/>
          <w:color w:val="000000"/>
        </w:rPr>
        <w:t xml:space="preserve"> reaction. PCR products were then electrophoresed in 1.5% agarose gel containing 0.5 mg/m</w:t>
      </w:r>
      <w:r w:rsidR="00076CB5">
        <w:rPr>
          <w:rFonts w:ascii="Book Antiqua" w:hAnsi="Book Antiqua"/>
          <w:color w:val="000000"/>
        </w:rPr>
        <w:t>L</w:t>
      </w:r>
      <w:r w:rsidRPr="00872B32">
        <w:rPr>
          <w:rFonts w:ascii="Book Antiqua" w:hAnsi="Book Antiqua"/>
          <w:color w:val="000000"/>
        </w:rPr>
        <w:t xml:space="preserve"> ethidium bromide. Amplified products were purified and sequenced using </w:t>
      </w:r>
      <w:r w:rsidRPr="00872B32">
        <w:rPr>
          <w:rFonts w:ascii="Book Antiqua" w:hAnsi="Book Antiqua"/>
          <w:color w:val="000000"/>
        </w:rPr>
        <w:lastRenderedPageBreak/>
        <w:t>Big Dye Terminator Chemistry (Applied Biosystems, Foster City, CA</w:t>
      </w:r>
      <w:r w:rsidR="00076CB5">
        <w:rPr>
          <w:rFonts w:ascii="Book Antiqua" w:hAnsi="Book Antiqua"/>
          <w:color w:val="000000"/>
        </w:rPr>
        <w:t>, United States</w:t>
      </w:r>
      <w:r w:rsidRPr="00872B32">
        <w:rPr>
          <w:rFonts w:ascii="Book Antiqua" w:hAnsi="Book Antiqua"/>
          <w:color w:val="000000"/>
        </w:rPr>
        <w:t>) on an ABI Prism 3130 Genetic Analyzer (PE Applied Biosystems).</w:t>
      </w:r>
      <w:r w:rsidR="00C808A0" w:rsidRPr="00872B32">
        <w:rPr>
          <w:rFonts w:ascii="Book Antiqua" w:hAnsi="Book Antiqua"/>
          <w:color w:val="000000"/>
        </w:rPr>
        <w:t xml:space="preserve"> </w:t>
      </w:r>
      <w:r w:rsidRPr="00872B32">
        <w:rPr>
          <w:rFonts w:ascii="Book Antiqua" w:hAnsi="Book Antiqua"/>
          <w:color w:val="000000"/>
        </w:rPr>
        <w:t>Sequencing reactions were purified</w:t>
      </w:r>
      <w:r w:rsidR="00076CB5">
        <w:rPr>
          <w:rFonts w:ascii="Book Antiqua" w:hAnsi="Book Antiqua"/>
          <w:color w:val="000000"/>
        </w:rPr>
        <w:t>,</w:t>
      </w:r>
      <w:r w:rsidRPr="00872B32">
        <w:rPr>
          <w:rFonts w:ascii="Book Antiqua" w:hAnsi="Book Antiqua"/>
          <w:color w:val="000000"/>
        </w:rPr>
        <w:t xml:space="preserve"> and the typing was obtained </w:t>
      </w:r>
      <w:r w:rsidR="00D842DD" w:rsidRPr="00872B32">
        <w:rPr>
          <w:rFonts w:ascii="Book Antiqua" w:hAnsi="Book Antiqua"/>
          <w:color w:val="000000"/>
        </w:rPr>
        <w:t>based on</w:t>
      </w:r>
      <w:r w:rsidRPr="00872B32">
        <w:rPr>
          <w:rFonts w:ascii="Book Antiqua" w:hAnsi="Book Antiqua"/>
          <w:color w:val="000000"/>
        </w:rPr>
        <w:t xml:space="preserve"> alignment of the processed sequences with the reference sequence retrieved from GenBank.</w:t>
      </w:r>
    </w:p>
    <w:p w14:paraId="167CD0C9" w14:textId="77777777" w:rsidR="007C5DA2" w:rsidRPr="00872B32" w:rsidRDefault="007C5DA2" w:rsidP="008C54E8">
      <w:pPr>
        <w:snapToGrid w:val="0"/>
        <w:spacing w:line="360" w:lineRule="auto"/>
        <w:jc w:val="both"/>
        <w:rPr>
          <w:rFonts w:ascii="Book Antiqua" w:hAnsi="Book Antiqua"/>
          <w:b/>
          <w:bCs/>
          <w:i/>
          <w:color w:val="000000"/>
        </w:rPr>
      </w:pPr>
    </w:p>
    <w:p w14:paraId="4D62748D" w14:textId="77777777" w:rsidR="00AE1CF3" w:rsidRPr="00872B32" w:rsidRDefault="00AE1CF3" w:rsidP="008C54E8">
      <w:pPr>
        <w:snapToGrid w:val="0"/>
        <w:spacing w:line="360" w:lineRule="auto"/>
        <w:jc w:val="both"/>
        <w:rPr>
          <w:rFonts w:ascii="Book Antiqua" w:hAnsi="Book Antiqua"/>
          <w:b/>
          <w:bCs/>
          <w:i/>
          <w:color w:val="000000"/>
          <w:lang w:eastAsia="it-IT"/>
        </w:rPr>
      </w:pPr>
      <w:r w:rsidRPr="00872B32">
        <w:rPr>
          <w:rFonts w:ascii="Book Antiqua" w:hAnsi="Book Antiqua"/>
          <w:b/>
          <w:bCs/>
          <w:i/>
          <w:color w:val="000000"/>
        </w:rPr>
        <w:t>Biostatistic statement</w:t>
      </w:r>
    </w:p>
    <w:p w14:paraId="551E34A4" w14:textId="4362942B" w:rsidR="00AE1CF3" w:rsidRPr="00872B32" w:rsidRDefault="00AE1CF3" w:rsidP="008C54E8">
      <w:pPr>
        <w:snapToGrid w:val="0"/>
        <w:spacing w:line="360" w:lineRule="auto"/>
        <w:jc w:val="both"/>
        <w:rPr>
          <w:rFonts w:ascii="Book Antiqua" w:hAnsi="Book Antiqua"/>
          <w:color w:val="000000"/>
        </w:rPr>
      </w:pPr>
      <w:r w:rsidRPr="00872B32">
        <w:rPr>
          <w:rFonts w:ascii="Book Antiqua" w:hAnsi="Book Antiqua"/>
          <w:color w:val="000000"/>
        </w:rPr>
        <w:t xml:space="preserve">The </w:t>
      </w:r>
      <w:r w:rsidR="001E3FE1" w:rsidRPr="00872B32">
        <w:rPr>
          <w:rFonts w:ascii="Book Antiqua" w:hAnsi="Book Antiqua"/>
          <w:color w:val="000000"/>
        </w:rPr>
        <w:t>first author Anna Maria Berghella, who is an expert in biomedical statistics, performed the statistical study</w:t>
      </w:r>
      <w:r w:rsidRPr="00872B32">
        <w:rPr>
          <w:rFonts w:ascii="Book Antiqua" w:hAnsi="Book Antiqua"/>
          <w:color w:val="000000"/>
        </w:rPr>
        <w:t>.</w:t>
      </w:r>
      <w:r w:rsidR="00735907" w:rsidRPr="00526FCE">
        <w:rPr>
          <w:rFonts w:ascii="Book Antiqua" w:eastAsia="宋体" w:hAnsi="Book Antiqua" w:hint="eastAsia"/>
          <w:color w:val="000000"/>
          <w:lang w:eastAsia="zh-CN"/>
        </w:rPr>
        <w:t xml:space="preserve"> </w:t>
      </w:r>
      <w:r w:rsidRPr="00872B32">
        <w:rPr>
          <w:rFonts w:ascii="Book Antiqua" w:hAnsi="Book Antiqua"/>
          <w:color w:val="000000"/>
        </w:rPr>
        <w:t xml:space="preserve"> Statistical techniques </w:t>
      </w:r>
      <w:r w:rsidR="00076CB5">
        <w:rPr>
          <w:rFonts w:ascii="Book Antiqua" w:hAnsi="Book Antiqua"/>
          <w:color w:val="000000"/>
        </w:rPr>
        <w:t>were</w:t>
      </w:r>
      <w:r w:rsidR="00076CB5" w:rsidRPr="00872B32">
        <w:rPr>
          <w:rFonts w:ascii="Book Antiqua" w:hAnsi="Book Antiqua"/>
          <w:color w:val="000000"/>
        </w:rPr>
        <w:t xml:space="preserve"> </w:t>
      </w:r>
      <w:r w:rsidRPr="00872B32">
        <w:rPr>
          <w:rFonts w:ascii="Book Antiqua" w:hAnsi="Book Antiqua"/>
          <w:color w:val="000000"/>
        </w:rPr>
        <w:t>adequate, correct and in accordance with the guidelines of the Baishideng Publishing Group.</w:t>
      </w:r>
      <w:r w:rsidR="001E3FE1" w:rsidRPr="00872B32">
        <w:rPr>
          <w:rFonts w:ascii="Book Antiqua" w:hAnsi="Book Antiqua"/>
          <w:color w:val="000000"/>
        </w:rPr>
        <w:t xml:space="preserve"> </w:t>
      </w:r>
      <w:r w:rsidRPr="00872B32">
        <w:rPr>
          <w:rFonts w:ascii="Book Antiqua" w:hAnsi="Book Antiqua"/>
          <w:color w:val="000000"/>
        </w:rPr>
        <w:t>The methods have been adequately described and</w:t>
      </w:r>
      <w:r w:rsidR="001E3FE1" w:rsidRPr="00872B32">
        <w:rPr>
          <w:rFonts w:ascii="Book Antiqua" w:hAnsi="Book Antiqua"/>
          <w:color w:val="000000"/>
        </w:rPr>
        <w:t xml:space="preserve"> </w:t>
      </w:r>
      <w:r w:rsidRPr="00872B32">
        <w:rPr>
          <w:rFonts w:ascii="Book Antiqua" w:hAnsi="Book Antiqua"/>
          <w:color w:val="000000"/>
        </w:rPr>
        <w:t xml:space="preserve">only homogeneous data were </w:t>
      </w:r>
      <w:r w:rsidR="001E3FE1" w:rsidRPr="00872B32">
        <w:rPr>
          <w:rFonts w:ascii="Book Antiqua" w:hAnsi="Book Antiqua"/>
          <w:color w:val="000000"/>
        </w:rPr>
        <w:t>averaged</w:t>
      </w:r>
      <w:r w:rsidRPr="00872B32">
        <w:rPr>
          <w:rFonts w:ascii="Book Antiqua" w:hAnsi="Book Antiqua"/>
          <w:color w:val="000000"/>
        </w:rPr>
        <w:t>.</w:t>
      </w:r>
    </w:p>
    <w:p w14:paraId="02D6553E" w14:textId="77777777" w:rsidR="00AE1CF3" w:rsidRPr="00872B32" w:rsidRDefault="00AE1CF3" w:rsidP="008C54E8">
      <w:pPr>
        <w:snapToGrid w:val="0"/>
        <w:spacing w:line="360" w:lineRule="auto"/>
        <w:jc w:val="both"/>
        <w:rPr>
          <w:rFonts w:ascii="Book Antiqua" w:hAnsi="Book Antiqua"/>
          <w:b/>
          <w:color w:val="000000"/>
        </w:rPr>
      </w:pPr>
    </w:p>
    <w:p w14:paraId="7390E0F2" w14:textId="77777777" w:rsidR="000956E5" w:rsidRPr="00872B32" w:rsidRDefault="00CA0616" w:rsidP="008C54E8">
      <w:pPr>
        <w:snapToGrid w:val="0"/>
        <w:spacing w:line="360" w:lineRule="auto"/>
        <w:jc w:val="both"/>
        <w:rPr>
          <w:rFonts w:ascii="Book Antiqua" w:hAnsi="Book Antiqua"/>
          <w:b/>
          <w:i/>
          <w:color w:val="000000"/>
        </w:rPr>
      </w:pPr>
      <w:r w:rsidRPr="00872B32">
        <w:rPr>
          <w:rFonts w:ascii="Book Antiqua" w:hAnsi="Book Antiqua"/>
          <w:b/>
          <w:i/>
          <w:color w:val="000000"/>
        </w:rPr>
        <w:t>Statistical analysi</w:t>
      </w:r>
      <w:r w:rsidR="000956E5" w:rsidRPr="00872B32">
        <w:rPr>
          <w:rFonts w:ascii="Book Antiqua" w:hAnsi="Book Antiqua"/>
          <w:b/>
          <w:i/>
          <w:color w:val="000000"/>
        </w:rPr>
        <w:t>s</w:t>
      </w:r>
    </w:p>
    <w:p w14:paraId="18129151" w14:textId="46657B90" w:rsidR="009C566F" w:rsidRPr="00872B32" w:rsidRDefault="000956E5" w:rsidP="008C54E8">
      <w:pPr>
        <w:pStyle w:val="a6"/>
        <w:snapToGrid w:val="0"/>
        <w:spacing w:after="0" w:line="360" w:lineRule="auto"/>
        <w:ind w:left="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The identification of Trx1/CD30, </w:t>
      </w:r>
      <w:r w:rsidR="00D842DD" w:rsidRPr="00872B32">
        <w:rPr>
          <w:rFonts w:ascii="Book Antiqua" w:hAnsi="Book Antiqua"/>
          <w:color w:val="000000"/>
          <w:sz w:val="24"/>
          <w:szCs w:val="24"/>
          <w:lang w:val="en-US"/>
        </w:rPr>
        <w:t>sCD30 and</w:t>
      </w:r>
      <w:r w:rsidRPr="00872B32">
        <w:rPr>
          <w:rFonts w:ascii="Book Antiqua" w:hAnsi="Book Antiqua"/>
          <w:color w:val="000000"/>
          <w:sz w:val="24"/>
          <w:szCs w:val="24"/>
          <w:lang w:val="en-US"/>
        </w:rPr>
        <w:t xml:space="preserve"> Treg, Th1, Th9, Th17 </w:t>
      </w:r>
      <w:r w:rsidR="00D842DD" w:rsidRPr="00872B32">
        <w:rPr>
          <w:rFonts w:ascii="Book Antiqua" w:hAnsi="Book Antiqua"/>
          <w:color w:val="000000"/>
          <w:sz w:val="24"/>
          <w:szCs w:val="24"/>
          <w:lang w:val="en-US"/>
        </w:rPr>
        <w:t>gender physiological</w:t>
      </w:r>
      <w:r w:rsidRPr="00872B32">
        <w:rPr>
          <w:rFonts w:ascii="Book Antiqua" w:hAnsi="Book Antiqua"/>
          <w:color w:val="000000"/>
          <w:sz w:val="24"/>
          <w:szCs w:val="24"/>
          <w:lang w:val="en-US"/>
        </w:rPr>
        <w:t xml:space="preserve"> pathways and biomarkers can only be achieved through procedures that take into account the biological characteristics of the systems. This type of </w:t>
      </w:r>
      <w:r w:rsidR="00D842DD" w:rsidRPr="00872B32">
        <w:rPr>
          <w:rFonts w:ascii="Book Antiqua" w:hAnsi="Book Antiqua"/>
          <w:color w:val="000000"/>
          <w:sz w:val="24"/>
          <w:szCs w:val="24"/>
          <w:lang w:val="en-US"/>
        </w:rPr>
        <w:t>methodology</w:t>
      </w:r>
      <w:r w:rsidRPr="00872B32">
        <w:rPr>
          <w:rFonts w:ascii="Book Antiqua" w:hAnsi="Book Antiqua"/>
          <w:color w:val="000000"/>
          <w:sz w:val="24"/>
          <w:szCs w:val="24"/>
          <w:lang w:val="en-US"/>
        </w:rPr>
        <w:t xml:space="preserve"> is suitable for multiple component network evaluation in biological systems.</w:t>
      </w:r>
      <w:r w:rsidR="00D06769"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Therefore, we firstly determined the serum levels of the parameters </w:t>
      </w:r>
      <w:r w:rsidR="00F52664" w:rsidRPr="00872B32">
        <w:rPr>
          <w:rFonts w:ascii="Book Antiqua" w:hAnsi="Book Antiqua"/>
          <w:color w:val="000000"/>
          <w:sz w:val="24"/>
          <w:szCs w:val="24"/>
          <w:lang w:val="en-US"/>
        </w:rPr>
        <w:t>(Table 1</w:t>
      </w:r>
      <w:r w:rsidRPr="00872B32">
        <w:rPr>
          <w:rFonts w:ascii="Book Antiqua" w:hAnsi="Book Antiqua"/>
          <w:color w:val="000000"/>
          <w:sz w:val="24"/>
          <w:szCs w:val="24"/>
          <w:lang w:val="en-US"/>
        </w:rPr>
        <w:t xml:space="preserve">). Next, we determined the </w:t>
      </w:r>
      <w:r w:rsidRPr="00872B32">
        <w:rPr>
          <w:rFonts w:ascii="Book Antiqua" w:hAnsi="Book Antiqua"/>
          <w:color w:val="000000"/>
          <w:sz w:val="24"/>
          <w:szCs w:val="24"/>
          <w:lang w:val="en-GB"/>
        </w:rPr>
        <w:t xml:space="preserve">statistical differences by </w:t>
      </w:r>
      <w:r w:rsidRPr="00872B32">
        <w:rPr>
          <w:rFonts w:ascii="Book Antiqua" w:hAnsi="Book Antiqua"/>
          <w:color w:val="000000"/>
          <w:sz w:val="24"/>
          <w:szCs w:val="24"/>
          <w:lang w:val="en-US"/>
        </w:rPr>
        <w:t>using, where appropriate, the Mann-Whitney U test, the Student's t-test (values are expressed as mean</w:t>
      </w:r>
      <w:r w:rsidR="00F52664" w:rsidRPr="00872B32">
        <w:rPr>
          <w:rFonts w:ascii="Book Antiqua" w:hAnsi="Book Antiqua"/>
          <w:color w:val="000000"/>
          <w:sz w:val="24"/>
          <w:szCs w:val="24"/>
          <w:lang w:val="en-US"/>
        </w:rPr>
        <w:t xml:space="preserve"> ± </w:t>
      </w:r>
      <w:r w:rsidR="00B3255D" w:rsidRPr="00872B32">
        <w:rPr>
          <w:rFonts w:ascii="Book Antiqua" w:hAnsi="Book Antiqua"/>
          <w:color w:val="000000"/>
          <w:sz w:val="24"/>
          <w:szCs w:val="24"/>
          <w:lang w:val="en-US"/>
        </w:rPr>
        <w:t>SD</w:t>
      </w:r>
      <w:r w:rsidRPr="00872B32">
        <w:rPr>
          <w:rFonts w:ascii="Book Antiqua" w:hAnsi="Book Antiqua"/>
          <w:color w:val="000000"/>
          <w:sz w:val="24"/>
          <w:szCs w:val="24"/>
          <w:lang w:val="en-US"/>
        </w:rPr>
        <w:t xml:space="preserve">). </w:t>
      </w:r>
      <w:r w:rsidR="005D7A51" w:rsidRPr="00872B32">
        <w:rPr>
          <w:rFonts w:ascii="Book Antiqua" w:hAnsi="Book Antiqua"/>
          <w:color w:val="000000"/>
          <w:sz w:val="24"/>
          <w:szCs w:val="24"/>
          <w:lang w:val="en-US"/>
        </w:rPr>
        <w:t>The</w:t>
      </w:r>
      <w:r w:rsidR="005D7A51" w:rsidRPr="00872B32">
        <w:rPr>
          <w:rFonts w:ascii="Book Antiqua" w:hAnsi="Book Antiqua"/>
          <w:i/>
          <w:color w:val="000000"/>
          <w:sz w:val="24"/>
          <w:szCs w:val="24"/>
          <w:lang w:val="en-US"/>
        </w:rPr>
        <w:t xml:space="preserve"> </w:t>
      </w:r>
      <w:r w:rsidR="005D7A51" w:rsidRPr="00872B32">
        <w:rPr>
          <w:rFonts w:ascii="Book Antiqua" w:hAnsi="Book Antiqua"/>
          <w:color w:val="000000"/>
          <w:sz w:val="24"/>
          <w:szCs w:val="24"/>
          <w:lang w:val="en-US"/>
        </w:rPr>
        <w:t>Fc</w:t>
      </w:r>
      <w:r w:rsidR="000E4A83" w:rsidRPr="00872B32">
        <w:rPr>
          <w:rFonts w:ascii="Book Antiqua" w:hAnsi="Book Antiqua"/>
          <w:color w:val="000000"/>
          <w:sz w:val="24"/>
          <w:szCs w:val="24"/>
        </w:rPr>
        <w:sym w:font="Symbol" w:char="F067"/>
      </w:r>
      <w:r w:rsidR="005D7A51" w:rsidRPr="00872B32">
        <w:rPr>
          <w:rFonts w:ascii="Book Antiqua" w:hAnsi="Book Antiqua"/>
          <w:color w:val="000000"/>
          <w:sz w:val="24"/>
          <w:szCs w:val="24"/>
          <w:lang w:val="en-US"/>
        </w:rPr>
        <w:t>RIIa and Fc</w:t>
      </w:r>
      <w:r w:rsidR="000E4A83" w:rsidRPr="00872B32">
        <w:rPr>
          <w:rFonts w:ascii="Book Antiqua" w:hAnsi="Book Antiqua"/>
          <w:color w:val="000000"/>
          <w:sz w:val="24"/>
          <w:szCs w:val="24"/>
        </w:rPr>
        <w:sym w:font="Symbol" w:char="F067"/>
      </w:r>
      <w:r w:rsidR="005D7A51" w:rsidRPr="00872B32">
        <w:rPr>
          <w:rFonts w:ascii="Book Antiqua" w:hAnsi="Book Antiqua"/>
          <w:color w:val="000000"/>
          <w:sz w:val="24"/>
          <w:szCs w:val="24"/>
          <w:lang w:val="en-US"/>
        </w:rPr>
        <w:t>RIIIa polymorphism frequencies in Healthy Subject and Tumor Patients,</w:t>
      </w:r>
      <w:r w:rsidR="005D7A51" w:rsidRPr="00872B32">
        <w:rPr>
          <w:rFonts w:ascii="Book Antiqua" w:hAnsi="Book Antiqua"/>
          <w:color w:val="000000"/>
          <w:sz w:val="24"/>
          <w:szCs w:val="24"/>
          <w:lang w:val="en-US" w:eastAsia="it-IT"/>
        </w:rPr>
        <w:t xml:space="preserve"> expressed as percentages, w</w:t>
      </w:r>
      <w:r w:rsidR="00F20B02" w:rsidRPr="00526FCE">
        <w:rPr>
          <w:rFonts w:ascii="Book Antiqua" w:eastAsia="宋体" w:hAnsi="Book Antiqua" w:hint="eastAsia"/>
          <w:color w:val="000000"/>
          <w:sz w:val="24"/>
          <w:szCs w:val="24"/>
          <w:lang w:val="en-US" w:eastAsia="zh-CN"/>
        </w:rPr>
        <w:t>ere</w:t>
      </w:r>
      <w:r w:rsidR="005D7A51" w:rsidRPr="00872B32">
        <w:rPr>
          <w:rFonts w:ascii="Book Antiqua" w:hAnsi="Book Antiqua"/>
          <w:color w:val="000000"/>
          <w:sz w:val="24"/>
          <w:szCs w:val="24"/>
          <w:lang w:val="en-US" w:eastAsia="it-IT"/>
        </w:rPr>
        <w:t xml:space="preserve"> made by using Chi-square (</w:t>
      </w:r>
      <w:r w:rsidR="00735907" w:rsidRPr="00735907">
        <w:rPr>
          <w:rFonts w:ascii="Book Antiqua" w:hAnsi="Book Antiqua"/>
          <w:i/>
          <w:color w:val="000000"/>
          <w:sz w:val="24"/>
          <w:szCs w:val="24"/>
          <w:lang w:eastAsia="it-IT"/>
        </w:rPr>
        <w:sym w:font="Symbol" w:char="F063"/>
      </w:r>
      <w:r w:rsidR="000E4A83" w:rsidRPr="00872B32">
        <w:rPr>
          <w:rFonts w:ascii="Book Antiqua" w:hAnsi="Book Antiqua"/>
          <w:color w:val="000000"/>
          <w:sz w:val="24"/>
          <w:szCs w:val="24"/>
          <w:vertAlign w:val="superscript"/>
          <w:lang w:val="en-US" w:eastAsia="it-IT"/>
        </w:rPr>
        <w:t>2</w:t>
      </w:r>
      <w:r w:rsidR="005D7A51" w:rsidRPr="00872B32">
        <w:rPr>
          <w:rFonts w:ascii="Book Antiqua" w:hAnsi="Book Antiqua"/>
          <w:color w:val="000000"/>
          <w:sz w:val="24"/>
          <w:szCs w:val="24"/>
          <w:lang w:val="en-US" w:eastAsia="it-IT"/>
        </w:rPr>
        <w:t>) of goodness-of-fit statistic</w:t>
      </w:r>
      <w:r w:rsidR="005D7A51" w:rsidRPr="00872B32">
        <w:rPr>
          <w:rFonts w:ascii="Book Antiqua" w:hAnsi="Book Antiqua"/>
          <w:color w:val="000000"/>
          <w:sz w:val="24"/>
          <w:szCs w:val="24"/>
          <w:lang w:val="en-US"/>
        </w:rPr>
        <w:t>.</w:t>
      </w:r>
      <w:r w:rsidR="00735907" w:rsidRPr="00526FCE">
        <w:rPr>
          <w:rFonts w:ascii="Book Antiqua" w:eastAsia="宋体" w:hAnsi="Book Antiqua" w:hint="eastAsia"/>
          <w:color w:val="000000"/>
          <w:sz w:val="24"/>
          <w:szCs w:val="24"/>
          <w:lang w:val="en-US" w:eastAsia="zh-CN"/>
        </w:rPr>
        <w:t xml:space="preserve"> </w:t>
      </w:r>
      <w:r w:rsidRPr="00872B32">
        <w:rPr>
          <w:rFonts w:ascii="Book Antiqua" w:hAnsi="Book Antiqua"/>
          <w:color w:val="000000"/>
          <w:sz w:val="24"/>
          <w:szCs w:val="24"/>
          <w:lang w:val="en-US"/>
        </w:rPr>
        <w:t xml:space="preserve">Then, through the multivariate statistical procedures of correlation </w:t>
      </w:r>
      <w:r w:rsidR="00D842DD" w:rsidRPr="00872B32">
        <w:rPr>
          <w:rFonts w:ascii="Book Antiqua" w:hAnsi="Book Antiqua"/>
          <w:color w:val="000000"/>
          <w:sz w:val="24"/>
          <w:szCs w:val="24"/>
          <w:lang w:val="en-US"/>
        </w:rPr>
        <w:t>analysis,</w:t>
      </w:r>
      <w:r w:rsidRPr="00872B32">
        <w:rPr>
          <w:rFonts w:ascii="Book Antiqua" w:hAnsi="Book Antiqua"/>
          <w:color w:val="000000"/>
          <w:sz w:val="24"/>
          <w:szCs w:val="24"/>
          <w:lang w:val="en-US"/>
        </w:rPr>
        <w:t xml:space="preserve"> we evaluated the matrix of correlation of all the redox immune and clinical parameters. Finally, we studied the behavior of the multi component redox immune system as a network, by using “data driven computational models” of </w:t>
      </w:r>
      <w:r w:rsidR="00D842DD" w:rsidRPr="00872B32">
        <w:rPr>
          <w:rFonts w:ascii="Book Antiqua" w:hAnsi="Book Antiqua"/>
          <w:color w:val="000000"/>
          <w:sz w:val="24"/>
          <w:szCs w:val="24"/>
          <w:lang w:val="en-US"/>
        </w:rPr>
        <w:t xml:space="preserve">the </w:t>
      </w:r>
      <w:r w:rsidR="00076CB5">
        <w:rPr>
          <w:rFonts w:ascii="Book Antiqua" w:hAnsi="Book Antiqua"/>
          <w:color w:val="000000"/>
          <w:sz w:val="24"/>
          <w:szCs w:val="24"/>
          <w:lang w:val="en-US"/>
        </w:rPr>
        <w:t>principal component analysis (</w:t>
      </w:r>
      <w:r w:rsidR="00D842DD" w:rsidRPr="00872B32">
        <w:rPr>
          <w:rFonts w:ascii="Book Antiqua" w:hAnsi="Book Antiqua"/>
          <w:color w:val="000000"/>
          <w:sz w:val="24"/>
          <w:szCs w:val="24"/>
          <w:lang w:val="en-US"/>
        </w:rPr>
        <w:t>PCA</w:t>
      </w:r>
      <w:r w:rsidR="00076CB5">
        <w:rPr>
          <w:rFonts w:ascii="Book Antiqua" w:hAnsi="Book Antiqua"/>
          <w:color w:val="000000"/>
          <w:sz w:val="24"/>
          <w:szCs w:val="24"/>
          <w:lang w:val="en-US"/>
        </w:rPr>
        <w:t>)</w:t>
      </w:r>
      <w:r w:rsidRPr="00872B32">
        <w:rPr>
          <w:rFonts w:ascii="Book Antiqua" w:hAnsi="Book Antiqua"/>
          <w:color w:val="000000"/>
          <w:sz w:val="24"/>
          <w:szCs w:val="24"/>
          <w:lang w:val="en-US"/>
        </w:rPr>
        <w:t xml:space="preserve"> multivariate statistical procedures. These </w:t>
      </w:r>
      <w:r w:rsidR="00D842DD" w:rsidRPr="00872B32">
        <w:rPr>
          <w:rFonts w:ascii="Book Antiqua" w:hAnsi="Book Antiqua"/>
          <w:color w:val="000000"/>
          <w:sz w:val="24"/>
          <w:szCs w:val="24"/>
          <w:lang w:val="en-US"/>
        </w:rPr>
        <w:t>mathematical models</w:t>
      </w:r>
      <w:r w:rsidRPr="00872B32">
        <w:rPr>
          <w:rFonts w:ascii="Book Antiqua" w:hAnsi="Book Antiqua"/>
          <w:color w:val="000000"/>
          <w:sz w:val="24"/>
          <w:szCs w:val="24"/>
          <w:lang w:val="en-US"/>
        </w:rPr>
        <w:t xml:space="preserve"> only show the significant parameters. In this way, through the correlation coefficient matrix of parameters, PCA measures </w:t>
      </w:r>
      <w:r w:rsidR="00D842DD" w:rsidRPr="00872B32">
        <w:rPr>
          <w:rFonts w:ascii="Book Antiqua" w:hAnsi="Book Antiqua"/>
          <w:color w:val="000000"/>
          <w:sz w:val="24"/>
          <w:szCs w:val="24"/>
          <w:lang w:val="en-US"/>
        </w:rPr>
        <w:t>if the</w:t>
      </w:r>
      <w:r w:rsidRPr="00872B32">
        <w:rPr>
          <w:rFonts w:ascii="Book Antiqua" w:hAnsi="Book Antiqua"/>
          <w:color w:val="000000"/>
          <w:sz w:val="24"/>
          <w:szCs w:val="24"/>
          <w:lang w:val="en-US"/>
        </w:rPr>
        <w:t xml:space="preserve"> variance of each constituent can be explained by its relationships with all the other </w:t>
      </w:r>
      <w:r w:rsidR="00D842DD" w:rsidRPr="00872B32">
        <w:rPr>
          <w:rFonts w:ascii="Book Antiqua" w:hAnsi="Book Antiqua"/>
          <w:color w:val="000000"/>
          <w:sz w:val="24"/>
          <w:szCs w:val="24"/>
          <w:lang w:val="en-US"/>
        </w:rPr>
        <w:t>ones and</w:t>
      </w:r>
      <w:r w:rsidRPr="00872B32">
        <w:rPr>
          <w:rFonts w:ascii="Book Antiqua" w:hAnsi="Book Antiqua"/>
          <w:color w:val="000000"/>
          <w:sz w:val="24"/>
          <w:szCs w:val="24"/>
          <w:lang w:val="en-US"/>
        </w:rPr>
        <w:t xml:space="preserve"> then provides information about the most meaningful parameters. </w:t>
      </w:r>
    </w:p>
    <w:p w14:paraId="1B5D7C1D" w14:textId="391F1D08" w:rsidR="009C566F" w:rsidRPr="00872B32" w:rsidRDefault="00D14CC3"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GB"/>
        </w:rPr>
        <w:lastRenderedPageBreak/>
        <w:t xml:space="preserve">The </w:t>
      </w:r>
      <w:r w:rsidR="000956E5" w:rsidRPr="00872B32">
        <w:rPr>
          <w:rFonts w:ascii="Book Antiqua" w:hAnsi="Book Antiqua"/>
          <w:color w:val="000000"/>
          <w:sz w:val="24"/>
          <w:szCs w:val="24"/>
          <w:lang w:val="en-GB"/>
        </w:rPr>
        <w:t xml:space="preserve">statistical study was performed by using the </w:t>
      </w:r>
      <w:r w:rsidR="00F20B02" w:rsidRPr="00526FCE">
        <w:rPr>
          <w:rFonts w:ascii="Book Antiqua" w:eastAsia="宋体" w:hAnsi="Book Antiqua"/>
          <w:color w:val="000000"/>
          <w:sz w:val="24"/>
          <w:szCs w:val="24"/>
          <w:lang w:val="en-GB" w:eastAsia="zh-CN"/>
        </w:rPr>
        <w:t>“</w:t>
      </w:r>
      <w:r w:rsidR="000956E5" w:rsidRPr="00872B32">
        <w:rPr>
          <w:rFonts w:ascii="Book Antiqua" w:hAnsi="Book Antiqua"/>
          <w:color w:val="000000"/>
          <w:sz w:val="24"/>
          <w:szCs w:val="24"/>
          <w:lang w:val="en-GB"/>
        </w:rPr>
        <w:t xml:space="preserve">Statgraphics software systems” </w:t>
      </w:r>
      <w:r w:rsidR="000956E5" w:rsidRPr="00872B32">
        <w:rPr>
          <w:rFonts w:ascii="Book Antiqua" w:hAnsi="Book Antiqua"/>
          <w:color w:val="000000"/>
          <w:sz w:val="24"/>
          <w:szCs w:val="24"/>
          <w:lang w:val="en-US"/>
        </w:rPr>
        <w:t>(full system 5.25 version 4.0</w:t>
      </w:r>
      <w:r w:rsidR="00F20B02" w:rsidRPr="00526FCE">
        <w:rPr>
          <w:rFonts w:ascii="Book Antiqua" w:eastAsia="宋体" w:hAnsi="Book Antiqua"/>
          <w:color w:val="000000"/>
          <w:sz w:val="24"/>
          <w:szCs w:val="24"/>
          <w:lang w:val="en-US" w:eastAsia="zh-CN"/>
        </w:rPr>
        <w:t>”</w:t>
      </w:r>
      <w:r w:rsidR="000956E5" w:rsidRPr="00872B32">
        <w:rPr>
          <w:rFonts w:ascii="Book Antiqua" w:hAnsi="Book Antiqua"/>
          <w:color w:val="000000"/>
          <w:sz w:val="24"/>
          <w:szCs w:val="24"/>
          <w:lang w:val="en-US"/>
        </w:rPr>
        <w:t xml:space="preserve">- Graphics system by </w:t>
      </w:r>
      <w:r w:rsidR="00A36C6A">
        <w:rPr>
          <w:rFonts w:ascii="Book Antiqua" w:hAnsi="Book Antiqua"/>
          <w:color w:val="000000"/>
          <w:sz w:val="24"/>
          <w:szCs w:val="24"/>
          <w:lang w:val="en-US"/>
        </w:rPr>
        <w:t>S</w:t>
      </w:r>
      <w:r w:rsidR="000956E5" w:rsidRPr="00872B32">
        <w:rPr>
          <w:rFonts w:ascii="Book Antiqua" w:hAnsi="Book Antiqua"/>
          <w:color w:val="000000"/>
          <w:sz w:val="24"/>
          <w:szCs w:val="24"/>
          <w:lang w:val="en-US"/>
        </w:rPr>
        <w:t xml:space="preserve">tatistical </w:t>
      </w:r>
      <w:r w:rsidR="00A36C6A">
        <w:rPr>
          <w:rFonts w:ascii="Book Antiqua" w:hAnsi="Book Antiqua"/>
          <w:color w:val="000000"/>
          <w:sz w:val="24"/>
          <w:szCs w:val="24"/>
          <w:lang w:val="en-US"/>
        </w:rPr>
        <w:t>G</w:t>
      </w:r>
      <w:r w:rsidR="000956E5" w:rsidRPr="00872B32">
        <w:rPr>
          <w:rFonts w:ascii="Book Antiqua" w:hAnsi="Book Antiqua"/>
          <w:color w:val="000000"/>
          <w:sz w:val="24"/>
          <w:szCs w:val="24"/>
          <w:lang w:val="en-US"/>
        </w:rPr>
        <w:t xml:space="preserve">raphics </w:t>
      </w:r>
      <w:r w:rsidR="00A36C6A">
        <w:rPr>
          <w:rFonts w:ascii="Book Antiqua" w:hAnsi="Book Antiqua"/>
          <w:color w:val="000000"/>
          <w:sz w:val="24"/>
          <w:szCs w:val="24"/>
          <w:lang w:val="en-US"/>
        </w:rPr>
        <w:t>C</w:t>
      </w:r>
      <w:r w:rsidR="000956E5" w:rsidRPr="00872B32">
        <w:rPr>
          <w:rFonts w:ascii="Book Antiqua" w:hAnsi="Book Antiqua"/>
          <w:color w:val="000000"/>
          <w:sz w:val="24"/>
          <w:szCs w:val="24"/>
          <w:lang w:val="en-US"/>
        </w:rPr>
        <w:t xml:space="preserve">orporation </w:t>
      </w:r>
      <w:r w:rsidR="00A36C6A">
        <w:rPr>
          <w:rFonts w:ascii="Book Antiqua" w:hAnsi="Book Antiqua"/>
          <w:color w:val="000000"/>
          <w:sz w:val="24"/>
          <w:szCs w:val="24"/>
          <w:lang w:val="en-US"/>
        </w:rPr>
        <w:t>E</w:t>
      </w:r>
      <w:r w:rsidR="000956E5" w:rsidRPr="00872B32">
        <w:rPr>
          <w:rFonts w:ascii="Book Antiqua" w:hAnsi="Book Antiqua"/>
          <w:color w:val="000000"/>
          <w:sz w:val="24"/>
          <w:szCs w:val="24"/>
          <w:lang w:val="en-US"/>
        </w:rPr>
        <w:t>d. U</w:t>
      </w:r>
      <w:r w:rsidR="00F20B02" w:rsidRPr="00526FCE">
        <w:rPr>
          <w:rFonts w:ascii="Book Antiqua" w:eastAsia="宋体" w:hAnsi="Book Antiqua" w:hint="eastAsia"/>
          <w:color w:val="000000"/>
          <w:sz w:val="24"/>
          <w:szCs w:val="24"/>
          <w:lang w:val="en-US" w:eastAsia="zh-CN"/>
        </w:rPr>
        <w:t xml:space="preserve">nited </w:t>
      </w:r>
      <w:r w:rsidR="000956E5" w:rsidRPr="00872B32">
        <w:rPr>
          <w:rFonts w:ascii="Book Antiqua" w:hAnsi="Book Antiqua"/>
          <w:color w:val="000000"/>
          <w:sz w:val="24"/>
          <w:szCs w:val="24"/>
          <w:lang w:val="en-US"/>
        </w:rPr>
        <w:t>S</w:t>
      </w:r>
      <w:r w:rsidR="00F20B02" w:rsidRPr="00526FCE">
        <w:rPr>
          <w:rFonts w:ascii="Book Antiqua" w:eastAsia="宋体" w:hAnsi="Book Antiqua" w:hint="eastAsia"/>
          <w:color w:val="000000"/>
          <w:sz w:val="24"/>
          <w:szCs w:val="24"/>
          <w:lang w:val="en-US" w:eastAsia="zh-CN"/>
        </w:rPr>
        <w:t>tates</w:t>
      </w:r>
      <w:r w:rsidR="000956E5" w:rsidRPr="00872B32">
        <w:rPr>
          <w:rFonts w:ascii="Book Antiqua" w:hAnsi="Book Antiqua"/>
          <w:color w:val="000000"/>
          <w:sz w:val="24"/>
          <w:szCs w:val="24"/>
          <w:lang w:val="en-US"/>
        </w:rPr>
        <w:t xml:space="preserve">. 1989). Values of </w:t>
      </w:r>
      <w:r w:rsidR="003C317F" w:rsidRPr="00872B32">
        <w:rPr>
          <w:rFonts w:ascii="Book Antiqua" w:hAnsi="Book Antiqua"/>
          <w:i/>
          <w:color w:val="000000"/>
          <w:sz w:val="24"/>
          <w:szCs w:val="24"/>
          <w:lang w:val="en-US"/>
        </w:rPr>
        <w:t>P</w:t>
      </w:r>
      <w:r w:rsidR="00F20B02" w:rsidRPr="00526FCE">
        <w:rPr>
          <w:rFonts w:ascii="Book Antiqua" w:eastAsia="宋体" w:hAnsi="Book Antiqua" w:hint="eastAsia"/>
          <w:i/>
          <w:color w:val="000000"/>
          <w:sz w:val="24"/>
          <w:szCs w:val="24"/>
          <w:lang w:val="en-US" w:eastAsia="zh-CN"/>
        </w:rPr>
        <w:t xml:space="preserve"> </w:t>
      </w:r>
      <w:r w:rsidR="000E4A83" w:rsidRPr="00872B32">
        <w:rPr>
          <w:rFonts w:ascii="Book Antiqua" w:hAnsi="Book Antiqua"/>
          <w:color w:val="000000"/>
          <w:sz w:val="24"/>
          <w:szCs w:val="24"/>
          <w:lang w:val="en-US"/>
        </w:rPr>
        <w:t>&lt;</w:t>
      </w:r>
      <w:r w:rsidR="00F20B02" w:rsidRPr="00526FCE">
        <w:rPr>
          <w:rFonts w:ascii="Book Antiqua" w:eastAsia="宋体" w:hAnsi="Book Antiqua" w:hint="eastAsia"/>
          <w:color w:val="000000"/>
          <w:sz w:val="24"/>
          <w:szCs w:val="24"/>
          <w:lang w:val="en-US" w:eastAsia="zh-CN"/>
        </w:rPr>
        <w:t xml:space="preserve"> </w:t>
      </w:r>
      <w:r w:rsidR="00CB3129" w:rsidRPr="00872B32">
        <w:rPr>
          <w:rFonts w:ascii="Book Antiqua" w:hAnsi="Book Antiqua"/>
          <w:color w:val="000000"/>
          <w:sz w:val="24"/>
          <w:szCs w:val="24"/>
          <w:lang w:val="en-US"/>
        </w:rPr>
        <w:t xml:space="preserve">0.05 were </w:t>
      </w:r>
      <w:r w:rsidR="000956E5" w:rsidRPr="00872B32">
        <w:rPr>
          <w:rFonts w:ascii="Book Antiqua" w:hAnsi="Book Antiqua"/>
          <w:color w:val="000000"/>
          <w:sz w:val="24"/>
          <w:szCs w:val="24"/>
          <w:lang w:val="en-US"/>
        </w:rPr>
        <w:t>considered significant. A d</w:t>
      </w:r>
      <w:r w:rsidR="000956E5" w:rsidRPr="00872B32">
        <w:rPr>
          <w:rFonts w:ascii="Book Antiqua" w:hAnsi="Book Antiqua"/>
          <w:bCs/>
          <w:color w:val="000000"/>
          <w:sz w:val="24"/>
          <w:szCs w:val="24"/>
          <w:lang w:val="en-US"/>
        </w:rPr>
        <w:t>iagnostic test evaluation calculator/</w:t>
      </w:r>
      <w:r w:rsidR="000956E5" w:rsidRPr="00872B32">
        <w:rPr>
          <w:rFonts w:ascii="Book Antiqua" w:hAnsi="Book Antiqua"/>
          <w:color w:val="000000"/>
          <w:sz w:val="24"/>
          <w:szCs w:val="24"/>
          <w:lang w:val="en-US"/>
        </w:rPr>
        <w:t>MedCalc-statistical software (version 17.4) was used to compare the outcomes of the patients according to Fc</w:t>
      </w:r>
      <w:r w:rsidR="000E4A83" w:rsidRPr="00872B32">
        <w:rPr>
          <w:rFonts w:ascii="Book Antiqua" w:hAnsi="Book Antiqua"/>
          <w:color w:val="000000"/>
          <w:sz w:val="24"/>
          <w:szCs w:val="24"/>
        </w:rPr>
        <w:sym w:font="Symbol" w:char="F067"/>
      </w:r>
      <w:r w:rsidR="000956E5" w:rsidRPr="00872B32">
        <w:rPr>
          <w:rFonts w:ascii="Book Antiqua" w:hAnsi="Book Antiqua"/>
          <w:color w:val="000000"/>
          <w:sz w:val="24"/>
          <w:szCs w:val="24"/>
          <w:lang w:val="en-US"/>
        </w:rPr>
        <w:t>R polymorphisms</w:t>
      </w:r>
      <w:r w:rsidR="008B5699" w:rsidRPr="00872B32">
        <w:rPr>
          <w:rFonts w:ascii="Book Antiqua" w:hAnsi="Book Antiqua"/>
          <w:color w:val="000000"/>
          <w:sz w:val="24"/>
          <w:szCs w:val="24"/>
          <w:lang w:val="en-US"/>
        </w:rPr>
        <w:t>.</w:t>
      </w:r>
    </w:p>
    <w:p w14:paraId="6C6F140A" w14:textId="19145856" w:rsidR="009C566F"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The multivariate statistical procedure analyze</w:t>
      </w:r>
      <w:r w:rsidR="00A36C6A">
        <w:rPr>
          <w:rFonts w:ascii="Book Antiqua" w:hAnsi="Book Antiqua"/>
          <w:color w:val="000000"/>
          <w:sz w:val="24"/>
          <w:szCs w:val="24"/>
          <w:lang w:val="en-US"/>
        </w:rPr>
        <w:t>d</w:t>
      </w:r>
      <w:r w:rsidRPr="00872B32">
        <w:rPr>
          <w:rFonts w:ascii="Book Antiqua" w:hAnsi="Book Antiqua"/>
          <w:color w:val="000000"/>
          <w:sz w:val="24"/>
          <w:szCs w:val="24"/>
          <w:lang w:val="en-US"/>
        </w:rPr>
        <w:t xml:space="preserve"> the correlation between the linear associations</w:t>
      </w:r>
      <w:r w:rsidR="00D14CC3" w:rsidRPr="00872B32">
        <w:rPr>
          <w:rFonts w:ascii="Book Antiqua" w:hAnsi="Book Antiqua"/>
          <w:color w:val="000000"/>
          <w:sz w:val="24"/>
          <w:szCs w:val="24"/>
          <w:lang w:val="en-US"/>
        </w:rPr>
        <w:t>, producing</w:t>
      </w:r>
      <w:r w:rsidRPr="00872B32">
        <w:rPr>
          <w:rFonts w:ascii="Book Antiqua" w:hAnsi="Book Antiqua"/>
          <w:color w:val="000000"/>
          <w:sz w:val="24"/>
          <w:szCs w:val="24"/>
          <w:lang w:val="en-US"/>
        </w:rPr>
        <w:t xml:space="preserve"> the matrix of correlation coefficients (which vary from –1 to +1) and the significances (</w:t>
      </w:r>
      <w:r w:rsidR="00041AC4" w:rsidRPr="00872B32">
        <w:rPr>
          <w:rFonts w:ascii="Book Antiqua" w:hAnsi="Book Antiqua"/>
          <w:i/>
          <w:color w:val="000000"/>
          <w:sz w:val="24"/>
          <w:szCs w:val="24"/>
          <w:lang w:val="en-US"/>
        </w:rPr>
        <w:t>P</w:t>
      </w:r>
      <w:r w:rsidRPr="00872B32">
        <w:rPr>
          <w:rFonts w:ascii="Book Antiqua" w:hAnsi="Book Antiqua"/>
          <w:color w:val="000000"/>
          <w:sz w:val="24"/>
          <w:szCs w:val="24"/>
          <w:lang w:val="en-US"/>
        </w:rPr>
        <w:t xml:space="preserve">). </w:t>
      </w:r>
      <w:r w:rsidR="00D14CC3" w:rsidRPr="00872B32">
        <w:rPr>
          <w:rFonts w:ascii="Book Antiqua" w:hAnsi="Book Antiqua"/>
          <w:color w:val="000000"/>
          <w:sz w:val="24"/>
          <w:szCs w:val="24"/>
          <w:lang w:val="en-US"/>
        </w:rPr>
        <w:t>This procedure</w:t>
      </w:r>
      <w:r w:rsidRPr="00872B32">
        <w:rPr>
          <w:rFonts w:ascii="Book Antiqua" w:hAnsi="Book Antiqua"/>
          <w:color w:val="000000"/>
          <w:sz w:val="24"/>
          <w:szCs w:val="24"/>
          <w:lang w:val="en-US"/>
        </w:rPr>
        <w:t xml:space="preserve"> </w:t>
      </w:r>
      <w:r w:rsidR="008F3DF9" w:rsidRPr="00872B32">
        <w:rPr>
          <w:rFonts w:ascii="Book Antiqua" w:hAnsi="Book Antiqua"/>
          <w:color w:val="000000"/>
          <w:sz w:val="24"/>
          <w:szCs w:val="24"/>
          <w:lang w:val="en-US"/>
        </w:rPr>
        <w:t>allow</w:t>
      </w:r>
      <w:r w:rsidR="008F3DF9">
        <w:rPr>
          <w:rFonts w:ascii="Book Antiqua" w:hAnsi="Book Antiqua"/>
          <w:color w:val="000000"/>
          <w:sz w:val="24"/>
          <w:szCs w:val="24"/>
          <w:lang w:val="en-US"/>
        </w:rPr>
        <w:t>ed</w:t>
      </w:r>
      <w:r w:rsidR="008F3DF9" w:rsidRPr="00872B32">
        <w:rPr>
          <w:rFonts w:ascii="Book Antiqua" w:hAnsi="Book Antiqua"/>
          <w:color w:val="000000"/>
          <w:sz w:val="24"/>
          <w:szCs w:val="24"/>
          <w:lang w:val="en-US"/>
        </w:rPr>
        <w:t xml:space="preserve"> </w:t>
      </w:r>
      <w:r w:rsidR="00D14CC3" w:rsidRPr="00872B32">
        <w:rPr>
          <w:rFonts w:ascii="Book Antiqua" w:hAnsi="Book Antiqua"/>
          <w:color w:val="000000"/>
          <w:sz w:val="24"/>
          <w:szCs w:val="24"/>
          <w:lang w:val="en-US"/>
        </w:rPr>
        <w:t>a dynamic</w:t>
      </w:r>
      <w:r w:rsidRPr="00872B32">
        <w:rPr>
          <w:rFonts w:ascii="Book Antiqua" w:hAnsi="Book Antiqua"/>
          <w:color w:val="000000"/>
          <w:sz w:val="24"/>
          <w:szCs w:val="24"/>
          <w:lang w:val="en-US"/>
        </w:rPr>
        <w:t xml:space="preserve"> analysis. A positive correlation indicates that the parameters vary in the same direction, while a negative one indicates that the parameters vary in the opposite direction. Other changes are considered negative. Statistically independent parameters have an expected correlation of zero. </w:t>
      </w:r>
    </w:p>
    <w:p w14:paraId="7C60A39D" w14:textId="44C2F428" w:rsidR="000956E5" w:rsidRPr="00872B32" w:rsidRDefault="000956E5" w:rsidP="008C54E8">
      <w:pPr>
        <w:pStyle w:val="a6"/>
        <w:snapToGrid w:val="0"/>
        <w:spacing w:after="0" w:line="360" w:lineRule="auto"/>
        <w:ind w:left="0" w:firstLineChars="100" w:firstLine="240"/>
        <w:contextualSpacing w:val="0"/>
        <w:jc w:val="both"/>
        <w:rPr>
          <w:rFonts w:ascii="Book Antiqua" w:hAnsi="Book Antiqua"/>
          <w:color w:val="000000"/>
          <w:sz w:val="24"/>
          <w:szCs w:val="24"/>
          <w:lang w:val="en-US"/>
        </w:rPr>
      </w:pPr>
      <w:r w:rsidRPr="00872B32">
        <w:rPr>
          <w:rFonts w:ascii="Book Antiqua" w:hAnsi="Book Antiqua"/>
          <w:color w:val="000000"/>
          <w:sz w:val="24"/>
          <w:szCs w:val="24"/>
          <w:lang w:val="en-US"/>
        </w:rPr>
        <w:t>Using the PCA</w:t>
      </w:r>
      <w:r w:rsidR="008F3DF9">
        <w:rPr>
          <w:rFonts w:ascii="Book Antiqua" w:hAnsi="Book Antiqua"/>
          <w:color w:val="000000"/>
          <w:sz w:val="24"/>
          <w:szCs w:val="24"/>
          <w:lang w:val="en-US"/>
        </w:rPr>
        <w:t>,</w:t>
      </w:r>
      <w:r w:rsidRPr="00872B32">
        <w:rPr>
          <w:rFonts w:ascii="Book Antiqua" w:hAnsi="Book Antiqua"/>
          <w:color w:val="000000"/>
          <w:sz w:val="24"/>
          <w:szCs w:val="24"/>
          <w:lang w:val="en-US"/>
        </w:rPr>
        <w:t xml:space="preserve"> we plotted the network of the vectors of the parameters, which were obtained by analyzing the data matrix of correlation coefficients between them. Through these plots, we can clarify the interaction between the redox and immune systems in both healthy aging and tumor progression. The length of each vector is proportional to its contribution to the total parameter </w:t>
      </w:r>
      <w:r w:rsidR="00D7373A" w:rsidRPr="00872B32">
        <w:rPr>
          <w:rFonts w:ascii="Book Antiqua" w:hAnsi="Book Antiqua"/>
          <w:color w:val="000000"/>
          <w:sz w:val="24"/>
          <w:szCs w:val="24"/>
          <w:lang w:val="en-US"/>
        </w:rPr>
        <w:t>variance;</w:t>
      </w:r>
      <w:r w:rsidRPr="00872B32">
        <w:rPr>
          <w:rFonts w:ascii="Book Antiqua" w:hAnsi="Book Antiqua"/>
          <w:color w:val="000000"/>
          <w:sz w:val="24"/>
          <w:szCs w:val="24"/>
          <w:lang w:val="en-US"/>
        </w:rPr>
        <w:t xml:space="preserve"> the angle between vectors is inversely proportional to the degree o</w:t>
      </w:r>
      <w:r w:rsidR="00A34B0E" w:rsidRPr="00872B32">
        <w:rPr>
          <w:rFonts w:ascii="Book Antiqua" w:hAnsi="Book Antiqua"/>
          <w:color w:val="000000"/>
          <w:sz w:val="24"/>
          <w:szCs w:val="24"/>
          <w:lang w:val="en-US"/>
        </w:rPr>
        <w:t xml:space="preserve">f correlation between vectors. </w:t>
      </w:r>
      <w:r w:rsidRPr="00872B32">
        <w:rPr>
          <w:rFonts w:ascii="Book Antiqua" w:hAnsi="Book Antiqua"/>
          <w:color w:val="000000"/>
          <w:sz w:val="24"/>
          <w:szCs w:val="24"/>
          <w:lang w:val="en-US"/>
        </w:rPr>
        <w:t>Acute angles indicate positive relationships</w:t>
      </w:r>
      <w:r w:rsidR="008F3DF9">
        <w:rPr>
          <w:rFonts w:ascii="Book Antiqua" w:hAnsi="Book Antiqua"/>
          <w:color w:val="000000"/>
          <w:sz w:val="24"/>
          <w:szCs w:val="24"/>
          <w:lang w:val="en-US"/>
        </w:rPr>
        <w:t>,</w:t>
      </w:r>
      <w:r w:rsidRPr="00872B32">
        <w:rPr>
          <w:rFonts w:ascii="Book Antiqua" w:hAnsi="Book Antiqua"/>
          <w:color w:val="000000"/>
          <w:sz w:val="24"/>
          <w:szCs w:val="24"/>
          <w:lang w:val="en-US"/>
        </w:rPr>
        <w:t xml:space="preserve"> while obtuse ones indicate negative relationships. </w:t>
      </w:r>
    </w:p>
    <w:p w14:paraId="2271B21A" w14:textId="77777777" w:rsidR="007F0E62" w:rsidRPr="00526FCE" w:rsidRDefault="007F0E62" w:rsidP="008C54E8">
      <w:pPr>
        <w:snapToGrid w:val="0"/>
        <w:spacing w:line="360" w:lineRule="auto"/>
        <w:jc w:val="both"/>
        <w:rPr>
          <w:rFonts w:ascii="Book Antiqua" w:eastAsia="宋体" w:hAnsi="Book Antiqua"/>
          <w:b/>
          <w:color w:val="000000"/>
          <w:lang w:eastAsia="zh-CN"/>
        </w:rPr>
      </w:pPr>
    </w:p>
    <w:p w14:paraId="7ECA50DB" w14:textId="77777777" w:rsidR="00281314" w:rsidRPr="00526FCE" w:rsidRDefault="00E25F2D" w:rsidP="008C54E8">
      <w:pPr>
        <w:snapToGrid w:val="0"/>
        <w:spacing w:line="360" w:lineRule="auto"/>
        <w:jc w:val="both"/>
        <w:rPr>
          <w:rFonts w:ascii="Book Antiqua" w:eastAsia="宋体" w:hAnsi="Book Antiqua"/>
          <w:b/>
          <w:color w:val="000000"/>
          <w:lang w:eastAsia="zh-CN"/>
        </w:rPr>
      </w:pPr>
      <w:r w:rsidRPr="00872B32">
        <w:rPr>
          <w:rFonts w:ascii="Book Antiqua" w:hAnsi="Book Antiqua"/>
          <w:b/>
          <w:color w:val="000000"/>
        </w:rPr>
        <w:t>RESULTS</w:t>
      </w:r>
    </w:p>
    <w:p w14:paraId="328CD15A" w14:textId="77777777" w:rsidR="000956E5" w:rsidRPr="00872B32" w:rsidRDefault="000956E5" w:rsidP="008C54E8">
      <w:pPr>
        <w:snapToGrid w:val="0"/>
        <w:spacing w:line="360" w:lineRule="auto"/>
        <w:jc w:val="both"/>
        <w:rPr>
          <w:rFonts w:ascii="Book Antiqua" w:hAnsi="Book Antiqua"/>
          <w:i/>
          <w:color w:val="000000"/>
        </w:rPr>
      </w:pPr>
      <w:r w:rsidRPr="00872B32">
        <w:rPr>
          <w:rFonts w:ascii="Book Antiqua" w:hAnsi="Book Antiqua"/>
          <w:b/>
          <w:i/>
          <w:color w:val="000000"/>
        </w:rPr>
        <w:t xml:space="preserve">Trx1/CD30 controls the redox-immune </w:t>
      </w:r>
      <w:r w:rsidR="00D7373A" w:rsidRPr="00872B32">
        <w:rPr>
          <w:rFonts w:ascii="Book Antiqua" w:hAnsi="Book Antiqua"/>
          <w:b/>
          <w:i/>
          <w:color w:val="000000"/>
        </w:rPr>
        <w:t>homeostasis of</w:t>
      </w:r>
      <w:r w:rsidRPr="00872B32">
        <w:rPr>
          <w:rFonts w:ascii="Book Antiqua" w:hAnsi="Book Antiqua"/>
          <w:b/>
          <w:i/>
          <w:color w:val="000000"/>
        </w:rPr>
        <w:t xml:space="preserve"> the healthy </w:t>
      </w:r>
      <w:r w:rsidR="00D7373A" w:rsidRPr="00872B32">
        <w:rPr>
          <w:rFonts w:ascii="Book Antiqua" w:hAnsi="Book Antiqua"/>
          <w:b/>
          <w:i/>
          <w:color w:val="000000"/>
        </w:rPr>
        <w:t>individuals,</w:t>
      </w:r>
      <w:r w:rsidRPr="00872B32">
        <w:rPr>
          <w:rFonts w:ascii="Book Antiqua" w:hAnsi="Book Antiqua"/>
          <w:b/>
          <w:i/>
          <w:color w:val="000000"/>
        </w:rPr>
        <w:t xml:space="preserve"> as they get older</w:t>
      </w:r>
    </w:p>
    <w:p w14:paraId="5F4843D5" w14:textId="3C8D8E0B" w:rsidR="000956E5" w:rsidRPr="00872B32" w:rsidRDefault="000956E5" w:rsidP="008C54E8">
      <w:pPr>
        <w:autoSpaceDE w:val="0"/>
        <w:autoSpaceDN w:val="0"/>
        <w:adjustRightInd w:val="0"/>
        <w:snapToGrid w:val="0"/>
        <w:spacing w:line="360" w:lineRule="auto"/>
        <w:jc w:val="both"/>
        <w:rPr>
          <w:rFonts w:ascii="Book Antiqua" w:hAnsi="Book Antiqua"/>
          <w:color w:val="000000"/>
        </w:rPr>
      </w:pPr>
      <w:r w:rsidRPr="00872B32">
        <w:rPr>
          <w:rFonts w:ascii="Book Antiqua" w:hAnsi="Book Antiqua"/>
          <w:color w:val="000000"/>
        </w:rPr>
        <w:t xml:space="preserve">Figures </w:t>
      </w:r>
      <w:r w:rsidR="003D5A61" w:rsidRPr="00872B32">
        <w:rPr>
          <w:rFonts w:ascii="Book Antiqua" w:hAnsi="Book Antiqua"/>
          <w:color w:val="000000"/>
        </w:rPr>
        <w:t>2-</w:t>
      </w:r>
      <w:r w:rsidR="001F5773" w:rsidRPr="00872B32">
        <w:rPr>
          <w:rFonts w:ascii="Book Antiqua" w:hAnsi="Book Antiqua"/>
          <w:color w:val="000000"/>
        </w:rPr>
        <w:t>7</w:t>
      </w:r>
      <w:r w:rsidRPr="00872B32">
        <w:rPr>
          <w:rFonts w:ascii="Book Antiqua" w:hAnsi="Book Antiqua"/>
          <w:color w:val="000000"/>
        </w:rPr>
        <w:t xml:space="preserve"> describe the ph</w:t>
      </w:r>
      <w:r w:rsidR="00202D07" w:rsidRPr="00872B32">
        <w:rPr>
          <w:rFonts w:ascii="Book Antiqua" w:hAnsi="Book Antiqua"/>
          <w:color w:val="000000"/>
        </w:rPr>
        <w:t>y</w:t>
      </w:r>
      <w:r w:rsidRPr="00872B32">
        <w:rPr>
          <w:rFonts w:ascii="Book Antiqua" w:hAnsi="Book Antiqua"/>
          <w:color w:val="000000"/>
        </w:rPr>
        <w:t xml:space="preserve">sio-pathological network that regulates both the redox immune homeostasis and non-homeostasis states. The PCA plots of </w:t>
      </w:r>
      <w:r w:rsidRPr="00872B32">
        <w:rPr>
          <w:rFonts w:ascii="Book Antiqua" w:hAnsi="Book Antiqua"/>
          <w:color w:val="000000"/>
          <w:lang w:val="en-GB"/>
        </w:rPr>
        <w:t>serum profile</w:t>
      </w:r>
      <w:r w:rsidRPr="00872B32">
        <w:rPr>
          <w:rFonts w:ascii="Book Antiqua" w:hAnsi="Book Antiqua"/>
          <w:color w:val="000000"/>
        </w:rPr>
        <w:t xml:space="preserve"> in the healthy state show that </w:t>
      </w:r>
      <w:r w:rsidRPr="00872B32">
        <w:rPr>
          <w:rFonts w:ascii="Book Antiqua" w:hAnsi="Book Antiqua"/>
          <w:color w:val="000000"/>
          <w:lang w:val="en-GB"/>
        </w:rPr>
        <w:t xml:space="preserve">the </w:t>
      </w:r>
      <w:r w:rsidRPr="00872B32">
        <w:rPr>
          <w:rFonts w:ascii="Book Antiqua" w:hAnsi="Book Antiqua"/>
          <w:color w:val="000000"/>
        </w:rPr>
        <w:t xml:space="preserve">positively related increase between the Trx1/RTrx1 levels and increase in sCD30 level (in red in </w:t>
      </w:r>
      <w:r w:rsidR="002A074A" w:rsidRPr="00872B32">
        <w:rPr>
          <w:rFonts w:ascii="Book Antiqua" w:hAnsi="Book Antiqua"/>
          <w:color w:val="000000"/>
        </w:rPr>
        <w:t>Figure</w:t>
      </w:r>
      <w:r w:rsidRPr="00872B32">
        <w:rPr>
          <w:rFonts w:ascii="Book Antiqua" w:hAnsi="Book Antiqua"/>
          <w:color w:val="000000"/>
        </w:rPr>
        <w:t xml:space="preserve"> 2A) </w:t>
      </w:r>
      <w:r w:rsidR="00D7373A" w:rsidRPr="00872B32">
        <w:rPr>
          <w:rFonts w:ascii="Book Antiqua" w:hAnsi="Book Antiqua"/>
          <w:color w:val="000000"/>
        </w:rPr>
        <w:t>produce</w:t>
      </w:r>
      <w:r w:rsidR="008F3DF9">
        <w:rPr>
          <w:rFonts w:ascii="Book Antiqua" w:hAnsi="Book Antiqua"/>
          <w:color w:val="000000"/>
        </w:rPr>
        <w:t>d</w:t>
      </w:r>
      <w:r w:rsidR="00D7373A" w:rsidRPr="00872B32">
        <w:rPr>
          <w:rFonts w:ascii="Book Antiqua" w:hAnsi="Book Antiqua"/>
          <w:color w:val="000000"/>
        </w:rPr>
        <w:t xml:space="preserve"> a</w:t>
      </w:r>
      <w:r w:rsidRPr="00872B32">
        <w:rPr>
          <w:rFonts w:ascii="Book Antiqua" w:hAnsi="Book Antiqua"/>
          <w:color w:val="000000"/>
        </w:rPr>
        <w:t xml:space="preserve"> positively related increase in </w:t>
      </w:r>
      <w:r w:rsidRPr="00872B32">
        <w:rPr>
          <w:rFonts w:ascii="Book Antiqua" w:eastAsia="AdvP4DF60E" w:hAnsi="Book Antiqua"/>
          <w:color w:val="000000"/>
        </w:rPr>
        <w:t>the IFN</w:t>
      </w:r>
      <w:r w:rsidR="007F0E62" w:rsidRPr="00872B32">
        <w:rPr>
          <w:rFonts w:ascii="Book Antiqua"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levels (in black in </w:t>
      </w:r>
      <w:r w:rsidR="002A074A" w:rsidRPr="00872B32">
        <w:rPr>
          <w:rFonts w:ascii="Book Antiqua" w:hAnsi="Book Antiqua"/>
          <w:color w:val="000000"/>
        </w:rPr>
        <w:t>Figure</w:t>
      </w:r>
      <w:r w:rsidRPr="00872B32">
        <w:rPr>
          <w:rFonts w:ascii="Book Antiqua" w:hAnsi="Book Antiqua"/>
          <w:color w:val="000000"/>
        </w:rPr>
        <w:t xml:space="preserve"> 2A)</w:t>
      </w:r>
      <w:r w:rsidRPr="00872B32">
        <w:rPr>
          <w:rFonts w:ascii="Book Antiqua" w:hAnsi="Book Antiqua"/>
          <w:color w:val="000000"/>
          <w:lang w:val="en-GB"/>
        </w:rPr>
        <w:t xml:space="preserve"> and negatively related increases between </w:t>
      </w:r>
      <w:r w:rsidRPr="00872B32">
        <w:rPr>
          <w:rFonts w:ascii="Book Antiqua" w:eastAsia="AdvP4DF60E" w:hAnsi="Book Antiqua"/>
          <w:color w:val="000000"/>
        </w:rPr>
        <w:t>levels of</w:t>
      </w:r>
      <w:r w:rsidRPr="00872B32">
        <w:rPr>
          <w:rFonts w:ascii="Book Antiqua" w:hAnsi="Book Antiqua"/>
          <w:color w:val="000000"/>
        </w:rPr>
        <w:t xml:space="preserve"> TGFβ-IL6 and TGFβ-IL4</w:t>
      </w:r>
      <w:r w:rsidRPr="00872B32">
        <w:rPr>
          <w:rFonts w:ascii="Book Antiqua" w:eastAsia="AdvP4DF60E" w:hAnsi="Book Antiqua"/>
          <w:color w:val="000000"/>
        </w:rPr>
        <w:t xml:space="preserve"> </w:t>
      </w:r>
      <w:r w:rsidRPr="00872B32">
        <w:rPr>
          <w:rFonts w:ascii="Book Antiqua" w:hAnsi="Book Antiqua"/>
          <w:color w:val="000000"/>
        </w:rPr>
        <w:t xml:space="preserve">(in yellow in </w:t>
      </w:r>
      <w:r w:rsidR="002A074A" w:rsidRPr="00872B32">
        <w:rPr>
          <w:rFonts w:ascii="Book Antiqua" w:hAnsi="Book Antiqua"/>
          <w:color w:val="000000"/>
        </w:rPr>
        <w:t>Figure</w:t>
      </w:r>
      <w:r w:rsidRPr="00872B32">
        <w:rPr>
          <w:rFonts w:ascii="Book Antiqua" w:hAnsi="Book Antiqua"/>
          <w:color w:val="000000"/>
        </w:rPr>
        <w:t xml:space="preserve"> 2A). </w:t>
      </w:r>
    </w:p>
    <w:p w14:paraId="725F2FEC" w14:textId="3BAA4899"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lastRenderedPageBreak/>
        <w:t xml:space="preserve">The role of the </w:t>
      </w:r>
      <w:r w:rsidR="00D7373A" w:rsidRPr="00872B32">
        <w:rPr>
          <w:rFonts w:ascii="Book Antiqua" w:hAnsi="Book Antiqua"/>
          <w:color w:val="000000"/>
        </w:rPr>
        <w:t>above-mentioned</w:t>
      </w:r>
      <w:r w:rsidRPr="00872B32">
        <w:rPr>
          <w:rFonts w:ascii="Book Antiqua" w:hAnsi="Book Antiqua"/>
          <w:color w:val="000000"/>
        </w:rPr>
        <w:t xml:space="preserve"> relationships, as biomarkers of health homeostasis during aging</w:t>
      </w:r>
      <w:r w:rsidR="008F3DF9">
        <w:rPr>
          <w:rFonts w:ascii="Book Antiqua" w:hAnsi="Book Antiqua"/>
          <w:color w:val="000000"/>
        </w:rPr>
        <w:t>,</w:t>
      </w:r>
      <w:r w:rsidRPr="00872B32">
        <w:rPr>
          <w:rFonts w:ascii="Book Antiqua" w:hAnsi="Book Antiqua"/>
          <w:color w:val="000000"/>
        </w:rPr>
        <w:t xml:space="preserve"> is showed by their relationships with the age vector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The data show that the positively related increase between age (in black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and Trx1/RTrx1 and sCD30 levels (in red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determine a positively related increase between</w:t>
      </w:r>
      <w:r w:rsidRPr="00872B32">
        <w:rPr>
          <w:rFonts w:ascii="Book Antiqua" w:eastAsia="AdvP4DF60E" w:hAnsi="Book Antiqua"/>
          <w:color w:val="000000"/>
        </w:rPr>
        <w:t xml:space="preserve"> the IFN</w:t>
      </w:r>
      <w:r w:rsidR="007F0E62" w:rsidRPr="00872B32">
        <w:rPr>
          <w:rFonts w:ascii="Book Antiqua"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levels (in black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w:t>
      </w:r>
      <w:r w:rsidRPr="00872B32">
        <w:rPr>
          <w:rFonts w:ascii="Book Antiqua" w:hAnsi="Book Antiqua"/>
          <w:color w:val="000000"/>
          <w:lang w:val="en-GB"/>
        </w:rPr>
        <w:t xml:space="preserve">and negatively related increases between </w:t>
      </w:r>
      <w:r w:rsidRPr="00872B32">
        <w:rPr>
          <w:rFonts w:ascii="Book Antiqua" w:eastAsia="AdvP4DF60E" w:hAnsi="Book Antiqua"/>
          <w:color w:val="000000"/>
        </w:rPr>
        <w:t>levels of</w:t>
      </w:r>
      <w:r w:rsidRPr="00872B32">
        <w:rPr>
          <w:rFonts w:ascii="Book Antiqua" w:hAnsi="Book Antiqua"/>
          <w:color w:val="000000"/>
        </w:rPr>
        <w:t xml:space="preserve"> TGFβ-IL6 and TGFβ-IL4</w:t>
      </w:r>
      <w:r w:rsidRPr="00872B32">
        <w:rPr>
          <w:rFonts w:ascii="Book Antiqua" w:eastAsia="AdvP4DF60E" w:hAnsi="Book Antiqua"/>
          <w:color w:val="000000"/>
        </w:rPr>
        <w:t xml:space="preserve"> </w:t>
      </w:r>
      <w:r w:rsidRPr="00872B32">
        <w:rPr>
          <w:rFonts w:ascii="Book Antiqua" w:hAnsi="Book Antiqua"/>
          <w:color w:val="000000"/>
        </w:rPr>
        <w:t xml:space="preserve">(in yellow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Furthermore, the results confirm that the most relevant aging relationship is the positive correlation between Trx1/RTrx1. These vectors are very close to each other</w:t>
      </w:r>
      <w:r w:rsidR="008F3DF9">
        <w:rPr>
          <w:rFonts w:ascii="Book Antiqua" w:hAnsi="Book Antiqua"/>
          <w:color w:val="000000"/>
        </w:rPr>
        <w:t xml:space="preserve">, </w:t>
      </w:r>
      <w:r w:rsidRPr="00872B32">
        <w:rPr>
          <w:rFonts w:ascii="Book Antiqua" w:hAnsi="Book Antiqua"/>
          <w:color w:val="000000"/>
        </w:rPr>
        <w:t xml:space="preserve">go in the same direction </w:t>
      </w:r>
      <w:r w:rsidR="00D7373A" w:rsidRPr="00872B32">
        <w:rPr>
          <w:rFonts w:ascii="Book Antiqua" w:hAnsi="Book Antiqua"/>
          <w:color w:val="000000"/>
        </w:rPr>
        <w:t>and</w:t>
      </w:r>
      <w:r w:rsidRPr="00872B32">
        <w:rPr>
          <w:rFonts w:ascii="Book Antiqua" w:hAnsi="Book Antiqua"/>
          <w:color w:val="000000"/>
        </w:rPr>
        <w:t xml:space="preserve"> </w:t>
      </w:r>
      <w:r w:rsidR="0059503C">
        <w:rPr>
          <w:rFonts w:ascii="Book Antiqua" w:hAnsi="Book Antiqua"/>
          <w:color w:val="000000"/>
        </w:rPr>
        <w:t xml:space="preserve">are </w:t>
      </w:r>
      <w:r w:rsidRPr="00872B32">
        <w:rPr>
          <w:rFonts w:ascii="Book Antiqua" w:hAnsi="Book Antiqua"/>
          <w:color w:val="000000"/>
        </w:rPr>
        <w:t xml:space="preserve">close to the age vector. This situation indicates that during aging the level variations (their activity) of Trx1 and RTrx1 molecules must necessarily occur in the same phase of the response and in the same direction (increase or decrease). </w:t>
      </w:r>
    </w:p>
    <w:p w14:paraId="48BE6001" w14:textId="77777777"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In the matrix of coefficient </w:t>
      </w:r>
      <w:r w:rsidR="00D7373A" w:rsidRPr="00872B32">
        <w:rPr>
          <w:rFonts w:ascii="Book Antiqua" w:hAnsi="Book Antiqua"/>
          <w:color w:val="000000"/>
        </w:rPr>
        <w:t>correlations,</w:t>
      </w:r>
      <w:r w:rsidRPr="00872B32">
        <w:rPr>
          <w:rFonts w:ascii="Book Antiqua" w:hAnsi="Book Antiqua"/>
          <w:color w:val="000000"/>
        </w:rPr>
        <w:t xml:space="preserve"> there are the following positive and negative significant values of the </w:t>
      </w:r>
      <w:r w:rsidR="00D7373A" w:rsidRPr="00872B32">
        <w:rPr>
          <w:rFonts w:ascii="Book Antiqua" w:hAnsi="Book Antiqua"/>
          <w:color w:val="000000"/>
        </w:rPr>
        <w:t>above</w:t>
      </w:r>
      <w:r w:rsidR="006A2ED0" w:rsidRPr="00872B32">
        <w:rPr>
          <w:rFonts w:ascii="Book Antiqua" w:hAnsi="Book Antiqua"/>
          <w:color w:val="000000"/>
        </w:rPr>
        <w:t xml:space="preserve"> </w:t>
      </w:r>
      <w:r w:rsidR="00D7373A" w:rsidRPr="00872B32">
        <w:rPr>
          <w:rFonts w:ascii="Book Antiqua" w:hAnsi="Book Antiqua"/>
          <w:color w:val="000000"/>
        </w:rPr>
        <w:t>described</w:t>
      </w:r>
      <w:r w:rsidRPr="00872B32">
        <w:rPr>
          <w:rFonts w:ascii="Book Antiqua" w:hAnsi="Book Antiqua"/>
          <w:color w:val="000000"/>
        </w:rPr>
        <w:t xml:space="preserve"> relationships. The positive ones </w:t>
      </w:r>
      <w:r w:rsidR="00863661" w:rsidRPr="00872B32">
        <w:rPr>
          <w:rFonts w:ascii="Book Antiqua" w:hAnsi="Book Antiqua"/>
          <w:color w:val="000000"/>
        </w:rPr>
        <w:t>are</w:t>
      </w:r>
      <w:r w:rsidRPr="00872B32">
        <w:rPr>
          <w:rFonts w:ascii="Book Antiqua" w:hAnsi="Book Antiqua"/>
          <w:color w:val="000000"/>
        </w:rPr>
        <w:t xml:space="preserve"> Trx1 with RTrx1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0.65,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0.00001), </w:t>
      </w:r>
      <w:r w:rsidR="006477C9" w:rsidRPr="00872B32">
        <w:rPr>
          <w:rFonts w:ascii="Book Antiqua" w:hAnsi="Book Antiqua"/>
          <w:color w:val="000000"/>
        </w:rPr>
        <w:t xml:space="preserve">Trx1 and RTrx1 with IL10 (Trx1 </w:t>
      </w:r>
      <w:r w:rsidRPr="00872B32">
        <w:rPr>
          <w:rFonts w:ascii="Book Antiqua" w:hAnsi="Book Antiqua"/>
          <w:color w:val="000000"/>
        </w:rPr>
        <w:t>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0.58,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6477C9" w:rsidRPr="00872B32">
        <w:rPr>
          <w:rFonts w:ascii="Book Antiqua" w:hAnsi="Book Antiqua"/>
          <w:color w:val="000000"/>
        </w:rPr>
        <w:t>0.0001; RTrx1</w:t>
      </w:r>
      <w:r w:rsidRPr="00872B32">
        <w:rPr>
          <w:rFonts w:ascii="Book Antiqua" w:hAnsi="Book Antiqua"/>
          <w:color w:val="000000"/>
        </w:rPr>
        <w:t xml:space="preserve"> r</w:t>
      </w:r>
      <w:r w:rsidR="00B837AF" w:rsidRPr="00872B32">
        <w:rPr>
          <w:rFonts w:ascii="Book Antiqua" w:hAnsi="Book Antiqua"/>
          <w:color w:val="000000"/>
        </w:rPr>
        <w:t xml:space="preserve"> </w:t>
      </w:r>
      <w:r w:rsidR="008D705E" w:rsidRPr="00872B32">
        <w:rPr>
          <w:rFonts w:ascii="Book Antiqua" w:hAnsi="Book Antiqua"/>
          <w:color w:val="000000"/>
        </w:rPr>
        <w:t>=</w:t>
      </w:r>
      <w:r w:rsidRPr="00872B32">
        <w:rPr>
          <w:rFonts w:ascii="Book Antiqua" w:hAnsi="Book Antiqua"/>
          <w:color w:val="000000"/>
        </w:rPr>
        <w:t xml:space="preserve"> 0.40,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0.0067), RTrx1 with IL6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0.34,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0.024)</w:t>
      </w:r>
      <w:r w:rsidR="00863661" w:rsidRPr="00872B32">
        <w:rPr>
          <w:rFonts w:ascii="Book Antiqua" w:hAnsi="Book Antiqua"/>
          <w:color w:val="000000"/>
        </w:rPr>
        <w:t xml:space="preserve">, </w:t>
      </w:r>
      <w:r w:rsidR="00D7373A" w:rsidRPr="00872B32">
        <w:rPr>
          <w:rFonts w:ascii="Book Antiqua" w:hAnsi="Book Antiqua"/>
          <w:color w:val="000000"/>
        </w:rPr>
        <w:t>IL2</w:t>
      </w:r>
      <w:r w:rsidRPr="00872B32">
        <w:rPr>
          <w:rFonts w:ascii="Book Antiqua" w:hAnsi="Book Antiqua"/>
          <w:color w:val="000000"/>
        </w:rPr>
        <w:t xml:space="preserve"> with IFN</w:t>
      </w:r>
      <w:r w:rsidR="007F0E62" w:rsidRPr="00872B32">
        <w:rPr>
          <w:rStyle w:val="a9"/>
          <w:rFonts w:ascii="Book Antiqua" w:hAnsi="Book Antiqua"/>
          <w:i w:val="0"/>
          <w:color w:val="000000"/>
        </w:rPr>
        <w:sym w:font="Symbol" w:char="F067"/>
      </w:r>
      <w:r w:rsidRPr="00872B32">
        <w:rPr>
          <w:rFonts w:ascii="Book Antiqua" w:hAnsi="Book Antiqua"/>
          <w:color w:val="000000"/>
        </w:rPr>
        <w:t xml:space="preserve">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0.56,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w:t>
      </w:r>
      <w:r w:rsidR="007D6576" w:rsidRPr="00872B32">
        <w:rPr>
          <w:rFonts w:ascii="Book Antiqua" w:hAnsi="Book Antiqua"/>
          <w:color w:val="000000"/>
        </w:rPr>
        <w:t>.0002</w:t>
      </w:r>
      <w:r w:rsidRPr="00872B32">
        <w:rPr>
          <w:rFonts w:ascii="Book Antiqua" w:hAnsi="Book Antiqua"/>
          <w:color w:val="000000"/>
        </w:rPr>
        <w:t xml:space="preserve">) </w:t>
      </w:r>
      <w:r w:rsidR="002E439B" w:rsidRPr="00872B32">
        <w:rPr>
          <w:rFonts w:ascii="Book Antiqua" w:hAnsi="Book Antiqua"/>
          <w:color w:val="000000"/>
        </w:rPr>
        <w:t>and IFN</w:t>
      </w:r>
      <w:r w:rsidR="007F0E62" w:rsidRPr="00872B32">
        <w:rPr>
          <w:rFonts w:ascii="Book Antiqua" w:hAnsi="Book Antiqua"/>
          <w:color w:val="000000"/>
        </w:rPr>
        <w:sym w:font="Symbol" w:char="F067"/>
      </w:r>
      <w:r w:rsidR="002E439B" w:rsidRPr="00872B32">
        <w:rPr>
          <w:rFonts w:ascii="Book Antiqua" w:hAnsi="Book Antiqua"/>
          <w:color w:val="000000"/>
        </w:rPr>
        <w:t xml:space="preserve"> with IL4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2E439B" w:rsidRPr="00872B32">
        <w:rPr>
          <w:rFonts w:ascii="Book Antiqua" w:hAnsi="Book Antiqua"/>
          <w:color w:val="000000"/>
        </w:rPr>
        <w:t>0.52</w:t>
      </w:r>
      <w:r w:rsidR="00A81D85" w:rsidRPr="00872B32">
        <w:rPr>
          <w:rFonts w:ascii="Book Antiqua" w:hAnsi="Book Antiqua"/>
          <w:color w:val="000000"/>
        </w:rPr>
        <w:t>,</w:t>
      </w:r>
      <w:r w:rsidR="002E439B" w:rsidRPr="00872B32">
        <w:rPr>
          <w:rFonts w:ascii="Book Antiqua" w:hAnsi="Book Antiqua"/>
          <w:color w:val="000000"/>
        </w:rPr>
        <w:t xml:space="preserve">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2E439B" w:rsidRPr="00872B32">
        <w:rPr>
          <w:rFonts w:ascii="Book Antiqua" w:hAnsi="Book Antiqua"/>
          <w:color w:val="000000"/>
        </w:rPr>
        <w:t>0.</w:t>
      </w:r>
      <w:r w:rsidRPr="00872B32">
        <w:rPr>
          <w:rFonts w:ascii="Book Antiqua" w:hAnsi="Book Antiqua"/>
          <w:color w:val="000000"/>
        </w:rPr>
        <w:t xml:space="preserve">0005). </w:t>
      </w:r>
      <w:r w:rsidR="00863661" w:rsidRPr="00872B32">
        <w:rPr>
          <w:rFonts w:ascii="Book Antiqua" w:hAnsi="Book Antiqua"/>
          <w:color w:val="000000"/>
        </w:rPr>
        <w:t>The negative</w:t>
      </w:r>
      <w:r w:rsidRPr="00872B32">
        <w:rPr>
          <w:rFonts w:ascii="Book Antiqua" w:hAnsi="Book Antiqua"/>
          <w:color w:val="000000"/>
        </w:rPr>
        <w:t xml:space="preserve"> ones </w:t>
      </w:r>
      <w:r w:rsidR="00863661" w:rsidRPr="00872B32">
        <w:rPr>
          <w:rFonts w:ascii="Book Antiqua" w:hAnsi="Book Antiqua"/>
          <w:color w:val="000000"/>
        </w:rPr>
        <w:t>are</w:t>
      </w:r>
      <w:r w:rsidRPr="00872B32">
        <w:rPr>
          <w:rFonts w:ascii="Book Antiqua" w:hAnsi="Book Antiqua"/>
          <w:color w:val="000000"/>
        </w:rPr>
        <w:t xml:space="preserve"> Trx1 e RTrx1 with IL4 (Trx1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0.30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0.040; RTrx1 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0.38,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0.01) and RTrx1 with both sIL6R (r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0.39,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0.0087) and IFN</w:t>
      </w:r>
      <w:r w:rsidR="007F0E62" w:rsidRPr="00872B32">
        <w:rPr>
          <w:rFonts w:ascii="Book Antiqua" w:hAnsi="Book Antiqua"/>
          <w:color w:val="000000"/>
        </w:rPr>
        <w:sym w:font="Symbol" w:char="F067"/>
      </w:r>
      <w:r w:rsidR="007F0E62" w:rsidRPr="00872B32">
        <w:rPr>
          <w:rFonts w:ascii="Book Antiqua" w:hAnsi="Book Antiqua"/>
          <w:color w:val="000000"/>
        </w:rPr>
        <w:t xml:space="preserve"> (</w:t>
      </w:r>
      <w:r w:rsidRPr="00872B32">
        <w:rPr>
          <w:rFonts w:ascii="Book Antiqua" w:hAnsi="Book Antiqua"/>
          <w:color w:val="000000"/>
        </w:rPr>
        <w:t>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-0.</w:t>
      </w:r>
      <w:r w:rsidRPr="00872B32">
        <w:rPr>
          <w:rFonts w:ascii="Book Antiqua" w:hAnsi="Book Antiqua"/>
          <w:color w:val="000000"/>
        </w:rPr>
        <w:t xml:space="preserve">30,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0.028). </w:t>
      </w:r>
    </w:p>
    <w:p w14:paraId="4A75D629" w14:textId="77777777"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In addition, it is interesting to see that in order to preserve the homeostasis during aging, if there is an increase in Trx1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0.46,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0.0019), RTrx1(r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055,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0.00001), IL6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0.015), IL10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0.46,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0.0022) there must also be one in</w:t>
      </w:r>
      <w:r w:rsidR="00C808A0" w:rsidRPr="00872B32">
        <w:rPr>
          <w:rFonts w:ascii="Book Antiqua" w:hAnsi="Book Antiqua"/>
          <w:color w:val="000000"/>
        </w:rPr>
        <w:t xml:space="preserve"> </w:t>
      </w:r>
      <w:r w:rsidRPr="00872B32">
        <w:rPr>
          <w:rFonts w:ascii="Book Antiqua" w:hAnsi="Book Antiqua"/>
          <w:color w:val="000000"/>
        </w:rPr>
        <w:t>IL2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0.39,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0.0078).</w:t>
      </w:r>
    </w:p>
    <w:p w14:paraId="25A5CDE5" w14:textId="77777777" w:rsidR="000956E5" w:rsidRPr="00872B32" w:rsidRDefault="000956E5" w:rsidP="008C54E8">
      <w:pPr>
        <w:snapToGrid w:val="0"/>
        <w:spacing w:line="360" w:lineRule="auto"/>
        <w:jc w:val="both"/>
        <w:rPr>
          <w:rFonts w:ascii="Book Antiqua" w:hAnsi="Book Antiqua"/>
          <w:color w:val="000000"/>
        </w:rPr>
      </w:pPr>
    </w:p>
    <w:p w14:paraId="64D88C5A" w14:textId="77777777" w:rsidR="000956E5" w:rsidRPr="00872B32" w:rsidRDefault="000956E5" w:rsidP="008C54E8">
      <w:pPr>
        <w:snapToGrid w:val="0"/>
        <w:spacing w:line="360" w:lineRule="auto"/>
        <w:jc w:val="both"/>
        <w:rPr>
          <w:rFonts w:ascii="Book Antiqua" w:hAnsi="Book Antiqua"/>
          <w:i/>
          <w:color w:val="000000"/>
        </w:rPr>
      </w:pPr>
      <w:r w:rsidRPr="00872B32">
        <w:rPr>
          <w:rFonts w:ascii="Book Antiqua" w:hAnsi="Book Antiqua"/>
          <w:b/>
          <w:i/>
          <w:color w:val="000000"/>
        </w:rPr>
        <w:t>Which are the gender-specific pathways of the physiological interaction between the Trx1/CD30 in the control of the redox-immune homeostasis</w:t>
      </w:r>
      <w:r w:rsidRPr="00872B32">
        <w:rPr>
          <w:rFonts w:ascii="Book Antiqua" w:hAnsi="Book Antiqua"/>
          <w:i/>
          <w:color w:val="000000"/>
        </w:rPr>
        <w:t xml:space="preserve"> </w:t>
      </w:r>
      <w:r w:rsidRPr="00872B32">
        <w:rPr>
          <w:rFonts w:ascii="Book Antiqua" w:hAnsi="Book Antiqua"/>
          <w:b/>
          <w:i/>
          <w:color w:val="000000"/>
        </w:rPr>
        <w:t>during aging?</w:t>
      </w:r>
    </w:p>
    <w:p w14:paraId="628D4171" w14:textId="77777777"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t xml:space="preserve">The results of the evaluation of the effect of the gender parameter, on the interaction of the immune response network, clarify that the Trx1/CD30 controls the homeostasis of this response </w:t>
      </w:r>
      <w:r w:rsidR="00863661" w:rsidRPr="00872B32">
        <w:rPr>
          <w:rFonts w:ascii="Book Antiqua" w:hAnsi="Book Antiqua"/>
          <w:color w:val="000000"/>
        </w:rPr>
        <w:t>in both men (Figure 2</w:t>
      </w:r>
      <w:r w:rsidR="005A5E7B">
        <w:rPr>
          <w:rFonts w:ascii="Book Antiqua" w:hAnsi="Book Antiqua"/>
          <w:color w:val="000000"/>
        </w:rPr>
        <w:t>C</w:t>
      </w:r>
      <w:r w:rsidR="00B22435" w:rsidRPr="00BA0ACA">
        <w:rPr>
          <w:rFonts w:ascii="Book Antiqua" w:eastAsia="宋体" w:hAnsi="Book Antiqua" w:hint="eastAsia"/>
          <w:color w:val="000000"/>
          <w:lang w:eastAsia="zh-CN"/>
        </w:rPr>
        <w:t xml:space="preserve"> and </w:t>
      </w:r>
      <w:r w:rsidR="005A5E7B">
        <w:rPr>
          <w:rFonts w:ascii="Book Antiqua" w:hAnsi="Book Antiqua"/>
          <w:color w:val="000000"/>
        </w:rPr>
        <w:t>D</w:t>
      </w:r>
      <w:r w:rsidR="00863661" w:rsidRPr="00872B32">
        <w:rPr>
          <w:rFonts w:ascii="Book Antiqua" w:hAnsi="Book Antiqua"/>
          <w:color w:val="000000"/>
        </w:rPr>
        <w:t>) and women</w:t>
      </w:r>
      <w:r w:rsidRPr="00872B32">
        <w:rPr>
          <w:rFonts w:ascii="Book Antiqua" w:hAnsi="Book Antiqua"/>
          <w:color w:val="000000"/>
        </w:rPr>
        <w:t xml:space="preserve">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E</w:t>
      </w:r>
      <w:r w:rsidR="00B22435" w:rsidRPr="00BA0ACA">
        <w:rPr>
          <w:rFonts w:ascii="Book Antiqua" w:eastAsia="宋体" w:hAnsi="Book Antiqua" w:hint="eastAsia"/>
          <w:color w:val="000000"/>
          <w:lang w:eastAsia="zh-CN"/>
        </w:rPr>
        <w:t xml:space="preserve"> </w:t>
      </w:r>
      <w:r w:rsidR="00B22435" w:rsidRPr="00B22435">
        <w:rPr>
          <w:rFonts w:ascii="Book Antiqua" w:eastAsia="宋体" w:hAnsi="Book Antiqua" w:hint="eastAsia"/>
          <w:color w:val="000000"/>
          <w:lang w:eastAsia="zh-CN"/>
        </w:rPr>
        <w:t>and</w:t>
      </w:r>
      <w:r w:rsidR="00B22435">
        <w:rPr>
          <w:rFonts w:ascii="Book Antiqua" w:hAnsi="Book Antiqua"/>
          <w:color w:val="000000"/>
        </w:rPr>
        <w:t xml:space="preserve"> </w:t>
      </w:r>
      <w:r w:rsidR="005A5E7B">
        <w:rPr>
          <w:rFonts w:ascii="Book Antiqua" w:hAnsi="Book Antiqua"/>
          <w:color w:val="000000"/>
        </w:rPr>
        <w:t>F</w:t>
      </w:r>
      <w:r w:rsidRPr="00872B32">
        <w:rPr>
          <w:rFonts w:ascii="Book Antiqua" w:hAnsi="Book Antiqua"/>
          <w:color w:val="000000"/>
        </w:rPr>
        <w:t>). Moreover, we can confirm that this regulation follows gender-specific pathways.</w:t>
      </w:r>
    </w:p>
    <w:p w14:paraId="601489B4" w14:textId="0B78B6D4"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lastRenderedPageBreak/>
        <w:t>We found that for both genders the direct and close relationship between Trx1/RTrx1 and of this one with TGF</w:t>
      </w:r>
      <w:r w:rsidR="007F0E62" w:rsidRPr="00872B32">
        <w:rPr>
          <w:rFonts w:ascii="Book Antiqua" w:hAnsi="Book Antiqua"/>
          <w:color w:val="000000"/>
        </w:rPr>
        <w:t>β</w:t>
      </w:r>
      <w:r w:rsidRPr="00872B32">
        <w:rPr>
          <w:rFonts w:ascii="Book Antiqua" w:hAnsi="Book Antiqua"/>
          <w:color w:val="000000"/>
        </w:rPr>
        <w:t xml:space="preserve"> are equally important. However</w:t>
      </w:r>
      <w:r w:rsidR="00F55280">
        <w:rPr>
          <w:rFonts w:ascii="Book Antiqua" w:hAnsi="Book Antiqua"/>
          <w:color w:val="000000"/>
        </w:rPr>
        <w:t>,</w:t>
      </w:r>
      <w:r w:rsidRPr="00872B32">
        <w:rPr>
          <w:rFonts w:ascii="Book Antiqua" w:hAnsi="Book Antiqua"/>
          <w:color w:val="000000"/>
        </w:rPr>
        <w:t xml:space="preserve"> the female group shows a primary correlation of TGF</w:t>
      </w:r>
      <w:r w:rsidR="007F0E62" w:rsidRPr="00872B32">
        <w:rPr>
          <w:rFonts w:ascii="Book Antiqua" w:hAnsi="Book Antiqua"/>
          <w:color w:val="000000"/>
        </w:rPr>
        <w:t>β</w:t>
      </w:r>
      <w:r w:rsidR="00EB45A3" w:rsidRPr="00872B32">
        <w:rPr>
          <w:rFonts w:ascii="Book Antiqua" w:hAnsi="Book Antiqua"/>
          <w:color w:val="000000"/>
        </w:rPr>
        <w:t xml:space="preserve"> </w:t>
      </w:r>
      <w:r w:rsidRPr="00872B32">
        <w:rPr>
          <w:rFonts w:ascii="Book Antiqua" w:hAnsi="Book Antiqua"/>
          <w:color w:val="000000"/>
        </w:rPr>
        <w:t>with Trx1 (</w:t>
      </w:r>
      <w:r w:rsidR="002A074A" w:rsidRPr="00872B32">
        <w:rPr>
          <w:rFonts w:ascii="Book Antiqua" w:hAnsi="Book Antiqua"/>
          <w:color w:val="000000"/>
        </w:rPr>
        <w:t>Figure</w:t>
      </w:r>
      <w:r w:rsidRPr="00872B32">
        <w:rPr>
          <w:rFonts w:ascii="Book Antiqua" w:hAnsi="Book Antiqua"/>
          <w:color w:val="000000"/>
        </w:rPr>
        <w:t xml:space="preserve"> 2</w:t>
      </w:r>
      <w:r w:rsidR="007E4360">
        <w:rPr>
          <w:rFonts w:ascii="Book Antiqua" w:hAnsi="Book Antiqua"/>
          <w:color w:val="000000"/>
        </w:rPr>
        <w:t>E</w:t>
      </w:r>
      <w:r w:rsidRPr="00872B32">
        <w:rPr>
          <w:rFonts w:ascii="Book Antiqua" w:hAnsi="Book Antiqua"/>
          <w:color w:val="000000"/>
        </w:rPr>
        <w:t>), while for the male one it is between TGF</w:t>
      </w:r>
      <w:r w:rsidR="007F0E62" w:rsidRPr="00872B32">
        <w:rPr>
          <w:rFonts w:ascii="Book Antiqua" w:hAnsi="Book Antiqua"/>
          <w:color w:val="000000"/>
        </w:rPr>
        <w:t>β</w:t>
      </w:r>
      <w:r w:rsidRPr="00872B32">
        <w:rPr>
          <w:rFonts w:ascii="Book Antiqua" w:hAnsi="Book Antiqua"/>
          <w:color w:val="000000"/>
        </w:rPr>
        <w:t xml:space="preserve"> and RTrx1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C</w:t>
      </w:r>
      <w:r w:rsidRPr="00872B32">
        <w:rPr>
          <w:rFonts w:ascii="Book Antiqua" w:hAnsi="Book Antiqua"/>
          <w:color w:val="000000"/>
        </w:rPr>
        <w:t>). In addition, in both genders the level of sCD30 shows a correlation with the level of IL10, which is a cytokine very important for immune response homeosta</w:t>
      </w:r>
      <w:r w:rsidR="00876428" w:rsidRPr="00872B32">
        <w:rPr>
          <w:rFonts w:ascii="Book Antiqua" w:hAnsi="Book Antiqua"/>
          <w:color w:val="000000"/>
        </w:rPr>
        <w:t>s</w:t>
      </w:r>
      <w:r w:rsidRPr="00872B32">
        <w:rPr>
          <w:rFonts w:ascii="Book Antiqua" w:hAnsi="Book Antiqua"/>
          <w:color w:val="000000"/>
        </w:rPr>
        <w:t>is. Our results showed that the correlation is positive in the male group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C</w:t>
      </w:r>
      <w:r w:rsidRPr="00872B32">
        <w:rPr>
          <w:rFonts w:ascii="Book Antiqua" w:hAnsi="Book Antiqua"/>
          <w:color w:val="000000"/>
        </w:rPr>
        <w:t>) and negative in the female one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E</w:t>
      </w:r>
      <w:r w:rsidRPr="00872B32">
        <w:rPr>
          <w:rFonts w:ascii="Book Antiqua" w:hAnsi="Book Antiqua"/>
          <w:color w:val="000000"/>
        </w:rPr>
        <w:t>).</w:t>
      </w:r>
      <w:r w:rsidR="00C808A0" w:rsidRPr="00872B32">
        <w:rPr>
          <w:rFonts w:ascii="Book Antiqua" w:hAnsi="Book Antiqua"/>
          <w:color w:val="000000"/>
        </w:rPr>
        <w:t xml:space="preserve"> </w:t>
      </w:r>
    </w:p>
    <w:p w14:paraId="0EF3AFAF" w14:textId="526FC322"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Our data reveal that aging in the female group directly influences the Trx1/RTrx1 relationship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F</w:t>
      </w:r>
      <w:r w:rsidRPr="00872B32">
        <w:rPr>
          <w:rFonts w:ascii="Book Antiqua" w:hAnsi="Book Antiqua"/>
          <w:color w:val="000000"/>
        </w:rPr>
        <w:t>, the respective vectors have the same direction and the age vector is located between the other vectors). In the male group, this effect was indirectly obtained through the sCD30 molecule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D</w:t>
      </w:r>
      <w:r w:rsidRPr="00872B32">
        <w:rPr>
          <w:rFonts w:ascii="Book Antiqua" w:hAnsi="Book Antiqua"/>
          <w:color w:val="000000"/>
        </w:rPr>
        <w:t>, the aging vector has exactly the opposite direction of sCD30). In addition to this, IL2 regulates the interaction between IFN</w:t>
      </w:r>
      <w:r w:rsidR="0052129C" w:rsidRPr="00872B32">
        <w:rPr>
          <w:rFonts w:ascii="Book Antiqua" w:hAnsi="Book Antiqua"/>
          <w:color w:val="000000"/>
        </w:rPr>
        <w:sym w:font="Symbol" w:char="F067"/>
      </w:r>
      <w:r w:rsidR="007C3132" w:rsidRPr="00872B32">
        <w:rPr>
          <w:rFonts w:ascii="Book Antiqua" w:hAnsi="Book Antiqua"/>
          <w:color w:val="000000"/>
        </w:rPr>
        <w:t xml:space="preserve"> </w:t>
      </w:r>
      <w:r w:rsidRPr="00872B32">
        <w:rPr>
          <w:rFonts w:ascii="Book Antiqua" w:hAnsi="Book Antiqua"/>
          <w:color w:val="000000"/>
        </w:rPr>
        <w:t>and IL4 in the male group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D</w:t>
      </w:r>
      <w:r w:rsidRPr="00872B32">
        <w:rPr>
          <w:rFonts w:ascii="Book Antiqua" w:hAnsi="Book Antiqua"/>
          <w:color w:val="000000"/>
        </w:rPr>
        <w:t>) and TGF</w:t>
      </w:r>
      <w:r w:rsidR="0052129C" w:rsidRPr="00872B32">
        <w:rPr>
          <w:rFonts w:ascii="Book Antiqua" w:hAnsi="Book Antiqua"/>
          <w:color w:val="000000"/>
        </w:rPr>
        <w:t>β</w:t>
      </w:r>
      <w:r w:rsidRPr="00872B32">
        <w:rPr>
          <w:rFonts w:ascii="Book Antiqua" w:hAnsi="Book Antiqua"/>
          <w:color w:val="000000"/>
        </w:rPr>
        <w:t xml:space="preserve"> and IL10 in the female group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F</w:t>
      </w:r>
      <w:r w:rsidRPr="00872B32">
        <w:rPr>
          <w:rFonts w:ascii="Book Antiqua" w:hAnsi="Book Antiqua"/>
          <w:color w:val="000000"/>
        </w:rPr>
        <w:t>). The respective vectors have the same direction</w:t>
      </w:r>
      <w:r w:rsidR="00780B8D">
        <w:rPr>
          <w:rFonts w:ascii="Book Antiqua" w:hAnsi="Book Antiqua"/>
          <w:color w:val="000000"/>
        </w:rPr>
        <w:t>,</w:t>
      </w:r>
      <w:r w:rsidRPr="00872B32">
        <w:rPr>
          <w:rFonts w:ascii="Book Antiqua" w:hAnsi="Book Antiqua"/>
          <w:color w:val="000000"/>
        </w:rPr>
        <w:t xml:space="preserve"> and the IL2 vector is located between the other two.</w:t>
      </w:r>
    </w:p>
    <w:p w14:paraId="35A798A1" w14:textId="249DBF01"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In the matrix of coefficient correlations</w:t>
      </w:r>
      <w:r w:rsidR="00780B8D">
        <w:rPr>
          <w:rFonts w:ascii="Book Antiqua" w:hAnsi="Book Antiqua"/>
          <w:color w:val="000000"/>
        </w:rPr>
        <w:t>,</w:t>
      </w:r>
      <w:r w:rsidRPr="00872B32">
        <w:rPr>
          <w:rFonts w:ascii="Book Antiqua" w:hAnsi="Book Antiqua"/>
          <w:color w:val="000000"/>
        </w:rPr>
        <w:t xml:space="preserve"> there are the following positive </w:t>
      </w:r>
      <w:r w:rsidR="00863661" w:rsidRPr="00872B32">
        <w:rPr>
          <w:rFonts w:ascii="Book Antiqua" w:hAnsi="Book Antiqua"/>
          <w:color w:val="000000"/>
        </w:rPr>
        <w:t>correlations between</w:t>
      </w:r>
      <w:r w:rsidRPr="00872B32">
        <w:rPr>
          <w:rFonts w:ascii="Book Antiqua" w:hAnsi="Book Antiqua"/>
          <w:color w:val="000000"/>
        </w:rPr>
        <w:t xml:space="preserve"> Trx1 and RTrx1 (r</w:t>
      </w:r>
      <w:r w:rsidR="002A19D7" w:rsidRPr="00872B32">
        <w:rPr>
          <w:rFonts w:ascii="Book Antiqua" w:hAnsi="Book Antiqua"/>
          <w:color w:val="000000"/>
        </w:rPr>
        <w:t xml:space="preserve"> </w:t>
      </w:r>
      <w:r w:rsidR="006477C9"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0.75, </w:t>
      </w:r>
      <w:r w:rsidR="00B3255D" w:rsidRPr="00872B32">
        <w:rPr>
          <w:rFonts w:ascii="Book Antiqua" w:hAnsi="Book Antiqua"/>
          <w:i/>
          <w:color w:val="000000"/>
        </w:rPr>
        <w:t>P</w:t>
      </w:r>
      <w:r w:rsidR="002A19D7" w:rsidRPr="00872B32">
        <w:rPr>
          <w:rFonts w:ascii="Book Antiqua" w:hAnsi="Book Antiqua"/>
          <w:i/>
          <w:color w:val="000000"/>
        </w:rPr>
        <w:t xml:space="preserve"> </w:t>
      </w:r>
      <w:r w:rsidR="006477C9"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0.00001), Trx1 and RTrx1 with IL10 (r</w:t>
      </w:r>
      <w:r w:rsidR="002A19D7" w:rsidRPr="00872B32">
        <w:rPr>
          <w:rFonts w:ascii="Book Antiqua" w:hAnsi="Book Antiqua"/>
          <w:color w:val="000000"/>
        </w:rPr>
        <w:t xml:space="preserve"> = </w:t>
      </w:r>
      <w:r w:rsidRPr="00872B32">
        <w:rPr>
          <w:rFonts w:ascii="Book Antiqua" w:hAnsi="Book Antiqua"/>
          <w:color w:val="000000"/>
        </w:rPr>
        <w:t xml:space="preserve">0.54,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0.0023), Trx1 and RTrx1 with IL6 (r</w:t>
      </w:r>
      <w:r w:rsidR="002A19D7" w:rsidRPr="00872B32">
        <w:rPr>
          <w:rFonts w:ascii="Book Antiqua" w:hAnsi="Book Antiqua"/>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0.51,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0.0036) in the female </w:t>
      </w:r>
      <w:r w:rsidR="00863661" w:rsidRPr="00872B32">
        <w:rPr>
          <w:rFonts w:ascii="Book Antiqua" w:hAnsi="Book Antiqua"/>
          <w:color w:val="000000"/>
        </w:rPr>
        <w:t>group and</w:t>
      </w:r>
      <w:r w:rsidRPr="00872B32">
        <w:rPr>
          <w:rFonts w:ascii="Book Antiqua" w:hAnsi="Book Antiqua"/>
          <w:color w:val="000000"/>
        </w:rPr>
        <w:t xml:space="preserve"> b</w:t>
      </w:r>
      <w:r w:rsidR="00B3255D" w:rsidRPr="00872B32">
        <w:rPr>
          <w:rFonts w:ascii="Book Antiqua" w:hAnsi="Book Antiqua"/>
          <w:color w:val="000000"/>
        </w:rPr>
        <w:t>etween Trx1 and IL10 (r</w:t>
      </w:r>
      <w:r w:rsidR="002A19D7" w:rsidRPr="00872B32">
        <w:rPr>
          <w:rFonts w:ascii="Book Antiqua" w:hAnsi="Book Antiqua"/>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00B3255D" w:rsidRPr="00872B32">
        <w:rPr>
          <w:rFonts w:ascii="Book Antiqua" w:hAnsi="Book Antiqua"/>
          <w:color w:val="000000"/>
        </w:rPr>
        <w:t xml:space="preserve">0.74,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0.00001) in the male group.</w:t>
      </w:r>
    </w:p>
    <w:p w14:paraId="799719F9" w14:textId="310A9631" w:rsidR="000956E5" w:rsidRPr="00872B32" w:rsidRDefault="00B3255D"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The age in the male group </w:t>
      </w:r>
      <w:r w:rsidR="000956E5" w:rsidRPr="00872B32">
        <w:rPr>
          <w:rFonts w:ascii="Book Antiqua" w:hAnsi="Book Antiqua"/>
          <w:color w:val="000000"/>
        </w:rPr>
        <w:t>is negatively related to sCD30 (r</w:t>
      </w:r>
      <w:r w:rsidR="002A19D7" w:rsidRPr="00872B32">
        <w:rPr>
          <w:rFonts w:ascii="Book Antiqua" w:hAnsi="Book Antiqua"/>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0.61, </w:t>
      </w:r>
      <w:r w:rsidRPr="00872B32">
        <w:rPr>
          <w:rFonts w:ascii="Book Antiqua" w:hAnsi="Book Antiqua"/>
          <w:i/>
          <w:color w:val="000000"/>
        </w:rPr>
        <w:t>P</w:t>
      </w:r>
      <w:r w:rsidR="002A19D7" w:rsidRPr="00872B32">
        <w:rPr>
          <w:rFonts w:ascii="Book Antiqua" w:hAnsi="Book Antiqua"/>
          <w:i/>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0956E5" w:rsidRPr="00872B32">
        <w:rPr>
          <w:rFonts w:ascii="Book Antiqua" w:hAnsi="Book Antiqua"/>
          <w:color w:val="000000"/>
        </w:rPr>
        <w:t>0.031) and positively to IFN</w:t>
      </w:r>
      <w:r w:rsidR="0052129C" w:rsidRPr="00872B32">
        <w:rPr>
          <w:rFonts w:ascii="Book Antiqua" w:hAnsi="Book Antiqua"/>
          <w:color w:val="000000"/>
        </w:rPr>
        <w:sym w:font="Symbol" w:char="F067"/>
      </w:r>
      <w:r w:rsidR="007C3132" w:rsidRPr="00872B32">
        <w:rPr>
          <w:rFonts w:ascii="Book Antiqua" w:hAnsi="Book Antiqua"/>
          <w:color w:val="000000"/>
        </w:rPr>
        <w:t xml:space="preserve"> </w:t>
      </w:r>
      <w:r w:rsidR="000956E5" w:rsidRPr="00872B32">
        <w:rPr>
          <w:rFonts w:ascii="Book Antiqua" w:hAnsi="Book Antiqua"/>
          <w:color w:val="000000"/>
        </w:rPr>
        <w:t>(r</w:t>
      </w:r>
      <w:r w:rsidR="002A19D7" w:rsidRPr="00872B32">
        <w:rPr>
          <w:rFonts w:ascii="Book Antiqua" w:hAnsi="Book Antiqua"/>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0956E5" w:rsidRPr="00872B32">
        <w:rPr>
          <w:rFonts w:ascii="Book Antiqua" w:hAnsi="Book Antiqua"/>
          <w:color w:val="000000"/>
        </w:rPr>
        <w:t xml:space="preserve">0.85,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0.0002</w:t>
      </w:r>
      <w:r w:rsidRPr="00872B32">
        <w:rPr>
          <w:rFonts w:ascii="Book Antiqua" w:hAnsi="Book Antiqua"/>
          <w:color w:val="000000"/>
        </w:rPr>
        <w:t>) and sIL2R (r</w:t>
      </w:r>
      <w:r w:rsidR="002A19D7" w:rsidRPr="00872B32">
        <w:rPr>
          <w:rFonts w:ascii="Book Antiqua" w:hAnsi="Book Antiqua"/>
          <w:color w:val="000000"/>
        </w:rPr>
        <w:t xml:space="preserve"> </w:t>
      </w:r>
      <w:r w:rsidRPr="00872B32">
        <w:rPr>
          <w:rFonts w:ascii="Book Antiqua" w:hAnsi="Book Antiqua"/>
          <w:color w:val="000000"/>
        </w:rPr>
        <w:t xml:space="preserve">= 0.72, </w:t>
      </w:r>
      <w:r w:rsidR="002A19D7" w:rsidRPr="00872B32">
        <w:rPr>
          <w:rFonts w:ascii="Book Antiqua" w:hAnsi="Book Antiqua"/>
          <w:i/>
          <w:color w:val="000000"/>
        </w:rPr>
        <w:t>P</w:t>
      </w:r>
      <w:r w:rsidR="002A19D7" w:rsidRPr="00872B32">
        <w:rPr>
          <w:rFonts w:ascii="Book Antiqua" w:hAnsi="Book Antiqua"/>
          <w:color w:val="000000"/>
        </w:rPr>
        <w:t xml:space="preserve"> =</w:t>
      </w:r>
      <w:r w:rsidRPr="00872B32">
        <w:rPr>
          <w:rFonts w:ascii="Book Antiqua" w:hAnsi="Book Antiqua"/>
          <w:color w:val="000000"/>
        </w:rPr>
        <w:t xml:space="preserve"> 0.0055). </w:t>
      </w:r>
      <w:r w:rsidR="00157F2D" w:rsidRPr="00526FCE">
        <w:rPr>
          <w:rFonts w:ascii="Book Antiqua" w:eastAsia="宋体" w:hAnsi="Book Antiqua" w:hint="eastAsia"/>
          <w:color w:val="000000"/>
          <w:lang w:eastAsia="zh-CN"/>
        </w:rPr>
        <w:t xml:space="preserve"> </w:t>
      </w:r>
      <w:r w:rsidRPr="00872B32">
        <w:rPr>
          <w:rFonts w:ascii="Book Antiqua" w:hAnsi="Book Antiqua"/>
          <w:color w:val="000000"/>
        </w:rPr>
        <w:t>I</w:t>
      </w:r>
      <w:r w:rsidR="000956E5" w:rsidRPr="00872B32">
        <w:rPr>
          <w:rFonts w:ascii="Book Antiqua" w:hAnsi="Book Antiqua"/>
          <w:color w:val="000000"/>
        </w:rPr>
        <w:t xml:space="preserve">n the female group, it is positively </w:t>
      </w:r>
      <w:r w:rsidR="00B42202" w:rsidRPr="00872B32">
        <w:rPr>
          <w:rFonts w:ascii="Book Antiqua" w:hAnsi="Book Antiqua"/>
          <w:color w:val="000000"/>
        </w:rPr>
        <w:t>associat</w:t>
      </w:r>
      <w:r w:rsidR="000956E5" w:rsidRPr="00872B32">
        <w:rPr>
          <w:rFonts w:ascii="Book Antiqua" w:hAnsi="Book Antiqua"/>
          <w:color w:val="000000"/>
        </w:rPr>
        <w:t>ed</w:t>
      </w:r>
      <w:r w:rsidR="00B42202" w:rsidRPr="00872B32">
        <w:rPr>
          <w:rFonts w:ascii="Book Antiqua" w:hAnsi="Book Antiqua"/>
          <w:color w:val="000000"/>
        </w:rPr>
        <w:t xml:space="preserve"> </w:t>
      </w:r>
      <w:r w:rsidR="000956E5" w:rsidRPr="00872B32">
        <w:rPr>
          <w:rFonts w:ascii="Book Antiqua" w:hAnsi="Book Antiqua"/>
          <w:color w:val="000000"/>
        </w:rPr>
        <w:t>to sCD30 (r</w:t>
      </w:r>
      <w:r w:rsidR="002A19D7" w:rsidRPr="00872B32">
        <w:rPr>
          <w:rFonts w:ascii="Book Antiqua" w:hAnsi="Book Antiqua"/>
          <w:color w:val="000000"/>
        </w:rPr>
        <w:t xml:space="preserve"> =</w:t>
      </w:r>
      <w:r w:rsidR="000956E5" w:rsidRPr="00872B32">
        <w:rPr>
          <w:rFonts w:ascii="Book Antiqua" w:hAnsi="Book Antiqua"/>
          <w:color w:val="000000"/>
        </w:rPr>
        <w:t xml:space="preserve"> 0.58,</w:t>
      </w:r>
      <w:r w:rsidR="00C808A0" w:rsidRPr="00872B32">
        <w:rPr>
          <w:rFonts w:ascii="Book Antiqua" w:hAnsi="Book Antiqua"/>
          <w:color w:val="000000"/>
        </w:rPr>
        <w:t xml:space="preserve">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0.00001), Trx1 (r</w:t>
      </w:r>
      <w:r w:rsidR="002A19D7" w:rsidRPr="00872B32">
        <w:rPr>
          <w:rFonts w:ascii="Book Antiqua" w:hAnsi="Book Antiqua"/>
          <w:color w:val="000000"/>
        </w:rPr>
        <w:t xml:space="preserve"> =</w:t>
      </w:r>
      <w:r w:rsidR="000956E5" w:rsidRPr="00872B32">
        <w:rPr>
          <w:rFonts w:ascii="Book Antiqua" w:hAnsi="Book Antiqua"/>
          <w:color w:val="000000"/>
        </w:rPr>
        <w:t xml:space="preserve"> 0.63,</w:t>
      </w:r>
      <w:r w:rsidR="00C808A0" w:rsidRPr="00872B32">
        <w:rPr>
          <w:rFonts w:ascii="Book Antiqua" w:hAnsi="Book Antiqua"/>
          <w:color w:val="000000"/>
        </w:rPr>
        <w:t xml:space="preserve">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0.0004), RTrx1 (r</w:t>
      </w:r>
      <w:r w:rsidR="002A19D7" w:rsidRPr="00872B32">
        <w:rPr>
          <w:rFonts w:ascii="Book Antiqua" w:hAnsi="Book Antiqua"/>
          <w:color w:val="000000"/>
        </w:rPr>
        <w:t xml:space="preserve"> =</w:t>
      </w:r>
      <w:r w:rsidR="000956E5" w:rsidRPr="00872B32">
        <w:rPr>
          <w:rFonts w:ascii="Book Antiqua" w:hAnsi="Book Antiqua"/>
          <w:color w:val="000000"/>
        </w:rPr>
        <w:t xml:space="preserve"> 0.53,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0.0001), IL6 (r</w:t>
      </w:r>
      <w:r w:rsidR="002A19D7" w:rsidRPr="00872B32">
        <w:rPr>
          <w:rFonts w:ascii="Book Antiqua" w:hAnsi="Book Antiqua"/>
          <w:color w:val="000000"/>
        </w:rPr>
        <w:t xml:space="preserve"> =</w:t>
      </w:r>
      <w:r w:rsidR="000956E5" w:rsidRPr="00872B32">
        <w:rPr>
          <w:rFonts w:ascii="Book Antiqua" w:hAnsi="Book Antiqua"/>
          <w:color w:val="000000"/>
        </w:rPr>
        <w:t xml:space="preserve"> 0.42,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0.018), IL10 (r</w:t>
      </w:r>
      <w:r w:rsidR="002A19D7" w:rsidRPr="00872B32">
        <w:rPr>
          <w:rFonts w:ascii="Book Antiqua" w:hAnsi="Book Antiqua"/>
          <w:color w:val="000000"/>
        </w:rPr>
        <w:t xml:space="preserve"> =</w:t>
      </w:r>
      <w:r w:rsidR="000956E5" w:rsidRPr="00872B32">
        <w:rPr>
          <w:rFonts w:ascii="Book Antiqua" w:hAnsi="Book Antiqua"/>
          <w:color w:val="000000"/>
        </w:rPr>
        <w:t xml:space="preserve"> 0.64,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0.0003) but also to IL2 (r </w:t>
      </w:r>
      <w:r w:rsidR="002A19D7" w:rsidRPr="00872B32">
        <w:rPr>
          <w:rFonts w:ascii="Book Antiqua" w:hAnsi="Book Antiqua"/>
          <w:color w:val="000000"/>
        </w:rPr>
        <w:t xml:space="preserve">= </w:t>
      </w:r>
      <w:r w:rsidR="000956E5" w:rsidRPr="00872B32">
        <w:rPr>
          <w:rFonts w:ascii="Book Antiqua" w:hAnsi="Book Antiqua"/>
          <w:color w:val="000000"/>
        </w:rPr>
        <w:t xml:space="preserve">0.27,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0.0089) and negatively to IL4 (r</w:t>
      </w:r>
      <w:r w:rsidR="002A19D7" w:rsidRPr="00872B32">
        <w:rPr>
          <w:rFonts w:ascii="Book Antiqua" w:hAnsi="Book Antiqua"/>
          <w:color w:val="000000"/>
        </w:rPr>
        <w:t xml:space="preserve"> =</w:t>
      </w:r>
      <w:r w:rsidR="000956E5"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0.58, </w:t>
      </w:r>
      <w:r w:rsidR="002A19D7" w:rsidRPr="00872B32">
        <w:rPr>
          <w:rFonts w:ascii="Book Antiqua" w:hAnsi="Book Antiqua"/>
          <w:i/>
          <w:color w:val="000000"/>
        </w:rPr>
        <w:t>P</w:t>
      </w:r>
      <w:r w:rsidR="002A19D7" w:rsidRPr="00872B32">
        <w:rPr>
          <w:rFonts w:ascii="Book Antiqua" w:hAnsi="Book Antiqua"/>
          <w:color w:val="000000"/>
        </w:rPr>
        <w:t xml:space="preserve"> = </w:t>
      </w:r>
      <w:r w:rsidR="000956E5" w:rsidRPr="00872B32">
        <w:rPr>
          <w:rFonts w:ascii="Book Antiqua" w:hAnsi="Book Antiqua"/>
          <w:color w:val="000000"/>
        </w:rPr>
        <w:t>0.0004), sIL2R (r</w:t>
      </w:r>
      <w:r w:rsidR="002A19D7" w:rsidRPr="00872B32">
        <w:rPr>
          <w:rFonts w:ascii="Book Antiqua" w:hAnsi="Book Antiqua"/>
          <w:color w:val="000000"/>
        </w:rPr>
        <w:t xml:space="preserve"> =</w:t>
      </w:r>
      <w:r w:rsidR="000956E5"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0.39, </w:t>
      </w:r>
      <w:r w:rsidR="002A19D7" w:rsidRPr="00872B32">
        <w:rPr>
          <w:rFonts w:ascii="Book Antiqua" w:hAnsi="Book Antiqua"/>
          <w:i/>
          <w:color w:val="000000"/>
        </w:rPr>
        <w:t>P</w:t>
      </w:r>
      <w:r w:rsidR="002A19D7" w:rsidRPr="00872B32">
        <w:rPr>
          <w:rFonts w:ascii="Book Antiqua" w:hAnsi="Book Antiqua"/>
          <w:color w:val="000000"/>
        </w:rPr>
        <w:t xml:space="preserve"> = </w:t>
      </w:r>
      <w:r w:rsidR="000956E5" w:rsidRPr="00872B32">
        <w:rPr>
          <w:rFonts w:ascii="Book Antiqua" w:hAnsi="Book Antiqua"/>
          <w:color w:val="000000"/>
        </w:rPr>
        <w:t>0.026) and sIL6R (r</w:t>
      </w:r>
      <w:r w:rsidR="002A19D7" w:rsidRPr="00872B32">
        <w:rPr>
          <w:rFonts w:ascii="Book Antiqua" w:hAnsi="Book Antiqua"/>
          <w:color w:val="000000"/>
        </w:rPr>
        <w:t xml:space="preserve"> = </w:t>
      </w:r>
      <w:r w:rsidR="0052129C" w:rsidRPr="00872B32">
        <w:rPr>
          <w:rFonts w:ascii="Book Antiqua" w:hAnsi="Book Antiqua"/>
          <w:color w:val="000000"/>
        </w:rPr>
        <w:t>-</w:t>
      </w:r>
      <w:r w:rsidR="000956E5" w:rsidRPr="00872B32">
        <w:rPr>
          <w:rFonts w:ascii="Book Antiqua" w:hAnsi="Book Antiqua"/>
          <w:color w:val="000000"/>
        </w:rPr>
        <w:t xml:space="preserve">0.40,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0.019).</w:t>
      </w:r>
    </w:p>
    <w:p w14:paraId="34CC5C38" w14:textId="77777777" w:rsidR="003B60E5" w:rsidRPr="00872B32" w:rsidRDefault="003B60E5" w:rsidP="008C54E8">
      <w:pPr>
        <w:snapToGrid w:val="0"/>
        <w:spacing w:line="360" w:lineRule="auto"/>
        <w:jc w:val="both"/>
        <w:rPr>
          <w:rFonts w:ascii="Book Antiqua" w:hAnsi="Book Antiqua"/>
          <w:color w:val="000000"/>
        </w:rPr>
      </w:pPr>
    </w:p>
    <w:p w14:paraId="1EFAA670" w14:textId="7E30B1F6" w:rsidR="000956E5" w:rsidRPr="00872B32" w:rsidRDefault="000956E5" w:rsidP="008C54E8">
      <w:pPr>
        <w:snapToGrid w:val="0"/>
        <w:spacing w:line="360" w:lineRule="auto"/>
        <w:jc w:val="both"/>
        <w:rPr>
          <w:rFonts w:ascii="Book Antiqua" w:hAnsi="Book Antiqua"/>
          <w:b/>
          <w:i/>
          <w:color w:val="000000"/>
        </w:rPr>
      </w:pPr>
      <w:r w:rsidRPr="00872B32">
        <w:rPr>
          <w:rFonts w:ascii="Book Antiqua" w:hAnsi="Book Antiqua"/>
          <w:b/>
          <w:i/>
          <w:color w:val="000000"/>
        </w:rPr>
        <w:t xml:space="preserve">The unbalance of the </w:t>
      </w:r>
      <w:r w:rsidR="00780B8D">
        <w:rPr>
          <w:rFonts w:ascii="Book Antiqua" w:hAnsi="Book Antiqua"/>
          <w:b/>
          <w:i/>
          <w:color w:val="000000"/>
        </w:rPr>
        <w:t>above</w:t>
      </w:r>
      <w:r w:rsidR="00780B8D" w:rsidRPr="00872B32">
        <w:rPr>
          <w:rFonts w:ascii="Book Antiqua" w:hAnsi="Book Antiqua"/>
          <w:b/>
          <w:i/>
          <w:color w:val="000000"/>
        </w:rPr>
        <w:t xml:space="preserve"> </w:t>
      </w:r>
      <w:r w:rsidRPr="00872B32">
        <w:rPr>
          <w:rFonts w:ascii="Book Antiqua" w:hAnsi="Book Antiqua"/>
          <w:b/>
          <w:i/>
          <w:color w:val="000000"/>
        </w:rPr>
        <w:t>described relationships is a gender-specific biomarker of the redox-immune regulation unbalance</w:t>
      </w:r>
      <w:r w:rsidR="00780B8D">
        <w:rPr>
          <w:rFonts w:ascii="Book Antiqua" w:hAnsi="Book Antiqua"/>
          <w:b/>
          <w:i/>
          <w:color w:val="000000"/>
        </w:rPr>
        <w:t>,</w:t>
      </w:r>
      <w:r w:rsidRPr="00872B32">
        <w:rPr>
          <w:rFonts w:ascii="Book Antiqua" w:hAnsi="Book Antiqua"/>
          <w:b/>
          <w:i/>
          <w:color w:val="000000"/>
        </w:rPr>
        <w:t xml:space="preserve"> and it generates cancer</w:t>
      </w:r>
    </w:p>
    <w:p w14:paraId="10CFE537" w14:textId="1EFF2DEC"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t xml:space="preserve">Our results show that the serum levels of Trx1/RTrx1, TGFβ/IL6 and TGFβ/IL4 combinations and of </w:t>
      </w:r>
      <w:r w:rsidR="00863661" w:rsidRPr="00872B32">
        <w:rPr>
          <w:rFonts w:ascii="Book Antiqua" w:hAnsi="Book Antiqua"/>
          <w:color w:val="000000"/>
        </w:rPr>
        <w:t>sCD30,</w:t>
      </w:r>
      <w:r w:rsidRPr="00872B32">
        <w:rPr>
          <w:rFonts w:ascii="Book Antiqua" w:hAnsi="Book Antiqua"/>
          <w:color w:val="000000"/>
        </w:rPr>
        <w:t xml:space="preserve"> IFN</w:t>
      </w:r>
      <w:r w:rsidR="00482BCE" w:rsidRPr="00872B32">
        <w:rPr>
          <w:rFonts w:ascii="Book Antiqua" w:hAnsi="Book Antiqua"/>
          <w:color w:val="000000"/>
        </w:rPr>
        <w:sym w:font="Symbol" w:char="F067"/>
      </w:r>
      <w:r w:rsidRPr="00872B32">
        <w:rPr>
          <w:rFonts w:ascii="Book Antiqua" w:hAnsi="Book Antiqua"/>
          <w:color w:val="000000"/>
        </w:rPr>
        <w:t xml:space="preserve"> and IL2 are gender specific biomarkers for clinical </w:t>
      </w:r>
      <w:r w:rsidRPr="00872B32">
        <w:rPr>
          <w:rFonts w:ascii="Book Antiqua" w:hAnsi="Book Antiqua"/>
          <w:color w:val="000000"/>
        </w:rPr>
        <w:lastRenderedPageBreak/>
        <w:t>screening. Indeed, in</w:t>
      </w:r>
      <w:r w:rsidR="00780B8D">
        <w:rPr>
          <w:rFonts w:ascii="Book Antiqua" w:hAnsi="Book Antiqua"/>
          <w:color w:val="000000"/>
        </w:rPr>
        <w:t xml:space="preserve"> the</w:t>
      </w:r>
      <w:r w:rsidRPr="00872B32">
        <w:rPr>
          <w:rFonts w:ascii="Book Antiqua" w:hAnsi="Book Antiqua"/>
          <w:color w:val="000000"/>
        </w:rPr>
        <w:t xml:space="preserve"> tumor condition, the relationship between the </w:t>
      </w:r>
      <w:r w:rsidR="007E6782" w:rsidRPr="00872B32">
        <w:rPr>
          <w:rFonts w:ascii="Book Antiqua" w:hAnsi="Book Antiqua"/>
          <w:color w:val="000000"/>
        </w:rPr>
        <w:t>increase</w:t>
      </w:r>
      <w:r w:rsidR="007E6782">
        <w:rPr>
          <w:rFonts w:ascii="Book Antiqua" w:hAnsi="Book Antiqua"/>
          <w:color w:val="000000"/>
        </w:rPr>
        <w:t xml:space="preserve"> of the </w:t>
      </w:r>
      <w:r w:rsidRPr="00872B32">
        <w:rPr>
          <w:rFonts w:ascii="Book Antiqua" w:hAnsi="Book Antiqua"/>
          <w:color w:val="000000"/>
        </w:rPr>
        <w:t xml:space="preserve">serum level  in Trx1/RTrx1 is no longer positive, while </w:t>
      </w:r>
      <w:r w:rsidR="00863661" w:rsidRPr="00872B32">
        <w:rPr>
          <w:rFonts w:ascii="Book Antiqua" w:hAnsi="Book Antiqua"/>
          <w:color w:val="000000"/>
        </w:rPr>
        <w:t>that between</w:t>
      </w:r>
      <w:r w:rsidRPr="00872B32">
        <w:rPr>
          <w:rFonts w:ascii="Book Antiqua" w:hAnsi="Book Antiqua"/>
          <w:color w:val="000000"/>
        </w:rPr>
        <w:t xml:space="preserve"> TGFβ/IL6 and TGFβ/IL4 is no longer negative. Furthermore, IL2 decreases whereas sCD30 increases and exceeds the ranges of the normal healthy homeostasis state.</w:t>
      </w:r>
      <w:r w:rsidR="00A7631A" w:rsidRPr="00872B32">
        <w:rPr>
          <w:rFonts w:ascii="Book Antiqua" w:hAnsi="Book Antiqua"/>
          <w:color w:val="000000"/>
        </w:rPr>
        <w:t xml:space="preserve"> </w:t>
      </w:r>
      <w:r w:rsidRPr="00872B32">
        <w:rPr>
          <w:rFonts w:ascii="Book Antiqua" w:hAnsi="Book Antiqua"/>
          <w:color w:val="000000"/>
        </w:rPr>
        <w:t>In fact, the results of the patients' group (</w:t>
      </w:r>
      <w:r w:rsidR="002A074A" w:rsidRPr="00872B32">
        <w:rPr>
          <w:rFonts w:ascii="Book Antiqua" w:hAnsi="Book Antiqua"/>
          <w:color w:val="000000"/>
        </w:rPr>
        <w:t>Figure</w:t>
      </w:r>
      <w:r w:rsidRPr="00872B32">
        <w:rPr>
          <w:rFonts w:ascii="Book Antiqua" w:hAnsi="Book Antiqua"/>
          <w:color w:val="000000"/>
        </w:rPr>
        <w:t xml:space="preserve"> 3A) and the ones of the male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C</w:t>
      </w:r>
      <w:r w:rsidRPr="00872B32">
        <w:rPr>
          <w:rFonts w:ascii="Book Antiqua" w:hAnsi="Book Antiqua"/>
          <w:color w:val="000000"/>
        </w:rPr>
        <w:t>) and female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E</w:t>
      </w:r>
      <w:r w:rsidRPr="00872B32">
        <w:rPr>
          <w:rFonts w:ascii="Book Antiqua" w:hAnsi="Book Antiqua"/>
          <w:color w:val="000000"/>
        </w:rPr>
        <w:t xml:space="preserve">) groups show that these redox immune responses are characterized by the loss of the cytokine network homeostasis and, as a consequence, of cell homeostasis. The relationships between cytokines are not the same as in the healthy state. </w:t>
      </w:r>
    </w:p>
    <w:p w14:paraId="1299303F" w14:textId="3E916A23"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Our data show that the tumor stage is related to the increased levels of TGF</w:t>
      </w:r>
      <w:r w:rsidR="00482BCE" w:rsidRPr="00872B32">
        <w:rPr>
          <w:rFonts w:ascii="Book Antiqua" w:hAnsi="Book Antiqua"/>
          <w:color w:val="000000"/>
        </w:rPr>
        <w:t>β,</w:t>
      </w:r>
      <w:r w:rsidRPr="00872B32">
        <w:rPr>
          <w:rFonts w:ascii="Book Antiqua" w:hAnsi="Book Antiqua"/>
          <w:color w:val="000000"/>
        </w:rPr>
        <w:t xml:space="preserve"> IL4, IL10 and IL6 cytokines but to the decrease in IL2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B</w:t>
      </w:r>
      <w:r w:rsidRPr="00872B32">
        <w:rPr>
          <w:rFonts w:ascii="Book Antiqua" w:hAnsi="Book Antiqua"/>
          <w:color w:val="000000"/>
        </w:rPr>
        <w:t>). The changes in Trx1/RTrx1 and sCD30 levels are biomarkers of this unbalance because the progression of the tumor stage in not related to the combined increase (or combined decrease) of both Trx1/RTrx1 levels, but only with the increase in the Trx1 level, both in the male group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D</w:t>
      </w:r>
      <w:r w:rsidRPr="00872B32">
        <w:rPr>
          <w:rFonts w:ascii="Book Antiqua" w:hAnsi="Book Antiqua"/>
          <w:color w:val="000000"/>
        </w:rPr>
        <w:t>) and the female one (</w:t>
      </w:r>
      <w:r w:rsidR="002A074A" w:rsidRPr="00872B32">
        <w:rPr>
          <w:rFonts w:ascii="Book Antiqua" w:hAnsi="Book Antiqua"/>
          <w:color w:val="000000"/>
        </w:rPr>
        <w:t>Figure</w:t>
      </w:r>
      <w:r w:rsidR="003B60E5" w:rsidRPr="00872B32">
        <w:rPr>
          <w:rFonts w:ascii="Book Antiqua" w:hAnsi="Book Antiqua"/>
          <w:color w:val="000000"/>
        </w:rPr>
        <w:t xml:space="preserve"> 3</w:t>
      </w:r>
      <w:r w:rsidR="00EF68C4">
        <w:rPr>
          <w:rFonts w:ascii="Book Antiqua" w:hAnsi="Book Antiqua"/>
          <w:color w:val="000000"/>
        </w:rPr>
        <w:t>F</w:t>
      </w:r>
      <w:r w:rsidR="003B60E5" w:rsidRPr="00872B32">
        <w:rPr>
          <w:rFonts w:ascii="Book Antiqua" w:hAnsi="Book Antiqua"/>
          <w:color w:val="000000"/>
        </w:rPr>
        <w:t xml:space="preserve">). </w:t>
      </w:r>
      <w:r w:rsidRPr="00872B32">
        <w:rPr>
          <w:rFonts w:ascii="Book Antiqua" w:hAnsi="Book Antiqua"/>
          <w:color w:val="000000"/>
        </w:rPr>
        <w:t>In fact, only the Trx1 vector is positively related to the tumor stage vector in both genders. In addition, the increase in the sCD30 level is positively related to the increase in TGF</w:t>
      </w:r>
      <w:r w:rsidR="00482BCE" w:rsidRPr="00872B32">
        <w:rPr>
          <w:rFonts w:ascii="Book Antiqua" w:hAnsi="Book Antiqua"/>
          <w:color w:val="000000"/>
        </w:rPr>
        <w:t>β</w:t>
      </w:r>
      <w:r w:rsidRPr="00872B32">
        <w:rPr>
          <w:rFonts w:ascii="Book Antiqua" w:hAnsi="Book Antiqua"/>
          <w:color w:val="000000"/>
        </w:rPr>
        <w:t xml:space="preserve">, IL4, IL6, </w:t>
      </w:r>
      <w:r w:rsidR="00863661" w:rsidRPr="00872B32">
        <w:rPr>
          <w:rFonts w:ascii="Book Antiqua" w:hAnsi="Book Antiqua"/>
          <w:color w:val="000000"/>
        </w:rPr>
        <w:t>and IL10</w:t>
      </w:r>
      <w:r w:rsidRPr="00872B32">
        <w:rPr>
          <w:rFonts w:ascii="Book Antiqua" w:hAnsi="Book Antiqua"/>
          <w:color w:val="000000"/>
        </w:rPr>
        <w:t xml:space="preserve"> and to the decrease in IL2, in both genders (the IL2 vector is opposite to other cytokine </w:t>
      </w:r>
      <w:r w:rsidR="00863661" w:rsidRPr="00872B32">
        <w:rPr>
          <w:rFonts w:ascii="Book Antiqua" w:hAnsi="Book Antiqua"/>
          <w:color w:val="000000"/>
        </w:rPr>
        <w:t>vectors, which</w:t>
      </w:r>
      <w:r w:rsidRPr="00872B32">
        <w:rPr>
          <w:rFonts w:ascii="Book Antiqua" w:hAnsi="Book Antiqua"/>
          <w:color w:val="000000"/>
        </w:rPr>
        <w:t xml:space="preserve"> have the same direction).</w:t>
      </w:r>
      <w:r w:rsidR="00C808A0" w:rsidRPr="00872B32">
        <w:rPr>
          <w:rFonts w:ascii="Book Antiqua" w:hAnsi="Book Antiqua"/>
          <w:color w:val="000000"/>
        </w:rPr>
        <w:t xml:space="preserve"> </w:t>
      </w:r>
    </w:p>
    <w:p w14:paraId="19DC9C62" w14:textId="6BA18B6A"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The results of the multivariate analysis of correlations show that in the global group of patients</w:t>
      </w:r>
      <w:r w:rsidR="007E6782">
        <w:rPr>
          <w:rFonts w:ascii="Book Antiqua" w:hAnsi="Book Antiqua"/>
          <w:color w:val="000000"/>
        </w:rPr>
        <w:t>,</w:t>
      </w:r>
      <w:r w:rsidRPr="00872B32">
        <w:rPr>
          <w:rFonts w:ascii="Book Antiqua" w:hAnsi="Book Antiqua"/>
          <w:color w:val="000000"/>
        </w:rPr>
        <w:t xml:space="preserve"> th</w:t>
      </w:r>
      <w:r w:rsidR="003B60E5" w:rsidRPr="00872B32">
        <w:rPr>
          <w:rFonts w:ascii="Book Antiqua" w:hAnsi="Book Antiqua"/>
          <w:color w:val="000000"/>
        </w:rPr>
        <w:t>e stage is positively related</w:t>
      </w:r>
      <w:r w:rsidRPr="00872B32">
        <w:rPr>
          <w:rFonts w:ascii="Book Antiqua" w:hAnsi="Book Antiqua"/>
          <w:color w:val="000000"/>
        </w:rPr>
        <w:t xml:space="preserve"> to IFN</w:t>
      </w:r>
      <w:r w:rsidR="00482BCE" w:rsidRPr="00872B32">
        <w:rPr>
          <w:rFonts w:ascii="Book Antiqua" w:hAnsi="Book Antiqua"/>
          <w:color w:val="000000"/>
        </w:rPr>
        <w:sym w:font="Symbol" w:char="F067"/>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0.35, </w:t>
      </w:r>
      <w:r w:rsidR="003B60E5" w:rsidRPr="00872B32">
        <w:rPr>
          <w:rFonts w:ascii="Book Antiqua" w:hAnsi="Book Antiqua"/>
          <w:i/>
          <w:color w:val="000000"/>
        </w:rPr>
        <w:t>P =</w:t>
      </w:r>
      <w:r w:rsidRPr="00872B32">
        <w:rPr>
          <w:rFonts w:ascii="Book Antiqua" w:hAnsi="Book Antiqua"/>
          <w:color w:val="000000"/>
        </w:rPr>
        <w:t xml:space="preserve"> 0.043), sIL2R (r</w:t>
      </w:r>
      <w:r w:rsidR="003B60E5" w:rsidRPr="00872B32">
        <w:rPr>
          <w:rFonts w:ascii="Book Antiqua" w:hAnsi="Book Antiqua"/>
          <w:color w:val="000000"/>
        </w:rPr>
        <w:t xml:space="preserve"> =</w:t>
      </w:r>
      <w:r w:rsidRPr="00872B32">
        <w:rPr>
          <w:rFonts w:ascii="Book Antiqua" w:hAnsi="Book Antiqua"/>
          <w:color w:val="000000"/>
        </w:rPr>
        <w:t xml:space="preserve"> 0.55, </w:t>
      </w:r>
      <w:r w:rsidR="003B60E5"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0.00001), IL6 (r </w:t>
      </w:r>
      <w:r w:rsidR="003B60E5" w:rsidRPr="00872B32">
        <w:rPr>
          <w:rFonts w:ascii="Book Antiqua" w:hAnsi="Book Antiqua"/>
          <w:color w:val="000000"/>
        </w:rPr>
        <w:t xml:space="preserve">= </w:t>
      </w:r>
      <w:r w:rsidRPr="00872B32">
        <w:rPr>
          <w:rFonts w:ascii="Book Antiqua" w:hAnsi="Book Antiqua"/>
          <w:color w:val="000000"/>
        </w:rPr>
        <w:t xml:space="preserve">0.37,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IL10 (r </w:t>
      </w:r>
      <w:r w:rsidR="003B60E5" w:rsidRPr="00872B32">
        <w:rPr>
          <w:rFonts w:ascii="Book Antiqua" w:hAnsi="Book Antiqua"/>
          <w:color w:val="000000"/>
        </w:rPr>
        <w:t xml:space="preserve">= </w:t>
      </w:r>
      <w:r w:rsidRPr="00872B32">
        <w:rPr>
          <w:rFonts w:ascii="Book Antiqua" w:hAnsi="Book Antiqua"/>
          <w:color w:val="000000"/>
        </w:rPr>
        <w:t xml:space="preserve">0.50,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sCD30 (r </w:t>
      </w:r>
      <w:r w:rsidR="003B60E5" w:rsidRPr="00872B32">
        <w:rPr>
          <w:rFonts w:ascii="Book Antiqua" w:hAnsi="Book Antiqua"/>
          <w:color w:val="000000"/>
        </w:rPr>
        <w:t xml:space="preserve">= </w:t>
      </w:r>
      <w:r w:rsidRPr="00872B32">
        <w:rPr>
          <w:rFonts w:ascii="Book Antiqua" w:hAnsi="Book Antiqua"/>
          <w:color w:val="000000"/>
        </w:rPr>
        <w:t xml:space="preserve">0.43,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0.013), TGF</w:t>
      </w:r>
      <w:r w:rsidR="00482BCE" w:rsidRPr="00872B32">
        <w:rPr>
          <w:rFonts w:ascii="Book Antiqua" w:hAnsi="Book Antiqua"/>
          <w:color w:val="000000"/>
        </w:rPr>
        <w:t>β</w:t>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0.54,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0.002), IL4 (r </w:t>
      </w:r>
      <w:r w:rsidR="003B60E5" w:rsidRPr="00872B32">
        <w:rPr>
          <w:rFonts w:ascii="Book Antiqua" w:hAnsi="Book Antiqua"/>
          <w:color w:val="000000"/>
        </w:rPr>
        <w:t xml:space="preserve">= </w:t>
      </w:r>
      <w:r w:rsidRPr="00872B32">
        <w:rPr>
          <w:rFonts w:ascii="Book Antiqua" w:hAnsi="Book Antiqua"/>
          <w:color w:val="000000"/>
        </w:rPr>
        <w:t xml:space="preserve">0.56,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0.0007)</w:t>
      </w:r>
      <w:r w:rsidR="00C808A0" w:rsidRPr="00872B32">
        <w:rPr>
          <w:rFonts w:ascii="Book Antiqua" w:hAnsi="Book Antiqua"/>
          <w:color w:val="000000"/>
        </w:rPr>
        <w:t xml:space="preserve"> </w:t>
      </w:r>
      <w:r w:rsidRPr="00872B32">
        <w:rPr>
          <w:rFonts w:ascii="Book Antiqua" w:hAnsi="Book Antiqua"/>
          <w:color w:val="000000"/>
        </w:rPr>
        <w:t>and</w:t>
      </w:r>
      <w:r w:rsidR="00C808A0" w:rsidRPr="00872B32">
        <w:rPr>
          <w:rFonts w:ascii="Book Antiqua" w:hAnsi="Book Antiqua"/>
          <w:color w:val="000000"/>
        </w:rPr>
        <w:t xml:space="preserve"> </w:t>
      </w:r>
      <w:r w:rsidRPr="00872B32">
        <w:rPr>
          <w:rFonts w:ascii="Book Antiqua" w:hAnsi="Book Antiqua"/>
          <w:color w:val="000000"/>
        </w:rPr>
        <w:t>negatively related to IL2 (r</w:t>
      </w:r>
      <w:r w:rsidR="003B60E5" w:rsidRPr="00872B32">
        <w:rPr>
          <w:rFonts w:ascii="Book Antiqua" w:hAnsi="Book Antiqua"/>
          <w:color w:val="000000"/>
        </w:rPr>
        <w:t xml:space="preserve"> =</w:t>
      </w:r>
      <w:r w:rsidRPr="00872B32">
        <w:rPr>
          <w:rFonts w:ascii="Book Antiqua" w:hAnsi="Book Antiqua"/>
          <w:color w:val="000000"/>
        </w:rPr>
        <w:t xml:space="preserve"> </w:t>
      </w:r>
      <w:r w:rsidR="00482BCE" w:rsidRPr="00872B32">
        <w:rPr>
          <w:rFonts w:ascii="Book Antiqua" w:hAnsi="Book Antiqua"/>
          <w:color w:val="000000"/>
        </w:rPr>
        <w:t>-</w:t>
      </w:r>
      <w:r w:rsidRPr="00872B32">
        <w:rPr>
          <w:rFonts w:ascii="Book Antiqua" w:hAnsi="Book Antiqua"/>
          <w:color w:val="000000"/>
        </w:rPr>
        <w:t xml:space="preserve">0.33,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0.0003).</w:t>
      </w:r>
    </w:p>
    <w:p w14:paraId="3F68179F" w14:textId="2F6E6562"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Moreover, in the female group</w:t>
      </w:r>
      <w:r w:rsidR="00780B8D">
        <w:rPr>
          <w:rFonts w:ascii="Book Antiqua" w:hAnsi="Book Antiqua"/>
          <w:color w:val="000000"/>
        </w:rPr>
        <w:t>,</w:t>
      </w:r>
      <w:r w:rsidRPr="00872B32">
        <w:rPr>
          <w:rFonts w:ascii="Book Antiqua" w:hAnsi="Book Antiqua"/>
          <w:color w:val="000000"/>
        </w:rPr>
        <w:t xml:space="preserve"> the analysis shows </w:t>
      </w:r>
      <w:r w:rsidR="00863661" w:rsidRPr="00872B32">
        <w:rPr>
          <w:rFonts w:ascii="Book Antiqua" w:hAnsi="Book Antiqua"/>
          <w:color w:val="000000"/>
        </w:rPr>
        <w:t>that the</w:t>
      </w:r>
      <w:r w:rsidR="003B60E5" w:rsidRPr="00872B32">
        <w:rPr>
          <w:rFonts w:ascii="Book Antiqua" w:hAnsi="Book Antiqua"/>
          <w:color w:val="000000"/>
        </w:rPr>
        <w:t xml:space="preserve"> tumor stage is </w:t>
      </w:r>
      <w:r w:rsidRPr="00872B32">
        <w:rPr>
          <w:rFonts w:ascii="Book Antiqua" w:hAnsi="Book Antiqua"/>
          <w:color w:val="000000"/>
        </w:rPr>
        <w:t xml:space="preserve">positively related to Trx1 (r </w:t>
      </w:r>
      <w:r w:rsidR="003B60E5" w:rsidRPr="00872B32">
        <w:rPr>
          <w:rFonts w:ascii="Book Antiqua" w:hAnsi="Book Antiqua"/>
          <w:color w:val="000000"/>
        </w:rPr>
        <w:t xml:space="preserve">= </w:t>
      </w:r>
      <w:r w:rsidRPr="00872B32">
        <w:rPr>
          <w:rFonts w:ascii="Book Antiqua" w:hAnsi="Book Antiqua"/>
          <w:color w:val="000000"/>
        </w:rPr>
        <w:t xml:space="preserve">0.065,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0.037), IL4 (r </w:t>
      </w:r>
      <w:r w:rsidR="003B60E5" w:rsidRPr="00872B32">
        <w:rPr>
          <w:rFonts w:ascii="Book Antiqua" w:hAnsi="Book Antiqua"/>
          <w:color w:val="000000"/>
        </w:rPr>
        <w:t xml:space="preserve">= </w:t>
      </w:r>
      <w:r w:rsidRPr="00872B32">
        <w:rPr>
          <w:rFonts w:ascii="Book Antiqua" w:hAnsi="Book Antiqua"/>
          <w:color w:val="000000"/>
        </w:rPr>
        <w:t xml:space="preserve">0.62,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0.0001), sIL2R (r</w:t>
      </w:r>
      <w:r w:rsidR="003B60E5" w:rsidRPr="00872B32">
        <w:rPr>
          <w:rFonts w:ascii="Book Antiqua" w:hAnsi="Book Antiqua"/>
          <w:color w:val="000000"/>
        </w:rPr>
        <w:t xml:space="preserve"> =</w:t>
      </w:r>
      <w:r w:rsidR="00C808A0" w:rsidRPr="00872B32">
        <w:rPr>
          <w:rFonts w:ascii="Book Antiqua" w:hAnsi="Book Antiqua"/>
          <w:color w:val="000000"/>
        </w:rPr>
        <w:t xml:space="preserve"> </w:t>
      </w:r>
      <w:r w:rsidRPr="00872B32">
        <w:rPr>
          <w:rFonts w:ascii="Book Antiqua" w:hAnsi="Book Antiqua"/>
          <w:color w:val="000000"/>
        </w:rPr>
        <w:t xml:space="preserve">0.57,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IL10 </w:t>
      </w:r>
      <w:r w:rsidR="00863661" w:rsidRPr="00872B32">
        <w:rPr>
          <w:rFonts w:ascii="Book Antiqua" w:hAnsi="Book Antiqua"/>
          <w:color w:val="000000"/>
        </w:rPr>
        <w:t>(r</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0.31,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0.013) and sCD30 (r </w:t>
      </w:r>
      <w:r w:rsidR="003B60E5" w:rsidRPr="00872B32">
        <w:rPr>
          <w:rFonts w:ascii="Book Antiqua" w:hAnsi="Book Antiqua"/>
          <w:color w:val="000000"/>
        </w:rPr>
        <w:t xml:space="preserve">= </w:t>
      </w:r>
      <w:r w:rsidRPr="00872B32">
        <w:rPr>
          <w:rFonts w:ascii="Book Antiqua" w:hAnsi="Book Antiqua"/>
          <w:color w:val="000000"/>
        </w:rPr>
        <w:t xml:space="preserve">0.73,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0.019) </w:t>
      </w:r>
      <w:r w:rsidR="00863661" w:rsidRPr="00872B32">
        <w:rPr>
          <w:rFonts w:ascii="Book Antiqua" w:hAnsi="Book Antiqua"/>
          <w:color w:val="000000"/>
        </w:rPr>
        <w:t>and negatively</w:t>
      </w:r>
      <w:r w:rsidRPr="00872B32">
        <w:rPr>
          <w:rFonts w:ascii="Book Antiqua" w:hAnsi="Book Antiqua"/>
          <w:color w:val="000000"/>
        </w:rPr>
        <w:t xml:space="preserve"> related to RTrx1 (r </w:t>
      </w:r>
      <w:r w:rsidR="003B60E5" w:rsidRPr="00872B32">
        <w:rPr>
          <w:rFonts w:ascii="Book Antiqua" w:hAnsi="Book Antiqua"/>
          <w:color w:val="000000"/>
        </w:rPr>
        <w:t xml:space="preserve">= </w:t>
      </w:r>
      <w:r w:rsidRPr="00872B32">
        <w:rPr>
          <w:rFonts w:ascii="Book Antiqua" w:hAnsi="Book Antiqua"/>
          <w:color w:val="000000"/>
        </w:rPr>
        <w:t xml:space="preserve">-0.57,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0.045), IL2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0.33, </w:t>
      </w:r>
      <w:r w:rsidR="009418C3"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0.0003) and sIL6R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0.42, </w:t>
      </w:r>
      <w:r w:rsidR="009418C3"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0.0089).</w:t>
      </w:r>
    </w:p>
    <w:p w14:paraId="175EF532" w14:textId="77777777"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In the male </w:t>
      </w:r>
      <w:r w:rsidR="00863661" w:rsidRPr="00872B32">
        <w:rPr>
          <w:rFonts w:ascii="Book Antiqua" w:hAnsi="Book Antiqua"/>
          <w:color w:val="000000"/>
        </w:rPr>
        <w:t>group,</w:t>
      </w:r>
      <w:r w:rsidRPr="00872B32">
        <w:rPr>
          <w:rFonts w:ascii="Book Antiqua" w:hAnsi="Book Antiqua"/>
          <w:color w:val="000000"/>
        </w:rPr>
        <w:t xml:space="preserve"> the tumor stage </w:t>
      </w:r>
      <w:r w:rsidR="00CC24E5" w:rsidRPr="00872B32">
        <w:rPr>
          <w:rFonts w:ascii="Book Antiqua" w:hAnsi="Book Antiqua"/>
          <w:color w:val="000000"/>
        </w:rPr>
        <w:t>is</w:t>
      </w:r>
      <w:r w:rsidRPr="00872B32">
        <w:rPr>
          <w:rFonts w:ascii="Book Antiqua" w:hAnsi="Book Antiqua"/>
          <w:color w:val="000000"/>
        </w:rPr>
        <w:t xml:space="preserve"> positively related to Trx1 (r </w:t>
      </w:r>
      <w:r w:rsidR="003B60E5" w:rsidRPr="00872B32">
        <w:rPr>
          <w:rFonts w:ascii="Book Antiqua" w:hAnsi="Book Antiqua"/>
          <w:color w:val="000000"/>
        </w:rPr>
        <w:t xml:space="preserve">= </w:t>
      </w:r>
      <w:r w:rsidRPr="00872B32">
        <w:rPr>
          <w:rFonts w:ascii="Book Antiqua" w:hAnsi="Book Antiqua"/>
          <w:color w:val="000000"/>
        </w:rPr>
        <w:t xml:space="preserve">0.87,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0.020), sIL2R (r </w:t>
      </w:r>
      <w:r w:rsidR="003B60E5" w:rsidRPr="00872B32">
        <w:rPr>
          <w:rFonts w:ascii="Book Antiqua" w:hAnsi="Book Antiqua"/>
          <w:color w:val="000000"/>
        </w:rPr>
        <w:t xml:space="preserve">= </w:t>
      </w:r>
      <w:r w:rsidRPr="00872B32">
        <w:rPr>
          <w:rFonts w:ascii="Book Antiqua" w:hAnsi="Book Antiqua"/>
          <w:color w:val="000000"/>
        </w:rPr>
        <w:t>0.54</w:t>
      </w:r>
      <w:r w:rsidR="00D97EF3" w:rsidRPr="00872B32">
        <w:rPr>
          <w:rFonts w:ascii="Book Antiqua" w:hAnsi="Book Antiqua"/>
          <w:color w:val="000000"/>
        </w:rPr>
        <w:t>,</w:t>
      </w:r>
      <w:r w:rsidR="00C808A0" w:rsidRPr="00872B32">
        <w:rPr>
          <w:rFonts w:ascii="Book Antiqua" w:hAnsi="Book Antiqua"/>
          <w:color w:val="000000"/>
        </w:rPr>
        <w:t xml:space="preserve">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IL6 (r </w:t>
      </w:r>
      <w:r w:rsidR="003B60E5" w:rsidRPr="00872B32">
        <w:rPr>
          <w:rFonts w:ascii="Book Antiqua" w:hAnsi="Book Antiqua"/>
          <w:color w:val="000000"/>
        </w:rPr>
        <w:t xml:space="preserve">= </w:t>
      </w:r>
      <w:r w:rsidRPr="00872B32">
        <w:rPr>
          <w:rFonts w:ascii="Book Antiqua" w:hAnsi="Book Antiqua"/>
          <w:color w:val="000000"/>
        </w:rPr>
        <w:t xml:space="preserve">0.43,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0.0001), IL10 (r </w:t>
      </w:r>
      <w:r w:rsidR="003B60E5" w:rsidRPr="00872B32">
        <w:rPr>
          <w:rFonts w:ascii="Book Antiqua" w:hAnsi="Book Antiqua"/>
          <w:color w:val="000000"/>
        </w:rPr>
        <w:t xml:space="preserve">= </w:t>
      </w:r>
      <w:r w:rsidRPr="00872B32">
        <w:rPr>
          <w:rFonts w:ascii="Book Antiqua" w:hAnsi="Book Antiqua"/>
          <w:color w:val="000000"/>
        </w:rPr>
        <w:t xml:space="preserve">0.53,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w:t>
      </w:r>
      <w:r w:rsidRPr="00872B32">
        <w:rPr>
          <w:rFonts w:ascii="Book Antiqua" w:hAnsi="Book Antiqua"/>
          <w:color w:val="000000"/>
        </w:rPr>
        <w:lastRenderedPageBreak/>
        <w:t>TGF</w:t>
      </w:r>
      <w:r w:rsidR="008B7386" w:rsidRPr="00872B32">
        <w:rPr>
          <w:rFonts w:ascii="Book Antiqua" w:hAnsi="Book Antiqua"/>
          <w:color w:val="000000"/>
        </w:rPr>
        <w:t>β</w:t>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0.70,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0.0005), IL4 (r </w:t>
      </w:r>
      <w:r w:rsidR="003B60E5" w:rsidRPr="00872B32">
        <w:rPr>
          <w:rFonts w:ascii="Book Antiqua" w:hAnsi="Book Antiqua"/>
          <w:color w:val="000000"/>
        </w:rPr>
        <w:t xml:space="preserve">= </w:t>
      </w:r>
      <w:r w:rsidRPr="00872B32">
        <w:rPr>
          <w:rFonts w:ascii="Book Antiqua" w:hAnsi="Book Antiqua"/>
          <w:color w:val="000000"/>
        </w:rPr>
        <w:t xml:space="preserve">0.48,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0.0001); and negatively related to IL2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0.27,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0.023).</w:t>
      </w:r>
    </w:p>
    <w:p w14:paraId="30F14F1D" w14:textId="77777777" w:rsidR="00EE7104" w:rsidRPr="00872B32" w:rsidRDefault="00EE7104" w:rsidP="008C54E8">
      <w:pPr>
        <w:snapToGrid w:val="0"/>
        <w:spacing w:line="360" w:lineRule="auto"/>
        <w:jc w:val="both"/>
        <w:rPr>
          <w:rFonts w:ascii="Book Antiqua" w:hAnsi="Book Antiqua"/>
          <w:color w:val="000000"/>
        </w:rPr>
      </w:pPr>
    </w:p>
    <w:p w14:paraId="3474DE1B" w14:textId="21E6E76B" w:rsidR="000956E5" w:rsidRPr="00526FCE" w:rsidRDefault="000956E5" w:rsidP="008C54E8">
      <w:pPr>
        <w:snapToGrid w:val="0"/>
        <w:spacing w:line="360" w:lineRule="auto"/>
        <w:jc w:val="both"/>
        <w:rPr>
          <w:rFonts w:ascii="Book Antiqua" w:eastAsia="宋体" w:hAnsi="Book Antiqua"/>
          <w:b/>
          <w:i/>
          <w:color w:val="000000"/>
          <w:lang w:eastAsia="zh-CN"/>
        </w:rPr>
      </w:pPr>
      <w:r w:rsidRPr="00872B32">
        <w:rPr>
          <w:rFonts w:ascii="Book Antiqua" w:hAnsi="Book Antiqua"/>
          <w:b/>
          <w:i/>
          <w:color w:val="000000"/>
        </w:rPr>
        <w:t xml:space="preserve">The polymorphisms of </w:t>
      </w:r>
      <w:r w:rsidRPr="00872B32">
        <w:rPr>
          <w:rFonts w:ascii="Book Antiqua" w:hAnsi="Book Antiqua"/>
          <w:b/>
          <w:color w:val="000000"/>
        </w:rPr>
        <w:t>Fc</w:t>
      </w:r>
      <w:r w:rsidR="008B7386" w:rsidRPr="00872B32">
        <w:rPr>
          <w:rFonts w:ascii="Book Antiqua" w:hAnsi="Book Antiqua"/>
          <w:b/>
          <w:color w:val="000000"/>
        </w:rPr>
        <w:sym w:font="Symbol" w:char="F067"/>
      </w:r>
      <w:r w:rsidRPr="00872B32">
        <w:rPr>
          <w:rFonts w:ascii="Book Antiqua" w:hAnsi="Book Antiqua"/>
          <w:b/>
          <w:color w:val="000000"/>
        </w:rPr>
        <w:t>RIIIa, Fc</w:t>
      </w:r>
      <w:r w:rsidR="008B7386" w:rsidRPr="00872B32">
        <w:rPr>
          <w:rFonts w:ascii="Book Antiqua" w:hAnsi="Book Antiqua"/>
          <w:b/>
          <w:color w:val="000000"/>
        </w:rPr>
        <w:sym w:font="Symbol" w:char="F067"/>
      </w:r>
      <w:r w:rsidRPr="00872B32">
        <w:rPr>
          <w:rFonts w:ascii="Book Antiqua" w:hAnsi="Book Antiqua"/>
          <w:b/>
          <w:color w:val="000000"/>
        </w:rPr>
        <w:t>RIIa</w:t>
      </w:r>
      <w:r w:rsidRPr="00872B32">
        <w:rPr>
          <w:rFonts w:ascii="Book Antiqua" w:hAnsi="Book Antiqua"/>
          <w:b/>
          <w:i/>
          <w:color w:val="000000"/>
        </w:rPr>
        <w:t xml:space="preserve"> and KIRs are valid parameters </w:t>
      </w:r>
      <w:r w:rsidR="00780B8D">
        <w:rPr>
          <w:rFonts w:ascii="Book Antiqua" w:hAnsi="Book Antiqua"/>
          <w:b/>
          <w:i/>
          <w:color w:val="000000"/>
        </w:rPr>
        <w:t>for</w:t>
      </w:r>
      <w:r w:rsidRPr="00872B32">
        <w:rPr>
          <w:rFonts w:ascii="Book Antiqua" w:hAnsi="Book Antiqua"/>
          <w:b/>
          <w:i/>
          <w:color w:val="000000"/>
        </w:rPr>
        <w:t xml:space="preserve"> personalize</w:t>
      </w:r>
      <w:r w:rsidR="00780B8D">
        <w:rPr>
          <w:rFonts w:ascii="Book Antiqua" w:hAnsi="Book Antiqua"/>
          <w:b/>
          <w:i/>
          <w:color w:val="000000"/>
        </w:rPr>
        <w:t>d</w:t>
      </w:r>
      <w:r w:rsidRPr="00872B32">
        <w:rPr>
          <w:rFonts w:ascii="Book Antiqua" w:hAnsi="Book Antiqua"/>
          <w:b/>
          <w:i/>
          <w:color w:val="000000"/>
        </w:rPr>
        <w:t xml:space="preserve"> biomarkers for the classification of the early risk of developing tumor or its progression</w:t>
      </w:r>
    </w:p>
    <w:p w14:paraId="02799218" w14:textId="57853A96" w:rsidR="000956E5" w:rsidRPr="00157F2D" w:rsidRDefault="000956E5" w:rsidP="008C54E8">
      <w:pPr>
        <w:snapToGrid w:val="0"/>
        <w:spacing w:line="360" w:lineRule="auto"/>
        <w:jc w:val="both"/>
        <w:rPr>
          <w:rFonts w:ascii="Book Antiqua" w:hAnsi="Book Antiqua"/>
          <w:b/>
          <w:color w:val="000000"/>
        </w:rPr>
      </w:pPr>
      <w:r w:rsidRPr="00157F2D">
        <w:rPr>
          <w:rFonts w:ascii="Book Antiqua" w:hAnsi="Book Antiqua"/>
          <w:b/>
          <w:color w:val="000000"/>
        </w:rPr>
        <w:t>Fc</w:t>
      </w:r>
      <w:r w:rsidR="00D05A36" w:rsidRPr="00157F2D">
        <w:rPr>
          <w:rFonts w:ascii="Book Antiqua" w:hAnsi="Book Antiqua"/>
          <w:b/>
          <w:color w:val="000000"/>
        </w:rPr>
        <w:sym w:font="Symbol" w:char="F067"/>
      </w:r>
      <w:r w:rsidRPr="00157F2D">
        <w:rPr>
          <w:rFonts w:ascii="Book Antiqua" w:hAnsi="Book Antiqua"/>
          <w:b/>
          <w:color w:val="000000"/>
        </w:rPr>
        <w:t>RIIIa and Fc</w:t>
      </w:r>
      <w:r w:rsidR="00D05A36" w:rsidRPr="00157F2D">
        <w:rPr>
          <w:rFonts w:ascii="Book Antiqua" w:hAnsi="Book Antiqua"/>
          <w:b/>
          <w:color w:val="000000"/>
        </w:rPr>
        <w:sym w:font="Symbol" w:char="F067"/>
      </w:r>
      <w:r w:rsidRPr="00157F2D">
        <w:rPr>
          <w:rFonts w:ascii="Book Antiqua" w:hAnsi="Book Antiqua"/>
          <w:b/>
          <w:color w:val="000000"/>
        </w:rPr>
        <w:t>RIIa polymorphisms</w:t>
      </w:r>
      <w:r w:rsidR="00157F2D" w:rsidRPr="00526FCE">
        <w:rPr>
          <w:rFonts w:ascii="Book Antiqua" w:eastAsia="宋体" w:hAnsi="Book Antiqua" w:hint="eastAsia"/>
          <w:b/>
          <w:color w:val="000000"/>
          <w:lang w:eastAsia="zh-CN"/>
        </w:rPr>
        <w:t>:</w:t>
      </w:r>
      <w:r w:rsidRPr="00157F2D">
        <w:rPr>
          <w:rFonts w:ascii="Book Antiqua" w:hAnsi="Book Antiqua"/>
          <w:b/>
          <w:color w:val="000000"/>
        </w:rPr>
        <w:t xml:space="preserve"> </w:t>
      </w:r>
      <w:r w:rsidRPr="00872B32">
        <w:rPr>
          <w:rFonts w:ascii="Book Antiqua" w:hAnsi="Book Antiqua"/>
          <w:color w:val="000000"/>
        </w:rPr>
        <w:t>The frequencies of the Fc</w:t>
      </w:r>
      <w:r w:rsidR="00D05A36" w:rsidRPr="00872B32">
        <w:rPr>
          <w:rFonts w:ascii="Book Antiqua" w:hAnsi="Book Antiqua"/>
          <w:color w:val="000000"/>
        </w:rPr>
        <w:sym w:font="Symbol" w:char="F067"/>
      </w:r>
      <w:r w:rsidRPr="00872B32">
        <w:rPr>
          <w:rFonts w:ascii="Book Antiqua" w:hAnsi="Book Antiqua"/>
          <w:color w:val="000000"/>
        </w:rPr>
        <w:t>RIIIa and Fc</w:t>
      </w:r>
      <w:r w:rsidR="00D05A36" w:rsidRPr="00872B32">
        <w:rPr>
          <w:rFonts w:ascii="Book Antiqua" w:hAnsi="Book Antiqua"/>
          <w:color w:val="000000"/>
        </w:rPr>
        <w:sym w:font="Symbol" w:char="F067"/>
      </w:r>
      <w:r w:rsidRPr="00872B32">
        <w:rPr>
          <w:rFonts w:ascii="Book Antiqua" w:hAnsi="Book Antiqua"/>
          <w:color w:val="000000"/>
        </w:rPr>
        <w:t>RIIa pol</w:t>
      </w:r>
      <w:r w:rsidR="00F52664" w:rsidRPr="00872B32">
        <w:rPr>
          <w:rFonts w:ascii="Book Antiqua" w:hAnsi="Book Antiqua"/>
          <w:color w:val="000000"/>
        </w:rPr>
        <w:t>ymorphisms are show</w:t>
      </w:r>
      <w:r w:rsidR="00DA0D05">
        <w:rPr>
          <w:rFonts w:ascii="Book Antiqua" w:hAnsi="Book Antiqua"/>
          <w:color w:val="000000"/>
        </w:rPr>
        <w:t>n</w:t>
      </w:r>
      <w:r w:rsidR="00F52664" w:rsidRPr="00872B32">
        <w:rPr>
          <w:rFonts w:ascii="Book Antiqua" w:hAnsi="Book Antiqua"/>
          <w:color w:val="000000"/>
        </w:rPr>
        <w:t xml:space="preserve"> in Table 2</w:t>
      </w:r>
      <w:r w:rsidRPr="00872B32">
        <w:rPr>
          <w:rFonts w:ascii="Book Antiqua" w:hAnsi="Book Antiqua"/>
          <w:color w:val="000000"/>
        </w:rPr>
        <w:t>. Multivariate PCA statistical studies show that, in healthy individuals, the polymorphisms of Fc</w:t>
      </w:r>
      <w:r w:rsidR="00D05A36" w:rsidRPr="00872B32">
        <w:rPr>
          <w:rFonts w:ascii="Book Antiqua" w:hAnsi="Book Antiqua"/>
          <w:color w:val="000000"/>
        </w:rPr>
        <w:sym w:font="Symbol" w:char="F067"/>
      </w:r>
      <w:r w:rsidRPr="00872B32">
        <w:rPr>
          <w:rFonts w:ascii="Book Antiqua" w:hAnsi="Book Antiqua"/>
          <w:color w:val="000000"/>
        </w:rPr>
        <w:t>RIIIa and Fc</w:t>
      </w:r>
      <w:r w:rsidR="00D05A36" w:rsidRPr="00872B32">
        <w:rPr>
          <w:rFonts w:ascii="Book Antiqua" w:hAnsi="Book Antiqua"/>
          <w:color w:val="000000"/>
        </w:rPr>
        <w:sym w:font="Symbol" w:char="F067"/>
      </w:r>
      <w:r w:rsidRPr="00872B32">
        <w:rPr>
          <w:rFonts w:ascii="Book Antiqua" w:hAnsi="Book Antiqua"/>
          <w:color w:val="000000"/>
        </w:rPr>
        <w:t xml:space="preserve">RIIa combine in </w:t>
      </w:r>
      <w:r w:rsidR="00E5133E" w:rsidRPr="00872B32">
        <w:rPr>
          <w:rFonts w:ascii="Book Antiqua" w:hAnsi="Book Antiqua"/>
          <w:color w:val="000000"/>
        </w:rPr>
        <w:t>pairs, which</w:t>
      </w:r>
      <w:r w:rsidRPr="00872B32">
        <w:rPr>
          <w:rFonts w:ascii="Book Antiqua" w:hAnsi="Book Antiqua"/>
          <w:color w:val="000000"/>
        </w:rPr>
        <w:t xml:space="preserve"> follow different orders of combinations, depending on gender (</w:t>
      </w:r>
      <w:r w:rsidR="002A074A" w:rsidRPr="00872B32">
        <w:rPr>
          <w:rFonts w:ascii="Book Antiqua" w:hAnsi="Book Antiqua"/>
          <w:color w:val="000000"/>
        </w:rPr>
        <w:t>Figure</w:t>
      </w:r>
      <w:r w:rsidRPr="00872B32">
        <w:rPr>
          <w:rFonts w:ascii="Book Antiqua" w:hAnsi="Book Antiqua"/>
          <w:color w:val="000000"/>
        </w:rPr>
        <w:t xml:space="preserve"> 4). These results demonstrate in the global group of healthy subjects</w:t>
      </w:r>
      <w:r w:rsidR="00DA0D05">
        <w:rPr>
          <w:rFonts w:ascii="Book Antiqua" w:hAnsi="Book Antiqua"/>
          <w:color w:val="000000"/>
        </w:rPr>
        <w:t xml:space="preserve"> that</w:t>
      </w:r>
      <w:r w:rsidRPr="00872B32">
        <w:rPr>
          <w:rFonts w:ascii="Book Antiqua" w:hAnsi="Book Antiqua"/>
          <w:color w:val="000000"/>
        </w:rPr>
        <w:t xml:space="preserve"> the combinations occur in the following ways (</w:t>
      </w:r>
      <w:r w:rsidR="002A074A" w:rsidRPr="00872B32">
        <w:rPr>
          <w:rFonts w:ascii="Book Antiqua" w:hAnsi="Book Antiqua"/>
          <w:color w:val="000000"/>
        </w:rPr>
        <w:t>Figure</w:t>
      </w:r>
      <w:r w:rsidRPr="00872B32">
        <w:rPr>
          <w:rFonts w:ascii="Book Antiqua" w:hAnsi="Book Antiqua"/>
          <w:color w:val="000000"/>
        </w:rPr>
        <w:t xml:space="preserve"> 4A):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H/H</w:t>
      </w:r>
      <w:r w:rsidRPr="00872B32">
        <w:rPr>
          <w:rFonts w:ascii="Book Antiqua" w:hAnsi="Book Antiqua"/>
          <w:color w:val="000000"/>
        </w:rPr>
        <w:t xml:space="preserve"> combines with Fc</w:t>
      </w:r>
      <w:r w:rsidR="00D05A36" w:rsidRPr="00872B32">
        <w:rPr>
          <w:rFonts w:ascii="Book Antiqua" w:hAnsi="Book Antiqua"/>
          <w:color w:val="000000"/>
        </w:rPr>
        <w:sym w:font="Symbol" w:char="F067"/>
      </w:r>
      <w:r w:rsidRPr="00872B32">
        <w:rPr>
          <w:rFonts w:ascii="Book Antiqua" w:hAnsi="Book Antiqua"/>
          <w:color w:val="000000"/>
        </w:rPr>
        <w:t>IIIa-158</w:t>
      </w:r>
      <w:r w:rsidRPr="00872B32">
        <w:rPr>
          <w:rFonts w:ascii="Book Antiqua" w:hAnsi="Book Antiqua"/>
          <w:i/>
          <w:color w:val="000000"/>
        </w:rPr>
        <w:t xml:space="preserve">V/V </w:t>
      </w:r>
      <w:r w:rsidRPr="00872B32">
        <w:rPr>
          <w:rFonts w:ascii="Book Antiqua" w:hAnsi="Book Antiqua"/>
          <w:color w:val="000000"/>
        </w:rPr>
        <w:t>(</w:t>
      </w:r>
      <w:r w:rsidRPr="00872B32">
        <w:rPr>
          <w:rFonts w:ascii="Book Antiqua" w:hAnsi="Book Antiqua"/>
          <w:i/>
          <w:color w:val="000000"/>
        </w:rPr>
        <w:t>H/H-V/V</w:t>
      </w:r>
      <w:r w:rsidRPr="00872B32">
        <w:rPr>
          <w:rFonts w:ascii="Book Antiqua" w:hAnsi="Book Antiqua"/>
          <w:color w:val="000000"/>
        </w:rPr>
        <w:t>);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 xml:space="preserve">R/R </w:t>
      </w:r>
      <w:r w:rsidRPr="00872B32">
        <w:rPr>
          <w:rFonts w:ascii="Book Antiqua" w:hAnsi="Book Antiqua"/>
          <w:color w:val="000000"/>
        </w:rPr>
        <w:t>with Fc</w:t>
      </w:r>
      <w:r w:rsidR="00D05A36" w:rsidRPr="00872B32">
        <w:rPr>
          <w:rFonts w:ascii="Book Antiqua" w:hAnsi="Book Antiqua"/>
          <w:color w:val="000000"/>
        </w:rPr>
        <w:sym w:font="Symbol" w:char="F067"/>
      </w:r>
      <w:r w:rsidRPr="00872B32">
        <w:rPr>
          <w:rFonts w:ascii="Book Antiqua" w:hAnsi="Book Antiqua"/>
          <w:color w:val="000000"/>
        </w:rPr>
        <w:t>IIIa-158</w:t>
      </w:r>
      <w:r w:rsidRPr="00872B32">
        <w:rPr>
          <w:rFonts w:ascii="Book Antiqua" w:hAnsi="Book Antiqua"/>
          <w:i/>
          <w:color w:val="000000"/>
        </w:rPr>
        <w:t xml:space="preserve">F/F </w:t>
      </w:r>
      <w:r w:rsidRPr="00872B32">
        <w:rPr>
          <w:rFonts w:ascii="Book Antiqua" w:hAnsi="Book Antiqua"/>
          <w:color w:val="000000"/>
        </w:rPr>
        <w:t>(</w:t>
      </w:r>
      <w:r w:rsidRPr="00872B32">
        <w:rPr>
          <w:rFonts w:ascii="Book Antiqua" w:hAnsi="Book Antiqua"/>
          <w:i/>
          <w:color w:val="000000"/>
        </w:rPr>
        <w:t>R/R-FF</w:t>
      </w:r>
      <w:r w:rsidRPr="00872B32">
        <w:rPr>
          <w:rFonts w:ascii="Book Antiqua" w:hAnsi="Book Antiqua"/>
          <w:color w:val="000000"/>
        </w:rPr>
        <w:t>) and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 xml:space="preserve">H/R </w:t>
      </w:r>
      <w:r w:rsidRPr="00872B32">
        <w:rPr>
          <w:rFonts w:ascii="Book Antiqua" w:hAnsi="Book Antiqua"/>
          <w:color w:val="000000"/>
        </w:rPr>
        <w:t>with Fc</w:t>
      </w:r>
      <w:r w:rsidR="00D05A36" w:rsidRPr="00872B32">
        <w:rPr>
          <w:rFonts w:ascii="Book Antiqua" w:hAnsi="Book Antiqua"/>
          <w:color w:val="000000"/>
        </w:rPr>
        <w:sym w:font="Symbol" w:char="F067"/>
      </w:r>
      <w:r w:rsidRPr="00872B32">
        <w:rPr>
          <w:rFonts w:ascii="Book Antiqua" w:hAnsi="Book Antiqua"/>
          <w:color w:val="000000"/>
        </w:rPr>
        <w:t>RIIIa-158</w:t>
      </w:r>
      <w:r w:rsidRPr="00872B32">
        <w:rPr>
          <w:rFonts w:ascii="Book Antiqua" w:hAnsi="Book Antiqua"/>
          <w:i/>
          <w:color w:val="000000"/>
        </w:rPr>
        <w:t xml:space="preserve">V/F </w:t>
      </w:r>
      <w:r w:rsidRPr="00872B32">
        <w:rPr>
          <w:rFonts w:ascii="Book Antiqua" w:hAnsi="Book Antiqua"/>
          <w:color w:val="000000"/>
        </w:rPr>
        <w:t>(</w:t>
      </w:r>
      <w:r w:rsidRPr="00872B32">
        <w:rPr>
          <w:rFonts w:ascii="Book Antiqua" w:hAnsi="Book Antiqua"/>
          <w:i/>
          <w:color w:val="000000"/>
        </w:rPr>
        <w:t>H/R-V/F</w:t>
      </w:r>
      <w:r w:rsidRPr="00872B32">
        <w:rPr>
          <w:rFonts w:ascii="Book Antiqua" w:hAnsi="Book Antiqua"/>
          <w:color w:val="000000"/>
        </w:rPr>
        <w:t>). In the female group</w:t>
      </w:r>
      <w:r w:rsidR="00DA0D05">
        <w:rPr>
          <w:rFonts w:ascii="Book Antiqua" w:hAnsi="Book Antiqua"/>
          <w:color w:val="000000"/>
        </w:rPr>
        <w:t>,</w:t>
      </w:r>
      <w:r w:rsidRPr="00872B32">
        <w:rPr>
          <w:rFonts w:ascii="Book Antiqua" w:hAnsi="Book Antiqua"/>
          <w:color w:val="000000"/>
        </w:rPr>
        <w:t xml:space="preserve"> the combinations follow the same trend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 xml:space="preserve">), while in the male one there are different combinations: </w:t>
      </w:r>
      <w:r w:rsidRPr="00872B32">
        <w:rPr>
          <w:rFonts w:ascii="Book Antiqua" w:hAnsi="Book Antiqua"/>
          <w:i/>
          <w:color w:val="000000"/>
        </w:rPr>
        <w:t>H/H-V/V</w:t>
      </w:r>
      <w:r w:rsidRPr="00872B32">
        <w:rPr>
          <w:rFonts w:ascii="Book Antiqua" w:hAnsi="Book Antiqua"/>
          <w:color w:val="000000"/>
        </w:rPr>
        <w:t xml:space="preserve"> combines in the same way; while </w:t>
      </w:r>
      <w:r w:rsidRPr="00872B32">
        <w:rPr>
          <w:rFonts w:ascii="Book Antiqua" w:hAnsi="Book Antiqua"/>
          <w:i/>
          <w:color w:val="000000"/>
        </w:rPr>
        <w:t>H/H</w:t>
      </w:r>
      <w:r w:rsidRPr="00872B32">
        <w:rPr>
          <w:rFonts w:ascii="Book Antiqua" w:hAnsi="Book Antiqua"/>
          <w:color w:val="000000"/>
        </w:rPr>
        <w:t xml:space="preserve"> combines with </w:t>
      </w:r>
      <w:r w:rsidRPr="00872B32">
        <w:rPr>
          <w:rFonts w:ascii="Book Antiqua" w:hAnsi="Book Antiqua"/>
          <w:i/>
          <w:color w:val="000000"/>
        </w:rPr>
        <w:t>F/F</w:t>
      </w:r>
      <w:r w:rsidRPr="00872B32">
        <w:rPr>
          <w:rFonts w:ascii="Book Antiqua" w:hAnsi="Book Antiqua"/>
          <w:color w:val="000000"/>
        </w:rPr>
        <w:t xml:space="preserve"> (</w:t>
      </w:r>
      <w:r w:rsidRPr="00872B32">
        <w:rPr>
          <w:rFonts w:ascii="Book Antiqua" w:hAnsi="Book Antiqua"/>
          <w:i/>
          <w:color w:val="000000"/>
        </w:rPr>
        <w:t>HH-FF</w:t>
      </w:r>
      <w:r w:rsidRPr="00872B32">
        <w:rPr>
          <w:rFonts w:ascii="Book Antiqua" w:hAnsi="Book Antiqua"/>
          <w:color w:val="000000"/>
        </w:rPr>
        <w:t xml:space="preserve">) and </w:t>
      </w:r>
      <w:r w:rsidRPr="00872B32">
        <w:rPr>
          <w:rFonts w:ascii="Book Antiqua" w:hAnsi="Book Antiqua"/>
          <w:i/>
          <w:color w:val="000000"/>
        </w:rPr>
        <w:t>R/R</w:t>
      </w:r>
      <w:r w:rsidRPr="00872B32">
        <w:rPr>
          <w:rFonts w:ascii="Book Antiqua" w:hAnsi="Book Antiqua"/>
          <w:color w:val="000000"/>
        </w:rPr>
        <w:t xml:space="preserve"> with </w:t>
      </w:r>
      <w:r w:rsidRPr="00872B32">
        <w:rPr>
          <w:rFonts w:ascii="Book Antiqua" w:hAnsi="Book Antiqua"/>
          <w:i/>
          <w:color w:val="000000"/>
        </w:rPr>
        <w:t>V/F</w:t>
      </w:r>
      <w:r w:rsidRPr="00872B32">
        <w:rPr>
          <w:rFonts w:ascii="Book Antiqua" w:hAnsi="Book Antiqua"/>
          <w:color w:val="000000"/>
        </w:rPr>
        <w:t xml:space="preserve"> (</w:t>
      </w:r>
      <w:r w:rsidRPr="00872B32">
        <w:rPr>
          <w:rFonts w:ascii="Book Antiqua" w:hAnsi="Book Antiqua"/>
          <w:i/>
          <w:color w:val="000000"/>
        </w:rPr>
        <w:t>RR-VF</w:t>
      </w:r>
      <w:r w:rsidRPr="00872B32">
        <w:rPr>
          <w:rFonts w:ascii="Book Antiqua" w:hAnsi="Book Antiqua"/>
          <w:color w:val="000000"/>
        </w:rPr>
        <w:t>)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w:t>
      </w:r>
    </w:p>
    <w:p w14:paraId="0CE665DC" w14:textId="2D257492"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In addition, </w:t>
      </w:r>
      <w:r w:rsidR="00E5133E" w:rsidRPr="00872B32">
        <w:rPr>
          <w:rFonts w:ascii="Book Antiqua" w:hAnsi="Book Antiqua"/>
          <w:color w:val="000000"/>
        </w:rPr>
        <w:t>an</w:t>
      </w:r>
      <w:r w:rsidRPr="00872B32">
        <w:rPr>
          <w:rFonts w:ascii="Book Antiqua" w:hAnsi="Book Antiqua"/>
          <w:color w:val="000000"/>
        </w:rPr>
        <w:t xml:space="preserve"> </w:t>
      </w:r>
      <w:r w:rsidR="00E5133E" w:rsidRPr="00872B32">
        <w:rPr>
          <w:rFonts w:ascii="Book Antiqua" w:hAnsi="Book Antiqua"/>
          <w:color w:val="000000"/>
        </w:rPr>
        <w:t>interesting</w:t>
      </w:r>
      <w:r w:rsidRPr="00872B32">
        <w:rPr>
          <w:rFonts w:ascii="Book Antiqua" w:hAnsi="Book Antiqua"/>
          <w:color w:val="000000"/>
        </w:rPr>
        <w:t xml:space="preserve"> observation is that, in the healthy state, when there is an increase in IL10 in the immune response network, the </w:t>
      </w:r>
      <w:r w:rsidRPr="00872B32">
        <w:rPr>
          <w:rFonts w:ascii="Book Antiqua" w:hAnsi="Book Antiqua"/>
          <w:i/>
          <w:color w:val="000000"/>
        </w:rPr>
        <w:t>H/H-V/V</w:t>
      </w:r>
      <w:r w:rsidRPr="00872B32">
        <w:rPr>
          <w:rFonts w:ascii="Book Antiqua" w:hAnsi="Book Antiqua"/>
          <w:color w:val="000000"/>
        </w:rPr>
        <w:t xml:space="preserve"> is the most significant combination to preserve the redox-immune homeostasis in all the groups taken into consideration. On the other hand, when IL6 is increased, the most significant combination is the </w:t>
      </w:r>
      <w:r w:rsidRPr="00872B32">
        <w:rPr>
          <w:rFonts w:ascii="Book Antiqua" w:hAnsi="Book Antiqua"/>
          <w:i/>
          <w:color w:val="000000"/>
        </w:rPr>
        <w:t>H/R-F/F</w:t>
      </w:r>
      <w:r w:rsidRPr="00872B32">
        <w:rPr>
          <w:rFonts w:ascii="Book Antiqua" w:hAnsi="Book Antiqua"/>
          <w:color w:val="000000"/>
        </w:rPr>
        <w:t xml:space="preserve">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 xml:space="preserve">) and </w:t>
      </w:r>
      <w:r w:rsidRPr="00872B32">
        <w:rPr>
          <w:rFonts w:ascii="Book Antiqua" w:hAnsi="Book Antiqua"/>
          <w:i/>
          <w:color w:val="000000"/>
        </w:rPr>
        <w:t>H/R-V/F</w:t>
      </w:r>
      <w:r w:rsidRPr="00872B32">
        <w:rPr>
          <w:rFonts w:ascii="Book Antiqua" w:hAnsi="Book Antiqua"/>
          <w:color w:val="000000"/>
        </w:rPr>
        <w:t xml:space="preserve"> in the female one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When there are increased levels of IFN</w:t>
      </w:r>
      <w:r w:rsidR="00CA095C" w:rsidRPr="00872B32">
        <w:rPr>
          <w:rFonts w:ascii="Book Antiqua" w:hAnsi="Book Antiqua"/>
          <w:color w:val="000000"/>
        </w:rPr>
        <w:sym w:font="Symbol" w:char="F067"/>
      </w:r>
      <w:r w:rsidRPr="00872B32">
        <w:rPr>
          <w:rFonts w:ascii="Book Antiqua" w:hAnsi="Book Antiqua"/>
          <w:color w:val="000000"/>
        </w:rPr>
        <w:t xml:space="preserve">, IL4 and IL2, the most relevant combination is </w:t>
      </w:r>
      <w:r w:rsidRPr="00872B32">
        <w:rPr>
          <w:rFonts w:ascii="Book Antiqua" w:hAnsi="Book Antiqua"/>
          <w:i/>
          <w:color w:val="000000"/>
        </w:rPr>
        <w:t>R/R-V/F</w:t>
      </w:r>
      <w:r w:rsidRPr="00872B32">
        <w:rPr>
          <w:rFonts w:ascii="Book Antiqua" w:hAnsi="Book Antiqua"/>
          <w:color w:val="000000"/>
        </w:rPr>
        <w:t xml:space="preserve">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 xml:space="preserve">) and </w:t>
      </w:r>
      <w:r w:rsidRPr="00872B32">
        <w:rPr>
          <w:rFonts w:ascii="Book Antiqua" w:hAnsi="Book Antiqua"/>
          <w:i/>
          <w:color w:val="000000"/>
        </w:rPr>
        <w:t>R/R-F/F</w:t>
      </w:r>
      <w:r w:rsidRPr="00872B32">
        <w:rPr>
          <w:rFonts w:ascii="Book Antiqua" w:hAnsi="Book Antiqua"/>
          <w:color w:val="000000"/>
        </w:rPr>
        <w:t xml:space="preserve"> in the female one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w:t>
      </w:r>
    </w:p>
    <w:p w14:paraId="7DDE52CE" w14:textId="10F5C3FB"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By analyzing patients’ data, it is possible to see that </w:t>
      </w:r>
      <w:r w:rsidR="00DA0D05">
        <w:rPr>
          <w:rFonts w:ascii="Book Antiqua" w:hAnsi="Book Antiqua"/>
          <w:color w:val="000000"/>
        </w:rPr>
        <w:t xml:space="preserve">in </w:t>
      </w:r>
      <w:r w:rsidR="00E5133E" w:rsidRPr="00872B32">
        <w:rPr>
          <w:rFonts w:ascii="Book Antiqua" w:hAnsi="Book Antiqua"/>
          <w:color w:val="000000"/>
        </w:rPr>
        <w:t>non-homeostasis</w:t>
      </w:r>
      <w:r w:rsidRPr="00872B32">
        <w:rPr>
          <w:rFonts w:ascii="Book Antiqua" w:hAnsi="Book Antiqua"/>
          <w:color w:val="000000"/>
        </w:rPr>
        <w:t xml:space="preserve"> of the tumor state, the pathophysiological network of the immune response is not regulated through these Fc</w:t>
      </w:r>
      <w:r w:rsidR="00CA095C" w:rsidRPr="00872B32">
        <w:rPr>
          <w:rFonts w:ascii="Book Antiqua" w:hAnsi="Book Antiqua"/>
          <w:color w:val="000000"/>
        </w:rPr>
        <w:sym w:font="Symbol" w:char="F067"/>
      </w:r>
      <w:r w:rsidRPr="00872B32">
        <w:rPr>
          <w:rFonts w:ascii="Book Antiqua" w:hAnsi="Book Antiqua"/>
          <w:color w:val="000000"/>
        </w:rPr>
        <w:t>RIIIa and Fc</w:t>
      </w:r>
      <w:r w:rsidR="00CA095C" w:rsidRPr="00872B32">
        <w:rPr>
          <w:rFonts w:ascii="Book Antiqua" w:hAnsi="Book Antiqua"/>
          <w:color w:val="000000"/>
        </w:rPr>
        <w:sym w:font="Symbol" w:char="F067"/>
      </w:r>
      <w:r w:rsidRPr="00872B32">
        <w:rPr>
          <w:rFonts w:ascii="Book Antiqua" w:hAnsi="Book Antiqua"/>
          <w:color w:val="000000"/>
        </w:rPr>
        <w:t>RIIa polymorphism combinations (</w:t>
      </w:r>
      <w:r w:rsidR="002A074A" w:rsidRPr="00872B32">
        <w:rPr>
          <w:rFonts w:ascii="Book Antiqua" w:hAnsi="Book Antiqua"/>
          <w:color w:val="000000"/>
        </w:rPr>
        <w:t>Figure</w:t>
      </w:r>
      <w:r w:rsidRPr="00872B32">
        <w:rPr>
          <w:rFonts w:ascii="Book Antiqua" w:hAnsi="Book Antiqua"/>
          <w:color w:val="000000"/>
        </w:rPr>
        <w:t xml:space="preserve"> 4</w:t>
      </w:r>
      <w:r w:rsidR="00867888">
        <w:rPr>
          <w:rFonts w:ascii="Book Antiqua" w:hAnsi="Book Antiqua"/>
          <w:color w:val="000000"/>
        </w:rPr>
        <w:t>B</w:t>
      </w:r>
      <w:r w:rsidRPr="00872B32">
        <w:rPr>
          <w:rFonts w:ascii="Book Antiqua" w:hAnsi="Book Antiqua"/>
          <w:color w:val="000000"/>
        </w:rPr>
        <w:t xml:space="preserve">). Consequently, it is possible to define them as biomarkers of </w:t>
      </w:r>
      <w:r w:rsidR="00E5133E" w:rsidRPr="00872B32">
        <w:rPr>
          <w:rFonts w:ascii="Book Antiqua" w:hAnsi="Book Antiqua"/>
          <w:color w:val="000000"/>
        </w:rPr>
        <w:t>non-risk</w:t>
      </w:r>
      <w:r w:rsidRPr="00872B32">
        <w:rPr>
          <w:rFonts w:ascii="Book Antiqua" w:hAnsi="Book Antiqua"/>
          <w:color w:val="000000"/>
        </w:rPr>
        <w:t xml:space="preserve"> of disease. </w:t>
      </w:r>
    </w:p>
    <w:p w14:paraId="551BAE46" w14:textId="7ECDC5EB"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Furthermore, since the multivariate statistical evaluation showed </w:t>
      </w:r>
      <w:r w:rsidR="00D7461A">
        <w:rPr>
          <w:rFonts w:ascii="Book Antiqua" w:hAnsi="Book Antiqua"/>
          <w:color w:val="000000"/>
        </w:rPr>
        <w:t xml:space="preserve">a </w:t>
      </w:r>
      <w:r w:rsidRPr="00872B32">
        <w:rPr>
          <w:rFonts w:ascii="Book Antiqua" w:hAnsi="Book Antiqua"/>
          <w:color w:val="000000"/>
        </w:rPr>
        <w:t>gender-specific significant difference of Fc</w:t>
      </w:r>
      <w:r w:rsidR="00CA095C" w:rsidRPr="00872B32">
        <w:rPr>
          <w:rFonts w:ascii="Book Antiqua" w:hAnsi="Book Antiqua"/>
          <w:color w:val="000000"/>
        </w:rPr>
        <w:sym w:font="Symbol" w:char="F067"/>
      </w:r>
      <w:r w:rsidR="00E5133E" w:rsidRPr="00872B32">
        <w:rPr>
          <w:rFonts w:ascii="Book Antiqua" w:hAnsi="Book Antiqua"/>
          <w:color w:val="000000"/>
        </w:rPr>
        <w:t>RIIa genotypes</w:t>
      </w:r>
      <w:r w:rsidRPr="00872B32">
        <w:rPr>
          <w:rFonts w:ascii="Book Antiqua" w:hAnsi="Book Antiqua"/>
          <w:color w:val="000000"/>
        </w:rPr>
        <w:t xml:space="preserve"> between health</w:t>
      </w:r>
      <w:r w:rsidR="00137C74" w:rsidRPr="00872B32">
        <w:rPr>
          <w:rFonts w:ascii="Book Antiqua" w:hAnsi="Book Antiqua"/>
          <w:color w:val="000000"/>
        </w:rPr>
        <w:t xml:space="preserve">y subjects and patients </w:t>
      </w:r>
      <w:r w:rsidR="00137C74" w:rsidRPr="00872B32">
        <w:rPr>
          <w:rFonts w:ascii="Book Antiqua" w:hAnsi="Book Antiqua"/>
          <w:color w:val="000000"/>
        </w:rPr>
        <w:lastRenderedPageBreak/>
        <w:t>(</w:t>
      </w:r>
      <w:r w:rsidR="00C508CF" w:rsidRPr="00872B32">
        <w:rPr>
          <w:rFonts w:ascii="Book Antiqua" w:hAnsi="Book Antiqua"/>
          <w:color w:val="000000"/>
        </w:rPr>
        <w:t>Figure 5</w:t>
      </w:r>
      <w:r w:rsidRPr="00872B32">
        <w:rPr>
          <w:rFonts w:ascii="Book Antiqua" w:hAnsi="Book Antiqua"/>
          <w:color w:val="000000"/>
        </w:rPr>
        <w:t>), we evaluated if this difference could be useful to personalize disease biomarkers by establishing indices of gender-risk</w:t>
      </w:r>
      <w:r w:rsidR="00E16BCF" w:rsidRPr="00872B32">
        <w:rPr>
          <w:rFonts w:ascii="Book Antiqua" w:hAnsi="Book Antiqua"/>
          <w:color w:val="000000"/>
        </w:rPr>
        <w:t xml:space="preserve"> (Table 2)</w:t>
      </w:r>
      <w:r w:rsidRPr="00872B32">
        <w:rPr>
          <w:rFonts w:ascii="Book Antiqua" w:hAnsi="Book Antiqua"/>
          <w:color w:val="000000"/>
        </w:rPr>
        <w:t>. When evaluating this, we noticed a different index of gender-risk, depending on the Fc</w:t>
      </w:r>
      <w:r w:rsidR="00CA095C" w:rsidRPr="00872B32">
        <w:rPr>
          <w:rFonts w:ascii="Book Antiqua" w:hAnsi="Book Antiqua"/>
          <w:color w:val="000000"/>
        </w:rPr>
        <w:sym w:font="Symbol" w:char="F067"/>
      </w:r>
      <w:r w:rsidR="00137C74" w:rsidRPr="00872B32">
        <w:rPr>
          <w:rFonts w:ascii="Book Antiqua" w:hAnsi="Book Antiqua"/>
          <w:color w:val="000000"/>
        </w:rPr>
        <w:t xml:space="preserve">R </w:t>
      </w:r>
      <w:r w:rsidR="00D7461A">
        <w:rPr>
          <w:rFonts w:ascii="Book Antiqua" w:hAnsi="Book Antiqua"/>
          <w:color w:val="000000"/>
        </w:rPr>
        <w:t xml:space="preserve">combination </w:t>
      </w:r>
      <w:r w:rsidR="00137C74" w:rsidRPr="00872B32">
        <w:rPr>
          <w:rFonts w:ascii="Book Antiqua" w:hAnsi="Book Antiqua"/>
          <w:color w:val="000000"/>
        </w:rPr>
        <w:t>observed (Table 3</w:t>
      </w:r>
      <w:r w:rsidRPr="00872B32">
        <w:rPr>
          <w:rFonts w:ascii="Book Antiqua" w:hAnsi="Book Antiqua"/>
          <w:color w:val="000000"/>
        </w:rPr>
        <w:t>). Considering together Fc</w:t>
      </w:r>
      <w:r w:rsidR="00CA095C" w:rsidRPr="00872B32">
        <w:rPr>
          <w:rFonts w:ascii="Book Antiqua" w:hAnsi="Book Antiqua"/>
          <w:color w:val="000000"/>
        </w:rPr>
        <w:sym w:font="Symbol" w:char="F067"/>
      </w:r>
      <w:r w:rsidRPr="00872B32">
        <w:rPr>
          <w:rFonts w:ascii="Book Antiqua" w:hAnsi="Book Antiqua"/>
          <w:color w:val="000000"/>
        </w:rPr>
        <w:t>RIIa and Fc</w:t>
      </w:r>
      <w:r w:rsidR="00CA095C" w:rsidRPr="00872B32">
        <w:rPr>
          <w:rFonts w:ascii="Book Antiqua" w:hAnsi="Book Antiqua"/>
          <w:color w:val="000000"/>
        </w:rPr>
        <w:sym w:font="Symbol" w:char="F067"/>
      </w:r>
      <w:r w:rsidRPr="00872B32">
        <w:rPr>
          <w:rFonts w:ascii="Book Antiqua" w:hAnsi="Book Antiqua"/>
          <w:color w:val="000000"/>
        </w:rPr>
        <w:t>RIIIa</w:t>
      </w:r>
      <w:r w:rsidR="00E5133E" w:rsidRPr="00872B32">
        <w:rPr>
          <w:rFonts w:ascii="Book Antiqua" w:hAnsi="Book Antiqua"/>
          <w:color w:val="000000"/>
        </w:rPr>
        <w:t>, we</w:t>
      </w:r>
      <w:r w:rsidRPr="00872B32">
        <w:rPr>
          <w:rFonts w:ascii="Book Antiqua" w:hAnsi="Book Antiqua"/>
          <w:color w:val="000000"/>
        </w:rPr>
        <w:t xml:space="preserve"> found that</w:t>
      </w:r>
      <w:r w:rsidR="00D7461A">
        <w:rPr>
          <w:rFonts w:ascii="Book Antiqua" w:hAnsi="Book Antiqua"/>
          <w:color w:val="000000"/>
        </w:rPr>
        <w:t xml:space="preserve"> the</w:t>
      </w:r>
      <w:r w:rsidRPr="00872B32">
        <w:rPr>
          <w:rFonts w:ascii="Book Antiqua" w:hAnsi="Book Antiqua"/>
          <w:color w:val="000000"/>
        </w:rPr>
        <w:t xml:space="preserve"> </w:t>
      </w:r>
      <w:r w:rsidRPr="00872B32">
        <w:rPr>
          <w:rFonts w:ascii="Book Antiqua" w:hAnsi="Book Antiqua"/>
          <w:bCs/>
          <w:i/>
          <w:color w:val="000000"/>
        </w:rPr>
        <w:t>H/H-F/F</w:t>
      </w:r>
      <w:r w:rsidRPr="00872B32">
        <w:rPr>
          <w:rFonts w:ascii="Book Antiqua" w:hAnsi="Book Antiqua"/>
          <w:bCs/>
          <w:color w:val="000000"/>
        </w:rPr>
        <w:t xml:space="preserve"> </w:t>
      </w:r>
      <w:r w:rsidR="00D7461A">
        <w:rPr>
          <w:rFonts w:ascii="Book Antiqua" w:hAnsi="Book Antiqua"/>
          <w:bCs/>
          <w:color w:val="000000"/>
        </w:rPr>
        <w:t>and</w:t>
      </w:r>
      <w:r w:rsidRPr="00872B32">
        <w:rPr>
          <w:rFonts w:ascii="Book Antiqua" w:hAnsi="Book Antiqua"/>
          <w:bCs/>
          <w:color w:val="000000"/>
        </w:rPr>
        <w:t xml:space="preserve"> </w:t>
      </w:r>
      <w:r w:rsidRPr="00872B32">
        <w:rPr>
          <w:rFonts w:ascii="Book Antiqua" w:hAnsi="Book Antiqua"/>
          <w:bCs/>
          <w:i/>
          <w:color w:val="000000"/>
        </w:rPr>
        <w:t>R/R-V/V</w:t>
      </w:r>
      <w:r w:rsidRPr="00872B32">
        <w:rPr>
          <w:rFonts w:ascii="Book Antiqua" w:hAnsi="Book Antiqua"/>
          <w:bCs/>
          <w:color w:val="000000"/>
        </w:rPr>
        <w:t xml:space="preserve"> combinations in the male group and the </w:t>
      </w:r>
      <w:r w:rsidRPr="00872B32">
        <w:rPr>
          <w:rFonts w:ascii="Book Antiqua" w:hAnsi="Book Antiqua"/>
          <w:bCs/>
          <w:i/>
          <w:color w:val="000000"/>
        </w:rPr>
        <w:t>H/H-V/V</w:t>
      </w:r>
      <w:r w:rsidRPr="00872B32">
        <w:rPr>
          <w:rFonts w:ascii="Book Antiqua" w:hAnsi="Book Antiqua"/>
          <w:bCs/>
          <w:color w:val="000000"/>
        </w:rPr>
        <w:t xml:space="preserve">, </w:t>
      </w:r>
      <w:r w:rsidRPr="00872B32">
        <w:rPr>
          <w:rFonts w:ascii="Book Antiqua" w:hAnsi="Book Antiqua"/>
          <w:bCs/>
          <w:i/>
          <w:color w:val="000000"/>
        </w:rPr>
        <w:t>H/R-V/V</w:t>
      </w:r>
      <w:r w:rsidRPr="00872B32">
        <w:rPr>
          <w:rFonts w:ascii="Book Antiqua" w:hAnsi="Book Antiqua"/>
          <w:bCs/>
          <w:color w:val="000000"/>
        </w:rPr>
        <w:t xml:space="preserve"> and the </w:t>
      </w:r>
      <w:r w:rsidRPr="00872B32">
        <w:rPr>
          <w:rFonts w:ascii="Book Antiqua" w:hAnsi="Book Antiqua"/>
          <w:bCs/>
          <w:i/>
          <w:color w:val="000000"/>
        </w:rPr>
        <w:t>RR-F/F</w:t>
      </w:r>
      <w:r w:rsidRPr="00872B32">
        <w:rPr>
          <w:rFonts w:ascii="Book Antiqua" w:hAnsi="Book Antiqua"/>
          <w:bCs/>
          <w:color w:val="000000"/>
        </w:rPr>
        <w:t xml:space="preserve"> combinations in female one could be biomarkers of non-risk of disease progression. T</w:t>
      </w:r>
      <w:r w:rsidRPr="00872B32">
        <w:rPr>
          <w:rFonts w:ascii="Book Antiqua" w:hAnsi="Book Antiqua"/>
          <w:color w:val="000000"/>
        </w:rPr>
        <w:t xml:space="preserve">he </w:t>
      </w:r>
      <w:r w:rsidRPr="00872B32">
        <w:rPr>
          <w:rFonts w:ascii="Book Antiqua" w:hAnsi="Book Antiqua"/>
          <w:bCs/>
          <w:i/>
          <w:color w:val="000000"/>
        </w:rPr>
        <w:t>H/R-F/F</w:t>
      </w:r>
      <w:r w:rsidRPr="00872B32">
        <w:rPr>
          <w:rFonts w:ascii="Book Antiqua" w:hAnsi="Book Antiqua"/>
          <w:bCs/>
          <w:color w:val="000000"/>
        </w:rPr>
        <w:t xml:space="preserve"> pair is linked to a moderate risk but only in the male group. </w:t>
      </w:r>
      <w:r w:rsidRPr="00872B32">
        <w:rPr>
          <w:rFonts w:ascii="Book Antiqua" w:hAnsi="Book Antiqua"/>
          <w:bCs/>
          <w:i/>
          <w:color w:val="000000"/>
        </w:rPr>
        <w:t>HH-VF</w:t>
      </w:r>
      <w:r w:rsidRPr="00872B32">
        <w:rPr>
          <w:rFonts w:ascii="Book Antiqua" w:hAnsi="Book Antiqua"/>
          <w:bCs/>
          <w:color w:val="000000"/>
        </w:rPr>
        <w:t xml:space="preserve"> and </w:t>
      </w:r>
      <w:r w:rsidRPr="00872B32">
        <w:rPr>
          <w:rFonts w:ascii="Book Antiqua" w:hAnsi="Book Antiqua"/>
          <w:bCs/>
          <w:i/>
          <w:color w:val="000000"/>
        </w:rPr>
        <w:t>RR-V/F</w:t>
      </w:r>
      <w:r w:rsidRPr="00872B32">
        <w:rPr>
          <w:rFonts w:ascii="Book Antiqua" w:hAnsi="Book Antiqua"/>
          <w:bCs/>
          <w:color w:val="000000"/>
        </w:rPr>
        <w:t xml:space="preserve"> could be </w:t>
      </w:r>
      <w:r w:rsidR="00E5133E" w:rsidRPr="00872B32">
        <w:rPr>
          <w:rFonts w:ascii="Book Antiqua" w:hAnsi="Book Antiqua"/>
          <w:bCs/>
          <w:color w:val="000000"/>
        </w:rPr>
        <w:t>high-risk</w:t>
      </w:r>
      <w:r w:rsidRPr="00872B32">
        <w:rPr>
          <w:rFonts w:ascii="Book Antiqua" w:hAnsi="Book Antiqua"/>
          <w:bCs/>
          <w:color w:val="000000"/>
        </w:rPr>
        <w:t xml:space="preserve"> biomarkers in both genders </w:t>
      </w:r>
      <w:r w:rsidR="00E5133E" w:rsidRPr="00872B32">
        <w:rPr>
          <w:rFonts w:ascii="Book Antiqua" w:hAnsi="Book Antiqua"/>
          <w:bCs/>
          <w:color w:val="000000"/>
        </w:rPr>
        <w:t>but HR</w:t>
      </w:r>
      <w:r w:rsidRPr="00872B32">
        <w:rPr>
          <w:rFonts w:ascii="Book Antiqua" w:hAnsi="Book Antiqua"/>
          <w:bCs/>
          <w:color w:val="000000"/>
        </w:rPr>
        <w:t xml:space="preserve">-V/F only for the male group. </w:t>
      </w:r>
    </w:p>
    <w:p w14:paraId="21F99151" w14:textId="372EB3E5"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bCs/>
          <w:color w:val="000000"/>
        </w:rPr>
        <w:t xml:space="preserve">In order to support these assumptions, it is possible to notice in the patients graphs </w:t>
      </w:r>
      <w:r w:rsidRPr="00872B32">
        <w:rPr>
          <w:rFonts w:ascii="Book Antiqua" w:hAnsi="Book Antiqua"/>
          <w:color w:val="000000"/>
        </w:rPr>
        <w:t>(</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D</w:t>
      </w:r>
      <w:r w:rsidRPr="00872B32">
        <w:rPr>
          <w:rFonts w:ascii="Book Antiqua" w:hAnsi="Book Antiqua"/>
          <w:color w:val="000000"/>
        </w:rPr>
        <w:t>)</w:t>
      </w:r>
      <w:r w:rsidR="00D7461A">
        <w:rPr>
          <w:rFonts w:ascii="Book Antiqua" w:hAnsi="Book Antiqua"/>
          <w:color w:val="000000"/>
        </w:rPr>
        <w:t xml:space="preserve"> that</w:t>
      </w:r>
      <w:r w:rsidRPr="00872B32">
        <w:rPr>
          <w:rFonts w:ascii="Book Antiqua" w:hAnsi="Book Antiqua"/>
          <w:bCs/>
          <w:color w:val="000000"/>
        </w:rPr>
        <w:t xml:space="preserve"> these </w:t>
      </w:r>
      <w:r w:rsidRPr="00872B32">
        <w:rPr>
          <w:rFonts w:ascii="Book Antiqua" w:hAnsi="Book Antiqua"/>
          <w:color w:val="000000"/>
        </w:rPr>
        <w:t>Fc</w:t>
      </w:r>
      <w:r w:rsidR="00395013" w:rsidRPr="00872B32">
        <w:rPr>
          <w:rFonts w:ascii="Book Antiqua" w:hAnsi="Book Antiqua"/>
          <w:color w:val="000000"/>
        </w:rPr>
        <w:sym w:font="Symbol" w:char="F067"/>
      </w:r>
      <w:r w:rsidRPr="00872B32">
        <w:rPr>
          <w:rFonts w:ascii="Book Antiqua" w:hAnsi="Book Antiqua"/>
          <w:color w:val="000000"/>
        </w:rPr>
        <w:t>RIIa and Fc</w:t>
      </w:r>
      <w:r w:rsidR="00395013" w:rsidRPr="00872B32">
        <w:rPr>
          <w:rFonts w:ascii="Book Antiqua" w:hAnsi="Book Antiqua"/>
          <w:color w:val="000000"/>
        </w:rPr>
        <w:sym w:font="Symbol" w:char="F067"/>
      </w:r>
      <w:r w:rsidRPr="00872B32">
        <w:rPr>
          <w:rFonts w:ascii="Book Antiqua" w:hAnsi="Book Antiqua"/>
          <w:color w:val="000000"/>
        </w:rPr>
        <w:t xml:space="preserve">RIIIa polymorphisms were positively related to the serum profile </w:t>
      </w:r>
      <w:r w:rsidR="00E5133E" w:rsidRPr="00872B32">
        <w:rPr>
          <w:rFonts w:ascii="Book Antiqua" w:hAnsi="Book Antiqua"/>
          <w:color w:val="000000"/>
        </w:rPr>
        <w:t>parameters, which</w:t>
      </w:r>
      <w:r w:rsidRPr="00872B32">
        <w:rPr>
          <w:rFonts w:ascii="Book Antiqua" w:hAnsi="Book Antiqua"/>
          <w:color w:val="000000"/>
        </w:rPr>
        <w:t xml:space="preserve"> are biomarkers of the loss of redox-immune homeostasis. In fact,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D</w:t>
      </w:r>
      <w:r w:rsidRPr="00872B32">
        <w:rPr>
          <w:rFonts w:ascii="Book Antiqua" w:hAnsi="Book Antiqua"/>
          <w:color w:val="000000"/>
        </w:rPr>
        <w:t xml:space="preserve">), </w:t>
      </w:r>
      <w:r w:rsidRPr="00872B32">
        <w:rPr>
          <w:rFonts w:ascii="Book Antiqua" w:hAnsi="Book Antiqua"/>
          <w:i/>
          <w:color w:val="000000"/>
        </w:rPr>
        <w:t>H/H</w:t>
      </w:r>
      <w:r w:rsidRPr="00872B32">
        <w:rPr>
          <w:rFonts w:ascii="Book Antiqua" w:hAnsi="Book Antiqua"/>
          <w:color w:val="000000"/>
        </w:rPr>
        <w:t xml:space="preserve"> is related to a combined increase in TGF</w:t>
      </w:r>
      <w:r w:rsidR="00395013" w:rsidRPr="00872B32">
        <w:rPr>
          <w:rFonts w:ascii="Book Antiqua" w:hAnsi="Book Antiqua"/>
          <w:color w:val="000000"/>
        </w:rPr>
        <w:t>β</w:t>
      </w:r>
      <w:r w:rsidRPr="00872B32">
        <w:rPr>
          <w:rFonts w:ascii="Book Antiqua" w:hAnsi="Book Antiqua"/>
          <w:color w:val="000000"/>
        </w:rPr>
        <w:t xml:space="preserve">, IL4 and IL10 (expansion of Th9 cells, </w:t>
      </w:r>
      <w:r w:rsidR="002A074A" w:rsidRPr="00872B32">
        <w:rPr>
          <w:rFonts w:ascii="Book Antiqua" w:hAnsi="Book Antiqua"/>
          <w:color w:val="000000"/>
        </w:rPr>
        <w:t>Figure</w:t>
      </w:r>
      <w:r w:rsidRPr="00872B32">
        <w:rPr>
          <w:rFonts w:ascii="Book Antiqua" w:hAnsi="Book Antiqua"/>
          <w:color w:val="000000"/>
        </w:rPr>
        <w:t xml:space="preserve"> 1)</w:t>
      </w:r>
      <w:r w:rsidR="00D7461A">
        <w:rPr>
          <w:rFonts w:ascii="Book Antiqua" w:hAnsi="Book Antiqua"/>
          <w:color w:val="000000"/>
        </w:rPr>
        <w:t>,</w:t>
      </w:r>
      <w:r w:rsidRPr="00872B32">
        <w:rPr>
          <w:rFonts w:ascii="Book Antiqua" w:hAnsi="Book Antiqua"/>
          <w:color w:val="000000"/>
        </w:rPr>
        <w:t xml:space="preserve"> </w:t>
      </w:r>
      <w:r w:rsidR="00E5133E" w:rsidRPr="00872B32">
        <w:rPr>
          <w:rFonts w:ascii="Book Antiqua" w:hAnsi="Book Antiqua"/>
          <w:color w:val="000000"/>
        </w:rPr>
        <w:t xml:space="preserve">and </w:t>
      </w:r>
      <w:r w:rsidR="00E5133E" w:rsidRPr="00872B32">
        <w:rPr>
          <w:rFonts w:ascii="Book Antiqua" w:hAnsi="Book Antiqua"/>
          <w:i/>
          <w:color w:val="000000"/>
        </w:rPr>
        <w:t>R</w:t>
      </w:r>
      <w:r w:rsidRPr="00872B32">
        <w:rPr>
          <w:rFonts w:ascii="Book Antiqua" w:hAnsi="Book Antiqua"/>
          <w:i/>
          <w:color w:val="000000"/>
        </w:rPr>
        <w:t>/R</w:t>
      </w:r>
      <w:r w:rsidRPr="00872B32">
        <w:rPr>
          <w:rFonts w:ascii="Book Antiqua" w:hAnsi="Book Antiqua"/>
          <w:color w:val="000000"/>
        </w:rPr>
        <w:t xml:space="preserve"> and </w:t>
      </w:r>
      <w:r w:rsidRPr="00872B32">
        <w:rPr>
          <w:rFonts w:ascii="Book Antiqua" w:hAnsi="Book Antiqua"/>
          <w:i/>
          <w:color w:val="000000"/>
        </w:rPr>
        <w:t>V/F</w:t>
      </w:r>
      <w:r w:rsidRPr="00872B32">
        <w:rPr>
          <w:rFonts w:ascii="Book Antiqua" w:hAnsi="Book Antiqua"/>
          <w:color w:val="000000"/>
        </w:rPr>
        <w:t xml:space="preserve"> are related to an increase in RTrx1 (redox unbalance). Furthermore, in the female group (</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F</w:t>
      </w:r>
      <w:r w:rsidRPr="00872B32">
        <w:rPr>
          <w:rFonts w:ascii="Book Antiqua" w:hAnsi="Book Antiqua"/>
          <w:color w:val="000000"/>
        </w:rPr>
        <w:t xml:space="preserve">), </w:t>
      </w:r>
      <w:r w:rsidRPr="00872B32">
        <w:rPr>
          <w:rFonts w:ascii="Book Antiqua" w:hAnsi="Book Antiqua"/>
          <w:i/>
          <w:color w:val="000000"/>
        </w:rPr>
        <w:t>H/R</w:t>
      </w:r>
      <w:r w:rsidRPr="00872B32">
        <w:rPr>
          <w:rFonts w:ascii="Book Antiqua" w:hAnsi="Book Antiqua"/>
          <w:color w:val="000000"/>
        </w:rPr>
        <w:t xml:space="preserve"> is related to a combined increase in TGF</w:t>
      </w:r>
      <w:r w:rsidR="00395013" w:rsidRPr="00872B32">
        <w:rPr>
          <w:rFonts w:ascii="Book Antiqua" w:hAnsi="Book Antiqua"/>
          <w:color w:val="000000"/>
        </w:rPr>
        <w:t>β</w:t>
      </w:r>
      <w:r w:rsidRPr="00872B32">
        <w:rPr>
          <w:rFonts w:ascii="Book Antiqua" w:hAnsi="Book Antiqua"/>
          <w:color w:val="000000"/>
        </w:rPr>
        <w:t xml:space="preserve">, IL6 and IL10 (expansion of Th17 cells, </w:t>
      </w:r>
      <w:r w:rsidR="002A074A" w:rsidRPr="00872B32">
        <w:rPr>
          <w:rFonts w:ascii="Book Antiqua" w:hAnsi="Book Antiqua"/>
          <w:color w:val="000000"/>
        </w:rPr>
        <w:t>Figure</w:t>
      </w:r>
      <w:r w:rsidRPr="00872B32">
        <w:rPr>
          <w:rFonts w:ascii="Book Antiqua" w:hAnsi="Book Antiqua"/>
          <w:color w:val="000000"/>
        </w:rPr>
        <w:t xml:space="preserve"> 1). On the other </w:t>
      </w:r>
      <w:r w:rsidR="00E5133E" w:rsidRPr="00872B32">
        <w:rPr>
          <w:rFonts w:ascii="Book Antiqua" w:hAnsi="Book Antiqua"/>
          <w:color w:val="000000"/>
        </w:rPr>
        <w:t>hand,</w:t>
      </w:r>
      <w:r w:rsidRPr="00872B32">
        <w:rPr>
          <w:rFonts w:ascii="Book Antiqua" w:hAnsi="Book Antiqua"/>
          <w:color w:val="000000"/>
        </w:rPr>
        <w:t xml:space="preserve"> </w:t>
      </w:r>
      <w:r w:rsidRPr="00872B32">
        <w:rPr>
          <w:rFonts w:ascii="Book Antiqua" w:hAnsi="Book Antiqua"/>
          <w:i/>
          <w:color w:val="000000"/>
        </w:rPr>
        <w:t>R/R</w:t>
      </w:r>
      <w:r w:rsidRPr="00872B32">
        <w:rPr>
          <w:rFonts w:ascii="Book Antiqua" w:hAnsi="Book Antiqua"/>
          <w:color w:val="000000"/>
        </w:rPr>
        <w:t xml:space="preserve"> and </w:t>
      </w:r>
      <w:r w:rsidRPr="00872B32">
        <w:rPr>
          <w:rFonts w:ascii="Book Antiqua" w:hAnsi="Book Antiqua"/>
          <w:i/>
          <w:color w:val="000000"/>
        </w:rPr>
        <w:t>F/F</w:t>
      </w:r>
      <w:r w:rsidRPr="00872B32">
        <w:rPr>
          <w:rFonts w:ascii="Book Antiqua" w:hAnsi="Book Antiqua"/>
          <w:color w:val="000000"/>
        </w:rPr>
        <w:t xml:space="preserve"> are related to an increase in Trx1 (redox unbalance). </w:t>
      </w:r>
    </w:p>
    <w:p w14:paraId="7E489AC0" w14:textId="77777777" w:rsidR="000956E5" w:rsidRPr="00872B32" w:rsidRDefault="000956E5" w:rsidP="008C54E8">
      <w:pPr>
        <w:snapToGrid w:val="0"/>
        <w:spacing w:line="360" w:lineRule="auto"/>
        <w:jc w:val="both"/>
        <w:rPr>
          <w:rFonts w:ascii="Book Antiqua" w:hAnsi="Book Antiqua"/>
          <w:color w:val="000000"/>
        </w:rPr>
      </w:pPr>
    </w:p>
    <w:p w14:paraId="4265BF25" w14:textId="77777777" w:rsidR="000956E5" w:rsidRPr="00872B32" w:rsidRDefault="000956E5" w:rsidP="008C54E8">
      <w:pPr>
        <w:snapToGrid w:val="0"/>
        <w:spacing w:line="360" w:lineRule="auto"/>
        <w:jc w:val="both"/>
        <w:rPr>
          <w:rFonts w:ascii="Book Antiqua" w:hAnsi="Book Antiqua"/>
          <w:b/>
          <w:i/>
          <w:color w:val="000000"/>
        </w:rPr>
      </w:pPr>
      <w:r w:rsidRPr="00872B32">
        <w:rPr>
          <w:rFonts w:ascii="Book Antiqua" w:hAnsi="Book Antiqua"/>
          <w:b/>
          <w:i/>
          <w:color w:val="000000"/>
        </w:rPr>
        <w:t xml:space="preserve">aKIRs polymorphisms </w:t>
      </w:r>
    </w:p>
    <w:p w14:paraId="5462D0F9" w14:textId="0BF2F067" w:rsidR="000956E5" w:rsidRPr="00157F2D" w:rsidRDefault="000956E5" w:rsidP="008C54E8">
      <w:pPr>
        <w:snapToGrid w:val="0"/>
        <w:spacing w:line="360" w:lineRule="auto"/>
        <w:jc w:val="both"/>
        <w:rPr>
          <w:rFonts w:ascii="Book Antiqua" w:hAnsi="Book Antiqua"/>
          <w:strike/>
          <w:color w:val="000000"/>
        </w:rPr>
      </w:pPr>
      <w:r w:rsidRPr="00872B32">
        <w:rPr>
          <w:rFonts w:ascii="Book Antiqua" w:hAnsi="Book Antiqua"/>
          <w:color w:val="000000"/>
        </w:rPr>
        <w:t xml:space="preserve">In </w:t>
      </w:r>
      <w:r w:rsidR="004144D6" w:rsidRPr="004144D6">
        <w:rPr>
          <w:rFonts w:ascii="Book Antiqua" w:hAnsi="Book Antiqua"/>
          <w:color w:val="000000"/>
        </w:rPr>
        <w:t>Supplement Figure</w:t>
      </w:r>
      <w:r w:rsidR="004144D6" w:rsidRPr="004144D6">
        <w:rPr>
          <w:rFonts w:ascii="Book Antiqua" w:hAnsi="Book Antiqua" w:hint="eastAsia"/>
          <w:color w:val="000000"/>
        </w:rPr>
        <w:t>s</w:t>
      </w:r>
      <w:r w:rsidR="004144D6" w:rsidRPr="004144D6">
        <w:rPr>
          <w:rFonts w:ascii="Book Antiqua" w:hAnsi="Book Antiqua"/>
          <w:color w:val="000000"/>
        </w:rPr>
        <w:t xml:space="preserve"> </w:t>
      </w:r>
      <w:r w:rsidR="004144D6">
        <w:rPr>
          <w:rFonts w:ascii="Book Antiqua" w:hAnsi="Book Antiqua"/>
          <w:color w:val="000000"/>
        </w:rPr>
        <w:t xml:space="preserve">1 and </w:t>
      </w:r>
      <w:r w:rsidR="00F5604C" w:rsidRPr="00872B32">
        <w:rPr>
          <w:rFonts w:ascii="Book Antiqua" w:hAnsi="Book Antiqua"/>
          <w:color w:val="000000"/>
        </w:rPr>
        <w:t>2</w:t>
      </w:r>
      <w:r w:rsidR="00E5133E" w:rsidRPr="00872B32">
        <w:rPr>
          <w:rFonts w:ascii="Book Antiqua" w:hAnsi="Book Antiqua"/>
          <w:color w:val="000000"/>
        </w:rPr>
        <w:t>, the</w:t>
      </w:r>
      <w:r w:rsidRPr="00872B32">
        <w:rPr>
          <w:rFonts w:ascii="Book Antiqua" w:hAnsi="Book Antiqua"/>
          <w:color w:val="000000"/>
        </w:rPr>
        <w:t xml:space="preserve"> </w:t>
      </w:r>
      <w:r w:rsidR="00E5133E" w:rsidRPr="00872B32">
        <w:rPr>
          <w:rFonts w:ascii="Book Antiqua" w:hAnsi="Book Antiqua"/>
          <w:color w:val="000000"/>
        </w:rPr>
        <w:t>KIR gene</w:t>
      </w:r>
      <w:r w:rsidRPr="00872B32">
        <w:rPr>
          <w:rFonts w:ascii="Book Antiqua" w:hAnsi="Book Antiqua"/>
          <w:color w:val="000000"/>
        </w:rPr>
        <w:t>-content genotypes in healthy, adenoma subjects and patients are show</w:t>
      </w:r>
      <w:r w:rsidR="00C44AA6">
        <w:rPr>
          <w:rFonts w:ascii="Book Antiqua" w:hAnsi="Book Antiqua"/>
          <w:color w:val="000000"/>
        </w:rPr>
        <w:t>n</w:t>
      </w:r>
      <w:r w:rsidRPr="00872B32">
        <w:rPr>
          <w:rFonts w:ascii="Book Antiqua" w:hAnsi="Book Antiqua"/>
          <w:color w:val="000000"/>
        </w:rPr>
        <w:t xml:space="preserve">. Table </w:t>
      </w:r>
      <w:r w:rsidR="00137C74" w:rsidRPr="00872B32">
        <w:rPr>
          <w:rFonts w:ascii="Book Antiqua" w:hAnsi="Book Antiqua"/>
          <w:color w:val="000000"/>
        </w:rPr>
        <w:t>4</w:t>
      </w:r>
      <w:r w:rsidRPr="00872B32">
        <w:rPr>
          <w:rFonts w:ascii="Book Antiqua" w:hAnsi="Book Antiqua"/>
          <w:color w:val="000000"/>
        </w:rPr>
        <w:t xml:space="preserve"> shows the levels of the phenotypic antigen expression.</w:t>
      </w:r>
      <w:r w:rsidR="00157F2D" w:rsidRPr="00526FCE">
        <w:rPr>
          <w:rFonts w:ascii="Book Antiqua" w:eastAsia="宋体" w:hAnsi="Book Antiqua" w:hint="eastAsia"/>
          <w:color w:val="000000"/>
          <w:lang w:eastAsia="zh-CN"/>
        </w:rPr>
        <w:t xml:space="preserve"> </w:t>
      </w:r>
      <w:r w:rsidRPr="00872B32">
        <w:rPr>
          <w:rFonts w:ascii="Book Antiqua" w:hAnsi="Book Antiqua"/>
          <w:color w:val="000000"/>
        </w:rPr>
        <w:t>We evaluated if</w:t>
      </w:r>
      <w:r w:rsidR="00030330" w:rsidRPr="00872B32">
        <w:rPr>
          <w:rFonts w:ascii="Book Antiqua" w:hAnsi="Book Antiqua"/>
          <w:color w:val="000000"/>
        </w:rPr>
        <w:t xml:space="preserve"> the number of aKIRs and iKIRs </w:t>
      </w:r>
      <w:r w:rsidRPr="00872B32">
        <w:rPr>
          <w:rFonts w:ascii="Book Antiqua" w:hAnsi="Book Antiqua"/>
          <w:color w:val="000000"/>
        </w:rPr>
        <w:t>could be prognostic for disease stage progression. This was done by evaluating their correlations in the network</w:t>
      </w:r>
      <w:r w:rsidR="00030330" w:rsidRPr="00872B32">
        <w:rPr>
          <w:rFonts w:ascii="Book Antiqua" w:hAnsi="Book Antiqua"/>
          <w:color w:val="000000"/>
        </w:rPr>
        <w:t>. Our results show</w:t>
      </w:r>
      <w:r w:rsidRPr="00872B32">
        <w:rPr>
          <w:rFonts w:ascii="Book Antiqua" w:hAnsi="Book Antiqua"/>
          <w:color w:val="000000"/>
        </w:rPr>
        <w:t xml:space="preserve"> that (</w:t>
      </w:r>
      <w:r w:rsidR="002A074A" w:rsidRPr="00872B32">
        <w:rPr>
          <w:rFonts w:ascii="Book Antiqua" w:hAnsi="Book Antiqua"/>
          <w:color w:val="000000"/>
        </w:rPr>
        <w:t>Figure</w:t>
      </w:r>
      <w:r w:rsidRPr="00872B32">
        <w:rPr>
          <w:rFonts w:ascii="Book Antiqua" w:hAnsi="Book Antiqua"/>
          <w:color w:val="000000"/>
        </w:rPr>
        <w:t xml:space="preserve"> </w:t>
      </w:r>
      <w:r w:rsidR="0089168D" w:rsidRPr="00872B32">
        <w:rPr>
          <w:rFonts w:ascii="Book Antiqua" w:hAnsi="Book Antiqua"/>
          <w:color w:val="000000"/>
        </w:rPr>
        <w:t>6A</w:t>
      </w:r>
      <w:r w:rsidRPr="00872B32">
        <w:rPr>
          <w:rFonts w:ascii="Book Antiqua" w:hAnsi="Book Antiqua"/>
          <w:color w:val="000000"/>
        </w:rPr>
        <w:t>)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and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2 are the most significant biomarkers in relation to the disease stage progression. The number of iKIR receptors seems, instead, to be irrelevant in this correlation. Furthermore,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2 is more closely related to disease progression than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and could be considered as the principal biomarker of sCD30 increase.</w:t>
      </w:r>
      <w:r w:rsidR="00C808A0" w:rsidRPr="00872B32">
        <w:rPr>
          <w:rFonts w:ascii="Book Antiqua" w:hAnsi="Book Antiqua"/>
          <w:color w:val="000000"/>
        </w:rPr>
        <w:t xml:space="preserve"> </w:t>
      </w:r>
      <w:r w:rsidRPr="00872B32">
        <w:rPr>
          <w:rFonts w:ascii="Book Antiqua" w:hAnsi="Book Antiqua"/>
          <w:color w:val="000000"/>
        </w:rPr>
        <w:t>Instead</w:t>
      </w:r>
      <w:r w:rsidR="00C44AA6">
        <w:rPr>
          <w:rFonts w:ascii="Book Antiqua" w:hAnsi="Book Antiqua"/>
          <w:color w:val="000000"/>
        </w:rPr>
        <w:t>,</w:t>
      </w:r>
      <w:r w:rsidRPr="00872B32">
        <w:rPr>
          <w:rFonts w:ascii="Book Antiqua" w:hAnsi="Book Antiqua"/>
          <w:color w:val="000000"/>
        </w:rPr>
        <w:t xml:space="preserve">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is the biomarker of IL6, sIL2R, TGF</w:t>
      </w:r>
      <w:r w:rsidR="005655C0" w:rsidRPr="00872B32">
        <w:rPr>
          <w:rFonts w:ascii="Book Antiqua" w:hAnsi="Book Antiqua"/>
          <w:color w:val="000000"/>
        </w:rPr>
        <w:t>β</w:t>
      </w:r>
      <w:r w:rsidRPr="00872B32">
        <w:rPr>
          <w:rFonts w:ascii="Book Antiqua" w:hAnsi="Book Antiqua"/>
          <w:color w:val="000000"/>
        </w:rPr>
        <w:t xml:space="preserve"> and Trx1 increase. </w:t>
      </w:r>
    </w:p>
    <w:p w14:paraId="6DF7B4D3" w14:textId="6E424E49"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lastRenderedPageBreak/>
        <w:t>According to these results we established that the “aKIR</w:t>
      </w:r>
      <w:r w:rsidR="00456D2C" w:rsidRPr="00872B32">
        <w:rPr>
          <w:rFonts w:ascii="Book Antiqua" w:hAnsi="Book Antiqua"/>
          <w:color w:val="000000"/>
        </w:rPr>
        <w:t xml:space="preserve"> </w:t>
      </w:r>
      <w:r w:rsidRPr="00872B32">
        <w:rPr>
          <w:rFonts w:ascii="Book Antiqua" w:hAnsi="Book Antiqua"/>
          <w:color w:val="000000"/>
        </w:rPr>
        <w:t>&gt;</w:t>
      </w:r>
      <w:r w:rsidR="00456D2C" w:rsidRPr="00872B32">
        <w:rPr>
          <w:rFonts w:ascii="Book Antiqua" w:hAnsi="Book Antiqua"/>
          <w:color w:val="000000"/>
        </w:rPr>
        <w:t xml:space="preserve"> </w:t>
      </w:r>
      <w:r w:rsidRPr="00872B32">
        <w:rPr>
          <w:rFonts w:ascii="Book Antiqua" w:hAnsi="Book Antiqua"/>
          <w:color w:val="000000"/>
        </w:rPr>
        <w:t>2” and “aKIR</w:t>
      </w:r>
      <w:r w:rsidR="00456D2C" w:rsidRPr="00872B32">
        <w:rPr>
          <w:rFonts w:ascii="Book Antiqua" w:hAnsi="Book Antiqua"/>
          <w:color w:val="000000"/>
        </w:rPr>
        <w:t xml:space="preserve"> </w:t>
      </w:r>
      <w:r w:rsidRPr="00872B32">
        <w:rPr>
          <w:rFonts w:ascii="Book Antiqua" w:hAnsi="Book Antiqua"/>
          <w:color w:val="000000"/>
        </w:rPr>
        <w:t>&lt;</w:t>
      </w:r>
      <w:r w:rsidR="00456D2C" w:rsidRPr="00872B32">
        <w:rPr>
          <w:rFonts w:ascii="Book Antiqua" w:hAnsi="Book Antiqua"/>
          <w:color w:val="000000"/>
        </w:rPr>
        <w:t xml:space="preserve"> </w:t>
      </w:r>
      <w:r w:rsidRPr="00872B32">
        <w:rPr>
          <w:rFonts w:ascii="Book Antiqua" w:hAnsi="Book Antiqua"/>
          <w:color w:val="000000"/>
        </w:rPr>
        <w:t>3” parameters could</w:t>
      </w:r>
      <w:r w:rsidR="00C44AA6">
        <w:rPr>
          <w:rFonts w:ascii="Book Antiqua" w:hAnsi="Book Antiqua"/>
          <w:color w:val="000000"/>
        </w:rPr>
        <w:t>,</w:t>
      </w:r>
      <w:r w:rsidRPr="00872B32">
        <w:rPr>
          <w:rFonts w:ascii="Book Antiqua" w:hAnsi="Book Antiqua"/>
          <w:color w:val="000000"/>
        </w:rPr>
        <w:t xml:space="preserve"> respectively</w:t>
      </w:r>
      <w:r w:rsidR="00C44AA6">
        <w:rPr>
          <w:rFonts w:ascii="Book Antiqua" w:hAnsi="Book Antiqua"/>
          <w:color w:val="000000"/>
        </w:rPr>
        <w:t>,</w:t>
      </w:r>
      <w:r w:rsidRPr="00872B32">
        <w:rPr>
          <w:rFonts w:ascii="Book Antiqua" w:hAnsi="Book Antiqua"/>
          <w:color w:val="000000"/>
        </w:rPr>
        <w:t xml:space="preserve"> be the limits of non-risk and risk of disease</w:t>
      </w:r>
      <w:r w:rsidR="00C44AA6">
        <w:rPr>
          <w:rFonts w:ascii="Book Antiqua" w:hAnsi="Book Antiqua"/>
          <w:color w:val="000000"/>
        </w:rPr>
        <w:t>,</w:t>
      </w:r>
      <w:r w:rsidRPr="00872B32">
        <w:rPr>
          <w:rFonts w:ascii="Book Antiqua" w:hAnsi="Book Antiqua"/>
          <w:color w:val="000000"/>
        </w:rPr>
        <w:t xml:space="preserve"> and we used them as elements of stratification to evaluate the significance of our parameters as prognostic biomarkers of disease risk. This study was performed by evaluating the correlation between the KIR genetic polymorphisms and age increase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in the group of healthy subjects. Moreover, the progression from the normal conditi</w:t>
      </w:r>
      <w:r w:rsidR="00D243A8" w:rsidRPr="00872B32">
        <w:rPr>
          <w:rFonts w:ascii="Book Antiqua" w:hAnsi="Book Antiqua"/>
          <w:color w:val="000000"/>
        </w:rPr>
        <w:t>on to an adenoma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C</w:t>
      </w:r>
      <w:r w:rsidRPr="00872B32">
        <w:rPr>
          <w:rFonts w:ascii="Book Antiqua" w:hAnsi="Book Antiqua"/>
          <w:color w:val="000000"/>
        </w:rPr>
        <w:t>) in the group constituted by both healthy subjects and patients with adenoma was</w:t>
      </w:r>
      <w:r w:rsidR="009C096F" w:rsidRPr="00872B32">
        <w:rPr>
          <w:rFonts w:ascii="Book Antiqua" w:hAnsi="Book Antiqua"/>
          <w:color w:val="000000"/>
        </w:rPr>
        <w:t xml:space="preserve"> </w:t>
      </w:r>
      <w:r w:rsidRPr="00872B32">
        <w:rPr>
          <w:rFonts w:ascii="Book Antiqua" w:hAnsi="Book Antiqua"/>
          <w:color w:val="000000"/>
        </w:rPr>
        <w:t>evaluated. In both adenoma and tumor patients, the progression from the adenoma to the tumor (</w:t>
      </w:r>
      <w:r w:rsidR="002A074A" w:rsidRPr="00872B32">
        <w:rPr>
          <w:rFonts w:ascii="Book Antiqua" w:hAnsi="Book Antiqua"/>
          <w:color w:val="000000"/>
        </w:rPr>
        <w:t>Figure</w:t>
      </w:r>
      <w:r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D</w:t>
      </w:r>
      <w:r w:rsidRPr="00872B32">
        <w:rPr>
          <w:rFonts w:ascii="Book Antiqua" w:hAnsi="Book Antiqua"/>
          <w:color w:val="000000"/>
        </w:rPr>
        <w:t xml:space="preserve">) was studied. In all these </w:t>
      </w:r>
      <w:r w:rsidR="00E5133E" w:rsidRPr="00872B32">
        <w:rPr>
          <w:rFonts w:ascii="Book Antiqua" w:hAnsi="Book Antiqua"/>
          <w:color w:val="000000"/>
        </w:rPr>
        <w:t>conditions,</w:t>
      </w:r>
      <w:r w:rsidRPr="00872B32">
        <w:rPr>
          <w:rFonts w:ascii="Book Antiqua" w:hAnsi="Book Antiqua"/>
          <w:color w:val="000000"/>
        </w:rPr>
        <w:t xml:space="preserve"> the relationship with gender was also evaluated.</w:t>
      </w:r>
    </w:p>
    <w:p w14:paraId="52E0F0B9" w14:textId="335A66C6"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Our results show in healthy individuals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w:t>
      </w:r>
      <w:r w:rsidR="00C44AA6">
        <w:rPr>
          <w:rFonts w:ascii="Book Antiqua" w:hAnsi="Book Antiqua"/>
          <w:color w:val="000000"/>
        </w:rPr>
        <w:t xml:space="preserve"> that</w:t>
      </w:r>
      <w:r w:rsidRPr="00872B32">
        <w:rPr>
          <w:rFonts w:ascii="Book Antiqua" w:hAnsi="Book Antiqua"/>
          <w:color w:val="000000"/>
        </w:rPr>
        <w:t xml:space="preserve"> the age increase is related to an increase in disease risk. The female group is more affected by the physiological process of aging than the male one. The age and female gender vectors are very close, while for the male group</w:t>
      </w:r>
      <w:r w:rsidR="00C44AA6">
        <w:rPr>
          <w:rFonts w:ascii="Book Antiqua" w:hAnsi="Book Antiqua"/>
          <w:color w:val="000000"/>
        </w:rPr>
        <w:t>,</w:t>
      </w:r>
      <w:r w:rsidRPr="00872B32">
        <w:rPr>
          <w:rFonts w:ascii="Book Antiqua" w:hAnsi="Book Antiqua"/>
          <w:color w:val="000000"/>
        </w:rPr>
        <w:t xml:space="preserve"> age and male gender vectors are not. </w:t>
      </w:r>
    </w:p>
    <w:p w14:paraId="1A7FBC9B" w14:textId="219A2435"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In addition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our results clarify that the increased disease risk in females during aging is related to the loss of homeostasis of the immune system. In fact, it is possible to observe a positive relationship between the increase in IL4, TGF</w:t>
      </w:r>
      <w:r w:rsidR="005655C0" w:rsidRPr="00872B32">
        <w:rPr>
          <w:rFonts w:ascii="Book Antiqua" w:hAnsi="Book Antiqua"/>
          <w:color w:val="000000"/>
        </w:rPr>
        <w:t>β</w:t>
      </w:r>
      <w:r w:rsidR="00157F2D" w:rsidRPr="00526FCE">
        <w:rPr>
          <w:rFonts w:ascii="Book Antiqua" w:eastAsia="宋体" w:hAnsi="Book Antiqua" w:hint="eastAsia"/>
          <w:color w:val="000000"/>
          <w:lang w:eastAsia="zh-CN"/>
        </w:rPr>
        <w:t xml:space="preserve"> </w:t>
      </w:r>
      <w:r w:rsidRPr="00872B32">
        <w:rPr>
          <w:rFonts w:ascii="Book Antiqua" w:hAnsi="Book Antiqua"/>
          <w:color w:val="000000"/>
        </w:rPr>
        <w:t>and</w:t>
      </w:r>
      <w:r w:rsidR="00824F3E">
        <w:rPr>
          <w:rFonts w:ascii="Book Antiqua" w:hAnsi="Book Antiqua"/>
          <w:color w:val="000000"/>
        </w:rPr>
        <w:t xml:space="preserve"> </w:t>
      </w:r>
      <w:r w:rsidR="00D243A8" w:rsidRPr="00872B32">
        <w:rPr>
          <w:rFonts w:ascii="Book Antiqua" w:hAnsi="Book Antiqua"/>
          <w:color w:val="000000"/>
        </w:rPr>
        <w:t>IL10 levels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However, the relationship between the increase in TGF</w:t>
      </w:r>
      <w:r w:rsidR="005655C0" w:rsidRPr="00872B32">
        <w:rPr>
          <w:rFonts w:ascii="Book Antiqua" w:hAnsi="Book Antiqua"/>
          <w:color w:val="000000"/>
        </w:rPr>
        <w:t>β</w:t>
      </w:r>
      <w:r w:rsidR="00FE64D9" w:rsidRPr="00872B32">
        <w:rPr>
          <w:rFonts w:ascii="Book Antiqua" w:hAnsi="Book Antiqua"/>
          <w:color w:val="000000"/>
        </w:rPr>
        <w:t xml:space="preserve"> </w:t>
      </w:r>
      <w:r w:rsidRPr="00872B32">
        <w:rPr>
          <w:rFonts w:ascii="Book Antiqua" w:hAnsi="Book Antiqua"/>
          <w:color w:val="000000"/>
        </w:rPr>
        <w:t>and</w:t>
      </w:r>
      <w:r w:rsidR="00926863" w:rsidRPr="00872B32">
        <w:rPr>
          <w:rFonts w:ascii="Book Antiqua" w:hAnsi="Book Antiqua"/>
          <w:color w:val="000000"/>
        </w:rPr>
        <w:t xml:space="preserve"> </w:t>
      </w:r>
      <w:r w:rsidRPr="00872B32">
        <w:rPr>
          <w:rFonts w:ascii="Book Antiqua" w:hAnsi="Book Antiqua"/>
          <w:color w:val="000000"/>
        </w:rPr>
        <w:t>IL6 levels is still highly negat</w:t>
      </w:r>
      <w:r w:rsidR="00D243A8" w:rsidRPr="00872B32">
        <w:rPr>
          <w:rFonts w:ascii="Book Antiqua" w:hAnsi="Book Antiqua"/>
          <w:color w:val="000000"/>
        </w:rPr>
        <w:t>ive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This confirms the value of this pair of cytokines as a non-risk biomarker in the female group.</w:t>
      </w:r>
    </w:p>
    <w:p w14:paraId="31734028" w14:textId="4DCD852C" w:rsidR="000956E5" w:rsidRPr="00872B32" w:rsidRDefault="00C44AA6" w:rsidP="008C54E8">
      <w:pPr>
        <w:snapToGrid w:val="0"/>
        <w:spacing w:line="360" w:lineRule="auto"/>
        <w:ind w:firstLineChars="100" w:firstLine="240"/>
        <w:jc w:val="both"/>
        <w:rPr>
          <w:rFonts w:ascii="Book Antiqua" w:hAnsi="Book Antiqua"/>
          <w:color w:val="000000"/>
        </w:rPr>
      </w:pPr>
      <w:r>
        <w:rPr>
          <w:rFonts w:ascii="Book Antiqua" w:hAnsi="Book Antiqua"/>
          <w:color w:val="000000"/>
        </w:rPr>
        <w:t>In contrast</w:t>
      </w:r>
      <w:r w:rsidR="000956E5" w:rsidRPr="00872B32">
        <w:rPr>
          <w:rFonts w:ascii="Book Antiqua" w:hAnsi="Book Antiqua"/>
          <w:color w:val="000000"/>
        </w:rPr>
        <w:t>, increased disease risk in the male group is related to loss of the redox system homeostasis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000956E5" w:rsidRPr="00872B32">
        <w:rPr>
          <w:rFonts w:ascii="Book Antiqua" w:hAnsi="Book Antiqua"/>
          <w:color w:val="000000"/>
        </w:rPr>
        <w:t>). It is possible to observe the increase in redox molecules. Furthermore, in the male group</w:t>
      </w:r>
      <w:r w:rsidR="006F7EFB">
        <w:rPr>
          <w:rFonts w:ascii="Book Antiqua" w:hAnsi="Book Antiqua"/>
          <w:color w:val="000000"/>
        </w:rPr>
        <w:t>, it</w:t>
      </w:r>
      <w:r w:rsidR="000956E5" w:rsidRPr="00872B32">
        <w:rPr>
          <w:rFonts w:ascii="Book Antiqua" w:hAnsi="Book Antiqua"/>
          <w:color w:val="000000"/>
        </w:rPr>
        <w:t xml:space="preserve"> is </w:t>
      </w:r>
      <w:r w:rsidR="00B068B9">
        <w:rPr>
          <w:rFonts w:ascii="Book Antiqua" w:hAnsi="Book Antiqua"/>
          <w:color w:val="000000"/>
        </w:rPr>
        <w:t xml:space="preserve">interesting to note that </w:t>
      </w:r>
      <w:r w:rsidR="000956E5" w:rsidRPr="00872B32">
        <w:rPr>
          <w:rFonts w:ascii="Book Antiqua" w:hAnsi="Book Antiqua"/>
          <w:color w:val="000000"/>
        </w:rPr>
        <w:t xml:space="preserve">the relationship between the </w:t>
      </w:r>
      <w:r w:rsidR="00E5133E" w:rsidRPr="00872B32">
        <w:rPr>
          <w:rFonts w:ascii="Book Antiqua" w:hAnsi="Book Antiqua"/>
          <w:color w:val="000000"/>
        </w:rPr>
        <w:t>increases</w:t>
      </w:r>
      <w:r w:rsidR="000956E5" w:rsidRPr="00872B32">
        <w:rPr>
          <w:rFonts w:ascii="Book Antiqua" w:hAnsi="Book Antiqua"/>
          <w:color w:val="000000"/>
        </w:rPr>
        <w:t xml:space="preserve"> in TGF</w:t>
      </w:r>
      <w:r w:rsidR="009E2982" w:rsidRPr="00872B32">
        <w:rPr>
          <w:rFonts w:ascii="Book Antiqua" w:hAnsi="Book Antiqua"/>
          <w:color w:val="000000"/>
        </w:rPr>
        <w:t>β</w:t>
      </w:r>
      <w:r w:rsidR="00FE64D9" w:rsidRPr="00872B32">
        <w:rPr>
          <w:rFonts w:ascii="Book Antiqua" w:hAnsi="Book Antiqua"/>
          <w:color w:val="000000"/>
        </w:rPr>
        <w:t xml:space="preserve"> </w:t>
      </w:r>
      <w:r w:rsidR="000956E5" w:rsidRPr="00872B32">
        <w:rPr>
          <w:rFonts w:ascii="Book Antiqua" w:hAnsi="Book Antiqua"/>
          <w:color w:val="000000"/>
        </w:rPr>
        <w:t>and</w:t>
      </w:r>
      <w:r w:rsidR="00926863" w:rsidRPr="00872B32">
        <w:rPr>
          <w:rFonts w:ascii="Book Antiqua" w:hAnsi="Book Antiqua"/>
          <w:color w:val="000000"/>
        </w:rPr>
        <w:t xml:space="preserve"> </w:t>
      </w:r>
      <w:r w:rsidR="000956E5" w:rsidRPr="00872B32">
        <w:rPr>
          <w:rFonts w:ascii="Book Antiqua" w:hAnsi="Book Antiqua"/>
          <w:color w:val="000000"/>
        </w:rPr>
        <w:t xml:space="preserve">IL4 levels is still negative </w:t>
      </w:r>
      <w:r w:rsidR="00D243A8" w:rsidRPr="00872B32">
        <w:rPr>
          <w:rFonts w:ascii="Book Antiqua" w:hAnsi="Book Antiqua"/>
          <w:color w:val="000000"/>
        </w:rPr>
        <w:t>(</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000956E5" w:rsidRPr="00872B32">
        <w:rPr>
          <w:rFonts w:ascii="Book Antiqua" w:hAnsi="Book Antiqua"/>
          <w:color w:val="000000"/>
        </w:rPr>
        <w:t xml:space="preserve">). This confirms the value of this pair of cytokines as a non-risk biomarker in the male group. </w:t>
      </w:r>
    </w:p>
    <w:p w14:paraId="2D70FAB3" w14:textId="26EEAECE"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Considering the stepwise nature of</w:t>
      </w:r>
      <w:r w:rsidR="00C808A0" w:rsidRPr="00872B32">
        <w:rPr>
          <w:rFonts w:ascii="Book Antiqua" w:hAnsi="Book Antiqua"/>
          <w:color w:val="000000"/>
        </w:rPr>
        <w:t xml:space="preserve"> </w:t>
      </w:r>
      <w:r w:rsidRPr="00872B32">
        <w:rPr>
          <w:rFonts w:ascii="Book Antiqua" w:hAnsi="Book Antiqua"/>
          <w:color w:val="000000"/>
        </w:rPr>
        <w:t>the CRC tumor and the identification of colo</w:t>
      </w:r>
      <w:r w:rsidR="00824A13">
        <w:rPr>
          <w:rFonts w:ascii="Book Antiqua" w:hAnsi="Book Antiqua"/>
          <w:color w:val="000000"/>
        </w:rPr>
        <w:t>n adenoma as a precursor of CRC</w:t>
      </w:r>
      <w:r w:rsidRPr="00824A13">
        <w:rPr>
          <w:rFonts w:ascii="Book Antiqua" w:hAnsi="Book Antiqua"/>
          <w:color w:val="000000"/>
          <w:vertAlign w:val="superscript"/>
        </w:rPr>
        <w:t>[3]</w:t>
      </w:r>
      <w:r w:rsidRPr="00872B32">
        <w:rPr>
          <w:rFonts w:ascii="Book Antiqua" w:hAnsi="Book Antiqua"/>
          <w:color w:val="000000"/>
        </w:rPr>
        <w:t>, our results show that, in the passage from a healthy condition to an adenoma</w:t>
      </w:r>
      <w:r w:rsidR="00C808A0" w:rsidRPr="00872B32">
        <w:rPr>
          <w:rFonts w:ascii="Book Antiqua" w:hAnsi="Book Antiqua"/>
          <w:color w:val="000000"/>
        </w:rPr>
        <w:t xml:space="preserve"> </w:t>
      </w:r>
      <w:r w:rsidRPr="00872B32">
        <w:rPr>
          <w:rFonts w:ascii="Book Antiqua" w:hAnsi="Book Antiqua"/>
          <w:color w:val="000000"/>
        </w:rPr>
        <w:t>(</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the female gender</w:t>
      </w:r>
      <w:r w:rsidR="009A3ED6">
        <w:rPr>
          <w:rFonts w:ascii="Book Antiqua" w:hAnsi="Book Antiqua"/>
          <w:color w:val="000000"/>
        </w:rPr>
        <w:t>,</w:t>
      </w:r>
      <w:r w:rsidRPr="00872B32">
        <w:rPr>
          <w:rFonts w:ascii="Book Antiqua" w:hAnsi="Book Antiqua"/>
          <w:color w:val="000000"/>
        </w:rPr>
        <w:t xml:space="preserve"> once again</w:t>
      </w:r>
      <w:r w:rsidR="009A3ED6">
        <w:rPr>
          <w:rFonts w:ascii="Book Antiqua" w:hAnsi="Book Antiqua"/>
          <w:color w:val="000000"/>
        </w:rPr>
        <w:t>,</w:t>
      </w:r>
      <w:r w:rsidRPr="00872B32">
        <w:rPr>
          <w:rFonts w:ascii="Book Antiqua" w:hAnsi="Book Antiqua"/>
          <w:color w:val="000000"/>
        </w:rPr>
        <w:t xml:space="preserve"> has a higher risk related to aging. The </w:t>
      </w:r>
      <w:r w:rsidRPr="00157F2D">
        <w:rPr>
          <w:rFonts w:ascii="Book Antiqua" w:hAnsi="Book Antiqua"/>
          <w:color w:val="000000"/>
        </w:rPr>
        <w:t>“healthy to adenoma”</w:t>
      </w:r>
      <w:r w:rsidRPr="00872B32">
        <w:rPr>
          <w:rFonts w:ascii="Book Antiqua" w:hAnsi="Book Antiqua"/>
          <w:color w:val="000000"/>
        </w:rPr>
        <w:t xml:space="preserve"> age and female gender vectors are all close to each other, but the male vector is not close to them. Moreover, </w:t>
      </w:r>
      <w:r w:rsidRPr="00872B32">
        <w:rPr>
          <w:rFonts w:ascii="Book Antiqua" w:hAnsi="Book Antiqua"/>
          <w:color w:val="000000"/>
        </w:rPr>
        <w:lastRenderedPageBreak/>
        <w:t>the higher risk, mainly in women, is caused by the additive effect of the loss of the redox system homeostasis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This is due to the increase in Trx1 level (without the support of RTrx1) and related to the combined increase in TGF</w:t>
      </w:r>
      <w:r w:rsidR="006025C3" w:rsidRPr="00872B32">
        <w:rPr>
          <w:rFonts w:ascii="Book Antiqua" w:hAnsi="Book Antiqua"/>
          <w:color w:val="000000"/>
        </w:rPr>
        <w:t>β</w:t>
      </w:r>
      <w:r w:rsidRPr="00872B32">
        <w:rPr>
          <w:rFonts w:ascii="Book Antiqua" w:hAnsi="Book Antiqua"/>
          <w:color w:val="000000"/>
        </w:rPr>
        <w:t>/IL6 and IL10. Furthermore, we observed that the biomarkers of this condition are Fc</w:t>
      </w:r>
      <w:r w:rsidR="006025C3" w:rsidRPr="00872B32">
        <w:rPr>
          <w:rFonts w:ascii="Book Antiqua" w:hAnsi="Book Antiqua"/>
          <w:color w:val="000000"/>
        </w:rPr>
        <w:sym w:font="Symbol" w:char="F067"/>
      </w:r>
      <w:r w:rsidRPr="00872B32">
        <w:rPr>
          <w:rFonts w:ascii="Book Antiqua" w:hAnsi="Book Antiqua"/>
          <w:color w:val="000000"/>
        </w:rPr>
        <w:t>RIIIa, Fc</w:t>
      </w:r>
      <w:r w:rsidR="006025C3" w:rsidRPr="00872B32">
        <w:rPr>
          <w:rFonts w:ascii="Book Antiqua" w:hAnsi="Book Antiqua"/>
          <w:color w:val="000000"/>
        </w:rPr>
        <w:sym w:font="Symbol" w:char="F067"/>
      </w:r>
      <w:r w:rsidRPr="00872B32">
        <w:rPr>
          <w:rFonts w:ascii="Book Antiqua" w:hAnsi="Book Antiqua"/>
          <w:color w:val="000000"/>
        </w:rPr>
        <w:t xml:space="preserve">RIIa and </w:t>
      </w:r>
      <w:r w:rsidRPr="00872B32">
        <w:rPr>
          <w:rFonts w:ascii="Book Antiqua" w:hAnsi="Book Antiqua"/>
          <w:i/>
          <w:color w:val="000000"/>
        </w:rPr>
        <w:t>2DS4del</w:t>
      </w:r>
      <w:r w:rsidRPr="00872B32">
        <w:rPr>
          <w:rFonts w:ascii="Book Antiqua" w:hAnsi="Book Antiqua"/>
          <w:color w:val="000000"/>
        </w:rPr>
        <w:t xml:space="preserve"> polymorphisms. On the other hand, in the male group</w:t>
      </w:r>
      <w:r w:rsidR="006F7EFB">
        <w:rPr>
          <w:rFonts w:ascii="Book Antiqua" w:hAnsi="Book Antiqua"/>
          <w:color w:val="000000"/>
        </w:rPr>
        <w:t>,</w:t>
      </w:r>
      <w:r w:rsidRPr="00872B32">
        <w:rPr>
          <w:rFonts w:ascii="Book Antiqua" w:hAnsi="Book Antiqua"/>
          <w:color w:val="000000"/>
        </w:rPr>
        <w:t xml:space="preserve"> the passage from healthy to adenoma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xml:space="preserve">) is mainly due to the loss of </w:t>
      </w:r>
      <w:r w:rsidR="009C096F" w:rsidRPr="00872B32">
        <w:rPr>
          <w:rFonts w:ascii="Book Antiqua" w:hAnsi="Book Antiqua"/>
          <w:color w:val="000000"/>
        </w:rPr>
        <w:t>redox system homeostasis</w:t>
      </w:r>
      <w:r w:rsidR="006F7EFB">
        <w:rPr>
          <w:rFonts w:ascii="Book Antiqua" w:hAnsi="Book Antiqua"/>
          <w:color w:val="000000"/>
        </w:rPr>
        <w:t>,</w:t>
      </w:r>
      <w:r w:rsidR="009C096F" w:rsidRPr="00872B32">
        <w:rPr>
          <w:rFonts w:ascii="Book Antiqua" w:hAnsi="Book Antiqua"/>
          <w:color w:val="000000"/>
        </w:rPr>
        <w:t xml:space="preserve"> for t</w:t>
      </w:r>
      <w:r w:rsidRPr="00872B32">
        <w:rPr>
          <w:rFonts w:ascii="Book Antiqua" w:hAnsi="Book Antiqua"/>
          <w:color w:val="000000"/>
        </w:rPr>
        <w:t>he increase</w:t>
      </w:r>
      <w:r w:rsidR="006F7EFB">
        <w:rPr>
          <w:rFonts w:ascii="Book Antiqua" w:hAnsi="Book Antiqua"/>
          <w:color w:val="000000"/>
        </w:rPr>
        <w:t xml:space="preserve"> was</w:t>
      </w:r>
      <w:r w:rsidRPr="00872B32">
        <w:rPr>
          <w:rFonts w:ascii="Book Antiqua" w:hAnsi="Book Antiqua"/>
          <w:color w:val="000000"/>
        </w:rPr>
        <w:t xml:space="preserve"> only </w:t>
      </w:r>
      <w:r w:rsidR="009A3ED6" w:rsidRPr="00872B32">
        <w:rPr>
          <w:rFonts w:ascii="Book Antiqua" w:hAnsi="Book Antiqua"/>
          <w:color w:val="000000"/>
        </w:rPr>
        <w:t xml:space="preserve">in </w:t>
      </w:r>
      <w:r w:rsidRPr="00872B32">
        <w:rPr>
          <w:rFonts w:ascii="Book Antiqua" w:hAnsi="Book Antiqua"/>
          <w:color w:val="000000"/>
        </w:rPr>
        <w:t xml:space="preserve">RTrx1 (without the support of Trx1). The biomarkers of this condition are </w:t>
      </w:r>
      <w:r w:rsidRPr="00872B32">
        <w:rPr>
          <w:rFonts w:ascii="Book Antiqua" w:hAnsi="Book Antiqua"/>
          <w:i/>
          <w:color w:val="000000"/>
        </w:rPr>
        <w:t>2DS4ins</w:t>
      </w:r>
      <w:r w:rsidRPr="00872B32">
        <w:rPr>
          <w:rFonts w:ascii="Book Antiqua" w:hAnsi="Book Antiqua"/>
          <w:color w:val="000000"/>
        </w:rPr>
        <w:t xml:space="preserve"> and </w:t>
      </w:r>
      <w:r w:rsidRPr="00872B32">
        <w:rPr>
          <w:rFonts w:ascii="Book Antiqua" w:hAnsi="Book Antiqua"/>
          <w:i/>
          <w:color w:val="000000"/>
        </w:rPr>
        <w:t>2DL3</w:t>
      </w:r>
      <w:r w:rsidRPr="00872B32">
        <w:rPr>
          <w:rFonts w:ascii="Book Antiqua" w:hAnsi="Book Antiqua"/>
          <w:color w:val="000000"/>
        </w:rPr>
        <w:t>.</w:t>
      </w:r>
      <w:r w:rsidR="00C808A0" w:rsidRPr="00872B32">
        <w:rPr>
          <w:rFonts w:ascii="Book Antiqua" w:hAnsi="Book Antiqua"/>
          <w:color w:val="000000"/>
        </w:rPr>
        <w:t xml:space="preserve"> </w:t>
      </w:r>
    </w:p>
    <w:p w14:paraId="624E7965" w14:textId="77777777"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Finally, the results show that the male group has a higher risk than the female one to pass from the adenoma to the tumor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5B75F0">
        <w:rPr>
          <w:rFonts w:ascii="Book Antiqua" w:hAnsi="Book Antiqua"/>
          <w:color w:val="000000"/>
        </w:rPr>
        <w:t>D</w:t>
      </w:r>
      <w:r w:rsidRPr="00872B32">
        <w:rPr>
          <w:rFonts w:ascii="Book Antiqua" w:hAnsi="Book Antiqua"/>
          <w:color w:val="000000"/>
        </w:rPr>
        <w:t xml:space="preserve">). The male vector is really close to the </w:t>
      </w:r>
      <w:r w:rsidRPr="006F7EFB">
        <w:rPr>
          <w:rFonts w:ascii="Book Antiqua" w:hAnsi="Book Antiqua"/>
          <w:color w:val="000000"/>
        </w:rPr>
        <w:t>“</w:t>
      </w:r>
      <w:r w:rsidRPr="008C54E8">
        <w:rPr>
          <w:rFonts w:ascii="Book Antiqua" w:hAnsi="Book Antiqua"/>
          <w:color w:val="000000"/>
        </w:rPr>
        <w:t>adenoma to tumor</w:t>
      </w:r>
      <w:r w:rsidRPr="006F7EFB">
        <w:rPr>
          <w:rFonts w:ascii="Book Antiqua" w:hAnsi="Book Antiqua"/>
          <w:color w:val="000000"/>
        </w:rPr>
        <w:t>”</w:t>
      </w:r>
      <w:r w:rsidRPr="00872B32">
        <w:rPr>
          <w:rFonts w:ascii="Book Antiqua" w:hAnsi="Book Antiqua"/>
          <w:color w:val="000000"/>
        </w:rPr>
        <w:t xml:space="preserve"> vector and to the </w:t>
      </w:r>
      <w:r w:rsidR="0026208F" w:rsidRPr="00872B32">
        <w:rPr>
          <w:rFonts w:ascii="Book Antiqua" w:hAnsi="Book Antiqua"/>
          <w:color w:val="000000"/>
        </w:rPr>
        <w:t xml:space="preserve">aKIR </w:t>
      </w:r>
      <w:r w:rsidRPr="00872B32">
        <w:rPr>
          <w:rFonts w:ascii="Book Antiqua" w:hAnsi="Book Antiqua"/>
          <w:color w:val="000000"/>
        </w:rPr>
        <w:t>&lt;</w:t>
      </w:r>
      <w:r w:rsidR="0026208F" w:rsidRPr="00872B32">
        <w:rPr>
          <w:rFonts w:ascii="Book Antiqua" w:hAnsi="Book Antiqua"/>
          <w:color w:val="000000"/>
        </w:rPr>
        <w:t xml:space="preserve"> </w:t>
      </w:r>
      <w:r w:rsidRPr="00872B32">
        <w:rPr>
          <w:rFonts w:ascii="Book Antiqua" w:hAnsi="Book Antiqua"/>
          <w:color w:val="000000"/>
        </w:rPr>
        <w:t>3 risk vector. The biomarkers of this passage are Fc</w:t>
      </w:r>
      <w:r w:rsidR="006025C3" w:rsidRPr="00872B32">
        <w:rPr>
          <w:rFonts w:ascii="Book Antiqua" w:hAnsi="Book Antiqua"/>
          <w:color w:val="000000"/>
        </w:rPr>
        <w:sym w:font="Symbol" w:char="F067"/>
      </w:r>
      <w:r w:rsidRPr="00872B32">
        <w:rPr>
          <w:rFonts w:ascii="Book Antiqua" w:hAnsi="Book Antiqua"/>
          <w:color w:val="000000"/>
        </w:rPr>
        <w:t xml:space="preserve">RIIIa and </w:t>
      </w:r>
      <w:r w:rsidRPr="00872B32">
        <w:rPr>
          <w:rFonts w:ascii="Book Antiqua" w:hAnsi="Book Antiqua"/>
          <w:i/>
          <w:color w:val="000000"/>
        </w:rPr>
        <w:t>2DL3</w:t>
      </w:r>
      <w:r w:rsidRPr="00872B32">
        <w:rPr>
          <w:rFonts w:ascii="Book Antiqua" w:hAnsi="Book Antiqua"/>
          <w:color w:val="000000"/>
        </w:rPr>
        <w:t xml:space="preserve"> and the increase in both TGF</w:t>
      </w:r>
      <w:r w:rsidR="006025C3" w:rsidRPr="00872B32">
        <w:rPr>
          <w:rFonts w:ascii="Book Antiqua" w:hAnsi="Book Antiqua"/>
          <w:color w:val="000000"/>
        </w:rPr>
        <w:t>β</w:t>
      </w:r>
      <w:r w:rsidRPr="00872B32">
        <w:rPr>
          <w:rFonts w:ascii="Book Antiqua" w:hAnsi="Book Antiqua"/>
          <w:color w:val="000000"/>
        </w:rPr>
        <w:t xml:space="preserve"> and RTrx1. The female vector behaves differently.</w:t>
      </w:r>
      <w:r w:rsidR="00C808A0" w:rsidRPr="00872B32">
        <w:rPr>
          <w:rFonts w:ascii="Book Antiqua" w:hAnsi="Book Antiqua"/>
          <w:color w:val="000000"/>
        </w:rPr>
        <w:t xml:space="preserve"> </w:t>
      </w:r>
      <w:r w:rsidRPr="00872B32">
        <w:rPr>
          <w:rFonts w:ascii="Book Antiqua" w:hAnsi="Book Antiqua"/>
          <w:color w:val="000000"/>
        </w:rPr>
        <w:t xml:space="preserve">It is located opposite to the </w:t>
      </w:r>
      <w:r w:rsidRPr="00460E6A">
        <w:rPr>
          <w:rFonts w:ascii="Book Antiqua" w:hAnsi="Book Antiqua"/>
          <w:color w:val="000000"/>
        </w:rPr>
        <w:t>“adenoma to tumor”</w:t>
      </w:r>
      <w:r w:rsidRPr="00872B32">
        <w:rPr>
          <w:rFonts w:ascii="Book Antiqua" w:hAnsi="Book Antiqua"/>
          <w:color w:val="000000"/>
        </w:rPr>
        <w:t xml:space="preserve"> vector and close to the aKIR</w:t>
      </w:r>
      <w:r w:rsidR="0026208F" w:rsidRPr="00872B32">
        <w:rPr>
          <w:rFonts w:ascii="Book Antiqua" w:hAnsi="Book Antiqua"/>
          <w:color w:val="000000"/>
        </w:rPr>
        <w:t xml:space="preserve">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2 non-risk vector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0B4898">
        <w:rPr>
          <w:rFonts w:ascii="Book Antiqua" w:hAnsi="Book Antiqua"/>
          <w:color w:val="000000"/>
        </w:rPr>
        <w:t>D</w:t>
      </w:r>
      <w:r w:rsidRPr="00872B32">
        <w:rPr>
          <w:rFonts w:ascii="Book Antiqua" w:hAnsi="Book Antiqua"/>
          <w:color w:val="000000"/>
        </w:rPr>
        <w:t>). The biomarkers of this condition are Fc</w:t>
      </w:r>
      <w:r w:rsidR="006025C3" w:rsidRPr="00872B32">
        <w:rPr>
          <w:rFonts w:ascii="Book Antiqua" w:hAnsi="Book Antiqua"/>
          <w:color w:val="000000"/>
        </w:rPr>
        <w:sym w:font="Symbol" w:char="F067"/>
      </w:r>
      <w:r w:rsidRPr="00872B32">
        <w:rPr>
          <w:rFonts w:ascii="Book Antiqua" w:hAnsi="Book Antiqua"/>
          <w:color w:val="000000"/>
        </w:rPr>
        <w:t xml:space="preserve">RIIa and </w:t>
      </w:r>
      <w:r w:rsidRPr="00872B32">
        <w:rPr>
          <w:rFonts w:ascii="Book Antiqua" w:hAnsi="Book Antiqua"/>
          <w:i/>
          <w:color w:val="000000"/>
        </w:rPr>
        <w:t>2DS4del</w:t>
      </w:r>
      <w:r w:rsidRPr="00872B32">
        <w:rPr>
          <w:rFonts w:ascii="Book Antiqua" w:hAnsi="Book Antiqua"/>
          <w:color w:val="000000"/>
        </w:rPr>
        <w:t xml:space="preserve"> and the increase in RTrx1 without the increase in Trx1 (</w:t>
      </w:r>
      <w:r w:rsidR="002A074A" w:rsidRPr="00872B32">
        <w:rPr>
          <w:rFonts w:ascii="Book Antiqua" w:hAnsi="Book Antiqua"/>
          <w:color w:val="000000"/>
        </w:rPr>
        <w:t>Figure</w:t>
      </w:r>
      <w:r w:rsidR="0089168D" w:rsidRPr="00872B32">
        <w:rPr>
          <w:rFonts w:ascii="Book Antiqua" w:hAnsi="Book Antiqua"/>
          <w:color w:val="000000"/>
        </w:rPr>
        <w:t xml:space="preserve"> 6</w:t>
      </w:r>
      <w:r w:rsidR="000B4898">
        <w:rPr>
          <w:rFonts w:ascii="Book Antiqua" w:hAnsi="Book Antiqua"/>
          <w:color w:val="000000"/>
        </w:rPr>
        <w:t>D</w:t>
      </w:r>
      <w:r w:rsidRPr="00872B32">
        <w:rPr>
          <w:rFonts w:ascii="Book Antiqua" w:hAnsi="Book Antiqua"/>
          <w:color w:val="000000"/>
        </w:rPr>
        <w:t>).</w:t>
      </w:r>
    </w:p>
    <w:p w14:paraId="779405C2" w14:textId="77777777" w:rsidR="00267004" w:rsidRPr="00872B32" w:rsidRDefault="00267004" w:rsidP="008C54E8">
      <w:pPr>
        <w:snapToGrid w:val="0"/>
        <w:spacing w:line="360" w:lineRule="auto"/>
        <w:jc w:val="both"/>
        <w:rPr>
          <w:rFonts w:ascii="Book Antiqua" w:hAnsi="Book Antiqua"/>
          <w:color w:val="000000"/>
        </w:rPr>
      </w:pPr>
    </w:p>
    <w:p w14:paraId="04ADDD2A" w14:textId="77777777" w:rsidR="000956E5" w:rsidRPr="00872B32" w:rsidRDefault="000956E5" w:rsidP="008C54E8">
      <w:pPr>
        <w:snapToGrid w:val="0"/>
        <w:spacing w:line="360" w:lineRule="auto"/>
        <w:jc w:val="both"/>
        <w:rPr>
          <w:rFonts w:ascii="Book Antiqua" w:hAnsi="Book Antiqua"/>
          <w:i/>
          <w:color w:val="000000"/>
        </w:rPr>
      </w:pPr>
      <w:r w:rsidRPr="00872B32">
        <w:rPr>
          <w:rFonts w:ascii="Book Antiqua" w:hAnsi="Book Antiqua"/>
          <w:b/>
          <w:i/>
          <w:color w:val="000000"/>
        </w:rPr>
        <w:t>The unbalance between the levels of Trx1/RTrx1, sCD30 and the levels of Treg/Th1/Th9/Th17 cytokines is a biomarker of inactive NK cells</w:t>
      </w:r>
    </w:p>
    <w:p w14:paraId="1D0A4723" w14:textId="578C342B"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t xml:space="preserve">Our results reveal that Trx1/CD30 </w:t>
      </w:r>
      <w:r w:rsidRPr="00872B32">
        <w:rPr>
          <w:rFonts w:ascii="Book Antiqua" w:hAnsi="Book Antiqua"/>
          <w:bCs/>
          <w:color w:val="000000"/>
        </w:rPr>
        <w:t xml:space="preserve">is </w:t>
      </w:r>
      <w:r w:rsidRPr="00872B32">
        <w:rPr>
          <w:rFonts w:ascii="Book Antiqua" w:hAnsi="Book Antiqua"/>
          <w:color w:val="000000"/>
        </w:rPr>
        <w:t xml:space="preserve">also a biomarker of NK cell functionality. </w:t>
      </w:r>
      <w:r w:rsidR="009A3ED6">
        <w:rPr>
          <w:rFonts w:ascii="Book Antiqua" w:hAnsi="Book Antiqua"/>
          <w:color w:val="000000"/>
        </w:rPr>
        <w:t>I</w:t>
      </w:r>
      <w:r w:rsidRPr="00872B32">
        <w:rPr>
          <w:rFonts w:ascii="Book Antiqua" w:hAnsi="Book Antiqua"/>
          <w:color w:val="000000"/>
        </w:rPr>
        <w:t>n the healthy condition (</w:t>
      </w:r>
      <w:r w:rsidR="002A074A" w:rsidRPr="00872B32">
        <w:rPr>
          <w:rFonts w:ascii="Book Antiqua" w:hAnsi="Book Antiqua"/>
          <w:color w:val="000000"/>
        </w:rPr>
        <w:t>Figure</w:t>
      </w:r>
      <w:r w:rsidR="0032452C" w:rsidRPr="00872B32">
        <w:rPr>
          <w:rFonts w:ascii="Book Antiqua" w:hAnsi="Book Antiqua"/>
          <w:color w:val="000000"/>
        </w:rPr>
        <w:t xml:space="preserve"> </w:t>
      </w:r>
      <w:r w:rsidR="001F5773" w:rsidRPr="00872B32">
        <w:rPr>
          <w:rFonts w:ascii="Book Antiqua" w:hAnsi="Book Antiqua"/>
          <w:color w:val="000000"/>
        </w:rPr>
        <w:t>7A</w:t>
      </w:r>
      <w:r w:rsidRPr="00872B32">
        <w:rPr>
          <w:rFonts w:ascii="Book Antiqua" w:hAnsi="Book Antiqua"/>
          <w:color w:val="000000"/>
        </w:rPr>
        <w:t>), the combined activity of the CD3</w:t>
      </w:r>
      <w:r w:rsidR="00927DA1"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and CD8</w:t>
      </w:r>
      <w:r w:rsidR="00927DA1" w:rsidRPr="00872B32">
        <w:rPr>
          <w:rFonts w:ascii="Book Antiqua" w:hAnsi="Book Antiqua"/>
          <w:color w:val="000000"/>
          <w:vertAlign w:val="superscript"/>
        </w:rPr>
        <w:t>-</w:t>
      </w:r>
      <w:r w:rsidRPr="00872B32">
        <w:rPr>
          <w:rFonts w:ascii="Book Antiqua" w:hAnsi="Book Antiqua"/>
          <w:color w:val="000000"/>
        </w:rPr>
        <w:t>CD57</w:t>
      </w:r>
      <w:r w:rsidRPr="00872B32">
        <w:rPr>
          <w:rFonts w:ascii="Book Antiqua" w:hAnsi="Book Antiqua"/>
          <w:color w:val="000000"/>
          <w:vertAlign w:val="superscript"/>
        </w:rPr>
        <w:t>+</w:t>
      </w:r>
      <w:r w:rsidRPr="00872B32">
        <w:rPr>
          <w:rFonts w:ascii="Book Antiqua" w:hAnsi="Book Antiqua"/>
          <w:color w:val="000000"/>
        </w:rPr>
        <w:t xml:space="preserve"> cell populations protects the redox immune physiological homeostasis during aging. This CD3</w:t>
      </w:r>
      <w:r w:rsidR="00927DA1"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and CD8</w:t>
      </w:r>
      <w:r w:rsidR="00927DA1" w:rsidRPr="00872B32">
        <w:rPr>
          <w:rFonts w:ascii="Book Antiqua" w:hAnsi="Book Antiqua"/>
          <w:color w:val="000000"/>
          <w:vertAlign w:val="superscript"/>
        </w:rPr>
        <w:t>-</w:t>
      </w:r>
      <w:r w:rsidRPr="00872B32">
        <w:rPr>
          <w:rFonts w:ascii="Book Antiqua" w:hAnsi="Book Antiqua"/>
          <w:color w:val="000000"/>
        </w:rPr>
        <w:t>CD57</w:t>
      </w:r>
      <w:r w:rsidRPr="00872B32">
        <w:rPr>
          <w:rFonts w:ascii="Book Antiqua" w:hAnsi="Book Antiqua"/>
          <w:color w:val="000000"/>
          <w:vertAlign w:val="superscript"/>
        </w:rPr>
        <w:t>+</w:t>
      </w:r>
      <w:r w:rsidRPr="00872B32">
        <w:rPr>
          <w:rFonts w:ascii="Book Antiqua" w:hAnsi="Book Antiqua"/>
          <w:color w:val="000000"/>
        </w:rPr>
        <w:t xml:space="preserve"> cell activity, however, works through the balance of the Trx1/RTr</w:t>
      </w:r>
      <w:r w:rsidR="0032452C" w:rsidRPr="00872B32">
        <w:rPr>
          <w:rFonts w:ascii="Book Antiqua" w:hAnsi="Book Antiqua"/>
          <w:color w:val="000000"/>
        </w:rPr>
        <w:t>x1 and sCD30 levels. In Figure</w:t>
      </w:r>
      <w:r w:rsidR="00C808A0" w:rsidRPr="00872B32">
        <w:rPr>
          <w:rFonts w:ascii="Book Antiqua" w:hAnsi="Book Antiqua"/>
          <w:color w:val="000000"/>
        </w:rPr>
        <w:t xml:space="preserve"> </w:t>
      </w:r>
      <w:r w:rsidR="001F5773" w:rsidRPr="00872B32">
        <w:rPr>
          <w:rFonts w:ascii="Book Antiqua" w:hAnsi="Book Antiqua"/>
          <w:color w:val="000000"/>
        </w:rPr>
        <w:t>7A</w:t>
      </w:r>
      <w:r w:rsidR="006F7EFB">
        <w:rPr>
          <w:rFonts w:ascii="Book Antiqua" w:hAnsi="Book Antiqua"/>
          <w:color w:val="000000"/>
        </w:rPr>
        <w:t>,</w:t>
      </w:r>
      <w:r w:rsidRPr="00872B32">
        <w:rPr>
          <w:rFonts w:ascii="Book Antiqua" w:hAnsi="Book Antiqua"/>
          <w:color w:val="000000"/>
        </w:rPr>
        <w:t xml:space="preserve"> it is possible to note that the vectors of Trx1/RTrx1 (in red) are positively combined</w:t>
      </w:r>
      <w:r w:rsidR="006F7EFB">
        <w:rPr>
          <w:rFonts w:ascii="Book Antiqua" w:hAnsi="Book Antiqua"/>
          <w:color w:val="000000"/>
        </w:rPr>
        <w:t>,</w:t>
      </w:r>
      <w:r w:rsidRPr="00872B32">
        <w:rPr>
          <w:rFonts w:ascii="Book Antiqua" w:hAnsi="Book Antiqua"/>
          <w:color w:val="000000"/>
        </w:rPr>
        <w:t xml:space="preserve"> and the increase in sCD30 (in red) is related to the non-risk biomarker </w:t>
      </w:r>
      <w:r w:rsidR="0026208F" w:rsidRPr="00872B32">
        <w:rPr>
          <w:rFonts w:ascii="Book Antiqua" w:hAnsi="Book Antiqua"/>
          <w:color w:val="000000"/>
        </w:rPr>
        <w:t xml:space="preserve">aKIR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2 (in black) and to the IFN</w:t>
      </w:r>
      <w:r w:rsidR="00CE07D8" w:rsidRPr="00872B32">
        <w:rPr>
          <w:rFonts w:ascii="Book Antiqua" w:hAnsi="Book Antiqua"/>
          <w:color w:val="000000"/>
        </w:rPr>
        <w:sym w:font="Symbol" w:char="F067"/>
      </w:r>
      <w:r w:rsidRPr="00872B32">
        <w:rPr>
          <w:rFonts w:ascii="Book Antiqua" w:hAnsi="Book Antiqua"/>
          <w:color w:val="000000"/>
        </w:rPr>
        <w:t xml:space="preserve"> and IL2 cytokines (in yellow). On the other hand, in the healthy state, the increase in the CD3</w:t>
      </w:r>
      <w:r w:rsidR="00CE07D8" w:rsidRPr="00872B32">
        <w:rPr>
          <w:rFonts w:ascii="Book Antiqua" w:hAnsi="Book Antiqua"/>
          <w:color w:val="000000"/>
          <w:vertAlign w:val="superscript"/>
        </w:rPr>
        <w:t>-</w:t>
      </w:r>
      <w:r w:rsidRPr="00872B32">
        <w:rPr>
          <w:rFonts w:ascii="Book Antiqua" w:hAnsi="Book Antiqua"/>
          <w:color w:val="000000"/>
        </w:rPr>
        <w:t>CD56</w:t>
      </w:r>
      <w:r w:rsidR="00CE07D8" w:rsidRPr="00872B32">
        <w:rPr>
          <w:rFonts w:ascii="Book Antiqua" w:hAnsi="Book Antiqua"/>
          <w:color w:val="000000"/>
          <w:vertAlign w:val="superscript"/>
        </w:rPr>
        <w:sym w:font="Symbol" w:char="F02B"/>
      </w:r>
      <w:r w:rsidR="009A3ED6">
        <w:rPr>
          <w:rFonts w:ascii="Book Antiqua" w:hAnsi="Book Antiqua"/>
          <w:color w:val="000000"/>
          <w:vertAlign w:val="superscript"/>
        </w:rPr>
        <w:t xml:space="preserve"> </w:t>
      </w:r>
      <w:r w:rsidRPr="00872B32">
        <w:rPr>
          <w:rFonts w:ascii="Book Antiqua" w:hAnsi="Book Antiqua"/>
          <w:color w:val="000000"/>
        </w:rPr>
        <w:t>NK cell balances the effects of the risk and non</w:t>
      </w:r>
      <w:r w:rsidR="009C096F" w:rsidRPr="00872B32">
        <w:rPr>
          <w:rFonts w:ascii="Book Antiqua" w:hAnsi="Book Antiqua"/>
          <w:color w:val="000000"/>
        </w:rPr>
        <w:t>-</w:t>
      </w:r>
      <w:r w:rsidRPr="00872B32">
        <w:rPr>
          <w:rFonts w:ascii="Book Antiqua" w:hAnsi="Book Antiqua"/>
          <w:color w:val="000000"/>
        </w:rPr>
        <w:t xml:space="preserve">risk </w:t>
      </w:r>
      <w:r w:rsidR="0032452C" w:rsidRPr="00872B32">
        <w:rPr>
          <w:rFonts w:ascii="Book Antiqua" w:hAnsi="Book Antiqua"/>
          <w:color w:val="000000"/>
        </w:rPr>
        <w:t xml:space="preserve">of disease. In fact, </w:t>
      </w:r>
      <w:r w:rsidR="006F7EFB">
        <w:rPr>
          <w:rFonts w:ascii="Book Antiqua" w:hAnsi="Book Antiqua"/>
          <w:color w:val="000000"/>
        </w:rPr>
        <w:t xml:space="preserve">as shown </w:t>
      </w:r>
      <w:r w:rsidR="0032452C" w:rsidRPr="00872B32">
        <w:rPr>
          <w:rFonts w:ascii="Book Antiqua" w:hAnsi="Book Antiqua"/>
          <w:color w:val="000000"/>
        </w:rPr>
        <w:t>in Figure</w:t>
      </w:r>
      <w:r w:rsidR="00C808A0" w:rsidRPr="00872B32">
        <w:rPr>
          <w:rFonts w:ascii="Book Antiqua" w:hAnsi="Book Antiqua"/>
          <w:color w:val="000000"/>
        </w:rPr>
        <w:t xml:space="preserve"> </w:t>
      </w:r>
      <w:r w:rsidR="001F5773" w:rsidRPr="00872B32">
        <w:rPr>
          <w:rFonts w:ascii="Book Antiqua" w:hAnsi="Book Antiqua"/>
          <w:color w:val="000000"/>
        </w:rPr>
        <w:t>7A</w:t>
      </w:r>
      <w:r w:rsidR="0026208F" w:rsidRPr="00872B32">
        <w:rPr>
          <w:rFonts w:ascii="Book Antiqua" w:hAnsi="Book Antiqua"/>
          <w:color w:val="000000"/>
        </w:rPr>
        <w:t>, the vector CD3</w:t>
      </w:r>
      <w:r w:rsidR="00CE07D8" w:rsidRPr="00872B32">
        <w:rPr>
          <w:rFonts w:ascii="Book Antiqua" w:hAnsi="Book Antiqua"/>
          <w:color w:val="000000"/>
          <w:vertAlign w:val="superscript"/>
        </w:rPr>
        <w:t>-</w:t>
      </w:r>
      <w:r w:rsidR="0026208F" w:rsidRPr="00872B32">
        <w:rPr>
          <w:rFonts w:ascii="Book Antiqua" w:hAnsi="Book Antiqua"/>
          <w:color w:val="000000"/>
        </w:rPr>
        <w:t>CD56</w:t>
      </w:r>
      <w:r w:rsidR="001C2139" w:rsidRPr="00872B32">
        <w:rPr>
          <w:rFonts w:ascii="Book Antiqua" w:hAnsi="Book Antiqua"/>
          <w:color w:val="000000"/>
          <w:vertAlign w:val="superscript"/>
        </w:rPr>
        <w:t>+</w:t>
      </w:r>
      <w:r w:rsidR="001C2139" w:rsidRPr="00872B32">
        <w:rPr>
          <w:rFonts w:ascii="Book Antiqua" w:hAnsi="Book Antiqua"/>
          <w:color w:val="000000"/>
        </w:rPr>
        <w:t xml:space="preserve"> (in green) is perfectly </w:t>
      </w:r>
      <w:r w:rsidRPr="00872B32">
        <w:rPr>
          <w:rFonts w:ascii="Book Antiqua" w:hAnsi="Book Antiqua"/>
          <w:color w:val="000000"/>
        </w:rPr>
        <w:t>placed between the vectors of risk and non</w:t>
      </w:r>
      <w:r w:rsidR="009C096F" w:rsidRPr="00872B32">
        <w:rPr>
          <w:rFonts w:ascii="Book Antiqua" w:hAnsi="Book Antiqua"/>
          <w:color w:val="000000"/>
        </w:rPr>
        <w:t>-</w:t>
      </w:r>
      <w:r w:rsidRPr="00872B32">
        <w:rPr>
          <w:rFonts w:ascii="Book Antiqua" w:hAnsi="Book Antiqua"/>
          <w:color w:val="000000"/>
        </w:rPr>
        <w:t>risk biomarkers of disease aKIR</w:t>
      </w:r>
      <w:r w:rsidR="0026208F" w:rsidRPr="00872B32">
        <w:rPr>
          <w:rFonts w:ascii="Book Antiqua" w:hAnsi="Book Antiqua"/>
          <w:color w:val="000000"/>
        </w:rPr>
        <w:t xml:space="preserve"> </w:t>
      </w:r>
      <w:r w:rsidRPr="00872B32">
        <w:rPr>
          <w:rFonts w:ascii="Book Antiqua" w:hAnsi="Book Antiqua"/>
          <w:color w:val="000000"/>
        </w:rPr>
        <w:t>&lt;</w:t>
      </w:r>
      <w:r w:rsidR="0026208F" w:rsidRPr="00872B32">
        <w:rPr>
          <w:rFonts w:ascii="Book Antiqua" w:hAnsi="Book Antiqua"/>
          <w:color w:val="000000"/>
        </w:rPr>
        <w:t xml:space="preserve"> </w:t>
      </w:r>
      <w:r w:rsidRPr="00872B32">
        <w:rPr>
          <w:rFonts w:ascii="Book Antiqua" w:hAnsi="Book Antiqua"/>
          <w:color w:val="000000"/>
        </w:rPr>
        <w:t>3 and aKIR</w:t>
      </w:r>
      <w:r w:rsidR="0026208F" w:rsidRPr="00872B32">
        <w:rPr>
          <w:rFonts w:ascii="Book Antiqua" w:hAnsi="Book Antiqua"/>
          <w:color w:val="000000"/>
        </w:rPr>
        <w:t xml:space="preserve">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2 (both in black). Conversely, during aging the CD8</w:t>
      </w:r>
      <w:r w:rsidR="00CE07D8" w:rsidRPr="00872B32">
        <w:rPr>
          <w:rFonts w:ascii="Book Antiqua" w:hAnsi="Book Antiqua"/>
          <w:color w:val="000000"/>
          <w:vertAlign w:val="superscript"/>
        </w:rPr>
        <w:t>-</w:t>
      </w:r>
      <w:r w:rsidRPr="00872B32">
        <w:rPr>
          <w:rFonts w:ascii="Book Antiqua" w:hAnsi="Book Antiqua"/>
          <w:color w:val="000000"/>
        </w:rPr>
        <w:t>CD57</w:t>
      </w:r>
      <w:r w:rsidR="00CE07D8" w:rsidRPr="00872B32">
        <w:rPr>
          <w:rFonts w:ascii="Book Antiqua" w:hAnsi="Book Antiqua"/>
          <w:color w:val="000000"/>
          <w:vertAlign w:val="superscript"/>
        </w:rPr>
        <w:sym w:font="Symbol" w:char="F02B"/>
      </w:r>
      <w:r w:rsidR="009D1017" w:rsidRPr="00872B32">
        <w:rPr>
          <w:rFonts w:ascii="Book Antiqua" w:hAnsi="Book Antiqua"/>
          <w:color w:val="000000"/>
        </w:rPr>
        <w:t xml:space="preserve"> </w:t>
      </w:r>
      <w:r w:rsidRPr="00872B32">
        <w:rPr>
          <w:rFonts w:ascii="Book Antiqua" w:hAnsi="Book Antiqua"/>
          <w:color w:val="000000"/>
        </w:rPr>
        <w:t xml:space="preserve">NK population is </w:t>
      </w:r>
      <w:r w:rsidRPr="00872B32">
        <w:rPr>
          <w:rFonts w:ascii="Book Antiqua" w:hAnsi="Book Antiqua"/>
          <w:color w:val="000000"/>
        </w:rPr>
        <w:lastRenderedPageBreak/>
        <w:t>related to an increased risk of disease. The CD8</w:t>
      </w:r>
      <w:r w:rsidR="00CE07D8" w:rsidRPr="00872B32">
        <w:rPr>
          <w:rFonts w:ascii="Book Antiqua" w:hAnsi="Book Antiqua"/>
          <w:color w:val="000000"/>
          <w:vertAlign w:val="superscript"/>
        </w:rPr>
        <w:t>-</w:t>
      </w:r>
      <w:r w:rsidRPr="00872B32">
        <w:rPr>
          <w:rFonts w:ascii="Book Antiqua" w:hAnsi="Book Antiqua"/>
          <w:color w:val="000000"/>
        </w:rPr>
        <w:t>CD57</w:t>
      </w:r>
      <w:r w:rsidR="00CE07D8" w:rsidRPr="00872B32">
        <w:rPr>
          <w:rFonts w:ascii="Book Antiqua" w:hAnsi="Book Antiqua"/>
          <w:color w:val="000000"/>
          <w:vertAlign w:val="superscript"/>
        </w:rPr>
        <w:sym w:font="Symbol" w:char="F02B"/>
      </w:r>
      <w:r w:rsidRPr="00872B32">
        <w:rPr>
          <w:rFonts w:ascii="Book Antiqua" w:hAnsi="Book Antiqua"/>
          <w:color w:val="000000"/>
        </w:rPr>
        <w:t xml:space="preserve"> green vector is aligned with the aKIR</w:t>
      </w:r>
      <w:r w:rsidR="001C2139" w:rsidRPr="00872B32">
        <w:rPr>
          <w:rFonts w:ascii="Book Antiqua" w:hAnsi="Book Antiqua"/>
          <w:color w:val="000000"/>
        </w:rPr>
        <w:t xml:space="preserve"> </w:t>
      </w:r>
      <w:r w:rsidRPr="00872B32">
        <w:rPr>
          <w:rFonts w:ascii="Book Antiqua" w:hAnsi="Book Antiqua"/>
          <w:color w:val="000000"/>
        </w:rPr>
        <w:t>&lt;</w:t>
      </w:r>
      <w:r w:rsidR="001C2139" w:rsidRPr="00872B32">
        <w:rPr>
          <w:rFonts w:ascii="Book Antiqua" w:hAnsi="Book Antiqua"/>
          <w:color w:val="000000"/>
        </w:rPr>
        <w:t xml:space="preserve"> </w:t>
      </w:r>
      <w:r w:rsidRPr="00872B32">
        <w:rPr>
          <w:rFonts w:ascii="Book Antiqua" w:hAnsi="Book Antiqua"/>
          <w:color w:val="000000"/>
        </w:rPr>
        <w:t>3 black vector. The CD8</w:t>
      </w:r>
      <w:r w:rsidR="00635000" w:rsidRPr="00872B32">
        <w:rPr>
          <w:rFonts w:ascii="Book Antiqua" w:hAnsi="Book Antiqua"/>
          <w:color w:val="000000"/>
          <w:vertAlign w:val="superscript"/>
        </w:rPr>
        <w:t>-</w:t>
      </w:r>
      <w:r w:rsidRPr="00872B32">
        <w:rPr>
          <w:rFonts w:ascii="Book Antiqua" w:hAnsi="Book Antiqua"/>
          <w:color w:val="000000"/>
        </w:rPr>
        <w:t>CD57</w:t>
      </w:r>
      <w:r w:rsidR="00635000" w:rsidRPr="00872B32">
        <w:rPr>
          <w:rFonts w:ascii="Book Antiqua" w:hAnsi="Book Antiqua"/>
          <w:color w:val="000000"/>
          <w:vertAlign w:val="superscript"/>
        </w:rPr>
        <w:sym w:font="Symbol" w:char="F02B"/>
      </w:r>
      <w:r w:rsidRPr="00872B32">
        <w:rPr>
          <w:rFonts w:ascii="Book Antiqua" w:hAnsi="Book Antiqua"/>
          <w:color w:val="000000"/>
        </w:rPr>
        <w:t xml:space="preserve"> effect is strongly connected to the decrease in the IL2 level: </w:t>
      </w:r>
      <w:r w:rsidR="009A3ED6">
        <w:rPr>
          <w:rFonts w:ascii="Book Antiqua" w:hAnsi="Book Antiqua"/>
          <w:color w:val="000000"/>
        </w:rPr>
        <w:t>t</w:t>
      </w:r>
      <w:r w:rsidR="00EE0BCA" w:rsidRPr="00872B32">
        <w:rPr>
          <w:rFonts w:ascii="Book Antiqua" w:hAnsi="Book Antiqua"/>
          <w:color w:val="000000"/>
        </w:rPr>
        <w:t xml:space="preserve">he </w:t>
      </w:r>
      <w:r w:rsidRPr="00872B32">
        <w:rPr>
          <w:rFonts w:ascii="Book Antiqua" w:hAnsi="Book Antiqua"/>
          <w:color w:val="000000"/>
        </w:rPr>
        <w:t>respective CD8</w:t>
      </w:r>
      <w:r w:rsidR="00635000" w:rsidRPr="00872B32">
        <w:rPr>
          <w:rFonts w:ascii="Book Antiqua" w:hAnsi="Book Antiqua"/>
          <w:color w:val="000000"/>
          <w:vertAlign w:val="superscript"/>
        </w:rPr>
        <w:t>-</w:t>
      </w:r>
      <w:r w:rsidRPr="00872B32">
        <w:rPr>
          <w:rFonts w:ascii="Book Antiqua" w:hAnsi="Book Antiqua"/>
          <w:color w:val="000000"/>
        </w:rPr>
        <w:t>CD57</w:t>
      </w:r>
      <w:r w:rsidR="00635000" w:rsidRPr="00872B32">
        <w:rPr>
          <w:rFonts w:ascii="Book Antiqua" w:hAnsi="Book Antiqua"/>
          <w:color w:val="000000"/>
          <w:vertAlign w:val="superscript"/>
        </w:rPr>
        <w:sym w:font="Symbol" w:char="F02B"/>
      </w:r>
      <w:r w:rsidRPr="00872B32">
        <w:rPr>
          <w:rFonts w:ascii="Book Antiqua" w:hAnsi="Book Antiqua"/>
          <w:color w:val="000000"/>
        </w:rPr>
        <w:t xml:space="preserve"> and IL2 vectors are precisely opposite one </w:t>
      </w:r>
      <w:r w:rsidR="00D13447">
        <w:rPr>
          <w:rFonts w:ascii="Book Antiqua" w:hAnsi="Book Antiqua"/>
          <w:color w:val="000000"/>
        </w:rPr>
        <w:t>an</w:t>
      </w:r>
      <w:r w:rsidRPr="00872B32">
        <w:rPr>
          <w:rFonts w:ascii="Book Antiqua" w:hAnsi="Book Antiqua"/>
          <w:color w:val="000000"/>
        </w:rPr>
        <w:t>other. Therefore, the homeostasis of CD3</w:t>
      </w:r>
      <w:r w:rsidR="00A05395" w:rsidRPr="00872B32">
        <w:rPr>
          <w:rFonts w:ascii="Book Antiqua" w:hAnsi="Book Antiqua"/>
          <w:color w:val="000000"/>
          <w:vertAlign w:val="superscript"/>
        </w:rPr>
        <w:t>-</w:t>
      </w:r>
      <w:r w:rsidRPr="00872B32">
        <w:rPr>
          <w:rFonts w:ascii="Book Antiqua" w:hAnsi="Book Antiqua"/>
          <w:color w:val="000000"/>
        </w:rPr>
        <w:t>CD56</w:t>
      </w:r>
      <w:r w:rsidR="00A05395" w:rsidRPr="00872B32">
        <w:rPr>
          <w:rFonts w:ascii="Book Antiqua" w:hAnsi="Book Antiqua"/>
          <w:color w:val="000000"/>
          <w:vertAlign w:val="superscript"/>
        </w:rPr>
        <w:sym w:font="Symbol" w:char="F02B"/>
      </w:r>
      <w:r w:rsidRPr="00872B32">
        <w:rPr>
          <w:rFonts w:ascii="Book Antiqua" w:hAnsi="Book Antiqua"/>
          <w:color w:val="000000"/>
        </w:rPr>
        <w:t xml:space="preserve"> and CD8</w:t>
      </w:r>
      <w:r w:rsidR="00A05395" w:rsidRPr="00872B32">
        <w:rPr>
          <w:rFonts w:ascii="Book Antiqua" w:hAnsi="Book Antiqua"/>
          <w:color w:val="000000"/>
          <w:vertAlign w:val="superscript"/>
        </w:rPr>
        <w:t>-</w:t>
      </w:r>
      <w:r w:rsidRPr="00872B32">
        <w:rPr>
          <w:rFonts w:ascii="Book Antiqua" w:hAnsi="Book Antiqua"/>
          <w:color w:val="000000"/>
        </w:rPr>
        <w:t>CD57</w:t>
      </w:r>
      <w:r w:rsidR="00A05395" w:rsidRPr="00872B32">
        <w:rPr>
          <w:rFonts w:ascii="Book Antiqua" w:hAnsi="Book Antiqua"/>
          <w:color w:val="000000"/>
          <w:vertAlign w:val="superscript"/>
        </w:rPr>
        <w:sym w:font="Symbol" w:char="F02B"/>
      </w:r>
      <w:r w:rsidRPr="00872B32">
        <w:rPr>
          <w:rFonts w:ascii="Book Antiqua" w:hAnsi="Book Antiqua"/>
          <w:color w:val="000000"/>
        </w:rPr>
        <w:t xml:space="preserve"> cell activity guarantees a healthy state during aging because they regulate the homeostasis of the immune response. Our results show also that the Fc</w:t>
      </w:r>
      <w:r w:rsidR="00AA3EFD" w:rsidRPr="00872B32">
        <w:rPr>
          <w:rFonts w:ascii="Book Antiqua" w:hAnsi="Book Antiqua"/>
          <w:color w:val="000000"/>
        </w:rPr>
        <w:sym w:font="Symbol" w:char="F067"/>
      </w:r>
      <w:r w:rsidRPr="00872B32">
        <w:rPr>
          <w:rFonts w:ascii="Book Antiqua" w:hAnsi="Book Antiqua"/>
          <w:color w:val="000000"/>
        </w:rPr>
        <w:t>RIIIa and Fc</w:t>
      </w:r>
      <w:r w:rsidR="00AA3EFD" w:rsidRPr="00872B32">
        <w:rPr>
          <w:rFonts w:ascii="Book Antiqua" w:hAnsi="Book Antiqua"/>
          <w:color w:val="000000"/>
        </w:rPr>
        <w:sym w:font="Symbol" w:char="F067"/>
      </w:r>
      <w:r w:rsidRPr="00872B32">
        <w:rPr>
          <w:rFonts w:ascii="Book Antiqua" w:hAnsi="Book Antiqua"/>
          <w:color w:val="000000"/>
        </w:rPr>
        <w:t>RIIa polymorphisms regulate NK</w:t>
      </w:r>
      <w:r w:rsidR="00660CEE" w:rsidRPr="00872B32">
        <w:rPr>
          <w:rFonts w:ascii="Book Antiqua" w:hAnsi="Book Antiqua"/>
          <w:color w:val="000000"/>
        </w:rPr>
        <w:t xml:space="preserve"> cell activity and the </w:t>
      </w:r>
      <w:r w:rsidRPr="00872B32">
        <w:rPr>
          <w:rFonts w:ascii="Book Antiqua" w:hAnsi="Book Antiqua"/>
          <w:color w:val="000000"/>
        </w:rPr>
        <w:t>disease r</w:t>
      </w:r>
      <w:r w:rsidR="0032452C" w:rsidRPr="00872B32">
        <w:rPr>
          <w:rFonts w:ascii="Book Antiqua" w:hAnsi="Book Antiqua"/>
          <w:color w:val="000000"/>
        </w:rPr>
        <w:t>isk</w:t>
      </w:r>
      <w:r w:rsidR="009A3ED6" w:rsidRPr="009A3ED6">
        <w:rPr>
          <w:rFonts w:ascii="Book Antiqua" w:hAnsi="Book Antiqua"/>
          <w:color w:val="000000"/>
        </w:rPr>
        <w:t xml:space="preserve"> </w:t>
      </w:r>
      <w:r w:rsidR="009A3ED6" w:rsidRPr="00872B32">
        <w:rPr>
          <w:rFonts w:ascii="Book Antiqua" w:hAnsi="Book Antiqua"/>
          <w:color w:val="000000"/>
        </w:rPr>
        <w:t>increase</w:t>
      </w:r>
      <w:r w:rsidR="0032452C" w:rsidRPr="00872B32">
        <w:rPr>
          <w:rFonts w:ascii="Book Antiqua" w:hAnsi="Book Antiqua"/>
          <w:color w:val="000000"/>
        </w:rPr>
        <w:t xml:space="preserve">. In fact, </w:t>
      </w:r>
      <w:r w:rsidR="00D13447">
        <w:rPr>
          <w:rFonts w:ascii="Book Antiqua" w:hAnsi="Book Antiqua"/>
          <w:color w:val="000000"/>
        </w:rPr>
        <w:t xml:space="preserve">as shown </w:t>
      </w:r>
      <w:r w:rsidR="0032452C" w:rsidRPr="00872B32">
        <w:rPr>
          <w:rFonts w:ascii="Book Antiqua" w:hAnsi="Book Antiqua"/>
          <w:color w:val="000000"/>
        </w:rPr>
        <w:t>in Figure</w:t>
      </w:r>
      <w:r w:rsidR="00C808A0" w:rsidRPr="00872B32">
        <w:rPr>
          <w:rFonts w:ascii="Book Antiqua" w:hAnsi="Book Antiqua"/>
          <w:color w:val="000000"/>
        </w:rPr>
        <w:t xml:space="preserve"> </w:t>
      </w:r>
      <w:r w:rsidR="001F5773" w:rsidRPr="00872B32">
        <w:rPr>
          <w:rFonts w:ascii="Book Antiqua" w:hAnsi="Book Antiqua"/>
          <w:color w:val="000000"/>
        </w:rPr>
        <w:t>7A</w:t>
      </w:r>
      <w:r w:rsidRPr="00872B32">
        <w:rPr>
          <w:rFonts w:ascii="Book Antiqua" w:hAnsi="Book Antiqua"/>
          <w:color w:val="000000"/>
        </w:rPr>
        <w:t>, it is possible to observe that the Fc</w:t>
      </w:r>
      <w:r w:rsidR="00AA3EFD" w:rsidRPr="00872B32">
        <w:rPr>
          <w:rFonts w:ascii="Book Antiqua" w:hAnsi="Book Antiqua"/>
          <w:color w:val="000000"/>
        </w:rPr>
        <w:sym w:font="Symbol" w:char="F067"/>
      </w:r>
      <w:r w:rsidRPr="00872B32">
        <w:rPr>
          <w:rFonts w:ascii="Book Antiqua" w:hAnsi="Book Antiqua"/>
          <w:color w:val="000000"/>
        </w:rPr>
        <w:t>RIIa-131</w:t>
      </w:r>
      <w:r w:rsidR="00AA3EFD" w:rsidRPr="00872B32">
        <w:rPr>
          <w:rFonts w:ascii="Book Antiqua" w:hAnsi="Book Antiqua"/>
          <w:i/>
          <w:color w:val="000000"/>
        </w:rPr>
        <w:t>H/H</w:t>
      </w:r>
      <w:r w:rsidR="009A3ED6">
        <w:rPr>
          <w:rFonts w:ascii="Book Antiqua" w:hAnsi="Book Antiqua"/>
          <w:i/>
          <w:color w:val="000000"/>
        </w:rPr>
        <w:t xml:space="preserve"> </w:t>
      </w:r>
      <w:r w:rsidRPr="00872B32">
        <w:rPr>
          <w:rFonts w:ascii="Book Antiqua" w:hAnsi="Book Antiqua"/>
          <w:color w:val="000000"/>
        </w:rPr>
        <w:t>is strongly correlated to aKIR</w:t>
      </w:r>
      <w:r w:rsidR="000A36AB" w:rsidRPr="00872B32">
        <w:rPr>
          <w:rFonts w:ascii="Book Antiqua" w:hAnsi="Book Antiqua"/>
          <w:color w:val="000000"/>
        </w:rPr>
        <w:t xml:space="preserve"> </w:t>
      </w:r>
      <w:r w:rsidRPr="00872B32">
        <w:rPr>
          <w:rFonts w:ascii="Book Antiqua" w:hAnsi="Book Antiqua"/>
          <w:color w:val="000000"/>
        </w:rPr>
        <w:t>&gt;</w:t>
      </w:r>
      <w:r w:rsidR="000A36AB" w:rsidRPr="00872B32">
        <w:rPr>
          <w:rFonts w:ascii="Book Antiqua" w:hAnsi="Book Antiqua"/>
          <w:color w:val="000000"/>
        </w:rPr>
        <w:t xml:space="preserve"> </w:t>
      </w:r>
      <w:r w:rsidRPr="00872B32">
        <w:rPr>
          <w:rFonts w:ascii="Book Antiqua" w:hAnsi="Book Antiqua"/>
          <w:color w:val="000000"/>
        </w:rPr>
        <w:t>2 and to t</w:t>
      </w:r>
      <w:r w:rsidR="00660CEE" w:rsidRPr="00872B32">
        <w:rPr>
          <w:rFonts w:ascii="Book Antiqua" w:hAnsi="Book Antiqua"/>
          <w:color w:val="000000"/>
        </w:rPr>
        <w:t xml:space="preserve">he increases in sCD30, IL2 and </w:t>
      </w:r>
      <w:r w:rsidRPr="00872B32">
        <w:rPr>
          <w:rFonts w:ascii="Book Antiqua" w:hAnsi="Book Antiqua"/>
          <w:color w:val="000000"/>
        </w:rPr>
        <w:t>IFN</w:t>
      </w:r>
      <w:r w:rsidR="00AA3EFD" w:rsidRPr="00872B32">
        <w:rPr>
          <w:rFonts w:ascii="Book Antiqua" w:hAnsi="Book Antiqua"/>
          <w:color w:val="000000"/>
        </w:rPr>
        <w:sym w:font="Symbol" w:char="F067"/>
      </w:r>
      <w:r w:rsidRPr="00872B32">
        <w:rPr>
          <w:rFonts w:ascii="Book Antiqua" w:hAnsi="Book Antiqua"/>
          <w:color w:val="000000"/>
        </w:rPr>
        <w:t xml:space="preserve">. This is a condition of higher NK functionality and of non-risk of disease. In fact, the respective vectors are very close to each other principally in the female group. Conversely the </w:t>
      </w:r>
      <w:r w:rsidRPr="00872B32">
        <w:rPr>
          <w:rFonts w:ascii="Book Antiqua" w:hAnsi="Book Antiqua"/>
          <w:i/>
          <w:color w:val="000000"/>
        </w:rPr>
        <w:t>VF</w:t>
      </w:r>
      <w:r w:rsidRPr="00872B32">
        <w:rPr>
          <w:rFonts w:ascii="Book Antiqua" w:hAnsi="Book Antiqua"/>
          <w:color w:val="000000"/>
        </w:rPr>
        <w:t xml:space="preserve">, </w:t>
      </w:r>
      <w:r w:rsidRPr="00872B32">
        <w:rPr>
          <w:rFonts w:ascii="Book Antiqua" w:hAnsi="Book Antiqua"/>
          <w:i/>
          <w:color w:val="000000"/>
        </w:rPr>
        <w:t>VV</w:t>
      </w:r>
      <w:r w:rsidRPr="00872B32">
        <w:rPr>
          <w:rFonts w:ascii="Book Antiqua" w:hAnsi="Book Antiqua"/>
          <w:color w:val="000000"/>
        </w:rPr>
        <w:t xml:space="preserve">, </w:t>
      </w:r>
      <w:r w:rsidRPr="00872B32">
        <w:rPr>
          <w:rFonts w:ascii="Book Antiqua" w:hAnsi="Book Antiqua"/>
          <w:i/>
          <w:color w:val="000000"/>
        </w:rPr>
        <w:t>FF</w:t>
      </w:r>
      <w:r w:rsidRPr="00872B32">
        <w:rPr>
          <w:rFonts w:ascii="Book Antiqua" w:hAnsi="Book Antiqua"/>
          <w:color w:val="000000"/>
        </w:rPr>
        <w:t xml:space="preserve">, </w:t>
      </w:r>
      <w:r w:rsidRPr="00872B32">
        <w:rPr>
          <w:rFonts w:ascii="Book Antiqua" w:hAnsi="Book Antiqua"/>
          <w:i/>
          <w:color w:val="000000"/>
        </w:rPr>
        <w:t>HR</w:t>
      </w:r>
      <w:r w:rsidRPr="00872B32">
        <w:rPr>
          <w:rFonts w:ascii="Book Antiqua" w:hAnsi="Book Antiqua"/>
          <w:color w:val="000000"/>
        </w:rPr>
        <w:t xml:space="preserve">, </w:t>
      </w:r>
      <w:r w:rsidRPr="00872B32">
        <w:rPr>
          <w:rFonts w:ascii="Book Antiqua" w:hAnsi="Book Antiqua"/>
          <w:i/>
          <w:color w:val="000000"/>
        </w:rPr>
        <w:t>RR</w:t>
      </w:r>
      <w:r w:rsidRPr="00872B32">
        <w:rPr>
          <w:rFonts w:ascii="Book Antiqua" w:hAnsi="Book Antiqua"/>
          <w:color w:val="000000"/>
        </w:rPr>
        <w:t xml:space="preserve"> genotypes of</w:t>
      </w:r>
      <w:r w:rsidR="00C808A0" w:rsidRPr="00872B32">
        <w:rPr>
          <w:rFonts w:ascii="Book Antiqua" w:hAnsi="Book Antiqua"/>
          <w:color w:val="000000"/>
        </w:rPr>
        <w:t xml:space="preserve"> </w:t>
      </w:r>
      <w:r w:rsidRPr="00872B32">
        <w:rPr>
          <w:rFonts w:ascii="Book Antiqua" w:hAnsi="Book Antiqua"/>
          <w:color w:val="000000"/>
        </w:rPr>
        <w:t>Fc</w:t>
      </w:r>
      <w:r w:rsidR="00AA3EFD" w:rsidRPr="00872B32">
        <w:rPr>
          <w:rFonts w:ascii="Book Antiqua" w:hAnsi="Book Antiqua"/>
          <w:color w:val="000000"/>
        </w:rPr>
        <w:sym w:font="Symbol" w:char="F067"/>
      </w:r>
      <w:r w:rsidRPr="00872B32">
        <w:rPr>
          <w:rFonts w:ascii="Book Antiqua" w:hAnsi="Book Antiqua"/>
          <w:color w:val="000000"/>
        </w:rPr>
        <w:t>RIIIa and Fc</w:t>
      </w:r>
      <w:r w:rsidR="00AA3EFD" w:rsidRPr="00872B32">
        <w:rPr>
          <w:rFonts w:ascii="Book Antiqua" w:hAnsi="Book Antiqua"/>
          <w:color w:val="000000"/>
        </w:rPr>
        <w:sym w:font="Symbol" w:char="F067"/>
      </w:r>
      <w:r w:rsidRPr="00872B32">
        <w:rPr>
          <w:rFonts w:ascii="Book Antiqua" w:hAnsi="Book Antiqua"/>
          <w:color w:val="000000"/>
        </w:rPr>
        <w:t>RIIa polymorphisms, in order of increasing importance, decrease NK activity and increase disease risk. In fact, their vectors (in purple)</w:t>
      </w:r>
      <w:r w:rsidR="00D13447">
        <w:rPr>
          <w:rFonts w:ascii="Book Antiqua" w:hAnsi="Book Antiqua"/>
          <w:color w:val="000000"/>
        </w:rPr>
        <w:t>,</w:t>
      </w:r>
      <w:r w:rsidRPr="00872B32">
        <w:rPr>
          <w:rFonts w:ascii="Book Antiqua" w:hAnsi="Book Antiqua"/>
          <w:color w:val="000000"/>
        </w:rPr>
        <w:t xml:space="preserve"> which are in ascending order of importance</w:t>
      </w:r>
      <w:r w:rsidR="00D13447">
        <w:rPr>
          <w:rFonts w:ascii="Book Antiqua" w:hAnsi="Book Antiqua"/>
          <w:color w:val="000000"/>
        </w:rPr>
        <w:t>,</w:t>
      </w:r>
      <w:r w:rsidRPr="00872B32">
        <w:rPr>
          <w:rFonts w:ascii="Book Antiqua" w:hAnsi="Book Antiqua"/>
          <w:color w:val="000000"/>
        </w:rPr>
        <w:t xml:space="preserve"> move the CD3</w:t>
      </w:r>
      <w:r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vector closer to the aKIR</w:t>
      </w:r>
      <w:r w:rsidR="000A36AB" w:rsidRPr="00872B32">
        <w:rPr>
          <w:rFonts w:ascii="Book Antiqua" w:hAnsi="Book Antiqua"/>
          <w:color w:val="000000"/>
        </w:rPr>
        <w:t xml:space="preserve"> </w:t>
      </w:r>
      <w:r w:rsidRPr="00872B32">
        <w:rPr>
          <w:rFonts w:ascii="Book Antiqua" w:hAnsi="Book Antiqua"/>
          <w:color w:val="000000"/>
        </w:rPr>
        <w:t>&lt;</w:t>
      </w:r>
      <w:r w:rsidR="000A36AB" w:rsidRPr="00872B32">
        <w:rPr>
          <w:rFonts w:ascii="Book Antiqua" w:hAnsi="Book Antiqua"/>
          <w:color w:val="000000"/>
        </w:rPr>
        <w:t xml:space="preserve"> </w:t>
      </w:r>
      <w:r w:rsidRPr="00872B32">
        <w:rPr>
          <w:rFonts w:ascii="Book Antiqua" w:hAnsi="Book Antiqua"/>
          <w:color w:val="000000"/>
        </w:rPr>
        <w:t xml:space="preserve">3 risk vector (in black). </w:t>
      </w:r>
    </w:p>
    <w:p w14:paraId="2E57CA01" w14:textId="5B9B9DF1"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For these reasons</w:t>
      </w:r>
      <w:r w:rsidR="00660CEE" w:rsidRPr="00872B32">
        <w:rPr>
          <w:rFonts w:ascii="Book Antiqua" w:hAnsi="Book Antiqua"/>
          <w:color w:val="000000"/>
        </w:rPr>
        <w:t>,</w:t>
      </w:r>
      <w:r w:rsidRPr="00872B32">
        <w:rPr>
          <w:rFonts w:ascii="Book Antiqua" w:hAnsi="Book Antiqua"/>
          <w:color w:val="000000"/>
        </w:rPr>
        <w:t xml:space="preserve"> we can affirm that the positive combined increase in the Trx1/RTrx1 and sCD30, IFN</w:t>
      </w:r>
      <w:r w:rsidR="00436CEB" w:rsidRPr="00872B32">
        <w:rPr>
          <w:rFonts w:ascii="Book Antiqua" w:hAnsi="Book Antiqua"/>
          <w:color w:val="000000"/>
        </w:rPr>
        <w:sym w:font="Symbol" w:char="F067"/>
      </w:r>
      <w:r w:rsidRPr="00872B32">
        <w:rPr>
          <w:rFonts w:ascii="Book Antiqua" w:hAnsi="Book Antiqua"/>
          <w:color w:val="000000"/>
        </w:rPr>
        <w:t xml:space="preserve"> and IL2 serum levels</w:t>
      </w:r>
      <w:r w:rsidR="00660CEE" w:rsidRPr="00872B32">
        <w:rPr>
          <w:rFonts w:ascii="Book Antiqua" w:hAnsi="Book Antiqua"/>
          <w:color w:val="000000"/>
        </w:rPr>
        <w:t xml:space="preserve"> </w:t>
      </w:r>
      <w:r w:rsidRPr="00872B32">
        <w:rPr>
          <w:rFonts w:ascii="Book Antiqua" w:hAnsi="Book Antiqua"/>
          <w:color w:val="000000"/>
        </w:rPr>
        <w:t xml:space="preserve">is also </w:t>
      </w:r>
      <w:r w:rsidR="00D13447">
        <w:rPr>
          <w:rFonts w:ascii="Book Antiqua" w:hAnsi="Book Antiqua"/>
          <w:color w:val="000000"/>
        </w:rPr>
        <w:t xml:space="preserve">a </w:t>
      </w:r>
      <w:r w:rsidRPr="00872B32">
        <w:rPr>
          <w:rFonts w:ascii="Book Antiqua" w:hAnsi="Book Antiqua"/>
          <w:color w:val="000000"/>
        </w:rPr>
        <w:t xml:space="preserve">biomarker of NK functionality in the clinical evaluation of the selection of personalized patient treatment. </w:t>
      </w:r>
    </w:p>
    <w:p w14:paraId="78ED5C5B" w14:textId="3D7A62BF"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In order to confirm this</w:t>
      </w:r>
      <w:r w:rsidR="00D13447">
        <w:rPr>
          <w:rFonts w:ascii="Book Antiqua" w:hAnsi="Book Antiqua"/>
          <w:color w:val="000000"/>
        </w:rPr>
        <w:t>,</w:t>
      </w:r>
      <w:r w:rsidRPr="00872B32">
        <w:rPr>
          <w:rFonts w:ascii="Book Antiqua" w:hAnsi="Book Antiqua"/>
          <w:color w:val="000000"/>
        </w:rPr>
        <w:t xml:space="preserve"> it is possible to observe that, in the tumor state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7</w:t>
      </w:r>
      <w:r w:rsidR="000B4898">
        <w:rPr>
          <w:rFonts w:ascii="Book Antiqua" w:hAnsi="Book Antiqua"/>
          <w:color w:val="000000"/>
        </w:rPr>
        <w:t>B</w:t>
      </w:r>
      <w:r w:rsidRPr="00872B32">
        <w:rPr>
          <w:rFonts w:ascii="Book Antiqua" w:hAnsi="Book Antiqua"/>
          <w:color w:val="000000"/>
        </w:rPr>
        <w:t>), Trx1/CD30 no longer has the features of the homeostasis state. In fact, there is no parallel increase in the Trx1/RTrx1 serum levels because the disease stage progression is only related to the increase in the Trx1 level. In addition, the increase in sCD30 serum level is related to the IL6, IL4 and TGF</w:t>
      </w:r>
      <w:r w:rsidR="00436CEB" w:rsidRPr="00872B32">
        <w:rPr>
          <w:rFonts w:ascii="Book Antiqua" w:hAnsi="Book Antiqua"/>
          <w:color w:val="000000"/>
        </w:rPr>
        <w:t>β</w:t>
      </w:r>
      <w:r w:rsidRPr="00872B32">
        <w:rPr>
          <w:rFonts w:ascii="Book Antiqua" w:hAnsi="Book Antiqua"/>
          <w:color w:val="000000"/>
        </w:rPr>
        <w:t xml:space="preserve"> increase and to</w:t>
      </w:r>
      <w:r w:rsidR="00D13447">
        <w:rPr>
          <w:rFonts w:ascii="Book Antiqua" w:hAnsi="Book Antiqua"/>
          <w:color w:val="000000"/>
        </w:rPr>
        <w:t xml:space="preserve"> the</w:t>
      </w:r>
      <w:r w:rsidRPr="00872B32">
        <w:rPr>
          <w:rFonts w:ascii="Book Antiqua" w:hAnsi="Book Antiqua"/>
          <w:color w:val="000000"/>
        </w:rPr>
        <w:t xml:space="preserve"> IL2 decrease. In this situation, the male group has </w:t>
      </w:r>
      <w:r w:rsidR="00E5133E" w:rsidRPr="00872B32">
        <w:rPr>
          <w:rFonts w:ascii="Book Antiqua" w:hAnsi="Book Antiqua"/>
          <w:color w:val="000000"/>
        </w:rPr>
        <w:t>also a</w:t>
      </w:r>
      <w:r w:rsidRPr="00872B32">
        <w:rPr>
          <w:rFonts w:ascii="Book Antiqua" w:hAnsi="Book Antiqua"/>
          <w:color w:val="000000"/>
        </w:rPr>
        <w:t xml:space="preserve"> higher risk than the female one. The male group vector is really close to the aKIR</w:t>
      </w:r>
      <w:r w:rsidR="00101E0D" w:rsidRPr="00872B32">
        <w:rPr>
          <w:rFonts w:ascii="Book Antiqua" w:hAnsi="Book Antiqua"/>
          <w:color w:val="000000"/>
        </w:rPr>
        <w:t xml:space="preserve"> </w:t>
      </w:r>
      <w:r w:rsidRPr="00872B32">
        <w:rPr>
          <w:rFonts w:ascii="Book Antiqua" w:hAnsi="Book Antiqua"/>
          <w:color w:val="000000"/>
        </w:rPr>
        <w:t>&lt;</w:t>
      </w:r>
      <w:r w:rsidR="00101E0D" w:rsidRPr="00872B32">
        <w:rPr>
          <w:rFonts w:ascii="Book Antiqua" w:hAnsi="Book Antiqua"/>
          <w:color w:val="000000"/>
        </w:rPr>
        <w:t xml:space="preserve"> </w:t>
      </w:r>
      <w:r w:rsidRPr="00872B32">
        <w:rPr>
          <w:rFonts w:ascii="Book Antiqua" w:hAnsi="Book Antiqua"/>
          <w:color w:val="000000"/>
        </w:rPr>
        <w:t>3 risk vector, while the female one is strongly connected to the aKIR</w:t>
      </w:r>
      <w:r w:rsidR="00101E0D" w:rsidRPr="00872B32">
        <w:rPr>
          <w:rFonts w:ascii="Book Antiqua" w:hAnsi="Book Antiqua"/>
          <w:color w:val="000000"/>
        </w:rPr>
        <w:t xml:space="preserve"> </w:t>
      </w:r>
      <w:r w:rsidRPr="00872B32">
        <w:rPr>
          <w:rFonts w:ascii="Book Antiqua" w:hAnsi="Book Antiqua"/>
          <w:color w:val="000000"/>
        </w:rPr>
        <w:t>&gt;</w:t>
      </w:r>
      <w:r w:rsidR="00101E0D" w:rsidRPr="00872B32">
        <w:rPr>
          <w:rFonts w:ascii="Book Antiqua" w:hAnsi="Book Antiqua"/>
          <w:color w:val="000000"/>
        </w:rPr>
        <w:t xml:space="preserve"> </w:t>
      </w:r>
      <w:r w:rsidRPr="00872B32">
        <w:rPr>
          <w:rFonts w:ascii="Book Antiqua" w:hAnsi="Book Antiqua"/>
          <w:color w:val="000000"/>
        </w:rPr>
        <w:t>2 non-risk vector.</w:t>
      </w:r>
    </w:p>
    <w:p w14:paraId="44FD00A6" w14:textId="77777777" w:rsidR="007C5DA2" w:rsidRPr="00872B32" w:rsidRDefault="007C5DA2" w:rsidP="008C54E8">
      <w:pPr>
        <w:snapToGrid w:val="0"/>
        <w:spacing w:line="360" w:lineRule="auto"/>
        <w:jc w:val="both"/>
        <w:rPr>
          <w:rFonts w:ascii="Book Antiqua" w:hAnsi="Book Antiqua"/>
          <w:b/>
          <w:bCs/>
          <w:i/>
          <w:color w:val="000000"/>
        </w:rPr>
      </w:pPr>
    </w:p>
    <w:p w14:paraId="390EC83B" w14:textId="77777777" w:rsidR="000956E5" w:rsidRPr="00872B32" w:rsidRDefault="000956E5" w:rsidP="008C54E8">
      <w:pPr>
        <w:snapToGrid w:val="0"/>
        <w:spacing w:line="360" w:lineRule="auto"/>
        <w:jc w:val="both"/>
        <w:rPr>
          <w:rFonts w:ascii="Book Antiqua" w:hAnsi="Book Antiqua"/>
          <w:b/>
          <w:bCs/>
          <w:i/>
          <w:color w:val="000000"/>
        </w:rPr>
      </w:pPr>
      <w:r w:rsidRPr="00872B32">
        <w:rPr>
          <w:rFonts w:ascii="Book Antiqua" w:hAnsi="Book Antiqua"/>
          <w:b/>
          <w:bCs/>
          <w:i/>
          <w:color w:val="000000"/>
        </w:rPr>
        <w:t>The interactions between Trx1/RTrx1 and sCD30 reveal the secret of healthy longevity</w:t>
      </w:r>
    </w:p>
    <w:p w14:paraId="072456CE" w14:textId="77777777" w:rsidR="000956E5" w:rsidRPr="00872B32" w:rsidRDefault="000956E5" w:rsidP="008C54E8">
      <w:pPr>
        <w:snapToGrid w:val="0"/>
        <w:spacing w:line="360" w:lineRule="auto"/>
        <w:jc w:val="both"/>
        <w:rPr>
          <w:rFonts w:ascii="Book Antiqua" w:hAnsi="Book Antiqua"/>
          <w:bCs/>
          <w:color w:val="000000"/>
        </w:rPr>
      </w:pPr>
      <w:r w:rsidRPr="00872B32">
        <w:rPr>
          <w:rFonts w:ascii="Book Antiqua" w:hAnsi="Book Antiqua"/>
          <w:bCs/>
          <w:color w:val="000000"/>
        </w:rPr>
        <w:lastRenderedPageBreak/>
        <w:t>According to the age of our healthy subjects</w:t>
      </w:r>
      <w:r w:rsidR="00D3658E" w:rsidRPr="00872B32">
        <w:rPr>
          <w:rFonts w:ascii="Book Antiqua" w:hAnsi="Book Antiqua"/>
          <w:bCs/>
          <w:color w:val="000000"/>
        </w:rPr>
        <w:t>,</w:t>
      </w:r>
      <w:r w:rsidRPr="00872B32">
        <w:rPr>
          <w:rFonts w:ascii="Book Antiqua" w:hAnsi="Book Antiqua"/>
          <w:bCs/>
          <w:color w:val="000000"/>
        </w:rPr>
        <w:t xml:space="preserve"> we evaluated the correlations between the levels in the Trx1/RTrx1/sCD30 and Treg/Th1/Th17 cytokines with the following age ranges: </w:t>
      </w:r>
      <w:r w:rsidR="00EE0BCA" w:rsidRPr="00872B32">
        <w:rPr>
          <w:rFonts w:ascii="Book Antiqua" w:hAnsi="Book Antiqua"/>
          <w:bCs/>
          <w:color w:val="000000"/>
        </w:rPr>
        <w:t xml:space="preserve">Less </w:t>
      </w:r>
      <w:r w:rsidRPr="00872B32">
        <w:rPr>
          <w:rFonts w:ascii="Book Antiqua" w:hAnsi="Book Antiqua"/>
          <w:bCs/>
          <w:color w:val="000000"/>
        </w:rPr>
        <w:t>than 46 years old (&lt;</w:t>
      </w:r>
      <w:r w:rsidR="00EE0BCA" w:rsidRPr="00526FCE">
        <w:rPr>
          <w:rFonts w:ascii="Book Antiqua" w:eastAsia="宋体" w:hAnsi="Book Antiqua" w:hint="eastAsia"/>
          <w:bCs/>
          <w:color w:val="000000"/>
          <w:lang w:eastAsia="zh-CN"/>
        </w:rPr>
        <w:t xml:space="preserve"> </w:t>
      </w:r>
      <w:r w:rsidRPr="00872B32">
        <w:rPr>
          <w:rFonts w:ascii="Book Antiqua" w:hAnsi="Book Antiqua"/>
          <w:bCs/>
          <w:color w:val="000000"/>
        </w:rPr>
        <w:t>46), more than 65 years old (&gt;</w:t>
      </w:r>
      <w:r w:rsidR="00EE0BCA" w:rsidRPr="00526FCE">
        <w:rPr>
          <w:rFonts w:ascii="Book Antiqua" w:eastAsia="宋体" w:hAnsi="Book Antiqua" w:hint="eastAsia"/>
          <w:bCs/>
          <w:color w:val="000000"/>
          <w:lang w:eastAsia="zh-CN"/>
        </w:rPr>
        <w:t xml:space="preserve"> </w:t>
      </w:r>
      <w:r w:rsidRPr="00872B32">
        <w:rPr>
          <w:rFonts w:ascii="Book Antiqua" w:hAnsi="Book Antiqua"/>
          <w:bCs/>
          <w:color w:val="000000"/>
        </w:rPr>
        <w:t>65) and more than 83 years old (&gt;</w:t>
      </w:r>
      <w:r w:rsidR="00EE0BCA" w:rsidRPr="00526FCE">
        <w:rPr>
          <w:rFonts w:ascii="Book Antiqua" w:eastAsia="宋体" w:hAnsi="Book Antiqua" w:hint="eastAsia"/>
          <w:bCs/>
          <w:color w:val="000000"/>
          <w:lang w:eastAsia="zh-CN"/>
        </w:rPr>
        <w:t xml:space="preserve"> </w:t>
      </w:r>
      <w:r w:rsidRPr="00872B32">
        <w:rPr>
          <w:rFonts w:ascii="Book Antiqua" w:hAnsi="Book Antiqua"/>
          <w:bCs/>
          <w:color w:val="000000"/>
        </w:rPr>
        <w:t>83).</w:t>
      </w:r>
    </w:p>
    <w:p w14:paraId="1822C85F" w14:textId="1B2B1088" w:rsidR="000956E5" w:rsidRPr="00EE0BCA" w:rsidRDefault="000956E5" w:rsidP="008C54E8">
      <w:pPr>
        <w:snapToGrid w:val="0"/>
        <w:spacing w:line="360" w:lineRule="auto"/>
        <w:ind w:firstLineChars="100" w:firstLine="240"/>
        <w:jc w:val="both"/>
        <w:rPr>
          <w:rFonts w:ascii="Book Antiqua" w:hAnsi="Book Antiqua"/>
          <w:bCs/>
          <w:color w:val="000000"/>
        </w:rPr>
      </w:pPr>
      <w:r w:rsidRPr="00872B32">
        <w:rPr>
          <w:rFonts w:ascii="Book Antiqua" w:hAnsi="Book Antiqua"/>
          <w:bCs/>
          <w:color w:val="000000"/>
        </w:rPr>
        <w:t>Our results show that, by comparing the &lt;</w:t>
      </w:r>
      <w:r w:rsidR="00EE0BCA" w:rsidRPr="00526FCE">
        <w:rPr>
          <w:rFonts w:ascii="Book Antiqua" w:eastAsia="宋体" w:hAnsi="Book Antiqua" w:hint="eastAsia"/>
          <w:bCs/>
          <w:color w:val="000000"/>
          <w:lang w:eastAsia="zh-CN"/>
        </w:rPr>
        <w:t xml:space="preserve"> </w:t>
      </w:r>
      <w:r w:rsidRPr="00872B32">
        <w:rPr>
          <w:rFonts w:ascii="Book Antiqua" w:hAnsi="Book Antiqua"/>
          <w:bCs/>
          <w:color w:val="000000"/>
        </w:rPr>
        <w:t>46 and &gt;</w:t>
      </w:r>
      <w:r w:rsidR="00EE0BCA" w:rsidRPr="00526FCE">
        <w:rPr>
          <w:rFonts w:ascii="Book Antiqua" w:eastAsia="宋体" w:hAnsi="Book Antiqua" w:hint="eastAsia"/>
          <w:bCs/>
          <w:color w:val="000000"/>
          <w:lang w:eastAsia="zh-CN"/>
        </w:rPr>
        <w:t xml:space="preserve"> </w:t>
      </w:r>
      <w:r w:rsidRPr="00872B32">
        <w:rPr>
          <w:rFonts w:ascii="Book Antiqua" w:hAnsi="Book Antiqua"/>
          <w:bCs/>
          <w:color w:val="000000"/>
        </w:rPr>
        <w:t>65 age groups (</w:t>
      </w:r>
      <w:r w:rsidR="002A074A" w:rsidRPr="00872B32">
        <w:rPr>
          <w:rFonts w:ascii="Book Antiqua" w:hAnsi="Book Antiqua"/>
          <w:bCs/>
          <w:color w:val="000000"/>
        </w:rPr>
        <w:t>Figure</w:t>
      </w:r>
      <w:r w:rsidR="00C808A0" w:rsidRPr="00872B32">
        <w:rPr>
          <w:rFonts w:ascii="Book Antiqua" w:hAnsi="Book Antiqua"/>
          <w:bCs/>
          <w:color w:val="000000"/>
        </w:rPr>
        <w:t xml:space="preserve"> </w:t>
      </w:r>
      <w:r w:rsidR="001F5773" w:rsidRPr="00872B32">
        <w:rPr>
          <w:rFonts w:ascii="Book Antiqua" w:hAnsi="Book Antiqua"/>
          <w:color w:val="000000"/>
        </w:rPr>
        <w:t>7</w:t>
      </w:r>
      <w:r w:rsidR="000B4898">
        <w:rPr>
          <w:rFonts w:ascii="Book Antiqua" w:hAnsi="Book Antiqua"/>
          <w:color w:val="000000"/>
        </w:rPr>
        <w:t>C</w:t>
      </w:r>
      <w:r w:rsidRPr="00872B32">
        <w:rPr>
          <w:rFonts w:ascii="Book Antiqua" w:hAnsi="Book Antiqua"/>
          <w:bCs/>
          <w:color w:val="000000"/>
        </w:rPr>
        <w:t xml:space="preserve">), the most significant correlation in the youngest group is with the homeostasis of the redox </w:t>
      </w:r>
      <w:r w:rsidRPr="00EE0BCA">
        <w:rPr>
          <w:rFonts w:ascii="Book Antiqua" w:hAnsi="Book Antiqua"/>
          <w:bCs/>
          <w:color w:val="000000"/>
        </w:rPr>
        <w:t>response. The “&lt;</w:t>
      </w:r>
      <w:r w:rsidR="0024466C" w:rsidRPr="00EE0BCA">
        <w:rPr>
          <w:rFonts w:ascii="Book Antiqua" w:hAnsi="Book Antiqua"/>
          <w:bCs/>
          <w:color w:val="000000"/>
        </w:rPr>
        <w:t xml:space="preserve"> </w:t>
      </w:r>
      <w:r w:rsidRPr="00EE0BCA">
        <w:rPr>
          <w:rFonts w:ascii="Book Antiqua" w:hAnsi="Book Antiqua"/>
          <w:bCs/>
          <w:color w:val="000000"/>
        </w:rPr>
        <w:t>46” vector is close to the RTrx1 and Trx1 vectors. On the other hand</w:t>
      </w:r>
      <w:r w:rsidR="00D13447">
        <w:rPr>
          <w:rFonts w:ascii="Book Antiqua" w:hAnsi="Book Antiqua"/>
          <w:bCs/>
          <w:color w:val="000000"/>
        </w:rPr>
        <w:t>,</w:t>
      </w:r>
      <w:r w:rsidRPr="00EE0BCA">
        <w:rPr>
          <w:rFonts w:ascii="Book Antiqua" w:hAnsi="Book Antiqua"/>
          <w:bCs/>
          <w:color w:val="000000"/>
        </w:rPr>
        <w:t xml:space="preserve"> when we analyzed the “&gt;</w:t>
      </w:r>
      <w:r w:rsidR="0024466C" w:rsidRPr="00EE0BCA">
        <w:rPr>
          <w:rFonts w:ascii="Book Antiqua" w:hAnsi="Book Antiqua"/>
          <w:bCs/>
          <w:color w:val="000000"/>
        </w:rPr>
        <w:t xml:space="preserve"> </w:t>
      </w:r>
      <w:r w:rsidRPr="00EE0BCA">
        <w:rPr>
          <w:rFonts w:ascii="Book Antiqua" w:hAnsi="Book Antiqua"/>
          <w:bCs/>
          <w:color w:val="000000"/>
        </w:rPr>
        <w:t xml:space="preserve">65” group we found a different situation with a more relevant homeostasis of the immune response. In Figure </w:t>
      </w:r>
      <w:r w:rsidR="001F5773" w:rsidRPr="00EE0BCA">
        <w:rPr>
          <w:rFonts w:ascii="Book Antiqua" w:hAnsi="Book Antiqua"/>
          <w:color w:val="000000"/>
        </w:rPr>
        <w:t>7</w:t>
      </w:r>
      <w:r w:rsidR="000B4898">
        <w:rPr>
          <w:rFonts w:ascii="Book Antiqua" w:hAnsi="Book Antiqua"/>
          <w:color w:val="000000"/>
        </w:rPr>
        <w:t>C</w:t>
      </w:r>
      <w:r w:rsidRPr="00EE0BCA">
        <w:rPr>
          <w:rFonts w:ascii="Book Antiqua" w:hAnsi="Book Antiqua"/>
          <w:bCs/>
          <w:color w:val="000000"/>
        </w:rPr>
        <w:t>, the “&gt;</w:t>
      </w:r>
      <w:r w:rsidR="0024466C" w:rsidRPr="00EE0BCA">
        <w:rPr>
          <w:rFonts w:ascii="Book Antiqua" w:hAnsi="Book Antiqua"/>
          <w:bCs/>
          <w:color w:val="000000"/>
        </w:rPr>
        <w:t xml:space="preserve"> </w:t>
      </w:r>
      <w:r w:rsidRPr="00EE0BCA">
        <w:rPr>
          <w:rFonts w:ascii="Book Antiqua" w:hAnsi="Book Antiqua"/>
          <w:bCs/>
          <w:color w:val="000000"/>
        </w:rPr>
        <w:t>65” vector is close to the immune vectors.</w:t>
      </w:r>
      <w:r w:rsidRPr="00EE0BCA">
        <w:rPr>
          <w:rFonts w:ascii="Book Antiqua" w:hAnsi="Book Antiqua"/>
          <w:bCs/>
          <w:color w:val="000000"/>
        </w:rPr>
        <w:tab/>
      </w:r>
    </w:p>
    <w:p w14:paraId="096DAC72" w14:textId="7C070242" w:rsidR="000956E5" w:rsidRPr="00EE0BCA" w:rsidRDefault="000956E5" w:rsidP="008C54E8">
      <w:pPr>
        <w:snapToGrid w:val="0"/>
        <w:spacing w:line="360" w:lineRule="auto"/>
        <w:ind w:firstLineChars="100" w:firstLine="240"/>
        <w:jc w:val="both"/>
        <w:rPr>
          <w:rFonts w:ascii="Book Antiqua" w:hAnsi="Book Antiqua"/>
          <w:bCs/>
          <w:color w:val="000000"/>
        </w:rPr>
      </w:pPr>
      <w:r w:rsidRPr="00EE0BCA">
        <w:rPr>
          <w:rFonts w:ascii="Book Antiqua" w:hAnsi="Book Antiqua"/>
          <w:bCs/>
          <w:color w:val="000000"/>
        </w:rPr>
        <w:t>When the “&gt;</w:t>
      </w:r>
      <w:r w:rsidR="0024466C" w:rsidRPr="00EE0BCA">
        <w:rPr>
          <w:rFonts w:ascii="Book Antiqua" w:hAnsi="Book Antiqua"/>
          <w:bCs/>
          <w:color w:val="000000"/>
        </w:rPr>
        <w:t xml:space="preserve"> </w:t>
      </w:r>
      <w:r w:rsidRPr="00EE0BCA">
        <w:rPr>
          <w:rFonts w:ascii="Book Antiqua" w:hAnsi="Book Antiqua"/>
          <w:bCs/>
          <w:color w:val="000000"/>
        </w:rPr>
        <w:t>83” age group was included in the network evaluation, we observed that the vector of this group was not placed near the “&gt;</w:t>
      </w:r>
      <w:r w:rsidR="0024466C" w:rsidRPr="00EE0BCA">
        <w:rPr>
          <w:rFonts w:ascii="Book Antiqua" w:hAnsi="Book Antiqua"/>
          <w:bCs/>
          <w:color w:val="000000"/>
        </w:rPr>
        <w:t xml:space="preserve"> </w:t>
      </w:r>
      <w:r w:rsidRPr="00EE0BCA">
        <w:rPr>
          <w:rFonts w:ascii="Book Antiqua" w:hAnsi="Book Antiqua"/>
          <w:bCs/>
          <w:color w:val="000000"/>
        </w:rPr>
        <w:t>65” group, as expected, but it was close to the “&lt;</w:t>
      </w:r>
      <w:r w:rsidR="0024466C" w:rsidRPr="00EE0BCA">
        <w:rPr>
          <w:rFonts w:ascii="Book Antiqua" w:hAnsi="Book Antiqua"/>
          <w:bCs/>
          <w:color w:val="000000"/>
        </w:rPr>
        <w:t xml:space="preserve"> </w:t>
      </w:r>
      <w:r w:rsidRPr="00EE0BCA">
        <w:rPr>
          <w:rFonts w:ascii="Book Antiqua" w:hAnsi="Book Antiqua"/>
          <w:bCs/>
          <w:color w:val="000000"/>
        </w:rPr>
        <w:t xml:space="preserve">46” vector. This shows a strong positive correlation to the redox system homeostasis. These results reveal that the possibility of living a long and healthy life is primarily determined by the homeostasis of system redox regulation, in particular of sCD30, Trx1 and RTrx1. This is also true when there is an increased level in IL6. The </w:t>
      </w:r>
      <w:r w:rsidR="0024466C" w:rsidRPr="00EE0BCA">
        <w:rPr>
          <w:rFonts w:ascii="Book Antiqua" w:hAnsi="Book Antiqua"/>
          <w:bCs/>
          <w:color w:val="000000"/>
        </w:rPr>
        <w:t>“</w:t>
      </w:r>
      <w:r w:rsidRPr="00EE0BCA">
        <w:rPr>
          <w:rFonts w:ascii="Book Antiqua" w:hAnsi="Book Antiqua"/>
          <w:bCs/>
          <w:color w:val="000000"/>
        </w:rPr>
        <w:t>&gt;</w:t>
      </w:r>
      <w:r w:rsidR="0024466C" w:rsidRPr="00EE0BCA">
        <w:rPr>
          <w:rFonts w:ascii="Book Antiqua" w:hAnsi="Book Antiqua"/>
          <w:bCs/>
          <w:color w:val="000000"/>
        </w:rPr>
        <w:t xml:space="preserve"> </w:t>
      </w:r>
      <w:r w:rsidRPr="00EE0BCA">
        <w:rPr>
          <w:rFonts w:ascii="Book Antiqua" w:hAnsi="Book Antiqua"/>
          <w:bCs/>
          <w:color w:val="000000"/>
        </w:rPr>
        <w:t>83</w:t>
      </w:r>
      <w:r w:rsidR="0024466C" w:rsidRPr="00EE0BCA">
        <w:rPr>
          <w:rFonts w:ascii="Book Antiqua" w:hAnsi="Book Antiqua"/>
          <w:bCs/>
          <w:color w:val="000000"/>
        </w:rPr>
        <w:t>”</w:t>
      </w:r>
      <w:r w:rsidRPr="00EE0BCA">
        <w:rPr>
          <w:rFonts w:ascii="Book Antiqua" w:hAnsi="Book Antiqua"/>
          <w:bCs/>
          <w:color w:val="000000"/>
        </w:rPr>
        <w:t xml:space="preserve"> and </w:t>
      </w:r>
      <w:r w:rsidR="0024466C" w:rsidRPr="00EE0BCA">
        <w:rPr>
          <w:rFonts w:ascii="Book Antiqua" w:hAnsi="Book Antiqua"/>
          <w:bCs/>
          <w:color w:val="000000"/>
        </w:rPr>
        <w:t>“</w:t>
      </w:r>
      <w:r w:rsidRPr="00EE0BCA">
        <w:rPr>
          <w:rFonts w:ascii="Book Antiqua" w:hAnsi="Book Antiqua"/>
          <w:bCs/>
          <w:color w:val="000000"/>
        </w:rPr>
        <w:t>&lt;</w:t>
      </w:r>
      <w:r w:rsidR="0024466C" w:rsidRPr="00EE0BCA">
        <w:rPr>
          <w:rFonts w:ascii="Book Antiqua" w:hAnsi="Book Antiqua"/>
          <w:bCs/>
          <w:color w:val="000000"/>
        </w:rPr>
        <w:t xml:space="preserve"> </w:t>
      </w:r>
      <w:r w:rsidRPr="00EE0BCA">
        <w:rPr>
          <w:rFonts w:ascii="Book Antiqua" w:hAnsi="Book Antiqua"/>
          <w:bCs/>
          <w:color w:val="000000"/>
        </w:rPr>
        <w:t>46</w:t>
      </w:r>
      <w:r w:rsidR="0024466C" w:rsidRPr="00EE0BCA">
        <w:rPr>
          <w:rFonts w:ascii="Book Antiqua" w:hAnsi="Book Antiqua"/>
          <w:bCs/>
          <w:color w:val="000000"/>
        </w:rPr>
        <w:t>”</w:t>
      </w:r>
      <w:r w:rsidRPr="00EE0BCA">
        <w:rPr>
          <w:rFonts w:ascii="Book Antiqua" w:hAnsi="Book Antiqua"/>
          <w:bCs/>
          <w:color w:val="000000"/>
        </w:rPr>
        <w:t xml:space="preserve"> vectors are closely related to each other and to the RTrx1, Trx1, sCD30 and IL6 vectors (</w:t>
      </w:r>
      <w:r w:rsidR="002A074A" w:rsidRPr="00EE0BCA">
        <w:rPr>
          <w:rFonts w:ascii="Book Antiqua" w:hAnsi="Book Antiqua"/>
          <w:bCs/>
          <w:color w:val="000000"/>
        </w:rPr>
        <w:t>Figure</w:t>
      </w:r>
      <w:r w:rsidRPr="00EE0BCA">
        <w:rPr>
          <w:rFonts w:ascii="Book Antiqua" w:hAnsi="Book Antiqua"/>
          <w:bCs/>
          <w:color w:val="000000"/>
        </w:rPr>
        <w:t xml:space="preserve"> </w:t>
      </w:r>
      <w:r w:rsidR="00745F59" w:rsidRPr="00EE0BCA">
        <w:rPr>
          <w:rFonts w:ascii="Book Antiqua" w:hAnsi="Book Antiqua"/>
          <w:color w:val="000000"/>
        </w:rPr>
        <w:t>7</w:t>
      </w:r>
      <w:r w:rsidR="000B4898">
        <w:rPr>
          <w:rFonts w:ascii="Book Antiqua" w:hAnsi="Book Antiqua"/>
          <w:color w:val="000000"/>
        </w:rPr>
        <w:t>D</w:t>
      </w:r>
      <w:r w:rsidRPr="00EE0BCA">
        <w:rPr>
          <w:rFonts w:ascii="Book Antiqua" w:hAnsi="Book Antiqua"/>
          <w:bCs/>
          <w:color w:val="000000"/>
        </w:rPr>
        <w:t>).</w:t>
      </w:r>
    </w:p>
    <w:p w14:paraId="4F7D5347" w14:textId="77777777" w:rsidR="000956E5" w:rsidRPr="00872B32" w:rsidRDefault="000956E5" w:rsidP="008C54E8">
      <w:pPr>
        <w:snapToGrid w:val="0"/>
        <w:spacing w:line="360" w:lineRule="auto"/>
        <w:jc w:val="both"/>
        <w:rPr>
          <w:rFonts w:ascii="Book Antiqua" w:hAnsi="Book Antiqua"/>
          <w:bCs/>
          <w:color w:val="000000"/>
        </w:rPr>
      </w:pPr>
    </w:p>
    <w:p w14:paraId="15F097AC" w14:textId="77777777" w:rsidR="000956E5" w:rsidRPr="00872B32" w:rsidRDefault="000956E5" w:rsidP="008C54E8">
      <w:pPr>
        <w:snapToGrid w:val="0"/>
        <w:spacing w:line="360" w:lineRule="auto"/>
        <w:jc w:val="both"/>
        <w:rPr>
          <w:rFonts w:ascii="Book Antiqua" w:hAnsi="Book Antiqua"/>
          <w:b/>
          <w:color w:val="000000"/>
        </w:rPr>
      </w:pPr>
      <w:r w:rsidRPr="00872B32">
        <w:rPr>
          <w:rFonts w:ascii="Book Antiqua" w:hAnsi="Book Antiqua"/>
          <w:b/>
          <w:color w:val="000000"/>
        </w:rPr>
        <w:t>D</w:t>
      </w:r>
      <w:r w:rsidR="009B0091" w:rsidRPr="00872B32">
        <w:rPr>
          <w:rFonts w:ascii="Book Antiqua" w:hAnsi="Book Antiqua"/>
          <w:b/>
          <w:color w:val="000000"/>
        </w:rPr>
        <w:t>ISCUSSION</w:t>
      </w:r>
    </w:p>
    <w:p w14:paraId="49F762E6" w14:textId="02903799" w:rsidR="000956E5" w:rsidRPr="00872B32" w:rsidRDefault="000956E5" w:rsidP="008C54E8">
      <w:pPr>
        <w:snapToGrid w:val="0"/>
        <w:spacing w:line="360" w:lineRule="auto"/>
        <w:jc w:val="both"/>
        <w:rPr>
          <w:rFonts w:ascii="Book Antiqua" w:hAnsi="Book Antiqua"/>
          <w:color w:val="000000"/>
        </w:rPr>
      </w:pPr>
      <w:r w:rsidRPr="00872B32">
        <w:rPr>
          <w:rFonts w:ascii="Book Antiqua" w:hAnsi="Book Antiqua"/>
          <w:color w:val="000000"/>
        </w:rPr>
        <w:t>Research on different pathological conditions show a very heterogeneous and confused representation of how the interaction between redox and immune systems orchestrate inflammatory diseases</w:t>
      </w:r>
      <w:r w:rsidR="009D3423" w:rsidRPr="00872B32">
        <w:rPr>
          <w:rFonts w:ascii="Book Antiqua" w:hAnsi="Book Antiqua"/>
          <w:color w:val="000000"/>
          <w:vertAlign w:val="superscript"/>
        </w:rPr>
        <w:t>[29]</w:t>
      </w:r>
      <w:r w:rsidRPr="00872B32">
        <w:rPr>
          <w:rFonts w:ascii="Book Antiqua" w:hAnsi="Book Antiqua"/>
          <w:color w:val="000000"/>
        </w:rPr>
        <w:t>.</w:t>
      </w:r>
      <w:r w:rsidR="00F74024" w:rsidRPr="00872B32">
        <w:rPr>
          <w:rFonts w:ascii="Book Antiqua" w:hAnsi="Book Antiqua"/>
          <w:color w:val="000000"/>
        </w:rPr>
        <w:t xml:space="preserve"> However, it appears that a correct redox balance is required </w:t>
      </w:r>
      <w:r w:rsidR="00D22BC0">
        <w:rPr>
          <w:rFonts w:ascii="Book Antiqua" w:hAnsi="Book Antiqua"/>
          <w:color w:val="000000"/>
        </w:rPr>
        <w:t>to</w:t>
      </w:r>
      <w:r w:rsidR="00F74024" w:rsidRPr="00872B32">
        <w:rPr>
          <w:rFonts w:ascii="Book Antiqua" w:hAnsi="Book Antiqua"/>
          <w:color w:val="000000"/>
        </w:rPr>
        <w:t xml:space="preserve"> maintain an immune </w:t>
      </w:r>
      <w:r w:rsidR="00B42202" w:rsidRPr="00872B32">
        <w:rPr>
          <w:rFonts w:ascii="Book Antiqua" w:hAnsi="Book Antiqua"/>
          <w:color w:val="000000"/>
        </w:rPr>
        <w:t>co</w:t>
      </w:r>
      <w:r w:rsidR="00F74024" w:rsidRPr="00872B32">
        <w:rPr>
          <w:rFonts w:ascii="Book Antiqua" w:hAnsi="Book Antiqua"/>
          <w:color w:val="000000"/>
        </w:rPr>
        <w:t>ndition that prevents the progress of immune-mediated inﬂammatory diseases</w:t>
      </w:r>
      <w:r w:rsidR="00F74024" w:rsidRPr="00872B32">
        <w:rPr>
          <w:rFonts w:ascii="Book Antiqua" w:hAnsi="Book Antiqua"/>
          <w:color w:val="000000"/>
          <w:vertAlign w:val="superscript"/>
        </w:rPr>
        <w:t>[29]</w:t>
      </w:r>
      <w:r w:rsidR="00F74024" w:rsidRPr="00872B32">
        <w:rPr>
          <w:rFonts w:ascii="Book Antiqua" w:hAnsi="Book Antiqua"/>
          <w:color w:val="000000"/>
        </w:rPr>
        <w:t>.</w:t>
      </w:r>
      <w:r w:rsidRPr="00872B32">
        <w:rPr>
          <w:rFonts w:ascii="Book Antiqua" w:hAnsi="Book Antiqua"/>
          <w:color w:val="000000"/>
        </w:rPr>
        <w:tab/>
      </w:r>
      <w:r w:rsidR="00F74024" w:rsidRPr="00872B32">
        <w:rPr>
          <w:rFonts w:ascii="Book Antiqua" w:hAnsi="Book Antiqua"/>
          <w:color w:val="000000"/>
        </w:rPr>
        <w:t xml:space="preserve">Modifications </w:t>
      </w:r>
      <w:r w:rsidR="00D22BC0">
        <w:rPr>
          <w:rFonts w:ascii="Book Antiqua" w:hAnsi="Book Antiqua"/>
          <w:color w:val="000000"/>
        </w:rPr>
        <w:t>of</w:t>
      </w:r>
      <w:r w:rsidR="00F74024" w:rsidRPr="00872B32">
        <w:rPr>
          <w:rFonts w:ascii="Book Antiqua" w:hAnsi="Book Antiqua"/>
          <w:color w:val="000000"/>
        </w:rPr>
        <w:t xml:space="preserve"> the physiological pathways regulating redox and immunological systems have been identified in a variety of types of tumors such as </w:t>
      </w:r>
      <w:r w:rsidR="00D65548" w:rsidRPr="00872B32">
        <w:rPr>
          <w:rFonts w:ascii="Book Antiqua" w:eastAsia="Calibri" w:hAnsi="Book Antiqua"/>
          <w:color w:val="000000"/>
        </w:rPr>
        <w:t>CRC</w:t>
      </w:r>
      <w:r w:rsidR="00F74024" w:rsidRPr="00872B32">
        <w:rPr>
          <w:rFonts w:ascii="Book Antiqua" w:hAnsi="Book Antiqua"/>
          <w:color w:val="000000"/>
        </w:rPr>
        <w:t>, non-small cell lung carcinoma and breast cancer.</w:t>
      </w:r>
      <w:r w:rsidR="00D22BC0">
        <w:rPr>
          <w:rFonts w:ascii="Book Antiqua" w:hAnsi="Book Antiqua"/>
          <w:color w:val="000000"/>
        </w:rPr>
        <w:t xml:space="preserve"> </w:t>
      </w:r>
      <w:r w:rsidR="00F74024" w:rsidRPr="00872B32">
        <w:rPr>
          <w:rFonts w:ascii="Book Antiqua" w:hAnsi="Book Antiqua"/>
          <w:color w:val="000000"/>
        </w:rPr>
        <w:t>The possible use of Trx1 and CD30 as tumor targets and biomarkers has been broadly described in</w:t>
      </w:r>
      <w:r w:rsidR="00D22BC0">
        <w:rPr>
          <w:rFonts w:ascii="Book Antiqua" w:hAnsi="Book Antiqua"/>
          <w:color w:val="000000"/>
        </w:rPr>
        <w:t xml:space="preserve"> the</w:t>
      </w:r>
      <w:r w:rsidR="00F74024" w:rsidRPr="00872B32">
        <w:rPr>
          <w:rFonts w:ascii="Book Antiqua" w:hAnsi="Book Antiqua"/>
          <w:color w:val="000000"/>
        </w:rPr>
        <w:t xml:space="preserve"> literature. </w:t>
      </w:r>
      <w:r w:rsidRPr="00872B32">
        <w:rPr>
          <w:rFonts w:ascii="Book Antiqua" w:hAnsi="Book Antiqua"/>
          <w:color w:val="000000"/>
        </w:rPr>
        <w:t>In our previous work</w:t>
      </w:r>
      <w:r w:rsidR="002D02A4" w:rsidRPr="00872B32">
        <w:rPr>
          <w:rFonts w:ascii="Book Antiqua" w:hAnsi="Book Antiqua"/>
          <w:color w:val="000000"/>
          <w:vertAlign w:val="superscript"/>
        </w:rPr>
        <w:t>[3]</w:t>
      </w:r>
      <w:r w:rsidR="00110DC3" w:rsidRPr="00872B32">
        <w:rPr>
          <w:rFonts w:ascii="Book Antiqua" w:hAnsi="Book Antiqua"/>
          <w:color w:val="000000"/>
        </w:rPr>
        <w:t>,</w:t>
      </w:r>
      <w:r w:rsidRPr="00872B32">
        <w:rPr>
          <w:rFonts w:ascii="Book Antiqua" w:hAnsi="Book Antiqua"/>
          <w:color w:val="000000"/>
        </w:rPr>
        <w:t xml:space="preserve"> we showed that serum level values of Trx1 or </w:t>
      </w:r>
      <w:r w:rsidR="00110DC3" w:rsidRPr="00872B32">
        <w:rPr>
          <w:rFonts w:ascii="Book Antiqua" w:hAnsi="Book Antiqua"/>
          <w:color w:val="000000"/>
        </w:rPr>
        <w:t>of sCD30</w:t>
      </w:r>
      <w:r w:rsidRPr="00872B32">
        <w:rPr>
          <w:rFonts w:ascii="Book Antiqua" w:hAnsi="Book Antiqua"/>
          <w:color w:val="000000"/>
        </w:rPr>
        <w:t xml:space="preserve"> were elevated in several human primary cancers, including colorectal</w:t>
      </w:r>
      <w:r w:rsidR="002D02A4" w:rsidRPr="00872B32">
        <w:rPr>
          <w:rFonts w:ascii="Book Antiqua" w:hAnsi="Book Antiqua"/>
          <w:color w:val="000000"/>
          <w:vertAlign w:val="superscript"/>
        </w:rPr>
        <w:t>[1]</w:t>
      </w:r>
      <w:r w:rsidR="00D22BC0">
        <w:rPr>
          <w:rFonts w:ascii="Book Antiqua" w:hAnsi="Book Antiqua"/>
          <w:color w:val="000000"/>
        </w:rPr>
        <w:t xml:space="preserve">, </w:t>
      </w:r>
      <w:r w:rsidRPr="00872B32">
        <w:rPr>
          <w:rFonts w:ascii="Book Antiqua" w:hAnsi="Book Antiqua"/>
          <w:color w:val="000000"/>
        </w:rPr>
        <w:t xml:space="preserve">and were generally related to tumor aggressiveness and </w:t>
      </w:r>
      <w:r w:rsidRPr="00872B32">
        <w:rPr>
          <w:rFonts w:ascii="Book Antiqua" w:hAnsi="Book Antiqua"/>
          <w:color w:val="000000"/>
        </w:rPr>
        <w:lastRenderedPageBreak/>
        <w:t xml:space="preserve">inhibition of the immunological system. In addition, </w:t>
      </w:r>
      <w:r w:rsidR="00824A13">
        <w:rPr>
          <w:rFonts w:ascii="Book Antiqua" w:hAnsi="Book Antiqua"/>
          <w:color w:val="000000"/>
          <w:lang w:eastAsia="it-IT"/>
        </w:rPr>
        <w:t xml:space="preserve">Schwertassek </w:t>
      </w:r>
      <w:r w:rsidR="00824A13" w:rsidRPr="00824A13">
        <w:rPr>
          <w:rFonts w:ascii="Book Antiqua" w:hAnsi="Book Antiqua"/>
          <w:i/>
          <w:color w:val="000000"/>
          <w:lang w:eastAsia="it-IT"/>
        </w:rPr>
        <w:t>et al</w:t>
      </w:r>
      <w:r w:rsidR="002D02A4" w:rsidRPr="00824A13">
        <w:rPr>
          <w:rFonts w:ascii="Book Antiqua" w:hAnsi="Book Antiqua"/>
          <w:color w:val="000000"/>
          <w:vertAlign w:val="superscript"/>
          <w:lang w:eastAsia="it-IT"/>
        </w:rPr>
        <w:t>[</w:t>
      </w:r>
      <w:r w:rsidR="002D02A4" w:rsidRPr="00872B32">
        <w:rPr>
          <w:rFonts w:ascii="Book Antiqua" w:hAnsi="Book Antiqua"/>
          <w:color w:val="000000"/>
          <w:vertAlign w:val="superscript"/>
          <w:lang w:eastAsia="it-IT"/>
        </w:rPr>
        <w:t>8]</w:t>
      </w:r>
      <w:r w:rsidRPr="00872B32">
        <w:rPr>
          <w:rFonts w:ascii="Book Antiqua" w:hAnsi="Book Antiqua" w:cs="AdvPTimes"/>
          <w:color w:val="000000"/>
          <w:lang w:eastAsia="it-IT"/>
        </w:rPr>
        <w:t xml:space="preserve"> </w:t>
      </w:r>
      <w:r w:rsidRPr="00872B32">
        <w:rPr>
          <w:rFonts w:ascii="Book Antiqua" w:hAnsi="Book Antiqua"/>
          <w:color w:val="000000"/>
          <w:lang w:eastAsia="it-IT"/>
        </w:rPr>
        <w:t xml:space="preserve">demonstrated that </w:t>
      </w:r>
      <w:r w:rsidRPr="00872B32">
        <w:rPr>
          <w:rFonts w:ascii="Book Antiqua" w:hAnsi="Book Antiqua"/>
          <w:color w:val="000000"/>
        </w:rPr>
        <w:t>the serum levels of sCD30 mirror Trx1 levels in physiological networks: as Trx1 levels increase in infections, allergies, autoimmune events and cancer, so do sCD30 levels; likewise Trx1 levels modulate CD30 receptor immunological functions during the immune response as do sCD30 levels. With the aim of clarifying whether it was more effective to use Trx</w:t>
      </w:r>
      <w:r w:rsidR="00CF6B9E" w:rsidRPr="00872B32">
        <w:rPr>
          <w:rFonts w:ascii="Book Antiqua" w:hAnsi="Book Antiqua"/>
          <w:color w:val="000000"/>
        </w:rPr>
        <w:t>1</w:t>
      </w:r>
      <w:r w:rsidRPr="00872B32">
        <w:rPr>
          <w:rFonts w:ascii="Book Antiqua" w:hAnsi="Book Antiqua"/>
          <w:color w:val="000000"/>
        </w:rPr>
        <w:t xml:space="preserve"> and CD30 in combination, as </w:t>
      </w:r>
      <w:r w:rsidR="00D22BC0">
        <w:rPr>
          <w:rFonts w:ascii="Book Antiqua" w:hAnsi="Book Antiqua"/>
          <w:color w:val="000000"/>
        </w:rPr>
        <w:t xml:space="preserve">a </w:t>
      </w:r>
      <w:r w:rsidRPr="00872B32">
        <w:rPr>
          <w:rFonts w:ascii="Book Antiqua" w:hAnsi="Book Antiqua"/>
          <w:color w:val="000000"/>
        </w:rPr>
        <w:t>dual target, we have carried out this study.</w:t>
      </w:r>
    </w:p>
    <w:p w14:paraId="5372CFAF" w14:textId="3C0EC117" w:rsidR="000956E5" w:rsidRPr="00872B32" w:rsidRDefault="000956E5" w:rsidP="008C54E8">
      <w:pPr>
        <w:snapToGrid w:val="0"/>
        <w:spacing w:line="360" w:lineRule="auto"/>
        <w:ind w:firstLineChars="100" w:firstLine="240"/>
        <w:jc w:val="both"/>
        <w:rPr>
          <w:rFonts w:ascii="Book Antiqua" w:hAnsi="Book Antiqua"/>
          <w:bCs/>
          <w:color w:val="000000"/>
        </w:rPr>
      </w:pPr>
      <w:r w:rsidRPr="00872B32">
        <w:rPr>
          <w:rFonts w:ascii="Book Antiqua" w:hAnsi="Book Antiqua"/>
          <w:bCs/>
          <w:color w:val="000000"/>
        </w:rPr>
        <w:t>Our results support that</w:t>
      </w:r>
      <w:r w:rsidR="00D22BC0">
        <w:rPr>
          <w:rFonts w:ascii="Book Antiqua" w:hAnsi="Book Antiqua"/>
          <w:bCs/>
          <w:color w:val="000000"/>
        </w:rPr>
        <w:t xml:space="preserve"> it</w:t>
      </w:r>
      <w:r w:rsidRPr="00872B32">
        <w:rPr>
          <w:rFonts w:ascii="Book Antiqua" w:hAnsi="Book Antiqua"/>
          <w:bCs/>
          <w:color w:val="000000"/>
        </w:rPr>
        <w:t xml:space="preserve"> is </w:t>
      </w:r>
      <w:r w:rsidRPr="00872B32">
        <w:rPr>
          <w:rFonts w:ascii="Book Antiqua" w:hAnsi="Book Antiqua"/>
          <w:color w:val="000000"/>
        </w:rPr>
        <w:t>more effective to target Trx</w:t>
      </w:r>
      <w:r w:rsidR="00CF6B9E" w:rsidRPr="00872B32">
        <w:rPr>
          <w:rFonts w:ascii="Book Antiqua" w:hAnsi="Book Antiqua"/>
          <w:color w:val="000000"/>
        </w:rPr>
        <w:t>1</w:t>
      </w:r>
      <w:r w:rsidRPr="00872B32">
        <w:rPr>
          <w:rFonts w:ascii="Book Antiqua" w:hAnsi="Book Antiqua"/>
          <w:color w:val="000000"/>
        </w:rPr>
        <w:t xml:space="preserve"> and CD30 together and that gender and genetic parameters are useful to improve disease risk classification. </w:t>
      </w:r>
      <w:r w:rsidRPr="00872B32">
        <w:rPr>
          <w:rFonts w:ascii="Book Antiqua" w:hAnsi="Book Antiqua"/>
          <w:bCs/>
          <w:color w:val="000000"/>
        </w:rPr>
        <w:t xml:space="preserve">We demonstrated that Trx1/CD30 controls </w:t>
      </w:r>
      <w:r w:rsidRPr="00872B32">
        <w:rPr>
          <w:rFonts w:ascii="Book Antiqua" w:hAnsi="Book Antiqua"/>
          <w:color w:val="000000"/>
        </w:rPr>
        <w:t>redox immunological</w:t>
      </w:r>
      <w:r w:rsidRPr="00872B32">
        <w:rPr>
          <w:rFonts w:ascii="Book Antiqua" w:hAnsi="Book Antiqua"/>
          <w:bCs/>
          <w:color w:val="000000"/>
        </w:rPr>
        <w:t xml:space="preserve"> homeostasis of the immune response both in the male and female groups but through gender specific redox-immune pathways. In these pathways</w:t>
      </w:r>
      <w:r w:rsidR="00D22BC0">
        <w:rPr>
          <w:rFonts w:ascii="Book Antiqua" w:hAnsi="Book Antiqua"/>
          <w:bCs/>
          <w:color w:val="000000"/>
        </w:rPr>
        <w:t>,</w:t>
      </w:r>
      <w:r w:rsidRPr="00872B32">
        <w:rPr>
          <w:rFonts w:ascii="Book Antiqua" w:hAnsi="Book Antiqua"/>
          <w:color w:val="000000"/>
        </w:rPr>
        <w:t xml:space="preserve"> the increase in the serum level combinations of Trx1/RTrx1 (positively correlated), TGFβ/IL6 and TGFβ/IL4 (negatively correlated) and the increase in the serum of sCD30 IFN</w:t>
      </w:r>
      <w:r w:rsidR="00477C46" w:rsidRPr="00872B32">
        <w:rPr>
          <w:rFonts w:ascii="Book Antiqua" w:hAnsi="Book Antiqua"/>
          <w:color w:val="000000"/>
        </w:rPr>
        <w:sym w:font="Symbol" w:char="F067"/>
      </w:r>
      <w:r w:rsidR="007C3132" w:rsidRPr="00872B32">
        <w:rPr>
          <w:rFonts w:ascii="Book Antiqua" w:hAnsi="Book Antiqua"/>
          <w:color w:val="000000"/>
        </w:rPr>
        <w:t xml:space="preserve"> a</w:t>
      </w:r>
      <w:r w:rsidRPr="00872B32">
        <w:rPr>
          <w:rFonts w:ascii="Book Antiqua" w:hAnsi="Book Antiqua"/>
          <w:color w:val="000000"/>
        </w:rPr>
        <w:t>nd IL2</w:t>
      </w:r>
      <w:r w:rsidRPr="00872B32">
        <w:rPr>
          <w:rFonts w:ascii="Book Antiqua" w:eastAsia="Calibri" w:hAnsi="Book Antiqua"/>
          <w:color w:val="000000"/>
        </w:rPr>
        <w:t xml:space="preserve"> </w:t>
      </w:r>
      <w:r w:rsidRPr="00872B32">
        <w:rPr>
          <w:rFonts w:ascii="Book Antiqua" w:hAnsi="Book Antiqua"/>
          <w:color w:val="000000"/>
        </w:rPr>
        <w:t>are fundamental for the preservation of the microenvironment homeostasis of IL10, TGF</w:t>
      </w:r>
      <w:r w:rsidR="00477C46" w:rsidRPr="00872B32">
        <w:rPr>
          <w:rFonts w:ascii="Book Antiqua" w:hAnsi="Book Antiqua"/>
          <w:color w:val="000000"/>
        </w:rPr>
        <w:t>β</w:t>
      </w:r>
      <w:r w:rsidRPr="00872B32">
        <w:rPr>
          <w:rFonts w:ascii="Book Antiqua" w:hAnsi="Book Antiqua"/>
          <w:color w:val="000000"/>
        </w:rPr>
        <w:t xml:space="preserve">, IL4, IL6 and IL2 cytokines. This homeostasis also controls inflammation in the healthy state during aging. </w:t>
      </w:r>
      <w:r w:rsidRPr="00872B32">
        <w:rPr>
          <w:rFonts w:ascii="Book Antiqua" w:hAnsi="Book Antiqua"/>
          <w:bCs/>
          <w:color w:val="000000"/>
        </w:rPr>
        <w:t xml:space="preserve">Instead, the unbalance between the serum levels of Trx1/RTrx1 </w:t>
      </w:r>
      <w:r w:rsidRPr="00872B32">
        <w:rPr>
          <w:rFonts w:ascii="Book Antiqua" w:hAnsi="Book Antiqua"/>
          <w:color w:val="000000"/>
        </w:rPr>
        <w:t>(which has become negative), TGFβ/IL6 and TGFβ/IL4 (which has become positive) and the decrease in the serum levels of sCD30</w:t>
      </w:r>
      <w:r w:rsidR="00B95335" w:rsidRPr="00872B32">
        <w:rPr>
          <w:rFonts w:ascii="Book Antiqua" w:hAnsi="Book Antiqua"/>
          <w:color w:val="000000"/>
        </w:rPr>
        <w:t>,</w:t>
      </w:r>
      <w:r w:rsidRPr="00872B32">
        <w:rPr>
          <w:rFonts w:ascii="Book Antiqua" w:hAnsi="Book Antiqua"/>
          <w:color w:val="000000"/>
        </w:rPr>
        <w:t xml:space="preserve"> IFN</w:t>
      </w:r>
      <w:r w:rsidR="00477C46" w:rsidRPr="00872B32">
        <w:rPr>
          <w:rFonts w:ascii="Book Antiqua" w:hAnsi="Book Antiqua"/>
          <w:color w:val="000000"/>
        </w:rPr>
        <w:sym w:font="Symbol" w:char="F067"/>
      </w:r>
      <w:r w:rsidRPr="00872B32">
        <w:rPr>
          <w:rFonts w:ascii="Book Antiqua" w:hAnsi="Book Antiqua"/>
          <w:color w:val="000000"/>
        </w:rPr>
        <w:t xml:space="preserve"> and IL2,</w:t>
      </w:r>
      <w:r w:rsidRPr="00872B32">
        <w:rPr>
          <w:rFonts w:ascii="Book Antiqua" w:eastAsia="Calibri" w:hAnsi="Book Antiqua"/>
          <w:color w:val="000000"/>
        </w:rPr>
        <w:t xml:space="preserve"> </w:t>
      </w:r>
      <w:r w:rsidRPr="00872B32">
        <w:rPr>
          <w:rFonts w:ascii="Book Antiqua" w:hAnsi="Book Antiqua"/>
          <w:bCs/>
          <w:color w:val="000000"/>
        </w:rPr>
        <w:t>generates</w:t>
      </w:r>
      <w:r w:rsidR="00823B16" w:rsidRPr="00823B16">
        <w:rPr>
          <w:rFonts w:ascii="Book Antiqua" w:hAnsi="Book Antiqua"/>
          <w:bCs/>
          <w:color w:val="000000"/>
        </w:rPr>
        <w:t xml:space="preserve"> non-homeostasis</w:t>
      </w:r>
      <w:r w:rsidR="00823B16">
        <w:rPr>
          <w:rFonts w:ascii="Book Antiqua" w:hAnsi="Book Antiqua"/>
          <w:bCs/>
          <w:color w:val="000000"/>
        </w:rPr>
        <w:t xml:space="preserve"> in</w:t>
      </w:r>
      <w:r w:rsidR="00823B16" w:rsidRPr="00823B16">
        <w:rPr>
          <w:rFonts w:ascii="Book Antiqua" w:hAnsi="Book Antiqua"/>
          <w:bCs/>
          <w:color w:val="000000"/>
        </w:rPr>
        <w:t xml:space="preserve"> the microenvironment  of both the cytokines  and cells network</w:t>
      </w:r>
      <w:r w:rsidRPr="00872B32">
        <w:rPr>
          <w:rFonts w:ascii="Book Antiqua" w:hAnsi="Book Antiqua"/>
          <w:color w:val="000000"/>
        </w:rPr>
        <w:t xml:space="preserve">; gender </w:t>
      </w:r>
      <w:r w:rsidRPr="00872B32">
        <w:rPr>
          <w:rFonts w:ascii="Book Antiqua" w:hAnsi="Book Antiqua"/>
          <w:bCs/>
          <w:color w:val="000000"/>
        </w:rPr>
        <w:t>specific redox-immune pathway alterations; a non</w:t>
      </w:r>
      <w:r w:rsidR="00EE0BCA" w:rsidRPr="00526FCE">
        <w:rPr>
          <w:rFonts w:ascii="Book Antiqua" w:eastAsia="宋体" w:hAnsi="Book Antiqua" w:hint="eastAsia"/>
          <w:bCs/>
          <w:color w:val="000000"/>
          <w:lang w:eastAsia="zh-CN"/>
        </w:rPr>
        <w:t>-</w:t>
      </w:r>
      <w:r w:rsidR="00823B16" w:rsidRPr="00823B16">
        <w:rPr>
          <w:rFonts w:ascii="Book Antiqua" w:hAnsi="Book Antiqua"/>
          <w:bCs/>
          <w:color w:val="000000"/>
        </w:rPr>
        <w:t xml:space="preserve"> </w:t>
      </w:r>
      <w:r w:rsidR="00823B16">
        <w:rPr>
          <w:rFonts w:ascii="Book Antiqua" w:hAnsi="Book Antiqua"/>
          <w:bCs/>
          <w:color w:val="000000"/>
        </w:rPr>
        <w:t>h</w:t>
      </w:r>
      <w:r w:rsidR="00823B16" w:rsidRPr="00872B32">
        <w:rPr>
          <w:rFonts w:ascii="Book Antiqua" w:hAnsi="Book Antiqua"/>
          <w:bCs/>
          <w:color w:val="000000"/>
        </w:rPr>
        <w:t xml:space="preserve">omeostasis </w:t>
      </w:r>
      <w:r w:rsidRPr="00872B32">
        <w:rPr>
          <w:rFonts w:ascii="Book Antiqua" w:hAnsi="Book Antiqua"/>
          <w:color w:val="000000"/>
        </w:rPr>
        <w:t xml:space="preserve">redox </w:t>
      </w:r>
      <w:r w:rsidRPr="00872B32">
        <w:rPr>
          <w:rFonts w:ascii="Book Antiqua" w:hAnsi="Book Antiqua"/>
          <w:bCs/>
          <w:color w:val="000000"/>
        </w:rPr>
        <w:t xml:space="preserve">immunological of gender immune response; a </w:t>
      </w:r>
      <w:r w:rsidRPr="00872B32">
        <w:rPr>
          <w:rFonts w:ascii="Book Antiqua" w:hAnsi="Book Antiqua"/>
          <w:color w:val="000000"/>
        </w:rPr>
        <w:t>non</w:t>
      </w:r>
      <w:r w:rsidR="00EE0BCA" w:rsidRPr="00526FCE">
        <w:rPr>
          <w:rFonts w:ascii="Book Antiqua" w:eastAsia="宋体" w:hAnsi="Book Antiqua" w:hint="eastAsia"/>
          <w:color w:val="000000"/>
          <w:lang w:eastAsia="zh-CN"/>
        </w:rPr>
        <w:t>-</w:t>
      </w:r>
      <w:r w:rsidRPr="00872B32">
        <w:rPr>
          <w:rFonts w:ascii="Book Antiqua" w:hAnsi="Book Antiqua"/>
          <w:color w:val="000000"/>
        </w:rPr>
        <w:t>control of inflammation and gender specific chronic degenerative diseases</w:t>
      </w:r>
      <w:r w:rsidR="00EE0BCA">
        <w:rPr>
          <w:rFonts w:ascii="Book Antiqua" w:hAnsi="Book Antiqua"/>
          <w:color w:val="000000"/>
        </w:rPr>
        <w:t xml:space="preserve"> or disease progression</w:t>
      </w:r>
      <w:r w:rsidR="00CF4356" w:rsidRPr="00872B32">
        <w:rPr>
          <w:rFonts w:ascii="Book Antiqua" w:hAnsi="Book Antiqua"/>
          <w:color w:val="000000"/>
          <w:vertAlign w:val="superscript"/>
        </w:rPr>
        <w:t>[6,11-17</w:t>
      </w:r>
      <w:r w:rsidRPr="00872B32">
        <w:rPr>
          <w:rFonts w:ascii="Book Antiqua" w:hAnsi="Book Antiqua"/>
          <w:color w:val="000000"/>
          <w:vertAlign w:val="superscript"/>
        </w:rPr>
        <w:t>]</w:t>
      </w:r>
      <w:r w:rsidRPr="00872B32">
        <w:rPr>
          <w:rFonts w:ascii="Book Antiqua" w:hAnsi="Book Antiqua"/>
          <w:color w:val="000000"/>
        </w:rPr>
        <w:t xml:space="preserve">. </w:t>
      </w:r>
      <w:r w:rsidRPr="00872B32">
        <w:rPr>
          <w:rFonts w:ascii="Book Antiqua" w:hAnsi="Book Antiqua"/>
          <w:bCs/>
          <w:color w:val="000000"/>
        </w:rPr>
        <w:t xml:space="preserve">Consequently, the balance of these parameters is a biomarker of control of </w:t>
      </w:r>
      <w:r w:rsidR="00110DC3" w:rsidRPr="00872B32">
        <w:rPr>
          <w:rFonts w:ascii="Book Antiqua" w:hAnsi="Book Antiqua"/>
          <w:bCs/>
          <w:color w:val="000000"/>
        </w:rPr>
        <w:t>inflammation and</w:t>
      </w:r>
      <w:r w:rsidRPr="00872B32">
        <w:rPr>
          <w:rFonts w:ascii="Book Antiqua" w:hAnsi="Book Antiqua"/>
          <w:bCs/>
          <w:color w:val="000000"/>
        </w:rPr>
        <w:t xml:space="preserve"> is prognostic of </w:t>
      </w:r>
      <w:r w:rsidR="00110DC3" w:rsidRPr="00872B32">
        <w:rPr>
          <w:rFonts w:ascii="Book Antiqua" w:hAnsi="Book Antiqua"/>
          <w:bCs/>
          <w:color w:val="000000"/>
        </w:rPr>
        <w:t>non-risk</w:t>
      </w:r>
      <w:r w:rsidRPr="00872B32">
        <w:rPr>
          <w:rFonts w:ascii="Book Antiqua" w:hAnsi="Book Antiqua"/>
          <w:bCs/>
          <w:color w:val="000000"/>
        </w:rPr>
        <w:t xml:space="preserve"> of disease or progression in both healthy subjects and patients. </w:t>
      </w:r>
    </w:p>
    <w:p w14:paraId="76965A1E" w14:textId="64819A25"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bCs/>
          <w:color w:val="000000"/>
        </w:rPr>
        <w:t>To our knowledge, this is th</w:t>
      </w:r>
      <w:r w:rsidR="00F93C23" w:rsidRPr="00872B32">
        <w:rPr>
          <w:rFonts w:ascii="Book Antiqua" w:hAnsi="Book Antiqua"/>
          <w:bCs/>
          <w:color w:val="000000"/>
        </w:rPr>
        <w:t>e first time that Trx1/CD30</w:t>
      </w:r>
      <w:r w:rsidRPr="00872B32">
        <w:rPr>
          <w:rFonts w:ascii="Book Antiqua" w:hAnsi="Book Antiqua"/>
          <w:bCs/>
          <w:color w:val="000000"/>
        </w:rPr>
        <w:t xml:space="preserve"> is studied together </w:t>
      </w:r>
      <w:r w:rsidR="00ED1833">
        <w:rPr>
          <w:rFonts w:ascii="Book Antiqua" w:hAnsi="Book Antiqua"/>
          <w:bCs/>
          <w:color w:val="000000"/>
        </w:rPr>
        <w:t>with</w:t>
      </w:r>
      <w:r w:rsidR="00ED1833" w:rsidRPr="00872B32">
        <w:rPr>
          <w:rFonts w:ascii="Book Antiqua" w:hAnsi="Book Antiqua"/>
          <w:bCs/>
          <w:color w:val="000000"/>
        </w:rPr>
        <w:t xml:space="preserve"> </w:t>
      </w:r>
      <w:r w:rsidRPr="00872B32">
        <w:rPr>
          <w:rFonts w:ascii="Book Antiqua" w:hAnsi="Book Antiqua"/>
          <w:color w:val="000000"/>
        </w:rPr>
        <w:t>Fc</w:t>
      </w:r>
      <w:r w:rsidR="00477C46" w:rsidRPr="00872B32">
        <w:rPr>
          <w:rFonts w:ascii="Book Antiqua" w:hAnsi="Book Antiqua"/>
          <w:color w:val="000000"/>
        </w:rPr>
        <w:sym w:font="Symbol" w:char="F067"/>
      </w:r>
      <w:r w:rsidRPr="00872B32">
        <w:rPr>
          <w:rFonts w:ascii="Book Antiqua" w:hAnsi="Book Antiqua"/>
          <w:color w:val="000000"/>
        </w:rPr>
        <w:t xml:space="preserve">R </w:t>
      </w:r>
      <w:r w:rsidR="00110DC3" w:rsidRPr="00872B32">
        <w:rPr>
          <w:rFonts w:ascii="Book Antiqua" w:hAnsi="Book Antiqua"/>
          <w:color w:val="000000"/>
        </w:rPr>
        <w:t>and KIR</w:t>
      </w:r>
      <w:r w:rsidRPr="00872B32">
        <w:rPr>
          <w:rFonts w:ascii="Book Antiqua" w:hAnsi="Book Antiqua"/>
          <w:bCs/>
          <w:color w:val="000000"/>
        </w:rPr>
        <w:t xml:space="preserve"> gene polymorphism</w:t>
      </w:r>
      <w:r w:rsidR="00ED1833">
        <w:rPr>
          <w:rFonts w:ascii="Book Antiqua" w:hAnsi="Book Antiqua"/>
          <w:bCs/>
          <w:color w:val="000000"/>
        </w:rPr>
        <w:t>s</w:t>
      </w:r>
      <w:r w:rsidRPr="00872B32">
        <w:rPr>
          <w:rFonts w:ascii="Book Antiqua" w:hAnsi="Book Antiqua"/>
          <w:bCs/>
          <w:color w:val="000000"/>
        </w:rPr>
        <w:t xml:space="preserve">. This permitted us to clarify the importance of the Trx1/CD30 redox immune homeostasis in order to allow the positive interaction between NK and T cell function and health protection during aging. </w:t>
      </w:r>
    </w:p>
    <w:p w14:paraId="010C202C" w14:textId="77777777"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lastRenderedPageBreak/>
        <w:t>As described extensively in the results section, the Fc</w:t>
      </w:r>
      <w:r w:rsidR="009F0F5F" w:rsidRPr="00872B32">
        <w:rPr>
          <w:rFonts w:ascii="Book Antiqua" w:hAnsi="Book Antiqua"/>
          <w:color w:val="000000"/>
        </w:rPr>
        <w:sym w:font="Symbol" w:char="F067"/>
      </w:r>
      <w:r w:rsidRPr="00872B32">
        <w:rPr>
          <w:rFonts w:ascii="Book Antiqua" w:hAnsi="Book Antiqua"/>
          <w:color w:val="000000"/>
        </w:rPr>
        <w:t>RIIa and Fc</w:t>
      </w:r>
      <w:r w:rsidR="009F0F5F" w:rsidRPr="00872B32">
        <w:rPr>
          <w:rFonts w:ascii="Book Antiqua" w:hAnsi="Book Antiqua"/>
          <w:color w:val="000000"/>
        </w:rPr>
        <w:sym w:font="Symbol" w:char="F067"/>
      </w:r>
      <w:r w:rsidRPr="00872B32">
        <w:rPr>
          <w:rFonts w:ascii="Book Antiqua" w:hAnsi="Book Antiqua"/>
          <w:color w:val="000000"/>
        </w:rPr>
        <w:t xml:space="preserve">RIIIa polymorphisms have been identified as stratification parameters of low/intermediate and high risk of disease depending on the gender and on the serum level of specific cytokines. </w:t>
      </w:r>
    </w:p>
    <w:p w14:paraId="493AE16B" w14:textId="77777777" w:rsidR="000956E5" w:rsidRPr="00872B32" w:rsidRDefault="000956E5" w:rsidP="008C54E8">
      <w:pPr>
        <w:snapToGrid w:val="0"/>
        <w:spacing w:line="360" w:lineRule="auto"/>
        <w:ind w:firstLineChars="100" w:firstLine="240"/>
        <w:jc w:val="both"/>
        <w:rPr>
          <w:rFonts w:ascii="Book Antiqua" w:hAnsi="Book Antiqua"/>
          <w:strike/>
          <w:color w:val="000000"/>
        </w:rPr>
      </w:pPr>
      <w:r w:rsidRPr="00872B32">
        <w:rPr>
          <w:rFonts w:ascii="Book Antiqua" w:hAnsi="Book Antiqua"/>
          <w:bCs/>
          <w:color w:val="000000"/>
        </w:rPr>
        <w:t xml:space="preserve">Regarding the KIR gene polymorphisms, we have showed their importance as stratification parameters for the individual risk of disease and its progression in order to select </w:t>
      </w:r>
      <w:r w:rsidR="00267004" w:rsidRPr="00872B32">
        <w:rPr>
          <w:rFonts w:ascii="Book Antiqua" w:hAnsi="Book Antiqua"/>
          <w:bCs/>
          <w:color w:val="000000"/>
        </w:rPr>
        <w:t>early</w:t>
      </w:r>
      <w:r w:rsidR="009A5E18" w:rsidRPr="00872B32">
        <w:rPr>
          <w:rFonts w:ascii="Book Antiqua" w:hAnsi="Book Antiqua"/>
          <w:bCs/>
          <w:color w:val="000000"/>
        </w:rPr>
        <w:t>-</w:t>
      </w:r>
      <w:r w:rsidR="00267004" w:rsidRPr="00872B32">
        <w:rPr>
          <w:rFonts w:ascii="Book Antiqua" w:hAnsi="Book Antiqua"/>
          <w:bCs/>
          <w:color w:val="000000"/>
        </w:rPr>
        <w:t xml:space="preserve">personalized biomarkers. </w:t>
      </w:r>
      <w:r w:rsidRPr="00872B32">
        <w:rPr>
          <w:rFonts w:ascii="Book Antiqua" w:hAnsi="Book Antiqua"/>
          <w:bCs/>
          <w:color w:val="000000"/>
        </w:rPr>
        <w:t xml:space="preserve">Our study demonstrates that the most predictive conditions for the disease development or progression are when aKIRs are completely absent or there are only </w:t>
      </w:r>
      <w:r w:rsidR="009A5E18" w:rsidRPr="00872B32">
        <w:rPr>
          <w:rFonts w:ascii="Book Antiqua" w:hAnsi="Book Antiqua"/>
          <w:bCs/>
          <w:color w:val="000000"/>
        </w:rPr>
        <w:t>two</w:t>
      </w:r>
      <w:r w:rsidRPr="00872B32">
        <w:rPr>
          <w:rFonts w:ascii="Book Antiqua" w:hAnsi="Book Antiqua"/>
          <w:bCs/>
          <w:color w:val="000000"/>
        </w:rPr>
        <w:t xml:space="preserve"> of them. Instead, the iKIRs numbers did not show any relevance in this correlation. </w:t>
      </w:r>
    </w:p>
    <w:p w14:paraId="72E6B0DE" w14:textId="5B03740D" w:rsidR="004E70CC"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 It is interesting to note in the patient group </w:t>
      </w:r>
      <w:r w:rsidR="00ED1833">
        <w:rPr>
          <w:rFonts w:ascii="Book Antiqua" w:hAnsi="Book Antiqua"/>
          <w:color w:val="000000"/>
        </w:rPr>
        <w:t xml:space="preserve">that </w:t>
      </w:r>
      <w:r w:rsidRPr="00872B32">
        <w:rPr>
          <w:rFonts w:ascii="Book Antiqua" w:hAnsi="Book Antiqua"/>
          <w:color w:val="000000"/>
        </w:rPr>
        <w:t>we demonstrated that the KIR polymorphisms are prognostic biomarkers of specific pathology polarization in both genders.</w:t>
      </w:r>
      <w:r w:rsidR="00C808A0" w:rsidRPr="00872B32">
        <w:rPr>
          <w:rFonts w:ascii="Book Antiqua" w:hAnsi="Book Antiqua"/>
          <w:color w:val="000000"/>
        </w:rPr>
        <w:t xml:space="preserve"> </w:t>
      </w:r>
      <w:r w:rsidR="004E70CC" w:rsidRPr="00872B32">
        <w:rPr>
          <w:rFonts w:ascii="Book Antiqua" w:hAnsi="Book Antiqua"/>
          <w:color w:val="000000"/>
        </w:rPr>
        <w:t xml:space="preserve">In fact, as shown in </w:t>
      </w:r>
      <w:r w:rsidR="004921D6" w:rsidRPr="004144D6">
        <w:rPr>
          <w:rFonts w:ascii="Book Antiqua" w:hAnsi="Book Antiqua"/>
          <w:color w:val="000000"/>
        </w:rPr>
        <w:t>Supplement</w:t>
      </w:r>
      <w:r w:rsidR="004921D6" w:rsidRPr="00872B32">
        <w:rPr>
          <w:rFonts w:ascii="Book Antiqua" w:hAnsi="Book Antiqua"/>
          <w:color w:val="000000"/>
        </w:rPr>
        <w:t xml:space="preserve"> Figure</w:t>
      </w:r>
      <w:r w:rsidR="004921D6" w:rsidRPr="00A4413C">
        <w:rPr>
          <w:rFonts w:ascii="Book Antiqua" w:eastAsia="宋体" w:hAnsi="Book Antiqua" w:hint="eastAsia"/>
          <w:color w:val="000000"/>
          <w:lang w:eastAsia="zh-CN"/>
        </w:rPr>
        <w:t xml:space="preserve"> 3</w:t>
      </w:r>
      <w:r w:rsidR="004E70CC" w:rsidRPr="00872B32">
        <w:rPr>
          <w:rFonts w:ascii="Book Antiqua" w:hAnsi="Book Antiqua"/>
          <w:color w:val="000000"/>
        </w:rPr>
        <w:t>, t</w:t>
      </w:r>
      <w:r w:rsidR="004E70CC" w:rsidRPr="00872B32">
        <w:rPr>
          <w:rFonts w:ascii="Book Antiqua" w:hAnsi="Book Antiqua"/>
          <w:bCs/>
          <w:color w:val="000000"/>
        </w:rPr>
        <w:t>he Trx1/CD30 controls the</w:t>
      </w:r>
      <w:r w:rsidR="004E70CC" w:rsidRPr="00872B32">
        <w:rPr>
          <w:rFonts w:ascii="Book Antiqua" w:hAnsi="Book Antiqua"/>
          <w:color w:val="000000"/>
        </w:rPr>
        <w:t xml:space="preserve"> redox immunological</w:t>
      </w:r>
      <w:r w:rsidR="004E70CC" w:rsidRPr="00872B32">
        <w:rPr>
          <w:rFonts w:ascii="Book Antiqua" w:hAnsi="Book Antiqua"/>
          <w:bCs/>
          <w:color w:val="000000"/>
        </w:rPr>
        <w:t xml:space="preserve"> homeostasis of the TGFβ, IL6, IL10, IL2, IFNγ and IL4 cytokine pathway interactions, which are </w:t>
      </w:r>
      <w:r w:rsidR="004E70CC" w:rsidRPr="00872B32">
        <w:rPr>
          <w:rFonts w:ascii="Book Antiqua" w:hAnsi="Book Antiqua"/>
          <w:color w:val="000000"/>
        </w:rPr>
        <w:t xml:space="preserve">specific to each sex, and the loss of this control </w:t>
      </w:r>
      <w:r w:rsidR="004E70CC" w:rsidRPr="00872B32">
        <w:rPr>
          <w:rFonts w:ascii="Book Antiqua" w:hAnsi="Book Antiqua"/>
          <w:bCs/>
          <w:color w:val="000000"/>
        </w:rPr>
        <w:t xml:space="preserve">generates the </w:t>
      </w:r>
      <w:r w:rsidR="004E70CC" w:rsidRPr="00872B32">
        <w:rPr>
          <w:rFonts w:ascii="Book Antiqua" w:hAnsi="Book Antiqua"/>
          <w:color w:val="000000"/>
        </w:rPr>
        <w:t>pathological polarization of T cell subsets. KIR polymorphisms are valid classification parameters for the individual risk of losing the physiological redox immunological homeostasis</w:t>
      </w:r>
      <w:r w:rsidR="004E70CC" w:rsidRPr="00872B32">
        <w:rPr>
          <w:rFonts w:ascii="Book Antiqua" w:hAnsi="Book Antiqua"/>
          <w:bCs/>
          <w:color w:val="000000"/>
        </w:rPr>
        <w:t xml:space="preserve"> between the </w:t>
      </w:r>
      <w:r w:rsidR="004E70CC" w:rsidRPr="00872B32">
        <w:rPr>
          <w:rFonts w:ascii="Book Antiqua" w:hAnsi="Book Antiqua"/>
          <w:color w:val="000000"/>
        </w:rPr>
        <w:t xml:space="preserve">Th1, Th2, Treg, Th9, Th17 </w:t>
      </w:r>
      <w:r w:rsidR="004E70CC" w:rsidRPr="00872B32">
        <w:rPr>
          <w:rFonts w:ascii="Book Antiqua" w:hAnsi="Book Antiqua"/>
          <w:bCs/>
          <w:color w:val="000000"/>
        </w:rPr>
        <w:t xml:space="preserve">cells that are all </w:t>
      </w:r>
      <w:r w:rsidR="004E70CC" w:rsidRPr="00872B32">
        <w:rPr>
          <w:rFonts w:ascii="Book Antiqua" w:hAnsi="Book Antiqua"/>
          <w:color w:val="000000"/>
        </w:rPr>
        <w:t>regulated by the Trx1/CD30. For this reason, they are suitable as early prognostic biomarkers of the individual risk of disease (healthy subjects) or of its progression (patients).</w:t>
      </w:r>
    </w:p>
    <w:p w14:paraId="171C28A4" w14:textId="7B99171F"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In the male group</w:t>
      </w:r>
      <w:r w:rsidR="009A5E18" w:rsidRPr="00872B32">
        <w:rPr>
          <w:rFonts w:ascii="Book Antiqua" w:hAnsi="Book Antiqua"/>
          <w:color w:val="000000"/>
        </w:rPr>
        <w:t>,</w:t>
      </w:r>
      <w:r w:rsidRPr="00872B32">
        <w:rPr>
          <w:rFonts w:ascii="Book Antiqua" w:hAnsi="Book Antiqua"/>
          <w:color w:val="000000"/>
        </w:rPr>
        <w:t xml:space="preserve"> </w:t>
      </w:r>
      <w:r w:rsidRPr="00872B32">
        <w:rPr>
          <w:rFonts w:ascii="Book Antiqua" w:hAnsi="Book Antiqua"/>
          <w:i/>
          <w:color w:val="000000"/>
        </w:rPr>
        <w:t>3DL1</w:t>
      </w:r>
      <w:r w:rsidRPr="00872B32">
        <w:rPr>
          <w:rFonts w:ascii="Book Antiqua" w:hAnsi="Book Antiqua"/>
          <w:color w:val="000000"/>
        </w:rPr>
        <w:t xml:space="preserve"> is the highest risk biomarker because it is correlated with a decrease in IL2 and an increase in </w:t>
      </w:r>
      <w:r w:rsidR="00110DC3" w:rsidRPr="00872B32">
        <w:rPr>
          <w:rFonts w:ascii="Book Antiqua" w:hAnsi="Book Antiqua"/>
          <w:color w:val="000000"/>
        </w:rPr>
        <w:t>IL4, which</w:t>
      </w:r>
      <w:r w:rsidRPr="00872B32">
        <w:rPr>
          <w:rFonts w:ascii="Book Antiqua" w:hAnsi="Book Antiqua"/>
          <w:color w:val="000000"/>
        </w:rPr>
        <w:t xml:space="preserve"> are prognostic for Th9 cell generation. Instead, </w:t>
      </w:r>
      <w:r w:rsidRPr="00872B32">
        <w:rPr>
          <w:rFonts w:ascii="Book Antiqua" w:hAnsi="Book Antiqua"/>
          <w:i/>
          <w:color w:val="000000"/>
        </w:rPr>
        <w:t>2DL5B</w:t>
      </w:r>
      <w:r w:rsidRPr="00872B32">
        <w:rPr>
          <w:rFonts w:ascii="Book Antiqua" w:hAnsi="Book Antiqua"/>
          <w:color w:val="000000"/>
        </w:rPr>
        <w:t xml:space="preserve"> is the highest non-risk male biomarker because it is positively correlated with both IL2 and IFN</w:t>
      </w:r>
      <w:r w:rsidR="00077CEF" w:rsidRPr="00872B32">
        <w:rPr>
          <w:rFonts w:ascii="Book Antiqua" w:hAnsi="Book Antiqua"/>
          <w:color w:val="000000"/>
        </w:rPr>
        <w:sym w:font="Symbol" w:char="F067"/>
      </w:r>
      <w:r w:rsidRPr="00872B32">
        <w:rPr>
          <w:rFonts w:ascii="Book Antiqua" w:hAnsi="Book Antiqua"/>
          <w:color w:val="000000"/>
        </w:rPr>
        <w:t xml:space="preserve"> increases</w:t>
      </w:r>
      <w:r w:rsidR="00E64583">
        <w:rPr>
          <w:rFonts w:ascii="Book Antiqua" w:hAnsi="Book Antiqua"/>
          <w:color w:val="000000"/>
        </w:rPr>
        <w:t>,</w:t>
      </w:r>
      <w:r w:rsidRPr="00872B32">
        <w:rPr>
          <w:rFonts w:ascii="Book Antiqua" w:hAnsi="Book Antiqua"/>
          <w:color w:val="000000"/>
        </w:rPr>
        <w:t xml:space="preserve"> which are prognostic for immunological response homeostasis. </w:t>
      </w:r>
    </w:p>
    <w:p w14:paraId="2E4FD5F3" w14:textId="4905A90C"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Moreover, in the male group</w:t>
      </w:r>
      <w:r w:rsidR="00E64583">
        <w:rPr>
          <w:rFonts w:ascii="Book Antiqua" w:hAnsi="Book Antiqua"/>
          <w:color w:val="000000"/>
        </w:rPr>
        <w:t>,</w:t>
      </w:r>
      <w:r w:rsidRPr="00872B32">
        <w:rPr>
          <w:rFonts w:ascii="Book Antiqua" w:hAnsi="Book Antiqua"/>
          <w:color w:val="000000"/>
        </w:rPr>
        <w:t xml:space="preserve"> the </w:t>
      </w:r>
      <w:r w:rsidRPr="00872B32">
        <w:rPr>
          <w:rFonts w:ascii="Book Antiqua" w:hAnsi="Book Antiqua"/>
          <w:i/>
          <w:color w:val="000000"/>
        </w:rPr>
        <w:t>2DS1</w:t>
      </w:r>
      <w:r w:rsidRPr="00872B32">
        <w:rPr>
          <w:rFonts w:ascii="Book Antiqua" w:hAnsi="Book Antiqua"/>
          <w:color w:val="000000"/>
        </w:rPr>
        <w:t xml:space="preserve"> and </w:t>
      </w:r>
      <w:r w:rsidRPr="00872B32">
        <w:rPr>
          <w:rFonts w:ascii="Book Antiqua" w:hAnsi="Book Antiqua"/>
          <w:i/>
          <w:color w:val="000000"/>
        </w:rPr>
        <w:t>2DL5A</w:t>
      </w:r>
      <w:r w:rsidRPr="00872B32">
        <w:rPr>
          <w:rFonts w:ascii="Book Antiqua" w:hAnsi="Book Antiqua"/>
          <w:color w:val="000000"/>
        </w:rPr>
        <w:t xml:space="preserve"> and an increasing number of aKIRs are also non-risk biomarkers because they are associated with the TGF</w:t>
      </w:r>
      <w:r w:rsidR="009F0F5F" w:rsidRPr="00872B32">
        <w:rPr>
          <w:rFonts w:ascii="Book Antiqua" w:hAnsi="Book Antiqua"/>
          <w:color w:val="000000"/>
        </w:rPr>
        <w:t>β</w:t>
      </w:r>
      <w:r w:rsidRPr="00872B32">
        <w:rPr>
          <w:rFonts w:ascii="Book Antiqua" w:hAnsi="Book Antiqua"/>
          <w:color w:val="000000"/>
        </w:rPr>
        <w:t xml:space="preserve"> decrease. Likewise, in the female group</w:t>
      </w:r>
      <w:r w:rsidR="00E64583">
        <w:rPr>
          <w:rFonts w:ascii="Book Antiqua" w:hAnsi="Book Antiqua"/>
          <w:color w:val="000000"/>
        </w:rPr>
        <w:t>,</w:t>
      </w:r>
      <w:r w:rsidRPr="00872B32">
        <w:rPr>
          <w:rFonts w:ascii="Book Antiqua" w:hAnsi="Book Antiqua"/>
          <w:color w:val="000000"/>
        </w:rPr>
        <w:t xml:space="preserve"> </w:t>
      </w:r>
      <w:r w:rsidRPr="00872B32">
        <w:rPr>
          <w:rFonts w:ascii="Book Antiqua" w:hAnsi="Book Antiqua"/>
          <w:i/>
          <w:color w:val="000000"/>
        </w:rPr>
        <w:t>2DS4del</w:t>
      </w:r>
      <w:r w:rsidRPr="00872B32">
        <w:rPr>
          <w:rFonts w:ascii="Book Antiqua" w:hAnsi="Book Antiqua"/>
          <w:color w:val="000000"/>
        </w:rPr>
        <w:t xml:space="preserve"> is the highest risk biomarker during aging since it is correlated with the IL2 decrease. Furthermore, </w:t>
      </w:r>
      <w:r w:rsidRPr="00872B32">
        <w:rPr>
          <w:rFonts w:ascii="Book Antiqua" w:hAnsi="Book Antiqua"/>
          <w:i/>
          <w:color w:val="000000"/>
        </w:rPr>
        <w:t>2DL5B</w:t>
      </w:r>
      <w:r w:rsidRPr="00872B32">
        <w:rPr>
          <w:rFonts w:ascii="Book Antiqua" w:hAnsi="Book Antiqua"/>
          <w:color w:val="000000"/>
        </w:rPr>
        <w:t xml:space="preserve"> is also the </w:t>
      </w:r>
      <w:r w:rsidRPr="00872B32">
        <w:rPr>
          <w:rFonts w:ascii="Book Antiqua" w:hAnsi="Book Antiqua"/>
          <w:color w:val="000000"/>
        </w:rPr>
        <w:lastRenderedPageBreak/>
        <w:t xml:space="preserve">highest non-risk biomarker in the female group because it is correlated with an IL2 increase. </w:t>
      </w:r>
    </w:p>
    <w:p w14:paraId="47CF91DC" w14:textId="2E88052B"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In addition</w:t>
      </w:r>
      <w:r w:rsidR="00E64583">
        <w:rPr>
          <w:rFonts w:ascii="Book Antiqua" w:hAnsi="Book Antiqua"/>
          <w:color w:val="000000"/>
        </w:rPr>
        <w:t>,</w:t>
      </w:r>
      <w:r w:rsidRPr="00872B32">
        <w:rPr>
          <w:rFonts w:ascii="Book Antiqua" w:hAnsi="Book Antiqua"/>
          <w:color w:val="000000"/>
        </w:rPr>
        <w:t xml:space="preserve"> the </w:t>
      </w:r>
      <w:r w:rsidRPr="00872B32">
        <w:rPr>
          <w:rFonts w:ascii="Book Antiqua" w:hAnsi="Book Antiqua"/>
          <w:i/>
          <w:color w:val="000000"/>
        </w:rPr>
        <w:t>2DS2/2DL2</w:t>
      </w:r>
      <w:r w:rsidRPr="00872B32">
        <w:rPr>
          <w:rFonts w:ascii="Book Antiqua" w:hAnsi="Book Antiqua"/>
          <w:color w:val="000000"/>
        </w:rPr>
        <w:t xml:space="preserve"> pair is also a female non-risk biomarker. It is correlated with TGF</w:t>
      </w:r>
      <w:r w:rsidR="00FE64D9" w:rsidRPr="00872B32">
        <w:rPr>
          <w:rFonts w:ascii="Book Antiqua" w:hAnsi="Book Antiqua"/>
          <w:color w:val="000000"/>
        </w:rPr>
        <w:t>β</w:t>
      </w:r>
      <w:r w:rsidRPr="00872B32">
        <w:rPr>
          <w:rFonts w:ascii="Book Antiqua" w:hAnsi="Book Antiqua"/>
          <w:color w:val="000000"/>
        </w:rPr>
        <w:t xml:space="preserve"> decrease. We showed that the </w:t>
      </w:r>
      <w:r w:rsidRPr="00872B32">
        <w:rPr>
          <w:rFonts w:ascii="Book Antiqua" w:hAnsi="Book Antiqua"/>
          <w:i/>
          <w:color w:val="000000"/>
        </w:rPr>
        <w:t>2DL2</w:t>
      </w:r>
      <w:r w:rsidR="009F0F5F" w:rsidRPr="00872B32">
        <w:rPr>
          <w:rFonts w:ascii="Book Antiqua" w:hAnsi="Book Antiqua"/>
          <w:i/>
          <w:color w:val="000000"/>
          <w:vertAlign w:val="superscript"/>
        </w:rPr>
        <w:sym w:font="Symbol" w:char="F02B"/>
      </w:r>
      <w:r w:rsidRPr="00872B32">
        <w:rPr>
          <w:rFonts w:ascii="Book Antiqua" w:hAnsi="Book Antiqua"/>
          <w:i/>
          <w:color w:val="000000"/>
        </w:rPr>
        <w:t>/2DS2</w:t>
      </w:r>
      <w:r w:rsidR="009F0F5F" w:rsidRPr="00872B32">
        <w:rPr>
          <w:rFonts w:ascii="Book Antiqua" w:hAnsi="Book Antiqua"/>
          <w:i/>
          <w:color w:val="000000"/>
          <w:vertAlign w:val="superscript"/>
        </w:rPr>
        <w:sym w:font="Symbol" w:char="F02B"/>
      </w:r>
      <w:r w:rsidRPr="00872B32">
        <w:rPr>
          <w:rFonts w:ascii="Book Antiqua" w:hAnsi="Book Antiqua"/>
          <w:color w:val="000000"/>
        </w:rPr>
        <w:t xml:space="preserve"> pair hinders tumor growth, while the </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i/>
          <w:color w:val="000000"/>
        </w:rPr>
        <w:t>/2DL2</w:t>
      </w:r>
      <w:r w:rsidR="009F0F5F" w:rsidRPr="00872B32">
        <w:rPr>
          <w:rFonts w:ascii="Book Antiqua" w:hAnsi="Book Antiqua"/>
          <w:color w:val="000000"/>
          <w:vertAlign w:val="superscript"/>
        </w:rPr>
        <w:t>-</w:t>
      </w:r>
      <w:r w:rsidRPr="00872B32">
        <w:rPr>
          <w:rFonts w:ascii="Book Antiqua" w:hAnsi="Book Antiqua"/>
          <w:color w:val="000000"/>
        </w:rPr>
        <w:t xml:space="preserve"> or </w:t>
      </w:r>
      <w:r w:rsidRPr="00872B32">
        <w:rPr>
          <w:rFonts w:ascii="Book Antiqua" w:hAnsi="Book Antiqua"/>
          <w:i/>
          <w:color w:val="000000"/>
        </w:rPr>
        <w:t>2DS2</w:t>
      </w:r>
      <w:r w:rsidR="009F0F5F" w:rsidRPr="00872B32">
        <w:rPr>
          <w:rFonts w:ascii="Book Antiqua" w:hAnsi="Book Antiqua"/>
          <w:i/>
          <w:color w:val="000000"/>
          <w:vertAlign w:val="superscript"/>
        </w:rPr>
        <w:t>-</w:t>
      </w:r>
      <w:r w:rsidRPr="00872B32">
        <w:rPr>
          <w:rFonts w:ascii="Book Antiqua" w:hAnsi="Book Antiqua"/>
          <w:i/>
          <w:color w:val="000000"/>
        </w:rPr>
        <w:t>/2DL2</w:t>
      </w:r>
      <w:r w:rsidR="009F0F5F" w:rsidRPr="00872B32">
        <w:rPr>
          <w:rFonts w:ascii="Book Antiqua" w:hAnsi="Book Antiqua"/>
          <w:i/>
          <w:color w:val="000000"/>
          <w:vertAlign w:val="superscript"/>
        </w:rPr>
        <w:sym w:font="Symbol" w:char="F02B"/>
      </w:r>
      <w:r w:rsidRPr="00872B32">
        <w:rPr>
          <w:rFonts w:ascii="Book Antiqua" w:hAnsi="Book Antiqua"/>
          <w:color w:val="000000"/>
          <w:vertAlign w:val="superscript"/>
        </w:rPr>
        <w:t xml:space="preserve"> </w:t>
      </w:r>
      <w:r w:rsidRPr="00872B32">
        <w:rPr>
          <w:rFonts w:ascii="Book Antiqua" w:hAnsi="Book Antiqua"/>
          <w:color w:val="000000"/>
        </w:rPr>
        <w:t>pair lead</w:t>
      </w:r>
      <w:r w:rsidR="00E64583">
        <w:rPr>
          <w:rFonts w:ascii="Book Antiqua" w:hAnsi="Book Antiqua"/>
          <w:color w:val="000000"/>
        </w:rPr>
        <w:t>s</w:t>
      </w:r>
      <w:r w:rsidRPr="00872B32">
        <w:rPr>
          <w:rFonts w:ascii="Book Antiqua" w:hAnsi="Book Antiqua"/>
          <w:color w:val="000000"/>
        </w:rPr>
        <w:t xml:space="preserve"> to its development. In fact, the strong positive correlation between </w:t>
      </w:r>
      <w:r w:rsidRPr="00872B32">
        <w:rPr>
          <w:rFonts w:ascii="Book Antiqua" w:hAnsi="Book Antiqua"/>
          <w:i/>
          <w:color w:val="000000"/>
        </w:rPr>
        <w:t>2DL2</w:t>
      </w:r>
      <w:r w:rsidRPr="00872B32">
        <w:rPr>
          <w:rFonts w:ascii="Book Antiqua" w:hAnsi="Book Antiqua"/>
          <w:color w:val="000000"/>
        </w:rPr>
        <w:t xml:space="preserve"> and </w:t>
      </w:r>
      <w:r w:rsidRPr="00872B32">
        <w:rPr>
          <w:rFonts w:ascii="Book Antiqua" w:hAnsi="Book Antiqua"/>
          <w:i/>
          <w:color w:val="000000"/>
        </w:rPr>
        <w:t>2DS2</w:t>
      </w:r>
      <w:r w:rsidRPr="00872B32">
        <w:rPr>
          <w:rFonts w:ascii="Book Antiqua" w:hAnsi="Book Antiqua"/>
          <w:color w:val="000000"/>
        </w:rPr>
        <w:t xml:space="preserve"> is present in the healthy state. Moreover</w:t>
      </w:r>
      <w:r w:rsidR="007E1A80" w:rsidRPr="00872B32">
        <w:rPr>
          <w:rFonts w:ascii="Book Antiqua" w:hAnsi="Book Antiqua"/>
          <w:color w:val="000000"/>
        </w:rPr>
        <w:t>,</w:t>
      </w:r>
      <w:r w:rsidRPr="00872B32">
        <w:rPr>
          <w:rFonts w:ascii="Book Antiqua" w:hAnsi="Book Antiqua"/>
          <w:color w:val="000000"/>
        </w:rPr>
        <w:t xml:space="preserve"> it is still significant in the transition from the healthy to adenoma state, but it is no longer significant in the shift from the adenoma to tumor states. Furthermore, we clarify that this protection happens because the presence of the </w:t>
      </w:r>
      <w:r w:rsidRPr="00872B32">
        <w:rPr>
          <w:rFonts w:ascii="Book Antiqua" w:hAnsi="Book Antiqua"/>
          <w:i/>
          <w:color w:val="000000"/>
        </w:rPr>
        <w:t>2DL2</w:t>
      </w:r>
      <w:r w:rsidRPr="00872B32">
        <w:rPr>
          <w:rFonts w:ascii="Book Antiqua" w:hAnsi="Book Antiqua"/>
          <w:i/>
          <w:color w:val="000000"/>
          <w:vertAlign w:val="superscript"/>
        </w:rPr>
        <w:t>+</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color w:val="000000"/>
        </w:rPr>
        <w:t xml:space="preserve"> pair is linked to a positive interaction between innate and adaptive </w:t>
      </w:r>
      <w:r w:rsidR="00DF049F" w:rsidRPr="00872B32">
        <w:rPr>
          <w:rFonts w:ascii="Book Antiqua" w:hAnsi="Book Antiqua"/>
          <w:color w:val="000000"/>
        </w:rPr>
        <w:t>response thanks</w:t>
      </w:r>
      <w:r w:rsidRPr="00872B32">
        <w:rPr>
          <w:rFonts w:ascii="Book Antiqua" w:hAnsi="Book Antiqua"/>
          <w:color w:val="000000"/>
        </w:rPr>
        <w:t xml:space="preserve"> to </w:t>
      </w:r>
      <w:r w:rsidR="00E64583">
        <w:rPr>
          <w:rFonts w:ascii="Book Antiqua" w:hAnsi="Book Antiqua"/>
          <w:color w:val="000000"/>
        </w:rPr>
        <w:t xml:space="preserve">the </w:t>
      </w:r>
      <w:r w:rsidRPr="00872B32">
        <w:rPr>
          <w:rFonts w:ascii="Book Antiqua" w:hAnsi="Book Antiqua"/>
          <w:color w:val="000000"/>
        </w:rPr>
        <w:t>Trx1 and RTrx1 combined involvement that favors the immunological redox homeostasis.</w:t>
      </w:r>
      <w:r w:rsidR="00C808A0" w:rsidRPr="00872B32">
        <w:rPr>
          <w:rFonts w:ascii="Book Antiqua" w:hAnsi="Book Antiqua"/>
          <w:color w:val="000000"/>
        </w:rPr>
        <w:t xml:space="preserve"> </w:t>
      </w:r>
    </w:p>
    <w:p w14:paraId="011B82D0" w14:textId="7C3E7DDE"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bCs/>
          <w:color w:val="000000"/>
        </w:rPr>
        <w:t xml:space="preserve">The </w:t>
      </w:r>
      <w:r w:rsidR="007F4671" w:rsidRPr="00872B32">
        <w:rPr>
          <w:rFonts w:ascii="Book Antiqua" w:hAnsi="Book Antiqua"/>
          <w:color w:val="000000"/>
        </w:rPr>
        <w:t xml:space="preserve">protective function </w:t>
      </w:r>
      <w:r w:rsidR="007F4671">
        <w:rPr>
          <w:rFonts w:ascii="Book Antiqua" w:hAnsi="Book Antiqua"/>
          <w:color w:val="000000"/>
        </w:rPr>
        <w:t xml:space="preserve">of the </w:t>
      </w:r>
      <w:r w:rsidRPr="00872B32">
        <w:rPr>
          <w:rFonts w:ascii="Book Antiqua" w:hAnsi="Book Antiqua"/>
          <w:i/>
          <w:color w:val="000000"/>
        </w:rPr>
        <w:t>2DL2</w:t>
      </w:r>
      <w:r w:rsidRPr="00872B32">
        <w:rPr>
          <w:rFonts w:ascii="Book Antiqua" w:hAnsi="Book Antiqua"/>
          <w:i/>
          <w:color w:val="000000"/>
          <w:vertAlign w:val="superscript"/>
        </w:rPr>
        <w:t>+</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color w:val="000000"/>
        </w:rPr>
        <w:t xml:space="preserve"> pair against diseases</w:t>
      </w:r>
      <w:r w:rsidR="00C808A0" w:rsidRPr="00872B32">
        <w:rPr>
          <w:rFonts w:ascii="Book Antiqua" w:hAnsi="Book Antiqua"/>
          <w:color w:val="000000"/>
        </w:rPr>
        <w:t xml:space="preserve"> </w:t>
      </w:r>
      <w:r w:rsidRPr="00872B32">
        <w:rPr>
          <w:rFonts w:ascii="Book Antiqua" w:hAnsi="Book Antiqua"/>
          <w:color w:val="000000"/>
        </w:rPr>
        <w:t>is a recurring question in this research area but to which</w:t>
      </w:r>
      <w:r w:rsidR="00C808A0" w:rsidRPr="00872B32">
        <w:rPr>
          <w:rFonts w:ascii="Book Antiqua" w:hAnsi="Book Antiqua"/>
          <w:color w:val="000000"/>
        </w:rPr>
        <w:t xml:space="preserve"> </w:t>
      </w:r>
      <w:r w:rsidRPr="00872B32">
        <w:rPr>
          <w:rFonts w:ascii="Book Antiqua" w:hAnsi="Book Antiqua"/>
          <w:color w:val="000000"/>
        </w:rPr>
        <w:t>a response has not been given</w:t>
      </w:r>
      <w:r w:rsidRPr="00872B32">
        <w:rPr>
          <w:rFonts w:ascii="Book Antiqua" w:hAnsi="Book Antiqua"/>
          <w:bCs/>
          <w:color w:val="000000"/>
        </w:rPr>
        <w:t xml:space="preserve"> </w:t>
      </w:r>
      <w:r w:rsidRPr="00872B32">
        <w:rPr>
          <w:rFonts w:ascii="Book Antiqua" w:hAnsi="Book Antiqua"/>
          <w:color w:val="000000"/>
        </w:rPr>
        <w:t>yet</w:t>
      </w:r>
      <w:r w:rsidRPr="00872B32">
        <w:rPr>
          <w:rFonts w:ascii="Book Antiqua" w:hAnsi="Book Antiqua"/>
          <w:color w:val="000000"/>
          <w:vertAlign w:val="superscript"/>
        </w:rPr>
        <w:t>[</w:t>
      </w:r>
      <w:r w:rsidR="00CF4356" w:rsidRPr="00872B32">
        <w:rPr>
          <w:rFonts w:ascii="Book Antiqua" w:hAnsi="Book Antiqua"/>
          <w:color w:val="000000"/>
          <w:vertAlign w:val="superscript"/>
        </w:rPr>
        <w:t>21,30</w:t>
      </w:r>
      <w:r w:rsidRPr="00872B32">
        <w:rPr>
          <w:rFonts w:ascii="Book Antiqua" w:hAnsi="Book Antiqua"/>
          <w:color w:val="000000"/>
          <w:vertAlign w:val="superscript"/>
        </w:rPr>
        <w:t>]</w:t>
      </w:r>
      <w:r w:rsidRPr="00872B32">
        <w:rPr>
          <w:rFonts w:ascii="Book Antiqua" w:hAnsi="Book Antiqua"/>
          <w:bCs/>
          <w:color w:val="000000"/>
        </w:rPr>
        <w:t xml:space="preserve">. Furthermore, our results also clarify the importance of the balance of the Trx1/CD30 in the positive interaction between NK and T cell function and health protection during aging. </w:t>
      </w:r>
    </w:p>
    <w:p w14:paraId="17760988" w14:textId="1D9C2976" w:rsidR="000956E5" w:rsidRPr="00872B32" w:rsidRDefault="00A40033"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An </w:t>
      </w:r>
      <w:r w:rsidR="000956E5" w:rsidRPr="00872B32">
        <w:rPr>
          <w:rFonts w:ascii="Book Antiqua" w:hAnsi="Book Antiqua"/>
          <w:color w:val="000000"/>
        </w:rPr>
        <w:t xml:space="preserve">important contribution for the improvement of immunotherapy in tumors is the discovery that Trx1/CD30 </w:t>
      </w:r>
      <w:r w:rsidR="000956E5" w:rsidRPr="00872B32">
        <w:rPr>
          <w:rFonts w:ascii="Book Antiqua" w:hAnsi="Book Antiqua"/>
          <w:bCs/>
          <w:color w:val="000000"/>
        </w:rPr>
        <w:t xml:space="preserve">is a useful tool as </w:t>
      </w:r>
      <w:r w:rsidR="00E64583">
        <w:rPr>
          <w:rFonts w:ascii="Book Antiqua" w:hAnsi="Book Antiqua"/>
          <w:bCs/>
          <w:color w:val="000000"/>
        </w:rPr>
        <w:t xml:space="preserve">a </w:t>
      </w:r>
      <w:r w:rsidR="000956E5" w:rsidRPr="00872B32">
        <w:rPr>
          <w:rFonts w:ascii="Book Antiqua" w:hAnsi="Book Antiqua"/>
          <w:color w:val="000000"/>
        </w:rPr>
        <w:t xml:space="preserve">gender-specific target and biomarker of the NK cell activity. We found that the changes in the Trx1/RTrx1, sCD30 and Treg, Th1, Th9, Th17 cytokines are efficient biomarkers of the functionality/non-functionality of these cells. </w:t>
      </w:r>
    </w:p>
    <w:p w14:paraId="26586114" w14:textId="77777777" w:rsidR="000956E5" w:rsidRPr="00872B32" w:rsidRDefault="000956E5" w:rsidP="008C54E8">
      <w:pPr>
        <w:snapToGri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Moreover, in the normal healthy state, the </w:t>
      </w:r>
      <w:r w:rsidRPr="00872B32">
        <w:rPr>
          <w:rFonts w:ascii="Book Antiqua" w:hAnsi="Book Antiqua"/>
          <w:bCs/>
          <w:color w:val="000000"/>
        </w:rPr>
        <w:t>Fc</w:t>
      </w:r>
      <w:r w:rsidR="008675A0" w:rsidRPr="00872B32">
        <w:rPr>
          <w:rFonts w:ascii="Book Antiqua" w:hAnsi="Book Antiqua"/>
          <w:bCs/>
          <w:color w:val="000000"/>
        </w:rPr>
        <w:sym w:font="Symbol" w:char="F067"/>
      </w:r>
      <w:r w:rsidRPr="00872B32">
        <w:rPr>
          <w:rFonts w:ascii="Book Antiqua" w:hAnsi="Book Antiqua"/>
          <w:bCs/>
          <w:color w:val="000000"/>
        </w:rPr>
        <w:t xml:space="preserve">RIIIa </w:t>
      </w:r>
      <w:r w:rsidRPr="00872B32">
        <w:rPr>
          <w:rFonts w:ascii="Book Antiqua" w:hAnsi="Book Antiqua"/>
          <w:bCs/>
          <w:i/>
          <w:color w:val="000000"/>
        </w:rPr>
        <w:t>V/V</w:t>
      </w:r>
      <w:r w:rsidRPr="00872B32">
        <w:rPr>
          <w:rFonts w:ascii="Book Antiqua" w:hAnsi="Book Antiqua"/>
          <w:bCs/>
          <w:color w:val="000000"/>
        </w:rPr>
        <w:t>, Fc</w:t>
      </w:r>
      <w:r w:rsidR="008675A0" w:rsidRPr="00872B32">
        <w:rPr>
          <w:rFonts w:ascii="Book Antiqua" w:hAnsi="Book Antiqua"/>
          <w:bCs/>
          <w:color w:val="000000"/>
        </w:rPr>
        <w:sym w:font="Symbol" w:char="F067"/>
      </w:r>
      <w:r w:rsidRPr="00872B32">
        <w:rPr>
          <w:rFonts w:ascii="Book Antiqua" w:hAnsi="Book Antiqua"/>
          <w:bCs/>
          <w:color w:val="000000"/>
        </w:rPr>
        <w:t xml:space="preserve">RIIIa </w:t>
      </w:r>
      <w:r w:rsidRPr="00872B32">
        <w:rPr>
          <w:rFonts w:ascii="Book Antiqua" w:hAnsi="Book Antiqua"/>
          <w:bCs/>
          <w:i/>
          <w:color w:val="000000"/>
        </w:rPr>
        <w:t>F/F</w:t>
      </w:r>
      <w:r w:rsidRPr="00872B32">
        <w:rPr>
          <w:rFonts w:ascii="Book Antiqua" w:hAnsi="Book Antiqua"/>
          <w:bCs/>
          <w:color w:val="000000"/>
        </w:rPr>
        <w:t>, Fc</w:t>
      </w:r>
      <w:r w:rsidR="008675A0" w:rsidRPr="00872B32">
        <w:rPr>
          <w:rFonts w:ascii="Book Antiqua" w:hAnsi="Book Antiqua"/>
          <w:bCs/>
          <w:color w:val="000000"/>
        </w:rPr>
        <w:sym w:font="Symbol" w:char="F067"/>
      </w:r>
      <w:r w:rsidRPr="00872B32">
        <w:rPr>
          <w:rFonts w:ascii="Book Antiqua" w:hAnsi="Book Antiqua"/>
          <w:bCs/>
          <w:color w:val="000000"/>
        </w:rPr>
        <w:t xml:space="preserve">RIIa </w:t>
      </w:r>
      <w:r w:rsidRPr="00872B32">
        <w:rPr>
          <w:rFonts w:ascii="Book Antiqua" w:hAnsi="Book Antiqua"/>
          <w:bCs/>
          <w:i/>
          <w:color w:val="000000"/>
        </w:rPr>
        <w:t>H/R</w:t>
      </w:r>
      <w:r w:rsidRPr="00872B32">
        <w:rPr>
          <w:rFonts w:ascii="Book Antiqua" w:hAnsi="Book Antiqua"/>
          <w:bCs/>
          <w:color w:val="000000"/>
        </w:rPr>
        <w:t xml:space="preserve"> and Fc</w:t>
      </w:r>
      <w:r w:rsidR="008675A0" w:rsidRPr="00872B32">
        <w:rPr>
          <w:rFonts w:ascii="Book Antiqua" w:hAnsi="Book Antiqua"/>
          <w:bCs/>
          <w:color w:val="000000"/>
        </w:rPr>
        <w:sym w:font="Symbol" w:char="F067"/>
      </w:r>
      <w:r w:rsidRPr="00872B32">
        <w:rPr>
          <w:rFonts w:ascii="Book Antiqua" w:hAnsi="Book Antiqua"/>
          <w:bCs/>
          <w:color w:val="000000"/>
        </w:rPr>
        <w:t xml:space="preserve">RIIa </w:t>
      </w:r>
      <w:r w:rsidRPr="00872B32">
        <w:rPr>
          <w:rFonts w:ascii="Book Antiqua" w:hAnsi="Book Antiqua"/>
          <w:bCs/>
          <w:i/>
          <w:color w:val="000000"/>
        </w:rPr>
        <w:t>R/R</w:t>
      </w:r>
      <w:r w:rsidRPr="00872B32">
        <w:rPr>
          <w:rFonts w:ascii="Book Antiqua" w:hAnsi="Book Antiqua"/>
          <w:bCs/>
          <w:color w:val="000000"/>
        </w:rPr>
        <w:t xml:space="preserve"> genotypes are biomarkers, in ascending order, of the non-functionality of NK cells.</w:t>
      </w:r>
      <w:r w:rsidRPr="00872B32">
        <w:rPr>
          <w:rFonts w:ascii="Book Antiqua" w:hAnsi="Book Antiqua"/>
          <w:color w:val="000000"/>
        </w:rPr>
        <w:t xml:space="preserve"> </w:t>
      </w:r>
    </w:p>
    <w:p w14:paraId="279103DD" w14:textId="3D0734A2" w:rsidR="000956E5" w:rsidRPr="00872B32" w:rsidRDefault="000956E5" w:rsidP="008C54E8">
      <w:pPr>
        <w:snapToGrid w:val="0"/>
        <w:spacing w:line="360" w:lineRule="auto"/>
        <w:ind w:firstLineChars="100" w:firstLine="240"/>
        <w:jc w:val="both"/>
        <w:rPr>
          <w:rFonts w:ascii="Book Antiqua" w:hAnsi="Book Antiqua"/>
          <w:bCs/>
          <w:color w:val="000000"/>
        </w:rPr>
      </w:pPr>
      <w:r w:rsidRPr="00872B32">
        <w:rPr>
          <w:rFonts w:ascii="Book Antiqua" w:hAnsi="Book Antiqua"/>
          <w:bCs/>
          <w:color w:val="000000"/>
        </w:rPr>
        <w:t>Therefore, we state that the redox system homeostasis has a primary contribution in the control of inflammation in the healthy state during aging. In fact, for both genders the passage to adenoma and eventually to cancer is caused by the redox system unbalance.</w:t>
      </w:r>
      <w:r w:rsidR="00C808A0" w:rsidRPr="00872B32">
        <w:rPr>
          <w:rFonts w:ascii="Book Antiqua" w:hAnsi="Book Antiqua"/>
          <w:bCs/>
          <w:color w:val="000000"/>
        </w:rPr>
        <w:t xml:space="preserve"> </w:t>
      </w:r>
      <w:r w:rsidRPr="00872B32">
        <w:rPr>
          <w:rFonts w:ascii="Book Antiqua" w:hAnsi="Book Antiqua"/>
          <w:bCs/>
          <w:color w:val="000000"/>
        </w:rPr>
        <w:t>We suggest that the secret of healthy longevity in an advanced age is in the homeostasis of the redox regulation on the immune system, even when there is an increase in IL6.</w:t>
      </w:r>
    </w:p>
    <w:p w14:paraId="014DEAFA" w14:textId="587B02BE" w:rsidR="000956E5" w:rsidRPr="00872B32" w:rsidRDefault="000956E5" w:rsidP="008C54E8">
      <w:pPr>
        <w:snapToGrid w:val="0"/>
        <w:spacing w:line="360" w:lineRule="auto"/>
        <w:ind w:firstLineChars="100" w:firstLine="240"/>
        <w:jc w:val="both"/>
        <w:rPr>
          <w:rFonts w:ascii="Book Antiqua" w:hAnsi="Book Antiqua"/>
          <w:bCs/>
          <w:color w:val="000000"/>
        </w:rPr>
      </w:pPr>
      <w:r w:rsidRPr="00872B32">
        <w:rPr>
          <w:rFonts w:ascii="Book Antiqua" w:hAnsi="Book Antiqua"/>
          <w:bCs/>
          <w:color w:val="000000"/>
        </w:rPr>
        <w:lastRenderedPageBreak/>
        <w:t>In conclusion, the selection of prognostic biomarkers for the definition of personalized treatment in aging and CRC onset and/or its progression is not a new topic, but results are still not relevant enough to improve the clinical strategies.</w:t>
      </w:r>
      <w:r w:rsidR="00C808A0" w:rsidRPr="00872B32">
        <w:rPr>
          <w:rFonts w:ascii="Book Antiqua" w:hAnsi="Book Antiqua"/>
          <w:bCs/>
          <w:color w:val="000000"/>
        </w:rPr>
        <w:t xml:space="preserve"> </w:t>
      </w:r>
      <w:r w:rsidRPr="00872B32">
        <w:rPr>
          <w:rFonts w:ascii="Book Antiqua" w:hAnsi="Book Antiqua"/>
          <w:bCs/>
          <w:color w:val="000000"/>
        </w:rPr>
        <w:t>Identifying biomarkers able to highlight the risk of develop</w:t>
      </w:r>
      <w:r w:rsidR="00D05378">
        <w:rPr>
          <w:rFonts w:ascii="Book Antiqua" w:hAnsi="Book Antiqua"/>
          <w:bCs/>
          <w:color w:val="000000"/>
        </w:rPr>
        <w:t>ing</w:t>
      </w:r>
      <w:r w:rsidRPr="00872B32">
        <w:rPr>
          <w:rFonts w:ascii="Book Antiqua" w:hAnsi="Book Antiqua"/>
          <w:bCs/>
          <w:color w:val="000000"/>
        </w:rPr>
        <w:t xml:space="preserve"> degenerative processes linked to aging, which could lead to the onset of the disease, is a new challenge.</w:t>
      </w:r>
    </w:p>
    <w:p w14:paraId="588F68E4" w14:textId="7DF0D455" w:rsidR="000956E5" w:rsidRPr="00872B32" w:rsidRDefault="00DC4AEC" w:rsidP="008C54E8">
      <w:pPr>
        <w:pStyle w:val="a5"/>
        <w:snapToGrid w:val="0"/>
        <w:spacing w:line="360" w:lineRule="auto"/>
        <w:jc w:val="both"/>
        <w:rPr>
          <w:rFonts w:ascii="Book Antiqua" w:hAnsi="Book Antiqua"/>
          <w:color w:val="000000"/>
        </w:rPr>
      </w:pPr>
      <w:r w:rsidRPr="00872B32">
        <w:rPr>
          <w:rFonts w:ascii="Book Antiqua" w:hAnsi="Book Antiqua"/>
          <w:bCs/>
          <w:color w:val="000000"/>
        </w:rPr>
        <w:t>Oxidative stress on Trx1/CD30 is a trigger of cancer disease and the selected oxidation and immune products are a biomarker</w:t>
      </w:r>
      <w:r w:rsidR="00824A13" w:rsidRPr="00BA4E7C">
        <w:rPr>
          <w:rFonts w:ascii="Book Antiqua" w:eastAsia="宋体" w:hAnsi="Book Antiqua"/>
          <w:bCs/>
          <w:color w:val="000000"/>
          <w:lang w:eastAsia="zh-CN"/>
        </w:rPr>
        <w:t>’</w:t>
      </w:r>
      <w:r w:rsidRPr="00872B32">
        <w:rPr>
          <w:rFonts w:ascii="Book Antiqua" w:hAnsi="Book Antiqua"/>
          <w:bCs/>
          <w:color w:val="000000"/>
        </w:rPr>
        <w:t>s system in aging and cancer.</w:t>
      </w:r>
      <w:r w:rsidR="00D05378">
        <w:rPr>
          <w:rFonts w:ascii="Book Antiqua" w:hAnsi="Book Antiqua"/>
          <w:color w:val="000000"/>
        </w:rPr>
        <w:t xml:space="preserve"> </w:t>
      </w:r>
      <w:r w:rsidR="00784175" w:rsidRPr="00872B32">
        <w:rPr>
          <w:rFonts w:ascii="Book Antiqua" w:hAnsi="Book Antiqua"/>
          <w:color w:val="000000"/>
        </w:rPr>
        <w:t>Our results</w:t>
      </w:r>
      <w:r w:rsidR="00063409" w:rsidRPr="00872B32">
        <w:rPr>
          <w:rFonts w:ascii="Book Antiqua" w:hAnsi="Book Antiqua"/>
          <w:color w:val="000000"/>
        </w:rPr>
        <w:t xml:space="preserve"> </w:t>
      </w:r>
      <w:r w:rsidR="000956E5" w:rsidRPr="00872B32">
        <w:rPr>
          <w:rFonts w:ascii="Book Antiqua" w:hAnsi="Book Antiqua"/>
          <w:bCs/>
          <w:color w:val="000000"/>
        </w:rPr>
        <w:t>give new insight into how environment interacts with cell metabolism and redox immune state to influence Th cell differentiation and function. Furthermore</w:t>
      </w:r>
      <w:r w:rsidR="002D79CC" w:rsidRPr="00872B32">
        <w:rPr>
          <w:rFonts w:ascii="Book Antiqua" w:hAnsi="Book Antiqua"/>
          <w:bCs/>
          <w:color w:val="000000"/>
        </w:rPr>
        <w:t>,</w:t>
      </w:r>
      <w:r w:rsidR="000956E5" w:rsidRPr="00872B32">
        <w:rPr>
          <w:rFonts w:ascii="Book Antiqua" w:hAnsi="Book Antiqua"/>
          <w:bCs/>
          <w:color w:val="000000"/>
        </w:rPr>
        <w:t xml:space="preserve"> the mechanisms of </w:t>
      </w:r>
      <w:r w:rsidR="00D05378">
        <w:rPr>
          <w:rFonts w:ascii="Book Antiqua" w:hAnsi="Book Antiqua"/>
          <w:bCs/>
          <w:color w:val="000000"/>
        </w:rPr>
        <w:t xml:space="preserve">the </w:t>
      </w:r>
      <w:r w:rsidR="000956E5" w:rsidRPr="00872B32">
        <w:rPr>
          <w:rFonts w:ascii="Book Antiqua" w:hAnsi="Book Antiqua"/>
          <w:bCs/>
          <w:color w:val="000000"/>
        </w:rPr>
        <w:t>degenerative process that compromise redox immune function have been explained.</w:t>
      </w:r>
      <w:r w:rsidR="00D05378">
        <w:rPr>
          <w:rFonts w:ascii="Book Antiqua" w:hAnsi="Book Antiqua"/>
          <w:bCs/>
          <w:color w:val="000000"/>
        </w:rPr>
        <w:t xml:space="preserve"> </w:t>
      </w:r>
      <w:r w:rsidR="000956E5" w:rsidRPr="00872B32">
        <w:rPr>
          <w:rFonts w:ascii="Book Antiqua" w:hAnsi="Book Antiqua"/>
          <w:color w:val="000000"/>
        </w:rPr>
        <w:t xml:space="preserve">Therefore, we propose that Trx1/CD30 and the selected biomarkers can be used for new personalized resolving treatments to target age-related immune decline. This will </w:t>
      </w:r>
      <w:r w:rsidR="00D05378">
        <w:rPr>
          <w:rFonts w:ascii="Book Antiqua" w:hAnsi="Book Antiqua"/>
          <w:color w:val="000000"/>
        </w:rPr>
        <w:t>allow for the selection of</w:t>
      </w:r>
      <w:r w:rsidR="000956E5" w:rsidRPr="00872B32">
        <w:rPr>
          <w:rFonts w:ascii="Book Antiqua" w:hAnsi="Book Antiqua"/>
          <w:color w:val="000000"/>
        </w:rPr>
        <w:t xml:space="preserve"> novel therapies. </w:t>
      </w:r>
    </w:p>
    <w:p w14:paraId="68B04A4E" w14:textId="4237906E" w:rsidR="001E498B" w:rsidRDefault="00DE16FF" w:rsidP="008C54E8">
      <w:pPr>
        <w:pStyle w:val="a5"/>
        <w:snapToGrid w:val="0"/>
        <w:spacing w:line="360" w:lineRule="auto"/>
        <w:ind w:firstLineChars="100" w:firstLine="240"/>
        <w:jc w:val="both"/>
        <w:rPr>
          <w:rFonts w:eastAsia="宋体"/>
        </w:rPr>
      </w:pPr>
      <w:r w:rsidRPr="00872B32">
        <w:rPr>
          <w:rFonts w:ascii="Book Antiqua" w:hAnsi="Book Antiqua"/>
          <w:color w:val="000000"/>
        </w:rPr>
        <w:t>Since this is a retrospective study</w:t>
      </w:r>
      <w:r w:rsidR="000956E5" w:rsidRPr="00872B32">
        <w:rPr>
          <w:rFonts w:ascii="Book Antiqua" w:hAnsi="Book Antiqua"/>
          <w:color w:val="000000"/>
        </w:rPr>
        <w:t xml:space="preserve">, additional research with larger prospective clinical trials is necessary to </w:t>
      </w:r>
      <w:r w:rsidRPr="00872B32">
        <w:rPr>
          <w:rFonts w:ascii="Book Antiqua" w:hAnsi="Book Antiqua"/>
          <w:color w:val="000000"/>
        </w:rPr>
        <w:t>evaluate</w:t>
      </w:r>
      <w:r w:rsidR="000956E5" w:rsidRPr="00872B32">
        <w:rPr>
          <w:rFonts w:ascii="Book Antiqua" w:hAnsi="Book Antiqua"/>
          <w:color w:val="000000"/>
        </w:rPr>
        <w:t xml:space="preserve"> the impact of Trx1/CD30 for the treatment.</w:t>
      </w:r>
      <w:r w:rsidR="00C808A0" w:rsidRPr="00872B32">
        <w:rPr>
          <w:rFonts w:ascii="Book Antiqua" w:hAnsi="Book Antiqua"/>
          <w:color w:val="000000"/>
        </w:rPr>
        <w:t xml:space="preserve"> </w:t>
      </w:r>
      <w:r w:rsidR="000956E5" w:rsidRPr="00872B32">
        <w:rPr>
          <w:rFonts w:ascii="Book Antiqua" w:hAnsi="Book Antiqua"/>
          <w:color w:val="000000"/>
        </w:rPr>
        <w:t>Our finding on gender changes are of interest as is the apparent</w:t>
      </w:r>
      <w:r w:rsidR="00D05378">
        <w:rPr>
          <w:rFonts w:ascii="Book Antiqua" w:hAnsi="Book Antiqua"/>
          <w:color w:val="000000"/>
        </w:rPr>
        <w:t>ly</w:t>
      </w:r>
      <w:r w:rsidR="000956E5" w:rsidRPr="00872B32">
        <w:rPr>
          <w:rFonts w:ascii="Book Antiqua" w:hAnsi="Book Antiqua"/>
          <w:color w:val="000000"/>
        </w:rPr>
        <w:t xml:space="preserve"> different sCD30, Trx1 and RTrx1 fingerprint for cancer patients compared to younger and older subjects. However</w:t>
      </w:r>
      <w:r w:rsidR="002D79CC" w:rsidRPr="00872B32">
        <w:rPr>
          <w:rFonts w:ascii="Book Antiqua" w:hAnsi="Book Antiqua"/>
          <w:color w:val="000000"/>
        </w:rPr>
        <w:t>,</w:t>
      </w:r>
      <w:r w:rsidR="000956E5" w:rsidRPr="00872B32">
        <w:rPr>
          <w:rFonts w:ascii="Book Antiqua" w:hAnsi="Book Antiqua"/>
          <w:color w:val="000000"/>
        </w:rPr>
        <w:t xml:space="preserve"> our results should be confirmed by other groups and in other countries. The follow up to our research will be the investigation into Trx1/CD30 in tumor tissue samples.</w:t>
      </w:r>
    </w:p>
    <w:p w14:paraId="4E1F782A" w14:textId="77777777" w:rsidR="001E498B" w:rsidRPr="00526FCE" w:rsidRDefault="001E498B" w:rsidP="008C54E8">
      <w:pPr>
        <w:snapToGrid w:val="0"/>
        <w:spacing w:line="360" w:lineRule="auto"/>
        <w:jc w:val="both"/>
        <w:rPr>
          <w:rFonts w:ascii="Book Antiqua" w:eastAsia="宋体" w:hAnsi="Book Antiqua"/>
          <w:b/>
          <w:color w:val="000000"/>
          <w:lang w:eastAsia="zh-CN"/>
        </w:rPr>
      </w:pPr>
    </w:p>
    <w:p w14:paraId="54026EF8" w14:textId="77777777" w:rsidR="009E0EEE" w:rsidRPr="00872B32" w:rsidRDefault="00C52C8B" w:rsidP="008C54E8">
      <w:pPr>
        <w:snapToGrid w:val="0"/>
        <w:spacing w:line="360" w:lineRule="auto"/>
        <w:jc w:val="both"/>
        <w:rPr>
          <w:rFonts w:ascii="Book Antiqua" w:eastAsia="宋体" w:hAnsi="Book Antiqua"/>
          <w:b/>
          <w:color w:val="000000"/>
          <w:lang w:eastAsia="zh-CN"/>
        </w:rPr>
      </w:pPr>
      <w:r w:rsidRPr="00872B32">
        <w:rPr>
          <w:rFonts w:ascii="Book Antiqua" w:hAnsi="Book Antiqua" w:cs="Segoe UI"/>
          <w:b/>
          <w:color w:val="000000"/>
        </w:rPr>
        <w:t>ARTICLE HIGHLIGHTS</w:t>
      </w:r>
    </w:p>
    <w:p w14:paraId="7C6802EC" w14:textId="77777777" w:rsidR="004E75F3" w:rsidRPr="00EE0BCA" w:rsidRDefault="004E75F3" w:rsidP="008C54E8">
      <w:pPr>
        <w:snapToGrid w:val="0"/>
        <w:spacing w:line="360" w:lineRule="auto"/>
        <w:jc w:val="both"/>
        <w:rPr>
          <w:rFonts w:ascii="Book Antiqua" w:hAnsi="Book Antiqua"/>
          <w:b/>
          <w:i/>
          <w:color w:val="000000"/>
        </w:rPr>
      </w:pPr>
      <w:r w:rsidRPr="00EE0BCA">
        <w:rPr>
          <w:rFonts w:ascii="Book Antiqua" w:hAnsi="Book Antiqua"/>
          <w:b/>
          <w:i/>
          <w:color w:val="000000"/>
        </w:rPr>
        <w:t>Research background</w:t>
      </w:r>
    </w:p>
    <w:p w14:paraId="3D4507FA" w14:textId="2F8AD375" w:rsidR="004E75F3" w:rsidRPr="00526FCE" w:rsidRDefault="004E75F3" w:rsidP="008C54E8">
      <w:pPr>
        <w:snapToGrid w:val="0"/>
        <w:spacing w:line="360" w:lineRule="auto"/>
        <w:jc w:val="both"/>
        <w:rPr>
          <w:rFonts w:ascii="Book Antiqua" w:eastAsia="宋体" w:hAnsi="Book Antiqua"/>
          <w:color w:val="000000"/>
          <w:lang w:eastAsia="zh-CN"/>
        </w:rPr>
      </w:pPr>
      <w:r w:rsidRPr="00872B32">
        <w:rPr>
          <w:rFonts w:ascii="Book Antiqua" w:hAnsi="Book Antiqua"/>
          <w:color w:val="000000"/>
        </w:rPr>
        <w:t xml:space="preserve">The selection of prognostic biomarkers for the definition of personalized treatment in aging and </w:t>
      </w:r>
      <w:r w:rsidR="00EE0BCA" w:rsidRPr="00872B32">
        <w:rPr>
          <w:rFonts w:ascii="Book Antiqua" w:eastAsia="Calibri" w:hAnsi="Book Antiqua"/>
          <w:color w:val="000000"/>
        </w:rPr>
        <w:t>colorectal cancer (CRC)</w:t>
      </w:r>
      <w:r w:rsidRPr="00872B32">
        <w:rPr>
          <w:rFonts w:ascii="Book Antiqua" w:hAnsi="Book Antiqua"/>
          <w:color w:val="000000"/>
        </w:rPr>
        <w:t xml:space="preserve"> onset and/or its progression</w:t>
      </w:r>
      <w:r w:rsidR="00C808A0" w:rsidRPr="00872B32">
        <w:rPr>
          <w:rFonts w:ascii="Book Antiqua" w:hAnsi="Book Antiqua"/>
          <w:color w:val="000000"/>
        </w:rPr>
        <w:t xml:space="preserve"> </w:t>
      </w:r>
      <w:r w:rsidRPr="00872B32">
        <w:rPr>
          <w:rFonts w:ascii="Book Antiqua" w:hAnsi="Book Antiqua"/>
          <w:color w:val="000000"/>
        </w:rPr>
        <w:t xml:space="preserve">is relevant to improve clinical strategies. </w:t>
      </w:r>
      <w:r w:rsidR="00D05378">
        <w:rPr>
          <w:rFonts w:ascii="Book Antiqua" w:hAnsi="Book Antiqua"/>
          <w:color w:val="000000"/>
        </w:rPr>
        <w:t>Finding</w:t>
      </w:r>
      <w:r w:rsidRPr="00872B32">
        <w:rPr>
          <w:rFonts w:ascii="Book Antiqua" w:hAnsi="Book Antiqua"/>
          <w:color w:val="000000"/>
        </w:rPr>
        <w:t xml:space="preserve"> biomarkers able </w:t>
      </w:r>
      <w:r w:rsidR="00D05378">
        <w:rPr>
          <w:rFonts w:ascii="Book Antiqua" w:hAnsi="Book Antiqua"/>
          <w:color w:val="000000"/>
        </w:rPr>
        <w:t>to</w:t>
      </w:r>
      <w:r w:rsidR="00D05378" w:rsidRPr="00872B32">
        <w:rPr>
          <w:rFonts w:ascii="Book Antiqua" w:hAnsi="Book Antiqua"/>
          <w:color w:val="000000"/>
        </w:rPr>
        <w:t xml:space="preserve"> </w:t>
      </w:r>
      <w:r w:rsidR="00D05378">
        <w:rPr>
          <w:rFonts w:ascii="Book Antiqua" w:hAnsi="Book Antiqua"/>
          <w:color w:val="000000"/>
        </w:rPr>
        <w:t>identify</w:t>
      </w:r>
      <w:r w:rsidRPr="00872B32">
        <w:rPr>
          <w:rFonts w:ascii="Book Antiqua" w:hAnsi="Book Antiqua"/>
          <w:color w:val="000000"/>
        </w:rPr>
        <w:t xml:space="preserve"> the risk of develop</w:t>
      </w:r>
      <w:r w:rsidR="00D05378">
        <w:rPr>
          <w:rFonts w:ascii="Book Antiqua" w:hAnsi="Book Antiqua"/>
          <w:color w:val="000000"/>
        </w:rPr>
        <w:t>ing</w:t>
      </w:r>
      <w:r w:rsidRPr="00872B32">
        <w:rPr>
          <w:rFonts w:ascii="Book Antiqua" w:hAnsi="Book Antiqua"/>
          <w:color w:val="000000"/>
        </w:rPr>
        <w:t xml:space="preserve"> degenerative processes linked to aging, which could lead to the onset of the disease, is a new challenge.</w:t>
      </w:r>
      <w:r w:rsidR="00EE0BCA" w:rsidRPr="00526FCE">
        <w:rPr>
          <w:rFonts w:ascii="Book Antiqua" w:eastAsia="宋体" w:hAnsi="Book Antiqua" w:hint="eastAsia"/>
          <w:color w:val="000000"/>
          <w:lang w:eastAsia="zh-CN"/>
        </w:rPr>
        <w:t xml:space="preserve"> </w:t>
      </w:r>
      <w:r w:rsidRPr="00872B32">
        <w:rPr>
          <w:rFonts w:ascii="Book Antiqua" w:hAnsi="Book Antiqua"/>
          <w:color w:val="000000"/>
        </w:rPr>
        <w:t>Alterations in the physiological pathways involved in the regulation of redox and immunological systems have been identified in various types of tumors</w:t>
      </w:r>
      <w:r w:rsidR="00D05378">
        <w:rPr>
          <w:rFonts w:ascii="Book Antiqua" w:hAnsi="Book Antiqua"/>
          <w:color w:val="000000"/>
        </w:rPr>
        <w:t>,</w:t>
      </w:r>
      <w:r w:rsidRPr="00872B32">
        <w:rPr>
          <w:rFonts w:ascii="Book Antiqua" w:hAnsi="Book Antiqua"/>
          <w:color w:val="000000"/>
        </w:rPr>
        <w:t xml:space="preserve"> such as </w:t>
      </w:r>
      <w:r w:rsidR="00D65548" w:rsidRPr="00872B32">
        <w:rPr>
          <w:rFonts w:ascii="Book Antiqua" w:eastAsia="Calibri" w:hAnsi="Book Antiqua"/>
          <w:color w:val="000000"/>
        </w:rPr>
        <w:t>CRC</w:t>
      </w:r>
      <w:r w:rsidR="00D65548" w:rsidRPr="00526FCE">
        <w:rPr>
          <w:rFonts w:ascii="Book Antiqua" w:eastAsia="宋体" w:hAnsi="Book Antiqua"/>
          <w:color w:val="000000"/>
          <w:lang w:eastAsia="zh-CN"/>
        </w:rPr>
        <w:t>.</w:t>
      </w:r>
      <w:r w:rsidRPr="00872B32">
        <w:rPr>
          <w:rFonts w:ascii="Book Antiqua" w:hAnsi="Book Antiqua"/>
          <w:color w:val="000000"/>
        </w:rPr>
        <w:t xml:space="preserve"> The potential</w:t>
      </w:r>
      <w:r w:rsidR="00D05378">
        <w:rPr>
          <w:rFonts w:ascii="Book Antiqua" w:hAnsi="Book Antiqua"/>
          <w:color w:val="000000"/>
        </w:rPr>
        <w:t xml:space="preserve"> use</w:t>
      </w:r>
      <w:r w:rsidRPr="00872B32">
        <w:rPr>
          <w:rFonts w:ascii="Book Antiqua" w:hAnsi="Book Antiqua"/>
          <w:color w:val="000000"/>
        </w:rPr>
        <w:t xml:space="preserve"> of Trx1 and CD30 as targets </w:t>
      </w:r>
      <w:r w:rsidRPr="00872B32">
        <w:rPr>
          <w:rFonts w:ascii="Book Antiqua" w:hAnsi="Book Antiqua"/>
          <w:color w:val="000000"/>
        </w:rPr>
        <w:lastRenderedPageBreak/>
        <w:t>and biomarkers for tumors has been widely described in literature, but results are still not relevant enough to improve the clinical strategies.</w:t>
      </w:r>
    </w:p>
    <w:p w14:paraId="1C4FDF8F" w14:textId="77777777" w:rsidR="00EE0BCA" w:rsidRPr="00526FCE" w:rsidRDefault="00EE0BCA" w:rsidP="008C54E8">
      <w:pPr>
        <w:snapToGrid w:val="0"/>
        <w:spacing w:line="360" w:lineRule="auto"/>
        <w:jc w:val="both"/>
        <w:rPr>
          <w:rFonts w:ascii="Book Antiqua" w:eastAsia="宋体" w:hAnsi="Book Antiqua"/>
          <w:color w:val="000000"/>
          <w:lang w:eastAsia="zh-CN"/>
        </w:rPr>
      </w:pPr>
    </w:p>
    <w:p w14:paraId="3F402D57" w14:textId="77777777" w:rsidR="004E75F3" w:rsidRPr="00EE0BCA" w:rsidRDefault="004E75F3" w:rsidP="008C54E8">
      <w:pPr>
        <w:snapToGrid w:val="0"/>
        <w:spacing w:line="360" w:lineRule="auto"/>
        <w:jc w:val="both"/>
        <w:rPr>
          <w:rFonts w:ascii="Book Antiqua" w:hAnsi="Book Antiqua"/>
          <w:b/>
          <w:i/>
          <w:color w:val="000000"/>
        </w:rPr>
      </w:pPr>
      <w:r w:rsidRPr="00EE0BCA">
        <w:rPr>
          <w:rFonts w:ascii="Book Antiqua" w:hAnsi="Book Antiqua"/>
          <w:b/>
          <w:i/>
          <w:color w:val="000000"/>
        </w:rPr>
        <w:t>Research motivation</w:t>
      </w:r>
    </w:p>
    <w:p w14:paraId="1C184BE2" w14:textId="3588E198" w:rsidR="004E75F3" w:rsidRPr="00526FCE" w:rsidRDefault="004E75F3" w:rsidP="008C54E8">
      <w:pPr>
        <w:snapToGrid w:val="0"/>
        <w:spacing w:line="360" w:lineRule="auto"/>
        <w:jc w:val="both"/>
        <w:rPr>
          <w:rFonts w:ascii="Book Antiqua" w:eastAsia="宋体" w:hAnsi="Book Antiqua"/>
          <w:color w:val="000000"/>
          <w:lang w:eastAsia="zh-CN"/>
        </w:rPr>
      </w:pPr>
      <w:r w:rsidRPr="00872B32">
        <w:rPr>
          <w:rFonts w:ascii="Book Antiqua" w:hAnsi="Book Antiqua"/>
          <w:color w:val="000000"/>
        </w:rPr>
        <w:t xml:space="preserve">We have carried out this study to clarify </w:t>
      </w:r>
      <w:r w:rsidR="00D05378">
        <w:rPr>
          <w:rFonts w:ascii="Book Antiqua" w:hAnsi="Book Antiqua"/>
          <w:color w:val="000000"/>
        </w:rPr>
        <w:t>if</w:t>
      </w:r>
      <w:r w:rsidR="00D05378" w:rsidRPr="00872B32">
        <w:rPr>
          <w:rFonts w:ascii="Book Antiqua" w:hAnsi="Book Antiqua"/>
          <w:color w:val="000000"/>
        </w:rPr>
        <w:t xml:space="preserve"> </w:t>
      </w:r>
      <w:r w:rsidRPr="00872B32">
        <w:rPr>
          <w:rFonts w:ascii="Book Antiqua" w:hAnsi="Book Antiqua"/>
          <w:color w:val="000000"/>
        </w:rPr>
        <w:t>it was effective to use Trx and CD30 as dual target in combination with T helper cytokines and polymorphisms of KIRs, Fc</w:t>
      </w:r>
      <w:r w:rsidR="00980A6B" w:rsidRPr="00872B32">
        <w:rPr>
          <w:rFonts w:ascii="Book Antiqua" w:hAnsi="Book Antiqua"/>
          <w:color w:val="000000"/>
        </w:rPr>
        <w:sym w:font="Symbol" w:char="F067"/>
      </w:r>
      <w:r w:rsidRPr="00872B32">
        <w:rPr>
          <w:rFonts w:ascii="Book Antiqua" w:hAnsi="Book Antiqua"/>
          <w:color w:val="000000"/>
        </w:rPr>
        <w:t>RIIa-131H/R and Fc</w:t>
      </w:r>
      <w:r w:rsidR="00980A6B" w:rsidRPr="00872B32">
        <w:rPr>
          <w:rFonts w:ascii="Book Antiqua" w:hAnsi="Book Antiqua"/>
          <w:color w:val="000000"/>
        </w:rPr>
        <w:sym w:font="Symbol" w:char="F067"/>
      </w:r>
      <w:r w:rsidRPr="00872B32">
        <w:rPr>
          <w:rFonts w:ascii="Book Antiqua" w:hAnsi="Book Antiqua"/>
          <w:color w:val="000000"/>
        </w:rPr>
        <w:t xml:space="preserve">RIIIa-158V/F. The aim was to identify alterations in markers of redox-immune homeostasis that may be useful as </w:t>
      </w:r>
      <w:r w:rsidR="00D05378">
        <w:rPr>
          <w:rFonts w:ascii="Book Antiqua" w:hAnsi="Book Antiqua"/>
          <w:color w:val="000000"/>
        </w:rPr>
        <w:t xml:space="preserve">a </w:t>
      </w:r>
      <w:r w:rsidRPr="00872B32">
        <w:rPr>
          <w:rFonts w:ascii="Book Antiqua" w:hAnsi="Book Antiqua"/>
          <w:color w:val="000000"/>
        </w:rPr>
        <w:t xml:space="preserve">predictive biomarker system in health prediction and </w:t>
      </w:r>
      <w:r w:rsidR="00D05378">
        <w:rPr>
          <w:rFonts w:ascii="Book Antiqua" w:hAnsi="Book Antiqua"/>
          <w:color w:val="000000"/>
        </w:rPr>
        <w:t>to identify</w:t>
      </w:r>
      <w:r w:rsidR="00D05378" w:rsidRPr="00872B32">
        <w:rPr>
          <w:rFonts w:ascii="Book Antiqua" w:hAnsi="Book Antiqua"/>
          <w:color w:val="000000"/>
        </w:rPr>
        <w:t xml:space="preserve"> </w:t>
      </w:r>
      <w:r w:rsidRPr="00872B32">
        <w:rPr>
          <w:rFonts w:ascii="Book Antiqua" w:hAnsi="Book Antiqua"/>
          <w:color w:val="000000"/>
        </w:rPr>
        <w:t>personalized treatments to target age-related immune decline and cancer.</w:t>
      </w:r>
    </w:p>
    <w:p w14:paraId="6B23D871" w14:textId="77777777" w:rsidR="00EE0BCA" w:rsidRPr="00526FCE" w:rsidRDefault="00EE0BCA" w:rsidP="008C54E8">
      <w:pPr>
        <w:snapToGrid w:val="0"/>
        <w:spacing w:line="360" w:lineRule="auto"/>
        <w:jc w:val="both"/>
        <w:rPr>
          <w:rFonts w:ascii="Book Antiqua" w:eastAsia="宋体" w:hAnsi="Book Antiqua"/>
          <w:color w:val="000000"/>
          <w:lang w:eastAsia="zh-CN"/>
        </w:rPr>
      </w:pPr>
    </w:p>
    <w:p w14:paraId="593361DB" w14:textId="77777777" w:rsidR="004E75F3" w:rsidRPr="00EE0BCA" w:rsidRDefault="004E75F3" w:rsidP="008C54E8">
      <w:pPr>
        <w:snapToGrid w:val="0"/>
        <w:spacing w:line="360" w:lineRule="auto"/>
        <w:jc w:val="both"/>
        <w:rPr>
          <w:rFonts w:ascii="Book Antiqua" w:hAnsi="Book Antiqua"/>
          <w:b/>
          <w:i/>
          <w:color w:val="000000"/>
        </w:rPr>
      </w:pPr>
      <w:r w:rsidRPr="00EE0BCA">
        <w:rPr>
          <w:rFonts w:ascii="Book Antiqua" w:hAnsi="Book Antiqua"/>
          <w:b/>
          <w:i/>
          <w:color w:val="000000"/>
        </w:rPr>
        <w:t>Research methods</w:t>
      </w:r>
    </w:p>
    <w:p w14:paraId="2851B754" w14:textId="4B113E60" w:rsidR="001E498B" w:rsidRDefault="004E75F3" w:rsidP="008C54E8">
      <w:pPr>
        <w:snapToGrid w:val="0"/>
        <w:spacing w:line="360" w:lineRule="auto"/>
        <w:jc w:val="both"/>
        <w:rPr>
          <w:rFonts w:ascii="Book Antiqua" w:hAnsi="Book Antiqua"/>
          <w:b/>
          <w:i/>
          <w:color w:val="000000"/>
        </w:rPr>
      </w:pPr>
      <w:r w:rsidRPr="00872B32">
        <w:rPr>
          <w:rFonts w:ascii="Book Antiqua" w:hAnsi="Book Antiqua"/>
          <w:color w:val="000000"/>
        </w:rPr>
        <w:t>The serum measures of Trx1/CD30, RTrx1, multiple cytokine levels and polymorphisms of KIR and FcγRIIa were used to estimate the effect of disease, age and gender interactions to describe the variants in the biology of the redox immune system. Using multivariate statistical procedures of correlation analysis and a matrix of correlation of all the redox immune and clinical parameters we have identified changes in the biology of the redox immune system relationships in both healthy aging and tumor disease progression. Through these procedures we determined the redox immune fingerprint of health, aging and cancer states.</w:t>
      </w:r>
    </w:p>
    <w:p w14:paraId="61F2E3B6" w14:textId="77777777" w:rsidR="001E498B" w:rsidRDefault="001E498B" w:rsidP="008C54E8">
      <w:pPr>
        <w:snapToGrid w:val="0"/>
        <w:spacing w:line="360" w:lineRule="auto"/>
        <w:jc w:val="both"/>
        <w:rPr>
          <w:rFonts w:ascii="Book Antiqua" w:hAnsi="Book Antiqua"/>
          <w:b/>
          <w:i/>
          <w:color w:val="000000"/>
        </w:rPr>
      </w:pPr>
    </w:p>
    <w:p w14:paraId="643BE329" w14:textId="77777777" w:rsidR="004E75F3" w:rsidRPr="00EE0BCA" w:rsidRDefault="004E75F3" w:rsidP="008C54E8">
      <w:pPr>
        <w:snapToGrid w:val="0"/>
        <w:spacing w:line="360" w:lineRule="auto"/>
        <w:jc w:val="both"/>
        <w:rPr>
          <w:rFonts w:ascii="Book Antiqua" w:hAnsi="Book Antiqua"/>
          <w:b/>
          <w:i/>
          <w:color w:val="000000"/>
        </w:rPr>
      </w:pPr>
      <w:r w:rsidRPr="00EE0BCA">
        <w:rPr>
          <w:rFonts w:ascii="Book Antiqua" w:hAnsi="Book Antiqua"/>
          <w:b/>
          <w:i/>
          <w:color w:val="000000"/>
        </w:rPr>
        <w:t>Research results</w:t>
      </w:r>
    </w:p>
    <w:p w14:paraId="68867F66" w14:textId="3637C32A" w:rsidR="004E75F3" w:rsidRPr="00526FCE" w:rsidRDefault="004E75F3" w:rsidP="008C54E8">
      <w:pPr>
        <w:snapToGrid w:val="0"/>
        <w:spacing w:line="360" w:lineRule="auto"/>
        <w:jc w:val="both"/>
        <w:rPr>
          <w:rFonts w:ascii="Book Antiqua" w:eastAsia="宋体" w:hAnsi="Book Antiqua"/>
          <w:color w:val="000000"/>
          <w:lang w:eastAsia="zh-CN"/>
        </w:rPr>
      </w:pPr>
      <w:r w:rsidRPr="00872B32">
        <w:rPr>
          <w:rFonts w:ascii="Book Antiqua" w:hAnsi="Book Antiqua"/>
          <w:color w:val="000000"/>
        </w:rPr>
        <w:t>We found positive increases between Trx1/RTrx1 levels and sCD30 level and increased age. With respect to the gender relationships</w:t>
      </w:r>
      <w:r w:rsidR="00D05378">
        <w:rPr>
          <w:rFonts w:ascii="Book Antiqua" w:hAnsi="Book Antiqua"/>
          <w:color w:val="000000"/>
        </w:rPr>
        <w:t>,</w:t>
      </w:r>
      <w:r w:rsidRPr="00872B32">
        <w:rPr>
          <w:rFonts w:ascii="Book Antiqua" w:hAnsi="Book Antiqua"/>
          <w:color w:val="000000"/>
        </w:rPr>
        <w:t xml:space="preserve"> there are distinct differences: females show a primary relationship between TGFβ with Trx1 while males </w:t>
      </w:r>
      <w:r w:rsidR="007F4671">
        <w:rPr>
          <w:rFonts w:ascii="Book Antiqua" w:hAnsi="Book Antiqua"/>
          <w:color w:val="000000"/>
        </w:rPr>
        <w:t>for</w:t>
      </w:r>
      <w:r w:rsidRPr="00872B32">
        <w:rPr>
          <w:rFonts w:ascii="Book Antiqua" w:hAnsi="Book Antiqua"/>
          <w:color w:val="000000"/>
        </w:rPr>
        <w:t xml:space="preserve"> TGFβ and RTrx1. Trx1/CD30 controls the redox immune homeostasis</w:t>
      </w:r>
      <w:r w:rsidR="00D05378">
        <w:rPr>
          <w:rFonts w:ascii="Book Antiqua" w:hAnsi="Book Antiqua"/>
          <w:color w:val="000000"/>
        </w:rPr>
        <w:t>,</w:t>
      </w:r>
      <w:r w:rsidRPr="00872B32">
        <w:rPr>
          <w:rFonts w:ascii="Book Antiqua" w:hAnsi="Book Antiqua"/>
          <w:color w:val="000000"/>
        </w:rPr>
        <w:t xml:space="preserve"> and an imbalance in the relationship between Trx1/RTrx1 and sCD30 levels is linked to the onset and progression of tumor</w:t>
      </w:r>
      <w:r w:rsidR="00D05378">
        <w:rPr>
          <w:rFonts w:ascii="Book Antiqua" w:hAnsi="Book Antiqua"/>
          <w:color w:val="000000"/>
        </w:rPr>
        <w:t xml:space="preserve"> (</w:t>
      </w:r>
      <w:r w:rsidRPr="00872B32">
        <w:rPr>
          <w:rFonts w:ascii="Book Antiqua" w:hAnsi="Book Antiqua"/>
          <w:color w:val="000000"/>
        </w:rPr>
        <w:t>but through different cytokine pathways in the male and female subjects</w:t>
      </w:r>
      <w:r w:rsidR="00D05378">
        <w:rPr>
          <w:rFonts w:ascii="Book Antiqua" w:hAnsi="Book Antiqua"/>
          <w:color w:val="000000"/>
        </w:rPr>
        <w:t>)</w:t>
      </w:r>
      <w:r w:rsidRPr="00872B32">
        <w:rPr>
          <w:rFonts w:ascii="Book Antiqua" w:hAnsi="Book Antiqua"/>
          <w:color w:val="000000"/>
        </w:rPr>
        <w:t xml:space="preserve">. The study confirmed that the serum levels of Trx1/RTrx1, TGFβ/IL6 and TGFβ/IL4 combinations and the sCD30 IFNγ and IL2 combination </w:t>
      </w:r>
      <w:r w:rsidRPr="00872B32">
        <w:rPr>
          <w:rFonts w:ascii="Book Antiqua" w:hAnsi="Book Antiqua"/>
          <w:color w:val="000000"/>
        </w:rPr>
        <w:lastRenderedPageBreak/>
        <w:t xml:space="preserve">are a predictive gender specific biomarker system for clinical screening to detect the risk of the potential development or progression of a tumor. </w:t>
      </w:r>
    </w:p>
    <w:p w14:paraId="0AD24E4A" w14:textId="77777777" w:rsidR="00EE0BCA" w:rsidRPr="00526FCE" w:rsidRDefault="00EE0BCA" w:rsidP="008C54E8">
      <w:pPr>
        <w:snapToGrid w:val="0"/>
        <w:spacing w:line="360" w:lineRule="auto"/>
        <w:jc w:val="both"/>
        <w:rPr>
          <w:rFonts w:ascii="Book Antiqua" w:eastAsia="宋体" w:hAnsi="Book Antiqua"/>
          <w:color w:val="000000"/>
          <w:lang w:eastAsia="zh-CN"/>
        </w:rPr>
      </w:pPr>
    </w:p>
    <w:p w14:paraId="41122561" w14:textId="77777777" w:rsidR="004E75F3" w:rsidRPr="00EE0BCA" w:rsidRDefault="004E75F3" w:rsidP="008C54E8">
      <w:pPr>
        <w:snapToGrid w:val="0"/>
        <w:spacing w:line="360" w:lineRule="auto"/>
        <w:jc w:val="both"/>
        <w:rPr>
          <w:rFonts w:ascii="Book Antiqua" w:hAnsi="Book Antiqua"/>
          <w:b/>
          <w:i/>
          <w:color w:val="000000"/>
        </w:rPr>
      </w:pPr>
      <w:r w:rsidRPr="00EE0BCA">
        <w:rPr>
          <w:rFonts w:ascii="Book Antiqua" w:hAnsi="Book Antiqua"/>
          <w:b/>
          <w:i/>
          <w:color w:val="000000"/>
        </w:rPr>
        <w:t>Research conclusions</w:t>
      </w:r>
    </w:p>
    <w:p w14:paraId="7030D26D" w14:textId="6F193D07" w:rsidR="004E75F3" w:rsidRPr="00526FCE" w:rsidRDefault="004E75F3" w:rsidP="008C54E8">
      <w:pPr>
        <w:snapToGrid w:val="0"/>
        <w:spacing w:line="360" w:lineRule="auto"/>
        <w:jc w:val="both"/>
        <w:rPr>
          <w:rFonts w:ascii="Book Antiqua" w:eastAsia="宋体" w:hAnsi="Book Antiqua"/>
          <w:color w:val="000000"/>
          <w:lang w:eastAsia="zh-CN"/>
        </w:rPr>
      </w:pPr>
      <w:r w:rsidRPr="00872B32">
        <w:rPr>
          <w:rFonts w:ascii="Book Antiqua" w:hAnsi="Book Antiqua"/>
          <w:color w:val="000000"/>
        </w:rPr>
        <w:t>Results give new insight into how environment interacts with cell metabolism and redox immune state to influence Th cell differentiation and functions. Furthermore</w:t>
      </w:r>
      <w:r w:rsidR="00D05378">
        <w:rPr>
          <w:rFonts w:ascii="Book Antiqua" w:hAnsi="Book Antiqua"/>
          <w:color w:val="000000"/>
        </w:rPr>
        <w:t>,</w:t>
      </w:r>
      <w:r w:rsidRPr="00872B32">
        <w:rPr>
          <w:rFonts w:ascii="Book Antiqua" w:hAnsi="Book Antiqua"/>
          <w:color w:val="000000"/>
        </w:rPr>
        <w:t xml:space="preserve"> the mechanisms of degenerative process</w:t>
      </w:r>
      <w:r w:rsidR="00D05378">
        <w:rPr>
          <w:rFonts w:ascii="Book Antiqua" w:hAnsi="Book Antiqua"/>
          <w:color w:val="000000"/>
        </w:rPr>
        <w:t>es</w:t>
      </w:r>
      <w:r w:rsidRPr="00872B32">
        <w:rPr>
          <w:rFonts w:ascii="Book Antiqua" w:hAnsi="Book Antiqua"/>
          <w:color w:val="000000"/>
        </w:rPr>
        <w:t xml:space="preserve"> that compromise redox immune function have been explained. Results support the goals of translational medicine </w:t>
      </w:r>
      <w:r w:rsidR="00D05378">
        <w:rPr>
          <w:rFonts w:ascii="Book Antiqua" w:hAnsi="Book Antiqua"/>
          <w:color w:val="000000"/>
        </w:rPr>
        <w:t>that</w:t>
      </w:r>
      <w:r w:rsidR="00D05378" w:rsidRPr="00872B32">
        <w:rPr>
          <w:rFonts w:ascii="Book Antiqua" w:hAnsi="Book Antiqua"/>
          <w:color w:val="000000"/>
        </w:rPr>
        <w:t xml:space="preserve"> </w:t>
      </w:r>
      <w:r w:rsidRPr="00872B32">
        <w:rPr>
          <w:rFonts w:ascii="Book Antiqua" w:hAnsi="Book Antiqua"/>
          <w:color w:val="000000"/>
        </w:rPr>
        <w:t xml:space="preserve">tries to promote personalized strategies </w:t>
      </w:r>
      <w:r w:rsidR="00D05378">
        <w:rPr>
          <w:rFonts w:ascii="Book Antiqua" w:hAnsi="Book Antiqua"/>
          <w:color w:val="000000"/>
        </w:rPr>
        <w:t>for the</w:t>
      </w:r>
      <w:r w:rsidR="00D05378" w:rsidRPr="00872B32">
        <w:rPr>
          <w:rFonts w:ascii="Book Antiqua" w:hAnsi="Book Antiqua"/>
          <w:color w:val="000000"/>
        </w:rPr>
        <w:t xml:space="preserve"> </w:t>
      </w:r>
      <w:r w:rsidRPr="00872B32">
        <w:rPr>
          <w:rFonts w:ascii="Book Antiqua" w:hAnsi="Book Antiqua"/>
          <w:color w:val="000000"/>
        </w:rPr>
        <w:t>prevention</w:t>
      </w:r>
      <w:r w:rsidR="00D05378">
        <w:rPr>
          <w:rFonts w:ascii="Book Antiqua" w:hAnsi="Book Antiqua"/>
          <w:color w:val="000000"/>
        </w:rPr>
        <w:t xml:space="preserve"> and treatment of</w:t>
      </w:r>
      <w:r w:rsidRPr="00872B32">
        <w:rPr>
          <w:rFonts w:ascii="Book Antiqua" w:hAnsi="Book Antiqua"/>
          <w:color w:val="000000"/>
        </w:rPr>
        <w:t xml:space="preserve"> cancer.</w:t>
      </w:r>
    </w:p>
    <w:p w14:paraId="1C0597C9" w14:textId="77777777" w:rsidR="00EE0BCA" w:rsidRPr="00526FCE" w:rsidRDefault="00EE0BCA" w:rsidP="008C54E8">
      <w:pPr>
        <w:snapToGrid w:val="0"/>
        <w:spacing w:line="360" w:lineRule="auto"/>
        <w:jc w:val="both"/>
        <w:rPr>
          <w:rFonts w:ascii="Book Antiqua" w:eastAsia="宋体" w:hAnsi="Book Antiqua"/>
          <w:i/>
          <w:color w:val="000000"/>
          <w:lang w:eastAsia="zh-CN"/>
        </w:rPr>
      </w:pPr>
    </w:p>
    <w:p w14:paraId="1D9CBAFC" w14:textId="77777777" w:rsidR="004E75F3" w:rsidRPr="00EE0BCA" w:rsidRDefault="004E75F3" w:rsidP="008C54E8">
      <w:pPr>
        <w:snapToGrid w:val="0"/>
        <w:spacing w:line="360" w:lineRule="auto"/>
        <w:jc w:val="both"/>
        <w:rPr>
          <w:rFonts w:ascii="Book Antiqua" w:hAnsi="Book Antiqua"/>
          <w:b/>
          <w:i/>
          <w:color w:val="000000"/>
        </w:rPr>
      </w:pPr>
      <w:r w:rsidRPr="00EE0BCA">
        <w:rPr>
          <w:rFonts w:ascii="Book Antiqua" w:hAnsi="Book Antiqua"/>
          <w:b/>
          <w:i/>
          <w:color w:val="000000"/>
        </w:rPr>
        <w:t>Research persp</w:t>
      </w:r>
      <w:r w:rsidR="00C65F53" w:rsidRPr="00EE0BCA">
        <w:rPr>
          <w:rFonts w:ascii="Book Antiqua" w:hAnsi="Book Antiqua"/>
          <w:b/>
          <w:i/>
          <w:color w:val="000000"/>
        </w:rPr>
        <w:t>e</w:t>
      </w:r>
      <w:r w:rsidRPr="00EE0BCA">
        <w:rPr>
          <w:rFonts w:ascii="Book Antiqua" w:hAnsi="Book Antiqua"/>
          <w:b/>
          <w:i/>
          <w:color w:val="000000"/>
        </w:rPr>
        <w:t>ctives</w:t>
      </w:r>
    </w:p>
    <w:p w14:paraId="20BE1B88" w14:textId="6F09B170" w:rsidR="004E75F3" w:rsidRPr="00872B32" w:rsidRDefault="004E75F3" w:rsidP="008C54E8">
      <w:pPr>
        <w:pStyle w:val="a5"/>
        <w:snapToGrid w:val="0"/>
        <w:spacing w:line="360" w:lineRule="auto"/>
        <w:jc w:val="both"/>
        <w:rPr>
          <w:rFonts w:ascii="Book Antiqua" w:hAnsi="Book Antiqua"/>
          <w:color w:val="000000"/>
        </w:rPr>
      </w:pPr>
      <w:r w:rsidRPr="00872B32">
        <w:rPr>
          <w:rFonts w:ascii="Book Antiqua" w:hAnsi="Book Antiqua"/>
          <w:color w:val="000000"/>
        </w:rPr>
        <w:t>Trx1/CD30 and selected biomarkers can be used for new personalized resolving treatments to target age-related immune decline, CRC onset and/or its progression. This will permit to select novel therapies. Given the retrospective nature of this study, additional research with larger prospective clinical trials is necessary to assess the impact of Trx1/CD30 for the treatment.</w:t>
      </w:r>
      <w:r w:rsidR="00C808A0" w:rsidRPr="00872B32">
        <w:rPr>
          <w:rFonts w:ascii="Book Antiqua" w:hAnsi="Book Antiqua"/>
          <w:color w:val="000000"/>
        </w:rPr>
        <w:t xml:space="preserve"> </w:t>
      </w:r>
    </w:p>
    <w:p w14:paraId="3832FCE9" w14:textId="77777777" w:rsidR="00EE0BCA" w:rsidRPr="00526FCE" w:rsidRDefault="00EE0BCA" w:rsidP="008C54E8">
      <w:pPr>
        <w:snapToGrid w:val="0"/>
        <w:spacing w:line="360" w:lineRule="auto"/>
        <w:jc w:val="both"/>
        <w:rPr>
          <w:rFonts w:ascii="Book Antiqua" w:eastAsia="宋体" w:hAnsi="Book Antiqua"/>
          <w:b/>
          <w:color w:val="000000"/>
          <w:lang w:eastAsia="zh-CN"/>
        </w:rPr>
      </w:pPr>
    </w:p>
    <w:p w14:paraId="171D3B95" w14:textId="77777777" w:rsidR="00EE0BCA" w:rsidRPr="00872B32" w:rsidRDefault="00EE0BCA" w:rsidP="008C54E8">
      <w:pPr>
        <w:snapToGrid w:val="0"/>
        <w:spacing w:line="360" w:lineRule="auto"/>
        <w:jc w:val="both"/>
        <w:rPr>
          <w:rFonts w:ascii="Book Antiqua" w:hAnsi="Book Antiqua"/>
          <w:color w:val="000000"/>
        </w:rPr>
      </w:pPr>
      <w:r w:rsidRPr="00872B32">
        <w:rPr>
          <w:rFonts w:ascii="Book Antiqua" w:hAnsi="Book Antiqua"/>
          <w:b/>
          <w:color w:val="000000"/>
        </w:rPr>
        <w:t>ACKNOWLEDGMENTS</w:t>
      </w:r>
      <w:r w:rsidRPr="00872B32">
        <w:rPr>
          <w:rFonts w:ascii="Book Antiqua" w:hAnsi="Book Antiqua"/>
          <w:color w:val="000000"/>
        </w:rPr>
        <w:t xml:space="preserve"> </w:t>
      </w:r>
    </w:p>
    <w:p w14:paraId="57837ACD" w14:textId="77777777" w:rsidR="00EE0BCA" w:rsidRPr="00EE0BCA" w:rsidRDefault="00EE0BCA" w:rsidP="008C54E8">
      <w:pPr>
        <w:snapToGrid w:val="0"/>
        <w:spacing w:line="360" w:lineRule="auto"/>
        <w:jc w:val="both"/>
        <w:rPr>
          <w:rFonts w:ascii="Book Antiqua" w:eastAsia="宋体" w:hAnsi="Book Antiqua"/>
          <w:color w:val="000000"/>
          <w:lang w:eastAsia="zh-CN"/>
        </w:rPr>
      </w:pPr>
      <w:r w:rsidRPr="00872B32">
        <w:rPr>
          <w:rFonts w:ascii="Book Antiqua" w:hAnsi="Book Antiqua"/>
          <w:color w:val="000000"/>
        </w:rPr>
        <w:t>We thank Nunziatina Cherubini for the high competence and professionalism in the administrative, technical and material support.</w:t>
      </w:r>
    </w:p>
    <w:p w14:paraId="6A0AE2BC" w14:textId="77777777" w:rsidR="009E0EEE" w:rsidRPr="00872B32" w:rsidRDefault="009E0EEE" w:rsidP="008C54E8">
      <w:pPr>
        <w:snapToGrid w:val="0"/>
        <w:spacing w:line="360" w:lineRule="auto"/>
        <w:jc w:val="both"/>
        <w:rPr>
          <w:rFonts w:ascii="Book Antiqua" w:hAnsi="Book Antiqua"/>
          <w:b/>
          <w:color w:val="000000"/>
        </w:rPr>
      </w:pPr>
    </w:p>
    <w:p w14:paraId="3EA94573" w14:textId="77777777" w:rsidR="00655E8F" w:rsidRPr="006E3315" w:rsidRDefault="00B10536" w:rsidP="008C54E8">
      <w:pPr>
        <w:snapToGrid w:val="0"/>
        <w:spacing w:line="360" w:lineRule="auto"/>
        <w:jc w:val="both"/>
        <w:rPr>
          <w:rFonts w:ascii="Book Antiqua" w:eastAsia="宋体" w:hAnsi="Book Antiqua"/>
          <w:b/>
          <w:color w:val="000000"/>
          <w:lang w:eastAsia="zh-CN"/>
        </w:rPr>
      </w:pPr>
      <w:r>
        <w:rPr>
          <w:rFonts w:ascii="Book Antiqua" w:hAnsi="Book Antiqua"/>
          <w:b/>
          <w:color w:val="000000"/>
        </w:rPr>
        <w:br w:type="page"/>
      </w:r>
      <w:r w:rsidR="000956E5" w:rsidRPr="006E3315">
        <w:rPr>
          <w:rFonts w:ascii="Book Antiqua" w:hAnsi="Book Antiqua"/>
          <w:b/>
          <w:color w:val="000000"/>
        </w:rPr>
        <w:lastRenderedPageBreak/>
        <w:t>R</w:t>
      </w:r>
      <w:r w:rsidR="009B0091" w:rsidRPr="006E3315">
        <w:rPr>
          <w:rFonts w:ascii="Book Antiqua" w:hAnsi="Book Antiqua"/>
          <w:b/>
          <w:color w:val="000000"/>
        </w:rPr>
        <w:t>EFERENCES</w:t>
      </w:r>
    </w:p>
    <w:p w14:paraId="7EDA2FFB"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1 </w:t>
      </w:r>
      <w:r w:rsidRPr="006E3315">
        <w:rPr>
          <w:rFonts w:ascii="Book Antiqua" w:hAnsi="Book Antiqua"/>
          <w:b/>
        </w:rPr>
        <w:t>Berghella AM</w:t>
      </w:r>
      <w:r w:rsidRPr="006E3315">
        <w:rPr>
          <w:rFonts w:ascii="Book Antiqua" w:hAnsi="Book Antiqua"/>
        </w:rPr>
        <w:t xml:space="preserve">, Pellegrini P, Del Beato T, Ciccone F, Contasta I. The potential role of thioredoxin 1 and CD30 systems as multiple pathway targets and biomarkers in tumor therapy. </w:t>
      </w:r>
      <w:r w:rsidRPr="006E3315">
        <w:rPr>
          <w:rFonts w:ascii="Book Antiqua" w:hAnsi="Book Antiqua"/>
          <w:i/>
        </w:rPr>
        <w:t>Cancer Immunol Immunother</w:t>
      </w:r>
      <w:r w:rsidRPr="006E3315">
        <w:rPr>
          <w:rFonts w:ascii="Book Antiqua" w:hAnsi="Book Antiqua"/>
        </w:rPr>
        <w:t xml:space="preserve"> 2011; </w:t>
      </w:r>
      <w:r w:rsidRPr="006E3315">
        <w:rPr>
          <w:rFonts w:ascii="Book Antiqua" w:hAnsi="Book Antiqua"/>
          <w:b/>
        </w:rPr>
        <w:t>60</w:t>
      </w:r>
      <w:r w:rsidRPr="006E3315">
        <w:rPr>
          <w:rFonts w:ascii="Book Antiqua" w:hAnsi="Book Antiqua"/>
        </w:rPr>
        <w:t>: 1373-1381 [PMID: 21739118 DOI: 10.1007/s00262-011-1068-5]</w:t>
      </w:r>
    </w:p>
    <w:p w14:paraId="136F9CE8"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2 </w:t>
      </w:r>
      <w:r w:rsidRPr="006E3315">
        <w:rPr>
          <w:rFonts w:ascii="Book Antiqua" w:hAnsi="Book Antiqua"/>
          <w:b/>
        </w:rPr>
        <w:t>Blagosklonny MV</w:t>
      </w:r>
      <w:r w:rsidRPr="006E3315">
        <w:rPr>
          <w:rFonts w:ascii="Book Antiqua" w:hAnsi="Book Antiqua"/>
        </w:rPr>
        <w:t xml:space="preserve">. Answering the ultimate question "what is the proximal cause of aging?". </w:t>
      </w:r>
      <w:r w:rsidRPr="006E3315">
        <w:rPr>
          <w:rFonts w:ascii="Book Antiqua" w:hAnsi="Book Antiqua"/>
          <w:i/>
        </w:rPr>
        <w:t>Aging</w:t>
      </w:r>
      <w:r w:rsidRPr="00422113">
        <w:rPr>
          <w:rFonts w:ascii="Book Antiqua" w:hAnsi="Book Antiqua"/>
        </w:rPr>
        <w:t xml:space="preserve"> (Albany NY)</w:t>
      </w:r>
      <w:r w:rsidRPr="006E3315">
        <w:rPr>
          <w:rFonts w:ascii="Book Antiqua" w:hAnsi="Book Antiqua"/>
        </w:rPr>
        <w:t xml:space="preserve"> 2012; </w:t>
      </w:r>
      <w:r w:rsidRPr="006E3315">
        <w:rPr>
          <w:rFonts w:ascii="Book Antiqua" w:hAnsi="Book Antiqua"/>
          <w:b/>
        </w:rPr>
        <w:t>4</w:t>
      </w:r>
      <w:r w:rsidRPr="006E3315">
        <w:rPr>
          <w:rFonts w:ascii="Book Antiqua" w:hAnsi="Book Antiqua"/>
        </w:rPr>
        <w:t>: 861-877 [PMID: 23425777 DOI: 10.18632/aging.100525]</w:t>
      </w:r>
    </w:p>
    <w:p w14:paraId="3BE33956"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3 </w:t>
      </w:r>
      <w:r w:rsidRPr="006E3315">
        <w:rPr>
          <w:rFonts w:ascii="Book Antiqua" w:hAnsi="Book Antiqua"/>
          <w:b/>
        </w:rPr>
        <w:t>Egea J</w:t>
      </w:r>
      <w:r w:rsidRPr="006E3315">
        <w:rPr>
          <w:rFonts w:ascii="Book Antiqua" w:hAnsi="Book Antiqua"/>
        </w:rPr>
        <w:t xml:space="preserve">, Fabregat I, Frapart YM, Ghezzi P, Görlach A, Kietzmann T, Kubaichuk K, Knaus UG, Lopez MG, Olaso-Gonzalez G, Petry A, Schulz R, Vina J, Winyard P, Abbas K, Ademowo OS, Afonso CB, Andreadou I, Antelmann H, Antunes F, Aslan M, Bachschmid MM, Barbosa RM, Belousov V, Berndt C, Bernlohr D, Bertrán E, Bindoli A, Bottari SP, Brito PM, Carrara G, Casas AI, Chatzi A, Chondrogianni N, Conrad M, Cooke MS, Costa JG, Cuadrado A, My-Chan Dang P, De Smet B, Debelec-Butuner B, Dias IHK, Dunn JD, Edson AJ, El Assar M, El-Benna J, Ferdinandy P, Fernandes AS, Fladmark KE, Förstermann U, Giniatullin R, Giricz Z, Görbe A, Griffiths H, Hampl V, Hanf A, Herget J, Hernansanz-Agustín P, Hillion M, Huang J, Ilikay S, Jansen-Dürr P, Jaquet V, Joles JA, Kalyanaraman B, Kaminskyy D, Karbaschi M, Kleanthous M, Klotz LO, Korac B, Korkmaz KS, Koziel R, Kračun D, Krause KH, Křen V, Krieg T, Laranjinha J, Lazou A, Li H, Martínez-Ruiz A, Matsui R, McBean GJ, Meredith SP, Messens J, Miguel V, Mikhed Y, Milisav I, Milković L, Miranda-Vizuete A, Mojović M, Monsalve M, Mouthuy PA, Mulvey J, Münzel T, Muzykantov V, Nguyen ITN, Oelze M, Oliveira NG, Palmeira CM, Papaevgeniou N, Pavićević A, Pedre B, Peyrot F, Phylactides M, Pircalabioru GG, Pitt AR, Poulsen HE, Prieto I, Rigobello MP, Robledinos-Antón N, Rodríguez-Mañas L, Rolo AP, Rousset F, Ruskovska T, Saraiva N, Sasson S, Schröder K, Semen K, Seredenina T, Shakirzyanova A, Smith GL, Soldati T, Sousa BC, Spickett CM, Stancic A, Stasia MJ, Steinbrenner H, Stepanić V, Steven S, Tokatlidis K, Tuncay E, Turan B, Ursini F, Vacek J, Vajnerova O, Valentová K, Van Breusegem F, Varisli L, Veal EA, Yalçın AS, Yelisyeyeva O, Žarković N, Zatloukalová M, Zielonka J, Touyz RM, Papapetropoulos A, Grune T, Lamas S, Schmidt HHHW, Di Lisa F, Daiber A. </w:t>
      </w:r>
      <w:r w:rsidRPr="006E3315">
        <w:rPr>
          <w:rFonts w:ascii="Book Antiqua" w:hAnsi="Book Antiqua"/>
        </w:rPr>
        <w:lastRenderedPageBreak/>
        <w:t xml:space="preserve">European contribution to the study of ROS: A summary of the findings and prospects for the future from the COST action BM1203 (EU-ROS). </w:t>
      </w:r>
      <w:r w:rsidRPr="006E3315">
        <w:rPr>
          <w:rFonts w:ascii="Book Antiqua" w:hAnsi="Book Antiqua"/>
          <w:i/>
        </w:rPr>
        <w:t>Redox Biol</w:t>
      </w:r>
      <w:r w:rsidRPr="006E3315">
        <w:rPr>
          <w:rFonts w:ascii="Book Antiqua" w:hAnsi="Book Antiqua"/>
        </w:rPr>
        <w:t xml:space="preserve"> 2017; </w:t>
      </w:r>
      <w:r w:rsidRPr="006E3315">
        <w:rPr>
          <w:rFonts w:ascii="Book Antiqua" w:hAnsi="Book Antiqua"/>
          <w:b/>
        </w:rPr>
        <w:t>13</w:t>
      </w:r>
      <w:r w:rsidRPr="006E3315">
        <w:rPr>
          <w:rFonts w:ascii="Book Antiqua" w:hAnsi="Book Antiqua"/>
        </w:rPr>
        <w:t>: 94-162 [PMID: 28577489 DOI: 10.1016/j.redox.2017.05.007]</w:t>
      </w:r>
    </w:p>
    <w:p w14:paraId="171B75E8"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4 </w:t>
      </w:r>
      <w:r w:rsidRPr="006E3315">
        <w:rPr>
          <w:rFonts w:ascii="Book Antiqua" w:hAnsi="Book Antiqua"/>
          <w:b/>
        </w:rPr>
        <w:t>Torrão RC</w:t>
      </w:r>
      <w:r w:rsidRPr="006E3315">
        <w:rPr>
          <w:rFonts w:ascii="Book Antiqua" w:hAnsi="Book Antiqua"/>
        </w:rPr>
        <w:t xml:space="preserve">, Bennett SJ, Brown JE, Griffiths HR. Does metabolic reprogramming underpin age-associated changes in T cell phenotype and function? </w:t>
      </w:r>
      <w:r w:rsidRPr="006E3315">
        <w:rPr>
          <w:rFonts w:ascii="Book Antiqua" w:hAnsi="Book Antiqua"/>
          <w:i/>
        </w:rPr>
        <w:t>Free Radic Biol Med</w:t>
      </w:r>
      <w:r w:rsidRPr="006E3315">
        <w:rPr>
          <w:rFonts w:ascii="Book Antiqua" w:hAnsi="Book Antiqua"/>
        </w:rPr>
        <w:t xml:space="preserve"> 2014; </w:t>
      </w:r>
      <w:r w:rsidRPr="006E3315">
        <w:rPr>
          <w:rFonts w:ascii="Book Antiqua" w:hAnsi="Book Antiqua"/>
          <w:b/>
        </w:rPr>
        <w:t>71</w:t>
      </w:r>
      <w:r w:rsidRPr="006E3315">
        <w:rPr>
          <w:rFonts w:ascii="Book Antiqua" w:hAnsi="Book Antiqua"/>
        </w:rPr>
        <w:t>: 26-35 [PMID: 24632379 DOI: 10.1016/j.freeradbiomed.2014.03.002]</w:t>
      </w:r>
    </w:p>
    <w:p w14:paraId="1386FAB5" w14:textId="77777777" w:rsidR="006E3315" w:rsidRPr="0007090C" w:rsidRDefault="006E3315" w:rsidP="008C54E8">
      <w:pPr>
        <w:snapToGrid w:val="0"/>
        <w:spacing w:line="360" w:lineRule="auto"/>
        <w:jc w:val="both"/>
        <w:rPr>
          <w:rFonts w:ascii="Book Antiqua" w:hAnsi="Book Antiqua"/>
          <w:lang w:val="it-IT"/>
        </w:rPr>
      </w:pPr>
      <w:r w:rsidRPr="006E3315">
        <w:rPr>
          <w:rFonts w:ascii="Book Antiqua" w:hAnsi="Book Antiqua"/>
        </w:rPr>
        <w:t xml:space="preserve">5 </w:t>
      </w:r>
      <w:r w:rsidRPr="006E3315">
        <w:rPr>
          <w:rFonts w:ascii="Book Antiqua" w:hAnsi="Book Antiqua"/>
          <w:b/>
        </w:rPr>
        <w:t>Baetta R</w:t>
      </w:r>
      <w:r w:rsidRPr="006E3315">
        <w:rPr>
          <w:rFonts w:ascii="Book Antiqua" w:hAnsi="Book Antiqua"/>
        </w:rPr>
        <w:t xml:space="preserve">, Pontremoli M, Martinez Fernandez A, Spickett CM, Banfi C. Proteomics in cardiovascular diseases: Unveiling sex and gender differences in the era of precision medicine. </w:t>
      </w:r>
      <w:r w:rsidRPr="0007090C">
        <w:rPr>
          <w:rFonts w:ascii="Book Antiqua" w:hAnsi="Book Antiqua"/>
          <w:i/>
          <w:lang w:val="it-IT"/>
        </w:rPr>
        <w:t>J Proteomics</w:t>
      </w:r>
      <w:r w:rsidRPr="0007090C">
        <w:rPr>
          <w:rFonts w:ascii="Book Antiqua" w:hAnsi="Book Antiqua"/>
          <w:lang w:val="it-IT"/>
        </w:rPr>
        <w:t xml:space="preserve"> 2018; </w:t>
      </w:r>
      <w:r w:rsidRPr="0007090C">
        <w:rPr>
          <w:rFonts w:ascii="Book Antiqua" w:hAnsi="Book Antiqua"/>
          <w:b/>
          <w:lang w:val="it-IT"/>
        </w:rPr>
        <w:t>173</w:t>
      </w:r>
      <w:r w:rsidRPr="0007090C">
        <w:rPr>
          <w:rFonts w:ascii="Book Antiqua" w:hAnsi="Book Antiqua"/>
          <w:lang w:val="it-IT"/>
        </w:rPr>
        <w:t>: 62-76 [PMID: 29180046 DOI: 10.1016/j.jprot.2017.11.012]</w:t>
      </w:r>
    </w:p>
    <w:p w14:paraId="3C4CB8C9" w14:textId="77777777" w:rsidR="006E3315" w:rsidRPr="006E3315" w:rsidRDefault="006E3315" w:rsidP="008C54E8">
      <w:pPr>
        <w:snapToGrid w:val="0"/>
        <w:spacing w:line="360" w:lineRule="auto"/>
        <w:jc w:val="both"/>
        <w:rPr>
          <w:rFonts w:ascii="Book Antiqua" w:hAnsi="Book Antiqua"/>
        </w:rPr>
      </w:pPr>
      <w:r w:rsidRPr="0007090C">
        <w:rPr>
          <w:rFonts w:ascii="Book Antiqua" w:hAnsi="Book Antiqua"/>
          <w:lang w:val="it-IT"/>
        </w:rPr>
        <w:t xml:space="preserve">6 </w:t>
      </w:r>
      <w:r w:rsidRPr="0007090C">
        <w:rPr>
          <w:rFonts w:ascii="Book Antiqua" w:hAnsi="Book Antiqua"/>
          <w:b/>
          <w:lang w:val="it-IT"/>
        </w:rPr>
        <w:t>Contasta I</w:t>
      </w:r>
      <w:r w:rsidRPr="0007090C">
        <w:rPr>
          <w:rFonts w:ascii="Book Antiqua" w:hAnsi="Book Antiqua"/>
          <w:lang w:val="it-IT"/>
        </w:rPr>
        <w:t xml:space="preserve">, Totaro R, Pellegrini P, Del Beato T, Carolei A, Berghella AM. </w:t>
      </w:r>
      <w:r w:rsidRPr="006E3315">
        <w:rPr>
          <w:rFonts w:ascii="Book Antiqua" w:hAnsi="Book Antiqua"/>
        </w:rPr>
        <w:t xml:space="preserve">A gender-related action of IFNbeta-therapy was found in multiple sclerosis. </w:t>
      </w:r>
      <w:r w:rsidRPr="006E3315">
        <w:rPr>
          <w:rFonts w:ascii="Book Antiqua" w:hAnsi="Book Antiqua"/>
          <w:i/>
        </w:rPr>
        <w:t>J Transl Med</w:t>
      </w:r>
      <w:r w:rsidRPr="006E3315">
        <w:rPr>
          <w:rFonts w:ascii="Book Antiqua" w:hAnsi="Book Antiqua"/>
        </w:rPr>
        <w:t xml:space="preserve"> 2012; </w:t>
      </w:r>
      <w:r w:rsidRPr="006E3315">
        <w:rPr>
          <w:rFonts w:ascii="Book Antiqua" w:hAnsi="Book Antiqua"/>
          <w:b/>
        </w:rPr>
        <w:t>10</w:t>
      </w:r>
      <w:r w:rsidRPr="006E3315">
        <w:rPr>
          <w:rFonts w:ascii="Book Antiqua" w:hAnsi="Book Antiqua"/>
        </w:rPr>
        <w:t>: 223 [PMID: 23148845 DOI: 10.1186/1479-5876-10-223]</w:t>
      </w:r>
    </w:p>
    <w:p w14:paraId="6659D859"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7 </w:t>
      </w:r>
      <w:r w:rsidRPr="006E3315">
        <w:rPr>
          <w:rFonts w:ascii="Book Antiqua" w:hAnsi="Book Antiqua"/>
          <w:b/>
        </w:rPr>
        <w:t>Uno K</w:t>
      </w:r>
      <w:r w:rsidRPr="006E3315">
        <w:rPr>
          <w:rFonts w:ascii="Book Antiqua" w:hAnsi="Book Antiqua"/>
        </w:rPr>
        <w:t xml:space="preserve">, Okuno K, Kato T, Tada-Oikawa S, Kan N, Saotome H, Yagi K, Hamuro J. Pre-operative intracellular glutathione levels of peripheral monocytes as a biomarker to predict survival of colorectal cancer patients. </w:t>
      </w:r>
      <w:r w:rsidRPr="006E3315">
        <w:rPr>
          <w:rFonts w:ascii="Book Antiqua" w:hAnsi="Book Antiqua"/>
          <w:i/>
        </w:rPr>
        <w:t>Cancer Immunol Immunother</w:t>
      </w:r>
      <w:r w:rsidRPr="006E3315">
        <w:rPr>
          <w:rFonts w:ascii="Book Antiqua" w:hAnsi="Book Antiqua"/>
        </w:rPr>
        <w:t xml:space="preserve"> 2010; </w:t>
      </w:r>
      <w:r w:rsidRPr="006E3315">
        <w:rPr>
          <w:rFonts w:ascii="Book Antiqua" w:hAnsi="Book Antiqua"/>
          <w:b/>
        </w:rPr>
        <w:t>59</w:t>
      </w:r>
      <w:r w:rsidRPr="006E3315">
        <w:rPr>
          <w:rFonts w:ascii="Book Antiqua" w:hAnsi="Book Antiqua"/>
        </w:rPr>
        <w:t>: 1457-1465 [PMID: 20514541 DOI: 10.1007/s00262-010-0868-3]</w:t>
      </w:r>
    </w:p>
    <w:p w14:paraId="1FCDCCAA"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8 </w:t>
      </w:r>
      <w:r w:rsidRPr="006E3315">
        <w:rPr>
          <w:rFonts w:ascii="Book Antiqua" w:hAnsi="Book Antiqua"/>
          <w:b/>
        </w:rPr>
        <w:t>Schwertassek U</w:t>
      </w:r>
      <w:r w:rsidRPr="006E3315">
        <w:rPr>
          <w:rFonts w:ascii="Book Antiqua" w:hAnsi="Book Antiqua"/>
        </w:rPr>
        <w:t xml:space="preserve">, Balmer Y, Gutscher M, Weingarten L, Preuss M, Engelhard J, Winkler M, Dick TP. Selective redox regulation of cytokine receptor signaling by extracellular thioredoxin-1. </w:t>
      </w:r>
      <w:r w:rsidRPr="006E3315">
        <w:rPr>
          <w:rFonts w:ascii="Book Antiqua" w:hAnsi="Book Antiqua"/>
          <w:i/>
        </w:rPr>
        <w:t>EMBO J</w:t>
      </w:r>
      <w:r w:rsidRPr="006E3315">
        <w:rPr>
          <w:rFonts w:ascii="Book Antiqua" w:hAnsi="Book Antiqua"/>
        </w:rPr>
        <w:t xml:space="preserve"> 2007; </w:t>
      </w:r>
      <w:r w:rsidRPr="006E3315">
        <w:rPr>
          <w:rFonts w:ascii="Book Antiqua" w:hAnsi="Book Antiqua"/>
          <w:b/>
        </w:rPr>
        <w:t>26</w:t>
      </w:r>
      <w:r w:rsidRPr="006E3315">
        <w:rPr>
          <w:rFonts w:ascii="Book Antiqua" w:hAnsi="Book Antiqua"/>
        </w:rPr>
        <w:t>: 3086-3097 [PMID: 17557078 DOI: 10.1038/sj.emboj.7601746]</w:t>
      </w:r>
    </w:p>
    <w:p w14:paraId="353152AD"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9 </w:t>
      </w:r>
      <w:r w:rsidRPr="006E3315">
        <w:rPr>
          <w:rFonts w:ascii="Book Antiqua" w:hAnsi="Book Antiqua"/>
          <w:b/>
        </w:rPr>
        <w:t>Simhadri VL</w:t>
      </w:r>
      <w:r w:rsidRPr="006E3315">
        <w:rPr>
          <w:rFonts w:ascii="Book Antiqua" w:hAnsi="Book Antiqua"/>
        </w:rPr>
        <w:t xml:space="preserve">, Hansen HP, Simhadri VR, Reiners KS, Bessler M, Engert A, von Strandmann EP. A novel role for reciprocal CD30-CD30L signaling in the cross-talk between natural killer and dendritic cells. </w:t>
      </w:r>
      <w:r w:rsidRPr="006E3315">
        <w:rPr>
          <w:rFonts w:ascii="Book Antiqua" w:hAnsi="Book Antiqua"/>
          <w:i/>
        </w:rPr>
        <w:t>Biol Chem</w:t>
      </w:r>
      <w:r w:rsidRPr="006E3315">
        <w:rPr>
          <w:rFonts w:ascii="Book Antiqua" w:hAnsi="Book Antiqua"/>
        </w:rPr>
        <w:t xml:space="preserve"> 2012; </w:t>
      </w:r>
      <w:r w:rsidRPr="006E3315">
        <w:rPr>
          <w:rFonts w:ascii="Book Antiqua" w:hAnsi="Book Antiqua"/>
          <w:b/>
        </w:rPr>
        <w:t>393</w:t>
      </w:r>
      <w:r w:rsidRPr="006E3315">
        <w:rPr>
          <w:rFonts w:ascii="Book Antiqua" w:hAnsi="Book Antiqua"/>
        </w:rPr>
        <w:t>: 101-106 [PMID: 22628304 DOI: 10.1515/BC-2011-213]</w:t>
      </w:r>
    </w:p>
    <w:p w14:paraId="403D842D"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10 </w:t>
      </w:r>
      <w:r w:rsidRPr="006E3315">
        <w:rPr>
          <w:rFonts w:ascii="Book Antiqua" w:hAnsi="Book Antiqua"/>
          <w:b/>
        </w:rPr>
        <w:t>Pellegrini P</w:t>
      </w:r>
      <w:r w:rsidRPr="006E3315">
        <w:rPr>
          <w:rFonts w:ascii="Book Antiqua" w:hAnsi="Book Antiqua"/>
        </w:rPr>
        <w:t xml:space="preserve">, Berghella AM, Contasta I, Adorno D. CD30 antigen: not a physiological marker for TH2 cells but an important costimulator molecule in the regulation of the balance between TH1/TH2 response. </w:t>
      </w:r>
      <w:r w:rsidRPr="006E3315">
        <w:rPr>
          <w:rFonts w:ascii="Book Antiqua" w:hAnsi="Book Antiqua"/>
          <w:i/>
        </w:rPr>
        <w:t>Transpl Immunol</w:t>
      </w:r>
      <w:r w:rsidRPr="006E3315">
        <w:rPr>
          <w:rFonts w:ascii="Book Antiqua" w:hAnsi="Book Antiqua"/>
        </w:rPr>
        <w:t xml:space="preserve"> 2003; </w:t>
      </w:r>
      <w:r w:rsidRPr="006E3315">
        <w:rPr>
          <w:rFonts w:ascii="Book Antiqua" w:hAnsi="Book Antiqua"/>
          <w:b/>
        </w:rPr>
        <w:t>12</w:t>
      </w:r>
      <w:r w:rsidRPr="006E3315">
        <w:rPr>
          <w:rFonts w:ascii="Book Antiqua" w:hAnsi="Book Antiqua"/>
        </w:rPr>
        <w:t>: 49-61 [PMID: 14551032 DOI: 10.1016/S0966-3274(03)00014-5]</w:t>
      </w:r>
    </w:p>
    <w:p w14:paraId="13047736"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11 </w:t>
      </w:r>
      <w:r w:rsidRPr="006E3315">
        <w:rPr>
          <w:rFonts w:ascii="Book Antiqua" w:hAnsi="Book Antiqua"/>
          <w:b/>
        </w:rPr>
        <w:t>Lazarevic V</w:t>
      </w:r>
      <w:r w:rsidRPr="006E3315">
        <w:rPr>
          <w:rFonts w:ascii="Book Antiqua" w:hAnsi="Book Antiqua"/>
        </w:rPr>
        <w:t xml:space="preserve">, Glimcher LH, Lord GM. T-bet: a bridge between innate and adaptive immunity. </w:t>
      </w:r>
      <w:r w:rsidRPr="006E3315">
        <w:rPr>
          <w:rFonts w:ascii="Book Antiqua" w:hAnsi="Book Antiqua"/>
          <w:i/>
        </w:rPr>
        <w:t>Nat Rev Immunol</w:t>
      </w:r>
      <w:r w:rsidRPr="006E3315">
        <w:rPr>
          <w:rFonts w:ascii="Book Antiqua" w:hAnsi="Book Antiqua"/>
        </w:rPr>
        <w:t xml:space="preserve"> 2013; </w:t>
      </w:r>
      <w:r w:rsidRPr="006E3315">
        <w:rPr>
          <w:rFonts w:ascii="Book Antiqua" w:hAnsi="Book Antiqua"/>
          <w:b/>
        </w:rPr>
        <w:t>13</w:t>
      </w:r>
      <w:r w:rsidRPr="006E3315">
        <w:rPr>
          <w:rFonts w:ascii="Book Antiqua" w:hAnsi="Book Antiqua"/>
        </w:rPr>
        <w:t>: 777-789 [PMID: 24113868 DOI: 10.1038/nri3536]</w:t>
      </w:r>
    </w:p>
    <w:p w14:paraId="2D5E0352"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lastRenderedPageBreak/>
        <w:t xml:space="preserve">12 </w:t>
      </w:r>
      <w:r w:rsidRPr="006E3315">
        <w:rPr>
          <w:rFonts w:ascii="Book Antiqua" w:hAnsi="Book Antiqua"/>
          <w:b/>
        </w:rPr>
        <w:t>Seki N</w:t>
      </w:r>
      <w:r w:rsidRPr="006E3315">
        <w:rPr>
          <w:rFonts w:ascii="Book Antiqua" w:hAnsi="Book Antiqua"/>
        </w:rPr>
        <w:t xml:space="preserve">, Miyazaki M, Suzuki W, Hayashi K, Arima K, Myburgh E, Izuhara K, Brombacher F, Kubo M. IL-4-induced GATA-3 expression is a time-restricted instruction switch for Th2 cell differentiation. </w:t>
      </w:r>
      <w:r w:rsidRPr="006E3315">
        <w:rPr>
          <w:rFonts w:ascii="Book Antiqua" w:hAnsi="Book Antiqua"/>
          <w:i/>
        </w:rPr>
        <w:t>J Immunol</w:t>
      </w:r>
      <w:r w:rsidRPr="006E3315">
        <w:rPr>
          <w:rFonts w:ascii="Book Antiqua" w:hAnsi="Book Antiqua"/>
        </w:rPr>
        <w:t xml:space="preserve"> 2004; </w:t>
      </w:r>
      <w:r w:rsidRPr="006E3315">
        <w:rPr>
          <w:rFonts w:ascii="Book Antiqua" w:hAnsi="Book Antiqua"/>
          <w:b/>
        </w:rPr>
        <w:t>172</w:t>
      </w:r>
      <w:r w:rsidRPr="006E3315">
        <w:rPr>
          <w:rFonts w:ascii="Book Antiqua" w:hAnsi="Book Antiqua"/>
        </w:rPr>
        <w:t>: 6158-6166 [PMID: 15128803]</w:t>
      </w:r>
    </w:p>
    <w:p w14:paraId="0AB23D2E"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13 </w:t>
      </w:r>
      <w:r w:rsidRPr="006E3315">
        <w:rPr>
          <w:rFonts w:ascii="Book Antiqua" w:hAnsi="Book Antiqua"/>
          <w:b/>
        </w:rPr>
        <w:t>Li C</w:t>
      </w:r>
      <w:r w:rsidRPr="006E3315">
        <w:rPr>
          <w:rFonts w:ascii="Book Antiqua" w:hAnsi="Book Antiqua"/>
        </w:rPr>
        <w:t xml:space="preserve">, Ebert PJ, Li QJ. T cell receptor (TCR) and transforming growth factor β (TGF-β) signaling converge on DNA (cytosine-5)-methyltransferase to control forkhead box protein 3 (foxp3) locus methylation and inducible regulatory T cell differentiation. </w:t>
      </w:r>
      <w:r w:rsidRPr="006E3315">
        <w:rPr>
          <w:rFonts w:ascii="Book Antiqua" w:hAnsi="Book Antiqua"/>
          <w:i/>
        </w:rPr>
        <w:t>J Biol Chem</w:t>
      </w:r>
      <w:r w:rsidRPr="006E3315">
        <w:rPr>
          <w:rFonts w:ascii="Book Antiqua" w:hAnsi="Book Antiqua"/>
        </w:rPr>
        <w:t xml:space="preserve"> 2013; </w:t>
      </w:r>
      <w:r w:rsidRPr="006E3315">
        <w:rPr>
          <w:rFonts w:ascii="Book Antiqua" w:hAnsi="Book Antiqua"/>
          <w:b/>
        </w:rPr>
        <w:t>288</w:t>
      </w:r>
      <w:r w:rsidRPr="006E3315">
        <w:rPr>
          <w:rFonts w:ascii="Book Antiqua" w:hAnsi="Book Antiqua"/>
        </w:rPr>
        <w:t>: 19127-19139 [PMID: 23687305 DOI: 10.1074/jbc.M113.453357]</w:t>
      </w:r>
    </w:p>
    <w:p w14:paraId="72E1BFC3"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14 </w:t>
      </w:r>
      <w:r w:rsidRPr="006E3315">
        <w:rPr>
          <w:rFonts w:ascii="Book Antiqua" w:hAnsi="Book Antiqua"/>
          <w:b/>
        </w:rPr>
        <w:t>Mucida D</w:t>
      </w:r>
      <w:r w:rsidRPr="006E3315">
        <w:rPr>
          <w:rFonts w:ascii="Book Antiqua" w:hAnsi="Book Antiqua"/>
        </w:rPr>
        <w:t xml:space="preserve">, Park Y, Kim G, Turovskaya O, Scott I, Kronenberg M, Cheroutre H. Reciprocal TH17 and regulatory T cell differentiation mediated by retinoic acid. </w:t>
      </w:r>
      <w:r w:rsidRPr="006E3315">
        <w:rPr>
          <w:rFonts w:ascii="Book Antiqua" w:hAnsi="Book Antiqua"/>
          <w:i/>
        </w:rPr>
        <w:t>Science</w:t>
      </w:r>
      <w:r w:rsidRPr="006E3315">
        <w:rPr>
          <w:rFonts w:ascii="Book Antiqua" w:hAnsi="Book Antiqua"/>
        </w:rPr>
        <w:t xml:space="preserve"> 2007; </w:t>
      </w:r>
      <w:r w:rsidRPr="006E3315">
        <w:rPr>
          <w:rFonts w:ascii="Book Antiqua" w:hAnsi="Book Antiqua"/>
          <w:b/>
        </w:rPr>
        <w:t>317</w:t>
      </w:r>
      <w:r w:rsidRPr="006E3315">
        <w:rPr>
          <w:rFonts w:ascii="Book Antiqua" w:hAnsi="Book Antiqua"/>
        </w:rPr>
        <w:t>: 256-260 [PMID: 17569825 DOI: 10.1126/science.1145697]</w:t>
      </w:r>
    </w:p>
    <w:p w14:paraId="59868291"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15 </w:t>
      </w:r>
      <w:r w:rsidRPr="006E3315">
        <w:rPr>
          <w:rFonts w:ascii="Book Antiqua" w:hAnsi="Book Antiqua"/>
          <w:b/>
        </w:rPr>
        <w:t>Chen Z</w:t>
      </w:r>
      <w:r w:rsidRPr="006E3315">
        <w:rPr>
          <w:rFonts w:ascii="Book Antiqua" w:hAnsi="Book Antiqua"/>
        </w:rPr>
        <w:t xml:space="preserve">, Laurence A, O'Shea JJ. Signal transduction pathways and transcriptional regulation in the control of Th17 differentiation. </w:t>
      </w:r>
      <w:r w:rsidRPr="006E3315">
        <w:rPr>
          <w:rFonts w:ascii="Book Antiqua" w:hAnsi="Book Antiqua"/>
          <w:i/>
        </w:rPr>
        <w:t>Semin Immunol</w:t>
      </w:r>
      <w:r w:rsidRPr="006E3315">
        <w:rPr>
          <w:rFonts w:ascii="Book Antiqua" w:hAnsi="Book Antiqua"/>
        </w:rPr>
        <w:t xml:space="preserve"> 2007; </w:t>
      </w:r>
      <w:r w:rsidRPr="006E3315">
        <w:rPr>
          <w:rFonts w:ascii="Book Antiqua" w:hAnsi="Book Antiqua"/>
          <w:b/>
        </w:rPr>
        <w:t>19</w:t>
      </w:r>
      <w:r w:rsidRPr="006E3315">
        <w:rPr>
          <w:rFonts w:ascii="Book Antiqua" w:hAnsi="Book Antiqua"/>
        </w:rPr>
        <w:t>: 400-408 [PMID: 18166487 DOI: 10.1016/j.smim.2007.10.015]</w:t>
      </w:r>
    </w:p>
    <w:p w14:paraId="184BCFB7" w14:textId="77777777" w:rsidR="006E3315" w:rsidRPr="0007090C" w:rsidRDefault="006E3315" w:rsidP="008C54E8">
      <w:pPr>
        <w:snapToGrid w:val="0"/>
        <w:spacing w:line="360" w:lineRule="auto"/>
        <w:jc w:val="both"/>
        <w:rPr>
          <w:rFonts w:ascii="Book Antiqua" w:hAnsi="Book Antiqua"/>
          <w:lang w:val="it-IT"/>
        </w:rPr>
      </w:pPr>
      <w:r w:rsidRPr="006E3315">
        <w:rPr>
          <w:rFonts w:ascii="Book Antiqua" w:hAnsi="Book Antiqua"/>
        </w:rPr>
        <w:t xml:space="preserve">16 </w:t>
      </w:r>
      <w:r w:rsidRPr="006E3315">
        <w:rPr>
          <w:rFonts w:ascii="Book Antiqua" w:hAnsi="Book Antiqua"/>
          <w:b/>
        </w:rPr>
        <w:t>Zhu J</w:t>
      </w:r>
      <w:r w:rsidRPr="006E3315">
        <w:rPr>
          <w:rFonts w:ascii="Book Antiqua" w:hAnsi="Book Antiqua"/>
        </w:rPr>
        <w:t xml:space="preserve">, Paul WE. Heterogeneity and plasticity of T helper cells. </w:t>
      </w:r>
      <w:r w:rsidRPr="0007090C">
        <w:rPr>
          <w:rFonts w:ascii="Book Antiqua" w:hAnsi="Book Antiqua"/>
          <w:i/>
          <w:lang w:val="it-IT"/>
        </w:rPr>
        <w:t>Cell Res</w:t>
      </w:r>
      <w:r w:rsidRPr="0007090C">
        <w:rPr>
          <w:rFonts w:ascii="Book Antiqua" w:hAnsi="Book Antiqua"/>
          <w:lang w:val="it-IT"/>
        </w:rPr>
        <w:t xml:space="preserve"> 2010; </w:t>
      </w:r>
      <w:r w:rsidRPr="0007090C">
        <w:rPr>
          <w:rFonts w:ascii="Book Antiqua" w:hAnsi="Book Antiqua"/>
          <w:b/>
          <w:lang w:val="it-IT"/>
        </w:rPr>
        <w:t>20</w:t>
      </w:r>
      <w:r w:rsidRPr="0007090C">
        <w:rPr>
          <w:rFonts w:ascii="Book Antiqua" w:hAnsi="Book Antiqua"/>
          <w:lang w:val="it-IT"/>
        </w:rPr>
        <w:t>: 4-12 [PMID: 20010916 DOI: 10.1038/cr.2009.138]</w:t>
      </w:r>
    </w:p>
    <w:p w14:paraId="2F6C6D8F" w14:textId="77777777" w:rsidR="006E3315" w:rsidRPr="006E3315" w:rsidRDefault="006E3315" w:rsidP="008C54E8">
      <w:pPr>
        <w:snapToGrid w:val="0"/>
        <w:spacing w:line="360" w:lineRule="auto"/>
        <w:jc w:val="both"/>
        <w:rPr>
          <w:rFonts w:ascii="Book Antiqua" w:hAnsi="Book Antiqua"/>
        </w:rPr>
      </w:pPr>
      <w:r w:rsidRPr="0007090C">
        <w:rPr>
          <w:rFonts w:ascii="Book Antiqua" w:hAnsi="Book Antiqua"/>
          <w:lang w:val="it-IT"/>
        </w:rPr>
        <w:t xml:space="preserve">17 </w:t>
      </w:r>
      <w:r w:rsidRPr="0007090C">
        <w:rPr>
          <w:rFonts w:ascii="Book Antiqua" w:hAnsi="Book Antiqua"/>
          <w:b/>
          <w:lang w:val="it-IT"/>
        </w:rPr>
        <w:t>Pellegrini P</w:t>
      </w:r>
      <w:r w:rsidRPr="0007090C">
        <w:rPr>
          <w:rFonts w:ascii="Book Antiqua" w:hAnsi="Book Antiqua"/>
          <w:lang w:val="it-IT"/>
        </w:rPr>
        <w:t xml:space="preserve">, Contasta I, Del Beato T, Ciccone F, Berghella AM. </w:t>
      </w:r>
      <w:r w:rsidRPr="006E3315">
        <w:rPr>
          <w:rFonts w:ascii="Book Antiqua" w:hAnsi="Book Antiqua"/>
        </w:rPr>
        <w:t xml:space="preserve">Gender-specific cytokine pathways, targets, and biomarkers for the switch from health to adenoma and colorectal cancer. </w:t>
      </w:r>
      <w:r w:rsidRPr="006E3315">
        <w:rPr>
          <w:rFonts w:ascii="Book Antiqua" w:hAnsi="Book Antiqua"/>
          <w:i/>
        </w:rPr>
        <w:t>Clin Dev Immunol</w:t>
      </w:r>
      <w:r w:rsidRPr="006E3315">
        <w:rPr>
          <w:rFonts w:ascii="Book Antiqua" w:hAnsi="Book Antiqua"/>
        </w:rPr>
        <w:t xml:space="preserve"> 2011; </w:t>
      </w:r>
      <w:r w:rsidRPr="006E3315">
        <w:rPr>
          <w:rFonts w:ascii="Book Antiqua" w:hAnsi="Book Antiqua"/>
          <w:b/>
        </w:rPr>
        <w:t>2011</w:t>
      </w:r>
      <w:r w:rsidRPr="006E3315">
        <w:rPr>
          <w:rFonts w:ascii="Book Antiqua" w:hAnsi="Book Antiqua"/>
        </w:rPr>
        <w:t>: 819724 [PMID: 22235223 DOI: 10.1155/2011/819724]</w:t>
      </w:r>
    </w:p>
    <w:p w14:paraId="6DB3C4C3"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18 </w:t>
      </w:r>
      <w:r w:rsidRPr="006E3315">
        <w:rPr>
          <w:rFonts w:ascii="Book Antiqua" w:hAnsi="Book Antiqua"/>
          <w:b/>
        </w:rPr>
        <w:t>Cua DJ</w:t>
      </w:r>
      <w:r w:rsidRPr="006E3315">
        <w:rPr>
          <w:rFonts w:ascii="Book Antiqua" w:hAnsi="Book Antiqua"/>
        </w:rPr>
        <w:t xml:space="preserve">, Kastelein RA. TGF-beta, a 'double agent' in the immune pathology war. </w:t>
      </w:r>
      <w:r w:rsidRPr="006E3315">
        <w:rPr>
          <w:rFonts w:ascii="Book Antiqua" w:hAnsi="Book Antiqua"/>
          <w:i/>
        </w:rPr>
        <w:t>Nat Immunol</w:t>
      </w:r>
      <w:r w:rsidRPr="006E3315">
        <w:rPr>
          <w:rFonts w:ascii="Book Antiqua" w:hAnsi="Book Antiqua"/>
        </w:rPr>
        <w:t xml:space="preserve"> 2006; </w:t>
      </w:r>
      <w:r w:rsidRPr="006E3315">
        <w:rPr>
          <w:rFonts w:ascii="Book Antiqua" w:hAnsi="Book Antiqua"/>
          <w:b/>
        </w:rPr>
        <w:t>7</w:t>
      </w:r>
      <w:r w:rsidRPr="006E3315">
        <w:rPr>
          <w:rFonts w:ascii="Book Antiqua" w:hAnsi="Book Antiqua"/>
        </w:rPr>
        <w:t>: 557-559 [PMID: 16715066 DOI: 10.1038/ni0606-557]</w:t>
      </w:r>
    </w:p>
    <w:p w14:paraId="2490676D"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19 </w:t>
      </w:r>
      <w:r w:rsidRPr="006E3315">
        <w:rPr>
          <w:rFonts w:ascii="Book Antiqua" w:hAnsi="Book Antiqua"/>
          <w:b/>
        </w:rPr>
        <w:t>Mustacich D</w:t>
      </w:r>
      <w:r w:rsidRPr="006E3315">
        <w:rPr>
          <w:rFonts w:ascii="Book Antiqua" w:hAnsi="Book Antiqua"/>
        </w:rPr>
        <w:t xml:space="preserve">, Powis G. Thioredoxin reductase. </w:t>
      </w:r>
      <w:r w:rsidRPr="006E3315">
        <w:rPr>
          <w:rFonts w:ascii="Book Antiqua" w:hAnsi="Book Antiqua"/>
          <w:i/>
        </w:rPr>
        <w:t>Biochem J</w:t>
      </w:r>
      <w:r w:rsidRPr="006E3315">
        <w:rPr>
          <w:rFonts w:ascii="Book Antiqua" w:hAnsi="Book Antiqua"/>
        </w:rPr>
        <w:t xml:space="preserve"> 2000; </w:t>
      </w:r>
      <w:r w:rsidRPr="006E3315">
        <w:rPr>
          <w:rFonts w:ascii="Book Antiqua" w:hAnsi="Book Antiqua"/>
          <w:b/>
        </w:rPr>
        <w:t xml:space="preserve">346 </w:t>
      </w:r>
      <w:r w:rsidRPr="00422113">
        <w:rPr>
          <w:rFonts w:ascii="Book Antiqua" w:hAnsi="Book Antiqua"/>
        </w:rPr>
        <w:t xml:space="preserve">Pt 1: </w:t>
      </w:r>
      <w:r w:rsidRPr="006E3315">
        <w:rPr>
          <w:rFonts w:ascii="Book Antiqua" w:hAnsi="Book Antiqua"/>
        </w:rPr>
        <w:t>1-8 [PMID: 10657232 DOI: 10.1042/0264-6021:3460001]</w:t>
      </w:r>
    </w:p>
    <w:p w14:paraId="52DC7A5E"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20 </w:t>
      </w:r>
      <w:r w:rsidRPr="006E3315">
        <w:rPr>
          <w:rFonts w:ascii="Book Antiqua" w:hAnsi="Book Antiqua"/>
          <w:b/>
        </w:rPr>
        <w:t>Hargreaves PG</w:t>
      </w:r>
      <w:r w:rsidRPr="006E3315">
        <w:rPr>
          <w:rFonts w:ascii="Book Antiqua" w:hAnsi="Book Antiqua"/>
        </w:rPr>
        <w:t xml:space="preserve">, Al-Shamkhani A. Soluble CD30 binds to CD153 with high affinity and blocks transmembrane signaling by CD30. </w:t>
      </w:r>
      <w:r w:rsidRPr="006E3315">
        <w:rPr>
          <w:rFonts w:ascii="Book Antiqua" w:hAnsi="Book Antiqua"/>
          <w:i/>
        </w:rPr>
        <w:t>Eur J Immunol</w:t>
      </w:r>
      <w:r w:rsidRPr="006E3315">
        <w:rPr>
          <w:rFonts w:ascii="Book Antiqua" w:hAnsi="Book Antiqua"/>
        </w:rPr>
        <w:t xml:space="preserve"> 2002; </w:t>
      </w:r>
      <w:r w:rsidRPr="006E3315">
        <w:rPr>
          <w:rFonts w:ascii="Book Antiqua" w:hAnsi="Book Antiqua"/>
          <w:b/>
        </w:rPr>
        <w:t>32</w:t>
      </w:r>
      <w:r w:rsidRPr="006E3315">
        <w:rPr>
          <w:rFonts w:ascii="Book Antiqua" w:hAnsi="Book Antiqua"/>
        </w:rPr>
        <w:t>: 163-173 [PMID: 11754357 DOI: 10.1002/1521-4141(200201)32:13.0.CO;2-T]</w:t>
      </w:r>
    </w:p>
    <w:p w14:paraId="6F4F43B5"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21 </w:t>
      </w:r>
      <w:r w:rsidRPr="006E3315">
        <w:rPr>
          <w:rFonts w:ascii="Book Antiqua" w:hAnsi="Book Antiqua"/>
          <w:b/>
        </w:rPr>
        <w:t>Carrington M</w:t>
      </w:r>
      <w:r w:rsidRPr="006E3315">
        <w:rPr>
          <w:rFonts w:ascii="Book Antiqua" w:hAnsi="Book Antiqua"/>
        </w:rPr>
        <w:t xml:space="preserve">, Martin MP. The impact of variation at the KIR gene cluster on human disease. </w:t>
      </w:r>
      <w:r w:rsidRPr="006E3315">
        <w:rPr>
          <w:rFonts w:ascii="Book Antiqua" w:hAnsi="Book Antiqua"/>
          <w:i/>
        </w:rPr>
        <w:t>Curr Top Microbiol Immunol</w:t>
      </w:r>
      <w:r w:rsidRPr="006E3315">
        <w:rPr>
          <w:rFonts w:ascii="Book Antiqua" w:hAnsi="Book Antiqua"/>
        </w:rPr>
        <w:t xml:space="preserve"> 2006; </w:t>
      </w:r>
      <w:r w:rsidRPr="006E3315">
        <w:rPr>
          <w:rFonts w:ascii="Book Antiqua" w:hAnsi="Book Antiqua"/>
          <w:b/>
        </w:rPr>
        <w:t>298</w:t>
      </w:r>
      <w:r w:rsidRPr="006E3315">
        <w:rPr>
          <w:rFonts w:ascii="Book Antiqua" w:hAnsi="Book Antiqua"/>
        </w:rPr>
        <w:t>: 225-257 [PMID: 16329188 DOI: 10.1007/3-540-27743-9_12]</w:t>
      </w:r>
    </w:p>
    <w:p w14:paraId="4EE5759B"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lastRenderedPageBreak/>
        <w:t xml:space="preserve">22 </w:t>
      </w:r>
      <w:r w:rsidRPr="006E3315">
        <w:rPr>
          <w:rFonts w:ascii="Book Antiqua" w:hAnsi="Book Antiqua"/>
          <w:b/>
        </w:rPr>
        <w:t>Ravetch JV</w:t>
      </w:r>
      <w:r w:rsidRPr="006E3315">
        <w:rPr>
          <w:rFonts w:ascii="Book Antiqua" w:hAnsi="Book Antiqua"/>
        </w:rPr>
        <w:t xml:space="preserve">, Bolland S. IgG Fc receptors. </w:t>
      </w:r>
      <w:r w:rsidRPr="006E3315">
        <w:rPr>
          <w:rFonts w:ascii="Book Antiqua" w:hAnsi="Book Antiqua"/>
          <w:i/>
        </w:rPr>
        <w:t>Annu Rev Immunol</w:t>
      </w:r>
      <w:r w:rsidRPr="006E3315">
        <w:rPr>
          <w:rFonts w:ascii="Book Antiqua" w:hAnsi="Book Antiqua"/>
        </w:rPr>
        <w:t xml:space="preserve"> 2001; </w:t>
      </w:r>
      <w:r w:rsidRPr="006E3315">
        <w:rPr>
          <w:rFonts w:ascii="Book Antiqua" w:hAnsi="Book Antiqua"/>
          <w:b/>
        </w:rPr>
        <w:t>19</w:t>
      </w:r>
      <w:r w:rsidRPr="006E3315">
        <w:rPr>
          <w:rFonts w:ascii="Book Antiqua" w:hAnsi="Book Antiqua"/>
        </w:rPr>
        <w:t>: 275-290 [PMID: 11244038 DOI: 10.1146/annurev.immunol.19.1.275]</w:t>
      </w:r>
    </w:p>
    <w:p w14:paraId="53DDA914"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23 </w:t>
      </w:r>
      <w:r w:rsidRPr="006E3315">
        <w:rPr>
          <w:rFonts w:ascii="Book Antiqua" w:hAnsi="Book Antiqua"/>
          <w:b/>
        </w:rPr>
        <w:t>van de Winkel JG</w:t>
      </w:r>
      <w:r w:rsidRPr="006E3315">
        <w:rPr>
          <w:rFonts w:ascii="Book Antiqua" w:hAnsi="Book Antiqua"/>
        </w:rPr>
        <w:t xml:space="preserve">, Capel PJ. Human IgG Fc receptor heterogeneity: molecular aspects and clinical implications. </w:t>
      </w:r>
      <w:r w:rsidRPr="006E3315">
        <w:rPr>
          <w:rFonts w:ascii="Book Antiqua" w:hAnsi="Book Antiqua"/>
          <w:i/>
        </w:rPr>
        <w:t>Immunol Today</w:t>
      </w:r>
      <w:r w:rsidRPr="006E3315">
        <w:rPr>
          <w:rFonts w:ascii="Book Antiqua" w:hAnsi="Book Antiqua"/>
        </w:rPr>
        <w:t xml:space="preserve"> 1993; </w:t>
      </w:r>
      <w:r w:rsidRPr="006E3315">
        <w:rPr>
          <w:rFonts w:ascii="Book Antiqua" w:hAnsi="Book Antiqua"/>
          <w:b/>
        </w:rPr>
        <w:t>14</w:t>
      </w:r>
      <w:r w:rsidRPr="006E3315">
        <w:rPr>
          <w:rFonts w:ascii="Book Antiqua" w:hAnsi="Book Antiqua"/>
        </w:rPr>
        <w:t>: 215-221 [PMID: 8517920 DOI: 10.1016/0167-5699(93)90166-I]</w:t>
      </w:r>
    </w:p>
    <w:p w14:paraId="79AC4213"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24 </w:t>
      </w:r>
      <w:r w:rsidRPr="006E3315">
        <w:rPr>
          <w:rFonts w:ascii="Book Antiqua" w:hAnsi="Book Antiqua"/>
          <w:b/>
        </w:rPr>
        <w:t>Qiu WQ</w:t>
      </w:r>
      <w:r w:rsidRPr="006E3315">
        <w:rPr>
          <w:rFonts w:ascii="Book Antiqua" w:hAnsi="Book Antiqua"/>
        </w:rPr>
        <w:t xml:space="preserve">, de Bruin D, Brownstein BH, Pearse R, Ravetch JV. Organization of the human and mouse low-affinity Fc gamma R genes: duplication and recombination. </w:t>
      </w:r>
      <w:r w:rsidRPr="006E3315">
        <w:rPr>
          <w:rFonts w:ascii="Book Antiqua" w:hAnsi="Book Antiqua"/>
          <w:i/>
        </w:rPr>
        <w:t>Science</w:t>
      </w:r>
      <w:r w:rsidRPr="006E3315">
        <w:rPr>
          <w:rFonts w:ascii="Book Antiqua" w:hAnsi="Book Antiqua"/>
        </w:rPr>
        <w:t xml:space="preserve"> 1990; </w:t>
      </w:r>
      <w:r w:rsidRPr="006E3315">
        <w:rPr>
          <w:rFonts w:ascii="Book Antiqua" w:hAnsi="Book Antiqua"/>
          <w:b/>
        </w:rPr>
        <w:t>248</w:t>
      </w:r>
      <w:r w:rsidRPr="006E3315">
        <w:rPr>
          <w:rFonts w:ascii="Book Antiqua" w:hAnsi="Book Antiqua"/>
        </w:rPr>
        <w:t>: 732-735 [PMID: 2139735 DOI: 10.1126/science.2139735]</w:t>
      </w:r>
    </w:p>
    <w:p w14:paraId="606FBCA0"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25 </w:t>
      </w:r>
      <w:r w:rsidRPr="006E3315">
        <w:rPr>
          <w:rFonts w:ascii="Book Antiqua" w:hAnsi="Book Antiqua"/>
          <w:b/>
        </w:rPr>
        <w:t>Parren PW</w:t>
      </w:r>
      <w:r w:rsidRPr="006E3315">
        <w:rPr>
          <w:rFonts w:ascii="Book Antiqua" w:hAnsi="Book Antiqua"/>
        </w:rPr>
        <w:t xml:space="preserve">, Warmerdam PA, Boeije LC, Arts J, Westerdaal NA, Vlug A, Capel PJ, Aarden LA, van de Winkel JG. On the interaction of IgG subclasses with the low affinity Fc gamma RIIa (CD32) on human monocytes, neutrophils, and platelets. Analysis of a functional polymorphism to human IgG2. </w:t>
      </w:r>
      <w:r w:rsidRPr="006E3315">
        <w:rPr>
          <w:rFonts w:ascii="Book Antiqua" w:hAnsi="Book Antiqua"/>
          <w:i/>
        </w:rPr>
        <w:t>J Clin Invest</w:t>
      </w:r>
      <w:r w:rsidRPr="006E3315">
        <w:rPr>
          <w:rFonts w:ascii="Book Antiqua" w:hAnsi="Book Antiqua"/>
        </w:rPr>
        <w:t xml:space="preserve"> 1992; </w:t>
      </w:r>
      <w:r w:rsidRPr="006E3315">
        <w:rPr>
          <w:rFonts w:ascii="Book Antiqua" w:hAnsi="Book Antiqua"/>
          <w:b/>
        </w:rPr>
        <w:t>90</w:t>
      </w:r>
      <w:r w:rsidRPr="006E3315">
        <w:rPr>
          <w:rFonts w:ascii="Book Antiqua" w:hAnsi="Book Antiqua"/>
        </w:rPr>
        <w:t>: 1537-1546 [PMID: 1401085 DOI: 10.1172/JCI116022]</w:t>
      </w:r>
    </w:p>
    <w:p w14:paraId="39A42B5B"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26 </w:t>
      </w:r>
      <w:r w:rsidRPr="006E3315">
        <w:rPr>
          <w:rFonts w:ascii="Book Antiqua" w:hAnsi="Book Antiqua"/>
          <w:b/>
        </w:rPr>
        <w:t>Koene HR</w:t>
      </w:r>
      <w:r w:rsidRPr="006E3315">
        <w:rPr>
          <w:rFonts w:ascii="Book Antiqua" w:hAnsi="Book Antiqua"/>
        </w:rPr>
        <w:t xml:space="preserve">, Kleijer M, Algra J, Roos D, von dem Borne AE, de Haas M. Fc gammaRIIIa-158V/F polymorphism influences the binding of IgG by natural killer cell Fc gammaRIIIa, independently of the Fc gammaRIIIa-48L/R/H phenotype. </w:t>
      </w:r>
      <w:r w:rsidRPr="006E3315">
        <w:rPr>
          <w:rFonts w:ascii="Book Antiqua" w:hAnsi="Book Antiqua"/>
          <w:i/>
        </w:rPr>
        <w:t>Blood</w:t>
      </w:r>
      <w:r w:rsidRPr="006E3315">
        <w:rPr>
          <w:rFonts w:ascii="Book Antiqua" w:hAnsi="Book Antiqua"/>
        </w:rPr>
        <w:t xml:space="preserve"> 1997; </w:t>
      </w:r>
      <w:r w:rsidRPr="006E3315">
        <w:rPr>
          <w:rFonts w:ascii="Book Antiqua" w:hAnsi="Book Antiqua"/>
          <w:b/>
        </w:rPr>
        <w:t>90</w:t>
      </w:r>
      <w:r w:rsidRPr="006E3315">
        <w:rPr>
          <w:rFonts w:ascii="Book Antiqua" w:hAnsi="Book Antiqua"/>
        </w:rPr>
        <w:t>: 1109-1114 [PMID: 9242542 DOI: 10.1016/S0165-2478(97)85823-3]</w:t>
      </w:r>
    </w:p>
    <w:p w14:paraId="6A2004BE" w14:textId="77777777" w:rsidR="006E3315" w:rsidRPr="0007090C" w:rsidRDefault="006E3315" w:rsidP="008C54E8">
      <w:pPr>
        <w:snapToGrid w:val="0"/>
        <w:spacing w:line="360" w:lineRule="auto"/>
        <w:jc w:val="both"/>
        <w:rPr>
          <w:rFonts w:ascii="Book Antiqua" w:hAnsi="Book Antiqua"/>
          <w:lang w:val="it-IT"/>
        </w:rPr>
      </w:pPr>
      <w:r w:rsidRPr="006E3315">
        <w:rPr>
          <w:rFonts w:ascii="Book Antiqua" w:hAnsi="Book Antiqua"/>
        </w:rPr>
        <w:t xml:space="preserve">27 </w:t>
      </w:r>
      <w:r w:rsidRPr="006E3315">
        <w:rPr>
          <w:rFonts w:ascii="Book Antiqua" w:hAnsi="Book Antiqua"/>
          <w:b/>
        </w:rPr>
        <w:t>Randerson PF</w:t>
      </w:r>
      <w:r w:rsidRPr="00422113">
        <w:rPr>
          <w:rFonts w:ascii="Book Antiqua" w:hAnsi="Book Antiqua"/>
        </w:rPr>
        <w:t xml:space="preserve">. Why do we need multivariate analysis? In: Fry JC. Biological Data Analysis. </w:t>
      </w:r>
      <w:r w:rsidRPr="0007090C">
        <w:rPr>
          <w:rFonts w:ascii="Book Antiqua" w:hAnsi="Book Antiqua"/>
          <w:lang w:val="it-IT"/>
        </w:rPr>
        <w:t>A Pratical Approach. Oxford University Press,</w:t>
      </w:r>
      <w:r w:rsidR="00422113" w:rsidRPr="0007090C">
        <w:rPr>
          <w:rFonts w:ascii="Book Antiqua" w:hAnsi="Book Antiqua"/>
          <w:lang w:val="it-IT"/>
        </w:rPr>
        <w:t xml:space="preserve"> </w:t>
      </w:r>
      <w:r w:rsidRPr="0007090C">
        <w:rPr>
          <w:rFonts w:ascii="Book Antiqua" w:hAnsi="Book Antiqua"/>
          <w:lang w:val="it-IT"/>
        </w:rPr>
        <w:t>1993: 173-207</w:t>
      </w:r>
    </w:p>
    <w:p w14:paraId="6962E030" w14:textId="77777777" w:rsidR="006E3315" w:rsidRPr="006E3315" w:rsidRDefault="006E3315" w:rsidP="008C54E8">
      <w:pPr>
        <w:snapToGrid w:val="0"/>
        <w:spacing w:line="360" w:lineRule="auto"/>
        <w:jc w:val="both"/>
        <w:rPr>
          <w:rFonts w:ascii="Book Antiqua" w:hAnsi="Book Antiqua"/>
        </w:rPr>
      </w:pPr>
      <w:r w:rsidRPr="0007090C">
        <w:rPr>
          <w:rFonts w:ascii="Book Antiqua" w:hAnsi="Book Antiqua"/>
          <w:lang w:val="it-IT"/>
        </w:rPr>
        <w:t xml:space="preserve">28 </w:t>
      </w:r>
      <w:r w:rsidRPr="0007090C">
        <w:rPr>
          <w:rFonts w:ascii="Book Antiqua" w:hAnsi="Book Antiqua"/>
          <w:b/>
          <w:lang w:val="it-IT"/>
        </w:rPr>
        <w:t>Berghella AM</w:t>
      </w:r>
      <w:r w:rsidRPr="0007090C">
        <w:rPr>
          <w:rFonts w:ascii="Book Antiqua" w:hAnsi="Book Antiqua"/>
          <w:lang w:val="it-IT"/>
        </w:rPr>
        <w:t xml:space="preserve">, Pellegrini P, Piancatelli D, Maccarone D, Del Beato T, Giubilei D, Pomidori A, Adorno D, Casciani CU. </w:t>
      </w:r>
      <w:r w:rsidRPr="006E3315">
        <w:rPr>
          <w:rFonts w:ascii="Book Antiqua" w:hAnsi="Book Antiqua"/>
        </w:rPr>
        <w:t xml:space="preserve">Progression mechanisms in colon cancer: soluble interleukin-2 (IL-2) receptor, IL-2 plus anti-CD3 proliferative response and tumour stage correlations. </w:t>
      </w:r>
      <w:r w:rsidRPr="006E3315">
        <w:rPr>
          <w:rFonts w:ascii="Book Antiqua" w:hAnsi="Book Antiqua"/>
          <w:i/>
        </w:rPr>
        <w:t>Cancer Immunol Immunother</w:t>
      </w:r>
      <w:r w:rsidRPr="006E3315">
        <w:rPr>
          <w:rFonts w:ascii="Book Antiqua" w:hAnsi="Book Antiqua"/>
        </w:rPr>
        <w:t xml:space="preserve"> 1994; </w:t>
      </w:r>
      <w:r w:rsidRPr="006E3315">
        <w:rPr>
          <w:rFonts w:ascii="Book Antiqua" w:hAnsi="Book Antiqua"/>
          <w:b/>
        </w:rPr>
        <w:t>38</w:t>
      </w:r>
      <w:r w:rsidRPr="006E3315">
        <w:rPr>
          <w:rFonts w:ascii="Book Antiqua" w:hAnsi="Book Antiqua"/>
        </w:rPr>
        <w:t>: 160-166 [PMID: 7907273 DOI: 10.1007/BF01525636]</w:t>
      </w:r>
    </w:p>
    <w:p w14:paraId="113F723F"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29 </w:t>
      </w:r>
      <w:r w:rsidRPr="006E3315">
        <w:rPr>
          <w:rFonts w:ascii="Book Antiqua" w:hAnsi="Book Antiqua"/>
          <w:b/>
        </w:rPr>
        <w:t>Hoffmann MH</w:t>
      </w:r>
      <w:r w:rsidRPr="006E3315">
        <w:rPr>
          <w:rFonts w:ascii="Book Antiqua" w:hAnsi="Book Antiqua"/>
        </w:rPr>
        <w:t xml:space="preserve">, Griffiths HR. The dual role of Reactive Oxygen Species in autoimmune and inflammatory diseases: evidence from preclinical models. </w:t>
      </w:r>
      <w:r w:rsidRPr="006E3315">
        <w:rPr>
          <w:rFonts w:ascii="Book Antiqua" w:hAnsi="Book Antiqua"/>
          <w:i/>
        </w:rPr>
        <w:t>Free Radic Biol Med</w:t>
      </w:r>
      <w:r w:rsidRPr="006E3315">
        <w:rPr>
          <w:rFonts w:ascii="Book Antiqua" w:hAnsi="Book Antiqua"/>
        </w:rPr>
        <w:t xml:space="preserve"> 2018; </w:t>
      </w:r>
      <w:r w:rsidRPr="006E3315">
        <w:rPr>
          <w:rFonts w:ascii="Book Antiqua" w:hAnsi="Book Antiqua"/>
          <w:b/>
        </w:rPr>
        <w:t>125</w:t>
      </w:r>
      <w:r w:rsidRPr="006E3315">
        <w:rPr>
          <w:rFonts w:ascii="Book Antiqua" w:hAnsi="Book Antiqua"/>
        </w:rPr>
        <w:t>: 62-71 [PMID: 29550327 DOI: 10.1016/j.freeradbiomed.2018.03.016]</w:t>
      </w:r>
    </w:p>
    <w:p w14:paraId="4A0EA870" w14:textId="77777777" w:rsidR="006E3315" w:rsidRPr="006E3315" w:rsidRDefault="006E3315" w:rsidP="008C54E8">
      <w:pPr>
        <w:snapToGrid w:val="0"/>
        <w:spacing w:line="360" w:lineRule="auto"/>
        <w:jc w:val="both"/>
        <w:rPr>
          <w:rFonts w:ascii="Book Antiqua" w:hAnsi="Book Antiqua"/>
        </w:rPr>
      </w:pPr>
      <w:r w:rsidRPr="006E3315">
        <w:rPr>
          <w:rFonts w:ascii="Book Antiqua" w:hAnsi="Book Antiqua"/>
        </w:rPr>
        <w:t xml:space="preserve">30 </w:t>
      </w:r>
      <w:r w:rsidRPr="006E3315">
        <w:rPr>
          <w:rFonts w:ascii="Book Antiqua" w:hAnsi="Book Antiqua"/>
          <w:b/>
        </w:rPr>
        <w:t>Canossi A</w:t>
      </w:r>
      <w:r w:rsidRPr="006E3315">
        <w:rPr>
          <w:rFonts w:ascii="Book Antiqua" w:hAnsi="Book Antiqua"/>
        </w:rPr>
        <w:t xml:space="preserve">, Aureli A, Del Beato T, Rossi P, Franceschilli L, De Sanctis F, Sileri P, di Lorenzo N, Buonomo O, Lauro D, Venditti A, Sconocchia G. Role of KIR and CD16A </w:t>
      </w:r>
      <w:r w:rsidRPr="006E3315">
        <w:rPr>
          <w:rFonts w:ascii="Book Antiqua" w:hAnsi="Book Antiqua"/>
        </w:rPr>
        <w:lastRenderedPageBreak/>
        <w:t xml:space="preserve">genotypes in colorectal carcinoma genetic risk and clinical stage. </w:t>
      </w:r>
      <w:r w:rsidRPr="006E3315">
        <w:rPr>
          <w:rFonts w:ascii="Book Antiqua" w:hAnsi="Book Antiqua"/>
          <w:i/>
        </w:rPr>
        <w:t>J Transl Med</w:t>
      </w:r>
      <w:r w:rsidRPr="006E3315">
        <w:rPr>
          <w:rFonts w:ascii="Book Antiqua" w:hAnsi="Book Antiqua"/>
        </w:rPr>
        <w:t xml:space="preserve"> 2016; </w:t>
      </w:r>
      <w:r w:rsidRPr="006E3315">
        <w:rPr>
          <w:rFonts w:ascii="Book Antiqua" w:hAnsi="Book Antiqua"/>
          <w:b/>
        </w:rPr>
        <w:t>14</w:t>
      </w:r>
      <w:r w:rsidRPr="006E3315">
        <w:rPr>
          <w:rFonts w:ascii="Book Antiqua" w:hAnsi="Book Antiqua"/>
        </w:rPr>
        <w:t>: 239 [PMID: 27519478 DOI: 10.1186/s12967-016-1001-y]</w:t>
      </w:r>
    </w:p>
    <w:p w14:paraId="2F60AA74" w14:textId="77777777" w:rsidR="00EE0BCA" w:rsidRPr="00422113" w:rsidRDefault="00EE0BCA" w:rsidP="008C54E8">
      <w:pPr>
        <w:snapToGrid w:val="0"/>
        <w:spacing w:line="360" w:lineRule="auto"/>
        <w:jc w:val="right"/>
        <w:rPr>
          <w:rFonts w:ascii="Book Antiqua" w:eastAsia="宋体" w:hAnsi="Book Antiqua"/>
          <w:b/>
          <w:color w:val="000000"/>
          <w:lang w:eastAsia="zh-CN"/>
        </w:rPr>
      </w:pPr>
    </w:p>
    <w:p w14:paraId="2A77EED9" w14:textId="4C58634C" w:rsidR="00EE0BCA" w:rsidRPr="00422113" w:rsidRDefault="00EE0BCA" w:rsidP="008C54E8">
      <w:pPr>
        <w:pStyle w:val="af0"/>
        <w:snapToGrid w:val="0"/>
        <w:spacing w:line="360" w:lineRule="auto"/>
        <w:jc w:val="right"/>
        <w:rPr>
          <w:rFonts w:ascii="Book Antiqua" w:hAnsi="Book Antiqua"/>
          <w:b/>
          <w:sz w:val="24"/>
          <w:szCs w:val="24"/>
        </w:rPr>
      </w:pPr>
      <w:r w:rsidRPr="00422113">
        <w:rPr>
          <w:rFonts w:ascii="Book Antiqua" w:hAnsi="Book Antiqua"/>
          <w:b/>
          <w:sz w:val="24"/>
          <w:szCs w:val="24"/>
        </w:rPr>
        <w:t xml:space="preserve">P-Reviewer: </w:t>
      </w:r>
      <w:r w:rsidR="00DF28F4" w:rsidRPr="00422113">
        <w:rPr>
          <w:rFonts w:ascii="Book Antiqua" w:hAnsi="Book Antiqua"/>
          <w:color w:val="000000"/>
          <w:sz w:val="24"/>
          <w:szCs w:val="24"/>
        </w:rPr>
        <w:t xml:space="preserve">Aurello P, De Silva AP, Guo YM, He J </w:t>
      </w:r>
      <w:r w:rsidRPr="00422113">
        <w:rPr>
          <w:rFonts w:ascii="Book Antiqua" w:hAnsi="Book Antiqua"/>
          <w:b/>
          <w:sz w:val="24"/>
          <w:szCs w:val="24"/>
        </w:rPr>
        <w:t xml:space="preserve">S-Editor: </w:t>
      </w:r>
      <w:r w:rsidRPr="00422113">
        <w:rPr>
          <w:rFonts w:ascii="Book Antiqua" w:hAnsi="Book Antiqua"/>
          <w:sz w:val="24"/>
          <w:szCs w:val="24"/>
        </w:rPr>
        <w:t>Ji FF</w:t>
      </w:r>
      <w:r w:rsidRPr="00422113">
        <w:rPr>
          <w:rFonts w:ascii="Book Antiqua" w:hAnsi="Book Antiqua"/>
          <w:b/>
          <w:sz w:val="24"/>
          <w:szCs w:val="24"/>
        </w:rPr>
        <w:t xml:space="preserve"> L-Editor: </w:t>
      </w:r>
      <w:r w:rsidR="00130292">
        <w:rPr>
          <w:rFonts w:ascii="Book Antiqua" w:hAnsi="Book Antiqua"/>
          <w:sz w:val="24"/>
          <w:szCs w:val="24"/>
        </w:rPr>
        <w:t xml:space="preserve">Filipodia </w:t>
      </w:r>
      <w:r w:rsidRPr="00422113">
        <w:rPr>
          <w:rFonts w:ascii="Book Antiqua" w:hAnsi="Book Antiqua"/>
          <w:b/>
          <w:sz w:val="24"/>
          <w:szCs w:val="24"/>
        </w:rPr>
        <w:t xml:space="preserve">E-Editor: </w:t>
      </w:r>
      <w:r w:rsidR="009D5B17" w:rsidRPr="009D5B17">
        <w:rPr>
          <w:rFonts w:ascii="Book Antiqua" w:hAnsi="Book Antiqua" w:hint="eastAsia"/>
          <w:sz w:val="24"/>
          <w:szCs w:val="24"/>
        </w:rPr>
        <w:t>Bian YN</w:t>
      </w:r>
    </w:p>
    <w:p w14:paraId="5612B1FA" w14:textId="77777777" w:rsidR="00EE0BCA" w:rsidRPr="006E3315" w:rsidRDefault="00EE0BCA" w:rsidP="008C54E8">
      <w:pPr>
        <w:pStyle w:val="af0"/>
        <w:snapToGrid w:val="0"/>
        <w:spacing w:line="360" w:lineRule="auto"/>
        <w:rPr>
          <w:rFonts w:ascii="Book Antiqua" w:hAnsi="Book Antiqua"/>
          <w:b/>
          <w:sz w:val="24"/>
          <w:szCs w:val="24"/>
        </w:rPr>
      </w:pPr>
      <w:r w:rsidRPr="006E3315">
        <w:rPr>
          <w:rFonts w:ascii="Book Antiqua" w:hAnsi="Book Antiqua"/>
          <w:b/>
          <w:sz w:val="24"/>
          <w:szCs w:val="24"/>
        </w:rPr>
        <w:t xml:space="preserve"> </w:t>
      </w:r>
    </w:p>
    <w:p w14:paraId="2642B809" w14:textId="77777777" w:rsidR="00EE0BCA" w:rsidRPr="006E3315" w:rsidRDefault="00EE0BCA" w:rsidP="008D1257">
      <w:pPr>
        <w:snapToGrid w:val="0"/>
        <w:spacing w:line="360" w:lineRule="auto"/>
        <w:jc w:val="both"/>
        <w:rPr>
          <w:rFonts w:ascii="Book Antiqua" w:eastAsia="宋体" w:hAnsi="Book Antiqua" w:cs="Helvetica"/>
          <w:b/>
        </w:rPr>
      </w:pPr>
      <w:r w:rsidRPr="006E3315">
        <w:rPr>
          <w:rFonts w:ascii="Book Antiqua" w:eastAsia="宋体" w:hAnsi="Book Antiqua" w:cs="Helvetica"/>
          <w:b/>
        </w:rPr>
        <w:t xml:space="preserve">Specialty type: </w:t>
      </w:r>
      <w:r w:rsidR="008326F7" w:rsidRPr="006E3315">
        <w:rPr>
          <w:rFonts w:ascii="Book Antiqua" w:eastAsia="宋体" w:hAnsi="Book Antiqua" w:cs="Helvetica"/>
        </w:rPr>
        <w:t>Oncology</w:t>
      </w:r>
    </w:p>
    <w:p w14:paraId="689B008B" w14:textId="77777777" w:rsidR="00EE0BCA" w:rsidRPr="006E3315" w:rsidRDefault="00EE0BCA">
      <w:pPr>
        <w:snapToGrid w:val="0"/>
        <w:spacing w:line="360" w:lineRule="auto"/>
        <w:jc w:val="both"/>
        <w:rPr>
          <w:rFonts w:ascii="Book Antiqua" w:eastAsia="宋体" w:hAnsi="Book Antiqua" w:cs="Helvetica"/>
          <w:b/>
        </w:rPr>
      </w:pPr>
      <w:r w:rsidRPr="006E3315">
        <w:rPr>
          <w:rFonts w:ascii="Book Antiqua" w:eastAsia="宋体" w:hAnsi="Book Antiqua" w:cs="Helvetica"/>
          <w:b/>
        </w:rPr>
        <w:t xml:space="preserve">Country of origin: </w:t>
      </w:r>
      <w:r w:rsidR="008326F7" w:rsidRPr="006E3315">
        <w:rPr>
          <w:rFonts w:ascii="Book Antiqua" w:eastAsia="宋体" w:hAnsi="Book Antiqua"/>
        </w:rPr>
        <w:t>Italy</w:t>
      </w:r>
    </w:p>
    <w:p w14:paraId="1D70B515" w14:textId="77777777" w:rsidR="00EE0BCA" w:rsidRPr="006E3315" w:rsidRDefault="00EE0BCA">
      <w:pPr>
        <w:snapToGrid w:val="0"/>
        <w:spacing w:line="360" w:lineRule="auto"/>
        <w:jc w:val="both"/>
        <w:rPr>
          <w:rFonts w:ascii="Book Antiqua" w:eastAsia="宋体" w:hAnsi="Book Antiqua" w:cs="Helvetica"/>
          <w:b/>
        </w:rPr>
      </w:pPr>
      <w:r w:rsidRPr="006E3315">
        <w:rPr>
          <w:rFonts w:ascii="Book Antiqua" w:eastAsia="宋体" w:hAnsi="Book Antiqua" w:cs="Helvetica"/>
          <w:b/>
        </w:rPr>
        <w:t>Peer-review report classification</w:t>
      </w:r>
    </w:p>
    <w:p w14:paraId="07DF9F47" w14:textId="77777777" w:rsidR="00EE0BCA" w:rsidRPr="006E3315" w:rsidRDefault="00EE0BCA">
      <w:pPr>
        <w:snapToGrid w:val="0"/>
        <w:spacing w:line="360" w:lineRule="auto"/>
        <w:jc w:val="both"/>
        <w:rPr>
          <w:rFonts w:ascii="Book Antiqua" w:eastAsia="宋体" w:hAnsi="Book Antiqua" w:cs="Helvetica"/>
          <w:lang w:eastAsia="zh-CN"/>
        </w:rPr>
      </w:pPr>
      <w:r w:rsidRPr="006E3315">
        <w:rPr>
          <w:rFonts w:ascii="Book Antiqua" w:eastAsia="宋体" w:hAnsi="Book Antiqua" w:cs="Helvetica"/>
        </w:rPr>
        <w:t xml:space="preserve">Grade A (Excellent): </w:t>
      </w:r>
      <w:r w:rsidR="008326F7" w:rsidRPr="006E3315">
        <w:rPr>
          <w:rFonts w:ascii="Book Antiqua" w:eastAsia="宋体" w:hAnsi="Book Antiqua" w:cs="Helvetica"/>
          <w:lang w:eastAsia="zh-CN"/>
        </w:rPr>
        <w:t>0</w:t>
      </w:r>
    </w:p>
    <w:p w14:paraId="28EE268F" w14:textId="77777777" w:rsidR="00EE0BCA" w:rsidRPr="006E3315" w:rsidRDefault="00EE0BCA">
      <w:pPr>
        <w:snapToGrid w:val="0"/>
        <w:spacing w:line="360" w:lineRule="auto"/>
        <w:jc w:val="both"/>
        <w:rPr>
          <w:rFonts w:ascii="Book Antiqua" w:eastAsia="宋体" w:hAnsi="Book Antiqua" w:cs="Helvetica"/>
          <w:lang w:eastAsia="zh-CN"/>
        </w:rPr>
      </w:pPr>
      <w:r w:rsidRPr="006E3315">
        <w:rPr>
          <w:rFonts w:ascii="Book Antiqua" w:eastAsia="宋体" w:hAnsi="Book Antiqua" w:cs="Helvetica"/>
        </w:rPr>
        <w:t>Grade B (Very good): B</w:t>
      </w:r>
      <w:r w:rsidR="008326F7" w:rsidRPr="006E3315">
        <w:rPr>
          <w:rFonts w:ascii="Book Antiqua" w:eastAsia="宋体" w:hAnsi="Book Antiqua" w:cs="Helvetica"/>
          <w:lang w:eastAsia="zh-CN"/>
        </w:rPr>
        <w:t>, B, B</w:t>
      </w:r>
    </w:p>
    <w:p w14:paraId="534A0587" w14:textId="77777777" w:rsidR="00EE0BCA" w:rsidRPr="006E3315" w:rsidRDefault="00EE0BCA">
      <w:pPr>
        <w:snapToGrid w:val="0"/>
        <w:spacing w:line="360" w:lineRule="auto"/>
        <w:jc w:val="both"/>
        <w:rPr>
          <w:rFonts w:ascii="Book Antiqua" w:eastAsia="宋体" w:hAnsi="Book Antiqua" w:cs="Helvetica"/>
        </w:rPr>
      </w:pPr>
      <w:r w:rsidRPr="006E3315">
        <w:rPr>
          <w:rFonts w:ascii="Book Antiqua" w:eastAsia="宋体" w:hAnsi="Book Antiqua" w:cs="Helvetica"/>
        </w:rPr>
        <w:t>Grade C (Good): C</w:t>
      </w:r>
    </w:p>
    <w:p w14:paraId="59C2F41E" w14:textId="77777777" w:rsidR="00EE0BCA" w:rsidRPr="006E3315" w:rsidRDefault="00EE0BCA">
      <w:pPr>
        <w:snapToGrid w:val="0"/>
        <w:spacing w:line="360" w:lineRule="auto"/>
        <w:jc w:val="both"/>
        <w:rPr>
          <w:rFonts w:ascii="Book Antiqua" w:eastAsia="宋体" w:hAnsi="Book Antiqua" w:cs="Helvetica"/>
        </w:rPr>
      </w:pPr>
      <w:r w:rsidRPr="006E3315">
        <w:rPr>
          <w:rFonts w:ascii="Book Antiqua" w:eastAsia="宋体" w:hAnsi="Book Antiqua" w:cs="Helvetica"/>
        </w:rPr>
        <w:t xml:space="preserve">Grade D (Fair): 0 </w:t>
      </w:r>
    </w:p>
    <w:p w14:paraId="271C0834" w14:textId="77777777" w:rsidR="00EE0BCA" w:rsidRPr="006E3315" w:rsidRDefault="00EE0BCA" w:rsidP="008C54E8">
      <w:pPr>
        <w:snapToGrid w:val="0"/>
        <w:spacing w:line="360" w:lineRule="auto"/>
        <w:jc w:val="both"/>
        <w:rPr>
          <w:rFonts w:ascii="Book Antiqua" w:eastAsia="宋体" w:hAnsi="Book Antiqua"/>
          <w:b/>
          <w:color w:val="000000"/>
          <w:lang w:eastAsia="zh-CN"/>
        </w:rPr>
      </w:pPr>
      <w:r w:rsidRPr="006E3315">
        <w:rPr>
          <w:rFonts w:ascii="Book Antiqua" w:eastAsia="宋体" w:hAnsi="Book Antiqua" w:cs="Helvetica"/>
        </w:rPr>
        <w:t>Grade E (Poor): 0</w:t>
      </w:r>
    </w:p>
    <w:p w14:paraId="79737C8B" w14:textId="77777777" w:rsidR="00663E18" w:rsidRPr="00872B32" w:rsidRDefault="00663E18" w:rsidP="008C54E8">
      <w:pPr>
        <w:shd w:val="clear" w:color="auto" w:fill="FFFFFF"/>
        <w:snapToGrid w:val="0"/>
        <w:spacing w:line="360" w:lineRule="auto"/>
        <w:jc w:val="both"/>
        <w:rPr>
          <w:rFonts w:ascii="Book Antiqua" w:hAnsi="Book Antiqua"/>
          <w:color w:val="000000"/>
        </w:rPr>
        <w:sectPr w:rsidR="00663E18" w:rsidRPr="00872B32" w:rsidSect="008C54E8">
          <w:footerReference w:type="default" r:id="rId17"/>
          <w:pgSz w:w="11906" w:h="16838"/>
          <w:pgMar w:top="1440" w:right="1440" w:bottom="1440" w:left="1440" w:header="706" w:footer="706" w:gutter="0"/>
          <w:cols w:space="708"/>
          <w:docGrid w:linePitch="360"/>
        </w:sectPr>
      </w:pPr>
    </w:p>
    <w:bookmarkStart w:id="3" w:name="_MON_1598168610"/>
    <w:bookmarkEnd w:id="3"/>
    <w:p w14:paraId="5E7DCF8A" w14:textId="77777777" w:rsidR="00E20860" w:rsidRPr="00BA0ACA" w:rsidRDefault="000E1476" w:rsidP="008C54E8">
      <w:pPr>
        <w:snapToGrid w:val="0"/>
        <w:spacing w:line="360" w:lineRule="auto"/>
        <w:jc w:val="both"/>
        <w:rPr>
          <w:rFonts w:ascii="Book Antiqua" w:eastAsia="宋体" w:hAnsi="Book Antiqua"/>
          <w:color w:val="000000"/>
          <w:lang w:eastAsia="zh-CN"/>
        </w:rPr>
      </w:pPr>
      <w:r w:rsidRPr="00872B32">
        <w:rPr>
          <w:rFonts w:ascii="Book Antiqua" w:hAnsi="Book Antiqua"/>
          <w:noProof/>
          <w:color w:val="000000"/>
        </w:rPr>
        <w:object w:dxaOrig="15352" w:dyaOrig="10492" w14:anchorId="21C94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8pt;height:523.9pt;mso-width-percent:0;mso-height-percent:0;mso-width-percent:0;mso-height-percent:0" o:ole="">
            <v:imagedata r:id="rId18" o:title=""/>
          </v:shape>
          <o:OLEObject Type="Embed" ProgID="Word.Document.12" ShapeID="_x0000_i1025" DrawAspect="Content" ObjectID="_1611744859" r:id="rId19">
            <o:FieldCodes>\s</o:FieldCodes>
          </o:OLEObject>
        </w:object>
      </w:r>
    </w:p>
    <w:p w14:paraId="1B8FC278" w14:textId="21F4B889" w:rsidR="00030665" w:rsidRPr="00BA4E7C" w:rsidRDefault="005F10BA" w:rsidP="008C54E8">
      <w:pPr>
        <w:snapToGrid w:val="0"/>
        <w:spacing w:line="360" w:lineRule="auto"/>
        <w:jc w:val="both"/>
        <w:rPr>
          <w:rFonts w:ascii="Book Antiqua" w:eastAsia="宋体" w:hAnsi="Book Antiqua"/>
          <w:color w:val="000000"/>
          <w:lang w:eastAsia="zh-CN"/>
        </w:rPr>
      </w:pPr>
      <w:r w:rsidRPr="00872B32">
        <w:rPr>
          <w:rFonts w:ascii="Book Antiqua" w:hAnsi="Book Antiqua"/>
          <w:b/>
          <w:color w:val="000000"/>
        </w:rPr>
        <w:t>Figure 1</w:t>
      </w:r>
      <w:r w:rsidR="00C808A0" w:rsidRPr="00872B32">
        <w:rPr>
          <w:rFonts w:ascii="Book Antiqua" w:hAnsi="Book Antiqua"/>
          <w:b/>
          <w:color w:val="000000"/>
        </w:rPr>
        <w:t xml:space="preserve"> </w:t>
      </w:r>
      <w:r w:rsidR="00030665" w:rsidRPr="00872B32">
        <w:rPr>
          <w:rFonts w:ascii="Book Antiqua" w:hAnsi="Book Antiqua"/>
          <w:b/>
          <w:color w:val="000000"/>
        </w:rPr>
        <w:t>Trx1/CD30 redox immune regulation.</w:t>
      </w:r>
      <w:r w:rsidR="00030665" w:rsidRPr="00872B32">
        <w:rPr>
          <w:rFonts w:ascii="Book Antiqua" w:hAnsi="Book Antiqua"/>
          <w:color w:val="000000"/>
        </w:rPr>
        <w:t xml:space="preserve"> </w:t>
      </w:r>
      <w:r w:rsidR="00030665" w:rsidRPr="0020697C">
        <w:rPr>
          <w:rFonts w:ascii="Book Antiqua" w:hAnsi="Book Antiqua"/>
          <w:color w:val="000000"/>
        </w:rPr>
        <w:t xml:space="preserve">A: </w:t>
      </w:r>
      <w:r w:rsidR="00030665" w:rsidRPr="00872B32">
        <w:rPr>
          <w:rFonts w:ascii="Book Antiqua" w:hAnsi="Book Antiqua"/>
          <w:color w:val="000000"/>
        </w:rPr>
        <w:t>Trx1 oxidized form (-S-S-); Trx1 reduced form (-SH);  RTrx1; NADPH. CD30 oxidized form (-S-S); CD30 reduced form (-SH); CD30L; NK, DC, monocytes, T</w:t>
      </w:r>
      <w:r w:rsidR="0045597B">
        <w:rPr>
          <w:rFonts w:ascii="Book Antiqua" w:hAnsi="Book Antiqua"/>
          <w:color w:val="000000"/>
        </w:rPr>
        <w:t xml:space="preserve"> cells</w:t>
      </w:r>
      <w:r w:rsidR="00030665" w:rsidRPr="00872B32">
        <w:rPr>
          <w:rFonts w:ascii="Book Antiqua" w:hAnsi="Book Antiqua"/>
          <w:color w:val="000000"/>
        </w:rPr>
        <w:t>, neutrophils, eosinophils and B cells. Trx1/CD30 preserves the healthy state during aging by inducing the integrate expression of IFN</w:t>
      </w:r>
      <w:r w:rsidR="00BA3128" w:rsidRPr="00872B32">
        <w:rPr>
          <w:rFonts w:ascii="Book Antiqua" w:hAnsi="Book Antiqua"/>
          <w:color w:val="000000"/>
        </w:rPr>
        <w:sym w:font="Symbol" w:char="F067"/>
      </w:r>
      <w:r w:rsidR="00030665" w:rsidRPr="00872B32">
        <w:rPr>
          <w:rFonts w:ascii="Book Antiqua" w:hAnsi="Book Antiqua"/>
          <w:color w:val="000000"/>
        </w:rPr>
        <w:t xml:space="preserve"> IL4, TGF</w:t>
      </w:r>
      <w:r w:rsidR="00BA3128" w:rsidRPr="00872B32">
        <w:rPr>
          <w:rFonts w:ascii="Book Antiqua" w:hAnsi="Book Antiqua"/>
          <w:color w:val="000000"/>
        </w:rPr>
        <w:t>β</w:t>
      </w:r>
      <w:r w:rsidR="00030665" w:rsidRPr="00872B32">
        <w:rPr>
          <w:rFonts w:ascii="Book Antiqua" w:hAnsi="Book Antiqua"/>
          <w:color w:val="000000"/>
        </w:rPr>
        <w:t>, IL6, IL10 and IL2 cell pathways to direct Th differentiation to the respective subtypes (Th1, Th2, Treg, Th9, Th17). The cytokines in the cell environment activate specific transcription factors for the differentiation of the specific Th subsets. Th1 requires the T bet (Tbet); Th2 the GATA; Treg cells the Foxp3; Th17 the RORgt; Th9 the PU.1 bet. TGFβ activates the expression of Foxp3</w:t>
      </w:r>
      <w:r w:rsidR="003D5138">
        <w:rPr>
          <w:rFonts w:ascii="Book Antiqua" w:hAnsi="Book Antiqua"/>
          <w:color w:val="000000"/>
        </w:rPr>
        <w:t>,</w:t>
      </w:r>
      <w:r w:rsidR="00030665" w:rsidRPr="00872B32">
        <w:rPr>
          <w:rFonts w:ascii="Book Antiqua" w:hAnsi="Book Antiqua"/>
          <w:color w:val="000000"/>
        </w:rPr>
        <w:t xml:space="preserve"> which generates (</w:t>
      </w:r>
      <w:r w:rsidR="00030665" w:rsidRPr="00872B32">
        <w:rPr>
          <w:rFonts w:ascii="Book Antiqua" w:hAnsi="Book Antiqua"/>
          <w:color w:val="000000"/>
        </w:rPr>
        <w:sym w:font="Symbol" w:char="F0AD"/>
      </w:r>
      <w:r w:rsidR="00030665" w:rsidRPr="00872B32">
        <w:rPr>
          <w:rFonts w:ascii="Book Antiqua" w:hAnsi="Book Antiqua"/>
          <w:color w:val="000000"/>
        </w:rPr>
        <w:t xml:space="preserve">) Treg cells. IL6 inhibits the TGFβ driven expression of Foxp3, and TGFβ together with IL6 activate the ROR-gt </w:t>
      </w:r>
      <w:r w:rsidR="00030665" w:rsidRPr="00872B32">
        <w:rPr>
          <w:rFonts w:ascii="Book Antiqua" w:hAnsi="Book Antiqua"/>
          <w:color w:val="000000"/>
        </w:rPr>
        <w:lastRenderedPageBreak/>
        <w:t>transcription factor, which triggers (</w:t>
      </w:r>
      <w:r w:rsidR="00030665" w:rsidRPr="00872B32">
        <w:rPr>
          <w:rFonts w:ascii="Book Antiqua" w:hAnsi="Book Antiqua"/>
          <w:color w:val="000000"/>
        </w:rPr>
        <w:sym w:font="Symbol" w:char="F0AD"/>
      </w:r>
      <w:r w:rsidR="00030665" w:rsidRPr="00872B32">
        <w:rPr>
          <w:rFonts w:ascii="Book Antiqua" w:hAnsi="Book Antiqua"/>
          <w:color w:val="000000"/>
        </w:rPr>
        <w:t>) Th17 cells. Nevertheless IL2 inhibits (</w:t>
      </w:r>
      <w:r w:rsidR="00030665" w:rsidRPr="00872B32">
        <w:rPr>
          <w:rFonts w:ascii="Book Antiqua" w:hAnsi="Book Antiqua"/>
          <w:color w:val="000000"/>
        </w:rPr>
        <w:sym w:font="Symbol" w:char="F05E"/>
      </w:r>
      <w:r w:rsidR="00030665" w:rsidRPr="00872B32">
        <w:rPr>
          <w:rFonts w:ascii="Book Antiqua" w:hAnsi="Book Antiqua"/>
          <w:color w:val="000000"/>
        </w:rPr>
        <w:t>) this induction. IL4 also inhibits TGFβ induction of the Foxp3 expression, but TGFβ together with IL4 activate the expression of the PU.1 transcription factor</w:t>
      </w:r>
      <w:r w:rsidR="003D5138">
        <w:rPr>
          <w:rFonts w:ascii="Book Antiqua" w:hAnsi="Book Antiqua"/>
          <w:color w:val="000000"/>
        </w:rPr>
        <w:t>,</w:t>
      </w:r>
      <w:r w:rsidR="00030665" w:rsidRPr="00872B32">
        <w:rPr>
          <w:rFonts w:ascii="Book Antiqua" w:hAnsi="Book Antiqua"/>
          <w:color w:val="000000"/>
        </w:rPr>
        <w:t xml:space="preserve"> which generates (</w:t>
      </w:r>
      <w:r w:rsidR="00030665" w:rsidRPr="00872B32">
        <w:rPr>
          <w:rFonts w:ascii="Book Antiqua" w:hAnsi="Book Antiqua"/>
          <w:color w:val="000000"/>
        </w:rPr>
        <w:sym w:font="Symbol" w:char="F0AD"/>
      </w:r>
      <w:r w:rsidR="00030665" w:rsidRPr="00872B32">
        <w:rPr>
          <w:rFonts w:ascii="Book Antiqua" w:hAnsi="Book Antiqua"/>
          <w:color w:val="000000"/>
        </w:rPr>
        <w:t>) Th9 cells. IFN</w:t>
      </w:r>
      <w:r w:rsidR="00BA3128" w:rsidRPr="00872B32">
        <w:rPr>
          <w:rFonts w:ascii="Book Antiqua" w:hAnsi="Book Antiqua"/>
          <w:color w:val="000000"/>
        </w:rPr>
        <w:sym w:font="Symbol" w:char="F067"/>
      </w:r>
      <w:r w:rsidR="007C3132" w:rsidRPr="00872B32">
        <w:rPr>
          <w:rFonts w:ascii="Book Antiqua" w:hAnsi="Book Antiqua"/>
          <w:color w:val="000000"/>
        </w:rPr>
        <w:t xml:space="preserve"> </w:t>
      </w:r>
      <w:r w:rsidR="00030665" w:rsidRPr="00872B32">
        <w:rPr>
          <w:rFonts w:ascii="Book Antiqua" w:hAnsi="Book Antiqua"/>
          <w:color w:val="000000"/>
        </w:rPr>
        <w:t>and IL2 inhibit (</w:t>
      </w:r>
      <w:r w:rsidR="00030665" w:rsidRPr="00872B32">
        <w:rPr>
          <w:rFonts w:ascii="Book Antiqua" w:hAnsi="Book Antiqua"/>
          <w:color w:val="000000"/>
        </w:rPr>
        <w:sym w:font="Symbol" w:char="F05E"/>
      </w:r>
      <w:r w:rsidR="00030665" w:rsidRPr="00872B32">
        <w:rPr>
          <w:rFonts w:ascii="Book Antiqua" w:hAnsi="Book Antiqua"/>
          <w:color w:val="000000"/>
        </w:rPr>
        <w:t>) this generation</w:t>
      </w:r>
      <w:r w:rsidR="00C96D83" w:rsidRPr="00BA4E7C">
        <w:rPr>
          <w:rFonts w:ascii="Book Antiqua" w:eastAsia="宋体" w:hAnsi="Book Antiqua" w:hint="eastAsia"/>
          <w:color w:val="000000"/>
          <w:lang w:eastAsia="zh-CN"/>
        </w:rPr>
        <w:t>;</w:t>
      </w:r>
      <w:r w:rsidR="00C808A0" w:rsidRPr="00872B32">
        <w:rPr>
          <w:rFonts w:ascii="Book Antiqua" w:hAnsi="Book Antiqua"/>
          <w:color w:val="000000"/>
        </w:rPr>
        <w:t xml:space="preserve"> </w:t>
      </w:r>
      <w:r w:rsidR="00030665" w:rsidRPr="00C96D83">
        <w:rPr>
          <w:rFonts w:ascii="Book Antiqua" w:hAnsi="Book Antiqua"/>
          <w:color w:val="000000"/>
        </w:rPr>
        <w:t xml:space="preserve">B: </w:t>
      </w:r>
      <w:r w:rsidR="00030665" w:rsidRPr="00872B32">
        <w:rPr>
          <w:rFonts w:ascii="Book Antiqua" w:hAnsi="Book Antiqua"/>
          <w:color w:val="000000"/>
        </w:rPr>
        <w:t>Deregulation (↓↑) between Trx1/RTrx1 levels and increase (↑) of the sCD30 level cause non-homeostasis of the redox-immune response and non-CD30 activation, which cause aging gender-specific disease generation</w:t>
      </w:r>
      <w:r w:rsidR="00DE68B6" w:rsidRPr="00BA4E7C">
        <w:rPr>
          <w:rFonts w:ascii="Book Antiqua" w:eastAsia="宋体" w:hAnsi="Book Antiqua" w:hint="eastAsia"/>
          <w:color w:val="000000"/>
          <w:lang w:eastAsia="zh-CN"/>
        </w:rPr>
        <w:t>.</w:t>
      </w:r>
      <w:r w:rsidR="0045597B">
        <w:rPr>
          <w:rFonts w:ascii="Book Antiqua" w:eastAsia="宋体" w:hAnsi="Book Antiqua"/>
          <w:color w:val="000000"/>
          <w:lang w:eastAsia="zh-CN"/>
        </w:rPr>
        <w:t xml:space="preserve"> RTrx1: T</w:t>
      </w:r>
      <w:r w:rsidR="0045597B" w:rsidRPr="00872B32">
        <w:rPr>
          <w:rFonts w:ascii="Book Antiqua" w:hAnsi="Book Antiqua"/>
          <w:color w:val="000000"/>
        </w:rPr>
        <w:t>hioredoxin1 reductase flavoprotein</w:t>
      </w:r>
      <w:r w:rsidR="0045597B">
        <w:rPr>
          <w:rFonts w:ascii="Book Antiqua" w:hAnsi="Book Antiqua"/>
          <w:color w:val="000000"/>
        </w:rPr>
        <w:t xml:space="preserve">; </w:t>
      </w:r>
      <w:r w:rsidR="0045597B">
        <w:rPr>
          <w:rFonts w:ascii="Book Antiqua" w:eastAsia="宋体" w:hAnsi="Book Antiqua"/>
          <w:color w:val="000000"/>
          <w:lang w:eastAsia="zh-CN"/>
        </w:rPr>
        <w:t>NADPH: N</w:t>
      </w:r>
      <w:r w:rsidR="0045597B" w:rsidRPr="00872B32">
        <w:rPr>
          <w:rFonts w:ascii="Book Antiqua" w:hAnsi="Book Antiqua"/>
          <w:color w:val="000000"/>
        </w:rPr>
        <w:t>icotinamide adenine dinucleotide phosphate</w:t>
      </w:r>
      <w:r w:rsidR="0045597B">
        <w:rPr>
          <w:rFonts w:ascii="Book Antiqua" w:hAnsi="Book Antiqua"/>
          <w:color w:val="000000"/>
        </w:rPr>
        <w:t xml:space="preserve">; CD30L: CD30 ligand; NK: Natural killer cells; DC: Dendritic cells; </w:t>
      </w:r>
      <w:r w:rsidR="0045597B" w:rsidRPr="00872B32">
        <w:rPr>
          <w:rFonts w:ascii="Book Antiqua" w:hAnsi="Book Antiqua"/>
          <w:color w:val="000000"/>
        </w:rPr>
        <w:t>IFN</w:t>
      </w:r>
      <w:r w:rsidR="0045597B" w:rsidRPr="00872B32">
        <w:rPr>
          <w:rFonts w:ascii="Book Antiqua" w:hAnsi="Book Antiqua"/>
          <w:color w:val="000000"/>
        </w:rPr>
        <w:sym w:font="Symbol" w:char="F067"/>
      </w:r>
      <w:r w:rsidR="0045597B">
        <w:rPr>
          <w:rFonts w:ascii="Book Antiqua" w:hAnsi="Book Antiqua"/>
          <w:color w:val="000000"/>
        </w:rPr>
        <w:t xml:space="preserve">: Interferon gamma; IL: Interleukin; </w:t>
      </w:r>
      <w:r w:rsidR="0045597B" w:rsidRPr="00872B32">
        <w:rPr>
          <w:rFonts w:ascii="Book Antiqua" w:hAnsi="Book Antiqua"/>
          <w:color w:val="000000"/>
        </w:rPr>
        <w:t>TGFβ</w:t>
      </w:r>
      <w:r w:rsidR="0045597B">
        <w:rPr>
          <w:rFonts w:ascii="Book Antiqua" w:hAnsi="Book Antiqua"/>
          <w:color w:val="000000"/>
        </w:rPr>
        <w:t xml:space="preserve">: Transforming growth factor beta; Foxp3: </w:t>
      </w:r>
      <w:r w:rsidR="0045597B" w:rsidRPr="00872B32">
        <w:rPr>
          <w:rFonts w:ascii="Book Antiqua" w:hAnsi="Book Antiqua"/>
          <w:color w:val="000000"/>
        </w:rPr>
        <w:t>Forkhead box P3</w:t>
      </w:r>
      <w:r w:rsidR="003D5138">
        <w:rPr>
          <w:rFonts w:ascii="Book Antiqua" w:hAnsi="Book Antiqua"/>
          <w:color w:val="000000"/>
        </w:rPr>
        <w:t>; RORgt:</w:t>
      </w:r>
      <w:r w:rsidR="003D5138" w:rsidRPr="003D5138">
        <w:rPr>
          <w:rFonts w:ascii="Book Antiqua" w:hAnsi="Book Antiqua"/>
          <w:color w:val="000000"/>
        </w:rPr>
        <w:t xml:space="preserve"> </w:t>
      </w:r>
      <w:r w:rsidR="003D5138">
        <w:rPr>
          <w:rFonts w:ascii="Book Antiqua" w:hAnsi="Book Antiqua"/>
          <w:color w:val="000000"/>
        </w:rPr>
        <w:t>R</w:t>
      </w:r>
      <w:r w:rsidR="003D5138" w:rsidRPr="00872B32">
        <w:rPr>
          <w:rFonts w:ascii="Book Antiqua" w:hAnsi="Book Antiqua"/>
          <w:color w:val="000000"/>
        </w:rPr>
        <w:t>etinoic acid-related orphan receptor gt</w:t>
      </w:r>
      <w:r w:rsidR="0045597B">
        <w:rPr>
          <w:rFonts w:ascii="Book Antiqua" w:hAnsi="Book Antiqua"/>
          <w:color w:val="000000"/>
        </w:rPr>
        <w:t xml:space="preserve">  </w:t>
      </w:r>
    </w:p>
    <w:p w14:paraId="75242732" w14:textId="77777777" w:rsidR="00C65F53" w:rsidRPr="00872B32" w:rsidRDefault="00C65F53" w:rsidP="008C54E8">
      <w:pPr>
        <w:snapToGrid w:val="0"/>
        <w:spacing w:line="360" w:lineRule="auto"/>
        <w:jc w:val="both"/>
        <w:rPr>
          <w:rFonts w:ascii="Book Antiqua" w:hAnsi="Book Antiqua"/>
          <w:color w:val="000000"/>
        </w:rPr>
        <w:sectPr w:rsidR="00C65F53" w:rsidRPr="00872B32" w:rsidSect="008C54E8">
          <w:pgSz w:w="16443" w:h="16840"/>
          <w:pgMar w:top="1440" w:right="1440" w:bottom="1440" w:left="1440" w:header="706" w:footer="706" w:gutter="0"/>
          <w:cols w:space="708"/>
          <w:docGrid w:linePitch="360"/>
        </w:sectPr>
      </w:pPr>
    </w:p>
    <w:p w14:paraId="07008C73" w14:textId="77777777" w:rsidR="00D76D39" w:rsidRPr="00872B32" w:rsidRDefault="00D76D39" w:rsidP="008C54E8">
      <w:pPr>
        <w:snapToGrid w:val="0"/>
        <w:spacing w:line="360" w:lineRule="auto"/>
        <w:jc w:val="both"/>
        <w:rPr>
          <w:rFonts w:ascii="Book Antiqua" w:eastAsia="Calibri" w:hAnsi="Book Antiqua"/>
          <w:color w:val="000000"/>
        </w:rPr>
      </w:pPr>
    </w:p>
    <w:tbl>
      <w:tblPr>
        <w:tblW w:w="10092" w:type="dxa"/>
        <w:tblLayout w:type="fixed"/>
        <w:tblLook w:val="04A0" w:firstRow="1" w:lastRow="0" w:firstColumn="1" w:lastColumn="0" w:noHBand="0" w:noVBand="1"/>
      </w:tblPr>
      <w:tblGrid>
        <w:gridCol w:w="574"/>
        <w:gridCol w:w="4472"/>
        <w:gridCol w:w="574"/>
        <w:gridCol w:w="4472"/>
      </w:tblGrid>
      <w:tr w:rsidR="00D76D39" w:rsidRPr="00872B32" w14:paraId="3821F15B" w14:textId="77777777" w:rsidTr="00EE1CE0">
        <w:tc>
          <w:tcPr>
            <w:tcW w:w="624" w:type="dxa"/>
          </w:tcPr>
          <w:p w14:paraId="3B18BED1" w14:textId="77777777" w:rsidR="00D76D39" w:rsidRPr="00872B32" w:rsidRDefault="00D76D39" w:rsidP="008C54E8">
            <w:pPr>
              <w:snapToGrid w:val="0"/>
              <w:spacing w:line="360" w:lineRule="auto"/>
              <w:jc w:val="both"/>
              <w:rPr>
                <w:rFonts w:ascii="Book Antiqua" w:eastAsia="Calibri" w:hAnsi="Book Antiqua"/>
                <w:color w:val="000000"/>
              </w:rPr>
            </w:pPr>
          </w:p>
          <w:p w14:paraId="3F5D23C1" w14:textId="77777777" w:rsidR="00D76D39" w:rsidRPr="00872B32" w:rsidRDefault="00D76D39" w:rsidP="008C54E8">
            <w:pPr>
              <w:snapToGrid w:val="0"/>
              <w:spacing w:line="360" w:lineRule="auto"/>
              <w:jc w:val="both"/>
              <w:rPr>
                <w:rFonts w:ascii="Book Antiqua" w:eastAsia="Calibri" w:hAnsi="Book Antiqua"/>
                <w:color w:val="000000"/>
              </w:rPr>
            </w:pPr>
          </w:p>
          <w:p w14:paraId="7331760E" w14:textId="77777777" w:rsidR="00D76D39" w:rsidRPr="00872B32" w:rsidRDefault="00D76D39" w:rsidP="008C54E8">
            <w:pPr>
              <w:snapToGrid w:val="0"/>
              <w:spacing w:line="360" w:lineRule="auto"/>
              <w:jc w:val="both"/>
              <w:rPr>
                <w:rFonts w:ascii="Book Antiqua" w:eastAsia="Calibri" w:hAnsi="Book Antiqua"/>
                <w:color w:val="000000"/>
              </w:rPr>
            </w:pPr>
          </w:p>
          <w:p w14:paraId="4B8AFA36" w14:textId="77777777" w:rsidR="00D76D39" w:rsidRPr="00872B32" w:rsidRDefault="00D76D39" w:rsidP="008C54E8">
            <w:pPr>
              <w:snapToGrid w:val="0"/>
              <w:spacing w:line="360" w:lineRule="auto"/>
              <w:jc w:val="both"/>
              <w:rPr>
                <w:rFonts w:ascii="Book Antiqua" w:eastAsia="Calibri" w:hAnsi="Book Antiqua"/>
                <w:color w:val="000000"/>
              </w:rPr>
            </w:pPr>
          </w:p>
          <w:p w14:paraId="2DADBEAA" w14:textId="77777777" w:rsidR="00D76D39" w:rsidRPr="00872B32" w:rsidRDefault="00D76D39" w:rsidP="008C54E8">
            <w:pPr>
              <w:snapToGrid w:val="0"/>
              <w:spacing w:line="360" w:lineRule="auto"/>
              <w:jc w:val="both"/>
              <w:rPr>
                <w:rFonts w:ascii="Book Antiqua" w:eastAsia="Calibri" w:hAnsi="Book Antiqua"/>
                <w:color w:val="000000"/>
              </w:rPr>
            </w:pPr>
          </w:p>
          <w:p w14:paraId="7D783973" w14:textId="77777777" w:rsidR="00D76D39" w:rsidRPr="00872B32" w:rsidRDefault="00D76D39" w:rsidP="008C54E8">
            <w:pPr>
              <w:snapToGrid w:val="0"/>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A</w:t>
            </w:r>
          </w:p>
        </w:tc>
        <w:tc>
          <w:tcPr>
            <w:tcW w:w="5103" w:type="dxa"/>
          </w:tcPr>
          <w:p w14:paraId="0840EBBD" w14:textId="3AF634CF" w:rsidR="00D76D39"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936" w:dyaOrig="5071" w14:anchorId="40FC2923">
                <v:shape id="_x0000_i1026" type="#_x0000_t75" alt="" style="width:201.5pt;height:206.85pt;mso-width-percent:0;mso-height-percent:0;mso-width-percent:0;mso-height-percent:0" o:ole="">
                  <v:imagedata r:id="rId20" o:title=""/>
                </v:shape>
                <o:OLEObject Type="Embed" ProgID="PBrush" ShapeID="_x0000_i1026" DrawAspect="Content" ObjectID="_1611744860" r:id="rId21"/>
              </w:object>
            </w:r>
          </w:p>
        </w:tc>
        <w:tc>
          <w:tcPr>
            <w:tcW w:w="624" w:type="dxa"/>
          </w:tcPr>
          <w:p w14:paraId="3DA067FC"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4DC1FC79"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25FF8434"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567F74FD"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72B7ED4B"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151738DB" w14:textId="77777777" w:rsidR="00D76D39"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B</w:t>
            </w:r>
          </w:p>
        </w:tc>
        <w:tc>
          <w:tcPr>
            <w:tcW w:w="5103" w:type="dxa"/>
          </w:tcPr>
          <w:p w14:paraId="36ECDE89" w14:textId="7D1A6221" w:rsidR="00D76D39"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5534" w:dyaOrig="4546" w14:anchorId="24C3026D">
                <v:shape id="_x0000_i1027" type="#_x0000_t75" alt="" style="width:220.3pt;height:206.85pt;mso-width-percent:0;mso-height-percent:0;mso-width-percent:0;mso-height-percent:0" o:ole="">
                  <v:imagedata r:id="rId22" o:title=""/>
                </v:shape>
                <o:OLEObject Type="Embed" ProgID="PBrush" ShapeID="_x0000_i1027" DrawAspect="Content" ObjectID="_1611744861" r:id="rId23"/>
              </w:object>
            </w:r>
          </w:p>
        </w:tc>
      </w:tr>
    </w:tbl>
    <w:p w14:paraId="093503C2" w14:textId="77777777" w:rsidR="00D76D39" w:rsidRPr="00872B32" w:rsidRDefault="00D76D39" w:rsidP="008C54E8">
      <w:pPr>
        <w:snapToGrid w:val="0"/>
        <w:spacing w:line="360" w:lineRule="auto"/>
        <w:jc w:val="both"/>
        <w:rPr>
          <w:rFonts w:ascii="Book Antiqua" w:eastAsia="Calibri" w:hAnsi="Book Antiqua"/>
          <w:color w:val="000000"/>
          <w:lang w:val="it-IT"/>
        </w:rPr>
      </w:pPr>
    </w:p>
    <w:tbl>
      <w:tblPr>
        <w:tblW w:w="10320" w:type="dxa"/>
        <w:tblLayout w:type="fixed"/>
        <w:tblLook w:val="04A0" w:firstRow="1" w:lastRow="0" w:firstColumn="1" w:lastColumn="0" w:noHBand="0" w:noVBand="1"/>
      </w:tblPr>
      <w:tblGrid>
        <w:gridCol w:w="431"/>
        <w:gridCol w:w="2364"/>
        <w:gridCol w:w="30"/>
        <w:gridCol w:w="398"/>
        <w:gridCol w:w="39"/>
        <w:gridCol w:w="2330"/>
        <w:gridCol w:w="66"/>
        <w:gridCol w:w="2298"/>
        <w:gridCol w:w="2364"/>
      </w:tblGrid>
      <w:tr w:rsidR="00D76D39" w:rsidRPr="00872B32" w14:paraId="6AED8EF7" w14:textId="77777777" w:rsidTr="008C54E8">
        <w:trPr>
          <w:gridAfter w:val="2"/>
          <w:wAfter w:w="8844" w:type="dxa"/>
        </w:trPr>
        <w:tc>
          <w:tcPr>
            <w:tcW w:w="624" w:type="dxa"/>
          </w:tcPr>
          <w:p w14:paraId="51DDD8D5"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46D4356D"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56126C77"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1BD7F137"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464D989B"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29E4530B" w14:textId="77777777" w:rsidR="00D76D39"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C</w:t>
            </w:r>
          </w:p>
        </w:tc>
        <w:tc>
          <w:tcPr>
            <w:tcW w:w="4536" w:type="dxa"/>
            <w:gridSpan w:val="2"/>
          </w:tcPr>
          <w:p w14:paraId="37529394" w14:textId="77777777" w:rsidR="00D76D39"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875" w:dyaOrig="4680" w14:anchorId="6840D9D9">
                <v:shape id="_x0000_i1028" type="#_x0000_t75" alt="" style="width:218.15pt;height:208.5pt;mso-width-percent:0;mso-height-percent:0;mso-width-percent:0;mso-height-percent:0" o:ole="">
                  <v:imagedata r:id="rId24" o:title=""/>
                </v:shape>
                <o:OLEObject Type="Embed" ProgID="PBrush" ShapeID="_x0000_i1028" DrawAspect="Content" ObjectID="_1611744862" r:id="rId25"/>
              </w:object>
            </w:r>
          </w:p>
        </w:tc>
        <w:tc>
          <w:tcPr>
            <w:tcW w:w="624" w:type="dxa"/>
            <w:gridSpan w:val="2"/>
          </w:tcPr>
          <w:p w14:paraId="75F472A6"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3DDF3AFF"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37E729AB"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3A366794"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5430662A"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5FCC4B72" w14:textId="77777777" w:rsidR="00D76D39" w:rsidRPr="00872B32" w:rsidRDefault="00C808A0" w:rsidP="008C54E8">
            <w:pPr>
              <w:snapToGrid w:val="0"/>
              <w:spacing w:line="360" w:lineRule="auto"/>
              <w:jc w:val="both"/>
              <w:rPr>
                <w:rFonts w:ascii="Book Antiqua" w:eastAsia="Calibri" w:hAnsi="Book Antiqua"/>
                <w:b/>
                <w:color w:val="000000"/>
                <w:lang w:val="it-IT"/>
              </w:rPr>
            </w:pPr>
            <w:r w:rsidRPr="00872B32">
              <w:rPr>
                <w:rFonts w:ascii="Book Antiqua" w:eastAsia="Calibri" w:hAnsi="Book Antiqua"/>
                <w:color w:val="000000"/>
                <w:lang w:val="it-IT"/>
              </w:rPr>
              <w:t xml:space="preserve"> </w:t>
            </w:r>
            <w:r w:rsidR="00EE329E">
              <w:rPr>
                <w:rFonts w:ascii="Book Antiqua" w:eastAsia="Calibri" w:hAnsi="Book Antiqua"/>
                <w:b/>
                <w:color w:val="000000"/>
                <w:lang w:val="it-IT"/>
              </w:rPr>
              <w:t>D</w:t>
            </w:r>
          </w:p>
        </w:tc>
        <w:tc>
          <w:tcPr>
            <w:tcW w:w="4536" w:type="dxa"/>
            <w:gridSpan w:val="2"/>
          </w:tcPr>
          <w:p w14:paraId="3B774DB9" w14:textId="77777777" w:rsidR="00D76D39"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5250" w:dyaOrig="5670" w14:anchorId="1AF25A43">
                <v:shape id="_x0000_i1029" type="#_x0000_t75" alt="" style="width:199.9pt;height:218.15pt;mso-width-percent:0;mso-height-percent:0;mso-width-percent:0;mso-height-percent:0" o:ole="">
                  <v:imagedata r:id="rId26" o:title=""/>
                </v:shape>
                <o:OLEObject Type="Embed" ProgID="PBrush" ShapeID="_x0000_i1029" DrawAspect="Content" ObjectID="_1611744863" r:id="rId27"/>
              </w:object>
            </w:r>
          </w:p>
        </w:tc>
      </w:tr>
      <w:tr w:rsidR="00C808A0" w:rsidRPr="00872B32" w14:paraId="0EC3AE2B" w14:textId="77777777" w:rsidTr="008C54E8">
        <w:tc>
          <w:tcPr>
            <w:tcW w:w="620" w:type="dxa"/>
          </w:tcPr>
          <w:p w14:paraId="306A801C"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00C16F9E"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17E3B1C7"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1527EDAC"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37D59E50"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19273573" w14:textId="77777777" w:rsidR="00D76D39"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E</w:t>
            </w:r>
          </w:p>
        </w:tc>
        <w:tc>
          <w:tcPr>
            <w:tcW w:w="4482" w:type="dxa"/>
          </w:tcPr>
          <w:p w14:paraId="103A386C" w14:textId="11196D4A" w:rsidR="00D76D39"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5250" w:dyaOrig="5100" w14:anchorId="5E7D7C8D">
                <v:shape id="_x0000_i1030" type="#_x0000_t75" alt="" style="width:192.9pt;height:187pt;mso-width-percent:0;mso-height-percent:0;mso-width-percent:0;mso-height-percent:0" o:ole="">
                  <v:imagedata r:id="rId28" o:title=""/>
                </v:shape>
                <o:OLEObject Type="Embed" ProgID="PBrush" ShapeID="_x0000_i1030" DrawAspect="Content" ObjectID="_1611744864" r:id="rId29"/>
              </w:object>
            </w:r>
          </w:p>
        </w:tc>
        <w:tc>
          <w:tcPr>
            <w:tcW w:w="619" w:type="dxa"/>
            <w:gridSpan w:val="2"/>
          </w:tcPr>
          <w:p w14:paraId="24935131"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429E82FE"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56141AF8"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5C5B8DFC"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3F62D9FC" w14:textId="77777777" w:rsidR="00D76D39" w:rsidRPr="00872B32" w:rsidRDefault="00D76D39" w:rsidP="008C54E8">
            <w:pPr>
              <w:snapToGrid w:val="0"/>
              <w:spacing w:line="360" w:lineRule="auto"/>
              <w:jc w:val="both"/>
              <w:rPr>
                <w:rFonts w:ascii="Book Antiqua" w:eastAsia="Calibri" w:hAnsi="Book Antiqua"/>
                <w:color w:val="000000"/>
                <w:lang w:val="it-IT"/>
              </w:rPr>
            </w:pPr>
          </w:p>
          <w:p w14:paraId="4E515F6E" w14:textId="77777777" w:rsidR="00D76D39"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 xml:space="preserve">   F</w:t>
            </w:r>
          </w:p>
        </w:tc>
        <w:tc>
          <w:tcPr>
            <w:tcW w:w="4481" w:type="dxa"/>
            <w:gridSpan w:val="2"/>
          </w:tcPr>
          <w:p w14:paraId="22C6D25C" w14:textId="77777777" w:rsidR="00D76D39"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814" w:dyaOrig="4186" w14:anchorId="0F20209E">
                <v:shape id="_x0000_i1031" type="#_x0000_t75" alt="" style="width:205.8pt;height:178.95pt;mso-width-percent:0;mso-height-percent:0;mso-width-percent:0;mso-height-percent:0" o:ole="">
                  <v:imagedata r:id="rId30" o:title=""/>
                </v:shape>
                <o:OLEObject Type="Embed" ProgID="PBrush" ShapeID="_x0000_i1031" DrawAspect="Content" ObjectID="_1611744865" r:id="rId31"/>
              </w:object>
            </w:r>
          </w:p>
        </w:tc>
        <w:tc>
          <w:tcPr>
            <w:tcW w:w="4481" w:type="dxa"/>
            <w:gridSpan w:val="2"/>
          </w:tcPr>
          <w:p w14:paraId="4080CD44" w14:textId="77777777" w:rsidR="00D76D39" w:rsidRPr="00872B32" w:rsidRDefault="00D76D39" w:rsidP="008C54E8">
            <w:pPr>
              <w:snapToGrid w:val="0"/>
              <w:spacing w:line="360" w:lineRule="auto"/>
              <w:jc w:val="both"/>
              <w:rPr>
                <w:rFonts w:ascii="Book Antiqua" w:eastAsia="Calibri" w:hAnsi="Book Antiqua"/>
                <w:color w:val="000000"/>
                <w:lang w:val="it-IT"/>
              </w:rPr>
            </w:pPr>
          </w:p>
        </w:tc>
        <w:tc>
          <w:tcPr>
            <w:tcW w:w="4481" w:type="dxa"/>
          </w:tcPr>
          <w:p w14:paraId="284F8C3C" w14:textId="77777777" w:rsidR="00D76D39" w:rsidRPr="00872B32" w:rsidRDefault="00D76D39" w:rsidP="008C54E8">
            <w:pPr>
              <w:snapToGrid w:val="0"/>
              <w:spacing w:line="360" w:lineRule="auto"/>
              <w:jc w:val="both"/>
              <w:rPr>
                <w:rFonts w:ascii="Book Antiqua" w:eastAsia="Calibri" w:hAnsi="Book Antiqua"/>
                <w:color w:val="000000"/>
                <w:lang w:val="it-IT"/>
              </w:rPr>
            </w:pPr>
          </w:p>
        </w:tc>
      </w:tr>
    </w:tbl>
    <w:p w14:paraId="03FD6F55" w14:textId="44581EDC" w:rsidR="00D76D39" w:rsidRPr="00872B32" w:rsidRDefault="005F10BA" w:rsidP="008C54E8">
      <w:pPr>
        <w:snapToGrid w:val="0"/>
        <w:spacing w:line="360" w:lineRule="auto"/>
        <w:jc w:val="both"/>
        <w:rPr>
          <w:rFonts w:ascii="Book Antiqua" w:hAnsi="Book Antiqua"/>
          <w:color w:val="000000"/>
        </w:rPr>
      </w:pPr>
      <w:r w:rsidRPr="00872B32">
        <w:rPr>
          <w:rFonts w:ascii="Book Antiqua" w:hAnsi="Book Antiqua"/>
          <w:b/>
          <w:color w:val="000000"/>
        </w:rPr>
        <w:t>Figure 2</w:t>
      </w:r>
      <w:r w:rsidR="00C808A0" w:rsidRPr="00872B32">
        <w:rPr>
          <w:rFonts w:ascii="Book Antiqua" w:hAnsi="Book Antiqua"/>
          <w:b/>
          <w:color w:val="000000"/>
        </w:rPr>
        <w:t xml:space="preserve"> </w:t>
      </w:r>
      <w:r w:rsidR="00D76D39" w:rsidRPr="00872B32">
        <w:rPr>
          <w:rFonts w:ascii="Book Antiqua" w:hAnsi="Book Antiqua"/>
          <w:b/>
          <w:color w:val="000000"/>
        </w:rPr>
        <w:t xml:space="preserve">Trx1/CD30 preserves the healthy state by regulating the network of the redox-immune response. </w:t>
      </w:r>
      <w:r w:rsidR="00E20860" w:rsidRPr="00BA0ACA">
        <w:rPr>
          <w:rFonts w:ascii="Book Antiqua" w:eastAsia="宋体" w:hAnsi="Book Antiqua"/>
          <w:color w:val="000000"/>
          <w:lang w:eastAsia="zh-CN"/>
        </w:rPr>
        <w:t>A</w:t>
      </w:r>
      <w:r w:rsidR="00E20860" w:rsidRPr="00BA0ACA">
        <w:rPr>
          <w:rFonts w:ascii="Book Antiqua" w:eastAsia="宋体" w:hAnsi="Book Antiqua" w:hint="eastAsia"/>
          <w:color w:val="000000"/>
          <w:lang w:eastAsia="zh-CN"/>
        </w:rPr>
        <w:t>-</w:t>
      </w:r>
      <w:r w:rsidR="00E20860" w:rsidRPr="00BA0ACA">
        <w:rPr>
          <w:rFonts w:ascii="Book Antiqua" w:eastAsia="宋体" w:hAnsi="Book Antiqua"/>
          <w:color w:val="000000"/>
          <w:lang w:eastAsia="zh-CN"/>
        </w:rPr>
        <w:t>F</w:t>
      </w:r>
      <w:r w:rsidR="00E20860" w:rsidRPr="00BA0ACA">
        <w:rPr>
          <w:rFonts w:ascii="Book Antiqua" w:eastAsia="宋体" w:hAnsi="Book Antiqua" w:hint="eastAsia"/>
          <w:color w:val="000000"/>
          <w:lang w:eastAsia="zh-CN"/>
        </w:rPr>
        <w:t xml:space="preserve">: </w:t>
      </w:r>
      <w:r w:rsidR="00D76D39" w:rsidRPr="00E20860">
        <w:rPr>
          <w:rFonts w:ascii="Book Antiqua" w:hAnsi="Book Antiqua"/>
          <w:color w:val="000000"/>
        </w:rPr>
        <w:t>Principal component analysis plots of the network of correlations between the levels of Trx1, RTrx1, sCD30 and immunological parameters of healthy subjects (with and without the age component), in all the groups (A</w:t>
      </w:r>
      <w:r w:rsidR="00EE329E" w:rsidRPr="00E20860">
        <w:rPr>
          <w:rFonts w:ascii="Book Antiqua" w:hAnsi="Book Antiqua"/>
          <w:color w:val="000000"/>
        </w:rPr>
        <w:t>,</w:t>
      </w:r>
      <w:r w:rsidR="00E20860" w:rsidRPr="00BA0ACA">
        <w:rPr>
          <w:rFonts w:ascii="Book Antiqua" w:eastAsia="宋体" w:hAnsi="Book Antiqua" w:hint="eastAsia"/>
          <w:color w:val="000000"/>
          <w:lang w:eastAsia="zh-CN"/>
        </w:rPr>
        <w:t xml:space="preserve"> </w:t>
      </w:r>
      <w:r w:rsidR="00EE329E" w:rsidRPr="00E20860">
        <w:rPr>
          <w:rFonts w:ascii="Book Antiqua" w:hAnsi="Book Antiqua"/>
          <w:color w:val="000000"/>
        </w:rPr>
        <w:t>B</w:t>
      </w:r>
      <w:r w:rsidR="00D76D39" w:rsidRPr="00E20860">
        <w:rPr>
          <w:rFonts w:ascii="Book Antiqua" w:hAnsi="Book Antiqua"/>
          <w:color w:val="000000"/>
        </w:rPr>
        <w:t>) and male (</w:t>
      </w:r>
      <w:r w:rsidR="00EE329E" w:rsidRPr="00E20860">
        <w:rPr>
          <w:rFonts w:ascii="Book Antiqua" w:hAnsi="Book Antiqua"/>
          <w:color w:val="000000"/>
        </w:rPr>
        <w:t>C,</w:t>
      </w:r>
      <w:r w:rsidR="00E20860" w:rsidRPr="00BA0ACA">
        <w:rPr>
          <w:rFonts w:ascii="Book Antiqua" w:eastAsia="宋体" w:hAnsi="Book Antiqua" w:hint="eastAsia"/>
          <w:color w:val="000000"/>
          <w:lang w:eastAsia="zh-CN"/>
        </w:rPr>
        <w:t xml:space="preserve"> </w:t>
      </w:r>
      <w:r w:rsidR="00EE329E" w:rsidRPr="00E20860">
        <w:rPr>
          <w:rFonts w:ascii="Book Antiqua" w:hAnsi="Book Antiqua"/>
          <w:color w:val="000000"/>
        </w:rPr>
        <w:t>D</w:t>
      </w:r>
      <w:r w:rsidR="00D76D39" w:rsidRPr="00E20860">
        <w:rPr>
          <w:rFonts w:ascii="Book Antiqua" w:hAnsi="Book Antiqua"/>
          <w:color w:val="000000"/>
        </w:rPr>
        <w:t>) and female (</w:t>
      </w:r>
      <w:r w:rsidR="00EE329E" w:rsidRPr="00E20860">
        <w:rPr>
          <w:rFonts w:ascii="Book Antiqua" w:hAnsi="Book Antiqua"/>
          <w:color w:val="000000"/>
        </w:rPr>
        <w:t>E,</w:t>
      </w:r>
      <w:r w:rsidR="00E20860" w:rsidRPr="00BA0ACA">
        <w:rPr>
          <w:rFonts w:ascii="Book Antiqua" w:eastAsia="宋体" w:hAnsi="Book Antiqua" w:hint="eastAsia"/>
          <w:color w:val="000000"/>
          <w:lang w:eastAsia="zh-CN"/>
        </w:rPr>
        <w:t xml:space="preserve"> </w:t>
      </w:r>
      <w:r w:rsidR="00EE329E" w:rsidRPr="00E20860">
        <w:rPr>
          <w:rFonts w:ascii="Book Antiqua" w:hAnsi="Book Antiqua"/>
          <w:color w:val="000000"/>
        </w:rPr>
        <w:t>F</w:t>
      </w:r>
      <w:r w:rsidR="00D76D39" w:rsidRPr="00E20860">
        <w:rPr>
          <w:rFonts w:ascii="Book Antiqua" w:hAnsi="Book Antiqua"/>
          <w:color w:val="000000"/>
        </w:rPr>
        <w:t>) subgroups.</w:t>
      </w:r>
      <w:r w:rsidR="00DE68B6" w:rsidRPr="00E20860">
        <w:rPr>
          <w:rFonts w:ascii="Book Antiqua" w:eastAsia="宋体" w:hAnsi="Book Antiqua" w:hint="eastAsia"/>
          <w:color w:val="000000"/>
          <w:lang w:eastAsia="zh-CN"/>
        </w:rPr>
        <w:t xml:space="preserve"> </w:t>
      </w:r>
      <w:r w:rsidR="00D76D39" w:rsidRPr="00872B32">
        <w:rPr>
          <w:rFonts w:ascii="Book Antiqua" w:hAnsi="Book Antiqua"/>
          <w:color w:val="000000"/>
        </w:rPr>
        <w:t xml:space="preserve">Vector colors: </w:t>
      </w:r>
      <w:r w:rsidR="00DE68B6"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E20860">
        <w:rPr>
          <w:rFonts w:ascii="Book Antiqua" w:hAnsi="Book Antiqua"/>
          <w:color w:val="000000"/>
        </w:rPr>
        <w:t>Increase</w:t>
      </w:r>
      <w:r w:rsidR="00E20860" w:rsidRPr="00BA0ACA">
        <w:rPr>
          <w:rFonts w:ascii="Book Antiqua" w:eastAsia="宋体" w:hAnsi="Book Antiqua" w:hint="eastAsia"/>
          <w:color w:val="000000"/>
          <w:lang w:eastAsia="zh-CN"/>
        </w:rPr>
        <w:t xml:space="preserv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w:t>
      </w:r>
      <w:r w:rsidR="00DE68B6" w:rsidRPr="00872B32">
        <w:rPr>
          <w:rFonts w:ascii="Book Antiqua" w:hAnsi="Book Antiqua"/>
          <w:color w:val="000000"/>
        </w:rPr>
        <w:t xml:space="preserve">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Forms: </w:t>
      </w:r>
      <w:r w:rsidR="00D16E46">
        <w:rPr>
          <w:rFonts w:ascii="Book Antiqua" w:hAnsi="Book Antiqua"/>
          <w:noProof/>
          <w:color w:val="000000"/>
          <w:lang w:eastAsia="zh-CN"/>
        </w:rPr>
        <w:drawing>
          <wp:inline distT="0" distB="0" distL="0" distR="0" wp14:anchorId="5E8FF662" wp14:editId="53EBF527">
            <wp:extent cx="865505" cy="233680"/>
            <wp:effectExtent l="0" t="0" r="0" b="0"/>
            <wp:docPr id="8"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5505" cy="233680"/>
                    </a:xfrm>
                    <a:prstGeom prst="rect">
                      <a:avLst/>
                    </a:prstGeom>
                    <a:noFill/>
                    <a:ln>
                      <a:noFill/>
                    </a:ln>
                  </pic:spPr>
                </pic:pic>
              </a:graphicData>
            </a:graphic>
          </wp:inline>
        </w:drawing>
      </w:r>
      <w:r w:rsidR="003A5B8B" w:rsidRPr="00BA4E7C">
        <w:rPr>
          <w:rFonts w:ascii="Book Antiqua" w:eastAsia="宋体" w:hAnsi="Book Antiqua" w:hint="eastAsia"/>
          <w:color w:val="000000"/>
          <w:lang w:eastAsia="zh-CN"/>
        </w:rPr>
        <w:t xml:space="preserve">: </w:t>
      </w:r>
      <w:r w:rsidR="003A5B8B"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14:paraId="2CA4BCD6" w14:textId="77777777" w:rsidR="00D76D39" w:rsidRPr="00872B32" w:rsidRDefault="00D76D39" w:rsidP="008C54E8">
      <w:pPr>
        <w:snapToGrid w:val="0"/>
        <w:spacing w:line="360" w:lineRule="auto"/>
        <w:jc w:val="both"/>
        <w:rPr>
          <w:rFonts w:ascii="Book Antiqua" w:hAnsi="Book Antiqua"/>
          <w:color w:val="000000"/>
        </w:rPr>
      </w:pPr>
    </w:p>
    <w:p w14:paraId="46ED36FB" w14:textId="77777777" w:rsidR="00D76D39" w:rsidRPr="00872B32" w:rsidRDefault="00D76D39" w:rsidP="008C54E8">
      <w:pPr>
        <w:snapToGrid w:val="0"/>
        <w:spacing w:line="360" w:lineRule="auto"/>
        <w:jc w:val="both"/>
        <w:rPr>
          <w:rFonts w:ascii="Book Antiqua" w:hAnsi="Book Antiqua"/>
          <w:color w:val="000000"/>
        </w:rPr>
      </w:pPr>
    </w:p>
    <w:p w14:paraId="156321D7" w14:textId="77777777" w:rsidR="00D76D39" w:rsidRPr="00872B32" w:rsidRDefault="00D76D39" w:rsidP="008C54E8">
      <w:pPr>
        <w:snapToGrid w:val="0"/>
        <w:spacing w:line="360" w:lineRule="auto"/>
        <w:jc w:val="both"/>
        <w:rPr>
          <w:rFonts w:ascii="Book Antiqua" w:hAnsi="Book Antiqua"/>
          <w:color w:val="000000"/>
        </w:rPr>
      </w:pPr>
    </w:p>
    <w:p w14:paraId="1715E2BD" w14:textId="77777777" w:rsidR="00D76D39" w:rsidRPr="00872B32" w:rsidRDefault="00D76D39" w:rsidP="008C54E8">
      <w:pPr>
        <w:snapToGrid w:val="0"/>
        <w:spacing w:line="360" w:lineRule="auto"/>
        <w:jc w:val="both"/>
        <w:rPr>
          <w:rFonts w:ascii="Book Antiqua" w:hAnsi="Book Antiqua"/>
          <w:color w:val="000000"/>
        </w:rPr>
      </w:pPr>
    </w:p>
    <w:p w14:paraId="3DA837E3" w14:textId="77777777" w:rsidR="00D76D39" w:rsidRPr="00872B32" w:rsidRDefault="00D76D39" w:rsidP="008C54E8">
      <w:pPr>
        <w:snapToGrid w:val="0"/>
        <w:spacing w:line="360" w:lineRule="auto"/>
        <w:jc w:val="both"/>
        <w:rPr>
          <w:rFonts w:ascii="Book Antiqua" w:hAnsi="Book Antiqua"/>
          <w:color w:val="000000"/>
        </w:rPr>
      </w:pPr>
    </w:p>
    <w:p w14:paraId="7974E763" w14:textId="77777777" w:rsidR="00D76D39" w:rsidRPr="00872B32" w:rsidRDefault="00D76D39" w:rsidP="008C54E8">
      <w:pPr>
        <w:snapToGrid w:val="0"/>
        <w:spacing w:line="360" w:lineRule="auto"/>
        <w:jc w:val="both"/>
        <w:rPr>
          <w:rFonts w:ascii="Book Antiqua" w:hAnsi="Book Antiqua"/>
          <w:color w:val="000000"/>
        </w:rPr>
      </w:pPr>
    </w:p>
    <w:p w14:paraId="14DDBEB3" w14:textId="77777777" w:rsidR="00D76D39" w:rsidRPr="00872B32" w:rsidRDefault="00D76D39" w:rsidP="008C54E8">
      <w:pPr>
        <w:snapToGrid w:val="0"/>
        <w:spacing w:line="360" w:lineRule="auto"/>
        <w:jc w:val="both"/>
        <w:rPr>
          <w:rFonts w:ascii="Book Antiqua" w:hAnsi="Book Antiqua"/>
          <w:color w:val="000000"/>
        </w:rPr>
      </w:pPr>
    </w:p>
    <w:p w14:paraId="19E984B7" w14:textId="77777777" w:rsidR="00D76D39" w:rsidRPr="00872B32" w:rsidRDefault="00D76D39" w:rsidP="008C54E8">
      <w:pPr>
        <w:snapToGrid w:val="0"/>
        <w:spacing w:line="360" w:lineRule="auto"/>
        <w:jc w:val="both"/>
        <w:rPr>
          <w:rFonts w:ascii="Book Antiqua" w:hAnsi="Book Antiqua"/>
          <w:color w:val="000000"/>
        </w:rPr>
      </w:pPr>
    </w:p>
    <w:p w14:paraId="2E950FFD" w14:textId="77777777" w:rsidR="00D76D39" w:rsidRPr="00872B32" w:rsidRDefault="00D76D39" w:rsidP="008C54E8">
      <w:pPr>
        <w:snapToGrid w:val="0"/>
        <w:spacing w:line="360" w:lineRule="auto"/>
        <w:jc w:val="both"/>
        <w:rPr>
          <w:rFonts w:ascii="Book Antiqua" w:hAnsi="Book Antiqua"/>
          <w:color w:val="000000"/>
        </w:rPr>
      </w:pPr>
    </w:p>
    <w:p w14:paraId="27931688" w14:textId="77777777" w:rsidR="00D76D39" w:rsidRPr="00872B32" w:rsidRDefault="00D76D39" w:rsidP="008C54E8">
      <w:pPr>
        <w:snapToGrid w:val="0"/>
        <w:spacing w:line="360" w:lineRule="auto"/>
        <w:jc w:val="both"/>
        <w:rPr>
          <w:rFonts w:ascii="Book Antiqua" w:hAnsi="Book Antiqua"/>
          <w:color w:val="000000"/>
        </w:rPr>
      </w:pPr>
    </w:p>
    <w:p w14:paraId="50D42D08" w14:textId="77777777" w:rsidR="00D76D39" w:rsidRPr="00872B32" w:rsidRDefault="00D76D39" w:rsidP="008C54E8">
      <w:pPr>
        <w:snapToGrid w:val="0"/>
        <w:spacing w:line="360" w:lineRule="auto"/>
        <w:jc w:val="both"/>
        <w:rPr>
          <w:rFonts w:ascii="Book Antiqua" w:hAnsi="Book Antiqua"/>
          <w:color w:val="000000"/>
        </w:rPr>
      </w:pPr>
    </w:p>
    <w:p w14:paraId="76D06CA3" w14:textId="77777777" w:rsidR="00D76D39" w:rsidRPr="00872B32" w:rsidRDefault="00D76D39" w:rsidP="008C54E8">
      <w:pPr>
        <w:snapToGrid w:val="0"/>
        <w:spacing w:line="360" w:lineRule="auto"/>
        <w:jc w:val="both"/>
        <w:rPr>
          <w:rFonts w:ascii="Book Antiqua" w:hAnsi="Book Antiqua"/>
          <w:color w:val="000000"/>
        </w:rPr>
      </w:pPr>
    </w:p>
    <w:p w14:paraId="34E49629" w14:textId="77777777" w:rsidR="00D76D39" w:rsidRPr="00872B32" w:rsidRDefault="00D76D39" w:rsidP="008C54E8">
      <w:pPr>
        <w:snapToGrid w:val="0"/>
        <w:spacing w:line="360" w:lineRule="auto"/>
        <w:jc w:val="both"/>
        <w:rPr>
          <w:rFonts w:ascii="Book Antiqua" w:hAnsi="Book Antiqua"/>
          <w:color w:val="000000"/>
        </w:rPr>
      </w:pPr>
    </w:p>
    <w:p w14:paraId="406180EE" w14:textId="77777777" w:rsidR="00D76D39" w:rsidRPr="00872B32" w:rsidRDefault="00D76D39" w:rsidP="008C54E8">
      <w:pPr>
        <w:snapToGrid w:val="0"/>
        <w:spacing w:line="360" w:lineRule="auto"/>
        <w:jc w:val="both"/>
        <w:rPr>
          <w:rFonts w:ascii="Book Antiqua" w:hAnsi="Book Antiqua"/>
          <w:color w:val="000000"/>
        </w:rPr>
      </w:pPr>
    </w:p>
    <w:p w14:paraId="779C02B9" w14:textId="77777777" w:rsidR="00D76D39" w:rsidRPr="00872B32" w:rsidRDefault="00D76D39" w:rsidP="008C54E8">
      <w:pPr>
        <w:snapToGrid w:val="0"/>
        <w:spacing w:line="360" w:lineRule="auto"/>
        <w:jc w:val="both"/>
        <w:rPr>
          <w:rFonts w:ascii="Book Antiqua" w:hAnsi="Book Antiqua"/>
          <w:color w:val="000000"/>
        </w:rPr>
      </w:pPr>
    </w:p>
    <w:p w14:paraId="3721725C" w14:textId="77777777" w:rsidR="00463AB4" w:rsidRPr="00872B32" w:rsidRDefault="00463AB4" w:rsidP="008C54E8">
      <w:pPr>
        <w:snapToGrid w:val="0"/>
        <w:spacing w:line="360" w:lineRule="auto"/>
        <w:jc w:val="both"/>
        <w:rPr>
          <w:rFonts w:ascii="Book Antiqua" w:eastAsia="Calibri" w:hAnsi="Book Antiqua"/>
          <w:b/>
          <w:color w:val="000000"/>
        </w:rPr>
        <w:sectPr w:rsidR="00463AB4" w:rsidRPr="00872B32" w:rsidSect="008C54E8">
          <w:pgSz w:w="11906" w:h="16838"/>
          <w:pgMar w:top="1440" w:right="1440" w:bottom="1440" w:left="1440" w:header="706" w:footer="706" w:gutter="0"/>
          <w:cols w:space="708"/>
          <w:docGrid w:linePitch="360"/>
        </w:sectPr>
      </w:pPr>
    </w:p>
    <w:p w14:paraId="192D16B4" w14:textId="77777777" w:rsidR="006A4864" w:rsidRPr="00872B32" w:rsidRDefault="006A4864" w:rsidP="008C54E8">
      <w:pPr>
        <w:snapToGrid w:val="0"/>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562"/>
        <w:gridCol w:w="4389"/>
        <w:gridCol w:w="573"/>
        <w:gridCol w:w="5238"/>
      </w:tblGrid>
      <w:tr w:rsidR="006A4864" w:rsidRPr="00872B32" w14:paraId="585828BD" w14:textId="77777777" w:rsidTr="00EE1CE0">
        <w:tc>
          <w:tcPr>
            <w:tcW w:w="562" w:type="dxa"/>
          </w:tcPr>
          <w:p w14:paraId="71CCC4B7" w14:textId="77777777" w:rsidR="006A4864" w:rsidRPr="00872B32" w:rsidRDefault="006A4864" w:rsidP="008C54E8">
            <w:pPr>
              <w:snapToGrid w:val="0"/>
              <w:spacing w:line="360" w:lineRule="auto"/>
              <w:jc w:val="both"/>
              <w:rPr>
                <w:rFonts w:ascii="Book Antiqua" w:eastAsia="Calibri" w:hAnsi="Book Antiqua"/>
                <w:color w:val="000000"/>
              </w:rPr>
            </w:pPr>
          </w:p>
          <w:p w14:paraId="57A38BB4" w14:textId="77777777" w:rsidR="006A4864" w:rsidRPr="00872B32" w:rsidRDefault="006A4864" w:rsidP="008C54E8">
            <w:pPr>
              <w:snapToGrid w:val="0"/>
              <w:spacing w:line="360" w:lineRule="auto"/>
              <w:jc w:val="both"/>
              <w:rPr>
                <w:rFonts w:ascii="Book Antiqua" w:eastAsia="Calibri" w:hAnsi="Book Antiqua"/>
                <w:color w:val="000000"/>
              </w:rPr>
            </w:pPr>
          </w:p>
          <w:p w14:paraId="38334F88" w14:textId="77777777" w:rsidR="006A4864" w:rsidRPr="00872B32" w:rsidRDefault="006A4864" w:rsidP="008C54E8">
            <w:pPr>
              <w:snapToGrid w:val="0"/>
              <w:spacing w:line="360" w:lineRule="auto"/>
              <w:jc w:val="both"/>
              <w:rPr>
                <w:rFonts w:ascii="Book Antiqua" w:eastAsia="Calibri" w:hAnsi="Book Antiqua"/>
                <w:color w:val="000000"/>
              </w:rPr>
            </w:pPr>
          </w:p>
          <w:p w14:paraId="237EF7C3" w14:textId="77777777" w:rsidR="006A4864" w:rsidRPr="00872B32" w:rsidRDefault="006A4864" w:rsidP="008C54E8">
            <w:pPr>
              <w:snapToGrid w:val="0"/>
              <w:spacing w:line="360" w:lineRule="auto"/>
              <w:jc w:val="both"/>
              <w:rPr>
                <w:rFonts w:ascii="Book Antiqua" w:eastAsia="Calibri" w:hAnsi="Book Antiqua"/>
                <w:color w:val="000000"/>
              </w:rPr>
            </w:pPr>
          </w:p>
          <w:p w14:paraId="58F3C822" w14:textId="77777777" w:rsidR="006A4864" w:rsidRPr="00872B32" w:rsidRDefault="006A4864" w:rsidP="008C54E8">
            <w:pPr>
              <w:snapToGrid w:val="0"/>
              <w:spacing w:line="360" w:lineRule="auto"/>
              <w:jc w:val="both"/>
              <w:rPr>
                <w:rFonts w:ascii="Book Antiqua" w:eastAsia="Calibri" w:hAnsi="Book Antiqua"/>
                <w:color w:val="000000"/>
              </w:rPr>
            </w:pPr>
          </w:p>
          <w:p w14:paraId="1B51A775" w14:textId="77777777" w:rsidR="006A4864"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A</w:t>
            </w:r>
          </w:p>
        </w:tc>
        <w:tc>
          <w:tcPr>
            <w:tcW w:w="4389" w:type="dxa"/>
          </w:tcPr>
          <w:p w14:paraId="2691E495" w14:textId="7E4EA30A" w:rsidR="006A4864"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320" w:dyaOrig="4485" w14:anchorId="1E28B40F">
                <v:shape id="_x0000_i1032" type="#_x0000_t75" alt="" style="width:165.5pt;height:200.95pt;mso-width-percent:0;mso-height-percent:0;mso-width-percent:0;mso-height-percent:0" o:ole="">
                  <v:imagedata r:id="rId33" o:title=""/>
                </v:shape>
                <o:OLEObject Type="Embed" ProgID="PBrush" ShapeID="_x0000_i1032" DrawAspect="Content" ObjectID="_1611744866" r:id="rId34"/>
              </w:object>
            </w:r>
          </w:p>
          <w:p w14:paraId="45FB00FE"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4961FA72" w14:textId="77777777" w:rsidR="006A4864" w:rsidRPr="00872B32" w:rsidRDefault="006A4864" w:rsidP="008C54E8">
            <w:pPr>
              <w:snapToGrid w:val="0"/>
              <w:spacing w:line="360" w:lineRule="auto"/>
              <w:jc w:val="both"/>
              <w:rPr>
                <w:rFonts w:ascii="Book Antiqua" w:eastAsia="Calibri" w:hAnsi="Book Antiqua"/>
                <w:color w:val="000000"/>
                <w:lang w:val="it-IT"/>
              </w:rPr>
            </w:pPr>
          </w:p>
        </w:tc>
        <w:tc>
          <w:tcPr>
            <w:tcW w:w="573" w:type="dxa"/>
          </w:tcPr>
          <w:p w14:paraId="4ED1D003"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6225F2CE"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64E0C25E"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1D8D81D1"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58B9F775"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715716BF" w14:textId="77777777" w:rsidR="006A4864"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B</w:t>
            </w:r>
          </w:p>
        </w:tc>
        <w:tc>
          <w:tcPr>
            <w:tcW w:w="5238" w:type="dxa"/>
          </w:tcPr>
          <w:p w14:paraId="35109606" w14:textId="623FE75B" w:rsidR="006A4864"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5220" w:dyaOrig="4380" w14:anchorId="1A906397">
                <v:shape id="_x0000_i1033" type="#_x0000_t75" alt="" style="width:213.85pt;height:178.4pt;mso-width-percent:0;mso-height-percent:0;mso-width-percent:0;mso-height-percent:0" o:ole="">
                  <v:imagedata r:id="rId35" o:title=""/>
                </v:shape>
                <o:OLEObject Type="Embed" ProgID="PBrush" ShapeID="_x0000_i1033" DrawAspect="Content" ObjectID="_1611744867" r:id="rId36"/>
              </w:object>
            </w:r>
          </w:p>
        </w:tc>
      </w:tr>
    </w:tbl>
    <w:p w14:paraId="491FBC37" w14:textId="085E3E95" w:rsidR="006A4864" w:rsidRPr="00872B32" w:rsidRDefault="006A4864" w:rsidP="008C54E8">
      <w:pPr>
        <w:snapToGrid w:val="0"/>
        <w:spacing w:line="360" w:lineRule="auto"/>
        <w:jc w:val="both"/>
        <w:rPr>
          <w:rFonts w:ascii="Book Antiqua" w:eastAsia="Calibri" w:hAnsi="Book Antiqua"/>
          <w:color w:val="000000"/>
          <w:lang w:val="it-IT"/>
        </w:rPr>
      </w:pPr>
    </w:p>
    <w:tbl>
      <w:tblPr>
        <w:tblW w:w="0" w:type="auto"/>
        <w:tblLook w:val="04A0" w:firstRow="1" w:lastRow="0" w:firstColumn="1" w:lastColumn="0" w:noHBand="0" w:noVBand="1"/>
      </w:tblPr>
      <w:tblGrid>
        <w:gridCol w:w="404"/>
        <w:gridCol w:w="4125"/>
        <w:gridCol w:w="427"/>
        <w:gridCol w:w="4286"/>
      </w:tblGrid>
      <w:tr w:rsidR="00C808A0" w:rsidRPr="00872B32" w14:paraId="44CF0988" w14:textId="77777777" w:rsidTr="00EE1CE0">
        <w:tc>
          <w:tcPr>
            <w:tcW w:w="510" w:type="dxa"/>
          </w:tcPr>
          <w:p w14:paraId="618476D9"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31D0601D"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220406FD"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0F8CD235"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2868FADF"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5E6CF8A7" w14:textId="77777777" w:rsidR="006A4864"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C</w:t>
            </w:r>
          </w:p>
        </w:tc>
        <w:tc>
          <w:tcPr>
            <w:tcW w:w="5103" w:type="dxa"/>
          </w:tcPr>
          <w:p w14:paraId="158C0EFD" w14:textId="722C5D46" w:rsidR="006A4864"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440" w:dyaOrig="4245" w14:anchorId="30495DEA">
                <v:shape id="_x0000_i1034" type="#_x0000_t75" alt="" style="width:189.15pt;height:181.6pt;mso-width-percent:0;mso-height-percent:0;mso-width-percent:0;mso-height-percent:0" o:ole="">
                  <v:imagedata r:id="rId37" o:title=""/>
                </v:shape>
                <o:OLEObject Type="Embed" ProgID="PBrush" ShapeID="_x0000_i1034" DrawAspect="Content" ObjectID="_1611744868" r:id="rId38"/>
              </w:object>
            </w:r>
          </w:p>
        </w:tc>
        <w:tc>
          <w:tcPr>
            <w:tcW w:w="510" w:type="dxa"/>
          </w:tcPr>
          <w:p w14:paraId="3927BE1A"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44B4BC25"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64A2A2F8"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4E52E187"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5CA2E549"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70431B46" w14:textId="77777777" w:rsidR="006A4864"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D</w:t>
            </w:r>
          </w:p>
        </w:tc>
        <w:tc>
          <w:tcPr>
            <w:tcW w:w="5103" w:type="dxa"/>
          </w:tcPr>
          <w:p w14:paraId="597A5300" w14:textId="35EE3B1A" w:rsidR="006A4864"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950" w:dyaOrig="4485" w14:anchorId="09A4AD7B">
                <v:shape id="_x0000_i1035" type="#_x0000_t75" alt="" style="width:198.25pt;height:181.6pt;mso-width-percent:0;mso-height-percent:0;mso-width-percent:0;mso-height-percent:0" o:ole="">
                  <v:imagedata r:id="rId39" o:title=""/>
                </v:shape>
                <o:OLEObject Type="Embed" ProgID="PBrush" ShapeID="_x0000_i1035" DrawAspect="Content" ObjectID="_1611744869" r:id="rId40"/>
              </w:object>
            </w:r>
          </w:p>
        </w:tc>
      </w:tr>
    </w:tbl>
    <w:p w14:paraId="55AD7AC6" w14:textId="77777777" w:rsidR="006A4864" w:rsidRPr="00872B32" w:rsidRDefault="006A4864" w:rsidP="008C54E8">
      <w:pPr>
        <w:snapToGrid w:val="0"/>
        <w:spacing w:line="360" w:lineRule="auto"/>
        <w:jc w:val="both"/>
        <w:rPr>
          <w:rFonts w:ascii="Book Antiqua" w:eastAsia="Calibri" w:hAnsi="Book Antiqua"/>
          <w:color w:val="000000"/>
          <w:lang w:val="it-IT"/>
        </w:rPr>
      </w:pPr>
    </w:p>
    <w:tbl>
      <w:tblPr>
        <w:tblW w:w="0" w:type="auto"/>
        <w:tblBorders>
          <w:bottom w:val="single" w:sz="4" w:space="0" w:color="auto"/>
        </w:tblBorders>
        <w:tblLook w:val="04A0" w:firstRow="1" w:lastRow="0" w:firstColumn="1" w:lastColumn="0" w:noHBand="0" w:noVBand="1"/>
      </w:tblPr>
      <w:tblGrid>
        <w:gridCol w:w="393"/>
        <w:gridCol w:w="4458"/>
        <w:gridCol w:w="382"/>
        <w:gridCol w:w="4009"/>
      </w:tblGrid>
      <w:tr w:rsidR="00C808A0" w:rsidRPr="00872B32" w14:paraId="4DDC4FC0" w14:textId="77777777" w:rsidTr="008C54E8">
        <w:tc>
          <w:tcPr>
            <w:tcW w:w="432" w:type="dxa"/>
            <w:tcBorders>
              <w:bottom w:val="nil"/>
            </w:tcBorders>
          </w:tcPr>
          <w:p w14:paraId="7B4BEBFF"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2AA98F52"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45EC1607"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0D15F133"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1DD2DF29"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3DC7F31F" w14:textId="77777777" w:rsidR="006A4864"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E</w:t>
            </w:r>
          </w:p>
        </w:tc>
        <w:tc>
          <w:tcPr>
            <w:tcW w:w="4664" w:type="dxa"/>
            <w:tcBorders>
              <w:bottom w:val="nil"/>
            </w:tcBorders>
          </w:tcPr>
          <w:p w14:paraId="3AC6D430" w14:textId="7F991ED1" w:rsidR="006A4864"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755" w:dyaOrig="4455" w14:anchorId="0DA00880">
                <v:shape id="_x0000_i1036" type="#_x0000_t75" alt="" style="width:204.2pt;height:189.15pt;mso-width-percent:0;mso-height-percent:0;mso-width-percent:0;mso-height-percent:0" o:ole="">
                  <v:imagedata r:id="rId41" o:title=""/>
                </v:shape>
                <o:OLEObject Type="Embed" ProgID="PBrush" ShapeID="_x0000_i1036" DrawAspect="Content" ObjectID="_1611744870" r:id="rId42"/>
              </w:object>
            </w:r>
          </w:p>
        </w:tc>
        <w:tc>
          <w:tcPr>
            <w:tcW w:w="425" w:type="dxa"/>
            <w:tcBorders>
              <w:bottom w:val="nil"/>
            </w:tcBorders>
          </w:tcPr>
          <w:p w14:paraId="78C70CCD"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07430CBD"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324C504E"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34B1892B"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19E7FF61" w14:textId="77777777" w:rsidR="006A4864" w:rsidRPr="00872B32" w:rsidRDefault="006A4864" w:rsidP="008C54E8">
            <w:pPr>
              <w:snapToGrid w:val="0"/>
              <w:spacing w:line="360" w:lineRule="auto"/>
              <w:jc w:val="both"/>
              <w:rPr>
                <w:rFonts w:ascii="Book Antiqua" w:eastAsia="Calibri" w:hAnsi="Book Antiqua"/>
                <w:color w:val="000000"/>
                <w:lang w:val="it-IT"/>
              </w:rPr>
            </w:pPr>
          </w:p>
          <w:p w14:paraId="743CEE06" w14:textId="77777777" w:rsidR="006A4864" w:rsidRPr="00872B32" w:rsidRDefault="00EE329E" w:rsidP="008C54E8">
            <w:pPr>
              <w:snapToGrid w:val="0"/>
              <w:spacing w:line="360" w:lineRule="auto"/>
              <w:jc w:val="both"/>
              <w:rPr>
                <w:rFonts w:ascii="Book Antiqua" w:eastAsia="Calibri" w:hAnsi="Book Antiqua"/>
                <w:b/>
                <w:color w:val="000000"/>
                <w:lang w:val="it-IT"/>
              </w:rPr>
            </w:pPr>
            <w:r>
              <w:rPr>
                <w:rFonts w:ascii="Book Antiqua" w:eastAsia="Calibri" w:hAnsi="Book Antiqua"/>
                <w:b/>
                <w:color w:val="000000"/>
                <w:lang w:val="it-IT"/>
              </w:rPr>
              <w:t>F</w:t>
            </w:r>
          </w:p>
        </w:tc>
        <w:tc>
          <w:tcPr>
            <w:tcW w:w="4333" w:type="dxa"/>
            <w:tcBorders>
              <w:bottom w:val="nil"/>
            </w:tcBorders>
          </w:tcPr>
          <w:p w14:paraId="60844873" w14:textId="781B8729" w:rsidR="006A4864" w:rsidRPr="00872B32" w:rsidRDefault="000E1476"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020" w:dyaOrig="4305" w14:anchorId="4F72CE8C">
                <v:shape id="_x0000_i1037" type="#_x0000_t75" alt="" style="width:177.3pt;height:189.15pt;mso-width-percent:0;mso-height-percent:0;mso-width-percent:0;mso-height-percent:0" o:ole="">
                  <v:imagedata r:id="rId43" o:title=""/>
                </v:shape>
                <o:OLEObject Type="Embed" ProgID="PBrush" ShapeID="_x0000_i1037" DrawAspect="Content" ObjectID="_1611744871" r:id="rId44"/>
              </w:object>
            </w:r>
          </w:p>
        </w:tc>
      </w:tr>
      <w:tr w:rsidR="00C808A0" w:rsidRPr="00872B32" w14:paraId="5EB0AD78" w14:textId="77777777" w:rsidTr="008C54E8">
        <w:tblPrEx>
          <w:tblBorders>
            <w:top w:val="single" w:sz="4" w:space="0" w:color="auto"/>
            <w:bottom w:val="none" w:sz="0" w:space="0" w:color="auto"/>
          </w:tblBorders>
        </w:tblPrEx>
        <w:tc>
          <w:tcPr>
            <w:tcW w:w="9854" w:type="dxa"/>
            <w:gridSpan w:val="4"/>
            <w:tcBorders>
              <w:top w:val="nil"/>
              <w:bottom w:val="nil"/>
            </w:tcBorders>
          </w:tcPr>
          <w:p w14:paraId="17EC48C7" w14:textId="11A99258" w:rsidR="006A4864" w:rsidRPr="00872B32" w:rsidRDefault="006A4864" w:rsidP="008C54E8">
            <w:pPr>
              <w:snapToGrid w:val="0"/>
              <w:spacing w:line="360" w:lineRule="auto"/>
              <w:jc w:val="both"/>
              <w:rPr>
                <w:rFonts w:ascii="Book Antiqua" w:eastAsia="Calibri" w:hAnsi="Book Antiqua"/>
                <w:color w:val="000000"/>
                <w:lang w:val="it-IT"/>
              </w:rPr>
            </w:pPr>
          </w:p>
        </w:tc>
      </w:tr>
    </w:tbl>
    <w:p w14:paraId="64B8C5FC" w14:textId="03A4B584" w:rsidR="00D76D39" w:rsidRPr="00872B32" w:rsidRDefault="005F10BA" w:rsidP="008C54E8">
      <w:pPr>
        <w:snapToGrid w:val="0"/>
        <w:spacing w:line="360" w:lineRule="auto"/>
        <w:jc w:val="both"/>
        <w:rPr>
          <w:rFonts w:ascii="Book Antiqua" w:hAnsi="Book Antiqua"/>
          <w:color w:val="000000"/>
        </w:rPr>
      </w:pPr>
      <w:r w:rsidRPr="00872B32">
        <w:rPr>
          <w:rFonts w:ascii="Book Antiqua" w:hAnsi="Book Antiqua"/>
          <w:b/>
          <w:color w:val="000000"/>
        </w:rPr>
        <w:t>Figure 3</w:t>
      </w:r>
      <w:r w:rsidR="00C808A0" w:rsidRPr="00872B32">
        <w:rPr>
          <w:rFonts w:ascii="Book Antiqua" w:hAnsi="Book Antiqua"/>
          <w:b/>
          <w:color w:val="000000"/>
        </w:rPr>
        <w:t xml:space="preserve"> </w:t>
      </w:r>
      <w:r w:rsidR="00D76D39" w:rsidRPr="00872B32">
        <w:rPr>
          <w:rFonts w:ascii="Book Antiqua" w:hAnsi="Book Antiqua"/>
          <w:b/>
          <w:color w:val="000000"/>
        </w:rPr>
        <w:t>The unbalance of Trx1/CD3 is a gender-specific biomarker of the redox-immune regulation unbalance.</w:t>
      </w:r>
      <w:r w:rsidR="00D76D39" w:rsidRPr="00F834DD">
        <w:rPr>
          <w:rFonts w:ascii="Book Antiqua" w:hAnsi="Book Antiqua"/>
          <w:color w:val="000000"/>
        </w:rPr>
        <w:t xml:space="preserve"> </w:t>
      </w:r>
      <w:r w:rsidR="00E20860" w:rsidRPr="00BA0ACA">
        <w:rPr>
          <w:rFonts w:ascii="Book Antiqua" w:eastAsia="宋体" w:hAnsi="Book Antiqua" w:hint="eastAsia"/>
          <w:color w:val="000000"/>
          <w:lang w:eastAsia="zh-CN"/>
        </w:rPr>
        <w:t xml:space="preserve">A-F: </w:t>
      </w:r>
      <w:r w:rsidR="00D76D39" w:rsidRPr="00F834DD">
        <w:rPr>
          <w:rFonts w:ascii="Book Antiqua" w:hAnsi="Book Antiqua"/>
          <w:color w:val="000000"/>
        </w:rPr>
        <w:t>Principal component analysis plots of the network of correlations between the levels of Trx1, RTrx1, sCD30 and immunological parameters of tumor patients (with and without the disease progression component), in all the groups (A</w:t>
      </w:r>
      <w:r w:rsidR="00EE329E">
        <w:rPr>
          <w:rFonts w:ascii="Book Antiqua" w:hAnsi="Book Antiqua"/>
          <w:color w:val="000000"/>
        </w:rPr>
        <w:t>,</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B</w:t>
      </w:r>
      <w:r w:rsidR="00D76D39" w:rsidRPr="00F834DD">
        <w:rPr>
          <w:rFonts w:ascii="Book Antiqua" w:hAnsi="Book Antiqua"/>
          <w:color w:val="000000"/>
        </w:rPr>
        <w:t>) and male (</w:t>
      </w:r>
      <w:r w:rsidR="00EE329E">
        <w:rPr>
          <w:rFonts w:ascii="Book Antiqua" w:hAnsi="Book Antiqua"/>
          <w:color w:val="000000"/>
        </w:rPr>
        <w:t>C,</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D</w:t>
      </w:r>
      <w:r w:rsidR="00D76D39" w:rsidRPr="00F834DD">
        <w:rPr>
          <w:rFonts w:ascii="Book Antiqua" w:hAnsi="Book Antiqua"/>
          <w:color w:val="000000"/>
        </w:rPr>
        <w:t>) and female (</w:t>
      </w:r>
      <w:r w:rsidR="00EE329E">
        <w:rPr>
          <w:rFonts w:ascii="Book Antiqua" w:hAnsi="Book Antiqua"/>
          <w:color w:val="000000"/>
        </w:rPr>
        <w:t>E,</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F</w:t>
      </w:r>
      <w:r w:rsidR="00D76D39" w:rsidRPr="00F834DD">
        <w:rPr>
          <w:rFonts w:ascii="Book Antiqua" w:hAnsi="Book Antiqua"/>
          <w:color w:val="000000"/>
        </w:rPr>
        <w:t>) subgroups.</w:t>
      </w:r>
      <w:r w:rsidR="003A5B8B" w:rsidRPr="00BA4E7C">
        <w:rPr>
          <w:rFonts w:ascii="Book Antiqua" w:eastAsia="宋体" w:hAnsi="Book Antiqua" w:hint="eastAsia"/>
          <w:color w:val="000000"/>
          <w:lang w:eastAsia="zh-CN"/>
        </w:rPr>
        <w:t xml:space="preserve"> </w:t>
      </w:r>
      <w:r w:rsidR="00D76D39" w:rsidRPr="00872B32">
        <w:rPr>
          <w:rFonts w:ascii="Book Antiqua" w:hAnsi="Book Antiqua"/>
          <w:color w:val="000000"/>
        </w:rPr>
        <w:t xml:space="preserve">Vector colors: </w:t>
      </w:r>
      <w:r w:rsidR="003A5B8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3A5B8B" w:rsidRPr="00872B32">
        <w:rPr>
          <w:rFonts w:ascii="Book Antiqua" w:hAnsi="Book Antiqua"/>
          <w:color w:val="000000"/>
        </w:rPr>
        <w:t xml:space="preserve">Increase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Forms: </w:t>
      </w:r>
      <w:r w:rsidR="00D16E46">
        <w:rPr>
          <w:rFonts w:ascii="Book Antiqua" w:hAnsi="Book Antiqua"/>
          <w:noProof/>
          <w:color w:val="000000"/>
          <w:lang w:eastAsia="zh-CN"/>
        </w:rPr>
        <w:drawing>
          <wp:inline distT="0" distB="0" distL="0" distR="0" wp14:anchorId="026AA59B" wp14:editId="505FEF7E">
            <wp:extent cx="554355" cy="223520"/>
            <wp:effectExtent l="0" t="0" r="0" b="0"/>
            <wp:docPr id="15"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 cy="223520"/>
                    </a:xfrm>
                    <a:prstGeom prst="rect">
                      <a:avLst/>
                    </a:prstGeom>
                    <a:noFill/>
                    <a:ln>
                      <a:noFill/>
                    </a:ln>
                  </pic:spPr>
                </pic:pic>
              </a:graphicData>
            </a:graphic>
          </wp:inline>
        </w:drawing>
      </w:r>
      <w:r w:rsidR="003A5B8B" w:rsidRPr="00BA4E7C">
        <w:rPr>
          <w:rFonts w:ascii="Book Antiqua" w:eastAsia="宋体" w:hAnsi="Book Antiqua" w:hint="eastAsia"/>
          <w:color w:val="000000"/>
          <w:lang w:eastAsia="zh-CN"/>
        </w:rPr>
        <w:t>:</w:t>
      </w:r>
      <w:r w:rsidR="00D76D39" w:rsidRPr="00872B32">
        <w:rPr>
          <w:rFonts w:ascii="Book Antiqua" w:hAnsi="Book Antiqua"/>
          <w:color w:val="000000"/>
        </w:rPr>
        <w:t xml:space="preserve"> </w:t>
      </w:r>
      <w:r w:rsidR="003A5B8B"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14:paraId="1F9047A4" w14:textId="77777777" w:rsidR="00D76D39" w:rsidRPr="00872B32" w:rsidRDefault="00D76D39" w:rsidP="008C54E8">
      <w:pPr>
        <w:snapToGrid w:val="0"/>
        <w:spacing w:line="360" w:lineRule="auto"/>
        <w:jc w:val="both"/>
        <w:rPr>
          <w:rFonts w:ascii="Book Antiqua" w:hAnsi="Book Antiqua"/>
          <w:color w:val="000000"/>
        </w:rPr>
      </w:pPr>
    </w:p>
    <w:p w14:paraId="7D19120D" w14:textId="77777777" w:rsidR="00463AB4" w:rsidRPr="00872B32" w:rsidRDefault="00463AB4" w:rsidP="008C54E8">
      <w:pPr>
        <w:snapToGrid w:val="0"/>
        <w:spacing w:line="360" w:lineRule="auto"/>
        <w:jc w:val="both"/>
        <w:rPr>
          <w:rFonts w:ascii="Book Antiqua" w:hAnsi="Book Antiqua"/>
          <w:color w:val="000000"/>
        </w:rPr>
      </w:pPr>
    </w:p>
    <w:p w14:paraId="45D674C2" w14:textId="77777777" w:rsidR="00463AB4" w:rsidRPr="00872B32" w:rsidRDefault="00463AB4" w:rsidP="008C54E8">
      <w:pPr>
        <w:snapToGrid w:val="0"/>
        <w:spacing w:line="360" w:lineRule="auto"/>
        <w:jc w:val="both"/>
        <w:rPr>
          <w:rFonts w:ascii="Book Antiqua" w:hAnsi="Book Antiqua"/>
          <w:color w:val="000000"/>
        </w:rPr>
      </w:pPr>
    </w:p>
    <w:p w14:paraId="4F4A1004" w14:textId="77777777" w:rsidR="00463AB4" w:rsidRPr="00872B32" w:rsidRDefault="00463AB4" w:rsidP="008C54E8">
      <w:pPr>
        <w:snapToGrid w:val="0"/>
        <w:spacing w:line="360" w:lineRule="auto"/>
        <w:jc w:val="both"/>
        <w:rPr>
          <w:rFonts w:ascii="Book Antiqua" w:hAnsi="Book Antiqua"/>
          <w:color w:val="000000"/>
        </w:rPr>
      </w:pPr>
    </w:p>
    <w:p w14:paraId="6755459D" w14:textId="77777777" w:rsidR="004F6BD0" w:rsidRPr="00872B32" w:rsidRDefault="004F6BD0" w:rsidP="008C54E8">
      <w:pPr>
        <w:snapToGrid w:val="0"/>
        <w:spacing w:line="360" w:lineRule="auto"/>
        <w:jc w:val="both"/>
        <w:rPr>
          <w:rFonts w:ascii="Book Antiqua" w:hAnsi="Book Antiqua"/>
          <w:color w:val="000000"/>
        </w:rPr>
      </w:pPr>
    </w:p>
    <w:p w14:paraId="4D5C81E9" w14:textId="77777777" w:rsidR="004F6BD0" w:rsidRPr="00872B32" w:rsidRDefault="004F6BD0" w:rsidP="008C54E8">
      <w:pPr>
        <w:snapToGrid w:val="0"/>
        <w:spacing w:line="360" w:lineRule="auto"/>
        <w:jc w:val="both"/>
        <w:rPr>
          <w:rFonts w:ascii="Book Antiqua" w:hAnsi="Book Antiqua"/>
          <w:color w:val="000000"/>
        </w:rPr>
      </w:pPr>
    </w:p>
    <w:p w14:paraId="70F0945E" w14:textId="77777777" w:rsidR="004F6BD0" w:rsidRPr="00872B32" w:rsidRDefault="004F6BD0" w:rsidP="008C54E8">
      <w:pPr>
        <w:snapToGrid w:val="0"/>
        <w:spacing w:line="360" w:lineRule="auto"/>
        <w:jc w:val="both"/>
        <w:rPr>
          <w:rFonts w:ascii="Book Antiqua" w:hAnsi="Book Antiqua"/>
          <w:color w:val="000000"/>
        </w:rPr>
      </w:pPr>
    </w:p>
    <w:p w14:paraId="5878DA59" w14:textId="77777777" w:rsidR="004F6BD0" w:rsidRPr="00872B32" w:rsidRDefault="004F6BD0" w:rsidP="008C54E8">
      <w:pPr>
        <w:snapToGrid w:val="0"/>
        <w:spacing w:line="360" w:lineRule="auto"/>
        <w:jc w:val="both"/>
        <w:rPr>
          <w:rFonts w:ascii="Book Antiqua" w:hAnsi="Book Antiqua"/>
          <w:color w:val="000000"/>
        </w:rPr>
      </w:pPr>
    </w:p>
    <w:p w14:paraId="2F5D8072" w14:textId="77777777" w:rsidR="004F6BD0" w:rsidRPr="00872B32" w:rsidRDefault="004F6BD0" w:rsidP="008C54E8">
      <w:pPr>
        <w:snapToGrid w:val="0"/>
        <w:spacing w:line="360" w:lineRule="auto"/>
        <w:jc w:val="both"/>
        <w:rPr>
          <w:rFonts w:ascii="Book Antiqua" w:hAnsi="Book Antiqua"/>
          <w:color w:val="000000"/>
        </w:rPr>
      </w:pPr>
    </w:p>
    <w:p w14:paraId="31154F69" w14:textId="77777777" w:rsidR="004F6BD0" w:rsidRPr="00872B32" w:rsidRDefault="004F6BD0" w:rsidP="008C54E8">
      <w:pPr>
        <w:snapToGrid w:val="0"/>
        <w:spacing w:line="360" w:lineRule="auto"/>
        <w:jc w:val="both"/>
        <w:rPr>
          <w:rFonts w:ascii="Book Antiqua" w:hAnsi="Book Antiqua"/>
          <w:color w:val="000000"/>
        </w:rPr>
      </w:pPr>
    </w:p>
    <w:p w14:paraId="19943940" w14:textId="77777777" w:rsidR="004F6BD0" w:rsidRPr="00872B32" w:rsidRDefault="004F6BD0" w:rsidP="008C54E8">
      <w:pPr>
        <w:snapToGrid w:val="0"/>
        <w:spacing w:line="360" w:lineRule="auto"/>
        <w:jc w:val="both"/>
        <w:rPr>
          <w:rFonts w:ascii="Book Antiqua" w:hAnsi="Book Antiqua"/>
          <w:color w:val="000000"/>
        </w:rPr>
      </w:pPr>
    </w:p>
    <w:p w14:paraId="66651860" w14:textId="77777777" w:rsidR="004F6BD0" w:rsidRPr="00872B32" w:rsidRDefault="004F6BD0" w:rsidP="008C54E8">
      <w:pPr>
        <w:snapToGrid w:val="0"/>
        <w:spacing w:line="360" w:lineRule="auto"/>
        <w:jc w:val="both"/>
        <w:rPr>
          <w:rFonts w:ascii="Book Antiqua" w:hAnsi="Book Antiqua"/>
          <w:color w:val="000000"/>
        </w:rPr>
      </w:pPr>
    </w:p>
    <w:p w14:paraId="4F6509B1" w14:textId="77777777" w:rsidR="004F6BD0" w:rsidRPr="00872B32" w:rsidRDefault="004F6BD0" w:rsidP="008C54E8">
      <w:pPr>
        <w:snapToGrid w:val="0"/>
        <w:spacing w:line="360" w:lineRule="auto"/>
        <w:jc w:val="both"/>
        <w:rPr>
          <w:rFonts w:ascii="Book Antiqua" w:hAnsi="Book Antiqua"/>
          <w:color w:val="000000"/>
        </w:rPr>
      </w:pPr>
    </w:p>
    <w:p w14:paraId="38DF01EE" w14:textId="77777777" w:rsidR="004F6BD0" w:rsidRPr="00872B32" w:rsidRDefault="004F6BD0" w:rsidP="008C54E8">
      <w:pPr>
        <w:snapToGrid w:val="0"/>
        <w:spacing w:line="360" w:lineRule="auto"/>
        <w:jc w:val="both"/>
        <w:rPr>
          <w:rFonts w:ascii="Book Antiqua" w:hAnsi="Book Antiqua"/>
          <w:color w:val="000000"/>
        </w:rPr>
        <w:sectPr w:rsidR="004F6BD0" w:rsidRPr="00872B32" w:rsidSect="008C54E8">
          <w:pgSz w:w="11906" w:h="16838"/>
          <w:pgMar w:top="1440" w:right="1440" w:bottom="1440" w:left="1440" w:header="706" w:footer="706" w:gutter="0"/>
          <w:cols w:space="708"/>
          <w:docGrid w:linePitch="360"/>
        </w:sectPr>
      </w:pPr>
    </w:p>
    <w:p w14:paraId="5E59CE1E" w14:textId="77777777" w:rsidR="004F6BD0" w:rsidRPr="00872B32" w:rsidRDefault="004F6BD0" w:rsidP="008C54E8">
      <w:pPr>
        <w:snapToGrid w:val="0"/>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624"/>
        <w:gridCol w:w="5103"/>
        <w:gridCol w:w="624"/>
        <w:gridCol w:w="5103"/>
      </w:tblGrid>
      <w:tr w:rsidR="004F6BD0" w:rsidRPr="00872B32" w14:paraId="01192D3F" w14:textId="77777777" w:rsidTr="00EE1CE0">
        <w:tc>
          <w:tcPr>
            <w:tcW w:w="624" w:type="dxa"/>
          </w:tcPr>
          <w:p w14:paraId="364539C1" w14:textId="77777777" w:rsidR="004F6BD0" w:rsidRPr="00872B32" w:rsidRDefault="00EE329E"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A</w:t>
            </w:r>
          </w:p>
        </w:tc>
        <w:tc>
          <w:tcPr>
            <w:tcW w:w="5103" w:type="dxa"/>
          </w:tcPr>
          <w:p w14:paraId="18C56753" w14:textId="77777777" w:rsidR="004F6BD0"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4635" w:dyaOrig="4530" w14:anchorId="0B7399DC">
                <v:shape id="_x0000_i1038" type="#_x0000_t75" alt="" style="width:203.65pt;height:199.35pt;mso-width-percent:0;mso-height-percent:0;mso-width-percent:0;mso-height-percent:0" o:ole="">
                  <v:imagedata r:id="rId46" o:title=""/>
                </v:shape>
                <o:OLEObject Type="Embed" ProgID="PBrush" ShapeID="_x0000_i1038" DrawAspect="Content" ObjectID="_1611744872" r:id="rId47"/>
              </w:object>
            </w:r>
          </w:p>
        </w:tc>
        <w:tc>
          <w:tcPr>
            <w:tcW w:w="624" w:type="dxa"/>
          </w:tcPr>
          <w:p w14:paraId="68199632" w14:textId="77777777" w:rsidR="004F6BD0" w:rsidRPr="00872B32" w:rsidRDefault="00EE329E"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B</w:t>
            </w:r>
          </w:p>
        </w:tc>
        <w:tc>
          <w:tcPr>
            <w:tcW w:w="5103" w:type="dxa"/>
          </w:tcPr>
          <w:p w14:paraId="38A3DB19" w14:textId="77777777" w:rsidR="004F6BD0"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4320" w:dyaOrig="4590" w14:anchorId="6CE2324F">
                <v:shape id="_x0000_i1039" type="#_x0000_t75" alt="" style="width:181.6pt;height:193.45pt;mso-width-percent:0;mso-height-percent:0;mso-width-percent:0;mso-height-percent:0" o:ole="">
                  <v:imagedata r:id="rId48" o:title=""/>
                </v:shape>
                <o:OLEObject Type="Embed" ProgID="PBrush" ShapeID="_x0000_i1039" DrawAspect="Content" ObjectID="_1611744873" r:id="rId49"/>
              </w:object>
            </w:r>
          </w:p>
        </w:tc>
      </w:tr>
    </w:tbl>
    <w:p w14:paraId="3DE97139" w14:textId="77777777" w:rsidR="004F6BD0" w:rsidRPr="00872B32" w:rsidRDefault="004F6BD0" w:rsidP="008C54E8">
      <w:pPr>
        <w:snapToGrid w:val="0"/>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510"/>
        <w:gridCol w:w="5103"/>
        <w:gridCol w:w="510"/>
        <w:gridCol w:w="5103"/>
      </w:tblGrid>
      <w:tr w:rsidR="004F6BD0" w:rsidRPr="00872B32" w14:paraId="20B0E849" w14:textId="77777777" w:rsidTr="00EE1CE0">
        <w:tc>
          <w:tcPr>
            <w:tcW w:w="510" w:type="dxa"/>
          </w:tcPr>
          <w:p w14:paraId="3FA97F69" w14:textId="77777777" w:rsidR="004F6BD0" w:rsidRPr="00872B32" w:rsidRDefault="00EE329E"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C</w:t>
            </w:r>
          </w:p>
        </w:tc>
        <w:tc>
          <w:tcPr>
            <w:tcW w:w="5103" w:type="dxa"/>
          </w:tcPr>
          <w:p w14:paraId="6489AD11" w14:textId="77777777" w:rsidR="004F6BD0"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4860" w:dyaOrig="4275" w14:anchorId="3CB0F30A">
                <v:shape id="_x0000_i1040" type="#_x0000_t75" alt="" style="width:214.95pt;height:189.15pt;mso-width-percent:0;mso-height-percent:0;mso-width-percent:0;mso-height-percent:0" o:ole="">
                  <v:imagedata r:id="rId50" o:title=""/>
                </v:shape>
                <o:OLEObject Type="Embed" ProgID="PBrush" ShapeID="_x0000_i1040" DrawAspect="Content" ObjectID="_1611744874" r:id="rId51"/>
              </w:object>
            </w:r>
          </w:p>
        </w:tc>
        <w:tc>
          <w:tcPr>
            <w:tcW w:w="510" w:type="dxa"/>
          </w:tcPr>
          <w:p w14:paraId="10C161C9" w14:textId="77777777" w:rsidR="004F6BD0" w:rsidRPr="00872B32" w:rsidRDefault="00EE329E"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D</w:t>
            </w:r>
          </w:p>
        </w:tc>
        <w:tc>
          <w:tcPr>
            <w:tcW w:w="5103" w:type="dxa"/>
          </w:tcPr>
          <w:p w14:paraId="65D1121E" w14:textId="77777777" w:rsidR="004F6BD0"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071" w:dyaOrig="4694" w14:anchorId="6B68A7AA">
                <v:shape id="_x0000_i1041" type="#_x0000_t75" alt="" style="width:206.85pt;height:189.15pt;mso-width-percent:0;mso-height-percent:0;mso-width-percent:0;mso-height-percent:0" o:ole="">
                  <v:imagedata r:id="rId52" o:title=""/>
                </v:shape>
                <o:OLEObject Type="Embed" ProgID="PBrush" ShapeID="_x0000_i1041" DrawAspect="Content" ObjectID="_1611744875" r:id="rId53"/>
              </w:object>
            </w:r>
          </w:p>
        </w:tc>
      </w:tr>
    </w:tbl>
    <w:p w14:paraId="3DCBF4C3" w14:textId="77777777" w:rsidR="004F6BD0" w:rsidRPr="00872B32" w:rsidRDefault="004F6BD0" w:rsidP="008C54E8">
      <w:pPr>
        <w:snapToGrid w:val="0"/>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510"/>
        <w:gridCol w:w="5103"/>
        <w:gridCol w:w="510"/>
        <w:gridCol w:w="5103"/>
      </w:tblGrid>
      <w:tr w:rsidR="004F6BD0" w:rsidRPr="00872B32" w14:paraId="11834823" w14:textId="77777777" w:rsidTr="008C54E8">
        <w:tc>
          <w:tcPr>
            <w:tcW w:w="510" w:type="dxa"/>
          </w:tcPr>
          <w:p w14:paraId="5479B82D" w14:textId="77777777" w:rsidR="004F6BD0" w:rsidRPr="00872B32" w:rsidRDefault="00EE329E"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E</w:t>
            </w:r>
          </w:p>
        </w:tc>
        <w:tc>
          <w:tcPr>
            <w:tcW w:w="5103" w:type="dxa"/>
          </w:tcPr>
          <w:p w14:paraId="5C9B804B" w14:textId="77777777" w:rsidR="004F6BD0"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715" w:dyaOrig="4725" w14:anchorId="28F50737">
                <v:shape id="_x0000_i1042" type="#_x0000_t75" alt="" style="width:228.35pt;height:189.65pt;mso-width-percent:0;mso-height-percent:0;mso-width-percent:0;mso-height-percent:0" o:ole="">
                  <v:imagedata r:id="rId54" o:title=""/>
                </v:shape>
                <o:OLEObject Type="Embed" ProgID="PBrush" ShapeID="_x0000_i1042" DrawAspect="Content" ObjectID="_1611744876" r:id="rId55"/>
              </w:object>
            </w:r>
          </w:p>
        </w:tc>
        <w:tc>
          <w:tcPr>
            <w:tcW w:w="510" w:type="dxa"/>
          </w:tcPr>
          <w:p w14:paraId="5495B74E" w14:textId="77777777" w:rsidR="004F6BD0" w:rsidRPr="00872B32" w:rsidRDefault="00EE329E"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F</w:t>
            </w:r>
          </w:p>
        </w:tc>
        <w:tc>
          <w:tcPr>
            <w:tcW w:w="5103" w:type="dxa"/>
          </w:tcPr>
          <w:p w14:paraId="0EA6010F" w14:textId="77777777" w:rsidR="004F6BD0"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685" w:dyaOrig="4770" w14:anchorId="5B229688">
                <v:shape id="_x0000_i1043" type="#_x0000_t75" alt="" style="width:213.3pt;height:178.4pt;mso-width-percent:0;mso-height-percent:0;mso-width-percent:0;mso-height-percent:0" o:ole="">
                  <v:imagedata r:id="rId56" o:title=""/>
                </v:shape>
                <o:OLEObject Type="Embed" ProgID="PBrush" ShapeID="_x0000_i1043" DrawAspect="Content" ObjectID="_1611744877" r:id="rId57"/>
              </w:object>
            </w:r>
          </w:p>
        </w:tc>
      </w:tr>
    </w:tbl>
    <w:p w14:paraId="0ED4C8A8" w14:textId="77777777" w:rsidR="00C95681" w:rsidRPr="00872B32" w:rsidRDefault="00C95681" w:rsidP="008C54E8">
      <w:pPr>
        <w:snapToGrid w:val="0"/>
        <w:spacing w:line="360" w:lineRule="auto"/>
        <w:jc w:val="both"/>
        <w:rPr>
          <w:rFonts w:ascii="Book Antiqua" w:eastAsia="Calibri" w:hAnsi="Book Antiqua"/>
          <w:color w:val="000000"/>
        </w:rPr>
      </w:pPr>
    </w:p>
    <w:p w14:paraId="69855E37" w14:textId="4B106342" w:rsidR="00D76D39" w:rsidRPr="00872B32" w:rsidRDefault="005F10BA" w:rsidP="008C54E8">
      <w:pPr>
        <w:snapToGrid w:val="0"/>
        <w:spacing w:line="360" w:lineRule="auto"/>
        <w:jc w:val="both"/>
        <w:rPr>
          <w:rFonts w:ascii="Book Antiqua" w:hAnsi="Book Antiqua"/>
          <w:color w:val="000000"/>
        </w:rPr>
      </w:pPr>
      <w:r w:rsidRPr="00872B32">
        <w:rPr>
          <w:rFonts w:ascii="Book Antiqua" w:hAnsi="Book Antiqua"/>
          <w:b/>
          <w:color w:val="000000"/>
        </w:rPr>
        <w:lastRenderedPageBreak/>
        <w:t>Figure 4</w:t>
      </w:r>
      <w:r w:rsidR="00C808A0" w:rsidRPr="00872B32">
        <w:rPr>
          <w:rFonts w:ascii="Book Antiqua" w:hAnsi="Book Antiqua"/>
          <w:b/>
          <w:color w:val="000000"/>
        </w:rPr>
        <w:t xml:space="preserve"> </w:t>
      </w:r>
      <w:r w:rsidR="00D76D39" w:rsidRPr="00872B32">
        <w:rPr>
          <w:rFonts w:ascii="Book Antiqua" w:hAnsi="Book Antiqua"/>
          <w:b/>
          <w:color w:val="000000"/>
        </w:rPr>
        <w:t>The polymorphisms of Fc</w:t>
      </w:r>
      <w:r w:rsidR="00FF30E8" w:rsidRPr="00872B32">
        <w:rPr>
          <w:rFonts w:ascii="Book Antiqua" w:hAnsi="Book Antiqua"/>
          <w:b/>
          <w:color w:val="000000"/>
        </w:rPr>
        <w:sym w:font="Symbol" w:char="F067"/>
      </w:r>
      <w:r w:rsidR="00D76D39" w:rsidRPr="00872B32">
        <w:rPr>
          <w:rFonts w:ascii="Book Antiqua" w:hAnsi="Book Antiqua"/>
          <w:b/>
          <w:color w:val="000000"/>
        </w:rPr>
        <w:t>RIIIa and Fc</w:t>
      </w:r>
      <w:r w:rsidR="00FF30E8" w:rsidRPr="00872B32">
        <w:rPr>
          <w:rFonts w:ascii="Book Antiqua" w:hAnsi="Book Antiqua"/>
          <w:b/>
          <w:color w:val="000000"/>
        </w:rPr>
        <w:sym w:font="Symbol" w:char="F067"/>
      </w:r>
      <w:r w:rsidR="00D76D39" w:rsidRPr="00872B32">
        <w:rPr>
          <w:rFonts w:ascii="Book Antiqua" w:hAnsi="Book Antiqua"/>
          <w:b/>
          <w:color w:val="000000"/>
        </w:rPr>
        <w:t xml:space="preserve">RIIa are useful biomarkers for the categorization of the risk </w:t>
      </w:r>
      <w:r w:rsidR="003D5138">
        <w:rPr>
          <w:rFonts w:ascii="Book Antiqua" w:hAnsi="Book Antiqua"/>
          <w:b/>
          <w:color w:val="000000"/>
        </w:rPr>
        <w:t>for</w:t>
      </w:r>
      <w:r w:rsidR="00D76D39" w:rsidRPr="00872B32">
        <w:rPr>
          <w:rFonts w:ascii="Book Antiqua" w:hAnsi="Book Antiqua"/>
          <w:b/>
          <w:color w:val="000000"/>
        </w:rPr>
        <w:t xml:space="preserve"> non-homeostasis of the redox-immune systems. </w:t>
      </w:r>
      <w:r w:rsidR="00E20860" w:rsidRPr="00BA0ACA">
        <w:rPr>
          <w:rFonts w:ascii="Book Antiqua" w:eastAsia="宋体" w:hAnsi="Book Antiqua" w:hint="eastAsia"/>
          <w:color w:val="000000"/>
          <w:lang w:eastAsia="zh-CN"/>
        </w:rPr>
        <w:t>A-F</w:t>
      </w:r>
      <w:r w:rsidR="00E20860" w:rsidRPr="00BA0ACA">
        <w:rPr>
          <w:rFonts w:ascii="Book Antiqua" w:eastAsia="宋体" w:hAnsi="Book Antiqua"/>
          <w:color w:val="000000"/>
          <w:lang w:eastAsia="zh-CN"/>
        </w:rPr>
        <w:t xml:space="preserve">: </w:t>
      </w:r>
      <w:r w:rsidR="00D76D39" w:rsidRPr="00604C6E">
        <w:rPr>
          <w:rFonts w:ascii="Book Antiqua" w:hAnsi="Book Antiqua"/>
          <w:color w:val="000000"/>
        </w:rPr>
        <w:t>The different pathways in men and women could be prognostic of disease in healthy subjects (</w:t>
      </w:r>
      <w:r w:rsidR="00EE329E">
        <w:rPr>
          <w:rFonts w:ascii="Book Antiqua" w:hAnsi="Book Antiqua"/>
          <w:color w:val="000000"/>
        </w:rPr>
        <w:t>A,</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C,</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E</w:t>
      </w:r>
      <w:r w:rsidR="00D76D39" w:rsidRPr="00604C6E">
        <w:rPr>
          <w:rFonts w:ascii="Book Antiqua" w:hAnsi="Book Antiqua"/>
          <w:color w:val="000000"/>
        </w:rPr>
        <w:t>) and of progression in patients (</w:t>
      </w:r>
      <w:r w:rsidR="00EE329E">
        <w:rPr>
          <w:rFonts w:ascii="Book Antiqua" w:hAnsi="Book Antiqua"/>
          <w:color w:val="000000"/>
        </w:rPr>
        <w:t>B,</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D,</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F</w:t>
      </w:r>
      <w:r w:rsidR="00D76D39" w:rsidRPr="00604C6E">
        <w:rPr>
          <w:rFonts w:ascii="Book Antiqua" w:hAnsi="Book Antiqua"/>
          <w:color w:val="000000"/>
        </w:rPr>
        <w:t xml:space="preserve">). Principal component analysis plots of the network of correlations between the FcγRIIIa </w:t>
      </w:r>
      <w:r w:rsidR="00D76D39" w:rsidRPr="00604C6E">
        <w:rPr>
          <w:rFonts w:ascii="Book Antiqua" w:hAnsi="Book Antiqua"/>
          <w:i/>
          <w:color w:val="000000"/>
        </w:rPr>
        <w:t>(V/V, V/F, F/F</w:t>
      </w:r>
      <w:r w:rsidR="00D76D39" w:rsidRPr="00604C6E">
        <w:rPr>
          <w:rFonts w:ascii="Book Antiqua" w:hAnsi="Book Antiqua"/>
          <w:color w:val="000000"/>
        </w:rPr>
        <w:t>) and FcγRIIa (</w:t>
      </w:r>
      <w:r w:rsidR="00D76D39" w:rsidRPr="00604C6E">
        <w:rPr>
          <w:rFonts w:ascii="Book Antiqua" w:hAnsi="Book Antiqua"/>
          <w:i/>
          <w:color w:val="000000"/>
        </w:rPr>
        <w:t>H/H, H/R, R/R</w:t>
      </w:r>
      <w:r w:rsidR="00D76D39" w:rsidRPr="00604C6E">
        <w:rPr>
          <w:rFonts w:ascii="Book Antiqua" w:hAnsi="Book Antiqua"/>
          <w:color w:val="000000"/>
        </w:rPr>
        <w:t>)</w:t>
      </w:r>
      <w:r w:rsidR="00C808A0" w:rsidRPr="00604C6E">
        <w:rPr>
          <w:rFonts w:ascii="Book Antiqua" w:hAnsi="Book Antiqua"/>
          <w:color w:val="000000"/>
        </w:rPr>
        <w:t xml:space="preserve"> </w:t>
      </w:r>
      <w:r w:rsidR="00D76D39" w:rsidRPr="00604C6E">
        <w:rPr>
          <w:rFonts w:ascii="Book Antiqua" w:hAnsi="Book Antiqua"/>
          <w:color w:val="000000"/>
        </w:rPr>
        <w:t>and the levels of Trx1, RTrx1, sCD30 and the immunological parameters (with and without the age and the disease progression components, respectively), in all the groups (A</w:t>
      </w:r>
      <w:r w:rsidR="00EE329E">
        <w:rPr>
          <w:rFonts w:ascii="Book Antiqua" w:hAnsi="Book Antiqua"/>
          <w:color w:val="000000"/>
        </w:rPr>
        <w:t>,</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B</w:t>
      </w:r>
      <w:r w:rsidR="00D76D39" w:rsidRPr="00604C6E">
        <w:rPr>
          <w:rFonts w:ascii="Book Antiqua" w:hAnsi="Book Antiqua"/>
          <w:color w:val="000000"/>
        </w:rPr>
        <w:t>) and male (</w:t>
      </w:r>
      <w:r w:rsidR="00EE329E">
        <w:rPr>
          <w:rFonts w:ascii="Book Antiqua" w:hAnsi="Book Antiqua"/>
          <w:color w:val="000000"/>
        </w:rPr>
        <w:t>C,</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D</w:t>
      </w:r>
      <w:r w:rsidR="00D76D39" w:rsidRPr="00604C6E">
        <w:rPr>
          <w:rFonts w:ascii="Book Antiqua" w:hAnsi="Book Antiqua"/>
          <w:color w:val="000000"/>
        </w:rPr>
        <w:t>) and female (</w:t>
      </w:r>
      <w:r w:rsidR="00EE329E">
        <w:rPr>
          <w:rFonts w:ascii="Book Antiqua" w:hAnsi="Book Antiqua"/>
          <w:color w:val="000000"/>
        </w:rPr>
        <w:t>E,</w:t>
      </w:r>
      <w:r w:rsidR="00E20860" w:rsidRPr="00BA0ACA">
        <w:rPr>
          <w:rFonts w:ascii="Book Antiqua" w:eastAsia="宋体" w:hAnsi="Book Antiqua" w:hint="eastAsia"/>
          <w:color w:val="000000"/>
          <w:lang w:eastAsia="zh-CN"/>
        </w:rPr>
        <w:t xml:space="preserve"> </w:t>
      </w:r>
      <w:r w:rsidR="00EE329E">
        <w:rPr>
          <w:rFonts w:ascii="Book Antiqua" w:hAnsi="Book Antiqua"/>
          <w:color w:val="000000"/>
        </w:rPr>
        <w:t>F</w:t>
      </w:r>
      <w:r w:rsidR="00D76D39" w:rsidRPr="00604C6E">
        <w:rPr>
          <w:rFonts w:ascii="Book Antiqua" w:hAnsi="Book Antiqua"/>
          <w:color w:val="000000"/>
        </w:rPr>
        <w:t>) subgroups.</w:t>
      </w:r>
      <w:r w:rsidR="00604C6E" w:rsidRPr="00BA4E7C">
        <w:rPr>
          <w:rFonts w:ascii="Book Antiqua" w:eastAsia="宋体" w:hAnsi="Book Antiqua" w:hint="eastAsia"/>
          <w:color w:val="000000"/>
          <w:lang w:eastAsia="zh-CN"/>
        </w:rPr>
        <w:t xml:space="preserve"> </w:t>
      </w:r>
      <w:r w:rsidR="00D76D39" w:rsidRPr="00872B32">
        <w:rPr>
          <w:rFonts w:ascii="Book Antiqua" w:hAnsi="Book Antiqua"/>
          <w:color w:val="000000"/>
        </w:rPr>
        <w:t xml:space="preserve">Vector colors: </w:t>
      </w:r>
      <w:r w:rsidR="00604C6E"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Forms: </w:t>
      </w:r>
      <w:r w:rsidR="00D16E46">
        <w:rPr>
          <w:rFonts w:ascii="Book Antiqua" w:hAnsi="Book Antiqua"/>
          <w:noProof/>
          <w:color w:val="000000"/>
          <w:lang w:eastAsia="zh-CN"/>
        </w:rPr>
        <w:drawing>
          <wp:inline distT="0" distB="0" distL="0" distR="0" wp14:anchorId="58F5B92B" wp14:editId="65CD97B0">
            <wp:extent cx="797560" cy="213995"/>
            <wp:effectExtent l="0" t="0" r="0" b="0"/>
            <wp:docPr id="22"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7560" cy="213995"/>
                    </a:xfrm>
                    <a:prstGeom prst="rect">
                      <a:avLst/>
                    </a:prstGeom>
                    <a:noFill/>
                    <a:ln>
                      <a:noFill/>
                    </a:ln>
                  </pic:spPr>
                </pic:pic>
              </a:graphicData>
            </a:graphic>
          </wp:inline>
        </w:drawing>
      </w:r>
      <w:r w:rsidR="00604C6E" w:rsidRPr="00BA4E7C">
        <w:rPr>
          <w:rFonts w:ascii="Book Antiqua" w:eastAsia="宋体" w:hAnsi="Book Antiqua" w:hint="eastAsia"/>
          <w:color w:val="000000"/>
          <w:lang w:eastAsia="zh-CN"/>
        </w:rPr>
        <w:t>:</w:t>
      </w:r>
      <w:r w:rsidR="00D76D39" w:rsidRPr="00872B32">
        <w:rPr>
          <w:rFonts w:ascii="Book Antiqua" w:hAnsi="Book Antiqua"/>
          <w:color w:val="000000"/>
        </w:rPr>
        <w:t xml:space="preserve"> </w:t>
      </w:r>
      <w:r w:rsidR="00604C6E"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14:paraId="3C7C4BC2" w14:textId="77777777" w:rsidR="00D76D39" w:rsidRPr="00872B32" w:rsidRDefault="00D76D39" w:rsidP="008C54E8">
      <w:pPr>
        <w:snapToGrid w:val="0"/>
        <w:spacing w:line="360" w:lineRule="auto"/>
        <w:jc w:val="both"/>
        <w:rPr>
          <w:rFonts w:ascii="Book Antiqua" w:hAnsi="Book Antiqua"/>
          <w:b/>
          <w:color w:val="000000"/>
        </w:rPr>
      </w:pPr>
    </w:p>
    <w:p w14:paraId="07731AE9" w14:textId="77777777" w:rsidR="004F6BD0" w:rsidRPr="00872B32" w:rsidRDefault="004F6BD0" w:rsidP="008C54E8">
      <w:pPr>
        <w:snapToGrid w:val="0"/>
        <w:spacing w:line="360" w:lineRule="auto"/>
        <w:jc w:val="both"/>
        <w:rPr>
          <w:rFonts w:ascii="Book Antiqua" w:hAnsi="Book Antiqua"/>
          <w:b/>
          <w:color w:val="000000"/>
        </w:rPr>
      </w:pPr>
    </w:p>
    <w:p w14:paraId="65DC106B" w14:textId="77777777" w:rsidR="004F6BD0" w:rsidRPr="00872B32" w:rsidRDefault="004F6BD0" w:rsidP="008C54E8">
      <w:pPr>
        <w:snapToGrid w:val="0"/>
        <w:spacing w:line="360" w:lineRule="auto"/>
        <w:jc w:val="both"/>
        <w:rPr>
          <w:rFonts w:ascii="Book Antiqua" w:hAnsi="Book Antiqua"/>
          <w:b/>
          <w:color w:val="000000"/>
        </w:rPr>
      </w:pPr>
    </w:p>
    <w:p w14:paraId="466EC66B" w14:textId="77777777" w:rsidR="004F6BD0" w:rsidRPr="00872B32" w:rsidRDefault="004F6BD0" w:rsidP="008C54E8">
      <w:pPr>
        <w:snapToGrid w:val="0"/>
        <w:spacing w:line="360" w:lineRule="auto"/>
        <w:jc w:val="both"/>
        <w:rPr>
          <w:rFonts w:ascii="Book Antiqua" w:hAnsi="Book Antiqua"/>
          <w:b/>
          <w:color w:val="000000"/>
        </w:rPr>
      </w:pPr>
    </w:p>
    <w:p w14:paraId="22BEBFC7" w14:textId="77777777" w:rsidR="004F6BD0" w:rsidRPr="00872B32" w:rsidRDefault="004F6BD0" w:rsidP="008C54E8">
      <w:pPr>
        <w:snapToGrid w:val="0"/>
        <w:spacing w:line="360" w:lineRule="auto"/>
        <w:jc w:val="both"/>
        <w:rPr>
          <w:rFonts w:ascii="Book Antiqua" w:hAnsi="Book Antiqua"/>
          <w:b/>
          <w:color w:val="000000"/>
        </w:rPr>
      </w:pPr>
    </w:p>
    <w:p w14:paraId="0AD00505" w14:textId="77777777" w:rsidR="004F6BD0" w:rsidRPr="00872B32" w:rsidRDefault="004F6BD0" w:rsidP="008C54E8">
      <w:pPr>
        <w:snapToGrid w:val="0"/>
        <w:spacing w:line="360" w:lineRule="auto"/>
        <w:jc w:val="both"/>
        <w:rPr>
          <w:rFonts w:ascii="Book Antiqua" w:hAnsi="Book Antiqua"/>
          <w:b/>
          <w:color w:val="000000"/>
        </w:rPr>
      </w:pPr>
    </w:p>
    <w:p w14:paraId="695D4E7B" w14:textId="77777777" w:rsidR="004F6BD0" w:rsidRPr="00872B32" w:rsidRDefault="004F6BD0" w:rsidP="008C54E8">
      <w:pPr>
        <w:snapToGrid w:val="0"/>
        <w:spacing w:line="360" w:lineRule="auto"/>
        <w:jc w:val="both"/>
        <w:rPr>
          <w:rFonts w:ascii="Book Antiqua" w:hAnsi="Book Antiqua"/>
          <w:b/>
          <w:color w:val="000000"/>
        </w:rPr>
      </w:pPr>
    </w:p>
    <w:p w14:paraId="3B98B155" w14:textId="77777777" w:rsidR="000F1E59" w:rsidRPr="00872B32" w:rsidRDefault="000F1E59" w:rsidP="008C54E8">
      <w:pPr>
        <w:snapToGrid w:val="0"/>
        <w:spacing w:line="360" w:lineRule="auto"/>
        <w:jc w:val="both"/>
        <w:rPr>
          <w:rFonts w:ascii="Book Antiqua" w:eastAsia="Calibri" w:hAnsi="Book Antiqua"/>
          <w:b/>
          <w:color w:val="000000"/>
        </w:rPr>
      </w:pPr>
    </w:p>
    <w:p w14:paraId="6BD7CBE3" w14:textId="77777777" w:rsidR="00604C6E" w:rsidRPr="00BA4E7C" w:rsidRDefault="00604C6E" w:rsidP="008C54E8">
      <w:pPr>
        <w:snapToGrid w:val="0"/>
        <w:spacing w:line="360" w:lineRule="auto"/>
        <w:jc w:val="both"/>
        <w:rPr>
          <w:rFonts w:ascii="Book Antiqua" w:eastAsia="宋体" w:hAnsi="Book Antiqua"/>
          <w:b/>
          <w:color w:val="000000"/>
          <w:lang w:eastAsia="zh-CN"/>
        </w:rPr>
      </w:pPr>
    </w:p>
    <w:p w14:paraId="50B5C4A4" w14:textId="77777777" w:rsidR="00604C6E" w:rsidRPr="00BA4E7C" w:rsidRDefault="00604C6E" w:rsidP="008C54E8">
      <w:pPr>
        <w:snapToGrid w:val="0"/>
        <w:spacing w:line="360" w:lineRule="auto"/>
        <w:jc w:val="both"/>
        <w:rPr>
          <w:rFonts w:ascii="Book Antiqua" w:eastAsia="宋体" w:hAnsi="Book Antiqua"/>
          <w:b/>
          <w:color w:val="000000"/>
          <w:lang w:eastAsia="zh-CN"/>
        </w:rPr>
      </w:pPr>
    </w:p>
    <w:p w14:paraId="6845A71C" w14:textId="77777777" w:rsidR="00604C6E" w:rsidRPr="00BA4E7C" w:rsidRDefault="00E40B85" w:rsidP="008C54E8">
      <w:pPr>
        <w:snapToGrid w:val="0"/>
        <w:spacing w:line="360" w:lineRule="auto"/>
        <w:jc w:val="both"/>
        <w:rPr>
          <w:rFonts w:ascii="Book Antiqua" w:eastAsia="宋体" w:hAnsi="Book Antiqua"/>
          <w:b/>
          <w:color w:val="000000"/>
          <w:lang w:eastAsia="zh-CN"/>
        </w:rPr>
      </w:pPr>
      <w:r>
        <w:rPr>
          <w:rFonts w:ascii="Book Antiqua" w:hAnsi="Book Antiqua"/>
          <w:b/>
          <w:strike/>
          <w:noProof/>
          <w:color w:val="000000"/>
        </w:rPr>
        <w:lastRenderedPageBreak/>
        <w:pict w14:anchorId="1B411873">
          <v:shape id="_x0000_s1026" type="#_x0000_t75" alt="" style="position:absolute;left:0;text-align:left;margin-left:-4.15pt;margin-top:31.65pt;width:522.25pt;height:374.4pt;z-index:251657728;visibility:visible;mso-wrap-edited:f;mso-width-percent:0;mso-height-percent:0;mso-width-percent:0;mso-height-percent:0">
            <v:imagedata r:id="rId59" o:title=""/>
            <w10:wrap type="square"/>
          </v:shape>
          <o:OLEObject Type="Embed" ProgID="Excel.Sheet.8" ShapeID="_x0000_s1026" DrawAspect="Content" ObjectID="_1611744886" r:id="rId60">
            <o:FieldCodes>\s</o:FieldCodes>
          </o:OLEObject>
        </w:pict>
      </w:r>
      <w:r w:rsidR="000F1E59" w:rsidRPr="00872B32">
        <w:rPr>
          <w:rFonts w:ascii="Book Antiqua" w:eastAsia="Calibri" w:hAnsi="Book Antiqua"/>
          <w:b/>
          <w:color w:val="000000"/>
        </w:rPr>
        <w:t xml:space="preserve"> </w:t>
      </w:r>
    </w:p>
    <w:p w14:paraId="5328CDB7" w14:textId="77777777" w:rsidR="000F1E59" w:rsidRPr="00872B32" w:rsidRDefault="000F1E59" w:rsidP="008C54E8">
      <w:pPr>
        <w:snapToGrid w:val="0"/>
        <w:spacing w:line="360" w:lineRule="auto"/>
        <w:jc w:val="both"/>
        <w:rPr>
          <w:rFonts w:ascii="Book Antiqua" w:eastAsia="Calibri" w:hAnsi="Book Antiqua"/>
          <w:b/>
          <w:color w:val="000000"/>
        </w:rPr>
      </w:pPr>
    </w:p>
    <w:tbl>
      <w:tblPr>
        <w:tblW w:w="9772" w:type="dxa"/>
        <w:tblCellMar>
          <w:left w:w="70" w:type="dxa"/>
          <w:right w:w="70" w:type="dxa"/>
        </w:tblCellMar>
        <w:tblLook w:val="04A0" w:firstRow="1" w:lastRow="0" w:firstColumn="1" w:lastColumn="0" w:noHBand="0" w:noVBand="1"/>
      </w:tblPr>
      <w:tblGrid>
        <w:gridCol w:w="611"/>
        <w:gridCol w:w="874"/>
        <w:gridCol w:w="1000"/>
        <w:gridCol w:w="1000"/>
        <w:gridCol w:w="200"/>
        <w:gridCol w:w="680"/>
        <w:gridCol w:w="1000"/>
        <w:gridCol w:w="994"/>
        <w:gridCol w:w="200"/>
        <w:gridCol w:w="1213"/>
        <w:gridCol w:w="1000"/>
        <w:gridCol w:w="1000"/>
      </w:tblGrid>
      <w:tr w:rsidR="00C808A0" w:rsidRPr="00872B32" w14:paraId="5DEC9610" w14:textId="77777777" w:rsidTr="00604C6E">
        <w:trPr>
          <w:trHeight w:val="255"/>
        </w:trPr>
        <w:tc>
          <w:tcPr>
            <w:tcW w:w="611" w:type="dxa"/>
            <w:tcBorders>
              <w:top w:val="single" w:sz="4" w:space="0" w:color="auto"/>
              <w:left w:val="nil"/>
              <w:bottom w:val="nil"/>
              <w:right w:val="nil"/>
            </w:tcBorders>
            <w:shd w:val="clear" w:color="auto" w:fill="auto"/>
            <w:noWrap/>
            <w:vAlign w:val="bottom"/>
            <w:hideMark/>
          </w:tcPr>
          <w:p w14:paraId="5F68B893" w14:textId="77777777" w:rsidR="000F1E59" w:rsidRPr="00872B32" w:rsidRDefault="000F1E59" w:rsidP="008C54E8">
            <w:pPr>
              <w:snapToGrid w:val="0"/>
              <w:spacing w:line="360" w:lineRule="auto"/>
              <w:jc w:val="both"/>
              <w:rPr>
                <w:rFonts w:ascii="Book Antiqua" w:eastAsia="Calibri" w:hAnsi="Book Antiqua"/>
                <w:b/>
                <w:bCs/>
                <w:color w:val="000000"/>
                <w:lang w:eastAsia="it-IT"/>
              </w:rPr>
            </w:pPr>
          </w:p>
        </w:tc>
        <w:tc>
          <w:tcPr>
            <w:tcW w:w="874" w:type="dxa"/>
            <w:tcBorders>
              <w:top w:val="single" w:sz="4" w:space="0" w:color="auto"/>
              <w:left w:val="nil"/>
              <w:bottom w:val="single" w:sz="4" w:space="0" w:color="auto"/>
              <w:right w:val="nil"/>
            </w:tcBorders>
            <w:shd w:val="clear" w:color="auto" w:fill="auto"/>
            <w:noWrap/>
            <w:vAlign w:val="bottom"/>
            <w:hideMark/>
          </w:tcPr>
          <w:p w14:paraId="4F7DCA1A" w14:textId="77777777" w:rsidR="000F1E59" w:rsidRPr="00872B32" w:rsidRDefault="00C808A0"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 xml:space="preserve">           </w:t>
            </w:r>
          </w:p>
          <w:p w14:paraId="27BF1419"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HS</w:t>
            </w:r>
          </w:p>
        </w:tc>
        <w:tc>
          <w:tcPr>
            <w:tcW w:w="1000" w:type="dxa"/>
            <w:tcBorders>
              <w:top w:val="single" w:sz="4" w:space="0" w:color="auto"/>
              <w:left w:val="nil"/>
              <w:bottom w:val="single" w:sz="4" w:space="0" w:color="auto"/>
              <w:right w:val="nil"/>
            </w:tcBorders>
            <w:shd w:val="clear" w:color="auto" w:fill="auto"/>
            <w:noWrap/>
            <w:vAlign w:val="bottom"/>
            <w:hideMark/>
          </w:tcPr>
          <w:p w14:paraId="6872D5F3"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Men</w:t>
            </w:r>
          </w:p>
        </w:tc>
        <w:tc>
          <w:tcPr>
            <w:tcW w:w="1000" w:type="dxa"/>
            <w:tcBorders>
              <w:top w:val="single" w:sz="4" w:space="0" w:color="auto"/>
              <w:left w:val="nil"/>
              <w:bottom w:val="single" w:sz="4" w:space="0" w:color="auto"/>
              <w:right w:val="nil"/>
            </w:tcBorders>
            <w:shd w:val="clear" w:color="auto" w:fill="auto"/>
            <w:noWrap/>
            <w:vAlign w:val="bottom"/>
            <w:hideMark/>
          </w:tcPr>
          <w:p w14:paraId="1886C770"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Women</w:t>
            </w:r>
          </w:p>
        </w:tc>
        <w:tc>
          <w:tcPr>
            <w:tcW w:w="200" w:type="dxa"/>
            <w:tcBorders>
              <w:top w:val="single" w:sz="4" w:space="0" w:color="auto"/>
              <w:left w:val="nil"/>
              <w:bottom w:val="nil"/>
              <w:right w:val="nil"/>
            </w:tcBorders>
            <w:shd w:val="clear" w:color="auto" w:fill="auto"/>
            <w:noWrap/>
            <w:vAlign w:val="bottom"/>
            <w:hideMark/>
          </w:tcPr>
          <w:p w14:paraId="059DC658" w14:textId="77777777" w:rsidR="000F1E59" w:rsidRPr="00872B32" w:rsidRDefault="000F1E59" w:rsidP="008C54E8">
            <w:pPr>
              <w:snapToGrid w:val="0"/>
              <w:spacing w:line="360" w:lineRule="auto"/>
              <w:jc w:val="both"/>
              <w:rPr>
                <w:rFonts w:ascii="Book Antiqua" w:eastAsia="Calibri" w:hAnsi="Book Antiqua"/>
                <w:b/>
                <w:color w:val="000000"/>
                <w:lang w:eastAsia="it-IT"/>
              </w:rPr>
            </w:pPr>
          </w:p>
        </w:tc>
        <w:tc>
          <w:tcPr>
            <w:tcW w:w="680" w:type="dxa"/>
            <w:tcBorders>
              <w:top w:val="single" w:sz="4" w:space="0" w:color="auto"/>
              <w:left w:val="nil"/>
              <w:bottom w:val="single" w:sz="4" w:space="0" w:color="auto"/>
              <w:right w:val="nil"/>
            </w:tcBorders>
            <w:shd w:val="clear" w:color="auto" w:fill="auto"/>
            <w:noWrap/>
            <w:vAlign w:val="bottom"/>
            <w:hideMark/>
          </w:tcPr>
          <w:p w14:paraId="10CEC95B"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TP</w:t>
            </w:r>
          </w:p>
        </w:tc>
        <w:tc>
          <w:tcPr>
            <w:tcW w:w="1000" w:type="dxa"/>
            <w:tcBorders>
              <w:top w:val="single" w:sz="4" w:space="0" w:color="auto"/>
              <w:left w:val="nil"/>
              <w:bottom w:val="single" w:sz="4" w:space="0" w:color="auto"/>
              <w:right w:val="nil"/>
            </w:tcBorders>
            <w:shd w:val="clear" w:color="auto" w:fill="auto"/>
            <w:noWrap/>
            <w:vAlign w:val="bottom"/>
            <w:hideMark/>
          </w:tcPr>
          <w:p w14:paraId="680F620D"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Men</w:t>
            </w:r>
          </w:p>
        </w:tc>
        <w:tc>
          <w:tcPr>
            <w:tcW w:w="994" w:type="dxa"/>
            <w:tcBorders>
              <w:top w:val="single" w:sz="4" w:space="0" w:color="auto"/>
              <w:left w:val="nil"/>
              <w:bottom w:val="single" w:sz="4" w:space="0" w:color="auto"/>
              <w:right w:val="nil"/>
            </w:tcBorders>
            <w:shd w:val="clear" w:color="auto" w:fill="auto"/>
            <w:noWrap/>
            <w:vAlign w:val="bottom"/>
            <w:hideMark/>
          </w:tcPr>
          <w:p w14:paraId="31317D31"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Women</w:t>
            </w:r>
          </w:p>
        </w:tc>
        <w:tc>
          <w:tcPr>
            <w:tcW w:w="200" w:type="dxa"/>
            <w:tcBorders>
              <w:top w:val="single" w:sz="4" w:space="0" w:color="auto"/>
              <w:left w:val="nil"/>
              <w:bottom w:val="nil"/>
              <w:right w:val="nil"/>
            </w:tcBorders>
            <w:shd w:val="clear" w:color="auto" w:fill="auto"/>
            <w:noWrap/>
            <w:vAlign w:val="bottom"/>
            <w:hideMark/>
          </w:tcPr>
          <w:p w14:paraId="529C8CED" w14:textId="77777777" w:rsidR="000F1E59" w:rsidRPr="00872B32" w:rsidRDefault="000F1E59" w:rsidP="008C54E8">
            <w:pPr>
              <w:snapToGrid w:val="0"/>
              <w:spacing w:line="360" w:lineRule="auto"/>
              <w:jc w:val="both"/>
              <w:rPr>
                <w:rFonts w:ascii="Book Antiqua" w:eastAsia="Calibri" w:hAnsi="Book Antiqua"/>
                <w:b/>
                <w:color w:val="000000"/>
                <w:lang w:eastAsia="it-IT"/>
              </w:rPr>
            </w:pPr>
          </w:p>
        </w:tc>
        <w:tc>
          <w:tcPr>
            <w:tcW w:w="1213" w:type="dxa"/>
            <w:tcBorders>
              <w:top w:val="single" w:sz="4" w:space="0" w:color="auto"/>
              <w:left w:val="nil"/>
              <w:bottom w:val="single" w:sz="4" w:space="0" w:color="auto"/>
              <w:right w:val="nil"/>
            </w:tcBorders>
            <w:shd w:val="clear" w:color="auto" w:fill="auto"/>
            <w:noWrap/>
            <w:vAlign w:val="bottom"/>
            <w:hideMark/>
          </w:tcPr>
          <w:p w14:paraId="5AD74EEA"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 xml:space="preserve">HS </w:t>
            </w:r>
            <w:r w:rsidRPr="00872B32">
              <w:rPr>
                <w:rFonts w:ascii="Book Antiqua" w:eastAsia="Calibri" w:hAnsi="Book Antiqua"/>
                <w:b/>
                <w:i/>
                <w:color w:val="000000"/>
                <w:lang w:eastAsia="it-IT"/>
              </w:rPr>
              <w:t xml:space="preserve">vs </w:t>
            </w:r>
            <w:r w:rsidRPr="00872B32">
              <w:rPr>
                <w:rFonts w:ascii="Book Antiqua" w:eastAsia="Calibri" w:hAnsi="Book Antiqua"/>
                <w:b/>
                <w:color w:val="000000"/>
                <w:lang w:eastAsia="it-IT"/>
              </w:rPr>
              <w:t>TP</w:t>
            </w:r>
          </w:p>
        </w:tc>
        <w:tc>
          <w:tcPr>
            <w:tcW w:w="1000" w:type="dxa"/>
            <w:tcBorders>
              <w:top w:val="single" w:sz="4" w:space="0" w:color="auto"/>
              <w:left w:val="nil"/>
              <w:bottom w:val="single" w:sz="4" w:space="0" w:color="auto"/>
              <w:right w:val="nil"/>
            </w:tcBorders>
            <w:shd w:val="clear" w:color="auto" w:fill="auto"/>
            <w:noWrap/>
            <w:vAlign w:val="bottom"/>
            <w:hideMark/>
          </w:tcPr>
          <w:p w14:paraId="10FB59A7"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Men</w:t>
            </w:r>
          </w:p>
        </w:tc>
        <w:tc>
          <w:tcPr>
            <w:tcW w:w="1000" w:type="dxa"/>
            <w:tcBorders>
              <w:top w:val="single" w:sz="4" w:space="0" w:color="auto"/>
              <w:left w:val="nil"/>
              <w:bottom w:val="single" w:sz="4" w:space="0" w:color="auto"/>
              <w:right w:val="nil"/>
            </w:tcBorders>
            <w:shd w:val="clear" w:color="auto" w:fill="auto"/>
            <w:noWrap/>
            <w:vAlign w:val="bottom"/>
            <w:hideMark/>
          </w:tcPr>
          <w:p w14:paraId="15AB0BB3" w14:textId="77777777" w:rsidR="000F1E59" w:rsidRPr="00872B32" w:rsidRDefault="000F1E59" w:rsidP="008C54E8">
            <w:pPr>
              <w:snapToGrid w:val="0"/>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Women</w:t>
            </w:r>
            <w:r w:rsidR="00C808A0" w:rsidRPr="00872B32">
              <w:rPr>
                <w:rFonts w:ascii="Book Antiqua" w:eastAsia="Calibri" w:hAnsi="Book Antiqua"/>
                <w:b/>
                <w:color w:val="000000"/>
                <w:lang w:eastAsia="it-IT"/>
              </w:rPr>
              <w:t xml:space="preserve"> </w:t>
            </w:r>
          </w:p>
        </w:tc>
      </w:tr>
      <w:tr w:rsidR="00C808A0" w:rsidRPr="00872B32" w14:paraId="3C6D15B3" w14:textId="77777777" w:rsidTr="00604C6E">
        <w:trPr>
          <w:trHeight w:val="255"/>
        </w:trPr>
        <w:tc>
          <w:tcPr>
            <w:tcW w:w="611" w:type="dxa"/>
            <w:tcBorders>
              <w:top w:val="nil"/>
              <w:left w:val="nil"/>
              <w:bottom w:val="nil"/>
              <w:right w:val="nil"/>
            </w:tcBorders>
            <w:shd w:val="clear" w:color="auto" w:fill="auto"/>
            <w:noWrap/>
            <w:vAlign w:val="bottom"/>
            <w:hideMark/>
          </w:tcPr>
          <w:p w14:paraId="5845BAF4"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874" w:type="dxa"/>
            <w:tcBorders>
              <w:top w:val="nil"/>
              <w:left w:val="nil"/>
              <w:bottom w:val="nil"/>
              <w:right w:val="nil"/>
            </w:tcBorders>
            <w:shd w:val="clear" w:color="auto" w:fill="auto"/>
            <w:noWrap/>
            <w:vAlign w:val="bottom"/>
            <w:hideMark/>
          </w:tcPr>
          <w:p w14:paraId="06220600"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14:paraId="624CDBEE"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14:paraId="399E2090"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200" w:type="dxa"/>
            <w:tcBorders>
              <w:top w:val="nil"/>
              <w:left w:val="nil"/>
              <w:bottom w:val="nil"/>
              <w:right w:val="nil"/>
            </w:tcBorders>
            <w:shd w:val="clear" w:color="auto" w:fill="auto"/>
            <w:noWrap/>
            <w:vAlign w:val="bottom"/>
            <w:hideMark/>
          </w:tcPr>
          <w:p w14:paraId="02540BC2"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680" w:type="dxa"/>
            <w:tcBorders>
              <w:top w:val="nil"/>
              <w:left w:val="nil"/>
              <w:bottom w:val="nil"/>
              <w:right w:val="nil"/>
            </w:tcBorders>
            <w:shd w:val="clear" w:color="auto" w:fill="auto"/>
            <w:noWrap/>
            <w:vAlign w:val="bottom"/>
            <w:hideMark/>
          </w:tcPr>
          <w:p w14:paraId="6D53C3FA"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14:paraId="419237FF"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994" w:type="dxa"/>
            <w:tcBorders>
              <w:top w:val="nil"/>
              <w:left w:val="nil"/>
              <w:bottom w:val="nil"/>
              <w:right w:val="nil"/>
            </w:tcBorders>
            <w:shd w:val="clear" w:color="auto" w:fill="auto"/>
            <w:noWrap/>
            <w:vAlign w:val="bottom"/>
            <w:hideMark/>
          </w:tcPr>
          <w:p w14:paraId="217B0AE1"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200" w:type="dxa"/>
            <w:tcBorders>
              <w:top w:val="nil"/>
              <w:left w:val="nil"/>
              <w:bottom w:val="nil"/>
              <w:right w:val="nil"/>
            </w:tcBorders>
            <w:shd w:val="clear" w:color="auto" w:fill="auto"/>
            <w:noWrap/>
            <w:vAlign w:val="bottom"/>
            <w:hideMark/>
          </w:tcPr>
          <w:p w14:paraId="085D1A08"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1213" w:type="dxa"/>
            <w:tcBorders>
              <w:top w:val="nil"/>
              <w:left w:val="nil"/>
              <w:right w:val="nil"/>
            </w:tcBorders>
            <w:shd w:val="clear" w:color="auto" w:fill="auto"/>
            <w:noWrap/>
            <w:vAlign w:val="bottom"/>
            <w:hideMark/>
          </w:tcPr>
          <w:p w14:paraId="76BC5289"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14:paraId="31B7435D"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14:paraId="5EA00859"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r>
      <w:tr w:rsidR="00C808A0" w:rsidRPr="00872B32" w14:paraId="6D57A352"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3FE645ED" w14:textId="77777777" w:rsidR="000F1E59" w:rsidRPr="00872B32" w:rsidRDefault="000F1E59" w:rsidP="008C54E8">
            <w:pPr>
              <w:snapToGrid w:val="0"/>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eastAsia="it-IT"/>
              </w:rPr>
              <w:t>V/V</w:t>
            </w:r>
          </w:p>
        </w:tc>
        <w:tc>
          <w:tcPr>
            <w:tcW w:w="874" w:type="dxa"/>
            <w:tcBorders>
              <w:top w:val="nil"/>
              <w:left w:val="nil"/>
              <w:bottom w:val="nil"/>
              <w:right w:val="nil"/>
            </w:tcBorders>
            <w:shd w:val="clear" w:color="auto" w:fill="auto"/>
            <w:noWrap/>
            <w:vAlign w:val="bottom"/>
            <w:hideMark/>
          </w:tcPr>
          <w:p w14:paraId="00155D08"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eastAsia="it-IT"/>
              </w:rPr>
              <w:t>19.23</w:t>
            </w:r>
          </w:p>
        </w:tc>
        <w:tc>
          <w:tcPr>
            <w:tcW w:w="1000" w:type="dxa"/>
            <w:tcBorders>
              <w:top w:val="nil"/>
              <w:left w:val="nil"/>
              <w:bottom w:val="nil"/>
              <w:right w:val="nil"/>
            </w:tcBorders>
            <w:shd w:val="clear" w:color="auto" w:fill="auto"/>
            <w:noWrap/>
            <w:vAlign w:val="bottom"/>
            <w:hideMark/>
          </w:tcPr>
          <w:p w14:paraId="4E9EBDC5"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eastAsia="it-IT"/>
              </w:rPr>
              <w:t>20.00</w:t>
            </w:r>
          </w:p>
        </w:tc>
        <w:tc>
          <w:tcPr>
            <w:tcW w:w="1000" w:type="dxa"/>
            <w:tcBorders>
              <w:top w:val="nil"/>
              <w:left w:val="nil"/>
              <w:bottom w:val="nil"/>
              <w:right w:val="nil"/>
            </w:tcBorders>
            <w:shd w:val="clear" w:color="auto" w:fill="auto"/>
            <w:noWrap/>
            <w:vAlign w:val="bottom"/>
            <w:hideMark/>
          </w:tcPr>
          <w:p w14:paraId="3AE2FB72"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eastAsia="it-IT"/>
              </w:rPr>
              <w:t>18.75</w:t>
            </w:r>
          </w:p>
        </w:tc>
        <w:tc>
          <w:tcPr>
            <w:tcW w:w="200" w:type="dxa"/>
            <w:tcBorders>
              <w:top w:val="nil"/>
              <w:left w:val="nil"/>
              <w:bottom w:val="nil"/>
              <w:right w:val="nil"/>
            </w:tcBorders>
            <w:shd w:val="clear" w:color="auto" w:fill="auto"/>
            <w:noWrap/>
            <w:vAlign w:val="bottom"/>
            <w:hideMark/>
          </w:tcPr>
          <w:p w14:paraId="30D51377"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680" w:type="dxa"/>
            <w:tcBorders>
              <w:top w:val="nil"/>
              <w:left w:val="nil"/>
              <w:bottom w:val="nil"/>
              <w:right w:val="nil"/>
            </w:tcBorders>
            <w:shd w:val="clear" w:color="auto" w:fill="auto"/>
            <w:noWrap/>
            <w:vAlign w:val="bottom"/>
            <w:hideMark/>
          </w:tcPr>
          <w:p w14:paraId="795887E8"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eastAsia="it-IT"/>
              </w:rPr>
              <w:t>8.80</w:t>
            </w:r>
          </w:p>
        </w:tc>
        <w:tc>
          <w:tcPr>
            <w:tcW w:w="1000" w:type="dxa"/>
            <w:tcBorders>
              <w:top w:val="nil"/>
              <w:left w:val="nil"/>
              <w:bottom w:val="nil"/>
              <w:right w:val="nil"/>
            </w:tcBorders>
            <w:shd w:val="clear" w:color="auto" w:fill="auto"/>
            <w:noWrap/>
            <w:vAlign w:val="bottom"/>
            <w:hideMark/>
          </w:tcPr>
          <w:p w14:paraId="5462BAA7"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eastAsia="it-IT"/>
              </w:rPr>
              <w:t>13.60</w:t>
            </w:r>
          </w:p>
        </w:tc>
        <w:tc>
          <w:tcPr>
            <w:tcW w:w="994" w:type="dxa"/>
            <w:tcBorders>
              <w:top w:val="nil"/>
              <w:left w:val="nil"/>
              <w:bottom w:val="nil"/>
              <w:right w:val="nil"/>
            </w:tcBorders>
            <w:shd w:val="clear" w:color="auto" w:fill="auto"/>
            <w:noWrap/>
            <w:vAlign w:val="bottom"/>
            <w:hideMark/>
          </w:tcPr>
          <w:p w14:paraId="6A9F7DBE"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eastAsia="it-IT"/>
              </w:rPr>
              <w:t>0.00</w:t>
            </w:r>
          </w:p>
        </w:tc>
        <w:tc>
          <w:tcPr>
            <w:tcW w:w="200" w:type="dxa"/>
            <w:tcBorders>
              <w:top w:val="nil"/>
              <w:left w:val="nil"/>
              <w:bottom w:val="nil"/>
            </w:tcBorders>
            <w:shd w:val="clear" w:color="auto" w:fill="auto"/>
            <w:noWrap/>
            <w:vAlign w:val="bottom"/>
            <w:hideMark/>
          </w:tcPr>
          <w:p w14:paraId="03A7E381" w14:textId="77777777" w:rsidR="000F1E59" w:rsidRPr="00872B32" w:rsidRDefault="000F1E59" w:rsidP="008C54E8">
            <w:pPr>
              <w:snapToGrid w:val="0"/>
              <w:spacing w:line="360" w:lineRule="auto"/>
              <w:jc w:val="both"/>
              <w:rPr>
                <w:rFonts w:ascii="Book Antiqua" w:eastAsia="Calibri" w:hAnsi="Book Antiqua"/>
                <w:color w:val="000000"/>
                <w:lang w:eastAsia="it-IT"/>
              </w:rPr>
            </w:pPr>
          </w:p>
        </w:tc>
        <w:tc>
          <w:tcPr>
            <w:tcW w:w="1213" w:type="dxa"/>
            <w:vMerge w:val="restart"/>
            <w:tcBorders>
              <w:top w:val="nil"/>
              <w:bottom w:val="nil"/>
              <w:right w:val="nil"/>
            </w:tcBorders>
            <w:shd w:val="clear" w:color="auto" w:fill="auto"/>
            <w:noWrap/>
            <w:vAlign w:val="center"/>
            <w:hideMark/>
          </w:tcPr>
          <w:p w14:paraId="5ACF7A8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i/>
                <w:color w:val="000000"/>
                <w:lang w:eastAsia="it-IT"/>
              </w:rPr>
              <w:t>P</w:t>
            </w:r>
            <w:r w:rsidRPr="00872B32">
              <w:rPr>
                <w:rFonts w:ascii="Book Antiqua" w:eastAsia="Calibri" w:hAnsi="Book Antiqua"/>
                <w:color w:val="000000"/>
                <w:lang w:eastAsia="it-IT"/>
              </w:rPr>
              <w:t>=0.006</w:t>
            </w:r>
          </w:p>
        </w:tc>
        <w:tc>
          <w:tcPr>
            <w:tcW w:w="1000" w:type="dxa"/>
            <w:vMerge w:val="restart"/>
            <w:tcBorders>
              <w:top w:val="nil"/>
              <w:left w:val="nil"/>
              <w:bottom w:val="nil"/>
              <w:right w:val="nil"/>
            </w:tcBorders>
            <w:shd w:val="clear" w:color="auto" w:fill="auto"/>
            <w:noWrap/>
            <w:vAlign w:val="center"/>
            <w:hideMark/>
          </w:tcPr>
          <w:p w14:paraId="649D068D"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eastAsia="it-IT"/>
              </w:rPr>
              <w:t>N</w:t>
            </w:r>
            <w:r w:rsidRPr="00872B32">
              <w:rPr>
                <w:rFonts w:ascii="Book Antiqua" w:eastAsia="Calibri" w:hAnsi="Book Antiqua"/>
                <w:color w:val="000000"/>
                <w:lang w:val="it-IT" w:eastAsia="it-IT"/>
              </w:rPr>
              <w:t>S</w:t>
            </w:r>
          </w:p>
        </w:tc>
        <w:tc>
          <w:tcPr>
            <w:tcW w:w="1000" w:type="dxa"/>
            <w:vMerge w:val="restart"/>
            <w:tcBorders>
              <w:top w:val="nil"/>
              <w:left w:val="nil"/>
              <w:bottom w:val="nil"/>
              <w:right w:val="nil"/>
            </w:tcBorders>
            <w:shd w:val="clear" w:color="auto" w:fill="auto"/>
            <w:noWrap/>
            <w:vAlign w:val="center"/>
            <w:hideMark/>
          </w:tcPr>
          <w:p w14:paraId="77114A2D"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NS</w:t>
            </w:r>
          </w:p>
        </w:tc>
      </w:tr>
      <w:tr w:rsidR="00C808A0" w:rsidRPr="00872B32" w14:paraId="5775B152"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56216E1C" w14:textId="77777777" w:rsidR="000F1E59" w:rsidRPr="00872B32" w:rsidRDefault="000F1E59" w:rsidP="008C54E8">
            <w:pPr>
              <w:snapToGrid w:val="0"/>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V/F</w:t>
            </w:r>
          </w:p>
        </w:tc>
        <w:tc>
          <w:tcPr>
            <w:tcW w:w="874" w:type="dxa"/>
            <w:tcBorders>
              <w:top w:val="nil"/>
              <w:left w:val="nil"/>
              <w:bottom w:val="nil"/>
              <w:right w:val="nil"/>
            </w:tcBorders>
            <w:shd w:val="clear" w:color="auto" w:fill="auto"/>
            <w:noWrap/>
            <w:vAlign w:val="bottom"/>
            <w:hideMark/>
          </w:tcPr>
          <w:p w14:paraId="5B8A029C"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65.40</w:t>
            </w:r>
          </w:p>
        </w:tc>
        <w:tc>
          <w:tcPr>
            <w:tcW w:w="1000" w:type="dxa"/>
            <w:tcBorders>
              <w:top w:val="nil"/>
              <w:left w:val="nil"/>
              <w:bottom w:val="nil"/>
              <w:right w:val="nil"/>
            </w:tcBorders>
            <w:shd w:val="clear" w:color="auto" w:fill="auto"/>
            <w:noWrap/>
            <w:vAlign w:val="bottom"/>
            <w:hideMark/>
          </w:tcPr>
          <w:p w14:paraId="5892FDBA"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60.00</w:t>
            </w:r>
          </w:p>
        </w:tc>
        <w:tc>
          <w:tcPr>
            <w:tcW w:w="1000" w:type="dxa"/>
            <w:tcBorders>
              <w:top w:val="nil"/>
              <w:left w:val="nil"/>
              <w:bottom w:val="nil"/>
              <w:right w:val="nil"/>
            </w:tcBorders>
            <w:shd w:val="clear" w:color="auto" w:fill="auto"/>
            <w:noWrap/>
            <w:vAlign w:val="bottom"/>
            <w:hideMark/>
          </w:tcPr>
          <w:p w14:paraId="1A1CA75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68.75</w:t>
            </w:r>
          </w:p>
        </w:tc>
        <w:tc>
          <w:tcPr>
            <w:tcW w:w="200" w:type="dxa"/>
            <w:tcBorders>
              <w:top w:val="nil"/>
              <w:left w:val="nil"/>
              <w:bottom w:val="nil"/>
              <w:right w:val="nil"/>
            </w:tcBorders>
            <w:shd w:val="clear" w:color="auto" w:fill="auto"/>
            <w:noWrap/>
            <w:vAlign w:val="bottom"/>
            <w:hideMark/>
          </w:tcPr>
          <w:p w14:paraId="584D1F48"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21B5E31A"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79.40</w:t>
            </w:r>
          </w:p>
        </w:tc>
        <w:tc>
          <w:tcPr>
            <w:tcW w:w="1000" w:type="dxa"/>
            <w:tcBorders>
              <w:top w:val="nil"/>
              <w:left w:val="nil"/>
              <w:bottom w:val="nil"/>
              <w:right w:val="nil"/>
            </w:tcBorders>
            <w:shd w:val="clear" w:color="auto" w:fill="auto"/>
            <w:noWrap/>
            <w:vAlign w:val="bottom"/>
            <w:hideMark/>
          </w:tcPr>
          <w:p w14:paraId="59D61D08"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72.70</w:t>
            </w:r>
          </w:p>
        </w:tc>
        <w:tc>
          <w:tcPr>
            <w:tcW w:w="994" w:type="dxa"/>
            <w:tcBorders>
              <w:top w:val="nil"/>
              <w:left w:val="nil"/>
              <w:bottom w:val="nil"/>
              <w:right w:val="nil"/>
            </w:tcBorders>
            <w:shd w:val="clear" w:color="auto" w:fill="auto"/>
            <w:noWrap/>
            <w:vAlign w:val="bottom"/>
            <w:hideMark/>
          </w:tcPr>
          <w:p w14:paraId="0624ABC7"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91.70</w:t>
            </w:r>
          </w:p>
        </w:tc>
        <w:tc>
          <w:tcPr>
            <w:tcW w:w="200" w:type="dxa"/>
            <w:tcBorders>
              <w:top w:val="nil"/>
              <w:left w:val="nil"/>
              <w:bottom w:val="nil"/>
            </w:tcBorders>
            <w:shd w:val="clear" w:color="auto" w:fill="auto"/>
            <w:noWrap/>
            <w:vAlign w:val="bottom"/>
            <w:hideMark/>
          </w:tcPr>
          <w:p w14:paraId="47DEAC09" w14:textId="77777777" w:rsidR="000F1E59" w:rsidRPr="00872B32" w:rsidRDefault="00D16E46" w:rsidP="008C54E8">
            <w:pPr>
              <w:snapToGrid w:val="0"/>
              <w:spacing w:line="360" w:lineRule="auto"/>
              <w:jc w:val="both"/>
              <w:rPr>
                <w:rFonts w:ascii="Book Antiqua" w:eastAsia="Calibri" w:hAnsi="Book Antiqua"/>
                <w:color w:val="000000"/>
                <w:lang w:val="it-IT" w:eastAsia="it-IT"/>
              </w:rPr>
            </w:pPr>
            <w:r>
              <w:rPr>
                <w:rFonts w:ascii="Book Antiqua" w:hAnsi="Book Antiqua"/>
                <w:noProof/>
                <w:color w:val="000000"/>
                <w:lang w:eastAsia="zh-CN"/>
              </w:rPr>
              <mc:AlternateContent>
                <mc:Choice Requires="wps">
                  <w:drawing>
                    <wp:anchor distT="0" distB="0" distL="114300" distR="114300" simplePos="0" relativeHeight="251656704" behindDoc="0" locked="0" layoutInCell="1" allowOverlap="1" wp14:anchorId="2B53C1A1" wp14:editId="47380CC3">
                      <wp:simplePos x="0" y="0"/>
                      <wp:positionH relativeFrom="column">
                        <wp:posOffset>-49530</wp:posOffset>
                      </wp:positionH>
                      <wp:positionV relativeFrom="paragraph">
                        <wp:posOffset>-92075</wp:posOffset>
                      </wp:positionV>
                      <wp:extent cx="165735" cy="485775"/>
                      <wp:effectExtent l="25400" t="0" r="0" b="0"/>
                      <wp:wrapNone/>
                      <wp:docPr id="32" name="Parentesi graffa apert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48577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4A1F7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3" o:spid="_x0000_s1026" type="#_x0000_t87" style="position:absolute;margin-left:-3.9pt;margin-top:-7.25pt;width:13.0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" adj="614" strokecolor="windowText" strokeweight=".5pt">
                      <v:stroke joinstyle="miter"/>
                    </v:shape>
                  </w:pict>
                </mc:Fallback>
              </mc:AlternateContent>
            </w:r>
          </w:p>
        </w:tc>
        <w:tc>
          <w:tcPr>
            <w:tcW w:w="1213" w:type="dxa"/>
            <w:vMerge/>
            <w:tcBorders>
              <w:top w:val="nil"/>
              <w:bottom w:val="nil"/>
              <w:right w:val="nil"/>
            </w:tcBorders>
            <w:vAlign w:val="center"/>
            <w:hideMark/>
          </w:tcPr>
          <w:p w14:paraId="447ABEB2"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vMerge/>
            <w:tcBorders>
              <w:top w:val="nil"/>
              <w:left w:val="nil"/>
              <w:bottom w:val="nil"/>
              <w:right w:val="nil"/>
            </w:tcBorders>
            <w:vAlign w:val="center"/>
            <w:hideMark/>
          </w:tcPr>
          <w:p w14:paraId="33F27BF2"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vMerge/>
            <w:tcBorders>
              <w:top w:val="nil"/>
              <w:left w:val="nil"/>
              <w:bottom w:val="nil"/>
              <w:right w:val="nil"/>
            </w:tcBorders>
            <w:vAlign w:val="center"/>
            <w:hideMark/>
          </w:tcPr>
          <w:p w14:paraId="7889BF1D"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r>
      <w:tr w:rsidR="00C808A0" w:rsidRPr="00872B32" w14:paraId="261A644A"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5920854F" w14:textId="77777777" w:rsidR="000F1E59" w:rsidRPr="00872B32" w:rsidRDefault="000F1E59" w:rsidP="008C54E8">
            <w:pPr>
              <w:snapToGrid w:val="0"/>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F/F</w:t>
            </w:r>
          </w:p>
        </w:tc>
        <w:tc>
          <w:tcPr>
            <w:tcW w:w="874" w:type="dxa"/>
            <w:tcBorders>
              <w:top w:val="nil"/>
              <w:left w:val="nil"/>
              <w:bottom w:val="nil"/>
              <w:right w:val="nil"/>
            </w:tcBorders>
            <w:shd w:val="clear" w:color="auto" w:fill="auto"/>
            <w:noWrap/>
            <w:vAlign w:val="bottom"/>
            <w:hideMark/>
          </w:tcPr>
          <w:p w14:paraId="4FA6FE77"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15.40</w:t>
            </w:r>
          </w:p>
        </w:tc>
        <w:tc>
          <w:tcPr>
            <w:tcW w:w="1000" w:type="dxa"/>
            <w:tcBorders>
              <w:top w:val="nil"/>
              <w:left w:val="nil"/>
              <w:bottom w:val="nil"/>
              <w:right w:val="nil"/>
            </w:tcBorders>
            <w:shd w:val="clear" w:color="auto" w:fill="auto"/>
            <w:noWrap/>
            <w:vAlign w:val="bottom"/>
            <w:hideMark/>
          </w:tcPr>
          <w:p w14:paraId="547D021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20.00</w:t>
            </w:r>
          </w:p>
        </w:tc>
        <w:tc>
          <w:tcPr>
            <w:tcW w:w="1000" w:type="dxa"/>
            <w:tcBorders>
              <w:top w:val="nil"/>
              <w:left w:val="nil"/>
              <w:bottom w:val="nil"/>
              <w:right w:val="nil"/>
            </w:tcBorders>
            <w:shd w:val="clear" w:color="auto" w:fill="auto"/>
            <w:noWrap/>
            <w:vAlign w:val="bottom"/>
            <w:hideMark/>
          </w:tcPr>
          <w:p w14:paraId="5AC6AEB5"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12.50</w:t>
            </w:r>
          </w:p>
        </w:tc>
        <w:tc>
          <w:tcPr>
            <w:tcW w:w="200" w:type="dxa"/>
            <w:tcBorders>
              <w:top w:val="nil"/>
              <w:left w:val="nil"/>
              <w:bottom w:val="nil"/>
              <w:right w:val="nil"/>
            </w:tcBorders>
            <w:shd w:val="clear" w:color="auto" w:fill="auto"/>
            <w:noWrap/>
            <w:vAlign w:val="bottom"/>
            <w:hideMark/>
          </w:tcPr>
          <w:p w14:paraId="13293AFC"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2FC8983C"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11.76</w:t>
            </w:r>
          </w:p>
        </w:tc>
        <w:tc>
          <w:tcPr>
            <w:tcW w:w="1000" w:type="dxa"/>
            <w:tcBorders>
              <w:top w:val="nil"/>
              <w:left w:val="nil"/>
              <w:bottom w:val="nil"/>
              <w:right w:val="nil"/>
            </w:tcBorders>
            <w:shd w:val="clear" w:color="auto" w:fill="auto"/>
            <w:noWrap/>
            <w:vAlign w:val="bottom"/>
            <w:hideMark/>
          </w:tcPr>
          <w:p w14:paraId="3D850299"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13.63</w:t>
            </w:r>
          </w:p>
        </w:tc>
        <w:tc>
          <w:tcPr>
            <w:tcW w:w="994" w:type="dxa"/>
            <w:tcBorders>
              <w:top w:val="nil"/>
              <w:left w:val="nil"/>
              <w:bottom w:val="nil"/>
              <w:right w:val="nil"/>
            </w:tcBorders>
            <w:shd w:val="clear" w:color="auto" w:fill="auto"/>
            <w:noWrap/>
            <w:vAlign w:val="bottom"/>
            <w:hideMark/>
          </w:tcPr>
          <w:p w14:paraId="32C18864"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8.30</w:t>
            </w:r>
          </w:p>
        </w:tc>
        <w:tc>
          <w:tcPr>
            <w:tcW w:w="200" w:type="dxa"/>
            <w:tcBorders>
              <w:top w:val="nil"/>
              <w:left w:val="nil"/>
              <w:bottom w:val="nil"/>
            </w:tcBorders>
            <w:shd w:val="clear" w:color="auto" w:fill="auto"/>
            <w:noWrap/>
            <w:vAlign w:val="bottom"/>
            <w:hideMark/>
          </w:tcPr>
          <w:p w14:paraId="459A31E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213" w:type="dxa"/>
            <w:vMerge/>
            <w:tcBorders>
              <w:top w:val="nil"/>
              <w:bottom w:val="nil"/>
              <w:right w:val="nil"/>
            </w:tcBorders>
            <w:vAlign w:val="center"/>
            <w:hideMark/>
          </w:tcPr>
          <w:p w14:paraId="47785E8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vMerge/>
            <w:tcBorders>
              <w:top w:val="nil"/>
              <w:left w:val="nil"/>
              <w:bottom w:val="nil"/>
              <w:right w:val="nil"/>
            </w:tcBorders>
            <w:vAlign w:val="center"/>
            <w:hideMark/>
          </w:tcPr>
          <w:p w14:paraId="6FCE4590"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vMerge/>
            <w:tcBorders>
              <w:top w:val="nil"/>
              <w:left w:val="nil"/>
              <w:bottom w:val="nil"/>
              <w:right w:val="nil"/>
            </w:tcBorders>
            <w:vAlign w:val="center"/>
            <w:hideMark/>
          </w:tcPr>
          <w:p w14:paraId="574FA92F"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r>
      <w:tr w:rsidR="00C808A0" w:rsidRPr="00872B32" w14:paraId="78248F25" w14:textId="77777777" w:rsidTr="00604C6E">
        <w:trPr>
          <w:trHeight w:val="255"/>
        </w:trPr>
        <w:tc>
          <w:tcPr>
            <w:tcW w:w="611" w:type="dxa"/>
            <w:tcBorders>
              <w:top w:val="nil"/>
              <w:left w:val="nil"/>
              <w:bottom w:val="nil"/>
              <w:right w:val="nil"/>
            </w:tcBorders>
            <w:shd w:val="clear" w:color="auto" w:fill="auto"/>
            <w:noWrap/>
            <w:vAlign w:val="bottom"/>
            <w:hideMark/>
          </w:tcPr>
          <w:p w14:paraId="5D863A28" w14:textId="77777777" w:rsidR="000F1E59" w:rsidRPr="00872B32" w:rsidRDefault="000F1E59" w:rsidP="008C54E8">
            <w:pPr>
              <w:snapToGrid w:val="0"/>
              <w:spacing w:line="360" w:lineRule="auto"/>
              <w:jc w:val="both"/>
              <w:rPr>
                <w:rFonts w:ascii="Book Antiqua" w:eastAsia="Calibri" w:hAnsi="Book Antiqua"/>
                <w:i/>
                <w:color w:val="000000"/>
                <w:lang w:val="it-IT" w:eastAsia="it-IT"/>
              </w:rPr>
            </w:pPr>
          </w:p>
        </w:tc>
        <w:tc>
          <w:tcPr>
            <w:tcW w:w="874" w:type="dxa"/>
            <w:tcBorders>
              <w:top w:val="nil"/>
              <w:left w:val="nil"/>
              <w:bottom w:val="nil"/>
              <w:right w:val="nil"/>
            </w:tcBorders>
            <w:shd w:val="clear" w:color="auto" w:fill="auto"/>
            <w:noWrap/>
            <w:vAlign w:val="bottom"/>
            <w:hideMark/>
          </w:tcPr>
          <w:p w14:paraId="0171F11E"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14:paraId="0B3BC48C"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14:paraId="0EEFEEA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200" w:type="dxa"/>
            <w:tcBorders>
              <w:top w:val="nil"/>
              <w:left w:val="nil"/>
              <w:bottom w:val="nil"/>
              <w:right w:val="nil"/>
            </w:tcBorders>
            <w:shd w:val="clear" w:color="auto" w:fill="auto"/>
            <w:noWrap/>
            <w:vAlign w:val="bottom"/>
            <w:hideMark/>
          </w:tcPr>
          <w:p w14:paraId="25A24535"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5D45D29D"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14:paraId="5AADB6C0"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994" w:type="dxa"/>
            <w:tcBorders>
              <w:top w:val="nil"/>
              <w:left w:val="nil"/>
              <w:bottom w:val="nil"/>
              <w:right w:val="nil"/>
            </w:tcBorders>
            <w:shd w:val="clear" w:color="auto" w:fill="auto"/>
            <w:noWrap/>
            <w:vAlign w:val="bottom"/>
            <w:hideMark/>
          </w:tcPr>
          <w:p w14:paraId="5548C083"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200" w:type="dxa"/>
            <w:tcBorders>
              <w:top w:val="nil"/>
              <w:left w:val="nil"/>
              <w:bottom w:val="nil"/>
              <w:right w:val="nil"/>
            </w:tcBorders>
            <w:shd w:val="clear" w:color="auto" w:fill="auto"/>
            <w:noWrap/>
            <w:vAlign w:val="bottom"/>
            <w:hideMark/>
          </w:tcPr>
          <w:p w14:paraId="630E367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213" w:type="dxa"/>
            <w:tcBorders>
              <w:top w:val="nil"/>
              <w:left w:val="nil"/>
              <w:right w:val="nil"/>
            </w:tcBorders>
            <w:shd w:val="clear" w:color="auto" w:fill="auto"/>
            <w:noWrap/>
            <w:vAlign w:val="bottom"/>
            <w:hideMark/>
          </w:tcPr>
          <w:p w14:paraId="334D052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14:paraId="2CCC1F75"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14:paraId="2DDFA75E"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r>
      <w:tr w:rsidR="00C808A0" w:rsidRPr="00872B32" w14:paraId="386E65D9"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2D948204" w14:textId="77777777" w:rsidR="000F1E59" w:rsidRPr="00872B32" w:rsidRDefault="000F1E59" w:rsidP="008C54E8">
            <w:pPr>
              <w:snapToGrid w:val="0"/>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H/H</w:t>
            </w:r>
          </w:p>
        </w:tc>
        <w:tc>
          <w:tcPr>
            <w:tcW w:w="874" w:type="dxa"/>
            <w:tcBorders>
              <w:top w:val="nil"/>
              <w:left w:val="nil"/>
              <w:bottom w:val="nil"/>
              <w:right w:val="nil"/>
            </w:tcBorders>
            <w:shd w:val="clear" w:color="auto" w:fill="auto"/>
            <w:noWrap/>
            <w:vAlign w:val="bottom"/>
            <w:hideMark/>
          </w:tcPr>
          <w:p w14:paraId="354CABC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34.61</w:t>
            </w:r>
          </w:p>
        </w:tc>
        <w:tc>
          <w:tcPr>
            <w:tcW w:w="1000" w:type="dxa"/>
            <w:tcBorders>
              <w:top w:val="nil"/>
              <w:left w:val="nil"/>
              <w:bottom w:val="nil"/>
              <w:right w:val="nil"/>
            </w:tcBorders>
            <w:shd w:val="clear" w:color="auto" w:fill="auto"/>
            <w:noWrap/>
            <w:vAlign w:val="bottom"/>
            <w:hideMark/>
          </w:tcPr>
          <w:p w14:paraId="59676A8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25.00</w:t>
            </w:r>
          </w:p>
        </w:tc>
        <w:tc>
          <w:tcPr>
            <w:tcW w:w="1000" w:type="dxa"/>
            <w:tcBorders>
              <w:top w:val="nil"/>
              <w:left w:val="nil"/>
              <w:bottom w:val="nil"/>
              <w:right w:val="nil"/>
            </w:tcBorders>
            <w:shd w:val="clear" w:color="auto" w:fill="auto"/>
            <w:noWrap/>
            <w:vAlign w:val="bottom"/>
            <w:hideMark/>
          </w:tcPr>
          <w:p w14:paraId="6F6DB5F2"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40.62</w:t>
            </w:r>
          </w:p>
        </w:tc>
        <w:tc>
          <w:tcPr>
            <w:tcW w:w="200" w:type="dxa"/>
            <w:tcBorders>
              <w:top w:val="nil"/>
              <w:left w:val="nil"/>
              <w:bottom w:val="nil"/>
              <w:right w:val="nil"/>
            </w:tcBorders>
            <w:shd w:val="clear" w:color="auto" w:fill="auto"/>
            <w:noWrap/>
            <w:vAlign w:val="bottom"/>
            <w:hideMark/>
          </w:tcPr>
          <w:p w14:paraId="5EE9F202"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4FF6228C"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27.5</w:t>
            </w:r>
          </w:p>
        </w:tc>
        <w:tc>
          <w:tcPr>
            <w:tcW w:w="1000" w:type="dxa"/>
            <w:tcBorders>
              <w:top w:val="nil"/>
              <w:left w:val="nil"/>
              <w:bottom w:val="nil"/>
              <w:right w:val="nil"/>
            </w:tcBorders>
            <w:shd w:val="clear" w:color="auto" w:fill="auto"/>
            <w:noWrap/>
            <w:vAlign w:val="bottom"/>
            <w:hideMark/>
          </w:tcPr>
          <w:p w14:paraId="30983D50"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33.33</w:t>
            </w:r>
          </w:p>
        </w:tc>
        <w:tc>
          <w:tcPr>
            <w:tcW w:w="994" w:type="dxa"/>
            <w:tcBorders>
              <w:top w:val="nil"/>
              <w:left w:val="nil"/>
              <w:bottom w:val="nil"/>
              <w:right w:val="nil"/>
            </w:tcBorders>
            <w:shd w:val="clear" w:color="auto" w:fill="auto"/>
            <w:noWrap/>
            <w:vAlign w:val="bottom"/>
            <w:hideMark/>
          </w:tcPr>
          <w:p w14:paraId="5B74E17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18.18</w:t>
            </w:r>
          </w:p>
        </w:tc>
        <w:tc>
          <w:tcPr>
            <w:tcW w:w="200" w:type="dxa"/>
            <w:tcBorders>
              <w:top w:val="nil"/>
              <w:left w:val="nil"/>
              <w:bottom w:val="nil"/>
            </w:tcBorders>
            <w:shd w:val="clear" w:color="auto" w:fill="auto"/>
            <w:noWrap/>
            <w:vAlign w:val="bottom"/>
            <w:hideMark/>
          </w:tcPr>
          <w:p w14:paraId="2DFB0719"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213" w:type="dxa"/>
            <w:vMerge w:val="restart"/>
            <w:tcBorders>
              <w:top w:val="nil"/>
              <w:bottom w:val="single" w:sz="4" w:space="0" w:color="auto"/>
              <w:right w:val="nil"/>
            </w:tcBorders>
            <w:shd w:val="clear" w:color="auto" w:fill="auto"/>
            <w:noWrap/>
            <w:vAlign w:val="center"/>
            <w:hideMark/>
          </w:tcPr>
          <w:p w14:paraId="124C14A4"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=0.00003</w:t>
            </w:r>
          </w:p>
        </w:tc>
        <w:tc>
          <w:tcPr>
            <w:tcW w:w="1000" w:type="dxa"/>
            <w:vMerge w:val="restart"/>
            <w:tcBorders>
              <w:top w:val="nil"/>
              <w:left w:val="nil"/>
              <w:bottom w:val="single" w:sz="4" w:space="0" w:color="000000"/>
              <w:right w:val="nil"/>
            </w:tcBorders>
            <w:shd w:val="clear" w:color="auto" w:fill="auto"/>
            <w:noWrap/>
            <w:vAlign w:val="center"/>
            <w:hideMark/>
          </w:tcPr>
          <w:p w14:paraId="0BC080C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=0.008</w:t>
            </w:r>
          </w:p>
        </w:tc>
        <w:tc>
          <w:tcPr>
            <w:tcW w:w="1000" w:type="dxa"/>
            <w:vMerge w:val="restart"/>
            <w:tcBorders>
              <w:top w:val="nil"/>
              <w:left w:val="nil"/>
              <w:bottom w:val="single" w:sz="4" w:space="0" w:color="000000"/>
              <w:right w:val="nil"/>
            </w:tcBorders>
            <w:shd w:val="clear" w:color="auto" w:fill="auto"/>
            <w:noWrap/>
            <w:vAlign w:val="center"/>
            <w:hideMark/>
          </w:tcPr>
          <w:p w14:paraId="73199B79"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=0.001</w:t>
            </w:r>
          </w:p>
        </w:tc>
      </w:tr>
      <w:tr w:rsidR="00C808A0" w:rsidRPr="00872B32" w14:paraId="5C8D5093" w14:textId="77777777" w:rsidTr="00604C6E">
        <w:trPr>
          <w:trHeight w:val="255"/>
        </w:trPr>
        <w:tc>
          <w:tcPr>
            <w:tcW w:w="611" w:type="dxa"/>
            <w:tcBorders>
              <w:top w:val="nil"/>
              <w:left w:val="nil"/>
              <w:bottom w:val="nil"/>
              <w:right w:val="single" w:sz="4" w:space="0" w:color="auto"/>
            </w:tcBorders>
            <w:shd w:val="clear" w:color="auto" w:fill="auto"/>
            <w:noWrap/>
            <w:vAlign w:val="bottom"/>
            <w:hideMark/>
          </w:tcPr>
          <w:p w14:paraId="7E45F717" w14:textId="77777777" w:rsidR="000F1E59" w:rsidRPr="00872B32" w:rsidRDefault="000F1E59" w:rsidP="008C54E8">
            <w:pPr>
              <w:snapToGrid w:val="0"/>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H/R</w:t>
            </w:r>
          </w:p>
        </w:tc>
        <w:tc>
          <w:tcPr>
            <w:tcW w:w="874" w:type="dxa"/>
            <w:tcBorders>
              <w:top w:val="nil"/>
              <w:left w:val="nil"/>
              <w:bottom w:val="nil"/>
              <w:right w:val="nil"/>
            </w:tcBorders>
            <w:shd w:val="clear" w:color="auto" w:fill="auto"/>
            <w:noWrap/>
            <w:vAlign w:val="bottom"/>
            <w:hideMark/>
          </w:tcPr>
          <w:p w14:paraId="5D253593"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42.31</w:t>
            </w:r>
          </w:p>
        </w:tc>
        <w:tc>
          <w:tcPr>
            <w:tcW w:w="1000" w:type="dxa"/>
            <w:tcBorders>
              <w:top w:val="nil"/>
              <w:left w:val="nil"/>
              <w:bottom w:val="nil"/>
              <w:right w:val="nil"/>
            </w:tcBorders>
            <w:shd w:val="clear" w:color="auto" w:fill="auto"/>
            <w:noWrap/>
            <w:vAlign w:val="bottom"/>
            <w:hideMark/>
          </w:tcPr>
          <w:p w14:paraId="77852AEE"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45.00</w:t>
            </w:r>
          </w:p>
        </w:tc>
        <w:tc>
          <w:tcPr>
            <w:tcW w:w="1000" w:type="dxa"/>
            <w:tcBorders>
              <w:top w:val="nil"/>
              <w:left w:val="nil"/>
              <w:bottom w:val="nil"/>
              <w:right w:val="nil"/>
            </w:tcBorders>
            <w:shd w:val="clear" w:color="auto" w:fill="auto"/>
            <w:noWrap/>
            <w:vAlign w:val="bottom"/>
            <w:hideMark/>
          </w:tcPr>
          <w:p w14:paraId="4ACCE73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40.62</w:t>
            </w:r>
          </w:p>
        </w:tc>
        <w:tc>
          <w:tcPr>
            <w:tcW w:w="200" w:type="dxa"/>
            <w:tcBorders>
              <w:top w:val="nil"/>
              <w:left w:val="nil"/>
              <w:bottom w:val="nil"/>
              <w:right w:val="nil"/>
            </w:tcBorders>
            <w:shd w:val="clear" w:color="auto" w:fill="auto"/>
            <w:noWrap/>
            <w:vAlign w:val="bottom"/>
            <w:hideMark/>
          </w:tcPr>
          <w:p w14:paraId="31CE3106"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4E3B6E13"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51.72</w:t>
            </w:r>
          </w:p>
        </w:tc>
        <w:tc>
          <w:tcPr>
            <w:tcW w:w="1000" w:type="dxa"/>
            <w:tcBorders>
              <w:top w:val="nil"/>
              <w:left w:val="nil"/>
              <w:bottom w:val="nil"/>
              <w:right w:val="nil"/>
            </w:tcBorders>
            <w:shd w:val="clear" w:color="auto" w:fill="auto"/>
            <w:noWrap/>
            <w:vAlign w:val="bottom"/>
            <w:hideMark/>
          </w:tcPr>
          <w:p w14:paraId="58FA9FE6"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44.44</w:t>
            </w:r>
          </w:p>
        </w:tc>
        <w:tc>
          <w:tcPr>
            <w:tcW w:w="994" w:type="dxa"/>
            <w:tcBorders>
              <w:top w:val="nil"/>
              <w:left w:val="nil"/>
              <w:bottom w:val="nil"/>
              <w:right w:val="nil"/>
            </w:tcBorders>
            <w:shd w:val="clear" w:color="auto" w:fill="auto"/>
            <w:noWrap/>
            <w:vAlign w:val="bottom"/>
            <w:hideMark/>
          </w:tcPr>
          <w:p w14:paraId="21D521F5"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63.63</w:t>
            </w:r>
          </w:p>
        </w:tc>
        <w:tc>
          <w:tcPr>
            <w:tcW w:w="200" w:type="dxa"/>
            <w:tcBorders>
              <w:top w:val="nil"/>
              <w:left w:val="nil"/>
              <w:bottom w:val="nil"/>
            </w:tcBorders>
            <w:shd w:val="clear" w:color="auto" w:fill="auto"/>
            <w:noWrap/>
            <w:vAlign w:val="bottom"/>
            <w:hideMark/>
          </w:tcPr>
          <w:p w14:paraId="088480F5" w14:textId="77777777" w:rsidR="000F1E59" w:rsidRPr="00872B32" w:rsidRDefault="00D16E46" w:rsidP="008C54E8">
            <w:pPr>
              <w:snapToGrid w:val="0"/>
              <w:spacing w:line="360" w:lineRule="auto"/>
              <w:jc w:val="both"/>
              <w:rPr>
                <w:rFonts w:ascii="Book Antiqua" w:eastAsia="Calibri" w:hAnsi="Book Antiqua"/>
                <w:color w:val="000000"/>
                <w:lang w:val="it-IT" w:eastAsia="it-IT"/>
              </w:rPr>
            </w:pPr>
            <w:r>
              <w:rPr>
                <w:rFonts w:ascii="Book Antiqua" w:hAnsi="Book Antiqua"/>
                <w:noProof/>
                <w:color w:val="000000"/>
                <w:lang w:eastAsia="zh-CN"/>
              </w:rPr>
              <mc:AlternateContent>
                <mc:Choice Requires="wps">
                  <w:drawing>
                    <wp:anchor distT="0" distB="0" distL="114300" distR="114300" simplePos="0" relativeHeight="251658752" behindDoc="0" locked="0" layoutInCell="1" allowOverlap="1" wp14:anchorId="4C4E756C" wp14:editId="78FB8F3E">
                      <wp:simplePos x="0" y="0"/>
                      <wp:positionH relativeFrom="column">
                        <wp:posOffset>-44450</wp:posOffset>
                      </wp:positionH>
                      <wp:positionV relativeFrom="paragraph">
                        <wp:posOffset>-194945</wp:posOffset>
                      </wp:positionV>
                      <wp:extent cx="165735" cy="485775"/>
                      <wp:effectExtent l="25400" t="0" r="0" b="0"/>
                      <wp:wrapNone/>
                      <wp:docPr id="23" name="Parentesi graffa apert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48577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F4B03" id="Parentesi graffa aperta 4" o:spid="_x0000_s1026" type="#_x0000_t87" style="position:absolute;margin-left:-3.5pt;margin-top:-15.35pt;width:13.0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" adj="614" strokecolor="windowText" strokeweight=".5pt">
                      <v:stroke joinstyle="miter"/>
                    </v:shape>
                  </w:pict>
                </mc:Fallback>
              </mc:AlternateContent>
            </w:r>
          </w:p>
        </w:tc>
        <w:tc>
          <w:tcPr>
            <w:tcW w:w="1213" w:type="dxa"/>
            <w:vMerge/>
            <w:tcBorders>
              <w:top w:val="nil"/>
              <w:bottom w:val="single" w:sz="4" w:space="0" w:color="auto"/>
              <w:right w:val="nil"/>
            </w:tcBorders>
            <w:vAlign w:val="center"/>
            <w:hideMark/>
          </w:tcPr>
          <w:p w14:paraId="5E53FF62"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vMerge/>
            <w:tcBorders>
              <w:top w:val="nil"/>
              <w:left w:val="nil"/>
              <w:bottom w:val="single" w:sz="4" w:space="0" w:color="000000"/>
              <w:right w:val="nil"/>
            </w:tcBorders>
            <w:vAlign w:val="center"/>
            <w:hideMark/>
          </w:tcPr>
          <w:p w14:paraId="57793E46"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vMerge/>
            <w:tcBorders>
              <w:top w:val="nil"/>
              <w:left w:val="nil"/>
              <w:bottom w:val="single" w:sz="4" w:space="0" w:color="000000"/>
              <w:right w:val="nil"/>
            </w:tcBorders>
            <w:vAlign w:val="center"/>
            <w:hideMark/>
          </w:tcPr>
          <w:p w14:paraId="6156DDF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r>
      <w:tr w:rsidR="00C808A0" w:rsidRPr="00872B32" w14:paraId="3EE0FF08" w14:textId="77777777" w:rsidTr="00604C6E">
        <w:trPr>
          <w:trHeight w:val="255"/>
        </w:trPr>
        <w:tc>
          <w:tcPr>
            <w:tcW w:w="611" w:type="dxa"/>
            <w:tcBorders>
              <w:top w:val="nil"/>
              <w:left w:val="nil"/>
              <w:bottom w:val="single" w:sz="4" w:space="0" w:color="auto"/>
              <w:right w:val="single" w:sz="4" w:space="0" w:color="auto"/>
            </w:tcBorders>
            <w:shd w:val="clear" w:color="auto" w:fill="auto"/>
            <w:noWrap/>
            <w:vAlign w:val="bottom"/>
            <w:hideMark/>
          </w:tcPr>
          <w:p w14:paraId="3458F211" w14:textId="77777777" w:rsidR="000F1E59" w:rsidRPr="00872B32" w:rsidRDefault="000F1E59" w:rsidP="008C54E8">
            <w:pPr>
              <w:snapToGrid w:val="0"/>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R/R</w:t>
            </w:r>
          </w:p>
        </w:tc>
        <w:tc>
          <w:tcPr>
            <w:tcW w:w="874" w:type="dxa"/>
            <w:tcBorders>
              <w:top w:val="nil"/>
              <w:left w:val="nil"/>
              <w:bottom w:val="single" w:sz="4" w:space="0" w:color="auto"/>
              <w:right w:val="nil"/>
            </w:tcBorders>
            <w:shd w:val="clear" w:color="auto" w:fill="auto"/>
            <w:noWrap/>
            <w:vAlign w:val="bottom"/>
            <w:hideMark/>
          </w:tcPr>
          <w:p w14:paraId="534B47C6"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23.10</w:t>
            </w:r>
          </w:p>
        </w:tc>
        <w:tc>
          <w:tcPr>
            <w:tcW w:w="1000" w:type="dxa"/>
            <w:tcBorders>
              <w:top w:val="nil"/>
              <w:left w:val="nil"/>
              <w:bottom w:val="single" w:sz="4" w:space="0" w:color="auto"/>
              <w:right w:val="nil"/>
            </w:tcBorders>
            <w:shd w:val="clear" w:color="auto" w:fill="auto"/>
            <w:noWrap/>
            <w:vAlign w:val="bottom"/>
            <w:hideMark/>
          </w:tcPr>
          <w:p w14:paraId="0A0D495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30.00</w:t>
            </w:r>
          </w:p>
        </w:tc>
        <w:tc>
          <w:tcPr>
            <w:tcW w:w="1000" w:type="dxa"/>
            <w:tcBorders>
              <w:top w:val="nil"/>
              <w:left w:val="nil"/>
              <w:bottom w:val="single" w:sz="4" w:space="0" w:color="auto"/>
              <w:right w:val="nil"/>
            </w:tcBorders>
            <w:shd w:val="clear" w:color="auto" w:fill="auto"/>
            <w:noWrap/>
            <w:vAlign w:val="bottom"/>
            <w:hideMark/>
          </w:tcPr>
          <w:p w14:paraId="3AC3D40B"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18.75</w:t>
            </w:r>
          </w:p>
        </w:tc>
        <w:tc>
          <w:tcPr>
            <w:tcW w:w="200" w:type="dxa"/>
            <w:tcBorders>
              <w:top w:val="nil"/>
              <w:left w:val="nil"/>
              <w:bottom w:val="single" w:sz="4" w:space="0" w:color="auto"/>
              <w:right w:val="nil"/>
            </w:tcBorders>
            <w:shd w:val="clear" w:color="auto" w:fill="auto"/>
            <w:noWrap/>
            <w:vAlign w:val="bottom"/>
            <w:hideMark/>
          </w:tcPr>
          <w:p w14:paraId="05AA756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680" w:type="dxa"/>
            <w:tcBorders>
              <w:top w:val="nil"/>
              <w:left w:val="nil"/>
              <w:bottom w:val="single" w:sz="4" w:space="0" w:color="auto"/>
              <w:right w:val="nil"/>
            </w:tcBorders>
            <w:shd w:val="clear" w:color="auto" w:fill="auto"/>
            <w:noWrap/>
            <w:vAlign w:val="bottom"/>
            <w:hideMark/>
          </w:tcPr>
          <w:p w14:paraId="7765B35F"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20.69</w:t>
            </w:r>
          </w:p>
        </w:tc>
        <w:tc>
          <w:tcPr>
            <w:tcW w:w="1000" w:type="dxa"/>
            <w:tcBorders>
              <w:top w:val="nil"/>
              <w:left w:val="nil"/>
              <w:bottom w:val="single" w:sz="4" w:space="0" w:color="auto"/>
              <w:right w:val="nil"/>
            </w:tcBorders>
            <w:shd w:val="clear" w:color="auto" w:fill="auto"/>
            <w:noWrap/>
            <w:vAlign w:val="bottom"/>
            <w:hideMark/>
          </w:tcPr>
          <w:p w14:paraId="139F390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22.22</w:t>
            </w:r>
          </w:p>
        </w:tc>
        <w:tc>
          <w:tcPr>
            <w:tcW w:w="994" w:type="dxa"/>
            <w:tcBorders>
              <w:top w:val="nil"/>
              <w:left w:val="nil"/>
              <w:bottom w:val="single" w:sz="4" w:space="0" w:color="auto"/>
              <w:right w:val="nil"/>
            </w:tcBorders>
            <w:shd w:val="clear" w:color="auto" w:fill="auto"/>
            <w:noWrap/>
            <w:vAlign w:val="bottom"/>
            <w:hideMark/>
          </w:tcPr>
          <w:p w14:paraId="5E5A87A5"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18.18</w:t>
            </w:r>
          </w:p>
        </w:tc>
        <w:tc>
          <w:tcPr>
            <w:tcW w:w="200" w:type="dxa"/>
            <w:tcBorders>
              <w:top w:val="nil"/>
              <w:left w:val="nil"/>
              <w:bottom w:val="single" w:sz="4" w:space="0" w:color="auto"/>
            </w:tcBorders>
            <w:shd w:val="clear" w:color="auto" w:fill="auto"/>
            <w:noWrap/>
            <w:vAlign w:val="bottom"/>
            <w:hideMark/>
          </w:tcPr>
          <w:p w14:paraId="5212AC31"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213" w:type="dxa"/>
            <w:vMerge/>
            <w:tcBorders>
              <w:top w:val="nil"/>
              <w:bottom w:val="single" w:sz="4" w:space="0" w:color="auto"/>
              <w:right w:val="nil"/>
            </w:tcBorders>
            <w:vAlign w:val="center"/>
            <w:hideMark/>
          </w:tcPr>
          <w:p w14:paraId="3164B92E"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vMerge/>
            <w:tcBorders>
              <w:top w:val="nil"/>
              <w:left w:val="nil"/>
              <w:bottom w:val="single" w:sz="4" w:space="0" w:color="000000"/>
              <w:right w:val="nil"/>
            </w:tcBorders>
            <w:vAlign w:val="center"/>
            <w:hideMark/>
          </w:tcPr>
          <w:p w14:paraId="0020EA57"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vMerge/>
            <w:tcBorders>
              <w:top w:val="nil"/>
              <w:left w:val="nil"/>
              <w:bottom w:val="single" w:sz="4" w:space="0" w:color="000000"/>
              <w:right w:val="nil"/>
            </w:tcBorders>
            <w:vAlign w:val="center"/>
            <w:hideMark/>
          </w:tcPr>
          <w:p w14:paraId="09CAA9CE"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r>
      <w:tr w:rsidR="00C808A0" w:rsidRPr="00872B32" w14:paraId="1F6669A2" w14:textId="77777777" w:rsidTr="00604C6E">
        <w:trPr>
          <w:trHeight w:val="79"/>
        </w:trPr>
        <w:tc>
          <w:tcPr>
            <w:tcW w:w="611" w:type="dxa"/>
            <w:tcBorders>
              <w:top w:val="nil"/>
              <w:left w:val="nil"/>
              <w:right w:val="nil"/>
            </w:tcBorders>
            <w:shd w:val="clear" w:color="auto" w:fill="auto"/>
            <w:noWrap/>
            <w:vAlign w:val="bottom"/>
            <w:hideMark/>
          </w:tcPr>
          <w:p w14:paraId="58A4AACA"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874" w:type="dxa"/>
            <w:tcBorders>
              <w:top w:val="nil"/>
              <w:left w:val="nil"/>
              <w:right w:val="nil"/>
            </w:tcBorders>
            <w:shd w:val="clear" w:color="auto" w:fill="auto"/>
            <w:noWrap/>
            <w:vAlign w:val="bottom"/>
            <w:hideMark/>
          </w:tcPr>
          <w:p w14:paraId="4038F095"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bottom"/>
            <w:hideMark/>
          </w:tcPr>
          <w:p w14:paraId="63725EDD"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bottom"/>
            <w:hideMark/>
          </w:tcPr>
          <w:p w14:paraId="35AE4337"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200" w:type="dxa"/>
            <w:tcBorders>
              <w:top w:val="nil"/>
              <w:left w:val="nil"/>
              <w:right w:val="nil"/>
            </w:tcBorders>
            <w:shd w:val="clear" w:color="auto" w:fill="auto"/>
            <w:noWrap/>
            <w:vAlign w:val="bottom"/>
            <w:hideMark/>
          </w:tcPr>
          <w:p w14:paraId="79556347"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680" w:type="dxa"/>
            <w:tcBorders>
              <w:top w:val="nil"/>
              <w:left w:val="nil"/>
              <w:right w:val="nil"/>
            </w:tcBorders>
            <w:shd w:val="clear" w:color="auto" w:fill="auto"/>
            <w:noWrap/>
            <w:vAlign w:val="bottom"/>
            <w:hideMark/>
          </w:tcPr>
          <w:p w14:paraId="5BCE93E0"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bottom"/>
            <w:hideMark/>
          </w:tcPr>
          <w:p w14:paraId="1F0BE699"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994" w:type="dxa"/>
            <w:tcBorders>
              <w:top w:val="nil"/>
              <w:left w:val="nil"/>
              <w:right w:val="nil"/>
            </w:tcBorders>
            <w:shd w:val="clear" w:color="auto" w:fill="auto"/>
            <w:noWrap/>
            <w:vAlign w:val="bottom"/>
            <w:hideMark/>
          </w:tcPr>
          <w:p w14:paraId="269A367A"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200" w:type="dxa"/>
            <w:tcBorders>
              <w:top w:val="nil"/>
              <w:left w:val="nil"/>
              <w:right w:val="nil"/>
            </w:tcBorders>
            <w:shd w:val="clear" w:color="auto" w:fill="auto"/>
            <w:noWrap/>
            <w:vAlign w:val="bottom"/>
            <w:hideMark/>
          </w:tcPr>
          <w:p w14:paraId="0528B752"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213" w:type="dxa"/>
            <w:tcBorders>
              <w:top w:val="single" w:sz="4" w:space="0" w:color="auto"/>
              <w:left w:val="nil"/>
              <w:right w:val="nil"/>
            </w:tcBorders>
            <w:shd w:val="clear" w:color="auto" w:fill="auto"/>
            <w:noWrap/>
            <w:vAlign w:val="center"/>
            <w:hideMark/>
          </w:tcPr>
          <w:p w14:paraId="060D85D5"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center"/>
            <w:hideMark/>
          </w:tcPr>
          <w:p w14:paraId="4FD3E2F7"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center"/>
            <w:hideMark/>
          </w:tcPr>
          <w:p w14:paraId="0EB70C7A" w14:textId="77777777" w:rsidR="000F1E59" w:rsidRPr="00872B32" w:rsidRDefault="000F1E59" w:rsidP="008C54E8">
            <w:pPr>
              <w:snapToGrid w:val="0"/>
              <w:spacing w:line="360" w:lineRule="auto"/>
              <w:jc w:val="both"/>
              <w:rPr>
                <w:rFonts w:ascii="Book Antiqua" w:eastAsia="Calibri" w:hAnsi="Book Antiqua"/>
                <w:color w:val="000000"/>
                <w:lang w:val="it-IT" w:eastAsia="it-IT"/>
              </w:rPr>
            </w:pPr>
          </w:p>
        </w:tc>
      </w:tr>
    </w:tbl>
    <w:p w14:paraId="36EF2001" w14:textId="3AC48CD4" w:rsidR="00604C6E" w:rsidRPr="00BA4E7C" w:rsidRDefault="00604C6E" w:rsidP="008C54E8">
      <w:pPr>
        <w:snapToGrid w:val="0"/>
        <w:spacing w:line="360" w:lineRule="auto"/>
        <w:jc w:val="both"/>
        <w:rPr>
          <w:rFonts w:ascii="Book Antiqua" w:eastAsia="宋体" w:hAnsi="Book Antiqua"/>
          <w:color w:val="000000"/>
          <w:lang w:eastAsia="zh-CN"/>
        </w:rPr>
      </w:pPr>
      <w:r w:rsidRPr="00872B32">
        <w:rPr>
          <w:rFonts w:ascii="Book Antiqua" w:eastAsia="Calibri" w:hAnsi="Book Antiqua"/>
          <w:b/>
          <w:color w:val="000000"/>
        </w:rPr>
        <w:t>Figure 5 Fc</w:t>
      </w:r>
      <w:r w:rsidRPr="00872B32">
        <w:rPr>
          <w:rFonts w:ascii="Book Antiqua" w:eastAsia="Calibri" w:hAnsi="Book Antiqua"/>
          <w:b/>
          <w:color w:val="000000"/>
        </w:rPr>
        <w:sym w:font="Symbol" w:char="F067"/>
      </w:r>
      <w:r w:rsidRPr="00872B32">
        <w:rPr>
          <w:rFonts w:ascii="Book Antiqua" w:eastAsia="Calibri" w:hAnsi="Book Antiqua"/>
          <w:b/>
          <w:color w:val="000000"/>
        </w:rPr>
        <w:t>RIIa and Fc</w:t>
      </w:r>
      <w:r w:rsidRPr="00872B32">
        <w:rPr>
          <w:rFonts w:ascii="Book Antiqua" w:eastAsia="Calibri" w:hAnsi="Book Antiqua"/>
          <w:b/>
          <w:color w:val="000000"/>
        </w:rPr>
        <w:sym w:font="Symbol" w:char="F067"/>
      </w:r>
      <w:r w:rsidRPr="00872B32">
        <w:rPr>
          <w:rFonts w:ascii="Book Antiqua" w:eastAsia="Calibri" w:hAnsi="Book Antiqua"/>
          <w:b/>
          <w:color w:val="000000"/>
        </w:rPr>
        <w:t xml:space="preserve">RIIIa polymorphism frequencies in </w:t>
      </w:r>
      <w:r w:rsidR="00FC7FD5" w:rsidRPr="00872B32">
        <w:rPr>
          <w:rFonts w:ascii="Book Antiqua" w:eastAsia="Calibri" w:hAnsi="Book Antiqua"/>
          <w:b/>
          <w:color w:val="000000"/>
        </w:rPr>
        <w:t>healthy subject</w:t>
      </w:r>
      <w:r w:rsidR="003D5138">
        <w:rPr>
          <w:rFonts w:ascii="Book Antiqua" w:eastAsia="Calibri" w:hAnsi="Book Antiqua"/>
          <w:b/>
          <w:color w:val="000000"/>
        </w:rPr>
        <w:t>s</w:t>
      </w:r>
      <w:r w:rsidR="00FC7FD5" w:rsidRPr="00872B32">
        <w:rPr>
          <w:rFonts w:ascii="Book Antiqua" w:eastAsia="Calibri" w:hAnsi="Book Antiqua"/>
          <w:b/>
          <w:color w:val="000000"/>
        </w:rPr>
        <w:t xml:space="preserve"> and</w:t>
      </w:r>
      <w:r w:rsidR="00FC7FD5" w:rsidRPr="00604C6E">
        <w:rPr>
          <w:rFonts w:ascii="Book Antiqua" w:eastAsia="Calibri" w:hAnsi="Book Antiqua"/>
          <w:b/>
          <w:color w:val="000000"/>
        </w:rPr>
        <w:t xml:space="preserve"> </w:t>
      </w:r>
      <w:r w:rsidR="00FC7FD5" w:rsidRPr="00872B32">
        <w:rPr>
          <w:rFonts w:ascii="Book Antiqua" w:eastAsia="Calibri" w:hAnsi="Book Antiqua"/>
          <w:b/>
          <w:color w:val="000000"/>
        </w:rPr>
        <w:t>tumor patients</w:t>
      </w:r>
      <w:r w:rsidR="00FC7FD5" w:rsidRPr="00BA4E7C">
        <w:rPr>
          <w:rFonts w:ascii="Book Antiqua" w:eastAsia="宋体" w:hAnsi="Book Antiqua"/>
          <w:b/>
          <w:color w:val="000000"/>
          <w:lang w:eastAsia="zh-CN"/>
        </w:rPr>
        <w:t>.</w:t>
      </w:r>
      <w:r w:rsidR="00FC7FD5" w:rsidRPr="00604C6E">
        <w:rPr>
          <w:rFonts w:ascii="Book Antiqua" w:eastAsia="Calibri" w:hAnsi="Book Antiqua"/>
          <w:color w:val="000000"/>
          <w:lang w:eastAsia="it-IT"/>
        </w:rPr>
        <w:t xml:space="preserve"> </w:t>
      </w:r>
      <w:r w:rsidRPr="00872B32">
        <w:rPr>
          <w:rFonts w:ascii="Book Antiqua" w:eastAsia="Calibri" w:hAnsi="Book Antiqua"/>
          <w:color w:val="000000"/>
          <w:lang w:eastAsia="it-IT"/>
        </w:rPr>
        <w:t>Values are expressed as percentages. The statisti</w:t>
      </w:r>
      <w:r w:rsidR="00FC7FD5">
        <w:rPr>
          <w:rFonts w:ascii="Book Antiqua" w:eastAsia="Calibri" w:hAnsi="Book Antiqua"/>
          <w:color w:val="000000"/>
          <w:lang w:eastAsia="it-IT"/>
        </w:rPr>
        <w:t xml:space="preserve">cal data were </w:t>
      </w:r>
      <w:r w:rsidR="00FC7FD5">
        <w:rPr>
          <w:rFonts w:ascii="Book Antiqua" w:eastAsia="Calibri" w:hAnsi="Book Antiqua"/>
          <w:color w:val="000000"/>
          <w:lang w:eastAsia="it-IT"/>
        </w:rPr>
        <w:lastRenderedPageBreak/>
        <w:t>obtained by using</w:t>
      </w:r>
      <w:r w:rsidR="00FC7FD5" w:rsidRPr="00BA4E7C">
        <w:rPr>
          <w:rFonts w:ascii="Book Antiqua" w:eastAsia="宋体" w:hAnsi="Book Antiqua" w:hint="eastAsia"/>
          <w:color w:val="000000"/>
          <w:lang w:eastAsia="zh-CN"/>
        </w:rPr>
        <w:t xml:space="preserve"> </w:t>
      </w:r>
      <w:r w:rsidRPr="00872B32">
        <w:rPr>
          <w:rFonts w:ascii="Book Antiqua" w:eastAsia="Calibri" w:hAnsi="Book Antiqua"/>
          <w:color w:val="000000"/>
          <w:lang w:eastAsia="it-IT"/>
        </w:rPr>
        <w:t xml:space="preserve">goodness-of-fit statistic. Values of </w:t>
      </w:r>
      <w:r w:rsidRPr="00872B32">
        <w:rPr>
          <w:rFonts w:ascii="Book Antiqua" w:eastAsia="Calibri" w:hAnsi="Book Antiqua"/>
          <w:i/>
          <w:color w:val="000000"/>
          <w:lang w:eastAsia="it-IT"/>
        </w:rPr>
        <w:t>P</w:t>
      </w:r>
      <w:r w:rsidR="00FC7FD5" w:rsidRPr="00BA4E7C">
        <w:rPr>
          <w:rFonts w:ascii="Book Antiqua" w:eastAsia="宋体" w:hAnsi="Book Antiqua" w:hint="eastAsia"/>
          <w:i/>
          <w:color w:val="000000"/>
          <w:lang w:eastAsia="zh-CN"/>
        </w:rPr>
        <w:t xml:space="preserve"> </w:t>
      </w:r>
      <w:r w:rsidRPr="00872B32">
        <w:rPr>
          <w:rFonts w:ascii="Book Antiqua" w:eastAsia="Calibri" w:hAnsi="Book Antiqua"/>
          <w:color w:val="000000"/>
          <w:lang w:eastAsia="it-IT"/>
        </w:rPr>
        <w:t>&lt;</w:t>
      </w:r>
      <w:r w:rsidR="00FC7FD5" w:rsidRPr="00BA4E7C">
        <w:rPr>
          <w:rFonts w:ascii="Book Antiqua" w:eastAsia="宋体" w:hAnsi="Book Antiqua" w:hint="eastAsia"/>
          <w:color w:val="000000"/>
          <w:lang w:eastAsia="zh-CN"/>
        </w:rPr>
        <w:t xml:space="preserve"> </w:t>
      </w:r>
      <w:r w:rsidRPr="00872B32">
        <w:rPr>
          <w:rFonts w:ascii="Book Antiqua" w:eastAsia="Calibri" w:hAnsi="Book Antiqua"/>
          <w:color w:val="000000"/>
          <w:lang w:eastAsia="it-IT"/>
        </w:rPr>
        <w:t>0.05 were considered significant.</w:t>
      </w:r>
      <w:r w:rsidRPr="00FC7FD5">
        <w:rPr>
          <w:rFonts w:ascii="Book Antiqua" w:eastAsia="Calibri" w:hAnsi="Book Antiqua"/>
          <w:color w:val="000000"/>
          <w:lang w:eastAsia="it-IT"/>
        </w:rPr>
        <w:t xml:space="preserve"> NS: </w:t>
      </w:r>
      <w:r w:rsidR="00FC7FD5" w:rsidRPr="00FC7FD5">
        <w:rPr>
          <w:rFonts w:ascii="Book Antiqua" w:eastAsia="Calibri" w:hAnsi="Book Antiqua"/>
          <w:color w:val="000000"/>
          <w:lang w:eastAsia="it-IT"/>
        </w:rPr>
        <w:t xml:space="preserve">Not </w:t>
      </w:r>
      <w:r w:rsidRPr="00FC7FD5">
        <w:rPr>
          <w:rFonts w:ascii="Book Antiqua" w:eastAsia="Calibri" w:hAnsi="Book Antiqua"/>
          <w:color w:val="000000"/>
          <w:lang w:eastAsia="it-IT"/>
        </w:rPr>
        <w:t>significant</w:t>
      </w:r>
      <w:r w:rsidR="00FC7FD5" w:rsidRPr="00BA4E7C">
        <w:rPr>
          <w:rFonts w:ascii="Book Antiqua" w:eastAsia="宋体" w:hAnsi="Book Antiqua" w:hint="eastAsia"/>
          <w:color w:val="000000"/>
          <w:lang w:eastAsia="zh-CN"/>
        </w:rPr>
        <w:t xml:space="preserve">; </w:t>
      </w:r>
      <w:r w:rsidR="00FC7FD5" w:rsidRPr="00FC7FD5">
        <w:rPr>
          <w:rFonts w:ascii="Book Antiqua" w:eastAsia="Calibri" w:hAnsi="Book Antiqua"/>
          <w:color w:val="000000"/>
        </w:rPr>
        <w:t>HS</w:t>
      </w:r>
      <w:r w:rsidR="00FC7FD5" w:rsidRPr="00BA4E7C">
        <w:rPr>
          <w:rFonts w:ascii="Book Antiqua" w:eastAsia="宋体" w:hAnsi="Book Antiqua" w:hint="eastAsia"/>
          <w:color w:val="000000"/>
          <w:lang w:eastAsia="zh-CN"/>
        </w:rPr>
        <w:t>:</w:t>
      </w:r>
      <w:r w:rsidRPr="00FC7FD5">
        <w:rPr>
          <w:rFonts w:ascii="Book Antiqua" w:eastAsia="Calibri" w:hAnsi="Book Antiqua"/>
          <w:color w:val="000000"/>
          <w:lang w:eastAsia="it-IT"/>
        </w:rPr>
        <w:t xml:space="preserve"> </w:t>
      </w:r>
      <w:r w:rsidR="00FC7FD5" w:rsidRPr="00FC7FD5">
        <w:rPr>
          <w:rFonts w:ascii="Book Antiqua" w:eastAsia="Calibri" w:hAnsi="Book Antiqua"/>
          <w:color w:val="000000"/>
        </w:rPr>
        <w:t>Healthy subject</w:t>
      </w:r>
      <w:r w:rsidR="00FC7FD5" w:rsidRPr="00BA4E7C">
        <w:rPr>
          <w:rFonts w:ascii="Book Antiqua" w:eastAsia="宋体" w:hAnsi="Book Antiqua" w:hint="eastAsia"/>
          <w:color w:val="000000"/>
          <w:lang w:eastAsia="zh-CN"/>
        </w:rPr>
        <w:t xml:space="preserve">; </w:t>
      </w:r>
      <w:r w:rsidR="00FC7FD5" w:rsidRPr="00FC7FD5">
        <w:rPr>
          <w:rFonts w:ascii="Book Antiqua" w:eastAsia="Calibri" w:hAnsi="Book Antiqua"/>
          <w:color w:val="000000"/>
        </w:rPr>
        <w:t>TP</w:t>
      </w:r>
      <w:r w:rsidR="00FC7FD5" w:rsidRPr="00BA4E7C">
        <w:rPr>
          <w:rFonts w:ascii="Book Antiqua" w:eastAsia="宋体" w:hAnsi="Book Antiqua" w:hint="eastAsia"/>
          <w:color w:val="000000"/>
          <w:lang w:eastAsia="zh-CN"/>
        </w:rPr>
        <w:t>:</w:t>
      </w:r>
      <w:r w:rsidR="00FC7FD5" w:rsidRPr="00FC7FD5">
        <w:rPr>
          <w:rFonts w:ascii="Book Antiqua" w:eastAsia="Calibri" w:hAnsi="Book Antiqua"/>
          <w:color w:val="000000"/>
        </w:rPr>
        <w:t xml:space="preserve"> Tumor patients</w:t>
      </w:r>
      <w:r w:rsidR="00FC7FD5" w:rsidRPr="00BA4E7C">
        <w:rPr>
          <w:rFonts w:ascii="Book Antiqua" w:eastAsia="宋体" w:hAnsi="Book Antiqua" w:hint="eastAsia"/>
          <w:color w:val="000000"/>
          <w:lang w:eastAsia="zh-CN"/>
        </w:rPr>
        <w:t>.</w:t>
      </w:r>
    </w:p>
    <w:p w14:paraId="0EAB8A07" w14:textId="77777777" w:rsidR="004F6BD0" w:rsidRPr="00BA4E7C" w:rsidRDefault="004F6BD0" w:rsidP="008C54E8">
      <w:pPr>
        <w:snapToGrid w:val="0"/>
        <w:spacing w:line="360" w:lineRule="auto"/>
        <w:jc w:val="both"/>
        <w:rPr>
          <w:rFonts w:ascii="Book Antiqua" w:eastAsia="宋体" w:hAnsi="Book Antiqua"/>
          <w:b/>
          <w:color w:val="000000"/>
          <w:lang w:eastAsia="zh-CN"/>
        </w:rPr>
      </w:pPr>
    </w:p>
    <w:p w14:paraId="65DAE2D7" w14:textId="77777777" w:rsidR="004F6BD0" w:rsidRPr="00872B32" w:rsidRDefault="004F6BD0" w:rsidP="008C54E8">
      <w:pPr>
        <w:snapToGrid w:val="0"/>
        <w:spacing w:line="360" w:lineRule="auto"/>
        <w:jc w:val="both"/>
        <w:rPr>
          <w:rFonts w:ascii="Book Antiqua" w:hAnsi="Book Antiqua"/>
          <w:b/>
          <w:color w:val="000000"/>
        </w:rPr>
      </w:pPr>
    </w:p>
    <w:p w14:paraId="193D4A11" w14:textId="77777777" w:rsidR="004F6BD0" w:rsidRPr="00872B32" w:rsidRDefault="004F6BD0" w:rsidP="008C54E8">
      <w:pPr>
        <w:snapToGrid w:val="0"/>
        <w:spacing w:line="360" w:lineRule="auto"/>
        <w:jc w:val="both"/>
        <w:rPr>
          <w:rFonts w:ascii="Book Antiqua" w:hAnsi="Book Antiqua"/>
          <w:b/>
          <w:color w:val="000000"/>
        </w:rPr>
      </w:pPr>
    </w:p>
    <w:p w14:paraId="5F4F4098" w14:textId="77777777" w:rsidR="004F6BD0" w:rsidRPr="00872B32" w:rsidRDefault="004F6BD0" w:rsidP="008C54E8">
      <w:pPr>
        <w:snapToGrid w:val="0"/>
        <w:spacing w:line="360" w:lineRule="auto"/>
        <w:jc w:val="both"/>
        <w:rPr>
          <w:rFonts w:ascii="Book Antiqua" w:hAnsi="Book Antiqua"/>
          <w:b/>
          <w:color w:val="000000"/>
        </w:rPr>
      </w:pPr>
    </w:p>
    <w:p w14:paraId="7E6DFFED" w14:textId="77777777" w:rsidR="00386593" w:rsidRPr="00872B32" w:rsidRDefault="00386593" w:rsidP="008C54E8">
      <w:pPr>
        <w:snapToGrid w:val="0"/>
        <w:spacing w:line="360" w:lineRule="auto"/>
        <w:jc w:val="both"/>
        <w:rPr>
          <w:rFonts w:ascii="Book Antiqua" w:hAnsi="Book Antiqua"/>
          <w:b/>
          <w:color w:val="000000"/>
        </w:rPr>
        <w:sectPr w:rsidR="00386593" w:rsidRPr="00872B32" w:rsidSect="008C54E8">
          <w:pgSz w:w="11906" w:h="16838"/>
          <w:pgMar w:top="1440" w:right="1440" w:bottom="1440" w:left="1440" w:header="706" w:footer="706" w:gutter="0"/>
          <w:cols w:space="708"/>
          <w:docGrid w:linePitch="360"/>
        </w:sectPr>
      </w:pPr>
    </w:p>
    <w:p w14:paraId="5D0018D6" w14:textId="77777777" w:rsidR="00386593" w:rsidRPr="00872B32" w:rsidRDefault="00386593" w:rsidP="008C54E8">
      <w:pPr>
        <w:snapToGrid w:val="0"/>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624"/>
        <w:gridCol w:w="7088"/>
        <w:gridCol w:w="624"/>
        <w:gridCol w:w="7088"/>
      </w:tblGrid>
      <w:tr w:rsidR="00386593" w:rsidRPr="00872B32" w14:paraId="4EDC2116" w14:textId="77777777" w:rsidTr="00EE1CE0">
        <w:tc>
          <w:tcPr>
            <w:tcW w:w="624" w:type="dxa"/>
          </w:tcPr>
          <w:p w14:paraId="67C5BFC1" w14:textId="77777777" w:rsidR="00386593" w:rsidRPr="00872B32" w:rsidRDefault="00EE329E"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A</w:t>
            </w:r>
          </w:p>
        </w:tc>
        <w:tc>
          <w:tcPr>
            <w:tcW w:w="7088" w:type="dxa"/>
          </w:tcPr>
          <w:p w14:paraId="285A2C2D" w14:textId="1EE9614E" w:rsidR="00386593"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355" w:dyaOrig="5160" w14:anchorId="65B323A6">
                <v:shape id="_x0000_i1044" type="#_x0000_t75" alt="" style="width:227.8pt;height:221.35pt;mso-width-percent:0;mso-height-percent:0;mso-width-percent:0;mso-height-percent:0" o:ole="">
                  <v:imagedata r:id="rId61" o:title=""/>
                </v:shape>
                <o:OLEObject Type="Embed" ProgID="PBrush" ShapeID="_x0000_i1044" DrawAspect="Content" ObjectID="_1611744878" r:id="rId62"/>
              </w:object>
            </w:r>
          </w:p>
        </w:tc>
        <w:tc>
          <w:tcPr>
            <w:tcW w:w="624" w:type="dxa"/>
          </w:tcPr>
          <w:p w14:paraId="265D84C1" w14:textId="77777777" w:rsidR="00386593" w:rsidRPr="00872B32" w:rsidRDefault="00EE329E"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B</w:t>
            </w:r>
          </w:p>
        </w:tc>
        <w:tc>
          <w:tcPr>
            <w:tcW w:w="7088" w:type="dxa"/>
          </w:tcPr>
          <w:p w14:paraId="6CBAA1C0" w14:textId="3EF7CC86" w:rsidR="00386593"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100" w:dyaOrig="4785" w14:anchorId="246B8753">
                <v:shape id="_x0000_i1045" type="#_x0000_t75" alt="" style="width:237.5pt;height:224.05pt;mso-width-percent:0;mso-height-percent:0;mso-width-percent:0;mso-height-percent:0" o:ole="">
                  <v:imagedata r:id="rId63" o:title=""/>
                </v:shape>
                <o:OLEObject Type="Embed" ProgID="PBrush" ShapeID="_x0000_i1045" DrawAspect="Content" ObjectID="_1611744879" r:id="rId64"/>
              </w:object>
            </w:r>
          </w:p>
        </w:tc>
      </w:tr>
    </w:tbl>
    <w:p w14:paraId="6DEE16D7" w14:textId="77777777" w:rsidR="00386593" w:rsidRPr="00872B32" w:rsidRDefault="00386593" w:rsidP="008C54E8">
      <w:pPr>
        <w:snapToGrid w:val="0"/>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510"/>
        <w:gridCol w:w="7088"/>
        <w:gridCol w:w="510"/>
        <w:gridCol w:w="7088"/>
      </w:tblGrid>
      <w:tr w:rsidR="00C808A0" w:rsidRPr="00872B32" w14:paraId="0CDB6F93" w14:textId="77777777" w:rsidTr="008C54E8">
        <w:tc>
          <w:tcPr>
            <w:tcW w:w="510" w:type="dxa"/>
          </w:tcPr>
          <w:p w14:paraId="61EF2BBE" w14:textId="77777777" w:rsidR="00386593" w:rsidRPr="00872B32" w:rsidRDefault="00EE329E" w:rsidP="008C54E8">
            <w:pPr>
              <w:snapToGrid w:val="0"/>
              <w:spacing w:line="360" w:lineRule="auto"/>
              <w:jc w:val="both"/>
              <w:rPr>
                <w:rFonts w:ascii="Book Antiqua" w:eastAsia="Calibri" w:hAnsi="Book Antiqua"/>
                <w:color w:val="000000"/>
              </w:rPr>
            </w:pPr>
            <w:r>
              <w:rPr>
                <w:rFonts w:ascii="Book Antiqua" w:eastAsia="Calibri" w:hAnsi="Book Antiqua"/>
                <w:color w:val="000000"/>
              </w:rPr>
              <w:lastRenderedPageBreak/>
              <w:t>C</w:t>
            </w:r>
          </w:p>
        </w:tc>
        <w:tc>
          <w:tcPr>
            <w:tcW w:w="7088" w:type="dxa"/>
          </w:tcPr>
          <w:p w14:paraId="2F6DF8C2" w14:textId="5C3D952B" w:rsidR="00386593"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6720" w:dyaOrig="5355" w14:anchorId="4C3343D5">
                <v:shape id="_x0000_i1046" type="#_x0000_t75" alt="" style="width:269.75pt;height:218.7pt;mso-width-percent:0;mso-height-percent:0;mso-width-percent:0;mso-height-percent:0" o:ole="">
                  <v:imagedata r:id="rId65" o:title=""/>
                </v:shape>
                <o:OLEObject Type="Embed" ProgID="PBrush" ShapeID="_x0000_i1046" DrawAspect="Content" ObjectID="_1611744880" r:id="rId66"/>
              </w:object>
            </w:r>
          </w:p>
        </w:tc>
        <w:tc>
          <w:tcPr>
            <w:tcW w:w="510" w:type="dxa"/>
          </w:tcPr>
          <w:p w14:paraId="28ECF110" w14:textId="77777777" w:rsidR="00386593" w:rsidRPr="00872B32" w:rsidRDefault="00EE329E" w:rsidP="008C54E8">
            <w:pPr>
              <w:snapToGrid w:val="0"/>
              <w:spacing w:line="360" w:lineRule="auto"/>
              <w:jc w:val="both"/>
              <w:rPr>
                <w:rFonts w:ascii="Book Antiqua" w:eastAsia="Calibri" w:hAnsi="Book Antiqua"/>
                <w:color w:val="000000"/>
              </w:rPr>
            </w:pPr>
            <w:r>
              <w:rPr>
                <w:rFonts w:ascii="Book Antiqua" w:eastAsia="Calibri" w:hAnsi="Book Antiqua"/>
                <w:color w:val="000000"/>
              </w:rPr>
              <w:t>D</w:t>
            </w:r>
          </w:p>
        </w:tc>
        <w:tc>
          <w:tcPr>
            <w:tcW w:w="7088" w:type="dxa"/>
          </w:tcPr>
          <w:p w14:paraId="24E8AA56" w14:textId="77777777" w:rsidR="00386593"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6225" w:dyaOrig="5295" w14:anchorId="65BE238F">
                <v:shape id="_x0000_i1047" type="#_x0000_t75" alt="" style="width:256.3pt;height:218.15pt;mso-width-percent:0;mso-height-percent:0;mso-width-percent:0;mso-height-percent:0" o:ole="">
                  <v:imagedata r:id="rId67" o:title=""/>
                </v:shape>
                <o:OLEObject Type="Embed" ProgID="PBrush" ShapeID="_x0000_i1047" DrawAspect="Content" ObjectID="_1611744881" r:id="rId68"/>
              </w:object>
            </w:r>
          </w:p>
        </w:tc>
      </w:tr>
    </w:tbl>
    <w:p w14:paraId="59541512" w14:textId="77777777" w:rsidR="00386593" w:rsidRPr="00872B32" w:rsidRDefault="00386593" w:rsidP="008C54E8">
      <w:pPr>
        <w:snapToGrid w:val="0"/>
        <w:spacing w:line="360" w:lineRule="auto"/>
        <w:jc w:val="both"/>
        <w:rPr>
          <w:rFonts w:ascii="Book Antiqua" w:eastAsia="Calibri" w:hAnsi="Book Antiqua"/>
          <w:color w:val="000000"/>
        </w:rPr>
        <w:sectPr w:rsidR="00386593" w:rsidRPr="00872B32" w:rsidSect="008C54E8">
          <w:pgSz w:w="16838" w:h="11906" w:orient="landscape"/>
          <w:pgMar w:top="1440" w:right="1440" w:bottom="1440" w:left="1440" w:header="706" w:footer="706" w:gutter="0"/>
          <w:cols w:space="708"/>
          <w:docGrid w:linePitch="360"/>
        </w:sectPr>
      </w:pPr>
    </w:p>
    <w:p w14:paraId="2159450A" w14:textId="4BD229B5" w:rsidR="00D76D39" w:rsidRPr="00872B32" w:rsidRDefault="000F1E59" w:rsidP="008C54E8">
      <w:pPr>
        <w:snapToGrid w:val="0"/>
        <w:spacing w:line="360" w:lineRule="auto"/>
        <w:jc w:val="both"/>
        <w:rPr>
          <w:rFonts w:ascii="Book Antiqua" w:hAnsi="Book Antiqua"/>
          <w:color w:val="000000"/>
        </w:rPr>
      </w:pPr>
      <w:r w:rsidRPr="00872B32">
        <w:rPr>
          <w:rFonts w:ascii="Book Antiqua" w:eastAsia="Calibri" w:hAnsi="Book Antiqua"/>
          <w:b/>
          <w:color w:val="000000"/>
        </w:rPr>
        <w:lastRenderedPageBreak/>
        <w:t>Figure 6</w:t>
      </w:r>
      <w:r w:rsidR="00C808A0" w:rsidRPr="00872B32">
        <w:rPr>
          <w:rFonts w:ascii="Book Antiqua" w:hAnsi="Book Antiqua"/>
          <w:b/>
          <w:color w:val="000000"/>
        </w:rPr>
        <w:t xml:space="preserve"> </w:t>
      </w:r>
      <w:r w:rsidR="00D76D39" w:rsidRPr="00872B32">
        <w:rPr>
          <w:rFonts w:ascii="Book Antiqua" w:hAnsi="Book Antiqua"/>
          <w:b/>
          <w:color w:val="000000"/>
        </w:rPr>
        <w:t>The polymorphisms of KIRs are useful biomarkers for categoriz</w:t>
      </w:r>
      <w:r w:rsidR="003D5138">
        <w:rPr>
          <w:rFonts w:ascii="Book Antiqua" w:hAnsi="Book Antiqua"/>
          <w:b/>
          <w:color w:val="000000"/>
        </w:rPr>
        <w:t>ing</w:t>
      </w:r>
      <w:r w:rsidR="00D76D39" w:rsidRPr="00872B32">
        <w:rPr>
          <w:rFonts w:ascii="Book Antiqua" w:hAnsi="Book Antiqua"/>
          <w:b/>
          <w:color w:val="000000"/>
        </w:rPr>
        <w:t xml:space="preserve"> the risk of non-homeostasis of the redox-immune systems. </w:t>
      </w:r>
      <w:r w:rsidR="00D76D39" w:rsidRPr="00EC1BEB">
        <w:rPr>
          <w:rFonts w:ascii="Book Antiqua" w:hAnsi="Book Antiqua"/>
          <w:color w:val="000000"/>
        </w:rPr>
        <w:t>The different pathways in men and women could be prognostic of disease in healthy subjects and of progression in patients. Principal component analysis plots of the network of correlations between aKIR, iKIR polymorphisms and the levels of Trx1, RTrx1, sCD30 and immunological parameters (with and without the age and the disease progression components, respectively)</w:t>
      </w:r>
      <w:r w:rsidR="00EE329E">
        <w:rPr>
          <w:rFonts w:ascii="Book Antiqua" w:hAnsi="Book Antiqua"/>
          <w:color w:val="000000"/>
        </w:rPr>
        <w:t xml:space="preserve">. </w:t>
      </w:r>
      <w:r w:rsidR="00D76D39" w:rsidRPr="00EC1BEB">
        <w:rPr>
          <w:rFonts w:ascii="Book Antiqua" w:hAnsi="Book Antiqua"/>
          <w:color w:val="000000"/>
        </w:rPr>
        <w:t>A</w:t>
      </w:r>
      <w:r w:rsidR="00EC1BEB" w:rsidRPr="00BA4E7C">
        <w:rPr>
          <w:rFonts w:ascii="Book Antiqua" w:eastAsia="宋体" w:hAnsi="Book Antiqua" w:hint="eastAsia"/>
          <w:color w:val="000000"/>
          <w:lang w:eastAsia="zh-CN"/>
        </w:rPr>
        <w:t>:</w:t>
      </w:r>
      <w:r w:rsidR="00D76D39" w:rsidRPr="00EC1BEB">
        <w:rPr>
          <w:rFonts w:ascii="Book Antiqua" w:hAnsi="Book Antiqua"/>
          <w:color w:val="000000"/>
        </w:rPr>
        <w:t xml:space="preserve"> </w:t>
      </w:r>
      <w:r w:rsidR="00EC1BEB" w:rsidRPr="00EC1BEB">
        <w:rPr>
          <w:rFonts w:ascii="Book Antiqua" w:hAnsi="Book Antiqua"/>
          <w:color w:val="000000"/>
        </w:rPr>
        <w:t xml:space="preserve">The </w:t>
      </w:r>
      <w:r w:rsidR="00D76D39" w:rsidRPr="00EC1BEB">
        <w:rPr>
          <w:rFonts w:ascii="Book Antiqua" w:hAnsi="Book Antiqua"/>
          <w:color w:val="000000"/>
        </w:rPr>
        <w:t xml:space="preserve">network of the correlations between the different numbers of aKIRs and iKIRs of the patient group and the disease stage. The </w:t>
      </w:r>
      <w:r w:rsidR="00D76D39" w:rsidRPr="00EC1BEB">
        <w:rPr>
          <w:rFonts w:ascii="Book Antiqua" w:hAnsi="Book Antiqua"/>
          <w:i/>
          <w:color w:val="000000"/>
        </w:rPr>
        <w:t>“</w:t>
      </w:r>
      <w:r w:rsidR="001D0A2A" w:rsidRPr="00EC1BEB">
        <w:rPr>
          <w:rFonts w:ascii="Book Antiqua" w:hAnsi="Book Antiqua"/>
          <w:i/>
          <w:color w:val="000000"/>
        </w:rPr>
        <w:t xml:space="preserve">Akir </w:t>
      </w:r>
      <w:r w:rsidR="00D76D39" w:rsidRPr="00EC1BEB">
        <w:rPr>
          <w:rFonts w:ascii="Book Antiqua" w:hAnsi="Book Antiqua"/>
          <w:i/>
          <w:color w:val="000000"/>
        </w:rPr>
        <w:t>&gt;2”</w:t>
      </w:r>
      <w:r w:rsidR="00D76D39" w:rsidRPr="00EC1BEB">
        <w:rPr>
          <w:rFonts w:ascii="Book Antiqua" w:hAnsi="Book Antiqua"/>
          <w:color w:val="000000"/>
        </w:rPr>
        <w:t xml:space="preserve"> and </w:t>
      </w:r>
      <w:r w:rsidR="00D76D39" w:rsidRPr="00EC1BEB">
        <w:rPr>
          <w:rFonts w:ascii="Book Antiqua" w:hAnsi="Book Antiqua"/>
          <w:i/>
          <w:color w:val="000000"/>
        </w:rPr>
        <w:t>“aKIR</w:t>
      </w:r>
      <w:r w:rsidR="001D0A2A" w:rsidRPr="00EC1BEB">
        <w:rPr>
          <w:rFonts w:ascii="Book Antiqua" w:hAnsi="Book Antiqua"/>
          <w:i/>
          <w:color w:val="000000"/>
        </w:rPr>
        <w:t xml:space="preserve"> </w:t>
      </w:r>
      <w:r w:rsidR="00D76D39" w:rsidRPr="00EC1BEB">
        <w:rPr>
          <w:rFonts w:ascii="Book Antiqua" w:hAnsi="Book Antiqua"/>
          <w:i/>
          <w:color w:val="000000"/>
        </w:rPr>
        <w:t>&lt;3”</w:t>
      </w:r>
      <w:r w:rsidR="00D76D39" w:rsidRPr="00EC1BEB">
        <w:rPr>
          <w:rFonts w:ascii="Book Antiqua" w:hAnsi="Book Antiqua"/>
          <w:color w:val="000000"/>
        </w:rPr>
        <w:t xml:space="preserve"> parameters are the limits of non-risk and risk of disease</w:t>
      </w:r>
      <w:r w:rsidR="003D5138">
        <w:rPr>
          <w:rFonts w:ascii="Book Antiqua" w:hAnsi="Book Antiqua"/>
          <w:color w:val="000000"/>
        </w:rPr>
        <w:t>,</w:t>
      </w:r>
      <w:r w:rsidR="00D76D39" w:rsidRPr="00EC1BEB">
        <w:rPr>
          <w:rFonts w:ascii="Book Antiqua" w:hAnsi="Book Antiqua"/>
          <w:color w:val="000000"/>
        </w:rPr>
        <w:t xml:space="preserve"> respectively</w:t>
      </w:r>
      <w:r w:rsidR="003D5138">
        <w:rPr>
          <w:rFonts w:ascii="Book Antiqua" w:hAnsi="Book Antiqua"/>
          <w:color w:val="000000"/>
        </w:rPr>
        <w:t>,</w:t>
      </w:r>
      <w:r w:rsidR="00D76D39" w:rsidRPr="00EC1BEB">
        <w:rPr>
          <w:rFonts w:ascii="Book Antiqua" w:hAnsi="Book Antiqua"/>
          <w:color w:val="000000"/>
        </w:rPr>
        <w:t xml:space="preserve"> and we used them as elements of stratification for the evaluation of the parameter relevance as prognostic biomarkers</w:t>
      </w:r>
      <w:r w:rsidR="00EC1BEB" w:rsidRPr="00BA4E7C">
        <w:rPr>
          <w:rFonts w:ascii="Book Antiqua" w:eastAsia="宋体" w:hAnsi="Book Antiqua" w:hint="eastAsia"/>
          <w:color w:val="000000"/>
          <w:lang w:eastAsia="zh-CN"/>
        </w:rPr>
        <w:t>;</w:t>
      </w:r>
      <w:r w:rsidR="00D76D39" w:rsidRPr="00EC1BEB">
        <w:rPr>
          <w:rFonts w:ascii="Book Antiqua" w:hAnsi="Book Antiqua"/>
          <w:color w:val="000000"/>
        </w:rPr>
        <w:t xml:space="preserve"> </w:t>
      </w:r>
      <w:r w:rsidR="00EE329E">
        <w:rPr>
          <w:rFonts w:ascii="Book Antiqua" w:hAnsi="Book Antiqua"/>
          <w:color w:val="000000"/>
        </w:rPr>
        <w:t>B</w:t>
      </w:r>
      <w:r w:rsidR="00EC1BEB" w:rsidRPr="00BA4E7C">
        <w:rPr>
          <w:rFonts w:ascii="Book Antiqua" w:eastAsia="宋体" w:hAnsi="Book Antiqua" w:hint="eastAsia"/>
          <w:color w:val="000000"/>
          <w:lang w:eastAsia="zh-CN"/>
        </w:rPr>
        <w:t>:</w:t>
      </w:r>
      <w:r w:rsidR="00D76D39" w:rsidRPr="00EC1BEB">
        <w:rPr>
          <w:rFonts w:ascii="Book Antiqua" w:hAnsi="Book Antiqua"/>
          <w:color w:val="000000"/>
        </w:rPr>
        <w:t xml:space="preserve"> </w:t>
      </w:r>
      <w:r w:rsidR="003D5138">
        <w:rPr>
          <w:rFonts w:ascii="Book Antiqua" w:hAnsi="Book Antiqua"/>
          <w:color w:val="000000"/>
        </w:rPr>
        <w:t>D</w:t>
      </w:r>
      <w:r w:rsidR="00D76D39" w:rsidRPr="00EC1BEB">
        <w:rPr>
          <w:rFonts w:ascii="Book Antiqua" w:hAnsi="Book Antiqua"/>
          <w:color w:val="000000"/>
        </w:rPr>
        <w:t xml:space="preserve">isease risk in healthy subjects; </w:t>
      </w:r>
      <w:r w:rsidR="00EE329E">
        <w:rPr>
          <w:rFonts w:ascii="Book Antiqua" w:hAnsi="Book Antiqua"/>
          <w:color w:val="000000"/>
        </w:rPr>
        <w:t>C</w:t>
      </w:r>
      <w:r w:rsidR="00EC1BEB" w:rsidRPr="00BA4E7C">
        <w:rPr>
          <w:rFonts w:ascii="Book Antiqua" w:eastAsia="宋体" w:hAnsi="Book Antiqua" w:hint="eastAsia"/>
          <w:color w:val="000000"/>
          <w:lang w:eastAsia="zh-CN"/>
        </w:rPr>
        <w:t>:</w:t>
      </w:r>
      <w:r w:rsidR="00D76D39" w:rsidRPr="00EC1BEB">
        <w:rPr>
          <w:rFonts w:ascii="Book Antiqua" w:hAnsi="Book Antiqua"/>
          <w:color w:val="000000"/>
        </w:rPr>
        <w:t xml:space="preserve"> Healthy to Adenoma state disease progression (Healthy to Adenoma), in the group made up of healthy and adenoma subjects; </w:t>
      </w:r>
      <w:r w:rsidR="00EE329E">
        <w:rPr>
          <w:rFonts w:ascii="Book Antiqua" w:hAnsi="Book Antiqua"/>
          <w:color w:val="000000"/>
        </w:rPr>
        <w:t>D</w:t>
      </w:r>
      <w:r w:rsidR="00EC1BEB" w:rsidRPr="00BA4E7C">
        <w:rPr>
          <w:rFonts w:ascii="Book Antiqua" w:eastAsia="宋体" w:hAnsi="Book Antiqua" w:hint="eastAsia"/>
          <w:color w:val="000000"/>
          <w:lang w:eastAsia="zh-CN"/>
        </w:rPr>
        <w:t>:</w:t>
      </w:r>
      <w:r w:rsidR="00D76D39" w:rsidRPr="00EC1BEB">
        <w:rPr>
          <w:rFonts w:ascii="Book Antiqua" w:hAnsi="Book Antiqua"/>
          <w:color w:val="000000"/>
        </w:rPr>
        <w:t xml:space="preserve"> Adenoma to Tumor state disease progression (Adenoma to Tumor), in the group made up of adenoma subjects and patients.</w:t>
      </w:r>
      <w:r w:rsidR="00EC1BEB" w:rsidRPr="00BA4E7C">
        <w:rPr>
          <w:rFonts w:ascii="Book Antiqua" w:eastAsia="宋体" w:hAnsi="Book Antiqua" w:hint="eastAsia"/>
          <w:color w:val="000000"/>
          <w:lang w:eastAsia="zh-CN"/>
        </w:rPr>
        <w:t xml:space="preserve"> </w:t>
      </w:r>
      <w:r w:rsidR="00D76D39" w:rsidRPr="00872B32">
        <w:rPr>
          <w:rFonts w:ascii="Book Antiqua" w:hAnsi="Book Antiqua"/>
          <w:color w:val="000000"/>
        </w:rPr>
        <w:t xml:space="preserve">Vector colors: </w:t>
      </w:r>
      <w:r w:rsidR="00EC1BE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EC1BEB" w:rsidRPr="00872B32">
        <w:rPr>
          <w:rFonts w:ascii="Book Antiqua" w:hAnsi="Book Antiqua"/>
          <w:color w:val="000000"/>
        </w:rPr>
        <w:t xml:space="preserve">Increase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w:t>
      </w:r>
    </w:p>
    <w:p w14:paraId="47C94710" w14:textId="77777777" w:rsidR="00C95681" w:rsidRDefault="00C95681" w:rsidP="008C54E8">
      <w:pPr>
        <w:snapToGrid w:val="0"/>
        <w:spacing w:line="360" w:lineRule="auto"/>
        <w:jc w:val="both"/>
        <w:rPr>
          <w:rFonts w:ascii="Book Antiqua" w:hAnsi="Book Antiqua"/>
          <w:color w:val="000000"/>
        </w:rPr>
        <w:sectPr w:rsidR="00C95681" w:rsidSect="008C54E8">
          <w:pgSz w:w="16838" w:h="11906" w:orient="landscape"/>
          <w:pgMar w:top="1440" w:right="1440" w:bottom="1440" w:left="1440" w:header="706" w:footer="706" w:gutter="0"/>
          <w:cols w:space="708"/>
          <w:docGrid w:linePitch="360"/>
        </w:sectPr>
      </w:pPr>
    </w:p>
    <w:p w14:paraId="6D09079D" w14:textId="77777777" w:rsidR="007017FA" w:rsidRPr="00872B32" w:rsidRDefault="007017FA" w:rsidP="008C54E8">
      <w:pPr>
        <w:snapToGrid w:val="0"/>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624"/>
        <w:gridCol w:w="7088"/>
        <w:gridCol w:w="624"/>
        <w:gridCol w:w="7088"/>
      </w:tblGrid>
      <w:tr w:rsidR="007017FA" w:rsidRPr="00872B32" w14:paraId="320B8220" w14:textId="77777777" w:rsidTr="00EE1CE0">
        <w:tc>
          <w:tcPr>
            <w:tcW w:w="624" w:type="dxa"/>
          </w:tcPr>
          <w:p w14:paraId="0E75F71E" w14:textId="77777777" w:rsidR="007017FA" w:rsidRPr="00872B32" w:rsidRDefault="000409D0"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A</w:t>
            </w:r>
          </w:p>
        </w:tc>
        <w:tc>
          <w:tcPr>
            <w:tcW w:w="7088" w:type="dxa"/>
          </w:tcPr>
          <w:p w14:paraId="5E95EEB9" w14:textId="00B65D38" w:rsidR="007017FA"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4995" w:dyaOrig="4935" w14:anchorId="4A671557">
                <v:shape id="_x0000_i1048" type="#_x0000_t75" alt="" style="width:227.3pt;height:223.5pt;mso-width-percent:0;mso-height-percent:0;mso-width-percent:0;mso-height-percent:0" o:ole="">
                  <v:imagedata r:id="rId69" o:title=""/>
                </v:shape>
                <o:OLEObject Type="Embed" ProgID="PBrush" ShapeID="_x0000_i1048" DrawAspect="Content" ObjectID="_1611744882" r:id="rId70"/>
              </w:object>
            </w:r>
          </w:p>
        </w:tc>
        <w:tc>
          <w:tcPr>
            <w:tcW w:w="624" w:type="dxa"/>
          </w:tcPr>
          <w:p w14:paraId="38F40B38" w14:textId="77777777" w:rsidR="007017FA" w:rsidRPr="00872B32" w:rsidRDefault="000409D0"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B</w:t>
            </w:r>
          </w:p>
        </w:tc>
        <w:tc>
          <w:tcPr>
            <w:tcW w:w="7088" w:type="dxa"/>
          </w:tcPr>
          <w:p w14:paraId="055F3F49" w14:textId="45A19D3D" w:rsidR="007017FA"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415" w:dyaOrig="4830" w14:anchorId="6FAA9620">
                <v:shape id="_x0000_i1049" type="#_x0000_t75" alt="" style="width:232.1pt;height:207.4pt;mso-width-percent:0;mso-height-percent:0;mso-width-percent:0;mso-height-percent:0" o:ole="">
                  <v:imagedata r:id="rId71" o:title=""/>
                </v:shape>
                <o:OLEObject Type="Embed" ProgID="PBrush" ShapeID="_x0000_i1049" DrawAspect="Content" ObjectID="_1611744883" r:id="rId72"/>
              </w:object>
            </w:r>
          </w:p>
        </w:tc>
      </w:tr>
    </w:tbl>
    <w:p w14:paraId="7E8BDEB6" w14:textId="77777777" w:rsidR="007017FA" w:rsidRPr="00872B32" w:rsidRDefault="007017FA" w:rsidP="008C54E8">
      <w:pPr>
        <w:snapToGrid w:val="0"/>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510"/>
        <w:gridCol w:w="7088"/>
        <w:gridCol w:w="510"/>
        <w:gridCol w:w="7088"/>
      </w:tblGrid>
      <w:tr w:rsidR="00C808A0" w:rsidRPr="00872B32" w14:paraId="02D89D1D" w14:textId="77777777" w:rsidTr="008C54E8">
        <w:tc>
          <w:tcPr>
            <w:tcW w:w="510" w:type="dxa"/>
          </w:tcPr>
          <w:p w14:paraId="56EBEB32" w14:textId="77777777" w:rsidR="007017FA" w:rsidRPr="00872B32" w:rsidRDefault="000409D0"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lastRenderedPageBreak/>
              <w:t>C</w:t>
            </w:r>
          </w:p>
        </w:tc>
        <w:tc>
          <w:tcPr>
            <w:tcW w:w="7088" w:type="dxa"/>
          </w:tcPr>
          <w:p w14:paraId="33AAB967" w14:textId="07F346FE" w:rsidR="007017FA"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400" w:dyaOrig="4680" w14:anchorId="7E4E3C90">
                <v:shape id="_x0000_i1050" type="#_x0000_t75" alt="" style="width:242.85pt;height:209.55pt;mso-width-percent:0;mso-height-percent:0;mso-width-percent:0;mso-height-percent:0" o:ole="">
                  <v:imagedata r:id="rId73" o:title=""/>
                </v:shape>
                <o:OLEObject Type="Embed" ProgID="PBrush" ShapeID="_x0000_i1050" DrawAspect="Content" ObjectID="_1611744884" r:id="rId74"/>
              </w:object>
            </w:r>
          </w:p>
        </w:tc>
        <w:tc>
          <w:tcPr>
            <w:tcW w:w="510" w:type="dxa"/>
          </w:tcPr>
          <w:p w14:paraId="37976EE6" w14:textId="77777777" w:rsidR="007017FA" w:rsidRPr="00872B32" w:rsidRDefault="000409D0" w:rsidP="008C54E8">
            <w:pPr>
              <w:snapToGrid w:val="0"/>
              <w:spacing w:line="360" w:lineRule="auto"/>
              <w:jc w:val="both"/>
              <w:rPr>
                <w:rFonts w:ascii="Book Antiqua" w:eastAsia="Calibri" w:hAnsi="Book Antiqua"/>
                <w:b/>
                <w:color w:val="000000"/>
              </w:rPr>
            </w:pPr>
            <w:r>
              <w:rPr>
                <w:rFonts w:ascii="Book Antiqua" w:eastAsia="Calibri" w:hAnsi="Book Antiqua"/>
                <w:b/>
                <w:color w:val="000000"/>
              </w:rPr>
              <w:t>D</w:t>
            </w:r>
          </w:p>
        </w:tc>
        <w:tc>
          <w:tcPr>
            <w:tcW w:w="7088" w:type="dxa"/>
          </w:tcPr>
          <w:p w14:paraId="47863629" w14:textId="618D9641" w:rsidR="007017FA" w:rsidRPr="00872B32" w:rsidRDefault="000E1476" w:rsidP="008C54E8">
            <w:pPr>
              <w:snapToGrid w:val="0"/>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009" w:dyaOrig="5356" w14:anchorId="1A7652BB">
                <v:shape id="_x0000_i1051" type="#_x0000_t75" alt="" style="width:210.65pt;height:226.75pt;mso-width-percent:0;mso-height-percent:0;mso-width-percent:0;mso-height-percent:0" o:ole="">
                  <v:imagedata r:id="rId75" o:title=""/>
                </v:shape>
                <o:OLEObject Type="Embed" ProgID="PBrush" ShapeID="_x0000_i1051" DrawAspect="Content" ObjectID="_1611744885" r:id="rId76"/>
              </w:object>
            </w:r>
          </w:p>
        </w:tc>
      </w:tr>
    </w:tbl>
    <w:p w14:paraId="4B100952" w14:textId="77777777" w:rsidR="008B4A76" w:rsidRPr="00872B32" w:rsidRDefault="008B4A76" w:rsidP="008C54E8">
      <w:pPr>
        <w:snapToGrid w:val="0"/>
        <w:spacing w:line="360" w:lineRule="auto"/>
        <w:jc w:val="both"/>
        <w:rPr>
          <w:rFonts w:ascii="Book Antiqua" w:hAnsi="Book Antiqua"/>
          <w:color w:val="000000"/>
        </w:rPr>
        <w:sectPr w:rsidR="008B4A76" w:rsidRPr="00872B32" w:rsidSect="008C54E8">
          <w:pgSz w:w="16838" w:h="11906" w:orient="landscape"/>
          <w:pgMar w:top="1440" w:right="1440" w:bottom="1440" w:left="1440" w:header="706" w:footer="706" w:gutter="0"/>
          <w:cols w:space="708"/>
          <w:docGrid w:linePitch="360"/>
        </w:sectPr>
      </w:pPr>
    </w:p>
    <w:p w14:paraId="414279F0" w14:textId="66D2858D" w:rsidR="00D76D39" w:rsidRPr="00872B32" w:rsidRDefault="000F1E59" w:rsidP="008C54E8">
      <w:pPr>
        <w:snapToGrid w:val="0"/>
        <w:spacing w:line="360" w:lineRule="auto"/>
        <w:jc w:val="both"/>
        <w:rPr>
          <w:rFonts w:ascii="Book Antiqua" w:hAnsi="Book Antiqua"/>
          <w:color w:val="000000"/>
        </w:rPr>
      </w:pPr>
      <w:r w:rsidRPr="00872B32">
        <w:rPr>
          <w:rFonts w:ascii="Book Antiqua" w:eastAsia="Calibri" w:hAnsi="Book Antiqua"/>
          <w:b/>
          <w:color w:val="000000"/>
        </w:rPr>
        <w:lastRenderedPageBreak/>
        <w:t>Figure 7</w:t>
      </w:r>
      <w:r w:rsidR="00C808A0" w:rsidRPr="00872B32">
        <w:rPr>
          <w:rFonts w:ascii="Book Antiqua" w:hAnsi="Book Antiqua"/>
          <w:b/>
          <w:color w:val="000000"/>
        </w:rPr>
        <w:t xml:space="preserve"> </w:t>
      </w:r>
      <w:r w:rsidR="00D76D39" w:rsidRPr="00872B32">
        <w:rPr>
          <w:rFonts w:ascii="Book Antiqua" w:hAnsi="Book Antiqua"/>
          <w:b/>
          <w:color w:val="000000"/>
        </w:rPr>
        <w:t>The unbalance of Trx1/CD3 is a biomarker of inactive NK cells.</w:t>
      </w:r>
      <w:r w:rsidR="00D76D39" w:rsidRPr="00EC1BEB">
        <w:rPr>
          <w:rFonts w:ascii="Book Antiqua" w:hAnsi="Book Antiqua"/>
          <w:color w:val="000000"/>
        </w:rPr>
        <w:t xml:space="preserve"> </w:t>
      </w:r>
      <w:r w:rsidR="00E20860" w:rsidRPr="00BA0ACA">
        <w:rPr>
          <w:rFonts w:ascii="Book Antiqua" w:eastAsia="宋体" w:hAnsi="Book Antiqua" w:hint="eastAsia"/>
          <w:color w:val="000000"/>
          <w:lang w:eastAsia="zh-CN"/>
        </w:rPr>
        <w:t xml:space="preserve">A, B: </w:t>
      </w:r>
      <w:r w:rsidR="00D76D39" w:rsidRPr="00EC1BEB">
        <w:rPr>
          <w:rFonts w:ascii="Book Antiqua" w:hAnsi="Book Antiqua"/>
          <w:color w:val="000000"/>
        </w:rPr>
        <w:t>Interactions between the levels of Trx1, RTrx1, sCD30 and immunological parameters with the CD3</w:t>
      </w:r>
      <w:r w:rsidR="00D76D39" w:rsidRPr="00EC1BEB">
        <w:rPr>
          <w:rFonts w:ascii="Book Antiqua" w:hAnsi="Book Antiqua"/>
          <w:color w:val="000000"/>
          <w:vertAlign w:val="superscript"/>
        </w:rPr>
        <w:t>-</w:t>
      </w:r>
      <w:r w:rsidR="00D76D39" w:rsidRPr="00EC1BEB">
        <w:rPr>
          <w:rFonts w:ascii="Book Antiqua" w:hAnsi="Book Antiqua"/>
          <w:color w:val="000000"/>
        </w:rPr>
        <w:t>CD56</w:t>
      </w:r>
      <w:r w:rsidR="00D76D39" w:rsidRPr="00EC1BEB">
        <w:rPr>
          <w:rFonts w:ascii="Book Antiqua" w:hAnsi="Book Antiqua"/>
          <w:color w:val="000000"/>
          <w:vertAlign w:val="superscript"/>
        </w:rPr>
        <w:t>+</w:t>
      </w:r>
      <w:r w:rsidR="00D76D39" w:rsidRPr="00EC1BEB">
        <w:rPr>
          <w:rFonts w:ascii="Book Antiqua" w:hAnsi="Book Antiqua"/>
          <w:color w:val="000000"/>
        </w:rPr>
        <w:t xml:space="preserve"> and CD8</w:t>
      </w:r>
      <w:r w:rsidR="00D76D39" w:rsidRPr="00EC1BEB">
        <w:rPr>
          <w:rFonts w:ascii="Book Antiqua" w:hAnsi="Book Antiqua"/>
          <w:color w:val="000000"/>
          <w:vertAlign w:val="superscript"/>
        </w:rPr>
        <w:t>-</w:t>
      </w:r>
      <w:r w:rsidR="00D76D39" w:rsidRPr="00EC1BEB">
        <w:rPr>
          <w:rFonts w:ascii="Book Antiqua" w:hAnsi="Book Antiqua"/>
          <w:color w:val="000000"/>
        </w:rPr>
        <w:t>CD57</w:t>
      </w:r>
      <w:r w:rsidR="00D76D39" w:rsidRPr="00EC1BEB">
        <w:rPr>
          <w:rFonts w:ascii="Book Antiqua" w:hAnsi="Book Antiqua"/>
          <w:color w:val="000000"/>
          <w:vertAlign w:val="superscript"/>
        </w:rPr>
        <w:t>+</w:t>
      </w:r>
      <w:r w:rsidR="00D76D39" w:rsidRPr="00EC1BEB">
        <w:rPr>
          <w:rFonts w:ascii="Book Antiqua" w:hAnsi="Book Antiqua"/>
          <w:color w:val="000000"/>
        </w:rPr>
        <w:t xml:space="preserve"> phenotypic markers, together with the age and the stage, in healthy subjects (A) and in patients (</w:t>
      </w:r>
      <w:r w:rsidR="000409D0">
        <w:rPr>
          <w:rFonts w:ascii="Book Antiqua" w:hAnsi="Book Antiqua"/>
          <w:color w:val="000000"/>
        </w:rPr>
        <w:t>B</w:t>
      </w:r>
      <w:r w:rsidR="00D76D39" w:rsidRPr="00EC1BEB">
        <w:rPr>
          <w:rFonts w:ascii="Book Antiqua" w:hAnsi="Book Antiqua"/>
          <w:color w:val="000000"/>
        </w:rPr>
        <w:t>)</w:t>
      </w:r>
      <w:r w:rsidR="003D5138">
        <w:rPr>
          <w:rFonts w:ascii="Book Antiqua" w:hAnsi="Book Antiqua"/>
          <w:color w:val="000000"/>
        </w:rPr>
        <w:t>,</w:t>
      </w:r>
      <w:r w:rsidR="00D76D39" w:rsidRPr="00EC1BEB">
        <w:rPr>
          <w:rFonts w:ascii="Book Antiqua" w:hAnsi="Book Antiqua"/>
          <w:color w:val="000000"/>
        </w:rPr>
        <w:t xml:space="preserve"> respectively. The chance of a healthy longevity for the elderly group is primarily determined by the homeostasis of the immune system redox regulation, </w:t>
      </w:r>
      <w:r w:rsidR="00D76D39" w:rsidRPr="00EC1BEB">
        <w:rPr>
          <w:rFonts w:ascii="Book Antiqua" w:hAnsi="Book Antiqua"/>
          <w:bCs/>
          <w:color w:val="000000"/>
        </w:rPr>
        <w:t>in particular of sCD30, Trx1 and RTrx1</w:t>
      </w:r>
      <w:r w:rsidR="00E20860" w:rsidRPr="00BA0ACA">
        <w:rPr>
          <w:rFonts w:ascii="Book Antiqua" w:eastAsia="宋体" w:hAnsi="Book Antiqua" w:hint="eastAsia"/>
          <w:color w:val="000000"/>
          <w:lang w:eastAsia="zh-CN"/>
        </w:rPr>
        <w:t>; C:</w:t>
      </w:r>
      <w:r w:rsidR="00D76D39" w:rsidRPr="00EC1BEB">
        <w:rPr>
          <w:rFonts w:ascii="Book Antiqua" w:hAnsi="Book Antiqua"/>
          <w:color w:val="000000"/>
        </w:rPr>
        <w:t xml:space="preserve"> T</w:t>
      </w:r>
      <w:r w:rsidR="00D76D39" w:rsidRPr="00EC1BEB">
        <w:rPr>
          <w:rFonts w:ascii="Book Antiqua" w:hAnsi="Book Antiqua"/>
          <w:bCs/>
          <w:color w:val="000000"/>
        </w:rPr>
        <w:t>he most significant correlation of the subjects in the youngest class (</w:t>
      </w:r>
      <w:r w:rsidR="001D0A2A" w:rsidRPr="00EC1BEB">
        <w:rPr>
          <w:rFonts w:ascii="Book Antiqua" w:hAnsi="Book Antiqua"/>
          <w:bCs/>
          <w:color w:val="000000"/>
        </w:rPr>
        <w:t>“</w:t>
      </w:r>
      <w:r w:rsidR="00D76D39" w:rsidRPr="00EC1BEB">
        <w:rPr>
          <w:rFonts w:ascii="Book Antiqua" w:hAnsi="Book Antiqua"/>
          <w:bCs/>
          <w:color w:val="000000"/>
        </w:rPr>
        <w:t>&lt;</w:t>
      </w:r>
      <w:r w:rsidR="001D0A2A" w:rsidRPr="00EC1BEB">
        <w:rPr>
          <w:rFonts w:ascii="Book Antiqua" w:hAnsi="Book Antiqua"/>
          <w:bCs/>
          <w:color w:val="000000"/>
        </w:rPr>
        <w:t xml:space="preserve"> </w:t>
      </w:r>
      <w:r w:rsidR="00D76D39" w:rsidRPr="00EC1BEB">
        <w:rPr>
          <w:rFonts w:ascii="Book Antiqua" w:hAnsi="Book Antiqua"/>
          <w:bCs/>
          <w:color w:val="000000"/>
        </w:rPr>
        <w:t>46</w:t>
      </w:r>
      <w:r w:rsidR="001D0A2A" w:rsidRPr="00EC1BEB">
        <w:rPr>
          <w:rFonts w:ascii="Book Antiqua" w:hAnsi="Book Antiqua"/>
          <w:bCs/>
          <w:color w:val="000000"/>
        </w:rPr>
        <w:t>”</w:t>
      </w:r>
      <w:r w:rsidR="00D76D39" w:rsidRPr="00EC1BEB">
        <w:rPr>
          <w:rFonts w:ascii="Book Antiqua" w:hAnsi="Book Antiqua"/>
          <w:bCs/>
          <w:color w:val="000000"/>
        </w:rPr>
        <w:t>) is with the homeostasis of the redox immune response</w:t>
      </w:r>
      <w:r w:rsidR="00E20860" w:rsidRPr="00BA0ACA">
        <w:rPr>
          <w:rFonts w:ascii="Book Antiqua" w:eastAsia="宋体" w:hAnsi="Book Antiqua" w:hint="eastAsia"/>
          <w:bCs/>
          <w:color w:val="000000"/>
          <w:lang w:eastAsia="zh-CN"/>
        </w:rPr>
        <w:t>;</w:t>
      </w:r>
      <w:r w:rsidR="00D76D39" w:rsidRPr="00EC1BEB">
        <w:rPr>
          <w:rFonts w:ascii="Book Antiqua" w:hAnsi="Book Antiqua"/>
          <w:bCs/>
          <w:color w:val="000000"/>
        </w:rPr>
        <w:t xml:space="preserve"> </w:t>
      </w:r>
      <w:r w:rsidR="00E20860" w:rsidRPr="00BA0ACA">
        <w:rPr>
          <w:rFonts w:ascii="Book Antiqua" w:eastAsia="宋体" w:hAnsi="Book Antiqua" w:hint="eastAsia"/>
          <w:bCs/>
          <w:color w:val="000000"/>
          <w:lang w:eastAsia="zh-CN"/>
        </w:rPr>
        <w:t xml:space="preserve">D: </w:t>
      </w:r>
      <w:r w:rsidR="00D76D39" w:rsidRPr="00EC1BEB">
        <w:rPr>
          <w:rFonts w:ascii="Book Antiqua" w:hAnsi="Book Antiqua"/>
          <w:bCs/>
          <w:color w:val="000000"/>
        </w:rPr>
        <w:t xml:space="preserve">The probability of a healthy longevity for the elderly group is primarily determined by the homeostasis of the immune system redox regulation, also when there are increased levels of IL6 </w:t>
      </w:r>
      <w:r w:rsidR="001D0A2A" w:rsidRPr="00EC1BEB">
        <w:rPr>
          <w:rFonts w:ascii="Book Antiqua" w:hAnsi="Book Antiqua"/>
          <w:bCs/>
          <w:color w:val="000000"/>
        </w:rPr>
        <w:t>[“</w:t>
      </w:r>
      <w:r w:rsidR="00D76D39" w:rsidRPr="00EC1BEB">
        <w:rPr>
          <w:rFonts w:ascii="Book Antiqua" w:hAnsi="Book Antiqua"/>
          <w:bCs/>
          <w:color w:val="000000"/>
        </w:rPr>
        <w:t>&gt;</w:t>
      </w:r>
      <w:r w:rsidR="001D0A2A" w:rsidRPr="00EC1BEB">
        <w:rPr>
          <w:rFonts w:ascii="Book Antiqua" w:hAnsi="Book Antiqua"/>
          <w:bCs/>
          <w:color w:val="000000"/>
        </w:rPr>
        <w:t xml:space="preserve"> </w:t>
      </w:r>
      <w:r w:rsidR="00D76D39" w:rsidRPr="00EC1BEB">
        <w:rPr>
          <w:rFonts w:ascii="Book Antiqua" w:hAnsi="Book Antiqua"/>
          <w:bCs/>
          <w:color w:val="000000"/>
        </w:rPr>
        <w:t>89</w:t>
      </w:r>
      <w:r w:rsidR="001D0A2A" w:rsidRPr="00EC1BEB">
        <w:rPr>
          <w:rFonts w:ascii="Book Antiqua" w:hAnsi="Book Antiqua"/>
          <w:bCs/>
          <w:color w:val="000000"/>
        </w:rPr>
        <w:t>”</w:t>
      </w:r>
      <w:r w:rsidR="00D76D39" w:rsidRPr="00EC1BEB">
        <w:rPr>
          <w:rFonts w:ascii="Book Antiqua" w:hAnsi="Book Antiqua"/>
          <w:bCs/>
          <w:color w:val="000000"/>
        </w:rPr>
        <w:t xml:space="preserve"> and </w:t>
      </w:r>
      <w:r w:rsidR="001D0A2A" w:rsidRPr="00EC1BEB">
        <w:rPr>
          <w:rFonts w:ascii="Book Antiqua" w:hAnsi="Book Antiqua"/>
          <w:bCs/>
          <w:color w:val="000000"/>
        </w:rPr>
        <w:t>“</w:t>
      </w:r>
      <w:r w:rsidR="00D76D39" w:rsidRPr="00EC1BEB">
        <w:rPr>
          <w:rFonts w:ascii="Book Antiqua" w:hAnsi="Book Antiqua"/>
          <w:bCs/>
          <w:color w:val="000000"/>
        </w:rPr>
        <w:t>&lt;</w:t>
      </w:r>
      <w:r w:rsidR="001D0A2A" w:rsidRPr="00EC1BEB">
        <w:rPr>
          <w:rFonts w:ascii="Book Antiqua" w:hAnsi="Book Antiqua"/>
          <w:bCs/>
          <w:color w:val="000000"/>
        </w:rPr>
        <w:t xml:space="preserve"> </w:t>
      </w:r>
      <w:r w:rsidR="00D76D39" w:rsidRPr="00EC1BEB">
        <w:rPr>
          <w:rFonts w:ascii="Book Antiqua" w:hAnsi="Book Antiqua"/>
          <w:bCs/>
          <w:color w:val="000000"/>
        </w:rPr>
        <w:t>46</w:t>
      </w:r>
      <w:r w:rsidR="001D0A2A" w:rsidRPr="00EC1BEB">
        <w:rPr>
          <w:rFonts w:ascii="Book Antiqua" w:hAnsi="Book Antiqua"/>
          <w:bCs/>
          <w:color w:val="000000"/>
        </w:rPr>
        <w:t>”</w:t>
      </w:r>
      <w:r w:rsidR="00D76D39" w:rsidRPr="00EC1BEB">
        <w:rPr>
          <w:rFonts w:ascii="Book Antiqua" w:hAnsi="Book Antiqua"/>
          <w:bCs/>
          <w:color w:val="000000"/>
        </w:rPr>
        <w:t xml:space="preserve"> vectors are closely related to each other and also with the RTrx1, Trx1 and sCD30 vectors (</w:t>
      </w:r>
      <w:r w:rsidR="000409D0">
        <w:rPr>
          <w:rFonts w:ascii="Book Antiqua" w:hAnsi="Book Antiqua"/>
          <w:bCs/>
          <w:color w:val="000000"/>
        </w:rPr>
        <w:t>D</w:t>
      </w:r>
      <w:r w:rsidR="00D76D39" w:rsidRPr="00EC1BEB">
        <w:rPr>
          <w:rFonts w:ascii="Book Antiqua" w:hAnsi="Book Antiqua"/>
          <w:bCs/>
          <w:color w:val="000000"/>
        </w:rPr>
        <w:t>)</w:t>
      </w:r>
      <w:r w:rsidR="001D0A2A" w:rsidRPr="00EC1BEB">
        <w:rPr>
          <w:rFonts w:ascii="Book Antiqua" w:hAnsi="Book Antiqua"/>
          <w:bCs/>
          <w:color w:val="000000"/>
        </w:rPr>
        <w:t>]</w:t>
      </w:r>
      <w:r w:rsidR="00D76D39" w:rsidRPr="00EC1BEB">
        <w:rPr>
          <w:rFonts w:ascii="Book Antiqua" w:hAnsi="Book Antiqua"/>
          <w:bCs/>
          <w:color w:val="000000"/>
        </w:rPr>
        <w:t>.</w:t>
      </w:r>
      <w:r w:rsidR="00EC1BEB" w:rsidRPr="00BA4E7C">
        <w:rPr>
          <w:rFonts w:ascii="Book Antiqua" w:eastAsia="宋体" w:hAnsi="Book Antiqua" w:hint="eastAsia"/>
          <w:color w:val="000000"/>
          <w:lang w:eastAsia="zh-CN"/>
        </w:rPr>
        <w:t xml:space="preserve"> </w:t>
      </w:r>
      <w:r w:rsidR="00D76D39" w:rsidRPr="00872B32">
        <w:rPr>
          <w:rFonts w:ascii="Book Antiqua" w:hAnsi="Book Antiqua"/>
          <w:color w:val="000000"/>
        </w:rPr>
        <w:t xml:space="preserve">Vector colors: </w:t>
      </w:r>
      <w:r w:rsidR="00EC1BE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w:t>
      </w:r>
    </w:p>
    <w:p w14:paraId="2E4CD34A" w14:textId="77777777" w:rsidR="00D76D39" w:rsidRPr="00872B32" w:rsidRDefault="00D76D39" w:rsidP="008C54E8">
      <w:pPr>
        <w:snapToGrid w:val="0"/>
        <w:spacing w:line="360" w:lineRule="auto"/>
        <w:jc w:val="both"/>
        <w:rPr>
          <w:rFonts w:ascii="Book Antiqua" w:hAnsi="Book Antiqua"/>
          <w:b/>
          <w:bCs/>
          <w:color w:val="000000"/>
        </w:rPr>
      </w:pPr>
    </w:p>
    <w:p w14:paraId="5A014E25" w14:textId="77777777" w:rsidR="00C95681" w:rsidRDefault="00C95681" w:rsidP="008C54E8">
      <w:pPr>
        <w:snapToGrid w:val="0"/>
        <w:spacing w:line="360" w:lineRule="auto"/>
        <w:jc w:val="both"/>
        <w:rPr>
          <w:rFonts w:ascii="Book Antiqua" w:hAnsi="Book Antiqua"/>
          <w:b/>
          <w:bCs/>
          <w:color w:val="000000"/>
        </w:rPr>
        <w:sectPr w:rsidR="00C95681" w:rsidSect="008C54E8">
          <w:pgSz w:w="16838" w:h="11906" w:orient="landscape"/>
          <w:pgMar w:top="1440" w:right="1440" w:bottom="1440" w:left="1440" w:header="706" w:footer="706" w:gutter="0"/>
          <w:cols w:space="708"/>
          <w:docGrid w:linePitch="360"/>
        </w:sectPr>
      </w:pPr>
    </w:p>
    <w:tbl>
      <w:tblPr>
        <w:tblW w:w="11153" w:type="dxa"/>
        <w:tblInd w:w="-212" w:type="dxa"/>
        <w:tblCellMar>
          <w:left w:w="70" w:type="dxa"/>
          <w:right w:w="70" w:type="dxa"/>
        </w:tblCellMar>
        <w:tblLook w:val="04A0" w:firstRow="1" w:lastRow="0" w:firstColumn="1" w:lastColumn="0" w:noHBand="0" w:noVBand="1"/>
      </w:tblPr>
      <w:tblGrid>
        <w:gridCol w:w="142"/>
        <w:gridCol w:w="260"/>
        <w:gridCol w:w="1149"/>
        <w:gridCol w:w="1102"/>
        <w:gridCol w:w="272"/>
        <w:gridCol w:w="939"/>
        <w:gridCol w:w="1102"/>
        <w:gridCol w:w="272"/>
        <w:gridCol w:w="939"/>
        <w:gridCol w:w="1102"/>
        <w:gridCol w:w="272"/>
        <w:gridCol w:w="1102"/>
        <w:gridCol w:w="2200"/>
        <w:gridCol w:w="300"/>
      </w:tblGrid>
      <w:tr w:rsidR="00C808A0" w:rsidRPr="00872B32" w14:paraId="45D10F9D" w14:textId="77777777" w:rsidTr="008C54E8">
        <w:trPr>
          <w:gridBefore w:val="1"/>
          <w:gridAfter w:val="1"/>
          <w:wBefore w:w="142" w:type="dxa"/>
          <w:wAfter w:w="300" w:type="dxa"/>
          <w:trHeight w:val="315"/>
        </w:trPr>
        <w:tc>
          <w:tcPr>
            <w:tcW w:w="10711" w:type="dxa"/>
            <w:gridSpan w:val="12"/>
            <w:tcBorders>
              <w:top w:val="nil"/>
              <w:left w:val="nil"/>
              <w:right w:val="nil"/>
            </w:tcBorders>
            <w:shd w:val="clear" w:color="auto" w:fill="auto"/>
            <w:noWrap/>
            <w:vAlign w:val="bottom"/>
          </w:tcPr>
          <w:p w14:paraId="24DCCDD4" w14:textId="77777777" w:rsidR="00896D15" w:rsidRPr="00872B32" w:rsidRDefault="00896D15" w:rsidP="008C54E8">
            <w:pPr>
              <w:snapToGrid w:val="0"/>
              <w:spacing w:line="360" w:lineRule="auto"/>
              <w:jc w:val="both"/>
              <w:rPr>
                <w:rFonts w:ascii="Book Antiqua" w:hAnsi="Book Antiqua"/>
                <w:color w:val="000000"/>
                <w:lang w:eastAsia="it-IT"/>
              </w:rPr>
            </w:pPr>
          </w:p>
        </w:tc>
      </w:tr>
      <w:tr w:rsidR="00C808A0" w:rsidRPr="00872B32" w14:paraId="36C076DA" w14:textId="77777777" w:rsidTr="008C54E8">
        <w:trPr>
          <w:gridBefore w:val="1"/>
          <w:gridAfter w:val="1"/>
          <w:wBefore w:w="142" w:type="dxa"/>
          <w:wAfter w:w="300" w:type="dxa"/>
          <w:trHeight w:val="113"/>
        </w:trPr>
        <w:tc>
          <w:tcPr>
            <w:tcW w:w="10711" w:type="dxa"/>
            <w:gridSpan w:val="12"/>
            <w:tcBorders>
              <w:top w:val="nil"/>
              <w:left w:val="nil"/>
              <w:bottom w:val="single" w:sz="4" w:space="0" w:color="auto"/>
              <w:right w:val="nil"/>
            </w:tcBorders>
            <w:shd w:val="clear" w:color="auto" w:fill="auto"/>
            <w:noWrap/>
            <w:vAlign w:val="bottom"/>
          </w:tcPr>
          <w:p w14:paraId="0050CC76" w14:textId="2AC38E45" w:rsidR="00896D15" w:rsidRPr="001852D4" w:rsidRDefault="00896D15" w:rsidP="008C54E8">
            <w:pPr>
              <w:snapToGrid w:val="0"/>
              <w:spacing w:line="360" w:lineRule="auto"/>
              <w:jc w:val="both"/>
              <w:rPr>
                <w:rFonts w:ascii="Book Antiqua" w:hAnsi="Book Antiqua"/>
                <w:b/>
                <w:color w:val="000000"/>
                <w:lang w:eastAsia="it-IT"/>
              </w:rPr>
            </w:pPr>
            <w:r w:rsidRPr="001852D4">
              <w:rPr>
                <w:rFonts w:ascii="Book Antiqua" w:hAnsi="Book Antiqua"/>
                <w:b/>
                <w:color w:val="000000"/>
                <w:lang w:eastAsia="it-IT"/>
              </w:rPr>
              <w:t>Table 1</w:t>
            </w:r>
            <w:r w:rsidR="00C808A0" w:rsidRPr="001852D4">
              <w:rPr>
                <w:rFonts w:ascii="Book Antiqua" w:hAnsi="Book Antiqua"/>
                <w:b/>
                <w:color w:val="000000"/>
                <w:lang w:eastAsia="it-IT"/>
              </w:rPr>
              <w:t xml:space="preserve"> </w:t>
            </w:r>
            <w:r w:rsidRPr="001852D4">
              <w:rPr>
                <w:rFonts w:ascii="Book Antiqua" w:hAnsi="Book Antiqua"/>
                <w:b/>
                <w:color w:val="000000"/>
                <w:lang w:eastAsia="it-IT"/>
              </w:rPr>
              <w:t>Levels of cytokines,</w:t>
            </w:r>
            <w:r w:rsidR="00C808A0" w:rsidRPr="001852D4">
              <w:rPr>
                <w:rFonts w:ascii="Book Antiqua" w:hAnsi="Book Antiqua"/>
                <w:b/>
                <w:color w:val="000000"/>
                <w:lang w:eastAsia="it-IT"/>
              </w:rPr>
              <w:t xml:space="preserve"> </w:t>
            </w:r>
            <w:r w:rsidRPr="001852D4">
              <w:rPr>
                <w:rFonts w:ascii="Book Antiqua" w:hAnsi="Book Antiqua"/>
                <w:b/>
                <w:color w:val="000000"/>
                <w:lang w:eastAsia="it-IT"/>
              </w:rPr>
              <w:t xml:space="preserve">soluble receptors and redox system molecules in healthy subject adenoma subject </w:t>
            </w:r>
            <w:r w:rsidR="0049730C">
              <w:rPr>
                <w:rFonts w:ascii="Book Antiqua" w:hAnsi="Book Antiqua"/>
                <w:b/>
                <w:color w:val="000000"/>
                <w:lang w:eastAsia="it-IT"/>
              </w:rPr>
              <w:t xml:space="preserve">and tumor patients </w:t>
            </w:r>
            <w:r w:rsidRPr="001852D4">
              <w:rPr>
                <w:rFonts w:ascii="Book Antiqua" w:hAnsi="Book Antiqua"/>
                <w:b/>
                <w:color w:val="000000"/>
                <w:lang w:eastAsia="it-IT"/>
              </w:rPr>
              <w:t xml:space="preserve">groups </w:t>
            </w:r>
          </w:p>
        </w:tc>
      </w:tr>
      <w:tr w:rsidR="00C808A0" w:rsidRPr="00872B32" w14:paraId="2792D3A5" w14:textId="77777777" w:rsidTr="008C54E8">
        <w:trPr>
          <w:gridBefore w:val="1"/>
          <w:gridAfter w:val="1"/>
          <w:wBefore w:w="142" w:type="dxa"/>
          <w:wAfter w:w="300" w:type="dxa"/>
          <w:trHeight w:val="259"/>
        </w:trPr>
        <w:tc>
          <w:tcPr>
            <w:tcW w:w="260" w:type="dxa"/>
            <w:tcBorders>
              <w:top w:val="nil"/>
              <w:left w:val="nil"/>
              <w:bottom w:val="single" w:sz="4" w:space="0" w:color="auto"/>
              <w:right w:val="nil"/>
            </w:tcBorders>
            <w:shd w:val="clear" w:color="auto" w:fill="auto"/>
            <w:noWrap/>
            <w:vAlign w:val="center"/>
            <w:hideMark/>
          </w:tcPr>
          <w:p w14:paraId="109C5494" w14:textId="77777777" w:rsidR="00896D15" w:rsidRPr="00872B32" w:rsidRDefault="00896D15" w:rsidP="008C54E8">
            <w:pPr>
              <w:snapToGrid w:val="0"/>
              <w:spacing w:line="360" w:lineRule="auto"/>
              <w:jc w:val="both"/>
              <w:rPr>
                <w:rFonts w:ascii="Book Antiqua" w:hAnsi="Book Antiqua"/>
                <w:color w:val="000000"/>
                <w:lang w:eastAsia="it-IT"/>
              </w:rPr>
            </w:pPr>
            <w:r w:rsidRPr="00872B32">
              <w:rPr>
                <w:rFonts w:ascii="Book Antiqua" w:hAnsi="Book Antiqua"/>
                <w:color w:val="000000"/>
                <w:lang w:eastAsia="it-IT"/>
              </w:rPr>
              <w:t> </w:t>
            </w:r>
          </w:p>
        </w:tc>
        <w:tc>
          <w:tcPr>
            <w:tcW w:w="1149" w:type="dxa"/>
            <w:tcBorders>
              <w:top w:val="nil"/>
              <w:left w:val="nil"/>
              <w:bottom w:val="single" w:sz="4" w:space="0" w:color="auto"/>
              <w:right w:val="nil"/>
            </w:tcBorders>
            <w:shd w:val="clear" w:color="auto" w:fill="auto"/>
            <w:noWrap/>
            <w:vAlign w:val="center"/>
            <w:hideMark/>
          </w:tcPr>
          <w:p w14:paraId="58656949" w14:textId="77777777" w:rsidR="00896D15" w:rsidRPr="00872B32" w:rsidRDefault="00896D15" w:rsidP="008C54E8">
            <w:pPr>
              <w:snapToGrid w:val="0"/>
              <w:spacing w:line="360" w:lineRule="auto"/>
              <w:jc w:val="both"/>
              <w:rPr>
                <w:rFonts w:ascii="Book Antiqua" w:hAnsi="Book Antiqua"/>
                <w:b/>
                <w:color w:val="000000"/>
                <w:lang w:eastAsia="it-IT"/>
              </w:rPr>
            </w:pPr>
          </w:p>
        </w:tc>
        <w:tc>
          <w:tcPr>
            <w:tcW w:w="2313" w:type="dxa"/>
            <w:gridSpan w:val="3"/>
            <w:tcBorders>
              <w:top w:val="nil"/>
              <w:left w:val="nil"/>
              <w:bottom w:val="single" w:sz="4" w:space="0" w:color="auto"/>
              <w:right w:val="nil"/>
            </w:tcBorders>
            <w:shd w:val="clear" w:color="auto" w:fill="auto"/>
            <w:noWrap/>
            <w:vAlign w:val="center"/>
            <w:hideMark/>
          </w:tcPr>
          <w:p w14:paraId="45850636" w14:textId="77777777" w:rsidR="00896D15" w:rsidRPr="00872B32" w:rsidRDefault="00896D15" w:rsidP="008C54E8">
            <w:pPr>
              <w:snapToGrid w:val="0"/>
              <w:spacing w:line="360" w:lineRule="auto"/>
              <w:jc w:val="center"/>
              <w:rPr>
                <w:rFonts w:ascii="Book Antiqua" w:hAnsi="Book Antiqua"/>
                <w:b/>
                <w:color w:val="000000"/>
                <w:lang w:eastAsia="it-IT"/>
              </w:rPr>
            </w:pPr>
            <w:r w:rsidRPr="00872B32">
              <w:rPr>
                <w:rFonts w:ascii="Book Antiqua" w:hAnsi="Book Antiqua"/>
                <w:b/>
                <w:color w:val="000000"/>
                <w:lang w:eastAsia="it-IT"/>
              </w:rPr>
              <w:t>HS</w:t>
            </w:r>
          </w:p>
        </w:tc>
        <w:tc>
          <w:tcPr>
            <w:tcW w:w="2313" w:type="dxa"/>
            <w:gridSpan w:val="3"/>
            <w:tcBorders>
              <w:top w:val="nil"/>
              <w:left w:val="nil"/>
              <w:bottom w:val="single" w:sz="4" w:space="0" w:color="auto"/>
              <w:right w:val="nil"/>
            </w:tcBorders>
            <w:shd w:val="clear" w:color="auto" w:fill="auto"/>
            <w:noWrap/>
            <w:vAlign w:val="center"/>
            <w:hideMark/>
          </w:tcPr>
          <w:p w14:paraId="1B4C26A7" w14:textId="77777777" w:rsidR="00896D15" w:rsidRPr="00872B32" w:rsidRDefault="00896D15" w:rsidP="008C54E8">
            <w:pPr>
              <w:snapToGrid w:val="0"/>
              <w:spacing w:line="360" w:lineRule="auto"/>
              <w:jc w:val="center"/>
              <w:rPr>
                <w:rFonts w:ascii="Book Antiqua" w:hAnsi="Book Antiqua"/>
                <w:b/>
                <w:color w:val="000000"/>
                <w:lang w:eastAsia="it-IT"/>
              </w:rPr>
            </w:pPr>
            <w:r w:rsidRPr="00872B32">
              <w:rPr>
                <w:rFonts w:ascii="Book Antiqua" w:hAnsi="Book Antiqua"/>
                <w:b/>
                <w:color w:val="000000"/>
                <w:lang w:eastAsia="it-IT"/>
              </w:rPr>
              <w:t>Men</w:t>
            </w:r>
          </w:p>
        </w:tc>
        <w:tc>
          <w:tcPr>
            <w:tcW w:w="2476" w:type="dxa"/>
            <w:gridSpan w:val="3"/>
            <w:tcBorders>
              <w:top w:val="nil"/>
              <w:left w:val="nil"/>
              <w:bottom w:val="single" w:sz="4" w:space="0" w:color="auto"/>
              <w:right w:val="nil"/>
            </w:tcBorders>
            <w:shd w:val="clear" w:color="auto" w:fill="auto"/>
            <w:noWrap/>
            <w:vAlign w:val="center"/>
            <w:hideMark/>
          </w:tcPr>
          <w:p w14:paraId="537390C2" w14:textId="77777777" w:rsidR="00896D15" w:rsidRPr="00872B32" w:rsidRDefault="00896D15" w:rsidP="008C54E8">
            <w:pPr>
              <w:snapToGrid w:val="0"/>
              <w:spacing w:line="360" w:lineRule="auto"/>
              <w:jc w:val="center"/>
              <w:rPr>
                <w:rFonts w:ascii="Book Antiqua" w:hAnsi="Book Antiqua"/>
                <w:b/>
                <w:color w:val="000000"/>
                <w:lang w:eastAsia="it-IT"/>
              </w:rPr>
            </w:pPr>
            <w:r w:rsidRPr="00872B32">
              <w:rPr>
                <w:rFonts w:ascii="Book Antiqua" w:hAnsi="Book Antiqua"/>
                <w:b/>
                <w:color w:val="000000"/>
                <w:lang w:eastAsia="it-IT"/>
              </w:rPr>
              <w:t>Women</w:t>
            </w:r>
          </w:p>
        </w:tc>
        <w:tc>
          <w:tcPr>
            <w:tcW w:w="2200" w:type="dxa"/>
            <w:tcBorders>
              <w:top w:val="nil"/>
              <w:left w:val="nil"/>
              <w:bottom w:val="single" w:sz="4" w:space="0" w:color="auto"/>
              <w:right w:val="nil"/>
            </w:tcBorders>
            <w:shd w:val="clear" w:color="auto" w:fill="auto"/>
            <w:noWrap/>
            <w:vAlign w:val="bottom"/>
            <w:hideMark/>
          </w:tcPr>
          <w:p w14:paraId="1385563E" w14:textId="77777777" w:rsidR="00896D15" w:rsidRPr="00872B32" w:rsidRDefault="0049730C" w:rsidP="008C54E8">
            <w:pPr>
              <w:snapToGrid w:val="0"/>
              <w:spacing w:line="360" w:lineRule="auto"/>
              <w:jc w:val="center"/>
              <w:rPr>
                <w:rFonts w:ascii="Book Antiqua" w:hAnsi="Book Antiqua"/>
                <w:b/>
                <w:color w:val="000000"/>
                <w:lang w:eastAsia="it-IT"/>
              </w:rPr>
            </w:pPr>
            <w:r w:rsidRPr="00872B32">
              <w:rPr>
                <w:rFonts w:ascii="Book Antiqua" w:hAnsi="Book Antiqua"/>
                <w:b/>
                <w:color w:val="000000"/>
                <w:lang w:eastAsia="it-IT"/>
              </w:rPr>
              <w:t xml:space="preserve">Men </w:t>
            </w:r>
            <w:r w:rsidR="00896D15" w:rsidRPr="00872B32">
              <w:rPr>
                <w:rFonts w:ascii="Book Antiqua" w:hAnsi="Book Antiqua"/>
                <w:b/>
                <w:i/>
                <w:color w:val="000000"/>
                <w:lang w:eastAsia="it-IT"/>
              </w:rPr>
              <w:t>vs</w:t>
            </w:r>
            <w:r w:rsidR="00896D15" w:rsidRPr="00872B32">
              <w:rPr>
                <w:rFonts w:ascii="Book Antiqua" w:hAnsi="Book Antiqua"/>
                <w:b/>
                <w:color w:val="000000"/>
                <w:lang w:eastAsia="it-IT"/>
              </w:rPr>
              <w:t xml:space="preserve"> women</w:t>
            </w:r>
          </w:p>
          <w:p w14:paraId="7D4A5459" w14:textId="77777777" w:rsidR="00896D15" w:rsidRPr="00872B32" w:rsidRDefault="00896D15" w:rsidP="008C54E8">
            <w:pPr>
              <w:snapToGrid w:val="0"/>
              <w:spacing w:line="360" w:lineRule="auto"/>
              <w:jc w:val="center"/>
              <w:rPr>
                <w:rFonts w:ascii="Book Antiqua" w:hAnsi="Book Antiqua"/>
                <w:color w:val="000000"/>
                <w:lang w:eastAsia="it-IT"/>
              </w:rPr>
            </w:pPr>
            <w:r w:rsidRPr="00872B32">
              <w:rPr>
                <w:rFonts w:ascii="Book Antiqua" w:hAnsi="Book Antiqua"/>
                <w:b/>
                <w:color w:val="000000"/>
                <w:lang w:eastAsia="it-IT"/>
              </w:rPr>
              <w:t>differences</w:t>
            </w:r>
          </w:p>
        </w:tc>
      </w:tr>
      <w:tr w:rsidR="00C808A0" w:rsidRPr="00872B32" w14:paraId="43BFC825" w14:textId="77777777" w:rsidTr="008C54E8">
        <w:trPr>
          <w:gridBefore w:val="1"/>
          <w:gridAfter w:val="1"/>
          <w:wBefore w:w="142" w:type="dxa"/>
          <w:wAfter w:w="300" w:type="dxa"/>
          <w:trHeight w:val="79"/>
        </w:trPr>
        <w:tc>
          <w:tcPr>
            <w:tcW w:w="260" w:type="dxa"/>
            <w:tcBorders>
              <w:top w:val="nil"/>
              <w:left w:val="nil"/>
              <w:bottom w:val="nil"/>
              <w:right w:val="nil"/>
            </w:tcBorders>
            <w:shd w:val="clear" w:color="auto" w:fill="auto"/>
            <w:noWrap/>
            <w:vAlign w:val="bottom"/>
            <w:hideMark/>
          </w:tcPr>
          <w:p w14:paraId="46CE176A" w14:textId="77777777" w:rsidR="00896D15" w:rsidRPr="00872B32" w:rsidRDefault="00896D15" w:rsidP="008C54E8">
            <w:pPr>
              <w:snapToGrid w:val="0"/>
              <w:spacing w:line="360" w:lineRule="auto"/>
              <w:jc w:val="both"/>
              <w:rPr>
                <w:rFonts w:ascii="Book Antiqua" w:hAnsi="Book Antiqua"/>
                <w:color w:val="000000"/>
                <w:lang w:eastAsia="it-IT"/>
              </w:rPr>
            </w:pPr>
          </w:p>
        </w:tc>
        <w:tc>
          <w:tcPr>
            <w:tcW w:w="1149" w:type="dxa"/>
            <w:tcBorders>
              <w:top w:val="nil"/>
              <w:left w:val="nil"/>
              <w:bottom w:val="nil"/>
              <w:right w:val="nil"/>
            </w:tcBorders>
            <w:shd w:val="clear" w:color="auto" w:fill="auto"/>
            <w:noWrap/>
            <w:vAlign w:val="bottom"/>
            <w:hideMark/>
          </w:tcPr>
          <w:p w14:paraId="6B65195E" w14:textId="77777777" w:rsidR="00896D15" w:rsidRPr="00872B32" w:rsidRDefault="00896D15" w:rsidP="008C54E8">
            <w:pPr>
              <w:snapToGrid w:val="0"/>
              <w:spacing w:line="360" w:lineRule="auto"/>
              <w:jc w:val="both"/>
              <w:rPr>
                <w:rFonts w:ascii="Book Antiqua" w:hAnsi="Book Antiqua"/>
                <w:color w:val="000000"/>
                <w:lang w:eastAsia="it-IT"/>
              </w:rPr>
            </w:pPr>
          </w:p>
        </w:tc>
        <w:tc>
          <w:tcPr>
            <w:tcW w:w="1102" w:type="dxa"/>
            <w:tcBorders>
              <w:top w:val="nil"/>
              <w:left w:val="nil"/>
              <w:bottom w:val="nil"/>
              <w:right w:val="nil"/>
            </w:tcBorders>
            <w:shd w:val="clear" w:color="auto" w:fill="auto"/>
            <w:noWrap/>
            <w:vAlign w:val="center"/>
            <w:hideMark/>
          </w:tcPr>
          <w:p w14:paraId="208B1F84" w14:textId="77777777" w:rsidR="00896D15" w:rsidRPr="00872B32" w:rsidRDefault="00896D15" w:rsidP="008C54E8">
            <w:pPr>
              <w:snapToGrid w:val="0"/>
              <w:spacing w:line="360" w:lineRule="auto"/>
              <w:jc w:val="both"/>
              <w:rPr>
                <w:rFonts w:ascii="Book Antiqua" w:hAnsi="Book Antiqua"/>
                <w:color w:val="000000"/>
                <w:lang w:eastAsia="it-IT"/>
              </w:rPr>
            </w:pPr>
          </w:p>
        </w:tc>
        <w:tc>
          <w:tcPr>
            <w:tcW w:w="272" w:type="dxa"/>
            <w:tcBorders>
              <w:top w:val="nil"/>
              <w:left w:val="nil"/>
              <w:bottom w:val="nil"/>
              <w:right w:val="nil"/>
            </w:tcBorders>
            <w:shd w:val="clear" w:color="auto" w:fill="auto"/>
            <w:noWrap/>
            <w:vAlign w:val="center"/>
            <w:hideMark/>
          </w:tcPr>
          <w:p w14:paraId="1444C1E1" w14:textId="77777777" w:rsidR="00896D15" w:rsidRPr="00872B32" w:rsidRDefault="00896D15" w:rsidP="008C54E8">
            <w:pPr>
              <w:snapToGrid w:val="0"/>
              <w:spacing w:line="360" w:lineRule="auto"/>
              <w:jc w:val="both"/>
              <w:rPr>
                <w:rFonts w:ascii="Book Antiqua" w:hAnsi="Book Antiqua"/>
                <w:color w:val="000000"/>
                <w:lang w:eastAsia="it-IT"/>
              </w:rPr>
            </w:pPr>
          </w:p>
        </w:tc>
        <w:tc>
          <w:tcPr>
            <w:tcW w:w="939" w:type="dxa"/>
            <w:tcBorders>
              <w:top w:val="nil"/>
              <w:left w:val="nil"/>
              <w:bottom w:val="nil"/>
              <w:right w:val="nil"/>
            </w:tcBorders>
            <w:shd w:val="clear" w:color="auto" w:fill="auto"/>
            <w:noWrap/>
            <w:vAlign w:val="center"/>
            <w:hideMark/>
          </w:tcPr>
          <w:p w14:paraId="2CCE8DAF" w14:textId="77777777" w:rsidR="00896D15" w:rsidRPr="00872B32" w:rsidRDefault="00896D15" w:rsidP="008C54E8">
            <w:pPr>
              <w:snapToGrid w:val="0"/>
              <w:spacing w:line="360" w:lineRule="auto"/>
              <w:jc w:val="both"/>
              <w:rPr>
                <w:rFonts w:ascii="Book Antiqua" w:hAnsi="Book Antiqua"/>
                <w:color w:val="000000"/>
                <w:lang w:eastAsia="it-IT"/>
              </w:rPr>
            </w:pPr>
          </w:p>
        </w:tc>
        <w:tc>
          <w:tcPr>
            <w:tcW w:w="1102" w:type="dxa"/>
            <w:tcBorders>
              <w:top w:val="single" w:sz="4" w:space="0" w:color="auto"/>
              <w:left w:val="nil"/>
              <w:bottom w:val="nil"/>
              <w:right w:val="nil"/>
            </w:tcBorders>
            <w:shd w:val="clear" w:color="auto" w:fill="auto"/>
            <w:noWrap/>
            <w:vAlign w:val="center"/>
            <w:hideMark/>
          </w:tcPr>
          <w:p w14:paraId="0B1E4E37" w14:textId="77777777" w:rsidR="00896D15" w:rsidRPr="00872B32" w:rsidRDefault="00896D15" w:rsidP="008C54E8">
            <w:pPr>
              <w:snapToGrid w:val="0"/>
              <w:spacing w:line="360" w:lineRule="auto"/>
              <w:jc w:val="both"/>
              <w:rPr>
                <w:rFonts w:ascii="Book Antiqua" w:hAnsi="Book Antiqua"/>
                <w:color w:val="000000"/>
                <w:lang w:eastAsia="it-IT"/>
              </w:rPr>
            </w:pPr>
          </w:p>
        </w:tc>
        <w:tc>
          <w:tcPr>
            <w:tcW w:w="272" w:type="dxa"/>
            <w:tcBorders>
              <w:top w:val="nil"/>
              <w:left w:val="nil"/>
              <w:bottom w:val="nil"/>
              <w:right w:val="nil"/>
            </w:tcBorders>
            <w:shd w:val="clear" w:color="auto" w:fill="auto"/>
            <w:noWrap/>
            <w:vAlign w:val="center"/>
            <w:hideMark/>
          </w:tcPr>
          <w:p w14:paraId="24AB4D14" w14:textId="77777777" w:rsidR="00896D15" w:rsidRPr="00872B32" w:rsidRDefault="00896D15" w:rsidP="008C54E8">
            <w:pPr>
              <w:snapToGrid w:val="0"/>
              <w:spacing w:line="360" w:lineRule="auto"/>
              <w:jc w:val="both"/>
              <w:rPr>
                <w:rFonts w:ascii="Book Antiqua" w:hAnsi="Book Antiqua"/>
                <w:color w:val="000000"/>
                <w:lang w:eastAsia="it-IT"/>
              </w:rPr>
            </w:pPr>
          </w:p>
        </w:tc>
        <w:tc>
          <w:tcPr>
            <w:tcW w:w="939" w:type="dxa"/>
            <w:tcBorders>
              <w:top w:val="nil"/>
              <w:left w:val="nil"/>
              <w:bottom w:val="nil"/>
              <w:right w:val="nil"/>
            </w:tcBorders>
            <w:shd w:val="clear" w:color="auto" w:fill="auto"/>
            <w:noWrap/>
            <w:vAlign w:val="center"/>
            <w:hideMark/>
          </w:tcPr>
          <w:p w14:paraId="5AB8BB7A" w14:textId="77777777" w:rsidR="00896D15" w:rsidRPr="00872B32" w:rsidRDefault="00896D15" w:rsidP="008C54E8">
            <w:pPr>
              <w:snapToGrid w:val="0"/>
              <w:spacing w:line="360" w:lineRule="auto"/>
              <w:jc w:val="both"/>
              <w:rPr>
                <w:rFonts w:ascii="Book Antiqua" w:hAnsi="Book Antiqua"/>
                <w:color w:val="000000"/>
                <w:lang w:eastAsia="it-IT"/>
              </w:rPr>
            </w:pPr>
          </w:p>
        </w:tc>
        <w:tc>
          <w:tcPr>
            <w:tcW w:w="1102" w:type="dxa"/>
            <w:tcBorders>
              <w:top w:val="nil"/>
              <w:left w:val="nil"/>
              <w:bottom w:val="nil"/>
              <w:right w:val="nil"/>
            </w:tcBorders>
            <w:shd w:val="clear" w:color="auto" w:fill="auto"/>
            <w:noWrap/>
            <w:vAlign w:val="center"/>
            <w:hideMark/>
          </w:tcPr>
          <w:p w14:paraId="7BFD0E89" w14:textId="77777777" w:rsidR="00896D15" w:rsidRPr="00872B32" w:rsidRDefault="00896D15" w:rsidP="008C54E8">
            <w:pPr>
              <w:snapToGrid w:val="0"/>
              <w:spacing w:line="360" w:lineRule="auto"/>
              <w:jc w:val="both"/>
              <w:rPr>
                <w:rFonts w:ascii="Book Antiqua" w:hAnsi="Book Antiqua"/>
                <w:color w:val="000000"/>
                <w:lang w:eastAsia="it-IT"/>
              </w:rPr>
            </w:pPr>
          </w:p>
        </w:tc>
        <w:tc>
          <w:tcPr>
            <w:tcW w:w="272" w:type="dxa"/>
            <w:tcBorders>
              <w:top w:val="nil"/>
              <w:left w:val="nil"/>
              <w:bottom w:val="nil"/>
              <w:right w:val="nil"/>
            </w:tcBorders>
            <w:shd w:val="clear" w:color="auto" w:fill="auto"/>
            <w:noWrap/>
            <w:vAlign w:val="center"/>
            <w:hideMark/>
          </w:tcPr>
          <w:p w14:paraId="36238818" w14:textId="77777777" w:rsidR="00896D15" w:rsidRPr="00872B32" w:rsidRDefault="00896D15" w:rsidP="008C54E8">
            <w:pPr>
              <w:snapToGrid w:val="0"/>
              <w:spacing w:line="360" w:lineRule="auto"/>
              <w:jc w:val="both"/>
              <w:rPr>
                <w:rFonts w:ascii="Book Antiqua" w:hAnsi="Book Antiqua"/>
                <w:color w:val="000000"/>
                <w:lang w:eastAsia="it-IT"/>
              </w:rPr>
            </w:pPr>
          </w:p>
        </w:tc>
        <w:tc>
          <w:tcPr>
            <w:tcW w:w="1102" w:type="dxa"/>
            <w:tcBorders>
              <w:top w:val="nil"/>
              <w:left w:val="nil"/>
              <w:bottom w:val="nil"/>
              <w:right w:val="nil"/>
            </w:tcBorders>
            <w:shd w:val="clear" w:color="auto" w:fill="auto"/>
            <w:noWrap/>
            <w:vAlign w:val="center"/>
            <w:hideMark/>
          </w:tcPr>
          <w:p w14:paraId="0C28D0F8" w14:textId="77777777" w:rsidR="00896D15" w:rsidRPr="00872B32" w:rsidRDefault="00896D15" w:rsidP="008C54E8">
            <w:pPr>
              <w:snapToGrid w:val="0"/>
              <w:spacing w:line="360" w:lineRule="auto"/>
              <w:jc w:val="both"/>
              <w:rPr>
                <w:rFonts w:ascii="Book Antiqua" w:hAnsi="Book Antiqua"/>
                <w:color w:val="000000"/>
                <w:lang w:eastAsia="it-IT"/>
              </w:rPr>
            </w:pPr>
          </w:p>
        </w:tc>
        <w:tc>
          <w:tcPr>
            <w:tcW w:w="2200" w:type="dxa"/>
            <w:tcBorders>
              <w:top w:val="nil"/>
              <w:left w:val="nil"/>
              <w:bottom w:val="nil"/>
              <w:right w:val="nil"/>
            </w:tcBorders>
            <w:shd w:val="clear" w:color="auto" w:fill="auto"/>
            <w:noWrap/>
            <w:vAlign w:val="bottom"/>
            <w:hideMark/>
          </w:tcPr>
          <w:p w14:paraId="14E5822D" w14:textId="77777777" w:rsidR="00896D15" w:rsidRPr="00872B32" w:rsidRDefault="00896D15" w:rsidP="008C54E8">
            <w:pPr>
              <w:snapToGrid w:val="0"/>
              <w:spacing w:line="360" w:lineRule="auto"/>
              <w:jc w:val="both"/>
              <w:rPr>
                <w:rFonts w:ascii="Book Antiqua" w:hAnsi="Book Antiqua"/>
                <w:color w:val="000000"/>
                <w:lang w:eastAsia="it-IT"/>
              </w:rPr>
            </w:pPr>
          </w:p>
        </w:tc>
      </w:tr>
      <w:tr w:rsidR="00C808A0" w:rsidRPr="00872B32" w14:paraId="3A32A93F"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2F6E1E71" w14:textId="77777777" w:rsidR="00896D15" w:rsidRPr="00872B32" w:rsidRDefault="00896D15" w:rsidP="008C54E8">
            <w:pPr>
              <w:snapToGrid w:val="0"/>
              <w:spacing w:line="360" w:lineRule="auto"/>
              <w:jc w:val="both"/>
              <w:rPr>
                <w:rFonts w:ascii="Book Antiqua" w:hAnsi="Book Antiqua"/>
                <w:color w:val="000000"/>
                <w:lang w:eastAsia="it-IT"/>
              </w:rPr>
            </w:pPr>
          </w:p>
        </w:tc>
        <w:tc>
          <w:tcPr>
            <w:tcW w:w="1149" w:type="dxa"/>
            <w:tcBorders>
              <w:top w:val="nil"/>
              <w:left w:val="nil"/>
              <w:bottom w:val="nil"/>
              <w:right w:val="nil"/>
            </w:tcBorders>
            <w:shd w:val="clear" w:color="auto" w:fill="auto"/>
            <w:noWrap/>
            <w:vAlign w:val="bottom"/>
            <w:hideMark/>
          </w:tcPr>
          <w:p w14:paraId="2E92973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Trx1</w:t>
            </w:r>
          </w:p>
        </w:tc>
        <w:tc>
          <w:tcPr>
            <w:tcW w:w="1102" w:type="dxa"/>
            <w:tcBorders>
              <w:top w:val="nil"/>
              <w:left w:val="nil"/>
              <w:bottom w:val="nil"/>
              <w:right w:val="nil"/>
            </w:tcBorders>
            <w:shd w:val="clear" w:color="auto" w:fill="auto"/>
            <w:noWrap/>
            <w:vAlign w:val="bottom"/>
            <w:hideMark/>
          </w:tcPr>
          <w:p w14:paraId="48BFDB5E"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eastAsia="it-IT"/>
              </w:rPr>
              <w:t>107.6</w:t>
            </w:r>
          </w:p>
        </w:tc>
        <w:tc>
          <w:tcPr>
            <w:tcW w:w="272" w:type="dxa"/>
            <w:tcBorders>
              <w:top w:val="nil"/>
              <w:left w:val="nil"/>
              <w:bottom w:val="nil"/>
              <w:right w:val="nil"/>
            </w:tcBorders>
            <w:shd w:val="clear" w:color="auto" w:fill="auto"/>
            <w:noWrap/>
            <w:vAlign w:val="bottom"/>
            <w:hideMark/>
          </w:tcPr>
          <w:p w14:paraId="034F7C7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
          <w:p w14:paraId="1B65C5F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12.2</w:t>
            </w:r>
          </w:p>
        </w:tc>
        <w:tc>
          <w:tcPr>
            <w:tcW w:w="1102" w:type="dxa"/>
            <w:tcBorders>
              <w:top w:val="nil"/>
              <w:left w:val="nil"/>
              <w:bottom w:val="nil"/>
              <w:right w:val="nil"/>
            </w:tcBorders>
            <w:shd w:val="clear" w:color="auto" w:fill="auto"/>
            <w:noWrap/>
            <w:vAlign w:val="bottom"/>
            <w:hideMark/>
          </w:tcPr>
          <w:p w14:paraId="2A68FA3D"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eastAsia="it-IT"/>
              </w:rPr>
              <w:t>124.3</w:t>
            </w:r>
          </w:p>
        </w:tc>
        <w:tc>
          <w:tcPr>
            <w:tcW w:w="272" w:type="dxa"/>
            <w:tcBorders>
              <w:top w:val="nil"/>
              <w:left w:val="nil"/>
              <w:bottom w:val="nil"/>
              <w:right w:val="nil"/>
            </w:tcBorders>
            <w:shd w:val="clear" w:color="auto" w:fill="auto"/>
            <w:noWrap/>
            <w:vAlign w:val="bottom"/>
            <w:hideMark/>
          </w:tcPr>
          <w:p w14:paraId="1854CEA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
          <w:p w14:paraId="0888A40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22.7</w:t>
            </w:r>
          </w:p>
        </w:tc>
        <w:tc>
          <w:tcPr>
            <w:tcW w:w="1102" w:type="dxa"/>
            <w:tcBorders>
              <w:top w:val="nil"/>
              <w:left w:val="nil"/>
              <w:bottom w:val="nil"/>
              <w:right w:val="nil"/>
            </w:tcBorders>
            <w:shd w:val="clear" w:color="auto" w:fill="auto"/>
            <w:noWrap/>
            <w:vAlign w:val="bottom"/>
            <w:hideMark/>
          </w:tcPr>
          <w:p w14:paraId="7D086AD7"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eastAsia="it-IT"/>
              </w:rPr>
              <w:t>98.0</w:t>
            </w:r>
          </w:p>
        </w:tc>
        <w:tc>
          <w:tcPr>
            <w:tcW w:w="272" w:type="dxa"/>
            <w:tcBorders>
              <w:top w:val="nil"/>
              <w:left w:val="nil"/>
              <w:bottom w:val="nil"/>
              <w:right w:val="nil"/>
            </w:tcBorders>
            <w:shd w:val="clear" w:color="auto" w:fill="auto"/>
            <w:noWrap/>
            <w:vAlign w:val="bottom"/>
            <w:hideMark/>
          </w:tcPr>
          <w:p w14:paraId="46F7A7F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w:t>
            </w:r>
          </w:p>
        </w:tc>
        <w:tc>
          <w:tcPr>
            <w:tcW w:w="1102" w:type="dxa"/>
            <w:tcBorders>
              <w:top w:val="nil"/>
              <w:left w:val="nil"/>
              <w:bottom w:val="nil"/>
              <w:right w:val="nil"/>
            </w:tcBorders>
            <w:shd w:val="clear" w:color="auto" w:fill="auto"/>
            <w:noWrap/>
            <w:vAlign w:val="bottom"/>
            <w:hideMark/>
          </w:tcPr>
          <w:p w14:paraId="25F2FA3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14.0</w:t>
            </w:r>
          </w:p>
        </w:tc>
        <w:tc>
          <w:tcPr>
            <w:tcW w:w="2200" w:type="dxa"/>
            <w:tcBorders>
              <w:top w:val="nil"/>
              <w:left w:val="nil"/>
              <w:bottom w:val="nil"/>
              <w:right w:val="nil"/>
            </w:tcBorders>
            <w:shd w:val="clear" w:color="auto" w:fill="auto"/>
            <w:noWrap/>
            <w:vAlign w:val="bottom"/>
            <w:hideMark/>
          </w:tcPr>
          <w:p w14:paraId="7575906D"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eastAsia="it-IT"/>
              </w:rPr>
              <w:t>NS</w:t>
            </w:r>
          </w:p>
        </w:tc>
      </w:tr>
      <w:tr w:rsidR="00C808A0" w:rsidRPr="00872B32" w14:paraId="07869FCB"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493B545" w14:textId="77777777" w:rsidR="00896D15" w:rsidRPr="00872B32" w:rsidRDefault="00896D15" w:rsidP="008C54E8">
            <w:pPr>
              <w:snapToGrid w:val="0"/>
              <w:spacing w:line="360" w:lineRule="auto"/>
              <w:jc w:val="both"/>
              <w:rPr>
                <w:rFonts w:ascii="Book Antiqua" w:hAnsi="Book Antiqua"/>
                <w:color w:val="000000"/>
                <w:lang w:eastAsia="it-IT"/>
              </w:rPr>
            </w:pPr>
          </w:p>
        </w:tc>
        <w:tc>
          <w:tcPr>
            <w:tcW w:w="1149" w:type="dxa"/>
            <w:tcBorders>
              <w:top w:val="nil"/>
              <w:left w:val="nil"/>
              <w:bottom w:val="nil"/>
              <w:right w:val="nil"/>
            </w:tcBorders>
            <w:shd w:val="clear" w:color="auto" w:fill="auto"/>
            <w:noWrap/>
            <w:vAlign w:val="bottom"/>
            <w:hideMark/>
          </w:tcPr>
          <w:p w14:paraId="719DFAA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RTrx1</w:t>
            </w:r>
          </w:p>
        </w:tc>
        <w:tc>
          <w:tcPr>
            <w:tcW w:w="1102" w:type="dxa"/>
            <w:tcBorders>
              <w:top w:val="nil"/>
              <w:left w:val="nil"/>
              <w:bottom w:val="nil"/>
              <w:right w:val="nil"/>
            </w:tcBorders>
            <w:shd w:val="clear" w:color="auto" w:fill="auto"/>
            <w:noWrap/>
            <w:vAlign w:val="bottom"/>
            <w:hideMark/>
          </w:tcPr>
          <w:p w14:paraId="54A673D2"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eastAsia="it-IT"/>
              </w:rPr>
              <w:t>2.2</w:t>
            </w:r>
          </w:p>
        </w:tc>
        <w:tc>
          <w:tcPr>
            <w:tcW w:w="272" w:type="dxa"/>
            <w:tcBorders>
              <w:top w:val="nil"/>
              <w:left w:val="nil"/>
              <w:bottom w:val="nil"/>
              <w:right w:val="nil"/>
            </w:tcBorders>
            <w:shd w:val="clear" w:color="auto" w:fill="auto"/>
            <w:noWrap/>
            <w:vAlign w:val="bottom"/>
            <w:hideMark/>
          </w:tcPr>
          <w:p w14:paraId="10B6295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
          <w:p w14:paraId="375BBCB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0.2</w:t>
            </w:r>
          </w:p>
        </w:tc>
        <w:tc>
          <w:tcPr>
            <w:tcW w:w="1102" w:type="dxa"/>
            <w:tcBorders>
              <w:top w:val="nil"/>
              <w:left w:val="nil"/>
              <w:bottom w:val="nil"/>
              <w:right w:val="nil"/>
            </w:tcBorders>
            <w:shd w:val="clear" w:color="auto" w:fill="auto"/>
            <w:noWrap/>
            <w:vAlign w:val="bottom"/>
            <w:hideMark/>
          </w:tcPr>
          <w:p w14:paraId="5563FD2B"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eastAsia="it-IT"/>
              </w:rPr>
              <w:t>2.7</w:t>
            </w:r>
          </w:p>
        </w:tc>
        <w:tc>
          <w:tcPr>
            <w:tcW w:w="272" w:type="dxa"/>
            <w:tcBorders>
              <w:top w:val="nil"/>
              <w:left w:val="nil"/>
              <w:bottom w:val="nil"/>
              <w:right w:val="nil"/>
            </w:tcBorders>
            <w:shd w:val="clear" w:color="auto" w:fill="auto"/>
            <w:noWrap/>
            <w:vAlign w:val="bottom"/>
            <w:hideMark/>
          </w:tcPr>
          <w:p w14:paraId="77F42D0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
          <w:p w14:paraId="6D70D15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0.4</w:t>
            </w:r>
          </w:p>
        </w:tc>
        <w:tc>
          <w:tcPr>
            <w:tcW w:w="1102" w:type="dxa"/>
            <w:tcBorders>
              <w:top w:val="nil"/>
              <w:left w:val="nil"/>
              <w:bottom w:val="nil"/>
              <w:right w:val="nil"/>
            </w:tcBorders>
            <w:shd w:val="clear" w:color="auto" w:fill="auto"/>
            <w:noWrap/>
            <w:vAlign w:val="bottom"/>
            <w:hideMark/>
          </w:tcPr>
          <w:p w14:paraId="1C1BE86D"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eastAsia="it-IT"/>
              </w:rPr>
              <w:t>2.0</w:t>
            </w:r>
          </w:p>
        </w:tc>
        <w:tc>
          <w:tcPr>
            <w:tcW w:w="272" w:type="dxa"/>
            <w:tcBorders>
              <w:top w:val="nil"/>
              <w:left w:val="nil"/>
              <w:bottom w:val="nil"/>
              <w:right w:val="nil"/>
            </w:tcBorders>
            <w:shd w:val="clear" w:color="auto" w:fill="auto"/>
            <w:noWrap/>
            <w:vAlign w:val="bottom"/>
            <w:hideMark/>
          </w:tcPr>
          <w:p w14:paraId="75B04DC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w:t>
            </w:r>
          </w:p>
        </w:tc>
        <w:tc>
          <w:tcPr>
            <w:tcW w:w="1102" w:type="dxa"/>
            <w:tcBorders>
              <w:top w:val="nil"/>
              <w:left w:val="nil"/>
              <w:bottom w:val="nil"/>
              <w:right w:val="nil"/>
            </w:tcBorders>
            <w:shd w:val="clear" w:color="auto" w:fill="auto"/>
            <w:noWrap/>
            <w:vAlign w:val="bottom"/>
            <w:hideMark/>
          </w:tcPr>
          <w:p w14:paraId="07A49D4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0.2</w:t>
            </w:r>
          </w:p>
        </w:tc>
        <w:tc>
          <w:tcPr>
            <w:tcW w:w="2200" w:type="dxa"/>
            <w:tcBorders>
              <w:top w:val="nil"/>
              <w:left w:val="nil"/>
              <w:bottom w:val="nil"/>
              <w:right w:val="nil"/>
            </w:tcBorders>
            <w:shd w:val="clear" w:color="auto" w:fill="auto"/>
            <w:noWrap/>
            <w:vAlign w:val="bottom"/>
            <w:hideMark/>
          </w:tcPr>
          <w:p w14:paraId="513208C0"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eastAsia="it-IT"/>
              </w:rPr>
              <w:t>NS</w:t>
            </w:r>
          </w:p>
        </w:tc>
      </w:tr>
      <w:tr w:rsidR="00C808A0" w:rsidRPr="00872B32" w14:paraId="089122E5"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52ACF3C1" w14:textId="77777777" w:rsidR="00896D15" w:rsidRPr="00872B32" w:rsidRDefault="00896D15" w:rsidP="008C54E8">
            <w:pPr>
              <w:snapToGrid w:val="0"/>
              <w:spacing w:line="360" w:lineRule="auto"/>
              <w:jc w:val="both"/>
              <w:rPr>
                <w:rFonts w:ascii="Book Antiqua" w:hAnsi="Book Antiqua"/>
                <w:color w:val="000000"/>
                <w:lang w:eastAsia="it-IT"/>
              </w:rPr>
            </w:pPr>
          </w:p>
        </w:tc>
        <w:tc>
          <w:tcPr>
            <w:tcW w:w="1149" w:type="dxa"/>
            <w:tcBorders>
              <w:top w:val="nil"/>
              <w:left w:val="nil"/>
              <w:bottom w:val="nil"/>
              <w:right w:val="nil"/>
            </w:tcBorders>
            <w:shd w:val="clear" w:color="auto" w:fill="auto"/>
            <w:noWrap/>
            <w:vAlign w:val="bottom"/>
            <w:hideMark/>
          </w:tcPr>
          <w:p w14:paraId="5010181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eastAsia="it-IT"/>
              </w:rPr>
              <w:t>sCD30</w:t>
            </w:r>
          </w:p>
        </w:tc>
        <w:tc>
          <w:tcPr>
            <w:tcW w:w="1102" w:type="dxa"/>
            <w:tcBorders>
              <w:top w:val="nil"/>
              <w:left w:val="nil"/>
              <w:bottom w:val="nil"/>
              <w:right w:val="nil"/>
            </w:tcBorders>
            <w:shd w:val="clear" w:color="auto" w:fill="auto"/>
            <w:noWrap/>
            <w:vAlign w:val="bottom"/>
            <w:hideMark/>
          </w:tcPr>
          <w:p w14:paraId="147A0B0C"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8.0</w:t>
            </w:r>
          </w:p>
        </w:tc>
        <w:tc>
          <w:tcPr>
            <w:tcW w:w="272" w:type="dxa"/>
            <w:tcBorders>
              <w:top w:val="nil"/>
              <w:left w:val="nil"/>
              <w:bottom w:val="nil"/>
              <w:right w:val="nil"/>
            </w:tcBorders>
            <w:shd w:val="clear" w:color="auto" w:fill="auto"/>
            <w:noWrap/>
            <w:vAlign w:val="bottom"/>
            <w:hideMark/>
          </w:tcPr>
          <w:p w14:paraId="29067E2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7922CA9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0.7</w:t>
            </w:r>
          </w:p>
        </w:tc>
        <w:tc>
          <w:tcPr>
            <w:tcW w:w="1102" w:type="dxa"/>
            <w:tcBorders>
              <w:top w:val="nil"/>
              <w:left w:val="nil"/>
              <w:bottom w:val="nil"/>
              <w:right w:val="nil"/>
            </w:tcBorders>
            <w:shd w:val="clear" w:color="auto" w:fill="auto"/>
            <w:noWrap/>
            <w:vAlign w:val="bottom"/>
            <w:hideMark/>
          </w:tcPr>
          <w:p w14:paraId="46C267E2"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6.7</w:t>
            </w:r>
          </w:p>
        </w:tc>
        <w:tc>
          <w:tcPr>
            <w:tcW w:w="272" w:type="dxa"/>
            <w:tcBorders>
              <w:top w:val="nil"/>
              <w:left w:val="nil"/>
              <w:bottom w:val="nil"/>
              <w:right w:val="nil"/>
            </w:tcBorders>
            <w:shd w:val="clear" w:color="auto" w:fill="auto"/>
            <w:noWrap/>
            <w:vAlign w:val="bottom"/>
            <w:hideMark/>
          </w:tcPr>
          <w:p w14:paraId="2B1813F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55C2631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0.9</w:t>
            </w:r>
          </w:p>
        </w:tc>
        <w:tc>
          <w:tcPr>
            <w:tcW w:w="1102" w:type="dxa"/>
            <w:tcBorders>
              <w:top w:val="nil"/>
              <w:left w:val="nil"/>
              <w:bottom w:val="nil"/>
              <w:right w:val="nil"/>
            </w:tcBorders>
            <w:shd w:val="clear" w:color="auto" w:fill="auto"/>
            <w:noWrap/>
            <w:vAlign w:val="bottom"/>
            <w:hideMark/>
          </w:tcPr>
          <w:p w14:paraId="1D602EF7"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8.9</w:t>
            </w:r>
          </w:p>
        </w:tc>
        <w:tc>
          <w:tcPr>
            <w:tcW w:w="272" w:type="dxa"/>
            <w:tcBorders>
              <w:top w:val="nil"/>
              <w:left w:val="nil"/>
              <w:bottom w:val="nil"/>
              <w:right w:val="nil"/>
            </w:tcBorders>
            <w:shd w:val="clear" w:color="auto" w:fill="auto"/>
            <w:noWrap/>
            <w:vAlign w:val="bottom"/>
            <w:hideMark/>
          </w:tcPr>
          <w:p w14:paraId="0DF689C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460F8AA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
          <w:p w14:paraId="5D4704D4"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68B1B02D"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2F4518E"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31E98E6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
          <w:p w14:paraId="6809BD4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14800.0</w:t>
            </w:r>
          </w:p>
        </w:tc>
        <w:tc>
          <w:tcPr>
            <w:tcW w:w="272" w:type="dxa"/>
            <w:tcBorders>
              <w:top w:val="nil"/>
              <w:left w:val="nil"/>
              <w:bottom w:val="nil"/>
              <w:right w:val="nil"/>
            </w:tcBorders>
            <w:shd w:val="clear" w:color="auto" w:fill="auto"/>
            <w:noWrap/>
            <w:vAlign w:val="bottom"/>
            <w:hideMark/>
          </w:tcPr>
          <w:p w14:paraId="58AED97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46D92BB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498.2</w:t>
            </w:r>
          </w:p>
        </w:tc>
        <w:tc>
          <w:tcPr>
            <w:tcW w:w="1102" w:type="dxa"/>
            <w:tcBorders>
              <w:top w:val="nil"/>
              <w:left w:val="nil"/>
              <w:bottom w:val="nil"/>
              <w:right w:val="nil"/>
            </w:tcBorders>
            <w:shd w:val="clear" w:color="auto" w:fill="auto"/>
            <w:noWrap/>
            <w:vAlign w:val="bottom"/>
            <w:hideMark/>
          </w:tcPr>
          <w:p w14:paraId="146F70B0"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15150.2</w:t>
            </w:r>
          </w:p>
        </w:tc>
        <w:tc>
          <w:tcPr>
            <w:tcW w:w="272" w:type="dxa"/>
            <w:tcBorders>
              <w:top w:val="nil"/>
              <w:left w:val="nil"/>
              <w:bottom w:val="nil"/>
              <w:right w:val="nil"/>
            </w:tcBorders>
            <w:shd w:val="clear" w:color="auto" w:fill="auto"/>
            <w:noWrap/>
            <w:vAlign w:val="bottom"/>
            <w:hideMark/>
          </w:tcPr>
          <w:p w14:paraId="1242DBE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29FB80E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906.5</w:t>
            </w:r>
          </w:p>
        </w:tc>
        <w:tc>
          <w:tcPr>
            <w:tcW w:w="1102" w:type="dxa"/>
            <w:tcBorders>
              <w:top w:val="nil"/>
              <w:left w:val="nil"/>
              <w:bottom w:val="nil"/>
              <w:right w:val="nil"/>
            </w:tcBorders>
            <w:shd w:val="clear" w:color="auto" w:fill="auto"/>
            <w:noWrap/>
            <w:vAlign w:val="bottom"/>
            <w:hideMark/>
          </w:tcPr>
          <w:p w14:paraId="308C7F59"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14598.3</w:t>
            </w:r>
          </w:p>
        </w:tc>
        <w:tc>
          <w:tcPr>
            <w:tcW w:w="272" w:type="dxa"/>
            <w:tcBorders>
              <w:top w:val="nil"/>
              <w:left w:val="nil"/>
              <w:bottom w:val="nil"/>
              <w:right w:val="nil"/>
            </w:tcBorders>
            <w:shd w:val="clear" w:color="auto" w:fill="auto"/>
            <w:noWrap/>
            <w:vAlign w:val="bottom"/>
            <w:hideMark/>
          </w:tcPr>
          <w:p w14:paraId="18FE4EF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6F2897E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594.8</w:t>
            </w:r>
          </w:p>
        </w:tc>
        <w:tc>
          <w:tcPr>
            <w:tcW w:w="2200" w:type="dxa"/>
            <w:tcBorders>
              <w:top w:val="nil"/>
              <w:left w:val="nil"/>
              <w:bottom w:val="nil"/>
              <w:right w:val="nil"/>
            </w:tcBorders>
            <w:shd w:val="clear" w:color="auto" w:fill="auto"/>
            <w:noWrap/>
            <w:vAlign w:val="bottom"/>
            <w:hideMark/>
          </w:tcPr>
          <w:p w14:paraId="03582C8C"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03EF7EB5"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03C0ACD5"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11B30BD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
          <w:p w14:paraId="1CDB2F19"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53.6</w:t>
            </w:r>
          </w:p>
        </w:tc>
        <w:tc>
          <w:tcPr>
            <w:tcW w:w="272" w:type="dxa"/>
            <w:tcBorders>
              <w:top w:val="nil"/>
              <w:left w:val="nil"/>
              <w:bottom w:val="nil"/>
              <w:right w:val="nil"/>
            </w:tcBorders>
            <w:shd w:val="clear" w:color="auto" w:fill="auto"/>
            <w:noWrap/>
            <w:vAlign w:val="bottom"/>
            <w:hideMark/>
          </w:tcPr>
          <w:p w14:paraId="1FAA97B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E8A315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4.8</w:t>
            </w:r>
          </w:p>
        </w:tc>
        <w:tc>
          <w:tcPr>
            <w:tcW w:w="1102" w:type="dxa"/>
            <w:tcBorders>
              <w:top w:val="nil"/>
              <w:left w:val="nil"/>
              <w:bottom w:val="nil"/>
              <w:right w:val="nil"/>
            </w:tcBorders>
            <w:shd w:val="clear" w:color="auto" w:fill="auto"/>
            <w:noWrap/>
            <w:vAlign w:val="bottom"/>
            <w:hideMark/>
          </w:tcPr>
          <w:p w14:paraId="469316B1"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42.1</w:t>
            </w:r>
          </w:p>
        </w:tc>
        <w:tc>
          <w:tcPr>
            <w:tcW w:w="272" w:type="dxa"/>
            <w:tcBorders>
              <w:top w:val="nil"/>
              <w:left w:val="nil"/>
              <w:bottom w:val="nil"/>
              <w:right w:val="nil"/>
            </w:tcBorders>
            <w:shd w:val="clear" w:color="auto" w:fill="auto"/>
            <w:noWrap/>
            <w:vAlign w:val="bottom"/>
            <w:hideMark/>
          </w:tcPr>
          <w:p w14:paraId="13DA608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3BB6589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5.7</w:t>
            </w:r>
          </w:p>
        </w:tc>
        <w:tc>
          <w:tcPr>
            <w:tcW w:w="1102" w:type="dxa"/>
            <w:tcBorders>
              <w:top w:val="nil"/>
              <w:left w:val="nil"/>
              <w:bottom w:val="nil"/>
              <w:right w:val="nil"/>
            </w:tcBorders>
            <w:shd w:val="clear" w:color="auto" w:fill="auto"/>
            <w:noWrap/>
            <w:vAlign w:val="bottom"/>
            <w:hideMark/>
          </w:tcPr>
          <w:p w14:paraId="5D7247A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70.0</w:t>
            </w:r>
          </w:p>
        </w:tc>
        <w:tc>
          <w:tcPr>
            <w:tcW w:w="272" w:type="dxa"/>
            <w:tcBorders>
              <w:top w:val="nil"/>
              <w:left w:val="nil"/>
              <w:bottom w:val="nil"/>
              <w:right w:val="nil"/>
            </w:tcBorders>
            <w:shd w:val="clear" w:color="auto" w:fill="auto"/>
            <w:noWrap/>
            <w:vAlign w:val="bottom"/>
            <w:hideMark/>
          </w:tcPr>
          <w:p w14:paraId="043338C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3C1691E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8.1</w:t>
            </w:r>
          </w:p>
        </w:tc>
        <w:tc>
          <w:tcPr>
            <w:tcW w:w="2200" w:type="dxa"/>
            <w:tcBorders>
              <w:top w:val="nil"/>
              <w:left w:val="nil"/>
              <w:bottom w:val="nil"/>
              <w:right w:val="nil"/>
            </w:tcBorders>
            <w:shd w:val="clear" w:color="auto" w:fill="auto"/>
            <w:noWrap/>
            <w:vAlign w:val="bottom"/>
            <w:hideMark/>
          </w:tcPr>
          <w:p w14:paraId="48E7E957"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045E0CA7"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15DC9FE7"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4BEF129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
          <w:p w14:paraId="2DA93B78"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69.4</w:t>
            </w:r>
          </w:p>
        </w:tc>
        <w:tc>
          <w:tcPr>
            <w:tcW w:w="272" w:type="dxa"/>
            <w:tcBorders>
              <w:top w:val="nil"/>
              <w:left w:val="nil"/>
              <w:bottom w:val="nil"/>
              <w:right w:val="nil"/>
            </w:tcBorders>
            <w:shd w:val="clear" w:color="auto" w:fill="auto"/>
            <w:noWrap/>
            <w:vAlign w:val="bottom"/>
            <w:hideMark/>
          </w:tcPr>
          <w:p w14:paraId="505B33C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55DF04B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6.9</w:t>
            </w:r>
          </w:p>
        </w:tc>
        <w:tc>
          <w:tcPr>
            <w:tcW w:w="1102" w:type="dxa"/>
            <w:tcBorders>
              <w:top w:val="nil"/>
              <w:left w:val="nil"/>
              <w:bottom w:val="nil"/>
              <w:right w:val="nil"/>
            </w:tcBorders>
            <w:shd w:val="clear" w:color="auto" w:fill="auto"/>
            <w:noWrap/>
            <w:vAlign w:val="bottom"/>
            <w:hideMark/>
          </w:tcPr>
          <w:p w14:paraId="67C4674C"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53.9</w:t>
            </w:r>
          </w:p>
        </w:tc>
        <w:tc>
          <w:tcPr>
            <w:tcW w:w="272" w:type="dxa"/>
            <w:tcBorders>
              <w:top w:val="nil"/>
              <w:left w:val="nil"/>
              <w:bottom w:val="nil"/>
              <w:right w:val="nil"/>
            </w:tcBorders>
            <w:shd w:val="clear" w:color="auto" w:fill="auto"/>
            <w:noWrap/>
            <w:vAlign w:val="bottom"/>
            <w:hideMark/>
          </w:tcPr>
          <w:p w14:paraId="74BBBCC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145126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9.6</w:t>
            </w:r>
          </w:p>
        </w:tc>
        <w:tc>
          <w:tcPr>
            <w:tcW w:w="1102" w:type="dxa"/>
            <w:tcBorders>
              <w:top w:val="nil"/>
              <w:left w:val="nil"/>
              <w:bottom w:val="nil"/>
              <w:right w:val="nil"/>
            </w:tcBorders>
            <w:shd w:val="clear" w:color="auto" w:fill="auto"/>
            <w:noWrap/>
            <w:vAlign w:val="bottom"/>
            <w:hideMark/>
          </w:tcPr>
          <w:p w14:paraId="31DFCE9D"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92.0</w:t>
            </w:r>
          </w:p>
        </w:tc>
        <w:tc>
          <w:tcPr>
            <w:tcW w:w="272" w:type="dxa"/>
            <w:tcBorders>
              <w:top w:val="nil"/>
              <w:left w:val="nil"/>
              <w:bottom w:val="nil"/>
              <w:right w:val="nil"/>
            </w:tcBorders>
            <w:shd w:val="clear" w:color="auto" w:fill="auto"/>
            <w:noWrap/>
            <w:vAlign w:val="bottom"/>
            <w:hideMark/>
          </w:tcPr>
          <w:p w14:paraId="720624A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70B9807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9.5</w:t>
            </w:r>
          </w:p>
        </w:tc>
        <w:tc>
          <w:tcPr>
            <w:tcW w:w="2200" w:type="dxa"/>
            <w:tcBorders>
              <w:top w:val="nil"/>
              <w:left w:val="nil"/>
              <w:bottom w:val="nil"/>
              <w:right w:val="nil"/>
            </w:tcBorders>
            <w:shd w:val="clear" w:color="auto" w:fill="auto"/>
            <w:noWrap/>
            <w:vAlign w:val="bottom"/>
            <w:hideMark/>
          </w:tcPr>
          <w:p w14:paraId="17827F65"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14286D59"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271816AC"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622A7A3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
          <w:p w14:paraId="129F262A"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9.4</w:t>
            </w:r>
          </w:p>
        </w:tc>
        <w:tc>
          <w:tcPr>
            <w:tcW w:w="272" w:type="dxa"/>
            <w:tcBorders>
              <w:top w:val="nil"/>
              <w:left w:val="nil"/>
              <w:bottom w:val="nil"/>
              <w:right w:val="nil"/>
            </w:tcBorders>
            <w:shd w:val="clear" w:color="auto" w:fill="auto"/>
            <w:noWrap/>
            <w:vAlign w:val="bottom"/>
            <w:hideMark/>
          </w:tcPr>
          <w:p w14:paraId="7E87C3B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396D297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
          <w:p w14:paraId="2BDD75C1"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8.0</w:t>
            </w:r>
          </w:p>
        </w:tc>
        <w:tc>
          <w:tcPr>
            <w:tcW w:w="272" w:type="dxa"/>
            <w:tcBorders>
              <w:top w:val="nil"/>
              <w:left w:val="nil"/>
              <w:bottom w:val="nil"/>
              <w:right w:val="nil"/>
            </w:tcBorders>
            <w:shd w:val="clear" w:color="auto" w:fill="auto"/>
            <w:noWrap/>
            <w:vAlign w:val="bottom"/>
            <w:hideMark/>
          </w:tcPr>
          <w:p w14:paraId="69FB42A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739F7A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0.8</w:t>
            </w:r>
          </w:p>
        </w:tc>
        <w:tc>
          <w:tcPr>
            <w:tcW w:w="1102" w:type="dxa"/>
            <w:tcBorders>
              <w:top w:val="nil"/>
              <w:left w:val="nil"/>
              <w:bottom w:val="nil"/>
              <w:right w:val="nil"/>
            </w:tcBorders>
            <w:shd w:val="clear" w:color="auto" w:fill="auto"/>
            <w:noWrap/>
            <w:vAlign w:val="bottom"/>
            <w:hideMark/>
          </w:tcPr>
          <w:p w14:paraId="35DFD2A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11.4</w:t>
            </w:r>
          </w:p>
        </w:tc>
        <w:tc>
          <w:tcPr>
            <w:tcW w:w="272" w:type="dxa"/>
            <w:tcBorders>
              <w:top w:val="nil"/>
              <w:left w:val="nil"/>
              <w:bottom w:val="nil"/>
              <w:right w:val="nil"/>
            </w:tcBorders>
            <w:shd w:val="clear" w:color="auto" w:fill="auto"/>
            <w:noWrap/>
            <w:vAlign w:val="bottom"/>
            <w:hideMark/>
          </w:tcPr>
          <w:p w14:paraId="66A262C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7EB573D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0.9</w:t>
            </w:r>
          </w:p>
        </w:tc>
        <w:tc>
          <w:tcPr>
            <w:tcW w:w="2200" w:type="dxa"/>
            <w:tcBorders>
              <w:top w:val="nil"/>
              <w:left w:val="nil"/>
              <w:bottom w:val="nil"/>
              <w:right w:val="nil"/>
            </w:tcBorders>
            <w:shd w:val="clear" w:color="auto" w:fill="auto"/>
            <w:noWrap/>
            <w:vAlign w:val="bottom"/>
            <w:hideMark/>
          </w:tcPr>
          <w:p w14:paraId="122AEF3B"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i/>
                <w:color w:val="000000"/>
                <w:lang w:val="it-IT" w:eastAsia="it-IT"/>
              </w:rPr>
              <w:t>P</w:t>
            </w:r>
            <w:r w:rsidR="0049730C" w:rsidRPr="00BA4E7C">
              <w:rPr>
                <w:rFonts w:ascii="Book Antiqua" w:eastAsia="宋体" w:hAnsi="Book Antiqua" w:hint="eastAsia"/>
                <w:i/>
                <w:color w:val="000000"/>
                <w:lang w:val="it-IT" w:eastAsia="zh-CN"/>
              </w:rPr>
              <w:t xml:space="preserve"> </w:t>
            </w:r>
            <w:r w:rsidRPr="00872B32">
              <w:rPr>
                <w:rFonts w:ascii="Book Antiqua" w:hAnsi="Book Antiqua"/>
                <w:color w:val="000000"/>
                <w:lang w:val="it-IT" w:eastAsia="it-IT"/>
              </w:rPr>
              <w:t>&lt;</w:t>
            </w:r>
            <w:r w:rsidR="0049730C" w:rsidRPr="00BA4E7C">
              <w:rPr>
                <w:rFonts w:ascii="Book Antiqua" w:eastAsia="宋体" w:hAnsi="Book Antiqua" w:hint="eastAsia"/>
                <w:color w:val="000000"/>
                <w:lang w:val="it-IT" w:eastAsia="zh-CN"/>
              </w:rPr>
              <w:t xml:space="preserve"> </w:t>
            </w:r>
            <w:r w:rsidRPr="00872B32">
              <w:rPr>
                <w:rFonts w:ascii="Book Antiqua" w:hAnsi="Book Antiqua"/>
                <w:color w:val="000000"/>
                <w:lang w:val="it-IT" w:eastAsia="it-IT"/>
              </w:rPr>
              <w:t>0.00001</w:t>
            </w:r>
          </w:p>
        </w:tc>
      </w:tr>
      <w:tr w:rsidR="00C808A0" w:rsidRPr="00872B32" w14:paraId="56910243"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6DF7AAAC"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515B834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
          <w:p w14:paraId="3EC8A2F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4.1</w:t>
            </w:r>
          </w:p>
        </w:tc>
        <w:tc>
          <w:tcPr>
            <w:tcW w:w="272" w:type="dxa"/>
            <w:tcBorders>
              <w:top w:val="nil"/>
              <w:left w:val="nil"/>
              <w:bottom w:val="nil"/>
              <w:right w:val="nil"/>
            </w:tcBorders>
            <w:shd w:val="clear" w:color="auto" w:fill="auto"/>
            <w:noWrap/>
            <w:vAlign w:val="bottom"/>
            <w:hideMark/>
          </w:tcPr>
          <w:p w14:paraId="3221E6C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59A0425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0.8</w:t>
            </w:r>
          </w:p>
        </w:tc>
        <w:tc>
          <w:tcPr>
            <w:tcW w:w="1102" w:type="dxa"/>
            <w:tcBorders>
              <w:top w:val="nil"/>
              <w:left w:val="nil"/>
              <w:bottom w:val="nil"/>
              <w:right w:val="nil"/>
            </w:tcBorders>
            <w:shd w:val="clear" w:color="auto" w:fill="auto"/>
            <w:noWrap/>
            <w:vAlign w:val="bottom"/>
            <w:hideMark/>
          </w:tcPr>
          <w:p w14:paraId="741D740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2.7</w:t>
            </w:r>
          </w:p>
        </w:tc>
        <w:tc>
          <w:tcPr>
            <w:tcW w:w="272" w:type="dxa"/>
            <w:tcBorders>
              <w:top w:val="nil"/>
              <w:left w:val="nil"/>
              <w:bottom w:val="nil"/>
              <w:right w:val="nil"/>
            </w:tcBorders>
            <w:shd w:val="clear" w:color="auto" w:fill="auto"/>
            <w:noWrap/>
            <w:vAlign w:val="bottom"/>
            <w:hideMark/>
          </w:tcPr>
          <w:p w14:paraId="28F8C60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AD2994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
          <w:p w14:paraId="2C4FB168"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5.3</w:t>
            </w:r>
          </w:p>
        </w:tc>
        <w:tc>
          <w:tcPr>
            <w:tcW w:w="272" w:type="dxa"/>
            <w:tcBorders>
              <w:top w:val="nil"/>
              <w:left w:val="nil"/>
              <w:bottom w:val="nil"/>
              <w:right w:val="nil"/>
            </w:tcBorders>
            <w:shd w:val="clear" w:color="auto" w:fill="auto"/>
            <w:noWrap/>
            <w:vAlign w:val="bottom"/>
            <w:hideMark/>
          </w:tcPr>
          <w:p w14:paraId="0855B0A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5A66062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w:t>
            </w:r>
          </w:p>
        </w:tc>
        <w:tc>
          <w:tcPr>
            <w:tcW w:w="2200" w:type="dxa"/>
            <w:tcBorders>
              <w:top w:val="nil"/>
              <w:left w:val="nil"/>
              <w:bottom w:val="nil"/>
              <w:right w:val="nil"/>
            </w:tcBorders>
            <w:shd w:val="clear" w:color="auto" w:fill="auto"/>
            <w:noWrap/>
            <w:vAlign w:val="bottom"/>
            <w:hideMark/>
          </w:tcPr>
          <w:p w14:paraId="1705DA36"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i/>
                <w:color w:val="000000"/>
                <w:lang w:val="it-IT" w:eastAsia="it-IT"/>
              </w:rPr>
              <w:t>P</w:t>
            </w:r>
            <w:r w:rsidRPr="00872B32">
              <w:rPr>
                <w:rFonts w:ascii="Book Antiqua" w:hAnsi="Book Antiqua"/>
                <w:color w:val="000000"/>
                <w:lang w:val="it-IT" w:eastAsia="it-IT"/>
              </w:rPr>
              <w:t xml:space="preserve"> =</w:t>
            </w:r>
            <w:r w:rsidR="0049730C" w:rsidRPr="00BA4E7C">
              <w:rPr>
                <w:rFonts w:ascii="Book Antiqua" w:eastAsia="宋体" w:hAnsi="Book Antiqua" w:hint="eastAsia"/>
                <w:color w:val="000000"/>
                <w:lang w:val="it-IT" w:eastAsia="zh-CN"/>
              </w:rPr>
              <w:t xml:space="preserve"> </w:t>
            </w:r>
            <w:r w:rsidRPr="00872B32">
              <w:rPr>
                <w:rFonts w:ascii="Book Antiqua" w:hAnsi="Book Antiqua"/>
                <w:color w:val="000000"/>
                <w:lang w:val="it-IT" w:eastAsia="it-IT"/>
              </w:rPr>
              <w:t>0.001</w:t>
            </w:r>
          </w:p>
        </w:tc>
      </w:tr>
      <w:tr w:rsidR="00C808A0" w:rsidRPr="00872B32" w14:paraId="2BBFB56B"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1410AA78"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5E68872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IL10</w:t>
            </w:r>
          </w:p>
        </w:tc>
        <w:tc>
          <w:tcPr>
            <w:tcW w:w="1102" w:type="dxa"/>
            <w:tcBorders>
              <w:top w:val="nil"/>
              <w:left w:val="nil"/>
              <w:bottom w:val="nil"/>
              <w:right w:val="nil"/>
            </w:tcBorders>
            <w:shd w:val="clear" w:color="auto" w:fill="auto"/>
            <w:noWrap/>
            <w:vAlign w:val="bottom"/>
            <w:hideMark/>
          </w:tcPr>
          <w:p w14:paraId="6B168B0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5.2</w:t>
            </w:r>
          </w:p>
        </w:tc>
        <w:tc>
          <w:tcPr>
            <w:tcW w:w="272" w:type="dxa"/>
            <w:tcBorders>
              <w:top w:val="nil"/>
              <w:left w:val="nil"/>
              <w:bottom w:val="nil"/>
              <w:right w:val="nil"/>
            </w:tcBorders>
            <w:shd w:val="clear" w:color="auto" w:fill="auto"/>
            <w:noWrap/>
            <w:vAlign w:val="bottom"/>
            <w:hideMark/>
          </w:tcPr>
          <w:p w14:paraId="5AE1A3C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1D53ECC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0.7</w:t>
            </w:r>
          </w:p>
        </w:tc>
        <w:tc>
          <w:tcPr>
            <w:tcW w:w="1102" w:type="dxa"/>
            <w:tcBorders>
              <w:top w:val="nil"/>
              <w:left w:val="nil"/>
              <w:bottom w:val="nil"/>
              <w:right w:val="nil"/>
            </w:tcBorders>
            <w:shd w:val="clear" w:color="auto" w:fill="auto"/>
            <w:noWrap/>
            <w:vAlign w:val="bottom"/>
            <w:hideMark/>
          </w:tcPr>
          <w:p w14:paraId="37AF0A3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4.8</w:t>
            </w:r>
          </w:p>
        </w:tc>
        <w:tc>
          <w:tcPr>
            <w:tcW w:w="272" w:type="dxa"/>
            <w:tcBorders>
              <w:top w:val="nil"/>
              <w:left w:val="nil"/>
              <w:bottom w:val="nil"/>
              <w:right w:val="nil"/>
            </w:tcBorders>
            <w:shd w:val="clear" w:color="auto" w:fill="auto"/>
            <w:noWrap/>
            <w:vAlign w:val="bottom"/>
            <w:hideMark/>
          </w:tcPr>
          <w:p w14:paraId="5128F41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2B28209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0.5</w:t>
            </w:r>
          </w:p>
        </w:tc>
        <w:tc>
          <w:tcPr>
            <w:tcW w:w="1102" w:type="dxa"/>
            <w:tcBorders>
              <w:top w:val="nil"/>
              <w:left w:val="nil"/>
              <w:bottom w:val="nil"/>
              <w:right w:val="nil"/>
            </w:tcBorders>
            <w:shd w:val="clear" w:color="auto" w:fill="auto"/>
            <w:noWrap/>
            <w:vAlign w:val="bottom"/>
            <w:hideMark/>
          </w:tcPr>
          <w:p w14:paraId="3D764633"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5.9</w:t>
            </w:r>
          </w:p>
        </w:tc>
        <w:tc>
          <w:tcPr>
            <w:tcW w:w="272" w:type="dxa"/>
            <w:tcBorders>
              <w:top w:val="nil"/>
              <w:left w:val="nil"/>
              <w:bottom w:val="nil"/>
              <w:right w:val="nil"/>
            </w:tcBorders>
            <w:shd w:val="clear" w:color="auto" w:fill="auto"/>
            <w:noWrap/>
            <w:vAlign w:val="bottom"/>
            <w:hideMark/>
          </w:tcPr>
          <w:p w14:paraId="7D6FDF1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47CEDAB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1.7</w:t>
            </w:r>
          </w:p>
        </w:tc>
        <w:tc>
          <w:tcPr>
            <w:tcW w:w="2200" w:type="dxa"/>
            <w:tcBorders>
              <w:top w:val="nil"/>
              <w:left w:val="nil"/>
              <w:bottom w:val="nil"/>
              <w:right w:val="nil"/>
            </w:tcBorders>
            <w:shd w:val="clear" w:color="auto" w:fill="auto"/>
            <w:noWrap/>
            <w:vAlign w:val="bottom"/>
            <w:hideMark/>
          </w:tcPr>
          <w:p w14:paraId="65A9521B"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4E399A3C"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749F9B04"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14:paraId="2A0ADDC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sIL2R</w:t>
            </w:r>
          </w:p>
        </w:tc>
        <w:tc>
          <w:tcPr>
            <w:tcW w:w="1102" w:type="dxa"/>
            <w:tcBorders>
              <w:top w:val="nil"/>
              <w:left w:val="nil"/>
              <w:right w:val="nil"/>
            </w:tcBorders>
            <w:shd w:val="clear" w:color="auto" w:fill="auto"/>
            <w:noWrap/>
            <w:vAlign w:val="bottom"/>
            <w:hideMark/>
          </w:tcPr>
          <w:p w14:paraId="7DEB799A"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250.0</w:t>
            </w:r>
          </w:p>
        </w:tc>
        <w:tc>
          <w:tcPr>
            <w:tcW w:w="272" w:type="dxa"/>
            <w:tcBorders>
              <w:top w:val="nil"/>
              <w:left w:val="nil"/>
              <w:right w:val="nil"/>
            </w:tcBorders>
            <w:shd w:val="clear" w:color="auto" w:fill="auto"/>
            <w:noWrap/>
            <w:vAlign w:val="bottom"/>
            <w:hideMark/>
          </w:tcPr>
          <w:p w14:paraId="4DA5066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4EF26D69"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10.4</w:t>
            </w:r>
          </w:p>
        </w:tc>
        <w:tc>
          <w:tcPr>
            <w:tcW w:w="1102" w:type="dxa"/>
            <w:tcBorders>
              <w:top w:val="nil"/>
              <w:left w:val="nil"/>
              <w:right w:val="nil"/>
            </w:tcBorders>
            <w:shd w:val="clear" w:color="auto" w:fill="auto"/>
            <w:noWrap/>
            <w:vAlign w:val="bottom"/>
            <w:hideMark/>
          </w:tcPr>
          <w:p w14:paraId="455C3B7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238.6</w:t>
            </w:r>
          </w:p>
        </w:tc>
        <w:tc>
          <w:tcPr>
            <w:tcW w:w="272" w:type="dxa"/>
            <w:tcBorders>
              <w:top w:val="nil"/>
              <w:left w:val="nil"/>
              <w:right w:val="nil"/>
            </w:tcBorders>
            <w:shd w:val="clear" w:color="auto" w:fill="auto"/>
            <w:noWrap/>
            <w:vAlign w:val="bottom"/>
            <w:hideMark/>
          </w:tcPr>
          <w:p w14:paraId="7E63559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43D89079"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12.5</w:t>
            </w:r>
          </w:p>
        </w:tc>
        <w:tc>
          <w:tcPr>
            <w:tcW w:w="1102" w:type="dxa"/>
            <w:tcBorders>
              <w:top w:val="nil"/>
              <w:left w:val="nil"/>
              <w:right w:val="nil"/>
            </w:tcBorders>
            <w:shd w:val="clear" w:color="auto" w:fill="auto"/>
            <w:noWrap/>
            <w:vAlign w:val="bottom"/>
            <w:hideMark/>
          </w:tcPr>
          <w:p w14:paraId="662B5862"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260.6</w:t>
            </w:r>
          </w:p>
        </w:tc>
        <w:tc>
          <w:tcPr>
            <w:tcW w:w="272" w:type="dxa"/>
            <w:tcBorders>
              <w:top w:val="nil"/>
              <w:left w:val="nil"/>
              <w:right w:val="nil"/>
            </w:tcBorders>
            <w:shd w:val="clear" w:color="auto" w:fill="auto"/>
            <w:noWrap/>
            <w:vAlign w:val="bottom"/>
            <w:hideMark/>
          </w:tcPr>
          <w:p w14:paraId="27EA8D0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14:paraId="6C3229A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16.4</w:t>
            </w:r>
          </w:p>
        </w:tc>
        <w:tc>
          <w:tcPr>
            <w:tcW w:w="2200" w:type="dxa"/>
            <w:tcBorders>
              <w:top w:val="nil"/>
              <w:left w:val="nil"/>
              <w:right w:val="nil"/>
            </w:tcBorders>
            <w:shd w:val="clear" w:color="auto" w:fill="auto"/>
            <w:noWrap/>
            <w:vAlign w:val="bottom"/>
            <w:hideMark/>
          </w:tcPr>
          <w:p w14:paraId="5B75B8A6"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i/>
                <w:color w:val="000000"/>
                <w:lang w:val="it-IT" w:eastAsia="it-IT"/>
              </w:rPr>
              <w:t>P</w:t>
            </w:r>
            <w:r w:rsidRPr="00872B32">
              <w:rPr>
                <w:rFonts w:ascii="Book Antiqua" w:hAnsi="Book Antiqua"/>
                <w:color w:val="000000"/>
                <w:lang w:val="it-IT" w:eastAsia="it-IT"/>
              </w:rPr>
              <w:t xml:space="preserve"> =</w:t>
            </w:r>
            <w:r w:rsidR="0049730C" w:rsidRPr="00BA4E7C">
              <w:rPr>
                <w:rFonts w:ascii="Book Antiqua" w:eastAsia="宋体" w:hAnsi="Book Antiqua" w:hint="eastAsia"/>
                <w:color w:val="000000"/>
                <w:lang w:val="it-IT" w:eastAsia="zh-CN"/>
              </w:rPr>
              <w:t xml:space="preserve"> </w:t>
            </w:r>
            <w:r w:rsidRPr="00872B32">
              <w:rPr>
                <w:rFonts w:ascii="Book Antiqua" w:hAnsi="Book Antiqua"/>
                <w:color w:val="000000"/>
                <w:lang w:val="it-IT" w:eastAsia="it-IT"/>
              </w:rPr>
              <w:t>0.00009</w:t>
            </w:r>
          </w:p>
        </w:tc>
      </w:tr>
      <w:tr w:rsidR="00C808A0" w:rsidRPr="00872B32" w14:paraId="1C34A549"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tcPr>
          <w:p w14:paraId="12DED926"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14:paraId="0A3D491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sIL6R</w:t>
            </w:r>
          </w:p>
        </w:tc>
        <w:tc>
          <w:tcPr>
            <w:tcW w:w="1102" w:type="dxa"/>
            <w:tcBorders>
              <w:top w:val="nil"/>
              <w:left w:val="nil"/>
              <w:right w:val="nil"/>
            </w:tcBorders>
            <w:shd w:val="clear" w:color="auto" w:fill="auto"/>
            <w:noWrap/>
            <w:vAlign w:val="bottom"/>
            <w:hideMark/>
          </w:tcPr>
          <w:p w14:paraId="6C2AD438"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70.7</w:t>
            </w:r>
          </w:p>
        </w:tc>
        <w:tc>
          <w:tcPr>
            <w:tcW w:w="272" w:type="dxa"/>
            <w:tcBorders>
              <w:top w:val="nil"/>
              <w:left w:val="nil"/>
              <w:right w:val="nil"/>
            </w:tcBorders>
            <w:shd w:val="clear" w:color="auto" w:fill="auto"/>
            <w:noWrap/>
            <w:vAlign w:val="bottom"/>
            <w:hideMark/>
          </w:tcPr>
          <w:p w14:paraId="421C5DC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5545A73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4.0</w:t>
            </w:r>
          </w:p>
        </w:tc>
        <w:tc>
          <w:tcPr>
            <w:tcW w:w="1102" w:type="dxa"/>
            <w:tcBorders>
              <w:top w:val="nil"/>
              <w:left w:val="nil"/>
              <w:right w:val="nil"/>
            </w:tcBorders>
            <w:shd w:val="clear" w:color="auto" w:fill="auto"/>
            <w:noWrap/>
            <w:vAlign w:val="bottom"/>
            <w:hideMark/>
          </w:tcPr>
          <w:p w14:paraId="6C2D4E69"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67.4</w:t>
            </w:r>
          </w:p>
        </w:tc>
        <w:tc>
          <w:tcPr>
            <w:tcW w:w="272" w:type="dxa"/>
            <w:tcBorders>
              <w:top w:val="nil"/>
              <w:left w:val="nil"/>
              <w:right w:val="nil"/>
            </w:tcBorders>
            <w:shd w:val="clear" w:color="auto" w:fill="auto"/>
            <w:noWrap/>
            <w:vAlign w:val="bottom"/>
            <w:hideMark/>
          </w:tcPr>
          <w:p w14:paraId="2125F30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47E9282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6.0</w:t>
            </w:r>
          </w:p>
        </w:tc>
        <w:tc>
          <w:tcPr>
            <w:tcW w:w="1102" w:type="dxa"/>
            <w:tcBorders>
              <w:top w:val="nil"/>
              <w:left w:val="nil"/>
              <w:right w:val="nil"/>
            </w:tcBorders>
            <w:shd w:val="clear" w:color="auto" w:fill="auto"/>
            <w:noWrap/>
            <w:vAlign w:val="bottom"/>
            <w:hideMark/>
          </w:tcPr>
          <w:p w14:paraId="56B5A353"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73.5</w:t>
            </w:r>
          </w:p>
        </w:tc>
        <w:tc>
          <w:tcPr>
            <w:tcW w:w="272" w:type="dxa"/>
            <w:tcBorders>
              <w:top w:val="nil"/>
              <w:left w:val="nil"/>
              <w:right w:val="nil"/>
            </w:tcBorders>
            <w:shd w:val="clear" w:color="auto" w:fill="auto"/>
            <w:noWrap/>
            <w:vAlign w:val="bottom"/>
            <w:hideMark/>
          </w:tcPr>
          <w:p w14:paraId="1147947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14:paraId="0217C05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5.4</w:t>
            </w:r>
          </w:p>
        </w:tc>
        <w:tc>
          <w:tcPr>
            <w:tcW w:w="2200" w:type="dxa"/>
            <w:tcBorders>
              <w:top w:val="nil"/>
              <w:left w:val="nil"/>
              <w:right w:val="nil"/>
            </w:tcBorders>
            <w:shd w:val="clear" w:color="auto" w:fill="auto"/>
            <w:noWrap/>
            <w:vAlign w:val="bottom"/>
            <w:hideMark/>
          </w:tcPr>
          <w:p w14:paraId="6439E5E0"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0EC647D1" w14:textId="77777777" w:rsidTr="008C54E8">
        <w:trPr>
          <w:gridBefore w:val="1"/>
          <w:gridAfter w:val="1"/>
          <w:wBefore w:w="142" w:type="dxa"/>
          <w:wAfter w:w="300" w:type="dxa"/>
          <w:trHeight w:val="259"/>
        </w:trPr>
        <w:tc>
          <w:tcPr>
            <w:tcW w:w="260" w:type="dxa"/>
            <w:tcBorders>
              <w:top w:val="nil"/>
              <w:left w:val="nil"/>
              <w:bottom w:val="nil"/>
              <w:right w:val="nil"/>
            </w:tcBorders>
            <w:shd w:val="clear" w:color="auto" w:fill="auto"/>
            <w:noWrap/>
            <w:vAlign w:val="bottom"/>
          </w:tcPr>
          <w:p w14:paraId="153B5421" w14:textId="77777777" w:rsidR="00896D15" w:rsidRPr="00872B32" w:rsidRDefault="00896D15" w:rsidP="008C54E8">
            <w:pPr>
              <w:snapToGrid w:val="0"/>
              <w:spacing w:line="360" w:lineRule="auto"/>
              <w:jc w:val="both"/>
              <w:rPr>
                <w:rFonts w:ascii="Book Antiqua" w:hAnsi="Book Antiqua"/>
                <w:b/>
                <w:color w:val="000000"/>
                <w:lang w:val="it-IT" w:eastAsia="it-IT"/>
              </w:rPr>
            </w:pPr>
          </w:p>
        </w:tc>
        <w:tc>
          <w:tcPr>
            <w:tcW w:w="1149" w:type="dxa"/>
            <w:tcBorders>
              <w:top w:val="nil"/>
              <w:left w:val="nil"/>
              <w:bottom w:val="nil"/>
              <w:right w:val="nil"/>
            </w:tcBorders>
            <w:shd w:val="clear" w:color="auto" w:fill="auto"/>
            <w:noWrap/>
            <w:vAlign w:val="bottom"/>
          </w:tcPr>
          <w:p w14:paraId="201725A5" w14:textId="77777777" w:rsidR="00896D15" w:rsidRPr="00872B32" w:rsidRDefault="00896D15" w:rsidP="008C54E8">
            <w:pPr>
              <w:snapToGrid w:val="0"/>
              <w:spacing w:line="360" w:lineRule="auto"/>
              <w:jc w:val="both"/>
              <w:rPr>
                <w:rFonts w:ascii="Book Antiqua" w:hAnsi="Book Antiqua"/>
                <w:b/>
                <w:color w:val="000000"/>
                <w:lang w:val="it-IT" w:eastAsia="it-IT"/>
              </w:rPr>
            </w:pPr>
          </w:p>
        </w:tc>
        <w:tc>
          <w:tcPr>
            <w:tcW w:w="2313" w:type="dxa"/>
            <w:gridSpan w:val="3"/>
            <w:tcBorders>
              <w:top w:val="nil"/>
              <w:left w:val="nil"/>
              <w:right w:val="nil"/>
            </w:tcBorders>
            <w:shd w:val="clear" w:color="auto" w:fill="auto"/>
            <w:noWrap/>
            <w:vAlign w:val="center"/>
          </w:tcPr>
          <w:p w14:paraId="2D5E2EC2" w14:textId="77777777" w:rsidR="00441707" w:rsidRDefault="00441707" w:rsidP="008C54E8">
            <w:pPr>
              <w:snapToGrid w:val="0"/>
              <w:spacing w:line="360" w:lineRule="auto"/>
              <w:jc w:val="both"/>
              <w:rPr>
                <w:rFonts w:ascii="Book Antiqua" w:hAnsi="Book Antiqua"/>
                <w:b/>
                <w:color w:val="000000"/>
                <w:lang w:val="it-IT" w:eastAsia="it-IT"/>
              </w:rPr>
            </w:pPr>
          </w:p>
          <w:p w14:paraId="330BF280" w14:textId="5896F020" w:rsidR="00896D15" w:rsidRPr="00872B32" w:rsidRDefault="00441707" w:rsidP="008C54E8">
            <w:pPr>
              <w:snapToGrid w:val="0"/>
              <w:spacing w:line="360" w:lineRule="auto"/>
              <w:jc w:val="both"/>
              <w:rPr>
                <w:rFonts w:ascii="Book Antiqua" w:hAnsi="Book Antiqua"/>
                <w:b/>
                <w:color w:val="000000"/>
                <w:lang w:val="it-IT" w:eastAsia="it-IT"/>
              </w:rPr>
            </w:pPr>
            <w:r>
              <w:rPr>
                <w:rFonts w:ascii="Book Antiqua" w:hAnsi="Book Antiqua"/>
                <w:b/>
                <w:color w:val="000000"/>
                <w:lang w:val="it-IT" w:eastAsia="it-IT"/>
              </w:rPr>
              <w:t>AS</w:t>
            </w:r>
          </w:p>
        </w:tc>
        <w:tc>
          <w:tcPr>
            <w:tcW w:w="2313" w:type="dxa"/>
            <w:gridSpan w:val="3"/>
            <w:tcBorders>
              <w:top w:val="nil"/>
              <w:left w:val="nil"/>
              <w:right w:val="nil"/>
            </w:tcBorders>
            <w:shd w:val="clear" w:color="auto" w:fill="auto"/>
            <w:noWrap/>
            <w:vAlign w:val="center"/>
          </w:tcPr>
          <w:p w14:paraId="6C62DDE2"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476" w:type="dxa"/>
            <w:gridSpan w:val="3"/>
            <w:tcBorders>
              <w:top w:val="nil"/>
              <w:left w:val="nil"/>
              <w:right w:val="nil"/>
            </w:tcBorders>
            <w:shd w:val="clear" w:color="auto" w:fill="auto"/>
            <w:noWrap/>
            <w:vAlign w:val="center"/>
          </w:tcPr>
          <w:p w14:paraId="27E70896"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200" w:type="dxa"/>
            <w:tcBorders>
              <w:top w:val="nil"/>
              <w:left w:val="nil"/>
              <w:right w:val="nil"/>
            </w:tcBorders>
            <w:shd w:val="clear" w:color="auto" w:fill="auto"/>
            <w:noWrap/>
          </w:tcPr>
          <w:p w14:paraId="6541221B" w14:textId="77777777" w:rsidR="00896D15" w:rsidRPr="00872B32" w:rsidRDefault="00896D15" w:rsidP="008C54E8">
            <w:pPr>
              <w:snapToGrid w:val="0"/>
              <w:spacing w:line="360" w:lineRule="auto"/>
              <w:jc w:val="both"/>
              <w:rPr>
                <w:rFonts w:ascii="Book Antiqua" w:eastAsia="Calibri" w:hAnsi="Book Antiqua"/>
                <w:color w:val="000000"/>
                <w:lang w:val="it-IT"/>
              </w:rPr>
            </w:pPr>
          </w:p>
        </w:tc>
      </w:tr>
      <w:tr w:rsidR="00C808A0" w:rsidRPr="00872B32" w14:paraId="2FD11896" w14:textId="77777777" w:rsidTr="008C54E8">
        <w:trPr>
          <w:gridBefore w:val="1"/>
          <w:gridAfter w:val="1"/>
          <w:wBefore w:w="142" w:type="dxa"/>
          <w:wAfter w:w="300" w:type="dxa"/>
          <w:trHeight w:val="79"/>
        </w:trPr>
        <w:tc>
          <w:tcPr>
            <w:tcW w:w="260" w:type="dxa"/>
            <w:tcBorders>
              <w:top w:val="nil"/>
              <w:left w:val="nil"/>
              <w:bottom w:val="nil"/>
              <w:right w:val="nil"/>
            </w:tcBorders>
            <w:shd w:val="clear" w:color="auto" w:fill="auto"/>
            <w:noWrap/>
            <w:vAlign w:val="bottom"/>
            <w:hideMark/>
          </w:tcPr>
          <w:p w14:paraId="67BDE6E1"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7B4F2A4A"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14:paraId="27164FF2"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14:paraId="1E05C285"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center"/>
            <w:hideMark/>
          </w:tcPr>
          <w:p w14:paraId="5E04265B"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14:paraId="60405A2E"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14:paraId="1FD090D9"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center"/>
            <w:hideMark/>
          </w:tcPr>
          <w:p w14:paraId="1F518B28"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14:paraId="16544B76"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14:paraId="3ADF9DBF"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14:paraId="2FB384D9"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200" w:type="dxa"/>
            <w:tcBorders>
              <w:top w:val="nil"/>
              <w:left w:val="nil"/>
              <w:bottom w:val="nil"/>
              <w:right w:val="nil"/>
            </w:tcBorders>
            <w:shd w:val="clear" w:color="auto" w:fill="auto"/>
            <w:noWrap/>
            <w:vAlign w:val="bottom"/>
            <w:hideMark/>
          </w:tcPr>
          <w:p w14:paraId="14FC5838" w14:textId="77777777" w:rsidR="00896D15" w:rsidRPr="00872B32" w:rsidRDefault="00896D15" w:rsidP="008C54E8">
            <w:pPr>
              <w:snapToGrid w:val="0"/>
              <w:spacing w:line="360" w:lineRule="auto"/>
              <w:jc w:val="both"/>
              <w:rPr>
                <w:rFonts w:ascii="Book Antiqua" w:hAnsi="Book Antiqua"/>
                <w:color w:val="000000"/>
                <w:lang w:val="it-IT" w:eastAsia="it-IT"/>
              </w:rPr>
            </w:pPr>
          </w:p>
        </w:tc>
      </w:tr>
      <w:tr w:rsidR="00C808A0" w:rsidRPr="00872B32" w14:paraId="7C4A727D"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03A90DD5"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078467F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Trx1</w:t>
            </w:r>
          </w:p>
        </w:tc>
        <w:tc>
          <w:tcPr>
            <w:tcW w:w="1102" w:type="dxa"/>
            <w:tcBorders>
              <w:top w:val="nil"/>
              <w:left w:val="nil"/>
              <w:bottom w:val="nil"/>
              <w:right w:val="nil"/>
            </w:tcBorders>
            <w:shd w:val="clear" w:color="auto" w:fill="auto"/>
            <w:noWrap/>
            <w:vAlign w:val="bottom"/>
            <w:hideMark/>
          </w:tcPr>
          <w:p w14:paraId="7D95426C"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649.5</w:t>
            </w:r>
          </w:p>
        </w:tc>
        <w:tc>
          <w:tcPr>
            <w:tcW w:w="272" w:type="dxa"/>
            <w:tcBorders>
              <w:top w:val="nil"/>
              <w:left w:val="nil"/>
              <w:bottom w:val="nil"/>
              <w:right w:val="nil"/>
            </w:tcBorders>
            <w:shd w:val="clear" w:color="auto" w:fill="auto"/>
            <w:noWrap/>
            <w:vAlign w:val="bottom"/>
            <w:hideMark/>
          </w:tcPr>
          <w:p w14:paraId="6222255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52FE6679"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60.6</w:t>
            </w:r>
          </w:p>
        </w:tc>
        <w:tc>
          <w:tcPr>
            <w:tcW w:w="1102" w:type="dxa"/>
            <w:tcBorders>
              <w:top w:val="nil"/>
              <w:left w:val="nil"/>
              <w:bottom w:val="nil"/>
              <w:right w:val="nil"/>
            </w:tcBorders>
            <w:shd w:val="clear" w:color="auto" w:fill="auto"/>
            <w:noWrap/>
            <w:vAlign w:val="bottom"/>
            <w:hideMark/>
          </w:tcPr>
          <w:p w14:paraId="04AE05D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637.9</w:t>
            </w:r>
          </w:p>
        </w:tc>
        <w:tc>
          <w:tcPr>
            <w:tcW w:w="272" w:type="dxa"/>
            <w:tcBorders>
              <w:top w:val="nil"/>
              <w:left w:val="nil"/>
              <w:bottom w:val="nil"/>
              <w:right w:val="nil"/>
            </w:tcBorders>
            <w:shd w:val="clear" w:color="auto" w:fill="auto"/>
            <w:noWrap/>
            <w:vAlign w:val="bottom"/>
            <w:hideMark/>
          </w:tcPr>
          <w:p w14:paraId="23224FA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7655EDD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112.7</w:t>
            </w:r>
          </w:p>
        </w:tc>
        <w:tc>
          <w:tcPr>
            <w:tcW w:w="1102" w:type="dxa"/>
            <w:tcBorders>
              <w:top w:val="nil"/>
              <w:left w:val="nil"/>
              <w:bottom w:val="nil"/>
              <w:right w:val="nil"/>
            </w:tcBorders>
            <w:shd w:val="clear" w:color="auto" w:fill="auto"/>
            <w:noWrap/>
            <w:vAlign w:val="bottom"/>
            <w:hideMark/>
          </w:tcPr>
          <w:p w14:paraId="599231D6"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656.7</w:t>
            </w:r>
          </w:p>
        </w:tc>
        <w:tc>
          <w:tcPr>
            <w:tcW w:w="272" w:type="dxa"/>
            <w:tcBorders>
              <w:top w:val="nil"/>
              <w:left w:val="nil"/>
              <w:bottom w:val="nil"/>
              <w:right w:val="nil"/>
            </w:tcBorders>
            <w:shd w:val="clear" w:color="auto" w:fill="auto"/>
            <w:noWrap/>
            <w:vAlign w:val="bottom"/>
            <w:hideMark/>
          </w:tcPr>
          <w:p w14:paraId="588ECBC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792BDCB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75.5</w:t>
            </w:r>
          </w:p>
        </w:tc>
        <w:tc>
          <w:tcPr>
            <w:tcW w:w="2200" w:type="dxa"/>
            <w:tcBorders>
              <w:top w:val="nil"/>
              <w:left w:val="nil"/>
              <w:bottom w:val="nil"/>
              <w:right w:val="nil"/>
            </w:tcBorders>
            <w:shd w:val="clear" w:color="auto" w:fill="auto"/>
            <w:noWrap/>
            <w:vAlign w:val="bottom"/>
            <w:hideMark/>
          </w:tcPr>
          <w:p w14:paraId="22BE5EE0"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693FAA19"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F1731AD"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47D994E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RTrx1</w:t>
            </w:r>
          </w:p>
        </w:tc>
        <w:tc>
          <w:tcPr>
            <w:tcW w:w="1102" w:type="dxa"/>
            <w:tcBorders>
              <w:top w:val="nil"/>
              <w:left w:val="nil"/>
              <w:bottom w:val="nil"/>
              <w:right w:val="nil"/>
            </w:tcBorders>
            <w:shd w:val="clear" w:color="auto" w:fill="auto"/>
            <w:noWrap/>
            <w:vAlign w:val="bottom"/>
            <w:hideMark/>
          </w:tcPr>
          <w:p w14:paraId="0131968B"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3.24</w:t>
            </w:r>
          </w:p>
        </w:tc>
        <w:tc>
          <w:tcPr>
            <w:tcW w:w="272" w:type="dxa"/>
            <w:tcBorders>
              <w:top w:val="nil"/>
              <w:left w:val="nil"/>
              <w:bottom w:val="nil"/>
              <w:right w:val="nil"/>
            </w:tcBorders>
            <w:shd w:val="clear" w:color="auto" w:fill="auto"/>
            <w:noWrap/>
            <w:vAlign w:val="bottom"/>
            <w:hideMark/>
          </w:tcPr>
          <w:p w14:paraId="6669104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7A3A14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0.27</w:t>
            </w:r>
          </w:p>
        </w:tc>
        <w:tc>
          <w:tcPr>
            <w:tcW w:w="1102" w:type="dxa"/>
            <w:tcBorders>
              <w:top w:val="nil"/>
              <w:left w:val="nil"/>
              <w:bottom w:val="nil"/>
              <w:right w:val="nil"/>
            </w:tcBorders>
            <w:shd w:val="clear" w:color="auto" w:fill="auto"/>
            <w:noWrap/>
            <w:vAlign w:val="bottom"/>
            <w:hideMark/>
          </w:tcPr>
          <w:p w14:paraId="0B6F32C2"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3.4</w:t>
            </w:r>
          </w:p>
        </w:tc>
        <w:tc>
          <w:tcPr>
            <w:tcW w:w="272" w:type="dxa"/>
            <w:tcBorders>
              <w:top w:val="nil"/>
              <w:left w:val="nil"/>
              <w:bottom w:val="nil"/>
              <w:right w:val="nil"/>
            </w:tcBorders>
            <w:shd w:val="clear" w:color="auto" w:fill="auto"/>
            <w:noWrap/>
            <w:vAlign w:val="bottom"/>
            <w:hideMark/>
          </w:tcPr>
          <w:p w14:paraId="43FAE9A9"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0BE2C02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0.4</w:t>
            </w:r>
          </w:p>
        </w:tc>
        <w:tc>
          <w:tcPr>
            <w:tcW w:w="1102" w:type="dxa"/>
            <w:tcBorders>
              <w:top w:val="nil"/>
              <w:left w:val="nil"/>
              <w:bottom w:val="nil"/>
              <w:right w:val="nil"/>
            </w:tcBorders>
            <w:shd w:val="clear" w:color="auto" w:fill="auto"/>
            <w:noWrap/>
            <w:vAlign w:val="bottom"/>
            <w:hideMark/>
          </w:tcPr>
          <w:p w14:paraId="14F358A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3.1</w:t>
            </w:r>
          </w:p>
        </w:tc>
        <w:tc>
          <w:tcPr>
            <w:tcW w:w="272" w:type="dxa"/>
            <w:tcBorders>
              <w:top w:val="nil"/>
              <w:left w:val="nil"/>
              <w:bottom w:val="nil"/>
              <w:right w:val="nil"/>
            </w:tcBorders>
            <w:shd w:val="clear" w:color="auto" w:fill="auto"/>
            <w:noWrap/>
            <w:vAlign w:val="bottom"/>
            <w:hideMark/>
          </w:tcPr>
          <w:p w14:paraId="569C3A5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4276B5E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0.37</w:t>
            </w:r>
          </w:p>
        </w:tc>
        <w:tc>
          <w:tcPr>
            <w:tcW w:w="2200" w:type="dxa"/>
            <w:tcBorders>
              <w:top w:val="nil"/>
              <w:left w:val="nil"/>
              <w:bottom w:val="nil"/>
              <w:right w:val="nil"/>
            </w:tcBorders>
            <w:shd w:val="clear" w:color="auto" w:fill="auto"/>
            <w:noWrap/>
            <w:vAlign w:val="bottom"/>
            <w:hideMark/>
          </w:tcPr>
          <w:p w14:paraId="5F2D55C1"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5F049C78"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A6D6AE1"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62AA25D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sCD30</w:t>
            </w:r>
          </w:p>
        </w:tc>
        <w:tc>
          <w:tcPr>
            <w:tcW w:w="1102" w:type="dxa"/>
            <w:tcBorders>
              <w:top w:val="nil"/>
              <w:left w:val="nil"/>
              <w:bottom w:val="nil"/>
              <w:right w:val="nil"/>
            </w:tcBorders>
            <w:shd w:val="clear" w:color="auto" w:fill="auto"/>
            <w:noWrap/>
            <w:vAlign w:val="bottom"/>
            <w:hideMark/>
          </w:tcPr>
          <w:p w14:paraId="347B46E2"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10.7</w:t>
            </w:r>
          </w:p>
        </w:tc>
        <w:tc>
          <w:tcPr>
            <w:tcW w:w="272" w:type="dxa"/>
            <w:tcBorders>
              <w:top w:val="nil"/>
              <w:left w:val="nil"/>
              <w:bottom w:val="nil"/>
              <w:right w:val="nil"/>
            </w:tcBorders>
            <w:shd w:val="clear" w:color="auto" w:fill="auto"/>
            <w:noWrap/>
            <w:vAlign w:val="bottom"/>
            <w:hideMark/>
          </w:tcPr>
          <w:p w14:paraId="785B1D6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5A83AEF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w:t>
            </w:r>
          </w:p>
        </w:tc>
        <w:tc>
          <w:tcPr>
            <w:tcW w:w="1102" w:type="dxa"/>
            <w:tcBorders>
              <w:top w:val="nil"/>
              <w:left w:val="nil"/>
              <w:bottom w:val="nil"/>
              <w:right w:val="nil"/>
            </w:tcBorders>
            <w:shd w:val="clear" w:color="auto" w:fill="auto"/>
            <w:noWrap/>
            <w:vAlign w:val="bottom"/>
            <w:hideMark/>
          </w:tcPr>
          <w:p w14:paraId="08DC1C91"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8.5</w:t>
            </w:r>
          </w:p>
        </w:tc>
        <w:tc>
          <w:tcPr>
            <w:tcW w:w="272" w:type="dxa"/>
            <w:tcBorders>
              <w:top w:val="nil"/>
              <w:left w:val="nil"/>
              <w:bottom w:val="nil"/>
              <w:right w:val="nil"/>
            </w:tcBorders>
            <w:shd w:val="clear" w:color="auto" w:fill="auto"/>
            <w:noWrap/>
            <w:vAlign w:val="bottom"/>
            <w:hideMark/>
          </w:tcPr>
          <w:p w14:paraId="7F408A3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A02576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3.1</w:t>
            </w:r>
          </w:p>
        </w:tc>
        <w:tc>
          <w:tcPr>
            <w:tcW w:w="1102" w:type="dxa"/>
            <w:tcBorders>
              <w:top w:val="nil"/>
              <w:left w:val="nil"/>
              <w:bottom w:val="nil"/>
              <w:right w:val="nil"/>
            </w:tcBorders>
            <w:shd w:val="clear" w:color="auto" w:fill="auto"/>
            <w:noWrap/>
            <w:vAlign w:val="bottom"/>
            <w:hideMark/>
          </w:tcPr>
          <w:p w14:paraId="76DF45DB"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12.1</w:t>
            </w:r>
          </w:p>
        </w:tc>
        <w:tc>
          <w:tcPr>
            <w:tcW w:w="272" w:type="dxa"/>
            <w:tcBorders>
              <w:top w:val="nil"/>
              <w:left w:val="nil"/>
              <w:bottom w:val="nil"/>
              <w:right w:val="nil"/>
            </w:tcBorders>
            <w:shd w:val="clear" w:color="auto" w:fill="auto"/>
            <w:noWrap/>
            <w:vAlign w:val="bottom"/>
            <w:hideMark/>
          </w:tcPr>
          <w:p w14:paraId="6E87DB0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6CEB11D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3.7</w:t>
            </w:r>
          </w:p>
        </w:tc>
        <w:tc>
          <w:tcPr>
            <w:tcW w:w="2200" w:type="dxa"/>
            <w:tcBorders>
              <w:top w:val="nil"/>
              <w:left w:val="nil"/>
              <w:bottom w:val="nil"/>
              <w:right w:val="nil"/>
            </w:tcBorders>
            <w:shd w:val="clear" w:color="auto" w:fill="auto"/>
            <w:noWrap/>
            <w:vAlign w:val="bottom"/>
            <w:hideMark/>
          </w:tcPr>
          <w:p w14:paraId="1117F452"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14F2E336"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EF387A7"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6FA7E64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
          <w:p w14:paraId="173974F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24474.3</w:t>
            </w:r>
          </w:p>
        </w:tc>
        <w:tc>
          <w:tcPr>
            <w:tcW w:w="272" w:type="dxa"/>
            <w:tcBorders>
              <w:top w:val="nil"/>
              <w:left w:val="nil"/>
              <w:bottom w:val="nil"/>
              <w:right w:val="nil"/>
            </w:tcBorders>
            <w:shd w:val="clear" w:color="auto" w:fill="auto"/>
            <w:noWrap/>
            <w:vAlign w:val="bottom"/>
            <w:hideMark/>
          </w:tcPr>
          <w:p w14:paraId="12487B9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01BA76F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665.8</w:t>
            </w:r>
          </w:p>
        </w:tc>
        <w:tc>
          <w:tcPr>
            <w:tcW w:w="1102" w:type="dxa"/>
            <w:tcBorders>
              <w:top w:val="nil"/>
              <w:left w:val="nil"/>
              <w:bottom w:val="nil"/>
              <w:right w:val="nil"/>
            </w:tcBorders>
            <w:shd w:val="clear" w:color="auto" w:fill="auto"/>
            <w:noWrap/>
            <w:vAlign w:val="bottom"/>
            <w:hideMark/>
          </w:tcPr>
          <w:p w14:paraId="6971FE00"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25050.0</w:t>
            </w:r>
          </w:p>
        </w:tc>
        <w:tc>
          <w:tcPr>
            <w:tcW w:w="272" w:type="dxa"/>
            <w:tcBorders>
              <w:top w:val="nil"/>
              <w:left w:val="nil"/>
              <w:bottom w:val="nil"/>
              <w:right w:val="nil"/>
            </w:tcBorders>
            <w:shd w:val="clear" w:color="auto" w:fill="auto"/>
            <w:noWrap/>
            <w:vAlign w:val="bottom"/>
            <w:hideMark/>
          </w:tcPr>
          <w:p w14:paraId="552A28E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4D70342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1582.4</w:t>
            </w:r>
          </w:p>
        </w:tc>
        <w:tc>
          <w:tcPr>
            <w:tcW w:w="1102" w:type="dxa"/>
            <w:tcBorders>
              <w:top w:val="nil"/>
              <w:left w:val="nil"/>
              <w:bottom w:val="nil"/>
              <w:right w:val="nil"/>
            </w:tcBorders>
            <w:shd w:val="clear" w:color="auto" w:fill="auto"/>
            <w:noWrap/>
            <w:vAlign w:val="bottom"/>
            <w:hideMark/>
          </w:tcPr>
          <w:p w14:paraId="648CCCB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24114.5</w:t>
            </w:r>
          </w:p>
        </w:tc>
        <w:tc>
          <w:tcPr>
            <w:tcW w:w="272" w:type="dxa"/>
            <w:tcBorders>
              <w:top w:val="nil"/>
              <w:left w:val="nil"/>
              <w:bottom w:val="nil"/>
              <w:right w:val="nil"/>
            </w:tcBorders>
            <w:shd w:val="clear" w:color="auto" w:fill="auto"/>
            <w:noWrap/>
            <w:vAlign w:val="bottom"/>
            <w:hideMark/>
          </w:tcPr>
          <w:p w14:paraId="0897B7C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3F71C82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540.8</w:t>
            </w:r>
          </w:p>
        </w:tc>
        <w:tc>
          <w:tcPr>
            <w:tcW w:w="2200" w:type="dxa"/>
            <w:tcBorders>
              <w:top w:val="nil"/>
              <w:left w:val="nil"/>
              <w:bottom w:val="nil"/>
              <w:right w:val="nil"/>
            </w:tcBorders>
            <w:shd w:val="clear" w:color="auto" w:fill="auto"/>
            <w:noWrap/>
            <w:vAlign w:val="bottom"/>
            <w:hideMark/>
          </w:tcPr>
          <w:p w14:paraId="0B173903"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7817F56F"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5034E28"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2ADA2F9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
          <w:p w14:paraId="0F5FC21E"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39.9</w:t>
            </w:r>
          </w:p>
        </w:tc>
        <w:tc>
          <w:tcPr>
            <w:tcW w:w="272" w:type="dxa"/>
            <w:tcBorders>
              <w:top w:val="nil"/>
              <w:left w:val="nil"/>
              <w:bottom w:val="nil"/>
              <w:right w:val="nil"/>
            </w:tcBorders>
            <w:shd w:val="clear" w:color="auto" w:fill="auto"/>
            <w:noWrap/>
            <w:vAlign w:val="bottom"/>
            <w:hideMark/>
          </w:tcPr>
          <w:p w14:paraId="67A6B6B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01BC5EB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23.5</w:t>
            </w:r>
          </w:p>
        </w:tc>
        <w:tc>
          <w:tcPr>
            <w:tcW w:w="1102" w:type="dxa"/>
            <w:tcBorders>
              <w:top w:val="nil"/>
              <w:left w:val="nil"/>
              <w:bottom w:val="nil"/>
              <w:right w:val="nil"/>
            </w:tcBorders>
            <w:shd w:val="clear" w:color="auto" w:fill="auto"/>
            <w:noWrap/>
            <w:vAlign w:val="bottom"/>
            <w:hideMark/>
          </w:tcPr>
          <w:p w14:paraId="3289D929"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19.2</w:t>
            </w:r>
          </w:p>
        </w:tc>
        <w:tc>
          <w:tcPr>
            <w:tcW w:w="272" w:type="dxa"/>
            <w:tcBorders>
              <w:top w:val="nil"/>
              <w:left w:val="nil"/>
              <w:bottom w:val="nil"/>
              <w:right w:val="nil"/>
            </w:tcBorders>
            <w:shd w:val="clear" w:color="auto" w:fill="auto"/>
            <w:noWrap/>
            <w:vAlign w:val="bottom"/>
            <w:hideMark/>
          </w:tcPr>
          <w:p w14:paraId="6D5CD57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1D75D90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w:t>
            </w:r>
          </w:p>
        </w:tc>
        <w:tc>
          <w:tcPr>
            <w:tcW w:w="1102" w:type="dxa"/>
            <w:tcBorders>
              <w:top w:val="nil"/>
              <w:left w:val="nil"/>
              <w:bottom w:val="nil"/>
              <w:right w:val="nil"/>
            </w:tcBorders>
            <w:shd w:val="clear" w:color="auto" w:fill="auto"/>
            <w:noWrap/>
            <w:vAlign w:val="bottom"/>
            <w:hideMark/>
          </w:tcPr>
          <w:p w14:paraId="4D12934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52.8</w:t>
            </w:r>
          </w:p>
        </w:tc>
        <w:tc>
          <w:tcPr>
            <w:tcW w:w="272" w:type="dxa"/>
            <w:tcBorders>
              <w:top w:val="nil"/>
              <w:left w:val="nil"/>
              <w:bottom w:val="nil"/>
              <w:right w:val="nil"/>
            </w:tcBorders>
            <w:shd w:val="clear" w:color="auto" w:fill="auto"/>
            <w:noWrap/>
            <w:vAlign w:val="bottom"/>
            <w:hideMark/>
          </w:tcPr>
          <w:p w14:paraId="5CA86F5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44C556E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38.4</w:t>
            </w:r>
          </w:p>
        </w:tc>
        <w:tc>
          <w:tcPr>
            <w:tcW w:w="2200" w:type="dxa"/>
            <w:tcBorders>
              <w:top w:val="nil"/>
              <w:left w:val="nil"/>
              <w:bottom w:val="nil"/>
              <w:right w:val="nil"/>
            </w:tcBorders>
            <w:shd w:val="clear" w:color="auto" w:fill="auto"/>
            <w:noWrap/>
            <w:vAlign w:val="bottom"/>
            <w:hideMark/>
          </w:tcPr>
          <w:p w14:paraId="61A4532E"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62DDD9CF"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A2F887A"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1C93928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
          <w:p w14:paraId="646A0A1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98.3</w:t>
            </w:r>
          </w:p>
        </w:tc>
        <w:tc>
          <w:tcPr>
            <w:tcW w:w="272" w:type="dxa"/>
            <w:tcBorders>
              <w:top w:val="nil"/>
              <w:left w:val="nil"/>
              <w:bottom w:val="nil"/>
              <w:right w:val="nil"/>
            </w:tcBorders>
            <w:shd w:val="clear" w:color="auto" w:fill="auto"/>
            <w:noWrap/>
            <w:vAlign w:val="bottom"/>
            <w:hideMark/>
          </w:tcPr>
          <w:p w14:paraId="53119FD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62D0D1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17.5</w:t>
            </w:r>
          </w:p>
        </w:tc>
        <w:tc>
          <w:tcPr>
            <w:tcW w:w="1102" w:type="dxa"/>
            <w:tcBorders>
              <w:top w:val="nil"/>
              <w:left w:val="nil"/>
              <w:bottom w:val="nil"/>
              <w:right w:val="nil"/>
            </w:tcBorders>
            <w:shd w:val="clear" w:color="auto" w:fill="auto"/>
            <w:noWrap/>
            <w:vAlign w:val="bottom"/>
            <w:hideMark/>
          </w:tcPr>
          <w:p w14:paraId="695CD27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130.9</w:t>
            </w:r>
          </w:p>
        </w:tc>
        <w:tc>
          <w:tcPr>
            <w:tcW w:w="272" w:type="dxa"/>
            <w:tcBorders>
              <w:top w:val="nil"/>
              <w:left w:val="nil"/>
              <w:bottom w:val="nil"/>
              <w:right w:val="nil"/>
            </w:tcBorders>
            <w:shd w:val="clear" w:color="auto" w:fill="auto"/>
            <w:noWrap/>
            <w:vAlign w:val="bottom"/>
            <w:hideMark/>
          </w:tcPr>
          <w:p w14:paraId="29043E7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22DDE78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35.3</w:t>
            </w:r>
          </w:p>
        </w:tc>
        <w:tc>
          <w:tcPr>
            <w:tcW w:w="1102" w:type="dxa"/>
            <w:tcBorders>
              <w:top w:val="nil"/>
              <w:left w:val="nil"/>
              <w:bottom w:val="nil"/>
              <w:right w:val="nil"/>
            </w:tcBorders>
            <w:shd w:val="clear" w:color="auto" w:fill="auto"/>
            <w:noWrap/>
            <w:vAlign w:val="bottom"/>
            <w:hideMark/>
          </w:tcPr>
          <w:p w14:paraId="3608D128"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78.0</w:t>
            </w:r>
          </w:p>
        </w:tc>
        <w:tc>
          <w:tcPr>
            <w:tcW w:w="272" w:type="dxa"/>
            <w:tcBorders>
              <w:top w:val="nil"/>
              <w:left w:val="nil"/>
              <w:bottom w:val="nil"/>
              <w:right w:val="nil"/>
            </w:tcBorders>
            <w:shd w:val="clear" w:color="auto" w:fill="auto"/>
            <w:noWrap/>
            <w:vAlign w:val="bottom"/>
            <w:hideMark/>
          </w:tcPr>
          <w:p w14:paraId="0B4CC99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1BDD97F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16.1</w:t>
            </w:r>
          </w:p>
        </w:tc>
        <w:tc>
          <w:tcPr>
            <w:tcW w:w="2200" w:type="dxa"/>
            <w:tcBorders>
              <w:top w:val="nil"/>
              <w:left w:val="nil"/>
              <w:bottom w:val="nil"/>
              <w:right w:val="nil"/>
            </w:tcBorders>
            <w:shd w:val="clear" w:color="auto" w:fill="auto"/>
            <w:noWrap/>
            <w:vAlign w:val="bottom"/>
            <w:hideMark/>
          </w:tcPr>
          <w:p w14:paraId="1F1AD158"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73D2446C"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73F9C6EB"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505114B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
          <w:p w14:paraId="51948752"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25.5</w:t>
            </w:r>
          </w:p>
        </w:tc>
        <w:tc>
          <w:tcPr>
            <w:tcW w:w="272" w:type="dxa"/>
            <w:tcBorders>
              <w:top w:val="nil"/>
              <w:left w:val="nil"/>
              <w:bottom w:val="nil"/>
              <w:right w:val="nil"/>
            </w:tcBorders>
            <w:shd w:val="clear" w:color="auto" w:fill="auto"/>
            <w:noWrap/>
            <w:vAlign w:val="bottom"/>
            <w:hideMark/>
          </w:tcPr>
          <w:p w14:paraId="4A1842A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1FC125A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4.5</w:t>
            </w:r>
          </w:p>
        </w:tc>
        <w:tc>
          <w:tcPr>
            <w:tcW w:w="1102" w:type="dxa"/>
            <w:tcBorders>
              <w:top w:val="nil"/>
              <w:left w:val="nil"/>
              <w:bottom w:val="nil"/>
              <w:right w:val="nil"/>
            </w:tcBorders>
            <w:shd w:val="clear" w:color="auto" w:fill="auto"/>
            <w:noWrap/>
            <w:vAlign w:val="bottom"/>
            <w:hideMark/>
          </w:tcPr>
          <w:p w14:paraId="4FCD7717"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15.2</w:t>
            </w:r>
          </w:p>
        </w:tc>
        <w:tc>
          <w:tcPr>
            <w:tcW w:w="272" w:type="dxa"/>
            <w:tcBorders>
              <w:top w:val="nil"/>
              <w:left w:val="nil"/>
              <w:bottom w:val="nil"/>
              <w:right w:val="nil"/>
            </w:tcBorders>
            <w:shd w:val="clear" w:color="auto" w:fill="auto"/>
            <w:noWrap/>
            <w:vAlign w:val="bottom"/>
            <w:hideMark/>
          </w:tcPr>
          <w:p w14:paraId="185E92E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7F35C6A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5.4</w:t>
            </w:r>
          </w:p>
        </w:tc>
        <w:tc>
          <w:tcPr>
            <w:tcW w:w="1102" w:type="dxa"/>
            <w:tcBorders>
              <w:top w:val="nil"/>
              <w:left w:val="nil"/>
              <w:bottom w:val="nil"/>
              <w:right w:val="nil"/>
            </w:tcBorders>
            <w:shd w:val="clear" w:color="auto" w:fill="auto"/>
            <w:noWrap/>
            <w:vAlign w:val="bottom"/>
            <w:hideMark/>
          </w:tcPr>
          <w:p w14:paraId="4D132413"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31.9</w:t>
            </w:r>
          </w:p>
        </w:tc>
        <w:tc>
          <w:tcPr>
            <w:tcW w:w="272" w:type="dxa"/>
            <w:tcBorders>
              <w:top w:val="nil"/>
              <w:left w:val="nil"/>
              <w:bottom w:val="nil"/>
              <w:right w:val="nil"/>
            </w:tcBorders>
            <w:shd w:val="clear" w:color="auto" w:fill="auto"/>
            <w:noWrap/>
            <w:vAlign w:val="bottom"/>
            <w:hideMark/>
          </w:tcPr>
          <w:p w14:paraId="725BCF4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472BE9F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5.5</w:t>
            </w:r>
          </w:p>
        </w:tc>
        <w:tc>
          <w:tcPr>
            <w:tcW w:w="2200" w:type="dxa"/>
            <w:tcBorders>
              <w:top w:val="nil"/>
              <w:left w:val="nil"/>
              <w:bottom w:val="nil"/>
              <w:right w:val="nil"/>
            </w:tcBorders>
            <w:shd w:val="clear" w:color="auto" w:fill="auto"/>
            <w:noWrap/>
            <w:vAlign w:val="bottom"/>
            <w:hideMark/>
          </w:tcPr>
          <w:p w14:paraId="7ABB0596"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22FFDEF8"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6497EA07"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32FA060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
          <w:p w14:paraId="3CC71610"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6.2</w:t>
            </w:r>
          </w:p>
        </w:tc>
        <w:tc>
          <w:tcPr>
            <w:tcW w:w="272" w:type="dxa"/>
            <w:tcBorders>
              <w:top w:val="nil"/>
              <w:left w:val="nil"/>
              <w:bottom w:val="nil"/>
              <w:right w:val="nil"/>
            </w:tcBorders>
            <w:shd w:val="clear" w:color="auto" w:fill="auto"/>
            <w:noWrap/>
            <w:vAlign w:val="bottom"/>
            <w:hideMark/>
          </w:tcPr>
          <w:p w14:paraId="3CA6288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4D6D65C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2.1</w:t>
            </w:r>
          </w:p>
        </w:tc>
        <w:tc>
          <w:tcPr>
            <w:tcW w:w="1102" w:type="dxa"/>
            <w:tcBorders>
              <w:top w:val="nil"/>
              <w:left w:val="nil"/>
              <w:bottom w:val="nil"/>
              <w:right w:val="nil"/>
            </w:tcBorders>
            <w:shd w:val="clear" w:color="auto" w:fill="auto"/>
            <w:noWrap/>
            <w:vAlign w:val="bottom"/>
            <w:hideMark/>
          </w:tcPr>
          <w:p w14:paraId="78E79AD3"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0.5</w:t>
            </w:r>
          </w:p>
        </w:tc>
        <w:tc>
          <w:tcPr>
            <w:tcW w:w="272" w:type="dxa"/>
            <w:tcBorders>
              <w:top w:val="nil"/>
              <w:left w:val="nil"/>
              <w:bottom w:val="nil"/>
              <w:right w:val="nil"/>
            </w:tcBorders>
            <w:shd w:val="clear" w:color="auto" w:fill="auto"/>
            <w:noWrap/>
            <w:vAlign w:val="bottom"/>
            <w:hideMark/>
          </w:tcPr>
          <w:p w14:paraId="682B8EA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A0D972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0.4</w:t>
            </w:r>
          </w:p>
        </w:tc>
        <w:tc>
          <w:tcPr>
            <w:tcW w:w="1102" w:type="dxa"/>
            <w:tcBorders>
              <w:top w:val="nil"/>
              <w:left w:val="nil"/>
              <w:bottom w:val="nil"/>
              <w:right w:val="nil"/>
            </w:tcBorders>
            <w:shd w:val="clear" w:color="auto" w:fill="auto"/>
            <w:noWrap/>
            <w:vAlign w:val="bottom"/>
            <w:hideMark/>
          </w:tcPr>
          <w:p w14:paraId="266BB8BD"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9.8</w:t>
            </w:r>
          </w:p>
        </w:tc>
        <w:tc>
          <w:tcPr>
            <w:tcW w:w="272" w:type="dxa"/>
            <w:tcBorders>
              <w:top w:val="nil"/>
              <w:left w:val="nil"/>
              <w:bottom w:val="nil"/>
              <w:right w:val="nil"/>
            </w:tcBorders>
            <w:shd w:val="clear" w:color="auto" w:fill="auto"/>
            <w:noWrap/>
            <w:vAlign w:val="bottom"/>
            <w:hideMark/>
          </w:tcPr>
          <w:p w14:paraId="0D9AE5C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0A6DE93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2.8</w:t>
            </w:r>
          </w:p>
        </w:tc>
        <w:tc>
          <w:tcPr>
            <w:tcW w:w="2200" w:type="dxa"/>
            <w:tcBorders>
              <w:top w:val="nil"/>
              <w:left w:val="nil"/>
              <w:bottom w:val="nil"/>
              <w:right w:val="nil"/>
            </w:tcBorders>
            <w:shd w:val="clear" w:color="auto" w:fill="auto"/>
            <w:noWrap/>
            <w:vAlign w:val="bottom"/>
            <w:hideMark/>
          </w:tcPr>
          <w:p w14:paraId="3597FE34"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14CDBA16"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D198DE9"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6865F7D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IL10</w:t>
            </w:r>
          </w:p>
        </w:tc>
        <w:tc>
          <w:tcPr>
            <w:tcW w:w="1102" w:type="dxa"/>
            <w:tcBorders>
              <w:top w:val="nil"/>
              <w:left w:val="nil"/>
              <w:bottom w:val="nil"/>
              <w:right w:val="nil"/>
            </w:tcBorders>
            <w:shd w:val="clear" w:color="auto" w:fill="auto"/>
            <w:noWrap/>
            <w:vAlign w:val="bottom"/>
            <w:hideMark/>
          </w:tcPr>
          <w:p w14:paraId="2AE2B96B"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7.1</w:t>
            </w:r>
          </w:p>
        </w:tc>
        <w:tc>
          <w:tcPr>
            <w:tcW w:w="272" w:type="dxa"/>
            <w:tcBorders>
              <w:top w:val="nil"/>
              <w:left w:val="nil"/>
              <w:bottom w:val="nil"/>
              <w:right w:val="nil"/>
            </w:tcBorders>
            <w:shd w:val="clear" w:color="auto" w:fill="auto"/>
            <w:noWrap/>
            <w:vAlign w:val="bottom"/>
            <w:hideMark/>
          </w:tcPr>
          <w:p w14:paraId="56F0196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540C8FD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0.9</w:t>
            </w:r>
          </w:p>
        </w:tc>
        <w:tc>
          <w:tcPr>
            <w:tcW w:w="1102" w:type="dxa"/>
            <w:tcBorders>
              <w:top w:val="nil"/>
              <w:left w:val="nil"/>
              <w:bottom w:val="nil"/>
              <w:right w:val="nil"/>
            </w:tcBorders>
            <w:shd w:val="clear" w:color="auto" w:fill="auto"/>
            <w:noWrap/>
            <w:vAlign w:val="bottom"/>
            <w:hideMark/>
          </w:tcPr>
          <w:p w14:paraId="00F60C43"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7.3</w:t>
            </w:r>
          </w:p>
        </w:tc>
        <w:tc>
          <w:tcPr>
            <w:tcW w:w="272" w:type="dxa"/>
            <w:tcBorders>
              <w:top w:val="nil"/>
              <w:left w:val="nil"/>
              <w:bottom w:val="nil"/>
              <w:right w:val="nil"/>
            </w:tcBorders>
            <w:shd w:val="clear" w:color="auto" w:fill="auto"/>
            <w:noWrap/>
            <w:vAlign w:val="bottom"/>
            <w:hideMark/>
          </w:tcPr>
          <w:p w14:paraId="7A4116D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2E153DC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2.1</w:t>
            </w:r>
          </w:p>
        </w:tc>
        <w:tc>
          <w:tcPr>
            <w:tcW w:w="1102" w:type="dxa"/>
            <w:tcBorders>
              <w:top w:val="nil"/>
              <w:left w:val="nil"/>
              <w:bottom w:val="nil"/>
              <w:right w:val="nil"/>
            </w:tcBorders>
            <w:shd w:val="clear" w:color="auto" w:fill="auto"/>
            <w:noWrap/>
            <w:vAlign w:val="bottom"/>
            <w:hideMark/>
          </w:tcPr>
          <w:p w14:paraId="7FEF9EE1"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6.9</w:t>
            </w:r>
          </w:p>
        </w:tc>
        <w:tc>
          <w:tcPr>
            <w:tcW w:w="272" w:type="dxa"/>
            <w:tcBorders>
              <w:top w:val="nil"/>
              <w:left w:val="nil"/>
              <w:bottom w:val="nil"/>
              <w:right w:val="nil"/>
            </w:tcBorders>
            <w:shd w:val="clear" w:color="auto" w:fill="auto"/>
            <w:noWrap/>
            <w:vAlign w:val="bottom"/>
            <w:hideMark/>
          </w:tcPr>
          <w:p w14:paraId="26AF28A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28B785E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
          <w:p w14:paraId="2397E234"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2DD802F1"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3368A5A0"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14:paraId="50A6B77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sIL2R</w:t>
            </w:r>
          </w:p>
        </w:tc>
        <w:tc>
          <w:tcPr>
            <w:tcW w:w="1102" w:type="dxa"/>
            <w:tcBorders>
              <w:top w:val="nil"/>
              <w:left w:val="nil"/>
              <w:right w:val="nil"/>
            </w:tcBorders>
            <w:shd w:val="clear" w:color="auto" w:fill="auto"/>
            <w:noWrap/>
            <w:vAlign w:val="bottom"/>
            <w:hideMark/>
          </w:tcPr>
          <w:p w14:paraId="26D9A0A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295.9</w:t>
            </w:r>
          </w:p>
        </w:tc>
        <w:tc>
          <w:tcPr>
            <w:tcW w:w="272" w:type="dxa"/>
            <w:tcBorders>
              <w:top w:val="nil"/>
              <w:left w:val="nil"/>
              <w:right w:val="nil"/>
            </w:tcBorders>
            <w:shd w:val="clear" w:color="auto" w:fill="auto"/>
            <w:noWrap/>
            <w:vAlign w:val="bottom"/>
            <w:hideMark/>
          </w:tcPr>
          <w:p w14:paraId="05F6197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4D3CA7E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26.7</w:t>
            </w:r>
          </w:p>
        </w:tc>
        <w:tc>
          <w:tcPr>
            <w:tcW w:w="1102" w:type="dxa"/>
            <w:tcBorders>
              <w:top w:val="nil"/>
              <w:left w:val="nil"/>
              <w:right w:val="nil"/>
            </w:tcBorders>
            <w:shd w:val="clear" w:color="auto" w:fill="auto"/>
            <w:noWrap/>
            <w:vAlign w:val="bottom"/>
            <w:hideMark/>
          </w:tcPr>
          <w:p w14:paraId="2B030EE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285.6</w:t>
            </w:r>
          </w:p>
        </w:tc>
        <w:tc>
          <w:tcPr>
            <w:tcW w:w="272" w:type="dxa"/>
            <w:tcBorders>
              <w:top w:val="nil"/>
              <w:left w:val="nil"/>
              <w:right w:val="nil"/>
            </w:tcBorders>
            <w:shd w:val="clear" w:color="auto" w:fill="auto"/>
            <w:noWrap/>
            <w:vAlign w:val="bottom"/>
            <w:hideMark/>
          </w:tcPr>
          <w:p w14:paraId="2F60A68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29E0D89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50.2</w:t>
            </w:r>
          </w:p>
        </w:tc>
        <w:tc>
          <w:tcPr>
            <w:tcW w:w="1102" w:type="dxa"/>
            <w:tcBorders>
              <w:top w:val="nil"/>
              <w:left w:val="nil"/>
              <w:right w:val="nil"/>
            </w:tcBorders>
            <w:shd w:val="clear" w:color="auto" w:fill="auto"/>
            <w:noWrap/>
            <w:vAlign w:val="bottom"/>
            <w:hideMark/>
          </w:tcPr>
          <w:p w14:paraId="31E0F883"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302.3</w:t>
            </w:r>
          </w:p>
        </w:tc>
        <w:tc>
          <w:tcPr>
            <w:tcW w:w="272" w:type="dxa"/>
            <w:tcBorders>
              <w:top w:val="nil"/>
              <w:left w:val="nil"/>
              <w:right w:val="nil"/>
            </w:tcBorders>
            <w:shd w:val="clear" w:color="auto" w:fill="auto"/>
            <w:noWrap/>
            <w:vAlign w:val="bottom"/>
            <w:hideMark/>
          </w:tcPr>
          <w:p w14:paraId="1EAA782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14:paraId="0CD063B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32.7</w:t>
            </w:r>
          </w:p>
        </w:tc>
        <w:tc>
          <w:tcPr>
            <w:tcW w:w="2200" w:type="dxa"/>
            <w:tcBorders>
              <w:top w:val="nil"/>
              <w:left w:val="nil"/>
              <w:right w:val="nil"/>
            </w:tcBorders>
            <w:shd w:val="clear" w:color="auto" w:fill="auto"/>
            <w:noWrap/>
            <w:vAlign w:val="bottom"/>
            <w:hideMark/>
          </w:tcPr>
          <w:p w14:paraId="318DF40A"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419D308F" w14:textId="77777777" w:rsidTr="008C54E8">
        <w:trPr>
          <w:gridBefore w:val="1"/>
          <w:gridAfter w:val="1"/>
          <w:wBefore w:w="142" w:type="dxa"/>
          <w:wAfter w:w="300" w:type="dxa"/>
          <w:trHeight w:val="315"/>
        </w:trPr>
        <w:tc>
          <w:tcPr>
            <w:tcW w:w="260" w:type="dxa"/>
            <w:tcBorders>
              <w:top w:val="nil"/>
              <w:left w:val="nil"/>
              <w:right w:val="nil"/>
            </w:tcBorders>
            <w:shd w:val="clear" w:color="auto" w:fill="auto"/>
            <w:noWrap/>
            <w:vAlign w:val="bottom"/>
            <w:hideMark/>
          </w:tcPr>
          <w:p w14:paraId="52F5B330"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14:paraId="36E817E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sIL6R</w:t>
            </w:r>
          </w:p>
        </w:tc>
        <w:tc>
          <w:tcPr>
            <w:tcW w:w="1102" w:type="dxa"/>
            <w:tcBorders>
              <w:top w:val="nil"/>
              <w:left w:val="nil"/>
              <w:right w:val="nil"/>
            </w:tcBorders>
            <w:shd w:val="clear" w:color="auto" w:fill="auto"/>
            <w:noWrap/>
            <w:vAlign w:val="bottom"/>
            <w:hideMark/>
          </w:tcPr>
          <w:p w14:paraId="00E995C5"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146.2</w:t>
            </w:r>
          </w:p>
        </w:tc>
        <w:tc>
          <w:tcPr>
            <w:tcW w:w="272" w:type="dxa"/>
            <w:tcBorders>
              <w:top w:val="nil"/>
              <w:left w:val="nil"/>
              <w:right w:val="nil"/>
            </w:tcBorders>
            <w:shd w:val="clear" w:color="auto" w:fill="auto"/>
            <w:noWrap/>
            <w:vAlign w:val="bottom"/>
            <w:hideMark/>
          </w:tcPr>
          <w:p w14:paraId="1C23576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12DD8E3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11.2</w:t>
            </w:r>
          </w:p>
        </w:tc>
        <w:tc>
          <w:tcPr>
            <w:tcW w:w="1102" w:type="dxa"/>
            <w:tcBorders>
              <w:top w:val="nil"/>
              <w:left w:val="nil"/>
              <w:right w:val="nil"/>
            </w:tcBorders>
            <w:shd w:val="clear" w:color="auto" w:fill="auto"/>
            <w:noWrap/>
            <w:vAlign w:val="bottom"/>
            <w:hideMark/>
          </w:tcPr>
          <w:p w14:paraId="58A4EFD6"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154.9</w:t>
            </w:r>
          </w:p>
        </w:tc>
        <w:tc>
          <w:tcPr>
            <w:tcW w:w="272" w:type="dxa"/>
            <w:tcBorders>
              <w:top w:val="nil"/>
              <w:left w:val="nil"/>
              <w:right w:val="nil"/>
            </w:tcBorders>
            <w:shd w:val="clear" w:color="auto" w:fill="auto"/>
            <w:noWrap/>
            <w:vAlign w:val="bottom"/>
            <w:hideMark/>
          </w:tcPr>
          <w:p w14:paraId="4A91DAD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58864B0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20.2</w:t>
            </w:r>
          </w:p>
        </w:tc>
        <w:tc>
          <w:tcPr>
            <w:tcW w:w="1102" w:type="dxa"/>
            <w:tcBorders>
              <w:top w:val="nil"/>
              <w:left w:val="nil"/>
              <w:right w:val="nil"/>
            </w:tcBorders>
            <w:shd w:val="clear" w:color="auto" w:fill="auto"/>
            <w:noWrap/>
            <w:vAlign w:val="bottom"/>
            <w:hideMark/>
          </w:tcPr>
          <w:p w14:paraId="32F8C686"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140.7</w:t>
            </w:r>
          </w:p>
        </w:tc>
        <w:tc>
          <w:tcPr>
            <w:tcW w:w="272" w:type="dxa"/>
            <w:tcBorders>
              <w:top w:val="nil"/>
              <w:left w:val="nil"/>
              <w:right w:val="nil"/>
            </w:tcBorders>
            <w:shd w:val="clear" w:color="auto" w:fill="auto"/>
            <w:noWrap/>
            <w:vAlign w:val="bottom"/>
            <w:hideMark/>
          </w:tcPr>
          <w:p w14:paraId="0CE4D60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14:paraId="41F2973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13.7</w:t>
            </w:r>
          </w:p>
        </w:tc>
        <w:tc>
          <w:tcPr>
            <w:tcW w:w="2200" w:type="dxa"/>
            <w:tcBorders>
              <w:top w:val="nil"/>
              <w:left w:val="nil"/>
              <w:right w:val="nil"/>
            </w:tcBorders>
            <w:shd w:val="clear" w:color="auto" w:fill="auto"/>
            <w:noWrap/>
            <w:vAlign w:val="bottom"/>
            <w:hideMark/>
          </w:tcPr>
          <w:p w14:paraId="12A0E5D1"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33BF4BF6" w14:textId="77777777" w:rsidTr="008C54E8">
        <w:trPr>
          <w:gridBefore w:val="1"/>
          <w:gridAfter w:val="1"/>
          <w:wBefore w:w="142" w:type="dxa"/>
          <w:wAfter w:w="300" w:type="dxa"/>
          <w:trHeight w:val="42"/>
        </w:trPr>
        <w:tc>
          <w:tcPr>
            <w:tcW w:w="260" w:type="dxa"/>
            <w:tcBorders>
              <w:top w:val="nil"/>
              <w:left w:val="nil"/>
              <w:right w:val="nil"/>
            </w:tcBorders>
            <w:shd w:val="clear" w:color="auto" w:fill="auto"/>
            <w:noWrap/>
            <w:vAlign w:val="bottom"/>
            <w:hideMark/>
          </w:tcPr>
          <w:p w14:paraId="465CA92D"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14:paraId="6BD30B45"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right w:val="nil"/>
            </w:tcBorders>
            <w:shd w:val="clear" w:color="auto" w:fill="auto"/>
            <w:noWrap/>
            <w:vAlign w:val="bottom"/>
            <w:hideMark/>
          </w:tcPr>
          <w:p w14:paraId="1A6453CC"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right w:val="nil"/>
            </w:tcBorders>
            <w:shd w:val="clear" w:color="auto" w:fill="auto"/>
            <w:noWrap/>
            <w:vAlign w:val="bottom"/>
            <w:hideMark/>
          </w:tcPr>
          <w:p w14:paraId="15EF8B29"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939" w:type="dxa"/>
            <w:tcBorders>
              <w:top w:val="nil"/>
              <w:left w:val="nil"/>
              <w:right w:val="nil"/>
            </w:tcBorders>
            <w:shd w:val="clear" w:color="auto" w:fill="auto"/>
            <w:noWrap/>
            <w:vAlign w:val="bottom"/>
            <w:hideMark/>
          </w:tcPr>
          <w:p w14:paraId="21BA5367"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right w:val="nil"/>
            </w:tcBorders>
            <w:shd w:val="clear" w:color="auto" w:fill="auto"/>
            <w:noWrap/>
            <w:vAlign w:val="bottom"/>
            <w:hideMark/>
          </w:tcPr>
          <w:p w14:paraId="041E500B"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right w:val="nil"/>
            </w:tcBorders>
            <w:shd w:val="clear" w:color="auto" w:fill="auto"/>
            <w:noWrap/>
            <w:vAlign w:val="bottom"/>
            <w:hideMark/>
          </w:tcPr>
          <w:p w14:paraId="19F15D43"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939" w:type="dxa"/>
            <w:tcBorders>
              <w:top w:val="nil"/>
              <w:left w:val="nil"/>
              <w:right w:val="nil"/>
            </w:tcBorders>
            <w:shd w:val="clear" w:color="auto" w:fill="auto"/>
            <w:noWrap/>
            <w:vAlign w:val="bottom"/>
            <w:hideMark/>
          </w:tcPr>
          <w:p w14:paraId="5B938DB5"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right w:val="nil"/>
            </w:tcBorders>
            <w:shd w:val="clear" w:color="auto" w:fill="auto"/>
            <w:noWrap/>
            <w:vAlign w:val="bottom"/>
            <w:hideMark/>
          </w:tcPr>
          <w:p w14:paraId="46B045B3"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right w:val="nil"/>
            </w:tcBorders>
            <w:shd w:val="clear" w:color="auto" w:fill="auto"/>
            <w:noWrap/>
            <w:vAlign w:val="bottom"/>
            <w:hideMark/>
          </w:tcPr>
          <w:p w14:paraId="736EC1E9"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right w:val="nil"/>
            </w:tcBorders>
            <w:shd w:val="clear" w:color="auto" w:fill="auto"/>
            <w:noWrap/>
            <w:vAlign w:val="bottom"/>
            <w:hideMark/>
          </w:tcPr>
          <w:p w14:paraId="7B11F855"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200" w:type="dxa"/>
            <w:tcBorders>
              <w:top w:val="nil"/>
              <w:left w:val="nil"/>
              <w:right w:val="nil"/>
            </w:tcBorders>
            <w:shd w:val="clear" w:color="auto" w:fill="auto"/>
            <w:noWrap/>
            <w:vAlign w:val="bottom"/>
            <w:hideMark/>
          </w:tcPr>
          <w:p w14:paraId="7B70DC45" w14:textId="77777777" w:rsidR="00896D15" w:rsidRPr="00872B32" w:rsidRDefault="00896D15" w:rsidP="008C54E8">
            <w:pPr>
              <w:snapToGrid w:val="0"/>
              <w:spacing w:line="360" w:lineRule="auto"/>
              <w:jc w:val="both"/>
              <w:rPr>
                <w:rFonts w:ascii="Book Antiqua" w:hAnsi="Book Antiqua"/>
                <w:color w:val="000000"/>
                <w:lang w:val="it-IT" w:eastAsia="it-IT"/>
              </w:rPr>
            </w:pPr>
          </w:p>
        </w:tc>
      </w:tr>
      <w:tr w:rsidR="00C808A0" w:rsidRPr="00872B32" w14:paraId="6D3B184A" w14:textId="77777777" w:rsidTr="008C54E8">
        <w:trPr>
          <w:gridBefore w:val="1"/>
          <w:gridAfter w:val="1"/>
          <w:wBefore w:w="142" w:type="dxa"/>
          <w:wAfter w:w="300" w:type="dxa"/>
          <w:trHeight w:val="259"/>
        </w:trPr>
        <w:tc>
          <w:tcPr>
            <w:tcW w:w="260" w:type="dxa"/>
            <w:tcBorders>
              <w:top w:val="nil"/>
              <w:left w:val="nil"/>
              <w:bottom w:val="nil"/>
              <w:right w:val="nil"/>
            </w:tcBorders>
            <w:shd w:val="clear" w:color="auto" w:fill="auto"/>
            <w:noWrap/>
            <w:vAlign w:val="bottom"/>
            <w:hideMark/>
          </w:tcPr>
          <w:p w14:paraId="4CD1F0D0"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14:paraId="2D102A3D" w14:textId="77777777" w:rsidR="00896D15" w:rsidRPr="00872B32" w:rsidRDefault="00896D15" w:rsidP="008C54E8">
            <w:pPr>
              <w:snapToGrid w:val="0"/>
              <w:spacing w:line="360" w:lineRule="auto"/>
              <w:jc w:val="both"/>
              <w:rPr>
                <w:rFonts w:ascii="Book Antiqua" w:hAnsi="Book Antiqua"/>
                <w:b/>
                <w:color w:val="000000"/>
                <w:lang w:val="it-IT" w:eastAsia="it-IT"/>
              </w:rPr>
            </w:pPr>
          </w:p>
          <w:p w14:paraId="6031355C" w14:textId="77777777" w:rsidR="00896D15" w:rsidRPr="00872B32" w:rsidRDefault="00896D15" w:rsidP="008C54E8">
            <w:pPr>
              <w:snapToGrid w:val="0"/>
              <w:spacing w:line="360" w:lineRule="auto"/>
              <w:jc w:val="both"/>
              <w:rPr>
                <w:rFonts w:ascii="Book Antiqua" w:hAnsi="Book Antiqua"/>
                <w:b/>
                <w:color w:val="000000"/>
                <w:lang w:val="it-IT" w:eastAsia="it-IT"/>
              </w:rPr>
            </w:pPr>
          </w:p>
        </w:tc>
        <w:tc>
          <w:tcPr>
            <w:tcW w:w="2313" w:type="dxa"/>
            <w:gridSpan w:val="3"/>
            <w:tcBorders>
              <w:top w:val="nil"/>
              <w:left w:val="nil"/>
              <w:right w:val="nil"/>
            </w:tcBorders>
            <w:shd w:val="clear" w:color="auto" w:fill="auto"/>
            <w:noWrap/>
            <w:vAlign w:val="center"/>
          </w:tcPr>
          <w:p w14:paraId="5AD8E409" w14:textId="77777777" w:rsidR="00896D15" w:rsidRPr="00872B32" w:rsidRDefault="00896D15" w:rsidP="008C54E8">
            <w:pPr>
              <w:snapToGrid w:val="0"/>
              <w:spacing w:line="360" w:lineRule="auto"/>
              <w:jc w:val="both"/>
              <w:rPr>
                <w:rFonts w:ascii="Book Antiqua" w:hAnsi="Book Antiqua"/>
                <w:b/>
                <w:color w:val="000000"/>
                <w:lang w:val="it-IT" w:eastAsia="it-IT"/>
              </w:rPr>
            </w:pPr>
            <w:r w:rsidRPr="00872B32">
              <w:rPr>
                <w:rFonts w:ascii="Book Antiqua" w:hAnsi="Book Antiqua"/>
                <w:b/>
                <w:color w:val="000000"/>
                <w:lang w:val="it-IT" w:eastAsia="it-IT"/>
              </w:rPr>
              <w:lastRenderedPageBreak/>
              <w:t>TP</w:t>
            </w:r>
          </w:p>
        </w:tc>
        <w:tc>
          <w:tcPr>
            <w:tcW w:w="2313" w:type="dxa"/>
            <w:gridSpan w:val="3"/>
            <w:tcBorders>
              <w:top w:val="nil"/>
              <w:left w:val="nil"/>
              <w:right w:val="nil"/>
            </w:tcBorders>
            <w:shd w:val="clear" w:color="auto" w:fill="auto"/>
            <w:noWrap/>
            <w:vAlign w:val="center"/>
          </w:tcPr>
          <w:p w14:paraId="4DB11066"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476" w:type="dxa"/>
            <w:gridSpan w:val="3"/>
            <w:tcBorders>
              <w:top w:val="nil"/>
              <w:left w:val="nil"/>
              <w:right w:val="nil"/>
            </w:tcBorders>
            <w:shd w:val="clear" w:color="auto" w:fill="auto"/>
            <w:noWrap/>
            <w:vAlign w:val="center"/>
          </w:tcPr>
          <w:p w14:paraId="1CCEFECF"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200" w:type="dxa"/>
            <w:tcBorders>
              <w:top w:val="nil"/>
              <w:left w:val="nil"/>
              <w:right w:val="nil"/>
            </w:tcBorders>
            <w:shd w:val="clear" w:color="auto" w:fill="auto"/>
            <w:noWrap/>
            <w:vAlign w:val="bottom"/>
          </w:tcPr>
          <w:p w14:paraId="4C12184D" w14:textId="77777777" w:rsidR="00896D15" w:rsidRPr="00872B32" w:rsidRDefault="00896D15" w:rsidP="008C54E8">
            <w:pPr>
              <w:snapToGrid w:val="0"/>
              <w:spacing w:line="360" w:lineRule="auto"/>
              <w:jc w:val="both"/>
              <w:rPr>
                <w:rFonts w:ascii="Book Antiqua" w:hAnsi="Book Antiqua"/>
                <w:color w:val="000000"/>
                <w:lang w:val="it-IT" w:eastAsia="it-IT"/>
              </w:rPr>
            </w:pPr>
          </w:p>
        </w:tc>
      </w:tr>
      <w:tr w:rsidR="00C808A0" w:rsidRPr="00872B32" w14:paraId="5CF209E5" w14:textId="77777777" w:rsidTr="008C54E8">
        <w:trPr>
          <w:gridBefore w:val="1"/>
          <w:gridAfter w:val="1"/>
          <w:wBefore w:w="142" w:type="dxa"/>
          <w:wAfter w:w="300" w:type="dxa"/>
          <w:trHeight w:val="79"/>
        </w:trPr>
        <w:tc>
          <w:tcPr>
            <w:tcW w:w="260" w:type="dxa"/>
            <w:tcBorders>
              <w:top w:val="nil"/>
              <w:left w:val="nil"/>
              <w:bottom w:val="nil"/>
              <w:right w:val="nil"/>
            </w:tcBorders>
            <w:shd w:val="clear" w:color="auto" w:fill="auto"/>
            <w:noWrap/>
            <w:vAlign w:val="bottom"/>
            <w:hideMark/>
          </w:tcPr>
          <w:p w14:paraId="0F1FB251"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4E088266"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14:paraId="377F6D01"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14:paraId="2E85930F"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center"/>
            <w:hideMark/>
          </w:tcPr>
          <w:p w14:paraId="55677C2B"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14:paraId="7E134FAA"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14:paraId="45E428FD"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center"/>
            <w:hideMark/>
          </w:tcPr>
          <w:p w14:paraId="5D05520B"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14:paraId="30294B8F"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14:paraId="3B448571"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14:paraId="4EC00762"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200" w:type="dxa"/>
            <w:tcBorders>
              <w:top w:val="nil"/>
              <w:left w:val="nil"/>
              <w:bottom w:val="nil"/>
              <w:right w:val="nil"/>
            </w:tcBorders>
            <w:shd w:val="clear" w:color="auto" w:fill="auto"/>
            <w:noWrap/>
            <w:vAlign w:val="bottom"/>
            <w:hideMark/>
          </w:tcPr>
          <w:p w14:paraId="37E81172" w14:textId="77777777" w:rsidR="00896D15" w:rsidRPr="00872B32" w:rsidRDefault="00896D15" w:rsidP="008C54E8">
            <w:pPr>
              <w:snapToGrid w:val="0"/>
              <w:spacing w:line="360" w:lineRule="auto"/>
              <w:jc w:val="both"/>
              <w:rPr>
                <w:rFonts w:ascii="Book Antiqua" w:hAnsi="Book Antiqua"/>
                <w:color w:val="000000"/>
                <w:lang w:val="it-IT" w:eastAsia="it-IT"/>
              </w:rPr>
            </w:pPr>
          </w:p>
        </w:tc>
      </w:tr>
      <w:tr w:rsidR="00C808A0" w:rsidRPr="00872B32" w14:paraId="5ED3CA15"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C727AF8"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5EE461B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Trx1</w:t>
            </w:r>
          </w:p>
        </w:tc>
        <w:tc>
          <w:tcPr>
            <w:tcW w:w="1102" w:type="dxa"/>
            <w:tcBorders>
              <w:top w:val="nil"/>
              <w:left w:val="nil"/>
              <w:bottom w:val="nil"/>
              <w:right w:val="nil"/>
            </w:tcBorders>
            <w:shd w:val="clear" w:color="auto" w:fill="auto"/>
            <w:noWrap/>
            <w:vAlign w:val="bottom"/>
            <w:hideMark/>
          </w:tcPr>
          <w:p w14:paraId="7A84CF30"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1125.0</w:t>
            </w:r>
          </w:p>
        </w:tc>
        <w:tc>
          <w:tcPr>
            <w:tcW w:w="272" w:type="dxa"/>
            <w:tcBorders>
              <w:top w:val="nil"/>
              <w:left w:val="nil"/>
              <w:bottom w:val="nil"/>
              <w:right w:val="nil"/>
            </w:tcBorders>
            <w:shd w:val="clear" w:color="auto" w:fill="auto"/>
            <w:noWrap/>
            <w:vAlign w:val="bottom"/>
            <w:hideMark/>
          </w:tcPr>
          <w:p w14:paraId="540D695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218FD141"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72.5</w:t>
            </w:r>
          </w:p>
        </w:tc>
        <w:tc>
          <w:tcPr>
            <w:tcW w:w="1102" w:type="dxa"/>
            <w:tcBorders>
              <w:top w:val="nil"/>
              <w:left w:val="nil"/>
              <w:bottom w:val="nil"/>
              <w:right w:val="nil"/>
            </w:tcBorders>
            <w:shd w:val="clear" w:color="auto" w:fill="auto"/>
            <w:noWrap/>
            <w:vAlign w:val="bottom"/>
            <w:hideMark/>
          </w:tcPr>
          <w:p w14:paraId="255B747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1083.7</w:t>
            </w:r>
          </w:p>
        </w:tc>
        <w:tc>
          <w:tcPr>
            <w:tcW w:w="272" w:type="dxa"/>
            <w:tcBorders>
              <w:top w:val="nil"/>
              <w:left w:val="nil"/>
              <w:bottom w:val="nil"/>
              <w:right w:val="nil"/>
            </w:tcBorders>
            <w:shd w:val="clear" w:color="auto" w:fill="auto"/>
            <w:noWrap/>
            <w:vAlign w:val="bottom"/>
            <w:hideMark/>
          </w:tcPr>
          <w:p w14:paraId="4090E35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116F153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104.3</w:t>
            </w:r>
          </w:p>
        </w:tc>
        <w:tc>
          <w:tcPr>
            <w:tcW w:w="1102" w:type="dxa"/>
            <w:tcBorders>
              <w:top w:val="nil"/>
              <w:left w:val="nil"/>
              <w:bottom w:val="nil"/>
              <w:right w:val="nil"/>
            </w:tcBorders>
            <w:shd w:val="clear" w:color="auto" w:fill="auto"/>
            <w:noWrap/>
            <w:vAlign w:val="bottom"/>
            <w:hideMark/>
          </w:tcPr>
          <w:p w14:paraId="6D8EB6AD"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1086.3</w:t>
            </w:r>
          </w:p>
        </w:tc>
        <w:tc>
          <w:tcPr>
            <w:tcW w:w="272" w:type="dxa"/>
            <w:tcBorders>
              <w:top w:val="nil"/>
              <w:left w:val="nil"/>
              <w:bottom w:val="nil"/>
              <w:right w:val="nil"/>
            </w:tcBorders>
            <w:shd w:val="clear" w:color="auto" w:fill="auto"/>
            <w:noWrap/>
            <w:vAlign w:val="bottom"/>
            <w:hideMark/>
          </w:tcPr>
          <w:p w14:paraId="1702EBC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661D1979"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108.1</w:t>
            </w:r>
          </w:p>
        </w:tc>
        <w:tc>
          <w:tcPr>
            <w:tcW w:w="2200" w:type="dxa"/>
            <w:tcBorders>
              <w:top w:val="nil"/>
              <w:left w:val="nil"/>
              <w:bottom w:val="nil"/>
              <w:right w:val="nil"/>
            </w:tcBorders>
            <w:shd w:val="clear" w:color="auto" w:fill="auto"/>
            <w:noWrap/>
            <w:vAlign w:val="bottom"/>
            <w:hideMark/>
          </w:tcPr>
          <w:p w14:paraId="0567166B"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2C1B30D0"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7DFC5ED8"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55CF6EC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RTrx1</w:t>
            </w:r>
          </w:p>
        </w:tc>
        <w:tc>
          <w:tcPr>
            <w:tcW w:w="1102" w:type="dxa"/>
            <w:tcBorders>
              <w:top w:val="nil"/>
              <w:left w:val="nil"/>
              <w:bottom w:val="nil"/>
              <w:right w:val="nil"/>
            </w:tcBorders>
            <w:shd w:val="clear" w:color="auto" w:fill="auto"/>
            <w:noWrap/>
            <w:vAlign w:val="bottom"/>
            <w:hideMark/>
          </w:tcPr>
          <w:p w14:paraId="11DA31FF"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3.5</w:t>
            </w:r>
          </w:p>
        </w:tc>
        <w:tc>
          <w:tcPr>
            <w:tcW w:w="272" w:type="dxa"/>
            <w:tcBorders>
              <w:top w:val="nil"/>
              <w:left w:val="nil"/>
              <w:bottom w:val="nil"/>
              <w:right w:val="nil"/>
            </w:tcBorders>
            <w:shd w:val="clear" w:color="auto" w:fill="auto"/>
            <w:noWrap/>
            <w:vAlign w:val="bottom"/>
            <w:hideMark/>
          </w:tcPr>
          <w:p w14:paraId="7ABCCBB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37E021A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0.5</w:t>
            </w:r>
          </w:p>
        </w:tc>
        <w:tc>
          <w:tcPr>
            <w:tcW w:w="1102" w:type="dxa"/>
            <w:tcBorders>
              <w:top w:val="nil"/>
              <w:left w:val="nil"/>
              <w:bottom w:val="nil"/>
              <w:right w:val="nil"/>
            </w:tcBorders>
            <w:shd w:val="clear" w:color="auto" w:fill="auto"/>
            <w:noWrap/>
            <w:vAlign w:val="bottom"/>
            <w:hideMark/>
          </w:tcPr>
          <w:p w14:paraId="2C777BA7"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3.4</w:t>
            </w:r>
          </w:p>
        </w:tc>
        <w:tc>
          <w:tcPr>
            <w:tcW w:w="272" w:type="dxa"/>
            <w:tcBorders>
              <w:top w:val="nil"/>
              <w:left w:val="nil"/>
              <w:bottom w:val="nil"/>
              <w:right w:val="nil"/>
            </w:tcBorders>
            <w:shd w:val="clear" w:color="auto" w:fill="auto"/>
            <w:noWrap/>
            <w:vAlign w:val="bottom"/>
            <w:hideMark/>
          </w:tcPr>
          <w:p w14:paraId="7ECF7EC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79403CB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
          <w:p w14:paraId="3066F667"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4.4</w:t>
            </w:r>
          </w:p>
        </w:tc>
        <w:tc>
          <w:tcPr>
            <w:tcW w:w="272" w:type="dxa"/>
            <w:tcBorders>
              <w:top w:val="nil"/>
              <w:left w:val="nil"/>
              <w:bottom w:val="nil"/>
              <w:right w:val="nil"/>
            </w:tcBorders>
            <w:shd w:val="clear" w:color="auto" w:fill="auto"/>
            <w:noWrap/>
            <w:vAlign w:val="bottom"/>
            <w:hideMark/>
          </w:tcPr>
          <w:p w14:paraId="79079BD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33F3744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
          <w:p w14:paraId="1DC1BA77"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2EE93F9D"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2A2C5D47"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03032BB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sCD30</w:t>
            </w:r>
          </w:p>
        </w:tc>
        <w:tc>
          <w:tcPr>
            <w:tcW w:w="1102" w:type="dxa"/>
            <w:tcBorders>
              <w:top w:val="nil"/>
              <w:left w:val="nil"/>
              <w:bottom w:val="nil"/>
              <w:right w:val="nil"/>
            </w:tcBorders>
            <w:shd w:val="clear" w:color="auto" w:fill="auto"/>
            <w:noWrap/>
            <w:vAlign w:val="bottom"/>
            <w:hideMark/>
          </w:tcPr>
          <w:p w14:paraId="2BB194F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18.0</w:t>
            </w:r>
          </w:p>
        </w:tc>
        <w:tc>
          <w:tcPr>
            <w:tcW w:w="272" w:type="dxa"/>
            <w:tcBorders>
              <w:top w:val="nil"/>
              <w:left w:val="nil"/>
              <w:bottom w:val="nil"/>
              <w:right w:val="nil"/>
            </w:tcBorders>
            <w:shd w:val="clear" w:color="auto" w:fill="auto"/>
            <w:noWrap/>
            <w:vAlign w:val="bottom"/>
            <w:hideMark/>
          </w:tcPr>
          <w:p w14:paraId="56AC1D5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23EDCAF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2.8</w:t>
            </w:r>
          </w:p>
        </w:tc>
        <w:tc>
          <w:tcPr>
            <w:tcW w:w="1102" w:type="dxa"/>
            <w:tcBorders>
              <w:top w:val="nil"/>
              <w:left w:val="nil"/>
              <w:bottom w:val="nil"/>
              <w:right w:val="nil"/>
            </w:tcBorders>
            <w:shd w:val="clear" w:color="auto" w:fill="auto"/>
            <w:noWrap/>
            <w:vAlign w:val="bottom"/>
            <w:hideMark/>
          </w:tcPr>
          <w:p w14:paraId="749099C8"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21.3</w:t>
            </w:r>
          </w:p>
        </w:tc>
        <w:tc>
          <w:tcPr>
            <w:tcW w:w="272" w:type="dxa"/>
            <w:tcBorders>
              <w:top w:val="nil"/>
              <w:left w:val="nil"/>
              <w:bottom w:val="nil"/>
              <w:right w:val="nil"/>
            </w:tcBorders>
            <w:shd w:val="clear" w:color="auto" w:fill="auto"/>
            <w:noWrap/>
            <w:vAlign w:val="bottom"/>
            <w:hideMark/>
          </w:tcPr>
          <w:p w14:paraId="6A687A0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451D450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2.9</w:t>
            </w:r>
          </w:p>
        </w:tc>
        <w:tc>
          <w:tcPr>
            <w:tcW w:w="1102" w:type="dxa"/>
            <w:tcBorders>
              <w:top w:val="nil"/>
              <w:left w:val="nil"/>
              <w:bottom w:val="nil"/>
              <w:right w:val="nil"/>
            </w:tcBorders>
            <w:shd w:val="clear" w:color="auto" w:fill="auto"/>
            <w:noWrap/>
            <w:vAlign w:val="bottom"/>
            <w:hideMark/>
          </w:tcPr>
          <w:p w14:paraId="0EED7D5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17.8</w:t>
            </w:r>
          </w:p>
        </w:tc>
        <w:tc>
          <w:tcPr>
            <w:tcW w:w="272" w:type="dxa"/>
            <w:tcBorders>
              <w:top w:val="nil"/>
              <w:left w:val="nil"/>
              <w:bottom w:val="nil"/>
              <w:right w:val="nil"/>
            </w:tcBorders>
            <w:shd w:val="clear" w:color="auto" w:fill="auto"/>
            <w:noWrap/>
            <w:vAlign w:val="bottom"/>
            <w:hideMark/>
          </w:tcPr>
          <w:p w14:paraId="47EDAEF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045D52E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4.0</w:t>
            </w:r>
          </w:p>
        </w:tc>
        <w:tc>
          <w:tcPr>
            <w:tcW w:w="2200" w:type="dxa"/>
            <w:tcBorders>
              <w:top w:val="nil"/>
              <w:left w:val="nil"/>
              <w:bottom w:val="nil"/>
              <w:right w:val="nil"/>
            </w:tcBorders>
            <w:shd w:val="clear" w:color="auto" w:fill="auto"/>
            <w:noWrap/>
            <w:vAlign w:val="bottom"/>
            <w:hideMark/>
          </w:tcPr>
          <w:p w14:paraId="0B434636"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35866C2E"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53A3424"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64EF153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
          <w:p w14:paraId="430D5AB6"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65331.7</w:t>
            </w:r>
          </w:p>
        </w:tc>
        <w:tc>
          <w:tcPr>
            <w:tcW w:w="272" w:type="dxa"/>
            <w:tcBorders>
              <w:top w:val="nil"/>
              <w:left w:val="nil"/>
              <w:bottom w:val="nil"/>
              <w:right w:val="nil"/>
            </w:tcBorders>
            <w:shd w:val="clear" w:color="auto" w:fill="auto"/>
            <w:noWrap/>
            <w:vAlign w:val="bottom"/>
            <w:hideMark/>
          </w:tcPr>
          <w:p w14:paraId="725DC46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12442D1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6852.0</w:t>
            </w:r>
          </w:p>
        </w:tc>
        <w:tc>
          <w:tcPr>
            <w:tcW w:w="1102" w:type="dxa"/>
            <w:tcBorders>
              <w:top w:val="nil"/>
              <w:left w:val="nil"/>
              <w:bottom w:val="nil"/>
              <w:right w:val="nil"/>
            </w:tcBorders>
            <w:shd w:val="clear" w:color="auto" w:fill="auto"/>
            <w:noWrap/>
            <w:vAlign w:val="bottom"/>
            <w:hideMark/>
          </w:tcPr>
          <w:p w14:paraId="5C82691A"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69385.9</w:t>
            </w:r>
          </w:p>
        </w:tc>
        <w:tc>
          <w:tcPr>
            <w:tcW w:w="272" w:type="dxa"/>
            <w:tcBorders>
              <w:top w:val="nil"/>
              <w:left w:val="nil"/>
              <w:bottom w:val="nil"/>
              <w:right w:val="nil"/>
            </w:tcBorders>
            <w:shd w:val="clear" w:color="auto" w:fill="auto"/>
            <w:noWrap/>
            <w:vAlign w:val="bottom"/>
            <w:hideMark/>
          </w:tcPr>
          <w:p w14:paraId="1206E88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2E146ED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7400.6</w:t>
            </w:r>
          </w:p>
        </w:tc>
        <w:tc>
          <w:tcPr>
            <w:tcW w:w="1102" w:type="dxa"/>
            <w:tcBorders>
              <w:top w:val="nil"/>
              <w:left w:val="nil"/>
              <w:bottom w:val="nil"/>
              <w:right w:val="nil"/>
            </w:tcBorders>
            <w:shd w:val="clear" w:color="auto" w:fill="auto"/>
            <w:noWrap/>
            <w:vAlign w:val="bottom"/>
            <w:hideMark/>
          </w:tcPr>
          <w:p w14:paraId="60EC42F5"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70296.5</w:t>
            </w:r>
          </w:p>
        </w:tc>
        <w:tc>
          <w:tcPr>
            <w:tcW w:w="272" w:type="dxa"/>
            <w:tcBorders>
              <w:top w:val="nil"/>
              <w:left w:val="nil"/>
              <w:bottom w:val="nil"/>
              <w:right w:val="nil"/>
            </w:tcBorders>
            <w:shd w:val="clear" w:color="auto" w:fill="auto"/>
            <w:noWrap/>
            <w:vAlign w:val="bottom"/>
            <w:hideMark/>
          </w:tcPr>
          <w:p w14:paraId="62D1949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1D3E0155"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16452.3</w:t>
            </w:r>
          </w:p>
        </w:tc>
        <w:tc>
          <w:tcPr>
            <w:tcW w:w="2200" w:type="dxa"/>
            <w:tcBorders>
              <w:top w:val="nil"/>
              <w:left w:val="nil"/>
              <w:bottom w:val="nil"/>
              <w:right w:val="nil"/>
            </w:tcBorders>
            <w:shd w:val="clear" w:color="auto" w:fill="auto"/>
            <w:noWrap/>
            <w:vAlign w:val="bottom"/>
            <w:hideMark/>
          </w:tcPr>
          <w:p w14:paraId="6EC5CE40"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40460B80"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00F0EF2A"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3613D88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
          <w:p w14:paraId="32677F3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16.1</w:t>
            </w:r>
          </w:p>
        </w:tc>
        <w:tc>
          <w:tcPr>
            <w:tcW w:w="272" w:type="dxa"/>
            <w:tcBorders>
              <w:top w:val="nil"/>
              <w:left w:val="nil"/>
              <w:bottom w:val="nil"/>
              <w:right w:val="nil"/>
            </w:tcBorders>
            <w:shd w:val="clear" w:color="auto" w:fill="auto"/>
            <w:noWrap/>
            <w:vAlign w:val="bottom"/>
            <w:hideMark/>
          </w:tcPr>
          <w:p w14:paraId="4787B4F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3C3782F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3.6</w:t>
            </w:r>
          </w:p>
        </w:tc>
        <w:tc>
          <w:tcPr>
            <w:tcW w:w="1102" w:type="dxa"/>
            <w:tcBorders>
              <w:top w:val="nil"/>
              <w:left w:val="nil"/>
              <w:bottom w:val="nil"/>
              <w:right w:val="nil"/>
            </w:tcBorders>
            <w:shd w:val="clear" w:color="auto" w:fill="auto"/>
            <w:noWrap/>
            <w:vAlign w:val="bottom"/>
            <w:hideMark/>
          </w:tcPr>
          <w:p w14:paraId="38A70508"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11.2</w:t>
            </w:r>
          </w:p>
        </w:tc>
        <w:tc>
          <w:tcPr>
            <w:tcW w:w="272" w:type="dxa"/>
            <w:tcBorders>
              <w:top w:val="nil"/>
              <w:left w:val="nil"/>
              <w:bottom w:val="nil"/>
              <w:right w:val="nil"/>
            </w:tcBorders>
            <w:shd w:val="clear" w:color="auto" w:fill="auto"/>
            <w:noWrap/>
            <w:vAlign w:val="bottom"/>
            <w:hideMark/>
          </w:tcPr>
          <w:p w14:paraId="7A78E78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0B58491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1.9</w:t>
            </w:r>
          </w:p>
        </w:tc>
        <w:tc>
          <w:tcPr>
            <w:tcW w:w="1102" w:type="dxa"/>
            <w:tcBorders>
              <w:top w:val="nil"/>
              <w:left w:val="nil"/>
              <w:bottom w:val="nil"/>
              <w:right w:val="nil"/>
            </w:tcBorders>
            <w:shd w:val="clear" w:color="auto" w:fill="auto"/>
            <w:noWrap/>
            <w:vAlign w:val="bottom"/>
            <w:hideMark/>
          </w:tcPr>
          <w:p w14:paraId="54F9DA97"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16.1</w:t>
            </w:r>
          </w:p>
        </w:tc>
        <w:tc>
          <w:tcPr>
            <w:tcW w:w="272" w:type="dxa"/>
            <w:tcBorders>
              <w:top w:val="nil"/>
              <w:left w:val="nil"/>
              <w:bottom w:val="nil"/>
              <w:right w:val="nil"/>
            </w:tcBorders>
            <w:shd w:val="clear" w:color="auto" w:fill="auto"/>
            <w:noWrap/>
            <w:vAlign w:val="bottom"/>
            <w:hideMark/>
          </w:tcPr>
          <w:p w14:paraId="1043B2C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102DCFD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w:t>
            </w:r>
          </w:p>
        </w:tc>
        <w:tc>
          <w:tcPr>
            <w:tcW w:w="2200" w:type="dxa"/>
            <w:tcBorders>
              <w:top w:val="nil"/>
              <w:left w:val="nil"/>
              <w:bottom w:val="nil"/>
              <w:right w:val="nil"/>
            </w:tcBorders>
            <w:shd w:val="clear" w:color="auto" w:fill="auto"/>
            <w:noWrap/>
            <w:vAlign w:val="bottom"/>
            <w:hideMark/>
          </w:tcPr>
          <w:p w14:paraId="488C0FC6"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171989A6"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5A340EE8"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1A2CB93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
          <w:p w14:paraId="40CA522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
          <w:p w14:paraId="2CBDFCC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0F9745FF"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14.4</w:t>
            </w:r>
          </w:p>
        </w:tc>
        <w:tc>
          <w:tcPr>
            <w:tcW w:w="1102" w:type="dxa"/>
            <w:tcBorders>
              <w:top w:val="nil"/>
              <w:left w:val="nil"/>
              <w:bottom w:val="nil"/>
              <w:right w:val="nil"/>
            </w:tcBorders>
            <w:shd w:val="clear" w:color="auto" w:fill="auto"/>
            <w:noWrap/>
            <w:vAlign w:val="bottom"/>
            <w:hideMark/>
          </w:tcPr>
          <w:p w14:paraId="39650A19"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135.2</w:t>
            </w:r>
          </w:p>
        </w:tc>
        <w:tc>
          <w:tcPr>
            <w:tcW w:w="272" w:type="dxa"/>
            <w:tcBorders>
              <w:top w:val="nil"/>
              <w:left w:val="nil"/>
              <w:bottom w:val="nil"/>
              <w:right w:val="nil"/>
            </w:tcBorders>
            <w:shd w:val="clear" w:color="auto" w:fill="auto"/>
            <w:noWrap/>
            <w:vAlign w:val="bottom"/>
            <w:hideMark/>
          </w:tcPr>
          <w:p w14:paraId="74413F5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0627D9C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7.2</w:t>
            </w:r>
          </w:p>
        </w:tc>
        <w:tc>
          <w:tcPr>
            <w:tcW w:w="1102" w:type="dxa"/>
            <w:tcBorders>
              <w:top w:val="nil"/>
              <w:left w:val="nil"/>
              <w:bottom w:val="nil"/>
              <w:right w:val="nil"/>
            </w:tcBorders>
            <w:shd w:val="clear" w:color="auto" w:fill="auto"/>
            <w:noWrap/>
            <w:vAlign w:val="bottom"/>
            <w:hideMark/>
          </w:tcPr>
          <w:p w14:paraId="41DA73CC"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
          <w:p w14:paraId="74991E0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31226A0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11.4</w:t>
            </w:r>
          </w:p>
        </w:tc>
        <w:tc>
          <w:tcPr>
            <w:tcW w:w="2200" w:type="dxa"/>
            <w:tcBorders>
              <w:top w:val="nil"/>
              <w:left w:val="nil"/>
              <w:bottom w:val="nil"/>
              <w:right w:val="nil"/>
            </w:tcBorders>
            <w:shd w:val="clear" w:color="auto" w:fill="auto"/>
            <w:noWrap/>
            <w:vAlign w:val="bottom"/>
            <w:hideMark/>
          </w:tcPr>
          <w:p w14:paraId="104A8D40"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6529B259"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49C25E06"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409DF94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
          <w:p w14:paraId="0770DE41"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160.5</w:t>
            </w:r>
          </w:p>
        </w:tc>
        <w:tc>
          <w:tcPr>
            <w:tcW w:w="272" w:type="dxa"/>
            <w:tcBorders>
              <w:top w:val="nil"/>
              <w:left w:val="nil"/>
              <w:bottom w:val="nil"/>
              <w:right w:val="nil"/>
            </w:tcBorders>
            <w:shd w:val="clear" w:color="auto" w:fill="auto"/>
            <w:noWrap/>
            <w:vAlign w:val="bottom"/>
            <w:hideMark/>
          </w:tcPr>
          <w:p w14:paraId="100B25B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16B225D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20.5</w:t>
            </w:r>
          </w:p>
        </w:tc>
        <w:tc>
          <w:tcPr>
            <w:tcW w:w="1102" w:type="dxa"/>
            <w:tcBorders>
              <w:top w:val="nil"/>
              <w:left w:val="nil"/>
              <w:bottom w:val="nil"/>
              <w:right w:val="nil"/>
            </w:tcBorders>
            <w:shd w:val="clear" w:color="auto" w:fill="auto"/>
            <w:noWrap/>
            <w:vAlign w:val="bottom"/>
            <w:hideMark/>
          </w:tcPr>
          <w:p w14:paraId="4B61519D"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186.2</w:t>
            </w:r>
          </w:p>
        </w:tc>
        <w:tc>
          <w:tcPr>
            <w:tcW w:w="272" w:type="dxa"/>
            <w:tcBorders>
              <w:top w:val="nil"/>
              <w:left w:val="nil"/>
              <w:bottom w:val="nil"/>
              <w:right w:val="nil"/>
            </w:tcBorders>
            <w:shd w:val="clear" w:color="auto" w:fill="auto"/>
            <w:noWrap/>
            <w:vAlign w:val="bottom"/>
            <w:hideMark/>
          </w:tcPr>
          <w:p w14:paraId="6F84BE9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5290766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33.8</w:t>
            </w:r>
          </w:p>
        </w:tc>
        <w:tc>
          <w:tcPr>
            <w:tcW w:w="1102" w:type="dxa"/>
            <w:tcBorders>
              <w:top w:val="nil"/>
              <w:left w:val="nil"/>
              <w:bottom w:val="nil"/>
              <w:right w:val="nil"/>
            </w:tcBorders>
            <w:shd w:val="clear" w:color="auto" w:fill="auto"/>
            <w:noWrap/>
            <w:vAlign w:val="bottom"/>
            <w:hideMark/>
          </w:tcPr>
          <w:p w14:paraId="0B1C3035"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151.6</w:t>
            </w:r>
          </w:p>
        </w:tc>
        <w:tc>
          <w:tcPr>
            <w:tcW w:w="272" w:type="dxa"/>
            <w:tcBorders>
              <w:top w:val="nil"/>
              <w:left w:val="nil"/>
              <w:bottom w:val="nil"/>
              <w:right w:val="nil"/>
            </w:tcBorders>
            <w:shd w:val="clear" w:color="auto" w:fill="auto"/>
            <w:noWrap/>
            <w:vAlign w:val="bottom"/>
            <w:hideMark/>
          </w:tcPr>
          <w:p w14:paraId="5372175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5AF6B71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60.5</w:t>
            </w:r>
          </w:p>
        </w:tc>
        <w:tc>
          <w:tcPr>
            <w:tcW w:w="2200" w:type="dxa"/>
            <w:tcBorders>
              <w:top w:val="nil"/>
              <w:left w:val="nil"/>
              <w:bottom w:val="nil"/>
              <w:right w:val="nil"/>
            </w:tcBorders>
            <w:shd w:val="clear" w:color="auto" w:fill="auto"/>
            <w:noWrap/>
            <w:vAlign w:val="bottom"/>
            <w:hideMark/>
          </w:tcPr>
          <w:p w14:paraId="45DA5CDF"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1C8305EE" w14:textId="77777777" w:rsidTr="008C54E8">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14:paraId="0BABEA49"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14:paraId="5D479FD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
          <w:p w14:paraId="1FCC43EA"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
          <w:p w14:paraId="7A563A0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58FE00F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46.0</w:t>
            </w:r>
          </w:p>
        </w:tc>
        <w:tc>
          <w:tcPr>
            <w:tcW w:w="1102" w:type="dxa"/>
            <w:tcBorders>
              <w:top w:val="nil"/>
              <w:left w:val="nil"/>
              <w:bottom w:val="nil"/>
              <w:right w:val="nil"/>
            </w:tcBorders>
            <w:shd w:val="clear" w:color="auto" w:fill="auto"/>
            <w:noWrap/>
            <w:vAlign w:val="bottom"/>
            <w:hideMark/>
          </w:tcPr>
          <w:p w14:paraId="237770C7"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139.5</w:t>
            </w:r>
          </w:p>
        </w:tc>
        <w:tc>
          <w:tcPr>
            <w:tcW w:w="272" w:type="dxa"/>
            <w:tcBorders>
              <w:top w:val="nil"/>
              <w:left w:val="nil"/>
              <w:bottom w:val="nil"/>
              <w:right w:val="nil"/>
            </w:tcBorders>
            <w:shd w:val="clear" w:color="auto" w:fill="auto"/>
            <w:noWrap/>
            <w:vAlign w:val="bottom"/>
            <w:hideMark/>
          </w:tcPr>
          <w:p w14:paraId="382E377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14:paraId="6013B543"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50.3</w:t>
            </w:r>
          </w:p>
        </w:tc>
        <w:tc>
          <w:tcPr>
            <w:tcW w:w="1102" w:type="dxa"/>
            <w:tcBorders>
              <w:top w:val="nil"/>
              <w:left w:val="nil"/>
              <w:bottom w:val="nil"/>
              <w:right w:val="nil"/>
            </w:tcBorders>
            <w:shd w:val="clear" w:color="auto" w:fill="auto"/>
            <w:noWrap/>
            <w:vAlign w:val="bottom"/>
            <w:hideMark/>
          </w:tcPr>
          <w:p w14:paraId="6F1DB908"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176.1</w:t>
            </w:r>
          </w:p>
        </w:tc>
        <w:tc>
          <w:tcPr>
            <w:tcW w:w="272" w:type="dxa"/>
            <w:tcBorders>
              <w:top w:val="nil"/>
              <w:left w:val="nil"/>
              <w:bottom w:val="nil"/>
              <w:right w:val="nil"/>
            </w:tcBorders>
            <w:shd w:val="clear" w:color="auto" w:fill="auto"/>
            <w:noWrap/>
            <w:vAlign w:val="bottom"/>
            <w:hideMark/>
          </w:tcPr>
          <w:p w14:paraId="6250651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14:paraId="4143D11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92.0</w:t>
            </w:r>
          </w:p>
        </w:tc>
        <w:tc>
          <w:tcPr>
            <w:tcW w:w="2200" w:type="dxa"/>
            <w:tcBorders>
              <w:top w:val="nil"/>
              <w:left w:val="nil"/>
              <w:bottom w:val="nil"/>
              <w:right w:val="nil"/>
            </w:tcBorders>
            <w:shd w:val="clear" w:color="auto" w:fill="auto"/>
            <w:noWrap/>
            <w:vAlign w:val="bottom"/>
            <w:hideMark/>
          </w:tcPr>
          <w:p w14:paraId="61B94B1A"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7C41F47F" w14:textId="77777777" w:rsidTr="008C54E8">
        <w:trPr>
          <w:gridBefore w:val="1"/>
          <w:gridAfter w:val="1"/>
          <w:wBefore w:w="142" w:type="dxa"/>
          <w:wAfter w:w="300" w:type="dxa"/>
          <w:trHeight w:val="315"/>
        </w:trPr>
        <w:tc>
          <w:tcPr>
            <w:tcW w:w="260" w:type="dxa"/>
            <w:tcBorders>
              <w:top w:val="nil"/>
              <w:left w:val="nil"/>
              <w:right w:val="nil"/>
            </w:tcBorders>
            <w:shd w:val="clear" w:color="auto" w:fill="auto"/>
            <w:noWrap/>
            <w:vAlign w:val="bottom"/>
            <w:hideMark/>
          </w:tcPr>
          <w:p w14:paraId="69873AFF"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14:paraId="03EF4A0B"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IL10</w:t>
            </w:r>
          </w:p>
        </w:tc>
        <w:tc>
          <w:tcPr>
            <w:tcW w:w="1102" w:type="dxa"/>
            <w:tcBorders>
              <w:top w:val="nil"/>
              <w:left w:val="nil"/>
              <w:right w:val="nil"/>
            </w:tcBorders>
            <w:shd w:val="clear" w:color="auto" w:fill="auto"/>
            <w:noWrap/>
            <w:vAlign w:val="bottom"/>
            <w:hideMark/>
          </w:tcPr>
          <w:p w14:paraId="0DF82FB6"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31.4</w:t>
            </w:r>
          </w:p>
        </w:tc>
        <w:tc>
          <w:tcPr>
            <w:tcW w:w="272" w:type="dxa"/>
            <w:tcBorders>
              <w:top w:val="nil"/>
              <w:left w:val="nil"/>
              <w:right w:val="nil"/>
            </w:tcBorders>
            <w:shd w:val="clear" w:color="auto" w:fill="auto"/>
            <w:noWrap/>
            <w:vAlign w:val="bottom"/>
            <w:hideMark/>
          </w:tcPr>
          <w:p w14:paraId="054B16F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2CBBA30C"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6.4</w:t>
            </w:r>
          </w:p>
        </w:tc>
        <w:tc>
          <w:tcPr>
            <w:tcW w:w="1102" w:type="dxa"/>
            <w:tcBorders>
              <w:top w:val="nil"/>
              <w:left w:val="nil"/>
              <w:right w:val="nil"/>
            </w:tcBorders>
            <w:shd w:val="clear" w:color="auto" w:fill="auto"/>
            <w:noWrap/>
            <w:vAlign w:val="bottom"/>
            <w:hideMark/>
          </w:tcPr>
          <w:p w14:paraId="356ABD21"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37.7</w:t>
            </w:r>
          </w:p>
        </w:tc>
        <w:tc>
          <w:tcPr>
            <w:tcW w:w="272" w:type="dxa"/>
            <w:tcBorders>
              <w:top w:val="nil"/>
              <w:left w:val="nil"/>
              <w:right w:val="nil"/>
            </w:tcBorders>
            <w:shd w:val="clear" w:color="auto" w:fill="auto"/>
            <w:noWrap/>
            <w:vAlign w:val="bottom"/>
            <w:hideMark/>
          </w:tcPr>
          <w:p w14:paraId="5AE6768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565ED7B6"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9.1</w:t>
            </w:r>
          </w:p>
        </w:tc>
        <w:tc>
          <w:tcPr>
            <w:tcW w:w="1102" w:type="dxa"/>
            <w:tcBorders>
              <w:top w:val="nil"/>
              <w:left w:val="nil"/>
              <w:right w:val="nil"/>
            </w:tcBorders>
            <w:shd w:val="clear" w:color="auto" w:fill="auto"/>
            <w:noWrap/>
            <w:vAlign w:val="bottom"/>
            <w:hideMark/>
          </w:tcPr>
          <w:p w14:paraId="0F864ED1"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22.2</w:t>
            </w:r>
          </w:p>
        </w:tc>
        <w:tc>
          <w:tcPr>
            <w:tcW w:w="272" w:type="dxa"/>
            <w:tcBorders>
              <w:top w:val="nil"/>
              <w:left w:val="nil"/>
              <w:right w:val="nil"/>
            </w:tcBorders>
            <w:shd w:val="clear" w:color="auto" w:fill="auto"/>
            <w:noWrap/>
            <w:vAlign w:val="bottom"/>
            <w:hideMark/>
          </w:tcPr>
          <w:p w14:paraId="2E8A5868"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14:paraId="0C6E5544"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5.7</w:t>
            </w:r>
          </w:p>
        </w:tc>
        <w:tc>
          <w:tcPr>
            <w:tcW w:w="2200" w:type="dxa"/>
            <w:tcBorders>
              <w:top w:val="nil"/>
              <w:left w:val="nil"/>
              <w:right w:val="nil"/>
            </w:tcBorders>
            <w:shd w:val="clear" w:color="auto" w:fill="auto"/>
            <w:noWrap/>
            <w:vAlign w:val="bottom"/>
            <w:hideMark/>
          </w:tcPr>
          <w:p w14:paraId="7FC9D01D"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496671B6" w14:textId="77777777" w:rsidTr="008C54E8">
        <w:trPr>
          <w:gridBefore w:val="1"/>
          <w:gridAfter w:val="1"/>
          <w:wBefore w:w="142" w:type="dxa"/>
          <w:wAfter w:w="300" w:type="dxa"/>
          <w:trHeight w:val="315"/>
        </w:trPr>
        <w:tc>
          <w:tcPr>
            <w:tcW w:w="260" w:type="dxa"/>
            <w:tcBorders>
              <w:top w:val="nil"/>
              <w:left w:val="nil"/>
              <w:right w:val="nil"/>
            </w:tcBorders>
            <w:shd w:val="clear" w:color="auto" w:fill="auto"/>
            <w:noWrap/>
            <w:vAlign w:val="bottom"/>
            <w:hideMark/>
          </w:tcPr>
          <w:p w14:paraId="094DB808"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14:paraId="0599C32E"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sIL2R</w:t>
            </w:r>
          </w:p>
        </w:tc>
        <w:tc>
          <w:tcPr>
            <w:tcW w:w="1102" w:type="dxa"/>
            <w:tcBorders>
              <w:top w:val="nil"/>
              <w:left w:val="nil"/>
              <w:right w:val="nil"/>
            </w:tcBorders>
            <w:shd w:val="clear" w:color="auto" w:fill="auto"/>
            <w:noWrap/>
            <w:vAlign w:val="bottom"/>
            <w:hideMark/>
          </w:tcPr>
          <w:p w14:paraId="76E17EFE"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532.2</w:t>
            </w:r>
          </w:p>
        </w:tc>
        <w:tc>
          <w:tcPr>
            <w:tcW w:w="272" w:type="dxa"/>
            <w:tcBorders>
              <w:top w:val="nil"/>
              <w:left w:val="nil"/>
              <w:right w:val="nil"/>
            </w:tcBorders>
            <w:shd w:val="clear" w:color="auto" w:fill="auto"/>
            <w:noWrap/>
            <w:vAlign w:val="bottom"/>
            <w:hideMark/>
          </w:tcPr>
          <w:p w14:paraId="43D1DAD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64C49090"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21.8</w:t>
            </w:r>
          </w:p>
        </w:tc>
        <w:tc>
          <w:tcPr>
            <w:tcW w:w="1102" w:type="dxa"/>
            <w:tcBorders>
              <w:top w:val="nil"/>
              <w:left w:val="nil"/>
              <w:right w:val="nil"/>
            </w:tcBorders>
            <w:shd w:val="clear" w:color="auto" w:fill="auto"/>
            <w:noWrap/>
            <w:vAlign w:val="bottom"/>
            <w:hideMark/>
          </w:tcPr>
          <w:p w14:paraId="63EAE231"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545.2</w:t>
            </w:r>
          </w:p>
        </w:tc>
        <w:tc>
          <w:tcPr>
            <w:tcW w:w="272" w:type="dxa"/>
            <w:tcBorders>
              <w:top w:val="nil"/>
              <w:left w:val="nil"/>
              <w:right w:val="nil"/>
            </w:tcBorders>
            <w:shd w:val="clear" w:color="auto" w:fill="auto"/>
            <w:noWrap/>
            <w:vAlign w:val="bottom"/>
            <w:hideMark/>
          </w:tcPr>
          <w:p w14:paraId="44F451A2"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14:paraId="6BEC99E7"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29.0</w:t>
            </w:r>
          </w:p>
        </w:tc>
        <w:tc>
          <w:tcPr>
            <w:tcW w:w="1102" w:type="dxa"/>
            <w:tcBorders>
              <w:top w:val="nil"/>
              <w:left w:val="nil"/>
              <w:right w:val="nil"/>
            </w:tcBorders>
            <w:shd w:val="clear" w:color="auto" w:fill="auto"/>
            <w:noWrap/>
            <w:vAlign w:val="bottom"/>
            <w:hideMark/>
          </w:tcPr>
          <w:p w14:paraId="6ED91BE4" w14:textId="77777777" w:rsidR="00896D15" w:rsidRPr="00872B32" w:rsidRDefault="00896D15" w:rsidP="008C54E8">
            <w:pPr>
              <w:snapToGrid w:val="0"/>
              <w:spacing w:line="360" w:lineRule="auto"/>
              <w:jc w:val="right"/>
              <w:rPr>
                <w:rFonts w:ascii="Book Antiqua" w:hAnsi="Book Antiqua"/>
                <w:color w:val="000000"/>
                <w:lang w:val="it-IT" w:eastAsia="it-IT"/>
              </w:rPr>
            </w:pPr>
            <w:r w:rsidRPr="00872B32">
              <w:rPr>
                <w:rFonts w:ascii="Book Antiqua" w:hAnsi="Book Antiqua"/>
                <w:color w:val="000000"/>
                <w:lang w:val="it-IT" w:eastAsia="it-IT"/>
              </w:rPr>
              <w:t>504.2</w:t>
            </w:r>
          </w:p>
        </w:tc>
        <w:tc>
          <w:tcPr>
            <w:tcW w:w="272" w:type="dxa"/>
            <w:tcBorders>
              <w:top w:val="nil"/>
              <w:left w:val="nil"/>
              <w:right w:val="nil"/>
            </w:tcBorders>
            <w:shd w:val="clear" w:color="auto" w:fill="auto"/>
            <w:noWrap/>
            <w:vAlign w:val="bottom"/>
            <w:hideMark/>
          </w:tcPr>
          <w:p w14:paraId="1A0FE61A"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14:paraId="6EFB390D" w14:textId="77777777" w:rsidR="00896D15" w:rsidRPr="00872B32" w:rsidRDefault="00896D15"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44.7</w:t>
            </w:r>
          </w:p>
        </w:tc>
        <w:tc>
          <w:tcPr>
            <w:tcW w:w="2200" w:type="dxa"/>
            <w:tcBorders>
              <w:top w:val="nil"/>
              <w:left w:val="nil"/>
              <w:right w:val="nil"/>
            </w:tcBorders>
            <w:shd w:val="clear" w:color="auto" w:fill="auto"/>
            <w:noWrap/>
            <w:vAlign w:val="bottom"/>
            <w:hideMark/>
          </w:tcPr>
          <w:p w14:paraId="36C89E1C" w14:textId="77777777" w:rsidR="00896D15" w:rsidRPr="00872B32" w:rsidRDefault="00896D15" w:rsidP="008C54E8">
            <w:pPr>
              <w:snapToGrid w:val="0"/>
              <w:spacing w:line="360" w:lineRule="auto"/>
              <w:jc w:val="center"/>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14:paraId="336B4025" w14:textId="77777777" w:rsidTr="008C54E8">
        <w:trPr>
          <w:gridBefore w:val="1"/>
          <w:gridAfter w:val="1"/>
          <w:wBefore w:w="142" w:type="dxa"/>
          <w:wAfter w:w="300" w:type="dxa"/>
          <w:trHeight w:val="42"/>
        </w:trPr>
        <w:tc>
          <w:tcPr>
            <w:tcW w:w="260" w:type="dxa"/>
            <w:tcBorders>
              <w:left w:val="nil"/>
              <w:bottom w:val="nil"/>
              <w:right w:val="nil"/>
            </w:tcBorders>
            <w:shd w:val="clear" w:color="auto" w:fill="auto"/>
            <w:noWrap/>
            <w:vAlign w:val="bottom"/>
            <w:hideMark/>
          </w:tcPr>
          <w:p w14:paraId="7A252F47"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49" w:type="dxa"/>
            <w:tcBorders>
              <w:left w:val="nil"/>
              <w:bottom w:val="nil"/>
              <w:right w:val="nil"/>
            </w:tcBorders>
            <w:shd w:val="clear" w:color="auto" w:fill="auto"/>
            <w:noWrap/>
            <w:vAlign w:val="bottom"/>
            <w:hideMark/>
          </w:tcPr>
          <w:p w14:paraId="7F93A0AA"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left w:val="nil"/>
              <w:bottom w:val="nil"/>
              <w:right w:val="nil"/>
            </w:tcBorders>
            <w:shd w:val="clear" w:color="auto" w:fill="auto"/>
            <w:noWrap/>
            <w:vAlign w:val="bottom"/>
            <w:hideMark/>
          </w:tcPr>
          <w:p w14:paraId="5D878CEC"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left w:val="nil"/>
              <w:bottom w:val="nil"/>
              <w:right w:val="nil"/>
            </w:tcBorders>
            <w:shd w:val="clear" w:color="auto" w:fill="auto"/>
            <w:noWrap/>
            <w:vAlign w:val="bottom"/>
            <w:hideMark/>
          </w:tcPr>
          <w:p w14:paraId="34361A9E"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939" w:type="dxa"/>
            <w:tcBorders>
              <w:left w:val="nil"/>
              <w:bottom w:val="nil"/>
              <w:right w:val="nil"/>
            </w:tcBorders>
            <w:shd w:val="clear" w:color="auto" w:fill="auto"/>
            <w:noWrap/>
            <w:vAlign w:val="bottom"/>
            <w:hideMark/>
          </w:tcPr>
          <w:p w14:paraId="1AA7F3EC"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left w:val="nil"/>
              <w:bottom w:val="nil"/>
              <w:right w:val="nil"/>
            </w:tcBorders>
            <w:shd w:val="clear" w:color="auto" w:fill="auto"/>
            <w:noWrap/>
            <w:vAlign w:val="bottom"/>
            <w:hideMark/>
          </w:tcPr>
          <w:p w14:paraId="38455404"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left w:val="nil"/>
              <w:bottom w:val="nil"/>
              <w:right w:val="nil"/>
            </w:tcBorders>
            <w:shd w:val="clear" w:color="auto" w:fill="auto"/>
            <w:noWrap/>
            <w:vAlign w:val="bottom"/>
            <w:hideMark/>
          </w:tcPr>
          <w:p w14:paraId="56B4E888"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939" w:type="dxa"/>
            <w:tcBorders>
              <w:left w:val="nil"/>
              <w:bottom w:val="nil"/>
              <w:right w:val="nil"/>
            </w:tcBorders>
            <w:shd w:val="clear" w:color="auto" w:fill="auto"/>
            <w:noWrap/>
            <w:vAlign w:val="bottom"/>
            <w:hideMark/>
          </w:tcPr>
          <w:p w14:paraId="75498364"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left w:val="nil"/>
              <w:bottom w:val="nil"/>
              <w:right w:val="nil"/>
            </w:tcBorders>
            <w:shd w:val="clear" w:color="auto" w:fill="auto"/>
            <w:noWrap/>
            <w:vAlign w:val="bottom"/>
            <w:hideMark/>
          </w:tcPr>
          <w:p w14:paraId="2042994D"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72" w:type="dxa"/>
            <w:tcBorders>
              <w:left w:val="nil"/>
              <w:bottom w:val="nil"/>
              <w:right w:val="nil"/>
            </w:tcBorders>
            <w:shd w:val="clear" w:color="auto" w:fill="auto"/>
            <w:noWrap/>
            <w:vAlign w:val="bottom"/>
            <w:hideMark/>
          </w:tcPr>
          <w:p w14:paraId="35FFF01F"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1102" w:type="dxa"/>
            <w:tcBorders>
              <w:left w:val="nil"/>
              <w:bottom w:val="nil"/>
              <w:right w:val="nil"/>
            </w:tcBorders>
            <w:shd w:val="clear" w:color="auto" w:fill="auto"/>
            <w:noWrap/>
            <w:vAlign w:val="bottom"/>
            <w:hideMark/>
          </w:tcPr>
          <w:p w14:paraId="36ABA43D" w14:textId="77777777" w:rsidR="00896D15" w:rsidRPr="00872B32" w:rsidRDefault="00896D15" w:rsidP="008C54E8">
            <w:pPr>
              <w:snapToGrid w:val="0"/>
              <w:spacing w:line="360" w:lineRule="auto"/>
              <w:jc w:val="both"/>
              <w:rPr>
                <w:rFonts w:ascii="Book Antiqua" w:hAnsi="Book Antiqua"/>
                <w:color w:val="000000"/>
                <w:lang w:val="it-IT" w:eastAsia="it-IT"/>
              </w:rPr>
            </w:pPr>
          </w:p>
        </w:tc>
        <w:tc>
          <w:tcPr>
            <w:tcW w:w="2200" w:type="dxa"/>
            <w:tcBorders>
              <w:left w:val="nil"/>
              <w:bottom w:val="nil"/>
              <w:right w:val="nil"/>
            </w:tcBorders>
            <w:shd w:val="clear" w:color="auto" w:fill="auto"/>
            <w:noWrap/>
            <w:vAlign w:val="bottom"/>
            <w:hideMark/>
          </w:tcPr>
          <w:p w14:paraId="71C87CDE" w14:textId="77777777" w:rsidR="00896D15" w:rsidRPr="00872B32" w:rsidRDefault="00896D15" w:rsidP="008C54E8">
            <w:pPr>
              <w:snapToGrid w:val="0"/>
              <w:spacing w:line="360" w:lineRule="auto"/>
              <w:jc w:val="both"/>
              <w:rPr>
                <w:rFonts w:ascii="Book Antiqua" w:hAnsi="Book Antiqua"/>
                <w:color w:val="000000"/>
                <w:lang w:val="it-IT" w:eastAsia="it-IT"/>
              </w:rPr>
            </w:pPr>
          </w:p>
        </w:tc>
      </w:tr>
      <w:tr w:rsidR="00C808A0" w:rsidRPr="00872B32" w14:paraId="7517BC6B" w14:textId="77777777" w:rsidTr="008C54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10"/>
        </w:trPr>
        <w:tc>
          <w:tcPr>
            <w:tcW w:w="11153" w:type="dxa"/>
            <w:gridSpan w:val="14"/>
            <w:tcBorders>
              <w:top w:val="single" w:sz="4" w:space="0" w:color="auto"/>
              <w:left w:val="nil"/>
              <w:bottom w:val="nil"/>
              <w:right w:val="nil"/>
            </w:tcBorders>
          </w:tcPr>
          <w:p w14:paraId="348889B5" w14:textId="5DD9CD96" w:rsidR="00896D15" w:rsidRPr="00BA4E7C" w:rsidRDefault="0049730C" w:rsidP="008C54E8">
            <w:pPr>
              <w:snapToGrid w:val="0"/>
              <w:spacing w:line="360" w:lineRule="auto"/>
              <w:jc w:val="both"/>
              <w:rPr>
                <w:rFonts w:ascii="Book Antiqua" w:eastAsia="宋体" w:hAnsi="Book Antiqua"/>
                <w:color w:val="000000"/>
                <w:lang w:eastAsia="zh-CN"/>
              </w:rPr>
            </w:pPr>
            <w:r w:rsidRPr="00872B32">
              <w:rPr>
                <w:rFonts w:ascii="Book Antiqua" w:hAnsi="Book Antiqua"/>
                <w:color w:val="000000"/>
                <w:lang w:eastAsia="it-IT"/>
              </w:rPr>
              <w:t xml:space="preserve">HS </w:t>
            </w:r>
            <w:r w:rsidRPr="00872B32">
              <w:rPr>
                <w:rFonts w:ascii="Book Antiqua" w:hAnsi="Book Antiqua"/>
                <w:i/>
                <w:color w:val="000000"/>
                <w:lang w:eastAsia="it-IT"/>
              </w:rPr>
              <w:t>vs</w:t>
            </w:r>
            <w:r w:rsidRPr="00872B32">
              <w:rPr>
                <w:rFonts w:ascii="Book Antiqua" w:hAnsi="Book Antiqua"/>
                <w:color w:val="000000"/>
                <w:lang w:eastAsia="it-IT"/>
              </w:rPr>
              <w:t xml:space="preserve"> AS</w:t>
            </w:r>
            <w:r w:rsidRPr="00872B32">
              <w:rPr>
                <w:rFonts w:ascii="Book Antiqua" w:eastAsia="Calibri" w:hAnsi="Book Antiqua"/>
                <w:color w:val="000000"/>
              </w:rPr>
              <w:t xml:space="preserve">: Trx1 </w:t>
            </w:r>
            <w:r w:rsidRPr="00872B32">
              <w:rPr>
                <w:rFonts w:ascii="Book Antiqua" w:eastAsia="Calibri" w:hAnsi="Book Antiqua"/>
                <w:i/>
                <w:color w:val="000000"/>
              </w:rPr>
              <w:t>P</w:t>
            </w:r>
            <w:r w:rsidRPr="00BA4E7C">
              <w:rPr>
                <w:rFonts w:ascii="Book Antiqua" w:eastAsia="宋体" w:hAnsi="Book Antiqua" w:hint="eastAsia"/>
                <w:i/>
                <w:color w:val="000000"/>
                <w:lang w:eastAsia="zh-CN"/>
              </w:rPr>
              <w:t xml:space="preserve"> </w:t>
            </w:r>
            <w:r w:rsidRPr="00872B32">
              <w:rPr>
                <w:rFonts w:ascii="Book Antiqua" w:eastAsia="Calibri" w:hAnsi="Book Antiqua"/>
                <w:color w:val="000000"/>
              </w:rPr>
              <w:t>=</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0.009; RTrx1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0.008; TGF</w:t>
            </w:r>
            <w:r w:rsidRPr="00872B32">
              <w:rPr>
                <w:rFonts w:ascii="Book Antiqua" w:eastAsia="Calibri" w:hAnsi="Book Antiqua"/>
                <w:color w:val="000000"/>
                <w:lang w:val="it-IT"/>
              </w:rPr>
              <w:t>β</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0.04; IFN</w:t>
            </w:r>
            <w:r w:rsidRPr="00872B32">
              <w:rPr>
                <w:rFonts w:ascii="Book Antiqua" w:eastAsia="Calibri" w:hAnsi="Book Antiqua"/>
                <w:color w:val="000000"/>
                <w:lang w:val="it-IT"/>
              </w:rPr>
              <w:t>γ</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0.01; IL6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0.0004; IL10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0.002; </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sIL2R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0.00001; sIL6R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4E1F0C">
              <w:rPr>
                <w:rFonts w:ascii="Book Antiqua" w:eastAsia="Arial Unicode MS" w:hAnsi="Book Antiqua" w:cs="Arial Unicode MS"/>
              </w:rPr>
              <w:t>≤</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0.00001</w:t>
            </w:r>
            <w:r w:rsidRPr="00BA4E7C">
              <w:rPr>
                <w:rFonts w:ascii="Book Antiqua" w:eastAsia="宋体" w:hAnsi="Book Antiqua" w:hint="eastAsia"/>
                <w:color w:val="000000"/>
                <w:lang w:eastAsia="zh-CN"/>
              </w:rPr>
              <w:t xml:space="preserve">; </w:t>
            </w:r>
            <w:r w:rsidRPr="00872B32">
              <w:rPr>
                <w:rFonts w:ascii="Book Antiqua" w:hAnsi="Book Antiqua"/>
                <w:color w:val="000000"/>
                <w:lang w:eastAsia="it-IT"/>
              </w:rPr>
              <w:t xml:space="preserve">HS </w:t>
            </w:r>
            <w:r w:rsidRPr="00872B32">
              <w:rPr>
                <w:rFonts w:ascii="Book Antiqua" w:hAnsi="Book Antiqua"/>
                <w:i/>
                <w:color w:val="000000"/>
                <w:lang w:eastAsia="it-IT"/>
              </w:rPr>
              <w:t>vs</w:t>
            </w:r>
            <w:r w:rsidRPr="00872B32">
              <w:rPr>
                <w:rFonts w:ascii="Book Antiqua" w:hAnsi="Book Antiqua"/>
                <w:color w:val="000000"/>
                <w:lang w:eastAsia="it-IT"/>
              </w:rPr>
              <w:t xml:space="preserve"> TP:</w:t>
            </w:r>
            <w:r w:rsidRPr="00872B32">
              <w:rPr>
                <w:rFonts w:ascii="Book Antiqua" w:eastAsia="Calibri" w:hAnsi="Book Antiqua"/>
                <w:color w:val="000000"/>
              </w:rPr>
              <w:t xml:space="preserve"> Trx1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0.00001; RTrx1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0.00001; sCD30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0.00001; TGF</w:t>
            </w:r>
            <w:r w:rsidRPr="00872B32">
              <w:rPr>
                <w:rFonts w:ascii="Book Antiqua" w:eastAsia="Calibri" w:hAnsi="Book Antiqua"/>
                <w:color w:val="000000"/>
                <w:lang w:val="it-IT"/>
              </w:rPr>
              <w:t>β</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 xml:space="preserve">0.00001; IL2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宋体" w:hAnsi="Book Antiqua" w:hint="eastAsia"/>
                <w:color w:val="000000"/>
                <w:lang w:eastAsia="zh-CN"/>
              </w:rPr>
              <w:t xml:space="preserve"> </w:t>
            </w:r>
            <w:r w:rsidRPr="00872B32">
              <w:rPr>
                <w:rFonts w:ascii="Book Antiqua" w:eastAsia="Calibri" w:hAnsi="Book Antiqua"/>
                <w:color w:val="000000"/>
              </w:rPr>
              <w:t>0.00001;</w:t>
            </w:r>
            <w:r w:rsidRPr="00BA4E7C">
              <w:rPr>
                <w:rFonts w:ascii="Book Antiqua" w:eastAsia="宋体" w:hAnsi="Book Antiqua" w:hint="eastAsia"/>
                <w:color w:val="000000"/>
                <w:lang w:eastAsia="zh-CN"/>
              </w:rPr>
              <w:t xml:space="preserve"> </w:t>
            </w:r>
            <w:r w:rsidRPr="0007090C">
              <w:rPr>
                <w:rFonts w:ascii="Book Antiqua" w:eastAsia="Calibri" w:hAnsi="Book Antiqua"/>
                <w:color w:val="000000"/>
              </w:rPr>
              <w:t>IFN</w:t>
            </w:r>
            <w:r w:rsidRPr="00872B32">
              <w:rPr>
                <w:rFonts w:ascii="Book Antiqua" w:eastAsia="Calibri" w:hAnsi="Book Antiqua"/>
                <w:color w:val="000000"/>
                <w:lang w:val="it-IT"/>
              </w:rPr>
              <w:t>γ</w:t>
            </w:r>
            <w:r w:rsidRPr="0007090C">
              <w:rPr>
                <w:rFonts w:ascii="Book Antiqua" w:eastAsia="Calibri" w:hAnsi="Book Antiqua"/>
                <w:color w:val="000000"/>
              </w:rPr>
              <w:t xml:space="preserve">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 xml:space="preserve">0.00001; IL4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 xml:space="preserve">0.00001; IL6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 xml:space="preserve">0.00001; IL10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 xml:space="preserve">0.00001; sIL2R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0.00001;</w:t>
            </w:r>
            <w:r w:rsidRPr="00BA4E7C">
              <w:rPr>
                <w:rFonts w:ascii="Book Antiqua" w:eastAsia="宋体" w:hAnsi="Book Antiqua" w:hint="eastAsia"/>
                <w:color w:val="000000"/>
                <w:lang w:eastAsia="zh-CN"/>
              </w:rPr>
              <w:t xml:space="preserve"> </w:t>
            </w:r>
            <w:r w:rsidRPr="0007090C">
              <w:rPr>
                <w:rFonts w:ascii="Book Antiqua" w:eastAsia="Calibri" w:hAnsi="Book Antiqua"/>
                <w:color w:val="000000"/>
              </w:rPr>
              <w:t xml:space="preserve">sIL6R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0.00001;</w:t>
            </w:r>
            <w:r w:rsidR="003A1EEB">
              <w:rPr>
                <w:rFonts w:ascii="Book Antiqua" w:eastAsia="Calibri" w:hAnsi="Book Antiqua"/>
                <w:color w:val="000000"/>
              </w:rPr>
              <w:t xml:space="preserve"> </w:t>
            </w:r>
            <w:r w:rsidRPr="0007090C">
              <w:rPr>
                <w:rFonts w:ascii="Book Antiqua" w:eastAsia="Calibri" w:hAnsi="Book Antiqua"/>
                <w:color w:val="000000"/>
              </w:rPr>
              <w:t xml:space="preserve">IL10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 xml:space="preserve">0.00001; sIL2R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 xml:space="preserve">0.00001; sIL6R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宋体" w:hAnsi="Book Antiqua"/>
                <w:color w:val="000000"/>
                <w:lang w:eastAsia="zh-CN"/>
              </w:rPr>
              <w:t xml:space="preserve"> </w:t>
            </w:r>
            <w:r w:rsidRPr="0007090C">
              <w:rPr>
                <w:rFonts w:ascii="Book Antiqua" w:eastAsia="Calibri" w:hAnsi="Book Antiqua"/>
                <w:color w:val="000000"/>
              </w:rPr>
              <w:t>0.00001</w:t>
            </w:r>
            <w:r w:rsidRPr="0007090C">
              <w:rPr>
                <w:rFonts w:ascii="Book Antiqua" w:eastAsia="宋体" w:hAnsi="Book Antiqua"/>
                <w:color w:val="000000"/>
                <w:lang w:eastAsia="zh-CN"/>
              </w:rPr>
              <w:t>.</w:t>
            </w:r>
            <w:r w:rsidRPr="001852D4">
              <w:rPr>
                <w:rFonts w:ascii="Book Antiqua" w:hAnsi="Book Antiqua"/>
                <w:b/>
                <w:color w:val="000000"/>
                <w:lang w:eastAsia="it-IT"/>
              </w:rPr>
              <w:t xml:space="preserve"> </w:t>
            </w:r>
            <w:r w:rsidRPr="0049730C">
              <w:rPr>
                <w:rFonts w:ascii="Book Antiqua" w:hAnsi="Book Antiqua"/>
                <w:color w:val="000000"/>
                <w:lang w:eastAsia="it-IT"/>
              </w:rPr>
              <w:t>HS</w:t>
            </w:r>
            <w:r w:rsidRPr="00BA4E7C">
              <w:rPr>
                <w:rFonts w:ascii="Book Antiqua" w:eastAsia="宋体" w:hAnsi="Book Antiqua" w:hint="eastAsia"/>
                <w:color w:val="000000"/>
                <w:lang w:eastAsia="zh-CN"/>
              </w:rPr>
              <w:t>:</w:t>
            </w:r>
            <w:r w:rsidRPr="0049730C">
              <w:rPr>
                <w:rFonts w:ascii="Book Antiqua" w:hAnsi="Book Antiqua"/>
                <w:color w:val="000000"/>
                <w:lang w:eastAsia="it-IT"/>
              </w:rPr>
              <w:t xml:space="preserve"> Healthy subject</w:t>
            </w:r>
            <w:r w:rsidRPr="00BA4E7C">
              <w:rPr>
                <w:rFonts w:ascii="Book Antiqua" w:eastAsia="宋体" w:hAnsi="Book Antiqua" w:hint="eastAsia"/>
                <w:color w:val="000000"/>
                <w:lang w:eastAsia="zh-CN"/>
              </w:rPr>
              <w:t xml:space="preserve">; </w:t>
            </w:r>
            <w:r w:rsidRPr="0049730C">
              <w:rPr>
                <w:rFonts w:ascii="Book Antiqua" w:hAnsi="Book Antiqua"/>
                <w:color w:val="000000"/>
                <w:lang w:eastAsia="it-IT"/>
              </w:rPr>
              <w:t>AS</w:t>
            </w:r>
            <w:r w:rsidRPr="00BA4E7C">
              <w:rPr>
                <w:rFonts w:ascii="Book Antiqua" w:eastAsia="宋体" w:hAnsi="Book Antiqua" w:hint="eastAsia"/>
                <w:color w:val="000000"/>
                <w:lang w:eastAsia="zh-CN"/>
              </w:rPr>
              <w:t>:</w:t>
            </w:r>
            <w:r w:rsidRPr="0049730C">
              <w:rPr>
                <w:rFonts w:ascii="Book Antiqua" w:hAnsi="Book Antiqua"/>
                <w:color w:val="000000"/>
                <w:lang w:eastAsia="it-IT"/>
              </w:rPr>
              <w:t xml:space="preserve"> Adenoma subject</w:t>
            </w:r>
            <w:r w:rsidRPr="00BA4E7C">
              <w:rPr>
                <w:rFonts w:ascii="Book Antiqua" w:eastAsia="宋体" w:hAnsi="Book Antiqua" w:hint="eastAsia"/>
                <w:color w:val="000000"/>
                <w:lang w:eastAsia="zh-CN"/>
              </w:rPr>
              <w:t xml:space="preserve">; </w:t>
            </w:r>
            <w:r w:rsidRPr="0049730C">
              <w:rPr>
                <w:rFonts w:ascii="Book Antiqua" w:hAnsi="Book Antiqua"/>
                <w:color w:val="000000"/>
                <w:lang w:eastAsia="it-IT"/>
              </w:rPr>
              <w:t>TP</w:t>
            </w:r>
            <w:r w:rsidRPr="00BA4E7C">
              <w:rPr>
                <w:rFonts w:ascii="Book Antiqua" w:eastAsia="宋体" w:hAnsi="Book Antiqua" w:hint="eastAsia"/>
                <w:color w:val="000000"/>
                <w:lang w:eastAsia="zh-CN"/>
              </w:rPr>
              <w:t>:</w:t>
            </w:r>
            <w:r w:rsidRPr="0049730C">
              <w:rPr>
                <w:rFonts w:ascii="Book Antiqua" w:hAnsi="Book Antiqua"/>
                <w:color w:val="000000"/>
                <w:lang w:eastAsia="it-IT"/>
              </w:rPr>
              <w:t xml:space="preserve"> Tumor patients</w:t>
            </w:r>
            <w:r w:rsidRPr="00BA4E7C">
              <w:rPr>
                <w:rFonts w:ascii="Book Antiqua" w:eastAsia="宋体" w:hAnsi="Book Antiqua" w:hint="eastAsia"/>
                <w:color w:val="000000"/>
                <w:lang w:eastAsia="zh-CN"/>
              </w:rPr>
              <w:t>.</w:t>
            </w:r>
          </w:p>
        </w:tc>
      </w:tr>
    </w:tbl>
    <w:p w14:paraId="2AA442A5" w14:textId="77777777" w:rsidR="00AF33E8" w:rsidRPr="00872B32" w:rsidRDefault="00AF33E8" w:rsidP="008C54E8">
      <w:pPr>
        <w:snapToGrid w:val="0"/>
        <w:spacing w:line="360" w:lineRule="auto"/>
        <w:jc w:val="both"/>
        <w:rPr>
          <w:rFonts w:ascii="Book Antiqua" w:eastAsia="Calibri" w:hAnsi="Book Antiqua"/>
          <w:color w:val="000000"/>
          <w:lang w:val="it-IT"/>
        </w:rPr>
        <w:sectPr w:rsidR="00AF33E8" w:rsidRPr="00872B32" w:rsidSect="008C54E8">
          <w:pgSz w:w="11906" w:h="16838"/>
          <w:pgMar w:top="1440" w:right="1440" w:bottom="1440" w:left="1440" w:header="706" w:footer="706" w:gutter="0"/>
          <w:cols w:space="708"/>
          <w:docGrid w:linePitch="360"/>
        </w:sectPr>
      </w:pPr>
    </w:p>
    <w:p w14:paraId="7A9D6B76" w14:textId="77777777" w:rsidR="00150553" w:rsidRPr="0049730C" w:rsidRDefault="00150553" w:rsidP="008C54E8">
      <w:pPr>
        <w:snapToGrid w:val="0"/>
        <w:spacing w:line="360" w:lineRule="auto"/>
        <w:jc w:val="both"/>
        <w:rPr>
          <w:rFonts w:ascii="Book Antiqua" w:eastAsia="Calibri" w:hAnsi="Book Antiqua"/>
          <w:b/>
          <w:color w:val="000000"/>
        </w:rPr>
      </w:pPr>
      <w:r w:rsidRPr="0049730C">
        <w:rPr>
          <w:rFonts w:ascii="Book Antiqua" w:eastAsia="Calibri" w:hAnsi="Book Antiqua"/>
          <w:b/>
          <w:color w:val="000000"/>
        </w:rPr>
        <w:lastRenderedPageBreak/>
        <w:t>Table</w:t>
      </w:r>
      <w:r w:rsidR="006646F2" w:rsidRPr="0049730C">
        <w:rPr>
          <w:rFonts w:ascii="Book Antiqua" w:eastAsia="Calibri" w:hAnsi="Book Antiqua"/>
          <w:b/>
          <w:color w:val="000000"/>
        </w:rPr>
        <w:t xml:space="preserve"> </w:t>
      </w:r>
      <w:r w:rsidR="000F1E59" w:rsidRPr="0049730C">
        <w:rPr>
          <w:rFonts w:ascii="Book Antiqua" w:eastAsia="Calibri" w:hAnsi="Book Antiqua"/>
          <w:b/>
          <w:color w:val="000000"/>
        </w:rPr>
        <w:t>2</w:t>
      </w:r>
      <w:r w:rsidR="00C808A0" w:rsidRPr="0049730C">
        <w:rPr>
          <w:rFonts w:ascii="Book Antiqua" w:eastAsia="Calibri" w:hAnsi="Book Antiqua"/>
          <w:b/>
          <w:color w:val="000000"/>
        </w:rPr>
        <w:t xml:space="preserve"> </w:t>
      </w:r>
      <w:r w:rsidRPr="0049730C">
        <w:rPr>
          <w:rFonts w:ascii="Book Antiqua" w:eastAsia="Calibri" w:hAnsi="Book Antiqua"/>
          <w:b/>
          <w:color w:val="000000"/>
        </w:rPr>
        <w:t>Fc</w:t>
      </w:r>
      <w:r w:rsidR="006646F2" w:rsidRPr="0049730C">
        <w:rPr>
          <w:rFonts w:ascii="Book Antiqua" w:eastAsia="Calibri" w:hAnsi="Book Antiqua"/>
          <w:b/>
          <w:color w:val="000000"/>
          <w:lang w:val="it-IT"/>
        </w:rPr>
        <w:sym w:font="Symbol" w:char="F067"/>
      </w:r>
      <w:r w:rsidRPr="0049730C">
        <w:rPr>
          <w:rFonts w:ascii="Book Antiqua" w:eastAsia="Calibri" w:hAnsi="Book Antiqua"/>
          <w:b/>
          <w:color w:val="000000"/>
        </w:rPr>
        <w:t>RIIa and Fc</w:t>
      </w:r>
      <w:r w:rsidR="006646F2" w:rsidRPr="0049730C">
        <w:rPr>
          <w:rFonts w:ascii="Book Antiqua" w:eastAsia="Calibri" w:hAnsi="Book Antiqua"/>
          <w:b/>
          <w:color w:val="000000"/>
          <w:lang w:val="it-IT"/>
        </w:rPr>
        <w:sym w:font="Symbol" w:char="F067"/>
      </w:r>
      <w:r w:rsidRPr="0049730C">
        <w:rPr>
          <w:rFonts w:ascii="Book Antiqua" w:eastAsia="Calibri" w:hAnsi="Book Antiqua"/>
          <w:b/>
          <w:color w:val="000000"/>
        </w:rPr>
        <w:t xml:space="preserve">RIIIa polymorphism frequencies in </w:t>
      </w:r>
      <w:r w:rsidR="0049730C" w:rsidRPr="0049730C">
        <w:rPr>
          <w:rFonts w:ascii="Book Antiqua" w:eastAsia="Calibri" w:hAnsi="Book Antiqua"/>
          <w:b/>
          <w:color w:val="000000"/>
        </w:rPr>
        <w:t>healthy subjects and tumor patients</w:t>
      </w:r>
    </w:p>
    <w:p w14:paraId="04307E90" w14:textId="77777777" w:rsidR="00FF30E8" w:rsidRPr="00872B32" w:rsidRDefault="00FF30E8" w:rsidP="008C54E8">
      <w:pPr>
        <w:snapToGrid w:val="0"/>
        <w:spacing w:line="360" w:lineRule="auto"/>
        <w:jc w:val="both"/>
        <w:rPr>
          <w:rFonts w:ascii="Book Antiqua" w:eastAsia="Calibri" w:hAnsi="Book Antiqua"/>
          <w:color w:val="000000"/>
        </w:rPr>
      </w:pPr>
    </w:p>
    <w:tbl>
      <w:tblPr>
        <w:tblW w:w="10204" w:type="dxa"/>
        <w:tblInd w:w="-70" w:type="dxa"/>
        <w:tblCellMar>
          <w:left w:w="70" w:type="dxa"/>
          <w:right w:w="70" w:type="dxa"/>
        </w:tblCellMar>
        <w:tblLook w:val="04A0" w:firstRow="1" w:lastRow="0" w:firstColumn="1" w:lastColumn="0" w:noHBand="0" w:noVBand="1"/>
      </w:tblPr>
      <w:tblGrid>
        <w:gridCol w:w="585"/>
        <w:gridCol w:w="973"/>
        <w:gridCol w:w="1090"/>
        <w:gridCol w:w="1093"/>
        <w:gridCol w:w="200"/>
        <w:gridCol w:w="680"/>
        <w:gridCol w:w="1093"/>
        <w:gridCol w:w="994"/>
        <w:gridCol w:w="200"/>
        <w:gridCol w:w="1126"/>
        <w:gridCol w:w="1093"/>
        <w:gridCol w:w="1093"/>
      </w:tblGrid>
      <w:tr w:rsidR="00C808A0" w:rsidRPr="00872B32" w14:paraId="2755C3A4" w14:textId="77777777" w:rsidTr="00074F2C">
        <w:trPr>
          <w:trHeight w:val="600"/>
        </w:trPr>
        <w:tc>
          <w:tcPr>
            <w:tcW w:w="10204" w:type="dxa"/>
            <w:gridSpan w:val="12"/>
            <w:tcBorders>
              <w:top w:val="nil"/>
              <w:left w:val="nil"/>
              <w:bottom w:val="nil"/>
              <w:right w:val="nil"/>
            </w:tcBorders>
            <w:shd w:val="clear" w:color="auto" w:fill="auto"/>
            <w:noWrap/>
            <w:vAlign w:val="center"/>
            <w:hideMark/>
          </w:tcPr>
          <w:p w14:paraId="537414FB" w14:textId="31DF8A16" w:rsidR="00150553" w:rsidRPr="00872B32" w:rsidRDefault="00150553" w:rsidP="008C54E8">
            <w:pPr>
              <w:snapToGrid w:val="0"/>
              <w:spacing w:line="360" w:lineRule="auto"/>
              <w:jc w:val="center"/>
              <w:rPr>
                <w:rFonts w:ascii="Book Antiqua" w:hAnsi="Book Antiqua"/>
                <w:b/>
                <w:bCs/>
                <w:color w:val="000000"/>
                <w:lang w:eastAsia="it-IT"/>
              </w:rPr>
            </w:pPr>
            <w:r w:rsidRPr="00872B32">
              <w:rPr>
                <w:rFonts w:ascii="Book Antiqua" w:hAnsi="Book Antiqua"/>
                <w:b/>
                <w:bCs/>
                <w:color w:val="000000"/>
                <w:lang w:eastAsia="it-IT"/>
              </w:rPr>
              <w:t>Fc</w:t>
            </w:r>
            <w:r w:rsidR="00101144" w:rsidRPr="00872B32">
              <w:rPr>
                <w:rFonts w:ascii="Book Antiqua" w:hAnsi="Book Antiqua"/>
                <w:b/>
                <w:bCs/>
                <w:color w:val="000000"/>
                <w:lang w:val="it-IT" w:eastAsia="it-IT"/>
              </w:rPr>
              <w:sym w:font="Symbol" w:char="F067"/>
            </w:r>
            <w:r w:rsidRPr="00872B32">
              <w:rPr>
                <w:rFonts w:ascii="Book Antiqua" w:hAnsi="Book Antiqua"/>
                <w:b/>
                <w:bCs/>
                <w:color w:val="000000"/>
                <w:lang w:eastAsia="it-IT"/>
              </w:rPr>
              <w:t xml:space="preserve">RIIa </w:t>
            </w:r>
            <w:r w:rsidRPr="00872B32">
              <w:rPr>
                <w:rFonts w:ascii="Book Antiqua" w:hAnsi="Book Antiqua"/>
                <w:b/>
                <w:bCs/>
                <w:i/>
                <w:color w:val="000000"/>
                <w:lang w:eastAsia="it-IT"/>
              </w:rPr>
              <w:t>vs</w:t>
            </w:r>
            <w:r w:rsidRPr="00872B32">
              <w:rPr>
                <w:rFonts w:ascii="Book Antiqua" w:hAnsi="Book Antiqua"/>
                <w:b/>
                <w:bCs/>
                <w:color w:val="000000"/>
                <w:lang w:eastAsia="it-IT"/>
              </w:rPr>
              <w:t xml:space="preserve"> Fc</w:t>
            </w:r>
            <w:r w:rsidR="00101144" w:rsidRPr="00872B32">
              <w:rPr>
                <w:rFonts w:ascii="Book Antiqua" w:hAnsi="Book Antiqua"/>
                <w:b/>
                <w:bCs/>
                <w:color w:val="000000"/>
                <w:lang w:val="it-IT" w:eastAsia="it-IT"/>
              </w:rPr>
              <w:sym w:font="Symbol" w:char="F067"/>
            </w:r>
            <w:r w:rsidRPr="00872B32">
              <w:rPr>
                <w:rFonts w:ascii="Book Antiqua" w:hAnsi="Book Antiqua"/>
                <w:b/>
                <w:bCs/>
                <w:color w:val="000000"/>
                <w:lang w:eastAsia="it-IT"/>
              </w:rPr>
              <w:t>RIIIa</w:t>
            </w:r>
          </w:p>
        </w:tc>
      </w:tr>
      <w:tr w:rsidR="00C808A0" w:rsidRPr="00872B32" w14:paraId="10ED057D" w14:textId="77777777" w:rsidTr="008C54E8">
        <w:trPr>
          <w:trHeight w:val="255"/>
        </w:trPr>
        <w:tc>
          <w:tcPr>
            <w:tcW w:w="585" w:type="dxa"/>
            <w:tcBorders>
              <w:top w:val="nil"/>
              <w:left w:val="nil"/>
              <w:bottom w:val="nil"/>
              <w:right w:val="nil"/>
            </w:tcBorders>
            <w:shd w:val="clear" w:color="auto" w:fill="auto"/>
            <w:noWrap/>
            <w:vAlign w:val="bottom"/>
            <w:hideMark/>
          </w:tcPr>
          <w:p w14:paraId="203F37FB" w14:textId="77777777" w:rsidR="00150553" w:rsidRPr="00872B32" w:rsidRDefault="00150553" w:rsidP="008C54E8">
            <w:pPr>
              <w:snapToGrid w:val="0"/>
              <w:spacing w:line="360" w:lineRule="auto"/>
              <w:jc w:val="both"/>
              <w:rPr>
                <w:rFonts w:ascii="Book Antiqua" w:hAnsi="Book Antiqua"/>
                <w:b/>
                <w:bCs/>
                <w:color w:val="000000"/>
                <w:lang w:eastAsia="it-IT"/>
              </w:rPr>
            </w:pPr>
          </w:p>
        </w:tc>
        <w:tc>
          <w:tcPr>
            <w:tcW w:w="973" w:type="dxa"/>
            <w:tcBorders>
              <w:top w:val="single" w:sz="4" w:space="0" w:color="auto"/>
              <w:left w:val="nil"/>
              <w:bottom w:val="nil"/>
              <w:right w:val="nil"/>
            </w:tcBorders>
            <w:shd w:val="clear" w:color="auto" w:fill="auto"/>
            <w:noWrap/>
            <w:vAlign w:val="bottom"/>
            <w:hideMark/>
          </w:tcPr>
          <w:p w14:paraId="34536403" w14:textId="77777777" w:rsidR="00150553" w:rsidRPr="00872B32" w:rsidRDefault="00150553" w:rsidP="008C54E8">
            <w:pPr>
              <w:snapToGrid w:val="0"/>
              <w:spacing w:line="360" w:lineRule="auto"/>
              <w:jc w:val="both"/>
              <w:rPr>
                <w:rFonts w:ascii="Book Antiqua" w:hAnsi="Book Antiqua"/>
                <w:b/>
                <w:color w:val="000000"/>
                <w:lang w:val="it-IT" w:eastAsia="it-IT"/>
              </w:rPr>
            </w:pPr>
            <w:r w:rsidRPr="00872B32">
              <w:rPr>
                <w:rFonts w:ascii="Book Antiqua" w:hAnsi="Book Antiqua"/>
                <w:b/>
                <w:color w:val="000000"/>
                <w:lang w:val="it-IT" w:eastAsia="it-IT"/>
              </w:rPr>
              <w:t>HS</w:t>
            </w:r>
          </w:p>
        </w:tc>
        <w:tc>
          <w:tcPr>
            <w:tcW w:w="1090" w:type="dxa"/>
            <w:tcBorders>
              <w:top w:val="single" w:sz="4" w:space="0" w:color="auto"/>
              <w:left w:val="nil"/>
              <w:bottom w:val="nil"/>
              <w:right w:val="nil"/>
            </w:tcBorders>
            <w:shd w:val="clear" w:color="auto" w:fill="auto"/>
            <w:noWrap/>
            <w:vAlign w:val="bottom"/>
            <w:hideMark/>
          </w:tcPr>
          <w:p w14:paraId="7E309A08" w14:textId="77777777" w:rsidR="00150553" w:rsidRPr="008C54E8" w:rsidRDefault="00150553" w:rsidP="008C54E8">
            <w:pPr>
              <w:snapToGrid w:val="0"/>
              <w:spacing w:line="360" w:lineRule="auto"/>
              <w:jc w:val="both"/>
              <w:rPr>
                <w:rFonts w:ascii="Book Antiqua" w:hAnsi="Book Antiqua"/>
                <w:b/>
                <w:color w:val="000000"/>
                <w:lang w:val="it-IT" w:eastAsia="it-IT"/>
              </w:rPr>
            </w:pPr>
            <w:r w:rsidRPr="008C54E8">
              <w:rPr>
                <w:rFonts w:ascii="Book Antiqua" w:hAnsi="Book Antiqua"/>
                <w:b/>
                <w:color w:val="000000"/>
                <w:lang w:val="it-IT" w:eastAsia="it-IT"/>
              </w:rPr>
              <w:t>Men</w:t>
            </w:r>
          </w:p>
        </w:tc>
        <w:tc>
          <w:tcPr>
            <w:tcW w:w="1093" w:type="dxa"/>
            <w:tcBorders>
              <w:top w:val="single" w:sz="4" w:space="0" w:color="auto"/>
              <w:left w:val="nil"/>
              <w:bottom w:val="nil"/>
              <w:right w:val="nil"/>
            </w:tcBorders>
            <w:shd w:val="clear" w:color="auto" w:fill="auto"/>
            <w:noWrap/>
            <w:vAlign w:val="bottom"/>
            <w:hideMark/>
          </w:tcPr>
          <w:p w14:paraId="29922808" w14:textId="77777777" w:rsidR="00150553" w:rsidRPr="008C54E8" w:rsidRDefault="00150553" w:rsidP="008C54E8">
            <w:pPr>
              <w:snapToGrid w:val="0"/>
              <w:spacing w:line="360" w:lineRule="auto"/>
              <w:jc w:val="both"/>
              <w:rPr>
                <w:rFonts w:ascii="Book Antiqua" w:hAnsi="Book Antiqua"/>
                <w:b/>
                <w:color w:val="000000"/>
                <w:lang w:val="it-IT" w:eastAsia="it-IT"/>
              </w:rPr>
            </w:pPr>
            <w:r w:rsidRPr="008C54E8">
              <w:rPr>
                <w:rFonts w:ascii="Book Antiqua" w:hAnsi="Book Antiqua"/>
                <w:b/>
                <w:color w:val="000000"/>
                <w:lang w:val="it-IT" w:eastAsia="it-IT"/>
              </w:rPr>
              <w:t>Women</w:t>
            </w:r>
          </w:p>
        </w:tc>
        <w:tc>
          <w:tcPr>
            <w:tcW w:w="200" w:type="dxa"/>
            <w:tcBorders>
              <w:top w:val="single" w:sz="4" w:space="0" w:color="auto"/>
              <w:left w:val="nil"/>
              <w:bottom w:val="nil"/>
              <w:right w:val="nil"/>
            </w:tcBorders>
            <w:shd w:val="clear" w:color="auto" w:fill="auto"/>
            <w:noWrap/>
            <w:vAlign w:val="bottom"/>
            <w:hideMark/>
          </w:tcPr>
          <w:p w14:paraId="67168FF3" w14:textId="77777777" w:rsidR="00150553" w:rsidRPr="008C54E8" w:rsidRDefault="00150553" w:rsidP="008C54E8">
            <w:pPr>
              <w:snapToGrid w:val="0"/>
              <w:spacing w:line="360" w:lineRule="auto"/>
              <w:jc w:val="both"/>
              <w:rPr>
                <w:rFonts w:ascii="Book Antiqua" w:hAnsi="Book Antiqua"/>
                <w:b/>
                <w:color w:val="000000"/>
                <w:lang w:val="it-IT" w:eastAsia="it-IT"/>
              </w:rPr>
            </w:pPr>
          </w:p>
        </w:tc>
        <w:tc>
          <w:tcPr>
            <w:tcW w:w="680" w:type="dxa"/>
            <w:tcBorders>
              <w:top w:val="single" w:sz="4" w:space="0" w:color="auto"/>
              <w:left w:val="nil"/>
              <w:bottom w:val="nil"/>
              <w:right w:val="nil"/>
            </w:tcBorders>
            <w:shd w:val="clear" w:color="auto" w:fill="auto"/>
            <w:noWrap/>
            <w:vAlign w:val="bottom"/>
            <w:hideMark/>
          </w:tcPr>
          <w:p w14:paraId="679D3D55" w14:textId="77777777" w:rsidR="00150553" w:rsidRPr="008C54E8" w:rsidRDefault="00150553" w:rsidP="008C54E8">
            <w:pPr>
              <w:snapToGrid w:val="0"/>
              <w:spacing w:line="360" w:lineRule="auto"/>
              <w:jc w:val="both"/>
              <w:rPr>
                <w:rFonts w:ascii="Book Antiqua" w:hAnsi="Book Antiqua"/>
                <w:b/>
                <w:color w:val="000000"/>
                <w:lang w:val="it-IT" w:eastAsia="it-IT"/>
              </w:rPr>
            </w:pPr>
          </w:p>
        </w:tc>
        <w:tc>
          <w:tcPr>
            <w:tcW w:w="1093" w:type="dxa"/>
            <w:tcBorders>
              <w:top w:val="single" w:sz="4" w:space="0" w:color="auto"/>
              <w:left w:val="nil"/>
              <w:bottom w:val="nil"/>
              <w:right w:val="nil"/>
            </w:tcBorders>
            <w:shd w:val="clear" w:color="auto" w:fill="auto"/>
            <w:noWrap/>
            <w:vAlign w:val="bottom"/>
            <w:hideMark/>
          </w:tcPr>
          <w:p w14:paraId="1646E0D7" w14:textId="77777777" w:rsidR="00150553" w:rsidRPr="008C54E8" w:rsidRDefault="00150553" w:rsidP="008C54E8">
            <w:pPr>
              <w:snapToGrid w:val="0"/>
              <w:spacing w:line="360" w:lineRule="auto"/>
              <w:jc w:val="both"/>
              <w:rPr>
                <w:rFonts w:ascii="Book Antiqua" w:hAnsi="Book Antiqua"/>
                <w:b/>
                <w:color w:val="000000"/>
                <w:lang w:val="it-IT" w:eastAsia="it-IT"/>
              </w:rPr>
            </w:pPr>
            <w:r w:rsidRPr="008C54E8">
              <w:rPr>
                <w:rFonts w:ascii="Book Antiqua" w:hAnsi="Book Antiqua"/>
                <w:b/>
                <w:color w:val="000000"/>
                <w:lang w:val="it-IT" w:eastAsia="it-IT"/>
              </w:rPr>
              <w:t>Men</w:t>
            </w:r>
          </w:p>
        </w:tc>
        <w:tc>
          <w:tcPr>
            <w:tcW w:w="978" w:type="dxa"/>
            <w:tcBorders>
              <w:top w:val="single" w:sz="4" w:space="0" w:color="auto"/>
              <w:left w:val="nil"/>
              <w:bottom w:val="nil"/>
              <w:right w:val="nil"/>
            </w:tcBorders>
            <w:shd w:val="clear" w:color="auto" w:fill="auto"/>
            <w:noWrap/>
            <w:vAlign w:val="bottom"/>
            <w:hideMark/>
          </w:tcPr>
          <w:p w14:paraId="382C4E5B" w14:textId="77777777" w:rsidR="00150553" w:rsidRPr="008C54E8" w:rsidRDefault="00150553" w:rsidP="008C54E8">
            <w:pPr>
              <w:snapToGrid w:val="0"/>
              <w:spacing w:line="360" w:lineRule="auto"/>
              <w:jc w:val="both"/>
              <w:rPr>
                <w:rFonts w:ascii="Book Antiqua" w:hAnsi="Book Antiqua"/>
                <w:b/>
                <w:color w:val="000000"/>
                <w:lang w:val="it-IT" w:eastAsia="it-IT"/>
              </w:rPr>
            </w:pPr>
            <w:r w:rsidRPr="008C54E8">
              <w:rPr>
                <w:rFonts w:ascii="Book Antiqua" w:hAnsi="Book Antiqua"/>
                <w:b/>
                <w:color w:val="000000"/>
                <w:lang w:val="it-IT" w:eastAsia="it-IT"/>
              </w:rPr>
              <w:t>Women</w:t>
            </w:r>
          </w:p>
        </w:tc>
        <w:tc>
          <w:tcPr>
            <w:tcW w:w="200" w:type="dxa"/>
            <w:tcBorders>
              <w:top w:val="single" w:sz="4" w:space="0" w:color="auto"/>
              <w:left w:val="nil"/>
              <w:bottom w:val="nil"/>
              <w:right w:val="nil"/>
            </w:tcBorders>
            <w:shd w:val="clear" w:color="auto" w:fill="auto"/>
            <w:noWrap/>
            <w:vAlign w:val="bottom"/>
            <w:hideMark/>
          </w:tcPr>
          <w:p w14:paraId="16C6C005" w14:textId="77777777" w:rsidR="00150553" w:rsidRPr="008C54E8" w:rsidRDefault="00150553" w:rsidP="008C54E8">
            <w:pPr>
              <w:snapToGrid w:val="0"/>
              <w:spacing w:line="360" w:lineRule="auto"/>
              <w:jc w:val="both"/>
              <w:rPr>
                <w:rFonts w:ascii="Book Antiqua" w:hAnsi="Book Antiqua"/>
                <w:b/>
                <w:color w:val="000000"/>
                <w:lang w:val="it-IT" w:eastAsia="it-IT"/>
              </w:rPr>
            </w:pPr>
          </w:p>
        </w:tc>
        <w:tc>
          <w:tcPr>
            <w:tcW w:w="1126" w:type="dxa"/>
            <w:tcBorders>
              <w:top w:val="single" w:sz="4" w:space="0" w:color="auto"/>
              <w:left w:val="nil"/>
              <w:bottom w:val="nil"/>
              <w:right w:val="nil"/>
            </w:tcBorders>
            <w:shd w:val="clear" w:color="auto" w:fill="auto"/>
            <w:noWrap/>
            <w:vAlign w:val="bottom"/>
            <w:hideMark/>
          </w:tcPr>
          <w:p w14:paraId="61C133D1" w14:textId="77777777" w:rsidR="00150553" w:rsidRPr="008C54E8" w:rsidRDefault="00150553" w:rsidP="008C54E8">
            <w:pPr>
              <w:snapToGrid w:val="0"/>
              <w:spacing w:line="360" w:lineRule="auto"/>
              <w:jc w:val="both"/>
              <w:rPr>
                <w:rFonts w:ascii="Book Antiqua" w:hAnsi="Book Antiqua"/>
                <w:b/>
                <w:color w:val="000000"/>
                <w:lang w:val="it-IT" w:eastAsia="it-IT"/>
              </w:rPr>
            </w:pPr>
          </w:p>
        </w:tc>
        <w:tc>
          <w:tcPr>
            <w:tcW w:w="1093" w:type="dxa"/>
            <w:tcBorders>
              <w:top w:val="single" w:sz="4" w:space="0" w:color="auto"/>
              <w:left w:val="nil"/>
              <w:bottom w:val="nil"/>
              <w:right w:val="nil"/>
            </w:tcBorders>
            <w:shd w:val="clear" w:color="auto" w:fill="auto"/>
            <w:noWrap/>
            <w:vAlign w:val="bottom"/>
            <w:hideMark/>
          </w:tcPr>
          <w:p w14:paraId="4BEDB503" w14:textId="77777777" w:rsidR="00150553" w:rsidRPr="008C54E8" w:rsidRDefault="00150553" w:rsidP="008C54E8">
            <w:pPr>
              <w:snapToGrid w:val="0"/>
              <w:spacing w:line="360" w:lineRule="auto"/>
              <w:jc w:val="both"/>
              <w:rPr>
                <w:rFonts w:ascii="Book Antiqua" w:hAnsi="Book Antiqua"/>
                <w:b/>
                <w:color w:val="000000"/>
                <w:lang w:val="it-IT" w:eastAsia="it-IT"/>
              </w:rPr>
            </w:pPr>
            <w:r w:rsidRPr="008C54E8">
              <w:rPr>
                <w:rFonts w:ascii="Book Antiqua" w:hAnsi="Book Antiqua"/>
                <w:b/>
                <w:color w:val="000000"/>
                <w:lang w:val="it-IT" w:eastAsia="it-IT"/>
              </w:rPr>
              <w:t>Men</w:t>
            </w:r>
          </w:p>
        </w:tc>
        <w:tc>
          <w:tcPr>
            <w:tcW w:w="1093" w:type="dxa"/>
            <w:tcBorders>
              <w:top w:val="single" w:sz="4" w:space="0" w:color="auto"/>
              <w:left w:val="nil"/>
              <w:bottom w:val="nil"/>
              <w:right w:val="nil"/>
            </w:tcBorders>
            <w:shd w:val="clear" w:color="auto" w:fill="auto"/>
            <w:noWrap/>
            <w:vAlign w:val="bottom"/>
            <w:hideMark/>
          </w:tcPr>
          <w:p w14:paraId="794616FE" w14:textId="77777777" w:rsidR="00150553" w:rsidRPr="008C54E8" w:rsidRDefault="00150553" w:rsidP="008C54E8">
            <w:pPr>
              <w:snapToGrid w:val="0"/>
              <w:spacing w:line="360" w:lineRule="auto"/>
              <w:jc w:val="both"/>
              <w:rPr>
                <w:rFonts w:ascii="Book Antiqua" w:hAnsi="Book Antiqua"/>
                <w:b/>
                <w:color w:val="000000"/>
                <w:lang w:val="it-IT" w:eastAsia="it-IT"/>
              </w:rPr>
            </w:pPr>
            <w:r w:rsidRPr="008C54E8">
              <w:rPr>
                <w:rFonts w:ascii="Book Antiqua" w:hAnsi="Book Antiqua"/>
                <w:b/>
                <w:color w:val="000000"/>
                <w:lang w:val="it-IT" w:eastAsia="it-IT"/>
              </w:rPr>
              <w:t>Women</w:t>
            </w:r>
          </w:p>
        </w:tc>
      </w:tr>
      <w:tr w:rsidR="00C808A0" w:rsidRPr="00872B32" w14:paraId="04D7638A" w14:textId="77777777" w:rsidTr="00074F2C">
        <w:trPr>
          <w:trHeight w:val="499"/>
        </w:trPr>
        <w:tc>
          <w:tcPr>
            <w:tcW w:w="585" w:type="dxa"/>
            <w:tcBorders>
              <w:top w:val="nil"/>
              <w:left w:val="nil"/>
              <w:bottom w:val="nil"/>
              <w:right w:val="nil"/>
            </w:tcBorders>
            <w:shd w:val="clear" w:color="auto" w:fill="auto"/>
            <w:noWrap/>
            <w:vAlign w:val="bottom"/>
            <w:hideMark/>
          </w:tcPr>
          <w:p w14:paraId="6FF83F95"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3156" w:type="dxa"/>
            <w:gridSpan w:val="3"/>
            <w:tcBorders>
              <w:top w:val="nil"/>
              <w:left w:val="nil"/>
              <w:bottom w:val="single" w:sz="4" w:space="0" w:color="auto"/>
              <w:right w:val="nil"/>
            </w:tcBorders>
            <w:shd w:val="clear" w:color="auto" w:fill="auto"/>
            <w:noWrap/>
            <w:vAlign w:val="bottom"/>
            <w:hideMark/>
          </w:tcPr>
          <w:p w14:paraId="21AC39A8" w14:textId="77777777" w:rsidR="00150553" w:rsidRPr="00872B32" w:rsidRDefault="00150553" w:rsidP="008C54E8">
            <w:pPr>
              <w:snapToGrid w:val="0"/>
              <w:spacing w:line="360" w:lineRule="auto"/>
              <w:jc w:val="center"/>
              <w:rPr>
                <w:rFonts w:ascii="Book Antiqua" w:hAnsi="Book Antiqua"/>
                <w:b/>
                <w:bCs/>
                <w:i/>
                <w:color w:val="000000"/>
                <w:lang w:val="it-IT" w:eastAsia="it-IT"/>
              </w:rPr>
            </w:pPr>
            <w:r w:rsidRPr="00872B32">
              <w:rPr>
                <w:rFonts w:ascii="Book Antiqua" w:hAnsi="Book Antiqua"/>
                <w:b/>
                <w:bCs/>
                <w:i/>
                <w:color w:val="000000"/>
                <w:lang w:val="it-IT" w:eastAsia="it-IT"/>
              </w:rPr>
              <w:t>H/H</w:t>
            </w:r>
          </w:p>
        </w:tc>
        <w:tc>
          <w:tcPr>
            <w:tcW w:w="200" w:type="dxa"/>
            <w:tcBorders>
              <w:top w:val="nil"/>
              <w:left w:val="nil"/>
              <w:bottom w:val="nil"/>
              <w:right w:val="nil"/>
            </w:tcBorders>
            <w:shd w:val="clear" w:color="auto" w:fill="auto"/>
            <w:noWrap/>
            <w:vAlign w:val="bottom"/>
            <w:hideMark/>
          </w:tcPr>
          <w:p w14:paraId="672CA5B0" w14:textId="77777777" w:rsidR="00150553" w:rsidRPr="00872B32" w:rsidRDefault="00150553" w:rsidP="008C54E8">
            <w:pPr>
              <w:snapToGrid w:val="0"/>
              <w:spacing w:line="360" w:lineRule="auto"/>
              <w:jc w:val="center"/>
              <w:rPr>
                <w:rFonts w:ascii="Book Antiqua" w:hAnsi="Book Antiqua"/>
                <w:b/>
                <w:bCs/>
                <w:i/>
                <w:color w:val="000000"/>
                <w:lang w:val="it-IT" w:eastAsia="it-IT"/>
              </w:rPr>
            </w:pPr>
          </w:p>
        </w:tc>
        <w:tc>
          <w:tcPr>
            <w:tcW w:w="2751" w:type="dxa"/>
            <w:gridSpan w:val="3"/>
            <w:tcBorders>
              <w:top w:val="nil"/>
              <w:left w:val="nil"/>
              <w:bottom w:val="single" w:sz="4" w:space="0" w:color="auto"/>
              <w:right w:val="nil"/>
            </w:tcBorders>
            <w:shd w:val="clear" w:color="auto" w:fill="auto"/>
            <w:noWrap/>
            <w:vAlign w:val="bottom"/>
            <w:hideMark/>
          </w:tcPr>
          <w:p w14:paraId="36DD51F7" w14:textId="77777777" w:rsidR="00150553" w:rsidRPr="00872B32" w:rsidRDefault="00150553" w:rsidP="008C54E8">
            <w:pPr>
              <w:snapToGrid w:val="0"/>
              <w:spacing w:line="360" w:lineRule="auto"/>
              <w:jc w:val="center"/>
              <w:rPr>
                <w:rFonts w:ascii="Book Antiqua" w:hAnsi="Book Antiqua"/>
                <w:b/>
                <w:bCs/>
                <w:i/>
                <w:color w:val="000000"/>
                <w:lang w:val="it-IT" w:eastAsia="it-IT"/>
              </w:rPr>
            </w:pPr>
            <w:r w:rsidRPr="00872B32">
              <w:rPr>
                <w:rFonts w:ascii="Book Antiqua" w:hAnsi="Book Antiqua"/>
                <w:b/>
                <w:bCs/>
                <w:i/>
                <w:color w:val="000000"/>
                <w:lang w:val="it-IT" w:eastAsia="it-IT"/>
              </w:rPr>
              <w:t>H/R</w:t>
            </w:r>
          </w:p>
        </w:tc>
        <w:tc>
          <w:tcPr>
            <w:tcW w:w="200" w:type="dxa"/>
            <w:tcBorders>
              <w:top w:val="nil"/>
              <w:left w:val="nil"/>
              <w:bottom w:val="nil"/>
              <w:right w:val="nil"/>
            </w:tcBorders>
            <w:shd w:val="clear" w:color="auto" w:fill="auto"/>
            <w:noWrap/>
            <w:vAlign w:val="bottom"/>
            <w:hideMark/>
          </w:tcPr>
          <w:p w14:paraId="639E4253" w14:textId="77777777" w:rsidR="00150553" w:rsidRPr="00872B32" w:rsidRDefault="00150553" w:rsidP="008C54E8">
            <w:pPr>
              <w:snapToGrid w:val="0"/>
              <w:spacing w:line="360" w:lineRule="auto"/>
              <w:jc w:val="center"/>
              <w:rPr>
                <w:rFonts w:ascii="Book Antiqua" w:hAnsi="Book Antiqua"/>
                <w:b/>
                <w:bCs/>
                <w:i/>
                <w:color w:val="000000"/>
                <w:lang w:val="it-IT" w:eastAsia="it-IT"/>
              </w:rPr>
            </w:pPr>
          </w:p>
        </w:tc>
        <w:tc>
          <w:tcPr>
            <w:tcW w:w="3312" w:type="dxa"/>
            <w:gridSpan w:val="3"/>
            <w:tcBorders>
              <w:top w:val="nil"/>
              <w:left w:val="nil"/>
              <w:bottom w:val="single" w:sz="4" w:space="0" w:color="auto"/>
              <w:right w:val="nil"/>
            </w:tcBorders>
            <w:shd w:val="clear" w:color="auto" w:fill="auto"/>
            <w:noWrap/>
            <w:vAlign w:val="bottom"/>
            <w:hideMark/>
          </w:tcPr>
          <w:p w14:paraId="496362F0" w14:textId="77777777" w:rsidR="00150553" w:rsidRPr="00872B32" w:rsidRDefault="00150553" w:rsidP="008C54E8">
            <w:pPr>
              <w:snapToGrid w:val="0"/>
              <w:spacing w:line="360" w:lineRule="auto"/>
              <w:jc w:val="center"/>
              <w:rPr>
                <w:rFonts w:ascii="Book Antiqua" w:hAnsi="Book Antiqua"/>
                <w:b/>
                <w:bCs/>
                <w:i/>
                <w:color w:val="000000"/>
                <w:lang w:val="it-IT" w:eastAsia="it-IT"/>
              </w:rPr>
            </w:pPr>
            <w:r w:rsidRPr="00872B32">
              <w:rPr>
                <w:rFonts w:ascii="Book Antiqua" w:hAnsi="Book Antiqua"/>
                <w:b/>
                <w:bCs/>
                <w:i/>
                <w:color w:val="000000"/>
                <w:lang w:val="it-IT" w:eastAsia="it-IT"/>
              </w:rPr>
              <w:t>R/R</w:t>
            </w:r>
          </w:p>
        </w:tc>
      </w:tr>
      <w:tr w:rsidR="00C808A0" w:rsidRPr="00872B32" w14:paraId="65592B36" w14:textId="77777777" w:rsidTr="00074F2C">
        <w:trPr>
          <w:trHeight w:val="255"/>
        </w:trPr>
        <w:tc>
          <w:tcPr>
            <w:tcW w:w="585" w:type="dxa"/>
            <w:tcBorders>
              <w:top w:val="nil"/>
              <w:left w:val="nil"/>
              <w:bottom w:val="nil"/>
              <w:right w:val="nil"/>
            </w:tcBorders>
            <w:shd w:val="clear" w:color="auto" w:fill="auto"/>
            <w:noWrap/>
            <w:vAlign w:val="bottom"/>
            <w:hideMark/>
          </w:tcPr>
          <w:p w14:paraId="56124A25" w14:textId="77777777" w:rsidR="00150553" w:rsidRPr="00872B32" w:rsidRDefault="00150553" w:rsidP="008C54E8">
            <w:pPr>
              <w:snapToGrid w:val="0"/>
              <w:spacing w:line="360" w:lineRule="auto"/>
              <w:jc w:val="both"/>
              <w:rPr>
                <w:rFonts w:ascii="Book Antiqua" w:hAnsi="Book Antiqua"/>
                <w:b/>
                <w:bCs/>
                <w:color w:val="000000"/>
                <w:lang w:val="it-IT" w:eastAsia="it-IT"/>
              </w:rPr>
            </w:pPr>
          </w:p>
        </w:tc>
        <w:tc>
          <w:tcPr>
            <w:tcW w:w="973" w:type="dxa"/>
            <w:tcBorders>
              <w:top w:val="nil"/>
              <w:left w:val="nil"/>
              <w:bottom w:val="nil"/>
              <w:right w:val="nil"/>
            </w:tcBorders>
            <w:shd w:val="clear" w:color="auto" w:fill="auto"/>
            <w:noWrap/>
            <w:vAlign w:val="bottom"/>
            <w:hideMark/>
          </w:tcPr>
          <w:p w14:paraId="16B3634E"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0" w:type="dxa"/>
            <w:tcBorders>
              <w:top w:val="nil"/>
              <w:left w:val="nil"/>
              <w:bottom w:val="nil"/>
              <w:right w:val="nil"/>
            </w:tcBorders>
            <w:shd w:val="clear" w:color="auto" w:fill="auto"/>
            <w:noWrap/>
            <w:vAlign w:val="bottom"/>
            <w:hideMark/>
          </w:tcPr>
          <w:p w14:paraId="7AF57675"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14:paraId="35CE5F84"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14:paraId="49330BE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465CFC5B"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14:paraId="7849FB8F"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978" w:type="dxa"/>
            <w:tcBorders>
              <w:top w:val="nil"/>
              <w:left w:val="nil"/>
              <w:bottom w:val="nil"/>
              <w:right w:val="nil"/>
            </w:tcBorders>
            <w:shd w:val="clear" w:color="auto" w:fill="auto"/>
            <w:noWrap/>
            <w:vAlign w:val="bottom"/>
            <w:hideMark/>
          </w:tcPr>
          <w:p w14:paraId="4944883F"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14:paraId="652BB6EB"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14:paraId="59155400"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14:paraId="22445CCB"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14:paraId="33A89497" w14:textId="77777777" w:rsidR="00150553" w:rsidRPr="00872B32" w:rsidRDefault="00150553" w:rsidP="008C54E8">
            <w:pPr>
              <w:snapToGrid w:val="0"/>
              <w:spacing w:line="360" w:lineRule="auto"/>
              <w:jc w:val="both"/>
              <w:rPr>
                <w:rFonts w:ascii="Book Antiqua" w:hAnsi="Book Antiqua"/>
                <w:color w:val="000000"/>
                <w:lang w:val="it-IT" w:eastAsia="it-IT"/>
              </w:rPr>
            </w:pPr>
          </w:p>
        </w:tc>
      </w:tr>
      <w:tr w:rsidR="00C808A0" w:rsidRPr="00872B32" w14:paraId="53B669DE"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28DBA5F6" w14:textId="77777777" w:rsidR="00150553" w:rsidRPr="00872B32" w:rsidRDefault="00150553"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V/V</w:t>
            </w:r>
          </w:p>
        </w:tc>
        <w:tc>
          <w:tcPr>
            <w:tcW w:w="973" w:type="dxa"/>
            <w:tcBorders>
              <w:top w:val="nil"/>
              <w:left w:val="nil"/>
              <w:bottom w:val="nil"/>
              <w:right w:val="nil"/>
            </w:tcBorders>
            <w:shd w:val="clear" w:color="auto" w:fill="auto"/>
            <w:noWrap/>
            <w:vAlign w:val="bottom"/>
            <w:hideMark/>
          </w:tcPr>
          <w:p w14:paraId="0D7AA510"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38.89</w:t>
            </w:r>
          </w:p>
        </w:tc>
        <w:tc>
          <w:tcPr>
            <w:tcW w:w="1090" w:type="dxa"/>
            <w:tcBorders>
              <w:top w:val="nil"/>
              <w:left w:val="nil"/>
              <w:bottom w:val="nil"/>
              <w:right w:val="nil"/>
            </w:tcBorders>
            <w:shd w:val="clear" w:color="auto" w:fill="auto"/>
            <w:noWrap/>
            <w:vAlign w:val="bottom"/>
            <w:hideMark/>
          </w:tcPr>
          <w:p w14:paraId="351B105C"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40.00</w:t>
            </w:r>
          </w:p>
        </w:tc>
        <w:tc>
          <w:tcPr>
            <w:tcW w:w="1093" w:type="dxa"/>
            <w:tcBorders>
              <w:top w:val="nil"/>
              <w:left w:val="nil"/>
              <w:bottom w:val="nil"/>
              <w:right w:val="nil"/>
            </w:tcBorders>
            <w:shd w:val="clear" w:color="auto" w:fill="auto"/>
            <w:noWrap/>
            <w:vAlign w:val="bottom"/>
            <w:hideMark/>
          </w:tcPr>
          <w:p w14:paraId="6A4F6014"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38.46</w:t>
            </w:r>
          </w:p>
        </w:tc>
        <w:tc>
          <w:tcPr>
            <w:tcW w:w="200" w:type="dxa"/>
            <w:tcBorders>
              <w:top w:val="nil"/>
              <w:left w:val="nil"/>
              <w:bottom w:val="nil"/>
              <w:right w:val="nil"/>
            </w:tcBorders>
            <w:shd w:val="clear" w:color="auto" w:fill="auto"/>
            <w:noWrap/>
            <w:vAlign w:val="bottom"/>
            <w:hideMark/>
          </w:tcPr>
          <w:p w14:paraId="0225C420"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7DE19F77"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9.01</w:t>
            </w:r>
          </w:p>
        </w:tc>
        <w:tc>
          <w:tcPr>
            <w:tcW w:w="1093" w:type="dxa"/>
            <w:tcBorders>
              <w:top w:val="nil"/>
              <w:left w:val="nil"/>
              <w:bottom w:val="nil"/>
              <w:right w:val="nil"/>
            </w:tcBorders>
            <w:shd w:val="clear" w:color="auto" w:fill="auto"/>
            <w:noWrap/>
            <w:vAlign w:val="bottom"/>
            <w:hideMark/>
          </w:tcPr>
          <w:p w14:paraId="53AFA001"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11.11</w:t>
            </w:r>
          </w:p>
        </w:tc>
        <w:tc>
          <w:tcPr>
            <w:tcW w:w="978" w:type="dxa"/>
            <w:tcBorders>
              <w:top w:val="nil"/>
              <w:left w:val="nil"/>
              <w:bottom w:val="nil"/>
              <w:right w:val="nil"/>
            </w:tcBorders>
            <w:shd w:val="clear" w:color="auto" w:fill="auto"/>
            <w:noWrap/>
            <w:vAlign w:val="bottom"/>
            <w:hideMark/>
          </w:tcPr>
          <w:p w14:paraId="139A1604"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7.70</w:t>
            </w:r>
          </w:p>
        </w:tc>
        <w:tc>
          <w:tcPr>
            <w:tcW w:w="200" w:type="dxa"/>
            <w:tcBorders>
              <w:top w:val="nil"/>
              <w:left w:val="nil"/>
              <w:bottom w:val="nil"/>
              <w:right w:val="nil"/>
            </w:tcBorders>
            <w:shd w:val="clear" w:color="auto" w:fill="auto"/>
            <w:noWrap/>
            <w:vAlign w:val="bottom"/>
            <w:hideMark/>
          </w:tcPr>
          <w:p w14:paraId="194B4E27"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14:paraId="7901F892"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8.33</w:t>
            </w:r>
          </w:p>
        </w:tc>
        <w:tc>
          <w:tcPr>
            <w:tcW w:w="1093" w:type="dxa"/>
            <w:tcBorders>
              <w:top w:val="nil"/>
              <w:left w:val="nil"/>
              <w:bottom w:val="nil"/>
              <w:right w:val="nil"/>
            </w:tcBorders>
            <w:shd w:val="clear" w:color="auto" w:fill="auto"/>
            <w:noWrap/>
            <w:vAlign w:val="bottom"/>
            <w:hideMark/>
          </w:tcPr>
          <w:p w14:paraId="5BA9E10A"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16.67</w:t>
            </w:r>
          </w:p>
        </w:tc>
        <w:tc>
          <w:tcPr>
            <w:tcW w:w="1093" w:type="dxa"/>
            <w:tcBorders>
              <w:top w:val="nil"/>
              <w:left w:val="nil"/>
              <w:bottom w:val="nil"/>
              <w:right w:val="nil"/>
            </w:tcBorders>
            <w:shd w:val="clear" w:color="auto" w:fill="auto"/>
            <w:noWrap/>
            <w:vAlign w:val="bottom"/>
            <w:hideMark/>
          </w:tcPr>
          <w:p w14:paraId="1F2B1AF8"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r>
      <w:tr w:rsidR="00C808A0" w:rsidRPr="00872B32" w14:paraId="13356130"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18085852" w14:textId="77777777" w:rsidR="00150553" w:rsidRPr="00872B32" w:rsidRDefault="00150553"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V/F</w:t>
            </w:r>
          </w:p>
        </w:tc>
        <w:tc>
          <w:tcPr>
            <w:tcW w:w="973" w:type="dxa"/>
            <w:tcBorders>
              <w:top w:val="nil"/>
              <w:left w:val="nil"/>
              <w:bottom w:val="nil"/>
              <w:right w:val="nil"/>
            </w:tcBorders>
            <w:shd w:val="clear" w:color="auto" w:fill="auto"/>
            <w:noWrap/>
            <w:vAlign w:val="bottom"/>
            <w:hideMark/>
          </w:tcPr>
          <w:p w14:paraId="13310022"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55.55</w:t>
            </w:r>
          </w:p>
        </w:tc>
        <w:tc>
          <w:tcPr>
            <w:tcW w:w="1090" w:type="dxa"/>
            <w:tcBorders>
              <w:top w:val="nil"/>
              <w:left w:val="nil"/>
              <w:bottom w:val="nil"/>
              <w:right w:val="nil"/>
            </w:tcBorders>
            <w:shd w:val="clear" w:color="auto" w:fill="auto"/>
            <w:noWrap/>
            <w:vAlign w:val="bottom"/>
            <w:hideMark/>
          </w:tcPr>
          <w:p w14:paraId="59DED09F"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40.00</w:t>
            </w:r>
          </w:p>
        </w:tc>
        <w:tc>
          <w:tcPr>
            <w:tcW w:w="1093" w:type="dxa"/>
            <w:tcBorders>
              <w:top w:val="nil"/>
              <w:left w:val="nil"/>
              <w:bottom w:val="nil"/>
              <w:right w:val="nil"/>
            </w:tcBorders>
            <w:shd w:val="clear" w:color="auto" w:fill="auto"/>
            <w:noWrap/>
            <w:vAlign w:val="bottom"/>
            <w:hideMark/>
          </w:tcPr>
          <w:p w14:paraId="53F64D69"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61.54</w:t>
            </w:r>
          </w:p>
        </w:tc>
        <w:tc>
          <w:tcPr>
            <w:tcW w:w="200" w:type="dxa"/>
            <w:tcBorders>
              <w:top w:val="nil"/>
              <w:left w:val="nil"/>
              <w:bottom w:val="nil"/>
              <w:right w:val="nil"/>
            </w:tcBorders>
            <w:shd w:val="clear" w:color="auto" w:fill="auto"/>
            <w:noWrap/>
            <w:vAlign w:val="bottom"/>
            <w:hideMark/>
          </w:tcPr>
          <w:p w14:paraId="2B049355"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6994E3B7"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68.18</w:t>
            </w:r>
          </w:p>
        </w:tc>
        <w:tc>
          <w:tcPr>
            <w:tcW w:w="1093" w:type="dxa"/>
            <w:tcBorders>
              <w:top w:val="nil"/>
              <w:left w:val="nil"/>
              <w:bottom w:val="nil"/>
              <w:right w:val="nil"/>
            </w:tcBorders>
            <w:shd w:val="clear" w:color="auto" w:fill="auto"/>
            <w:noWrap/>
            <w:vAlign w:val="bottom"/>
            <w:hideMark/>
          </w:tcPr>
          <w:p w14:paraId="0FF0DA65"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55.55</w:t>
            </w:r>
          </w:p>
        </w:tc>
        <w:tc>
          <w:tcPr>
            <w:tcW w:w="978" w:type="dxa"/>
            <w:tcBorders>
              <w:top w:val="nil"/>
              <w:left w:val="nil"/>
              <w:bottom w:val="nil"/>
              <w:right w:val="nil"/>
            </w:tcBorders>
            <w:shd w:val="clear" w:color="auto" w:fill="auto"/>
            <w:noWrap/>
            <w:vAlign w:val="bottom"/>
            <w:hideMark/>
          </w:tcPr>
          <w:p w14:paraId="25F71249"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76.92</w:t>
            </w:r>
          </w:p>
        </w:tc>
        <w:tc>
          <w:tcPr>
            <w:tcW w:w="200" w:type="dxa"/>
            <w:tcBorders>
              <w:top w:val="nil"/>
              <w:left w:val="nil"/>
              <w:bottom w:val="nil"/>
              <w:right w:val="nil"/>
            </w:tcBorders>
            <w:shd w:val="clear" w:color="auto" w:fill="auto"/>
            <w:noWrap/>
            <w:vAlign w:val="bottom"/>
            <w:hideMark/>
          </w:tcPr>
          <w:p w14:paraId="128539D6"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14:paraId="1C088CE1"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75.00</w:t>
            </w:r>
          </w:p>
        </w:tc>
        <w:tc>
          <w:tcPr>
            <w:tcW w:w="1093" w:type="dxa"/>
            <w:tcBorders>
              <w:top w:val="nil"/>
              <w:left w:val="nil"/>
              <w:bottom w:val="nil"/>
              <w:right w:val="nil"/>
            </w:tcBorders>
            <w:shd w:val="clear" w:color="auto" w:fill="auto"/>
            <w:noWrap/>
            <w:vAlign w:val="bottom"/>
            <w:hideMark/>
          </w:tcPr>
          <w:p w14:paraId="0F1147D1"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83.33</w:t>
            </w:r>
          </w:p>
        </w:tc>
        <w:tc>
          <w:tcPr>
            <w:tcW w:w="1093" w:type="dxa"/>
            <w:tcBorders>
              <w:top w:val="nil"/>
              <w:left w:val="nil"/>
              <w:bottom w:val="nil"/>
              <w:right w:val="nil"/>
            </w:tcBorders>
            <w:shd w:val="clear" w:color="auto" w:fill="auto"/>
            <w:noWrap/>
            <w:vAlign w:val="bottom"/>
            <w:hideMark/>
          </w:tcPr>
          <w:p w14:paraId="24FCD99F"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66.67</w:t>
            </w:r>
          </w:p>
        </w:tc>
      </w:tr>
      <w:tr w:rsidR="00C808A0" w:rsidRPr="00872B32" w14:paraId="131CA84C"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01DE194D" w14:textId="77777777" w:rsidR="00150553" w:rsidRPr="00872B32" w:rsidRDefault="00150553"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F/F</w:t>
            </w:r>
          </w:p>
        </w:tc>
        <w:tc>
          <w:tcPr>
            <w:tcW w:w="973" w:type="dxa"/>
            <w:tcBorders>
              <w:top w:val="nil"/>
              <w:left w:val="nil"/>
              <w:bottom w:val="nil"/>
              <w:right w:val="nil"/>
            </w:tcBorders>
            <w:shd w:val="clear" w:color="auto" w:fill="auto"/>
            <w:noWrap/>
            <w:vAlign w:val="bottom"/>
            <w:hideMark/>
          </w:tcPr>
          <w:p w14:paraId="407D4E8D"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5.50</w:t>
            </w:r>
          </w:p>
        </w:tc>
        <w:tc>
          <w:tcPr>
            <w:tcW w:w="1090" w:type="dxa"/>
            <w:tcBorders>
              <w:top w:val="nil"/>
              <w:left w:val="nil"/>
              <w:bottom w:val="nil"/>
              <w:right w:val="nil"/>
            </w:tcBorders>
            <w:shd w:val="clear" w:color="auto" w:fill="auto"/>
            <w:noWrap/>
            <w:vAlign w:val="bottom"/>
            <w:hideMark/>
          </w:tcPr>
          <w:p w14:paraId="223B5E2E"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20.00</w:t>
            </w:r>
          </w:p>
        </w:tc>
        <w:tc>
          <w:tcPr>
            <w:tcW w:w="1093" w:type="dxa"/>
            <w:tcBorders>
              <w:top w:val="nil"/>
              <w:left w:val="nil"/>
              <w:bottom w:val="nil"/>
              <w:right w:val="nil"/>
            </w:tcBorders>
            <w:shd w:val="clear" w:color="auto" w:fill="auto"/>
            <w:noWrap/>
            <w:vAlign w:val="bottom"/>
            <w:hideMark/>
          </w:tcPr>
          <w:p w14:paraId="5A98C4DB"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14:paraId="31C4DD9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687620D4"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22.72</w:t>
            </w:r>
          </w:p>
        </w:tc>
        <w:tc>
          <w:tcPr>
            <w:tcW w:w="1093" w:type="dxa"/>
            <w:tcBorders>
              <w:top w:val="nil"/>
              <w:left w:val="nil"/>
              <w:bottom w:val="nil"/>
              <w:right w:val="nil"/>
            </w:tcBorders>
            <w:shd w:val="clear" w:color="auto" w:fill="auto"/>
            <w:noWrap/>
            <w:vAlign w:val="bottom"/>
            <w:hideMark/>
          </w:tcPr>
          <w:p w14:paraId="16D65496"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33.33</w:t>
            </w:r>
          </w:p>
        </w:tc>
        <w:tc>
          <w:tcPr>
            <w:tcW w:w="978" w:type="dxa"/>
            <w:tcBorders>
              <w:top w:val="nil"/>
              <w:left w:val="nil"/>
              <w:bottom w:val="nil"/>
              <w:right w:val="nil"/>
            </w:tcBorders>
            <w:shd w:val="clear" w:color="auto" w:fill="auto"/>
            <w:noWrap/>
            <w:vAlign w:val="bottom"/>
            <w:hideMark/>
          </w:tcPr>
          <w:p w14:paraId="3777C3BA"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15.38</w:t>
            </w:r>
          </w:p>
        </w:tc>
        <w:tc>
          <w:tcPr>
            <w:tcW w:w="200" w:type="dxa"/>
            <w:tcBorders>
              <w:top w:val="nil"/>
              <w:left w:val="nil"/>
              <w:bottom w:val="nil"/>
              <w:right w:val="nil"/>
            </w:tcBorders>
            <w:shd w:val="clear" w:color="auto" w:fill="auto"/>
            <w:noWrap/>
            <w:vAlign w:val="bottom"/>
            <w:hideMark/>
          </w:tcPr>
          <w:p w14:paraId="089C8A1E"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14:paraId="786B68AD"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16.67</w:t>
            </w:r>
          </w:p>
        </w:tc>
        <w:tc>
          <w:tcPr>
            <w:tcW w:w="1093" w:type="dxa"/>
            <w:tcBorders>
              <w:top w:val="nil"/>
              <w:left w:val="nil"/>
              <w:bottom w:val="nil"/>
              <w:right w:val="nil"/>
            </w:tcBorders>
            <w:shd w:val="clear" w:color="auto" w:fill="auto"/>
            <w:noWrap/>
            <w:vAlign w:val="bottom"/>
            <w:hideMark/>
          </w:tcPr>
          <w:p w14:paraId="4B9BB580"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14:paraId="2F8EC4B2"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33.33</w:t>
            </w:r>
          </w:p>
        </w:tc>
      </w:tr>
      <w:tr w:rsidR="00C808A0" w:rsidRPr="00872B32" w14:paraId="38FC8958" w14:textId="77777777" w:rsidTr="00074F2C">
        <w:trPr>
          <w:trHeight w:val="255"/>
        </w:trPr>
        <w:tc>
          <w:tcPr>
            <w:tcW w:w="585" w:type="dxa"/>
            <w:tcBorders>
              <w:top w:val="nil"/>
              <w:left w:val="nil"/>
              <w:right w:val="nil"/>
            </w:tcBorders>
            <w:shd w:val="clear" w:color="auto" w:fill="auto"/>
            <w:noWrap/>
            <w:vAlign w:val="bottom"/>
            <w:hideMark/>
          </w:tcPr>
          <w:p w14:paraId="4D7137F6" w14:textId="77777777" w:rsidR="00150553" w:rsidRPr="00872B32" w:rsidRDefault="00150553" w:rsidP="008C54E8">
            <w:pPr>
              <w:snapToGrid w:val="0"/>
              <w:spacing w:line="360" w:lineRule="auto"/>
              <w:jc w:val="both"/>
              <w:rPr>
                <w:rFonts w:ascii="Book Antiqua" w:hAnsi="Book Antiqua"/>
                <w:i/>
                <w:color w:val="000000"/>
                <w:lang w:val="it-IT" w:eastAsia="it-IT"/>
              </w:rPr>
            </w:pPr>
          </w:p>
        </w:tc>
        <w:tc>
          <w:tcPr>
            <w:tcW w:w="973" w:type="dxa"/>
            <w:tcBorders>
              <w:top w:val="nil"/>
              <w:left w:val="nil"/>
              <w:right w:val="nil"/>
            </w:tcBorders>
            <w:shd w:val="clear" w:color="auto" w:fill="auto"/>
            <w:noWrap/>
            <w:vAlign w:val="bottom"/>
            <w:hideMark/>
          </w:tcPr>
          <w:p w14:paraId="0B7CB5BB"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0" w:type="dxa"/>
            <w:tcBorders>
              <w:top w:val="nil"/>
              <w:left w:val="nil"/>
              <w:right w:val="nil"/>
            </w:tcBorders>
            <w:shd w:val="clear" w:color="auto" w:fill="auto"/>
            <w:noWrap/>
            <w:vAlign w:val="bottom"/>
            <w:hideMark/>
          </w:tcPr>
          <w:p w14:paraId="4A5486D9"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14:paraId="27C60A5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top w:val="nil"/>
              <w:left w:val="nil"/>
              <w:right w:val="nil"/>
            </w:tcBorders>
            <w:shd w:val="clear" w:color="auto" w:fill="auto"/>
            <w:noWrap/>
            <w:vAlign w:val="bottom"/>
            <w:hideMark/>
          </w:tcPr>
          <w:p w14:paraId="7387D82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right w:val="nil"/>
            </w:tcBorders>
            <w:shd w:val="clear" w:color="auto" w:fill="auto"/>
            <w:noWrap/>
            <w:vAlign w:val="bottom"/>
            <w:hideMark/>
          </w:tcPr>
          <w:p w14:paraId="3D7CA950"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14:paraId="727824D2"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978" w:type="dxa"/>
            <w:tcBorders>
              <w:top w:val="nil"/>
              <w:left w:val="nil"/>
              <w:right w:val="nil"/>
            </w:tcBorders>
            <w:shd w:val="clear" w:color="auto" w:fill="auto"/>
            <w:noWrap/>
            <w:vAlign w:val="bottom"/>
            <w:hideMark/>
          </w:tcPr>
          <w:p w14:paraId="0629866D"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top w:val="nil"/>
              <w:left w:val="nil"/>
              <w:right w:val="nil"/>
            </w:tcBorders>
            <w:shd w:val="clear" w:color="auto" w:fill="auto"/>
            <w:noWrap/>
            <w:vAlign w:val="bottom"/>
            <w:hideMark/>
          </w:tcPr>
          <w:p w14:paraId="0216BA13"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right w:val="nil"/>
            </w:tcBorders>
            <w:shd w:val="clear" w:color="auto" w:fill="auto"/>
            <w:noWrap/>
            <w:vAlign w:val="bottom"/>
            <w:hideMark/>
          </w:tcPr>
          <w:p w14:paraId="3CED2067"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14:paraId="7000DD6B"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14:paraId="6C3B4615" w14:textId="77777777" w:rsidR="00150553" w:rsidRPr="00872B32" w:rsidRDefault="00150553" w:rsidP="008C54E8">
            <w:pPr>
              <w:snapToGrid w:val="0"/>
              <w:spacing w:line="360" w:lineRule="auto"/>
              <w:jc w:val="both"/>
              <w:rPr>
                <w:rFonts w:ascii="Book Antiqua" w:hAnsi="Book Antiqua"/>
                <w:color w:val="000000"/>
                <w:lang w:val="it-IT" w:eastAsia="it-IT"/>
              </w:rPr>
            </w:pPr>
          </w:p>
        </w:tc>
      </w:tr>
      <w:tr w:rsidR="00C808A0" w:rsidRPr="00872B32" w14:paraId="3BB41444" w14:textId="77777777" w:rsidTr="00074F2C">
        <w:trPr>
          <w:trHeight w:val="439"/>
        </w:trPr>
        <w:tc>
          <w:tcPr>
            <w:tcW w:w="585" w:type="dxa"/>
            <w:tcBorders>
              <w:top w:val="nil"/>
              <w:left w:val="nil"/>
              <w:right w:val="nil"/>
            </w:tcBorders>
            <w:shd w:val="clear" w:color="auto" w:fill="auto"/>
            <w:noWrap/>
            <w:vAlign w:val="center"/>
            <w:hideMark/>
          </w:tcPr>
          <w:p w14:paraId="4B2DB63B" w14:textId="77777777" w:rsidR="00150553" w:rsidRPr="00872B32" w:rsidRDefault="00150553" w:rsidP="008C54E8">
            <w:pPr>
              <w:snapToGrid w:val="0"/>
              <w:spacing w:line="360" w:lineRule="auto"/>
              <w:jc w:val="both"/>
              <w:rPr>
                <w:rFonts w:ascii="Book Antiqua" w:hAnsi="Book Antiqua"/>
                <w:i/>
                <w:color w:val="000000"/>
                <w:lang w:val="it-IT" w:eastAsia="it-IT"/>
              </w:rPr>
            </w:pPr>
          </w:p>
        </w:tc>
        <w:tc>
          <w:tcPr>
            <w:tcW w:w="9619" w:type="dxa"/>
            <w:gridSpan w:val="11"/>
            <w:tcBorders>
              <w:top w:val="nil"/>
              <w:left w:val="nil"/>
              <w:right w:val="nil"/>
            </w:tcBorders>
            <w:shd w:val="clear" w:color="auto" w:fill="auto"/>
            <w:noWrap/>
            <w:vAlign w:val="center"/>
            <w:hideMark/>
          </w:tcPr>
          <w:p w14:paraId="33B4D74B" w14:textId="77777777" w:rsidR="00150553" w:rsidRPr="00872B32" w:rsidRDefault="00C808A0" w:rsidP="008C54E8">
            <w:pPr>
              <w:snapToGrid w:val="0"/>
              <w:spacing w:line="360" w:lineRule="auto"/>
              <w:jc w:val="both"/>
              <w:rPr>
                <w:rFonts w:ascii="Book Antiqua" w:hAnsi="Book Antiqua"/>
                <w:b/>
                <w:bCs/>
                <w:color w:val="000000"/>
                <w:lang w:val="it-IT" w:eastAsia="it-IT"/>
              </w:rPr>
            </w:pPr>
            <w:r w:rsidRPr="00872B32">
              <w:rPr>
                <w:rFonts w:ascii="Book Antiqua" w:hAnsi="Book Antiqua"/>
                <w:b/>
                <w:bCs/>
                <w:color w:val="000000"/>
                <w:lang w:val="it-IT" w:eastAsia="it-IT"/>
              </w:rPr>
              <w:t xml:space="preserve"> </w:t>
            </w:r>
            <w:r w:rsidR="00150553" w:rsidRPr="00872B32">
              <w:rPr>
                <w:rFonts w:ascii="Book Antiqua" w:hAnsi="Book Antiqua"/>
                <w:b/>
                <w:bCs/>
                <w:color w:val="000000"/>
                <w:lang w:val="it-IT" w:eastAsia="it-IT"/>
              </w:rPr>
              <w:t>TP</w:t>
            </w:r>
          </w:p>
        </w:tc>
      </w:tr>
      <w:tr w:rsidR="00C808A0" w:rsidRPr="00872B32" w14:paraId="5295B9B7" w14:textId="77777777" w:rsidTr="00074F2C">
        <w:trPr>
          <w:trHeight w:val="255"/>
        </w:trPr>
        <w:tc>
          <w:tcPr>
            <w:tcW w:w="585" w:type="dxa"/>
            <w:tcBorders>
              <w:top w:val="nil"/>
              <w:left w:val="nil"/>
              <w:bottom w:val="nil"/>
              <w:right w:val="nil"/>
            </w:tcBorders>
            <w:shd w:val="clear" w:color="auto" w:fill="auto"/>
            <w:noWrap/>
            <w:vAlign w:val="bottom"/>
            <w:hideMark/>
          </w:tcPr>
          <w:p w14:paraId="067A3B24" w14:textId="77777777" w:rsidR="00150553" w:rsidRPr="00872B32" w:rsidRDefault="00150553" w:rsidP="008C54E8">
            <w:pPr>
              <w:snapToGrid w:val="0"/>
              <w:spacing w:line="360" w:lineRule="auto"/>
              <w:jc w:val="both"/>
              <w:rPr>
                <w:rFonts w:ascii="Book Antiqua" w:hAnsi="Book Antiqua"/>
                <w:b/>
                <w:bCs/>
                <w:i/>
                <w:color w:val="000000"/>
                <w:lang w:val="it-IT" w:eastAsia="it-IT"/>
              </w:rPr>
            </w:pPr>
          </w:p>
        </w:tc>
        <w:tc>
          <w:tcPr>
            <w:tcW w:w="973" w:type="dxa"/>
            <w:tcBorders>
              <w:top w:val="nil"/>
              <w:left w:val="nil"/>
              <w:bottom w:val="nil"/>
              <w:right w:val="nil"/>
            </w:tcBorders>
            <w:shd w:val="clear" w:color="auto" w:fill="auto"/>
            <w:noWrap/>
            <w:vAlign w:val="bottom"/>
            <w:hideMark/>
          </w:tcPr>
          <w:p w14:paraId="1A3B7DA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0" w:type="dxa"/>
            <w:tcBorders>
              <w:top w:val="nil"/>
              <w:left w:val="nil"/>
              <w:bottom w:val="nil"/>
              <w:right w:val="nil"/>
            </w:tcBorders>
            <w:shd w:val="clear" w:color="auto" w:fill="auto"/>
            <w:noWrap/>
            <w:vAlign w:val="bottom"/>
            <w:hideMark/>
          </w:tcPr>
          <w:p w14:paraId="7750B553"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14:paraId="6E4937CC"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14:paraId="09EE76B0"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1C4BEEDE"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14:paraId="28178594"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978" w:type="dxa"/>
            <w:tcBorders>
              <w:top w:val="nil"/>
              <w:left w:val="nil"/>
              <w:bottom w:val="nil"/>
              <w:right w:val="nil"/>
            </w:tcBorders>
            <w:shd w:val="clear" w:color="auto" w:fill="auto"/>
            <w:noWrap/>
            <w:vAlign w:val="bottom"/>
            <w:hideMark/>
          </w:tcPr>
          <w:p w14:paraId="296C4AD2"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14:paraId="3A7F1BC7"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14:paraId="395971B1"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14:paraId="376B6952"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14:paraId="2EB43659" w14:textId="77777777" w:rsidR="00150553" w:rsidRPr="00872B32" w:rsidRDefault="00150553" w:rsidP="008C54E8">
            <w:pPr>
              <w:snapToGrid w:val="0"/>
              <w:spacing w:line="360" w:lineRule="auto"/>
              <w:jc w:val="both"/>
              <w:rPr>
                <w:rFonts w:ascii="Book Antiqua" w:hAnsi="Book Antiqua"/>
                <w:color w:val="000000"/>
                <w:lang w:val="it-IT" w:eastAsia="it-IT"/>
              </w:rPr>
            </w:pPr>
          </w:p>
        </w:tc>
      </w:tr>
      <w:tr w:rsidR="00C808A0" w:rsidRPr="00872B32" w14:paraId="7244FEFE"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550282F6" w14:textId="77777777" w:rsidR="00150553" w:rsidRPr="00872B32" w:rsidRDefault="00150553"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V/V</w:t>
            </w:r>
          </w:p>
        </w:tc>
        <w:tc>
          <w:tcPr>
            <w:tcW w:w="973" w:type="dxa"/>
            <w:tcBorders>
              <w:top w:val="nil"/>
              <w:left w:val="nil"/>
              <w:bottom w:val="nil"/>
              <w:right w:val="nil"/>
            </w:tcBorders>
            <w:shd w:val="clear" w:color="auto" w:fill="auto"/>
            <w:noWrap/>
            <w:vAlign w:val="bottom"/>
            <w:hideMark/>
          </w:tcPr>
          <w:p w14:paraId="5C66FD45"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25.00</w:t>
            </w:r>
          </w:p>
        </w:tc>
        <w:tc>
          <w:tcPr>
            <w:tcW w:w="1090" w:type="dxa"/>
            <w:tcBorders>
              <w:top w:val="nil"/>
              <w:left w:val="nil"/>
              <w:bottom w:val="nil"/>
              <w:right w:val="nil"/>
            </w:tcBorders>
            <w:shd w:val="clear" w:color="auto" w:fill="auto"/>
            <w:noWrap/>
            <w:vAlign w:val="bottom"/>
            <w:hideMark/>
          </w:tcPr>
          <w:p w14:paraId="760F1B1A"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33.33</w:t>
            </w:r>
          </w:p>
        </w:tc>
        <w:tc>
          <w:tcPr>
            <w:tcW w:w="1093" w:type="dxa"/>
            <w:tcBorders>
              <w:top w:val="nil"/>
              <w:left w:val="nil"/>
              <w:bottom w:val="nil"/>
              <w:right w:val="nil"/>
            </w:tcBorders>
            <w:shd w:val="clear" w:color="auto" w:fill="auto"/>
            <w:noWrap/>
            <w:vAlign w:val="bottom"/>
            <w:hideMark/>
          </w:tcPr>
          <w:p w14:paraId="3C8FA8E2"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14:paraId="6E4ECA6E"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5FB8C01E"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6.67</w:t>
            </w:r>
          </w:p>
        </w:tc>
        <w:tc>
          <w:tcPr>
            <w:tcW w:w="1093" w:type="dxa"/>
            <w:tcBorders>
              <w:top w:val="nil"/>
              <w:left w:val="nil"/>
              <w:bottom w:val="nil"/>
              <w:right w:val="nil"/>
            </w:tcBorders>
            <w:shd w:val="clear" w:color="auto" w:fill="auto"/>
            <w:noWrap/>
            <w:vAlign w:val="bottom"/>
            <w:hideMark/>
          </w:tcPr>
          <w:p w14:paraId="4DAF16F0"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12.50</w:t>
            </w:r>
          </w:p>
        </w:tc>
        <w:tc>
          <w:tcPr>
            <w:tcW w:w="978" w:type="dxa"/>
            <w:tcBorders>
              <w:top w:val="nil"/>
              <w:left w:val="nil"/>
              <w:bottom w:val="nil"/>
              <w:right w:val="nil"/>
            </w:tcBorders>
            <w:shd w:val="clear" w:color="auto" w:fill="auto"/>
            <w:noWrap/>
            <w:vAlign w:val="bottom"/>
            <w:hideMark/>
          </w:tcPr>
          <w:p w14:paraId="510FDF6F"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14:paraId="68FB94E4"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14:paraId="168BDA6E"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14:paraId="0E475B25"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14:paraId="62806239"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r>
      <w:tr w:rsidR="00C808A0" w:rsidRPr="00872B32" w14:paraId="7FDFCBD2" w14:textId="77777777" w:rsidTr="00074F2C">
        <w:trPr>
          <w:trHeight w:val="255"/>
        </w:trPr>
        <w:tc>
          <w:tcPr>
            <w:tcW w:w="585" w:type="dxa"/>
            <w:tcBorders>
              <w:top w:val="nil"/>
              <w:left w:val="nil"/>
              <w:bottom w:val="nil"/>
              <w:right w:val="single" w:sz="4" w:space="0" w:color="auto"/>
            </w:tcBorders>
            <w:shd w:val="clear" w:color="auto" w:fill="auto"/>
            <w:noWrap/>
            <w:vAlign w:val="bottom"/>
            <w:hideMark/>
          </w:tcPr>
          <w:p w14:paraId="5BF751C1" w14:textId="77777777" w:rsidR="00150553" w:rsidRPr="00872B32" w:rsidRDefault="00150553"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V/F</w:t>
            </w:r>
          </w:p>
        </w:tc>
        <w:tc>
          <w:tcPr>
            <w:tcW w:w="973" w:type="dxa"/>
            <w:tcBorders>
              <w:top w:val="nil"/>
              <w:left w:val="nil"/>
              <w:bottom w:val="nil"/>
              <w:right w:val="nil"/>
            </w:tcBorders>
            <w:shd w:val="clear" w:color="auto" w:fill="auto"/>
            <w:noWrap/>
            <w:vAlign w:val="bottom"/>
            <w:hideMark/>
          </w:tcPr>
          <w:p w14:paraId="3A084024"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75.00</w:t>
            </w:r>
          </w:p>
        </w:tc>
        <w:tc>
          <w:tcPr>
            <w:tcW w:w="1090" w:type="dxa"/>
            <w:tcBorders>
              <w:top w:val="nil"/>
              <w:left w:val="nil"/>
              <w:bottom w:val="nil"/>
              <w:right w:val="nil"/>
            </w:tcBorders>
            <w:shd w:val="clear" w:color="auto" w:fill="auto"/>
            <w:noWrap/>
            <w:vAlign w:val="bottom"/>
            <w:hideMark/>
          </w:tcPr>
          <w:p w14:paraId="6991758D"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66.67</w:t>
            </w:r>
          </w:p>
        </w:tc>
        <w:tc>
          <w:tcPr>
            <w:tcW w:w="1093" w:type="dxa"/>
            <w:tcBorders>
              <w:top w:val="nil"/>
              <w:left w:val="nil"/>
              <w:bottom w:val="nil"/>
              <w:right w:val="nil"/>
            </w:tcBorders>
            <w:shd w:val="clear" w:color="auto" w:fill="auto"/>
            <w:noWrap/>
            <w:vAlign w:val="bottom"/>
            <w:hideMark/>
          </w:tcPr>
          <w:p w14:paraId="0C577F36"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100.00</w:t>
            </w:r>
          </w:p>
        </w:tc>
        <w:tc>
          <w:tcPr>
            <w:tcW w:w="200" w:type="dxa"/>
            <w:tcBorders>
              <w:top w:val="nil"/>
              <w:left w:val="nil"/>
              <w:bottom w:val="nil"/>
              <w:right w:val="nil"/>
            </w:tcBorders>
            <w:shd w:val="clear" w:color="auto" w:fill="auto"/>
            <w:noWrap/>
            <w:vAlign w:val="bottom"/>
            <w:hideMark/>
          </w:tcPr>
          <w:p w14:paraId="13B7FE0E"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14:paraId="149A24D9"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80.00</w:t>
            </w:r>
          </w:p>
        </w:tc>
        <w:tc>
          <w:tcPr>
            <w:tcW w:w="1093" w:type="dxa"/>
            <w:tcBorders>
              <w:top w:val="nil"/>
              <w:left w:val="nil"/>
              <w:bottom w:val="nil"/>
              <w:right w:val="nil"/>
            </w:tcBorders>
            <w:shd w:val="clear" w:color="auto" w:fill="auto"/>
            <w:noWrap/>
            <w:vAlign w:val="bottom"/>
            <w:hideMark/>
          </w:tcPr>
          <w:p w14:paraId="7884506D"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75.00</w:t>
            </w:r>
          </w:p>
        </w:tc>
        <w:tc>
          <w:tcPr>
            <w:tcW w:w="978" w:type="dxa"/>
            <w:tcBorders>
              <w:top w:val="nil"/>
              <w:left w:val="nil"/>
              <w:bottom w:val="nil"/>
              <w:right w:val="nil"/>
            </w:tcBorders>
            <w:shd w:val="clear" w:color="auto" w:fill="auto"/>
            <w:noWrap/>
            <w:vAlign w:val="bottom"/>
            <w:hideMark/>
          </w:tcPr>
          <w:p w14:paraId="070E5D43"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85.71</w:t>
            </w:r>
          </w:p>
        </w:tc>
        <w:tc>
          <w:tcPr>
            <w:tcW w:w="200" w:type="dxa"/>
            <w:tcBorders>
              <w:top w:val="nil"/>
              <w:left w:val="nil"/>
              <w:bottom w:val="nil"/>
              <w:right w:val="nil"/>
            </w:tcBorders>
            <w:shd w:val="clear" w:color="auto" w:fill="auto"/>
            <w:noWrap/>
            <w:vAlign w:val="bottom"/>
            <w:hideMark/>
          </w:tcPr>
          <w:p w14:paraId="4D1C89F6"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14:paraId="5AE58C2A"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100.00</w:t>
            </w:r>
          </w:p>
        </w:tc>
        <w:tc>
          <w:tcPr>
            <w:tcW w:w="1093" w:type="dxa"/>
            <w:tcBorders>
              <w:top w:val="nil"/>
              <w:left w:val="nil"/>
              <w:bottom w:val="nil"/>
              <w:right w:val="nil"/>
            </w:tcBorders>
            <w:shd w:val="clear" w:color="auto" w:fill="auto"/>
            <w:noWrap/>
            <w:vAlign w:val="bottom"/>
            <w:hideMark/>
          </w:tcPr>
          <w:p w14:paraId="333F1361"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100.00</w:t>
            </w:r>
          </w:p>
        </w:tc>
        <w:tc>
          <w:tcPr>
            <w:tcW w:w="1093" w:type="dxa"/>
            <w:tcBorders>
              <w:top w:val="nil"/>
              <w:left w:val="nil"/>
              <w:bottom w:val="nil"/>
              <w:right w:val="nil"/>
            </w:tcBorders>
            <w:shd w:val="clear" w:color="auto" w:fill="auto"/>
            <w:noWrap/>
            <w:vAlign w:val="bottom"/>
            <w:hideMark/>
          </w:tcPr>
          <w:p w14:paraId="15D74E34"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100.00</w:t>
            </w:r>
          </w:p>
        </w:tc>
      </w:tr>
      <w:tr w:rsidR="00C808A0" w:rsidRPr="00872B32" w14:paraId="16BE71E0" w14:textId="77777777" w:rsidTr="00074F2C">
        <w:trPr>
          <w:trHeight w:val="255"/>
        </w:trPr>
        <w:tc>
          <w:tcPr>
            <w:tcW w:w="585" w:type="dxa"/>
            <w:tcBorders>
              <w:top w:val="nil"/>
              <w:left w:val="nil"/>
              <w:right w:val="single" w:sz="4" w:space="0" w:color="auto"/>
            </w:tcBorders>
            <w:shd w:val="clear" w:color="auto" w:fill="auto"/>
            <w:noWrap/>
            <w:vAlign w:val="bottom"/>
            <w:hideMark/>
          </w:tcPr>
          <w:p w14:paraId="479B3A90" w14:textId="77777777" w:rsidR="00150553" w:rsidRPr="00872B32" w:rsidRDefault="00150553"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F/F</w:t>
            </w:r>
          </w:p>
        </w:tc>
        <w:tc>
          <w:tcPr>
            <w:tcW w:w="973" w:type="dxa"/>
            <w:tcBorders>
              <w:top w:val="nil"/>
              <w:left w:val="nil"/>
              <w:right w:val="nil"/>
            </w:tcBorders>
            <w:shd w:val="clear" w:color="auto" w:fill="auto"/>
            <w:noWrap/>
            <w:vAlign w:val="bottom"/>
            <w:hideMark/>
          </w:tcPr>
          <w:p w14:paraId="29228925"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0" w:type="dxa"/>
            <w:tcBorders>
              <w:top w:val="nil"/>
              <w:left w:val="nil"/>
              <w:right w:val="nil"/>
            </w:tcBorders>
            <w:shd w:val="clear" w:color="auto" w:fill="auto"/>
            <w:noWrap/>
            <w:vAlign w:val="bottom"/>
            <w:hideMark/>
          </w:tcPr>
          <w:p w14:paraId="2CF41A52"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14:paraId="2BA29960"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200" w:type="dxa"/>
            <w:tcBorders>
              <w:top w:val="nil"/>
              <w:left w:val="nil"/>
              <w:right w:val="nil"/>
            </w:tcBorders>
            <w:shd w:val="clear" w:color="auto" w:fill="auto"/>
            <w:noWrap/>
            <w:vAlign w:val="bottom"/>
            <w:hideMark/>
          </w:tcPr>
          <w:p w14:paraId="17E2CCB2"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right w:val="nil"/>
            </w:tcBorders>
            <w:shd w:val="clear" w:color="auto" w:fill="auto"/>
            <w:noWrap/>
            <w:vAlign w:val="bottom"/>
            <w:hideMark/>
          </w:tcPr>
          <w:p w14:paraId="72D393D0"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13.33</w:t>
            </w:r>
          </w:p>
        </w:tc>
        <w:tc>
          <w:tcPr>
            <w:tcW w:w="1093" w:type="dxa"/>
            <w:tcBorders>
              <w:top w:val="nil"/>
              <w:left w:val="nil"/>
              <w:right w:val="nil"/>
            </w:tcBorders>
            <w:shd w:val="clear" w:color="auto" w:fill="auto"/>
            <w:noWrap/>
            <w:vAlign w:val="bottom"/>
            <w:hideMark/>
          </w:tcPr>
          <w:p w14:paraId="39DA99E2"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12.50</w:t>
            </w:r>
          </w:p>
        </w:tc>
        <w:tc>
          <w:tcPr>
            <w:tcW w:w="978" w:type="dxa"/>
            <w:tcBorders>
              <w:top w:val="nil"/>
              <w:left w:val="nil"/>
              <w:right w:val="nil"/>
            </w:tcBorders>
            <w:shd w:val="clear" w:color="auto" w:fill="auto"/>
            <w:noWrap/>
            <w:vAlign w:val="bottom"/>
            <w:hideMark/>
          </w:tcPr>
          <w:p w14:paraId="124E4EBE"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14.28</w:t>
            </w:r>
          </w:p>
        </w:tc>
        <w:tc>
          <w:tcPr>
            <w:tcW w:w="200" w:type="dxa"/>
            <w:tcBorders>
              <w:top w:val="nil"/>
              <w:left w:val="nil"/>
              <w:right w:val="nil"/>
            </w:tcBorders>
            <w:shd w:val="clear" w:color="auto" w:fill="auto"/>
            <w:noWrap/>
            <w:vAlign w:val="bottom"/>
            <w:hideMark/>
          </w:tcPr>
          <w:p w14:paraId="612F881E"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right w:val="nil"/>
            </w:tcBorders>
            <w:shd w:val="clear" w:color="auto" w:fill="auto"/>
            <w:noWrap/>
            <w:vAlign w:val="bottom"/>
            <w:hideMark/>
          </w:tcPr>
          <w:p w14:paraId="7785D078"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14:paraId="639B892C"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14:paraId="60EA474E"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r>
      <w:tr w:rsidR="00C808A0" w:rsidRPr="00872B32" w14:paraId="6C5E08BF" w14:textId="77777777" w:rsidTr="00074F2C">
        <w:trPr>
          <w:trHeight w:val="255"/>
        </w:trPr>
        <w:tc>
          <w:tcPr>
            <w:tcW w:w="585" w:type="dxa"/>
            <w:tcBorders>
              <w:top w:val="nil"/>
              <w:left w:val="nil"/>
              <w:right w:val="nil"/>
            </w:tcBorders>
            <w:shd w:val="clear" w:color="auto" w:fill="auto"/>
            <w:noWrap/>
            <w:vAlign w:val="bottom"/>
            <w:hideMark/>
          </w:tcPr>
          <w:p w14:paraId="23235F7D" w14:textId="77777777" w:rsidR="00150553" w:rsidRPr="00872B32" w:rsidRDefault="00150553" w:rsidP="008C54E8">
            <w:pPr>
              <w:snapToGrid w:val="0"/>
              <w:spacing w:line="360" w:lineRule="auto"/>
              <w:jc w:val="both"/>
              <w:rPr>
                <w:rFonts w:ascii="Book Antiqua" w:hAnsi="Book Antiqua"/>
                <w:i/>
                <w:color w:val="000000"/>
                <w:lang w:val="it-IT" w:eastAsia="it-IT"/>
              </w:rPr>
            </w:pPr>
            <w:r w:rsidRPr="00872B32">
              <w:rPr>
                <w:rFonts w:ascii="Book Antiqua" w:hAnsi="Book Antiqua"/>
                <w:i/>
                <w:color w:val="000000"/>
                <w:lang w:val="it-IT" w:eastAsia="it-IT"/>
              </w:rPr>
              <w:t> </w:t>
            </w:r>
          </w:p>
        </w:tc>
        <w:tc>
          <w:tcPr>
            <w:tcW w:w="973" w:type="dxa"/>
            <w:tcBorders>
              <w:top w:val="nil"/>
              <w:left w:val="nil"/>
              <w:right w:val="nil"/>
            </w:tcBorders>
            <w:shd w:val="clear" w:color="auto" w:fill="auto"/>
            <w:noWrap/>
            <w:vAlign w:val="bottom"/>
            <w:hideMark/>
          </w:tcPr>
          <w:p w14:paraId="1F131255"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0" w:type="dxa"/>
            <w:tcBorders>
              <w:top w:val="nil"/>
              <w:left w:val="nil"/>
              <w:right w:val="nil"/>
            </w:tcBorders>
            <w:shd w:val="clear" w:color="auto" w:fill="auto"/>
            <w:noWrap/>
            <w:vAlign w:val="bottom"/>
            <w:hideMark/>
          </w:tcPr>
          <w:p w14:paraId="39B30B24"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14:paraId="24BF29C3"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200" w:type="dxa"/>
            <w:tcBorders>
              <w:top w:val="nil"/>
              <w:left w:val="nil"/>
              <w:right w:val="nil"/>
            </w:tcBorders>
            <w:shd w:val="clear" w:color="auto" w:fill="auto"/>
            <w:noWrap/>
            <w:vAlign w:val="bottom"/>
            <w:hideMark/>
          </w:tcPr>
          <w:p w14:paraId="54B1F4D5"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680" w:type="dxa"/>
            <w:tcBorders>
              <w:top w:val="nil"/>
              <w:left w:val="nil"/>
              <w:right w:val="nil"/>
            </w:tcBorders>
            <w:shd w:val="clear" w:color="auto" w:fill="auto"/>
            <w:noWrap/>
            <w:vAlign w:val="bottom"/>
            <w:hideMark/>
          </w:tcPr>
          <w:p w14:paraId="4A0A64CC"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14:paraId="0BC9C2A6"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978" w:type="dxa"/>
            <w:tcBorders>
              <w:top w:val="nil"/>
              <w:left w:val="nil"/>
              <w:right w:val="nil"/>
            </w:tcBorders>
            <w:shd w:val="clear" w:color="auto" w:fill="auto"/>
            <w:noWrap/>
            <w:vAlign w:val="bottom"/>
            <w:hideMark/>
          </w:tcPr>
          <w:p w14:paraId="563D1A4B"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200" w:type="dxa"/>
            <w:tcBorders>
              <w:top w:val="nil"/>
              <w:left w:val="nil"/>
              <w:right w:val="nil"/>
            </w:tcBorders>
            <w:shd w:val="clear" w:color="auto" w:fill="auto"/>
            <w:noWrap/>
            <w:vAlign w:val="bottom"/>
            <w:hideMark/>
          </w:tcPr>
          <w:p w14:paraId="01268DBC"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126" w:type="dxa"/>
            <w:tcBorders>
              <w:top w:val="nil"/>
              <w:left w:val="nil"/>
              <w:right w:val="nil"/>
            </w:tcBorders>
            <w:shd w:val="clear" w:color="auto" w:fill="auto"/>
            <w:noWrap/>
            <w:vAlign w:val="bottom"/>
            <w:hideMark/>
          </w:tcPr>
          <w:p w14:paraId="3F181AA5"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14:paraId="1AC3125F"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14:paraId="48A49111"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r>
      <w:tr w:rsidR="00C808A0" w:rsidRPr="00872B32" w14:paraId="0B56AED9" w14:textId="77777777" w:rsidTr="00074F2C">
        <w:trPr>
          <w:trHeight w:val="439"/>
        </w:trPr>
        <w:tc>
          <w:tcPr>
            <w:tcW w:w="585" w:type="dxa"/>
            <w:tcBorders>
              <w:top w:val="nil"/>
              <w:left w:val="nil"/>
              <w:bottom w:val="nil"/>
              <w:right w:val="nil"/>
            </w:tcBorders>
            <w:shd w:val="clear" w:color="auto" w:fill="auto"/>
            <w:noWrap/>
            <w:vAlign w:val="center"/>
            <w:hideMark/>
          </w:tcPr>
          <w:p w14:paraId="6E8283D7" w14:textId="77777777" w:rsidR="00150553" w:rsidRPr="00872B32" w:rsidRDefault="00150553" w:rsidP="008C54E8">
            <w:pPr>
              <w:snapToGrid w:val="0"/>
              <w:spacing w:line="360" w:lineRule="auto"/>
              <w:jc w:val="both"/>
              <w:rPr>
                <w:rFonts w:ascii="Book Antiqua" w:hAnsi="Book Antiqua"/>
                <w:i/>
                <w:color w:val="000000"/>
                <w:lang w:val="it-IT" w:eastAsia="it-IT"/>
              </w:rPr>
            </w:pPr>
          </w:p>
        </w:tc>
        <w:tc>
          <w:tcPr>
            <w:tcW w:w="9619" w:type="dxa"/>
            <w:gridSpan w:val="11"/>
            <w:tcBorders>
              <w:top w:val="nil"/>
              <w:left w:val="nil"/>
              <w:right w:val="nil"/>
            </w:tcBorders>
            <w:shd w:val="clear" w:color="auto" w:fill="auto"/>
            <w:noWrap/>
            <w:vAlign w:val="center"/>
            <w:hideMark/>
          </w:tcPr>
          <w:p w14:paraId="52E31CD6" w14:textId="77777777" w:rsidR="00150553" w:rsidRDefault="00150553" w:rsidP="008C54E8">
            <w:pPr>
              <w:snapToGrid w:val="0"/>
              <w:spacing w:line="360" w:lineRule="auto"/>
              <w:jc w:val="both"/>
              <w:rPr>
                <w:rFonts w:ascii="Book Antiqua" w:hAnsi="Book Antiqua"/>
                <w:b/>
                <w:bCs/>
                <w:color w:val="000000"/>
                <w:lang w:val="it-IT" w:eastAsia="it-IT"/>
              </w:rPr>
            </w:pPr>
            <w:r w:rsidRPr="00872B32">
              <w:rPr>
                <w:rFonts w:ascii="Book Antiqua" w:hAnsi="Book Antiqua"/>
                <w:b/>
                <w:bCs/>
                <w:color w:val="000000"/>
                <w:lang w:eastAsia="it-IT"/>
              </w:rPr>
              <w:t>HS</w:t>
            </w:r>
            <w:r w:rsidRPr="00872B32">
              <w:rPr>
                <w:rFonts w:ascii="Book Antiqua" w:hAnsi="Book Antiqua"/>
                <w:b/>
                <w:bCs/>
                <w:i/>
                <w:color w:val="000000"/>
                <w:lang w:eastAsia="it-IT"/>
              </w:rPr>
              <w:t xml:space="preserve"> vs</w:t>
            </w:r>
            <w:r w:rsidRPr="00872B32">
              <w:rPr>
                <w:rFonts w:ascii="Book Antiqua" w:hAnsi="Book Antiqua"/>
                <w:b/>
                <w:bCs/>
                <w:color w:val="000000"/>
                <w:lang w:eastAsia="it-IT"/>
              </w:rPr>
              <w:t xml:space="preserve"> T P</w:t>
            </w:r>
          </w:p>
          <w:p w14:paraId="2008C412" w14:textId="77777777" w:rsidR="006D1FC8" w:rsidRPr="00BA4E7C" w:rsidRDefault="006D1FC8" w:rsidP="008C54E8">
            <w:pPr>
              <w:snapToGrid w:val="0"/>
              <w:spacing w:line="360" w:lineRule="auto"/>
              <w:jc w:val="both"/>
              <w:rPr>
                <w:rFonts w:ascii="Book Antiqua" w:eastAsia="宋体" w:hAnsi="Book Antiqua"/>
                <w:b/>
                <w:bCs/>
                <w:color w:val="000000"/>
                <w:lang w:eastAsia="zh-CN"/>
              </w:rPr>
            </w:pPr>
          </w:p>
        </w:tc>
      </w:tr>
      <w:tr w:rsidR="0007090C" w:rsidRPr="00872B32" w14:paraId="1CEEF607" w14:textId="77777777" w:rsidTr="0007090C">
        <w:trPr>
          <w:trHeight w:val="255"/>
        </w:trPr>
        <w:tc>
          <w:tcPr>
            <w:tcW w:w="585" w:type="dxa"/>
            <w:tcBorders>
              <w:top w:val="nil"/>
              <w:left w:val="nil"/>
              <w:bottom w:val="nil"/>
              <w:right w:val="single" w:sz="4" w:space="0" w:color="auto"/>
            </w:tcBorders>
            <w:shd w:val="clear" w:color="auto" w:fill="auto"/>
            <w:noWrap/>
            <w:vAlign w:val="bottom"/>
            <w:hideMark/>
          </w:tcPr>
          <w:p w14:paraId="177E792D" w14:textId="77777777" w:rsidR="00604A30" w:rsidRPr="00872B32" w:rsidRDefault="00604A30"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eastAsia="it-IT"/>
              </w:rPr>
              <w:t>V/V</w:t>
            </w:r>
          </w:p>
        </w:tc>
        <w:tc>
          <w:tcPr>
            <w:tcW w:w="973" w:type="dxa"/>
            <w:tcBorders>
              <w:top w:val="nil"/>
              <w:left w:val="nil"/>
              <w:bottom w:val="nil"/>
              <w:right w:val="nil"/>
            </w:tcBorders>
            <w:shd w:val="clear" w:color="auto" w:fill="auto"/>
            <w:noWrap/>
            <w:hideMark/>
          </w:tcPr>
          <w:p w14:paraId="69FB6B9E"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P=0.035</w:t>
            </w:r>
          </w:p>
        </w:tc>
        <w:tc>
          <w:tcPr>
            <w:tcW w:w="1090" w:type="dxa"/>
            <w:tcBorders>
              <w:top w:val="nil"/>
              <w:left w:val="nil"/>
              <w:bottom w:val="nil"/>
              <w:right w:val="nil"/>
            </w:tcBorders>
            <w:shd w:val="clear" w:color="auto" w:fill="auto"/>
            <w:noWrap/>
            <w:hideMark/>
          </w:tcPr>
          <w:p w14:paraId="6D5C760B"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1093" w:type="dxa"/>
            <w:tcBorders>
              <w:top w:val="nil"/>
              <w:left w:val="nil"/>
              <w:bottom w:val="nil"/>
              <w:right w:val="nil"/>
            </w:tcBorders>
            <w:shd w:val="clear" w:color="auto" w:fill="auto"/>
            <w:noWrap/>
            <w:hideMark/>
          </w:tcPr>
          <w:p w14:paraId="0F29888C"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c>
          <w:tcPr>
            <w:tcW w:w="200" w:type="dxa"/>
            <w:tcBorders>
              <w:top w:val="nil"/>
              <w:left w:val="nil"/>
              <w:bottom w:val="nil"/>
              <w:right w:val="nil"/>
            </w:tcBorders>
            <w:shd w:val="clear" w:color="auto" w:fill="auto"/>
            <w:noWrap/>
            <w:hideMark/>
          </w:tcPr>
          <w:p w14:paraId="476822C6" w14:textId="77777777" w:rsidR="00604A30" w:rsidRPr="00872B32" w:rsidRDefault="00604A30" w:rsidP="008C54E8">
            <w:pPr>
              <w:snapToGrid w:val="0"/>
              <w:spacing w:line="360" w:lineRule="auto"/>
              <w:jc w:val="both"/>
              <w:rPr>
                <w:rFonts w:ascii="Book Antiqua" w:hAnsi="Book Antiqua"/>
                <w:color w:val="000000"/>
                <w:lang w:eastAsia="it-IT"/>
              </w:rPr>
            </w:pPr>
          </w:p>
        </w:tc>
        <w:tc>
          <w:tcPr>
            <w:tcW w:w="680" w:type="dxa"/>
            <w:tcBorders>
              <w:top w:val="nil"/>
              <w:left w:val="nil"/>
              <w:bottom w:val="nil"/>
              <w:right w:val="nil"/>
            </w:tcBorders>
            <w:shd w:val="clear" w:color="auto" w:fill="auto"/>
            <w:noWrap/>
            <w:hideMark/>
          </w:tcPr>
          <w:p w14:paraId="010ADD73"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1093" w:type="dxa"/>
            <w:tcBorders>
              <w:top w:val="nil"/>
              <w:left w:val="nil"/>
              <w:bottom w:val="nil"/>
              <w:right w:val="nil"/>
            </w:tcBorders>
            <w:shd w:val="clear" w:color="auto" w:fill="auto"/>
            <w:noWrap/>
            <w:hideMark/>
          </w:tcPr>
          <w:p w14:paraId="18DE3E40"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978" w:type="dxa"/>
            <w:tcBorders>
              <w:top w:val="nil"/>
              <w:left w:val="nil"/>
              <w:bottom w:val="nil"/>
              <w:right w:val="nil"/>
            </w:tcBorders>
            <w:shd w:val="clear" w:color="auto" w:fill="auto"/>
            <w:noWrap/>
            <w:hideMark/>
          </w:tcPr>
          <w:p w14:paraId="2106DCF1"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P=0.004</w:t>
            </w:r>
          </w:p>
        </w:tc>
        <w:tc>
          <w:tcPr>
            <w:tcW w:w="200" w:type="dxa"/>
            <w:tcBorders>
              <w:top w:val="nil"/>
              <w:left w:val="nil"/>
              <w:bottom w:val="nil"/>
              <w:right w:val="nil"/>
            </w:tcBorders>
            <w:shd w:val="clear" w:color="auto" w:fill="auto"/>
            <w:noWrap/>
            <w:hideMark/>
          </w:tcPr>
          <w:p w14:paraId="1F56D7AA" w14:textId="77777777" w:rsidR="00604A30" w:rsidRPr="00872B32" w:rsidRDefault="00604A30" w:rsidP="008C54E8">
            <w:pPr>
              <w:snapToGrid w:val="0"/>
              <w:spacing w:line="360" w:lineRule="auto"/>
              <w:jc w:val="both"/>
              <w:rPr>
                <w:rFonts w:ascii="Book Antiqua" w:hAnsi="Book Antiqua"/>
                <w:color w:val="000000"/>
                <w:lang w:eastAsia="it-IT"/>
              </w:rPr>
            </w:pPr>
          </w:p>
        </w:tc>
        <w:tc>
          <w:tcPr>
            <w:tcW w:w="1126" w:type="dxa"/>
            <w:tcBorders>
              <w:top w:val="nil"/>
              <w:left w:val="nil"/>
              <w:bottom w:val="nil"/>
              <w:right w:val="nil"/>
            </w:tcBorders>
            <w:shd w:val="clear" w:color="auto" w:fill="auto"/>
            <w:noWrap/>
            <w:hideMark/>
          </w:tcPr>
          <w:p w14:paraId="619C693D"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P=0.0033</w:t>
            </w:r>
          </w:p>
        </w:tc>
        <w:tc>
          <w:tcPr>
            <w:tcW w:w="1093" w:type="dxa"/>
            <w:tcBorders>
              <w:top w:val="nil"/>
              <w:left w:val="nil"/>
              <w:bottom w:val="nil"/>
              <w:right w:val="nil"/>
            </w:tcBorders>
            <w:shd w:val="clear" w:color="auto" w:fill="auto"/>
            <w:noWrap/>
            <w:hideMark/>
          </w:tcPr>
          <w:p w14:paraId="487E2E80"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c>
          <w:tcPr>
            <w:tcW w:w="1093" w:type="dxa"/>
            <w:tcBorders>
              <w:top w:val="nil"/>
              <w:left w:val="nil"/>
              <w:bottom w:val="nil"/>
              <w:right w:val="nil"/>
            </w:tcBorders>
            <w:shd w:val="clear" w:color="auto" w:fill="auto"/>
            <w:noWrap/>
            <w:hideMark/>
          </w:tcPr>
          <w:p w14:paraId="2BCAC4DC"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r>
      <w:tr w:rsidR="0007090C" w:rsidRPr="00872B32" w14:paraId="53F01CBE" w14:textId="77777777" w:rsidTr="0007090C">
        <w:trPr>
          <w:trHeight w:val="255"/>
        </w:trPr>
        <w:tc>
          <w:tcPr>
            <w:tcW w:w="585" w:type="dxa"/>
            <w:tcBorders>
              <w:top w:val="nil"/>
              <w:left w:val="nil"/>
              <w:bottom w:val="nil"/>
              <w:right w:val="single" w:sz="4" w:space="0" w:color="auto"/>
            </w:tcBorders>
            <w:shd w:val="clear" w:color="auto" w:fill="auto"/>
            <w:noWrap/>
            <w:vAlign w:val="bottom"/>
            <w:hideMark/>
          </w:tcPr>
          <w:p w14:paraId="166136AC" w14:textId="77777777" w:rsidR="00604A30" w:rsidRPr="00872B32" w:rsidRDefault="00604A30"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eastAsia="it-IT"/>
              </w:rPr>
              <w:t>V/F</w:t>
            </w:r>
          </w:p>
        </w:tc>
        <w:tc>
          <w:tcPr>
            <w:tcW w:w="973" w:type="dxa"/>
            <w:tcBorders>
              <w:top w:val="nil"/>
              <w:left w:val="nil"/>
              <w:bottom w:val="nil"/>
              <w:right w:val="nil"/>
            </w:tcBorders>
            <w:shd w:val="clear" w:color="auto" w:fill="auto"/>
            <w:noWrap/>
            <w:hideMark/>
          </w:tcPr>
          <w:p w14:paraId="2A7B2CF1"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P=0.004</w:t>
            </w:r>
          </w:p>
        </w:tc>
        <w:tc>
          <w:tcPr>
            <w:tcW w:w="1090" w:type="dxa"/>
            <w:tcBorders>
              <w:top w:val="nil"/>
              <w:left w:val="nil"/>
              <w:bottom w:val="nil"/>
              <w:right w:val="nil"/>
            </w:tcBorders>
            <w:shd w:val="clear" w:color="auto" w:fill="auto"/>
            <w:noWrap/>
            <w:hideMark/>
          </w:tcPr>
          <w:p w14:paraId="5277E5D4"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p=0.0002</w:t>
            </w:r>
          </w:p>
        </w:tc>
        <w:tc>
          <w:tcPr>
            <w:tcW w:w="1093" w:type="dxa"/>
            <w:tcBorders>
              <w:top w:val="nil"/>
              <w:left w:val="nil"/>
              <w:bottom w:val="nil"/>
              <w:right w:val="nil"/>
            </w:tcBorders>
            <w:shd w:val="clear" w:color="auto" w:fill="auto"/>
            <w:noWrap/>
            <w:hideMark/>
          </w:tcPr>
          <w:p w14:paraId="5CB8CC68"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c>
          <w:tcPr>
            <w:tcW w:w="200" w:type="dxa"/>
            <w:tcBorders>
              <w:top w:val="nil"/>
              <w:left w:val="nil"/>
              <w:bottom w:val="nil"/>
              <w:right w:val="nil"/>
            </w:tcBorders>
            <w:shd w:val="clear" w:color="auto" w:fill="auto"/>
            <w:noWrap/>
            <w:hideMark/>
          </w:tcPr>
          <w:p w14:paraId="38869C2E" w14:textId="77777777" w:rsidR="00604A30" w:rsidRPr="00872B32" w:rsidRDefault="00604A30" w:rsidP="008C54E8">
            <w:pPr>
              <w:snapToGrid w:val="0"/>
              <w:spacing w:line="360" w:lineRule="auto"/>
              <w:jc w:val="both"/>
              <w:rPr>
                <w:rFonts w:ascii="Book Antiqua" w:hAnsi="Book Antiqua"/>
                <w:color w:val="000000"/>
                <w:lang w:eastAsia="it-IT"/>
              </w:rPr>
            </w:pPr>
          </w:p>
        </w:tc>
        <w:tc>
          <w:tcPr>
            <w:tcW w:w="680" w:type="dxa"/>
            <w:tcBorders>
              <w:top w:val="nil"/>
              <w:left w:val="nil"/>
              <w:bottom w:val="nil"/>
              <w:right w:val="nil"/>
            </w:tcBorders>
            <w:shd w:val="clear" w:color="auto" w:fill="auto"/>
            <w:noWrap/>
            <w:hideMark/>
          </w:tcPr>
          <w:p w14:paraId="1F2267DB"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1093" w:type="dxa"/>
            <w:tcBorders>
              <w:top w:val="nil"/>
              <w:left w:val="nil"/>
              <w:bottom w:val="nil"/>
              <w:right w:val="nil"/>
            </w:tcBorders>
            <w:shd w:val="clear" w:color="auto" w:fill="auto"/>
            <w:noWrap/>
            <w:hideMark/>
          </w:tcPr>
          <w:p w14:paraId="05F6F98E"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P=0.004</w:t>
            </w:r>
          </w:p>
        </w:tc>
        <w:tc>
          <w:tcPr>
            <w:tcW w:w="978" w:type="dxa"/>
            <w:tcBorders>
              <w:top w:val="nil"/>
              <w:left w:val="nil"/>
              <w:bottom w:val="nil"/>
              <w:right w:val="nil"/>
            </w:tcBorders>
            <w:shd w:val="clear" w:color="auto" w:fill="auto"/>
            <w:noWrap/>
            <w:hideMark/>
          </w:tcPr>
          <w:p w14:paraId="6ED06A84"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200" w:type="dxa"/>
            <w:tcBorders>
              <w:top w:val="nil"/>
              <w:left w:val="nil"/>
              <w:bottom w:val="nil"/>
              <w:right w:val="nil"/>
            </w:tcBorders>
            <w:shd w:val="clear" w:color="auto" w:fill="auto"/>
            <w:noWrap/>
            <w:hideMark/>
          </w:tcPr>
          <w:p w14:paraId="4C93310E" w14:textId="77777777" w:rsidR="00604A30" w:rsidRPr="00872B32" w:rsidRDefault="00604A30" w:rsidP="008C54E8">
            <w:pPr>
              <w:snapToGrid w:val="0"/>
              <w:spacing w:line="360" w:lineRule="auto"/>
              <w:jc w:val="both"/>
              <w:rPr>
                <w:rFonts w:ascii="Book Antiqua" w:hAnsi="Book Antiqua"/>
                <w:color w:val="000000"/>
                <w:lang w:eastAsia="it-IT"/>
              </w:rPr>
            </w:pPr>
          </w:p>
        </w:tc>
        <w:tc>
          <w:tcPr>
            <w:tcW w:w="1126" w:type="dxa"/>
            <w:tcBorders>
              <w:top w:val="nil"/>
              <w:left w:val="nil"/>
              <w:bottom w:val="nil"/>
              <w:right w:val="nil"/>
            </w:tcBorders>
            <w:shd w:val="clear" w:color="auto" w:fill="auto"/>
            <w:noWrap/>
            <w:hideMark/>
          </w:tcPr>
          <w:p w14:paraId="45CDBD87"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c>
          <w:tcPr>
            <w:tcW w:w="1093" w:type="dxa"/>
            <w:tcBorders>
              <w:top w:val="nil"/>
              <w:left w:val="nil"/>
              <w:bottom w:val="nil"/>
              <w:right w:val="nil"/>
            </w:tcBorders>
            <w:shd w:val="clear" w:color="auto" w:fill="auto"/>
            <w:noWrap/>
            <w:hideMark/>
          </w:tcPr>
          <w:p w14:paraId="00ECBCE9"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c>
          <w:tcPr>
            <w:tcW w:w="1093" w:type="dxa"/>
            <w:tcBorders>
              <w:top w:val="nil"/>
              <w:left w:val="nil"/>
              <w:bottom w:val="nil"/>
              <w:right w:val="nil"/>
            </w:tcBorders>
            <w:shd w:val="clear" w:color="auto" w:fill="auto"/>
            <w:noWrap/>
            <w:hideMark/>
          </w:tcPr>
          <w:p w14:paraId="1517FA75"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r>
      <w:tr w:rsidR="0007090C" w:rsidRPr="00872B32" w14:paraId="7990BFB0" w14:textId="77777777" w:rsidTr="008C54E8">
        <w:trPr>
          <w:trHeight w:val="255"/>
        </w:trPr>
        <w:tc>
          <w:tcPr>
            <w:tcW w:w="585" w:type="dxa"/>
            <w:tcBorders>
              <w:top w:val="nil"/>
              <w:left w:val="nil"/>
              <w:right w:val="single" w:sz="4" w:space="0" w:color="auto"/>
            </w:tcBorders>
            <w:shd w:val="clear" w:color="auto" w:fill="auto"/>
            <w:noWrap/>
            <w:vAlign w:val="bottom"/>
            <w:hideMark/>
          </w:tcPr>
          <w:p w14:paraId="3D8B79E1" w14:textId="77777777" w:rsidR="00604A30" w:rsidRPr="00872B32" w:rsidRDefault="00604A30" w:rsidP="008C54E8">
            <w:pPr>
              <w:snapToGrid w:val="0"/>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F/F</w:t>
            </w:r>
          </w:p>
        </w:tc>
        <w:tc>
          <w:tcPr>
            <w:tcW w:w="973" w:type="dxa"/>
            <w:tcBorders>
              <w:top w:val="nil"/>
              <w:left w:val="nil"/>
              <w:right w:val="nil"/>
            </w:tcBorders>
            <w:shd w:val="clear" w:color="auto" w:fill="auto"/>
            <w:noWrap/>
            <w:hideMark/>
          </w:tcPr>
          <w:p w14:paraId="2ACF8E99"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P=0.017</w:t>
            </w:r>
          </w:p>
        </w:tc>
        <w:tc>
          <w:tcPr>
            <w:tcW w:w="1090" w:type="dxa"/>
            <w:tcBorders>
              <w:top w:val="nil"/>
              <w:left w:val="nil"/>
              <w:right w:val="nil"/>
            </w:tcBorders>
            <w:shd w:val="clear" w:color="auto" w:fill="auto"/>
            <w:noWrap/>
            <w:hideMark/>
          </w:tcPr>
          <w:p w14:paraId="779E3F99"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c>
          <w:tcPr>
            <w:tcW w:w="1093" w:type="dxa"/>
            <w:tcBorders>
              <w:top w:val="nil"/>
              <w:left w:val="nil"/>
              <w:right w:val="nil"/>
            </w:tcBorders>
            <w:shd w:val="clear" w:color="auto" w:fill="auto"/>
            <w:noWrap/>
            <w:hideMark/>
          </w:tcPr>
          <w:p w14:paraId="0CFABD62"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200" w:type="dxa"/>
            <w:tcBorders>
              <w:top w:val="nil"/>
              <w:left w:val="nil"/>
              <w:right w:val="nil"/>
            </w:tcBorders>
            <w:shd w:val="clear" w:color="auto" w:fill="auto"/>
            <w:noWrap/>
            <w:hideMark/>
          </w:tcPr>
          <w:p w14:paraId="0A400231" w14:textId="77777777" w:rsidR="00604A30" w:rsidRPr="00872B32" w:rsidRDefault="00604A30" w:rsidP="008C54E8">
            <w:pPr>
              <w:snapToGrid w:val="0"/>
              <w:spacing w:line="360" w:lineRule="auto"/>
              <w:jc w:val="both"/>
              <w:rPr>
                <w:rFonts w:ascii="Book Antiqua" w:hAnsi="Book Antiqua"/>
                <w:color w:val="000000"/>
                <w:lang w:val="it-IT" w:eastAsia="it-IT"/>
              </w:rPr>
            </w:pPr>
          </w:p>
        </w:tc>
        <w:tc>
          <w:tcPr>
            <w:tcW w:w="680" w:type="dxa"/>
            <w:tcBorders>
              <w:top w:val="nil"/>
              <w:left w:val="nil"/>
              <w:right w:val="nil"/>
            </w:tcBorders>
            <w:shd w:val="clear" w:color="auto" w:fill="auto"/>
            <w:noWrap/>
            <w:hideMark/>
          </w:tcPr>
          <w:p w14:paraId="54A0BE02"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1093" w:type="dxa"/>
            <w:tcBorders>
              <w:top w:val="nil"/>
              <w:left w:val="nil"/>
              <w:right w:val="nil"/>
            </w:tcBorders>
            <w:shd w:val="clear" w:color="auto" w:fill="auto"/>
            <w:noWrap/>
            <w:hideMark/>
          </w:tcPr>
          <w:p w14:paraId="35A63303"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P=0.0005</w:t>
            </w:r>
          </w:p>
        </w:tc>
        <w:tc>
          <w:tcPr>
            <w:tcW w:w="978" w:type="dxa"/>
            <w:tcBorders>
              <w:top w:val="nil"/>
              <w:left w:val="nil"/>
              <w:right w:val="nil"/>
            </w:tcBorders>
            <w:shd w:val="clear" w:color="auto" w:fill="auto"/>
            <w:noWrap/>
            <w:hideMark/>
          </w:tcPr>
          <w:p w14:paraId="43FFBD3A"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200" w:type="dxa"/>
            <w:tcBorders>
              <w:top w:val="nil"/>
              <w:left w:val="nil"/>
              <w:right w:val="nil"/>
            </w:tcBorders>
            <w:shd w:val="clear" w:color="auto" w:fill="auto"/>
            <w:noWrap/>
            <w:hideMark/>
          </w:tcPr>
          <w:p w14:paraId="450B2A52" w14:textId="77777777" w:rsidR="00604A30" w:rsidRPr="00872B32" w:rsidRDefault="00604A30" w:rsidP="008C54E8">
            <w:pPr>
              <w:snapToGrid w:val="0"/>
              <w:spacing w:line="360" w:lineRule="auto"/>
              <w:jc w:val="both"/>
              <w:rPr>
                <w:rFonts w:ascii="Book Antiqua" w:hAnsi="Book Antiqua"/>
                <w:color w:val="000000"/>
                <w:lang w:val="it-IT" w:eastAsia="it-IT"/>
              </w:rPr>
            </w:pPr>
          </w:p>
        </w:tc>
        <w:tc>
          <w:tcPr>
            <w:tcW w:w="1126" w:type="dxa"/>
            <w:tcBorders>
              <w:top w:val="nil"/>
              <w:left w:val="nil"/>
              <w:right w:val="nil"/>
            </w:tcBorders>
            <w:shd w:val="clear" w:color="auto" w:fill="auto"/>
            <w:noWrap/>
            <w:hideMark/>
          </w:tcPr>
          <w:p w14:paraId="586353DE"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c>
          <w:tcPr>
            <w:tcW w:w="1093" w:type="dxa"/>
            <w:tcBorders>
              <w:top w:val="nil"/>
              <w:left w:val="nil"/>
              <w:right w:val="nil"/>
            </w:tcBorders>
            <w:shd w:val="clear" w:color="auto" w:fill="auto"/>
            <w:noWrap/>
            <w:hideMark/>
          </w:tcPr>
          <w:p w14:paraId="759561CF"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NS</w:t>
            </w:r>
          </w:p>
        </w:tc>
        <w:tc>
          <w:tcPr>
            <w:tcW w:w="1093" w:type="dxa"/>
            <w:tcBorders>
              <w:top w:val="nil"/>
              <w:left w:val="nil"/>
              <w:right w:val="nil"/>
            </w:tcBorders>
            <w:shd w:val="clear" w:color="auto" w:fill="auto"/>
            <w:noWrap/>
            <w:hideMark/>
          </w:tcPr>
          <w:p w14:paraId="7ED62D31" w14:textId="77777777" w:rsidR="00604A30" w:rsidRPr="00872B32" w:rsidRDefault="00604A30" w:rsidP="008C54E8">
            <w:pPr>
              <w:snapToGrid w:val="0"/>
              <w:spacing w:line="360" w:lineRule="auto"/>
              <w:jc w:val="both"/>
              <w:rPr>
                <w:rFonts w:ascii="Book Antiqua" w:hAnsi="Book Antiqua"/>
                <w:color w:val="000000"/>
                <w:lang w:val="it-IT" w:eastAsia="it-IT"/>
              </w:rPr>
            </w:pPr>
            <w:r w:rsidRPr="00DC2715">
              <w:t>P&lt;0.0001</w:t>
            </w:r>
          </w:p>
        </w:tc>
      </w:tr>
      <w:tr w:rsidR="00C808A0" w:rsidRPr="00872B32" w14:paraId="48E91A89" w14:textId="77777777" w:rsidTr="008C54E8">
        <w:trPr>
          <w:trHeight w:val="255"/>
        </w:trPr>
        <w:tc>
          <w:tcPr>
            <w:tcW w:w="585" w:type="dxa"/>
            <w:tcBorders>
              <w:top w:val="nil"/>
              <w:left w:val="nil"/>
              <w:right w:val="nil"/>
            </w:tcBorders>
            <w:shd w:val="clear" w:color="auto" w:fill="auto"/>
            <w:noWrap/>
            <w:vAlign w:val="bottom"/>
            <w:hideMark/>
          </w:tcPr>
          <w:p w14:paraId="4116ABC3" w14:textId="77777777" w:rsidR="00150553" w:rsidRPr="00872B32" w:rsidRDefault="00150553" w:rsidP="008C54E8">
            <w:pPr>
              <w:snapToGrid w:val="0"/>
              <w:spacing w:line="360" w:lineRule="auto"/>
              <w:jc w:val="both"/>
              <w:rPr>
                <w:rFonts w:ascii="Book Antiqua" w:hAnsi="Book Antiqua"/>
                <w:color w:val="000000"/>
                <w:lang w:val="it-IT" w:eastAsia="it-IT"/>
              </w:rPr>
            </w:pPr>
            <w:r w:rsidRPr="00872B32">
              <w:rPr>
                <w:rFonts w:ascii="Book Antiqua" w:hAnsi="Book Antiqua"/>
                <w:color w:val="000000"/>
                <w:lang w:val="it-IT" w:eastAsia="it-IT"/>
              </w:rPr>
              <w:lastRenderedPageBreak/>
              <w:t> </w:t>
            </w:r>
          </w:p>
        </w:tc>
        <w:tc>
          <w:tcPr>
            <w:tcW w:w="973" w:type="dxa"/>
            <w:tcBorders>
              <w:top w:val="nil"/>
              <w:left w:val="nil"/>
              <w:right w:val="nil"/>
            </w:tcBorders>
            <w:shd w:val="clear" w:color="auto" w:fill="auto"/>
            <w:noWrap/>
            <w:vAlign w:val="bottom"/>
            <w:hideMark/>
          </w:tcPr>
          <w:p w14:paraId="1DC8362D"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0" w:type="dxa"/>
            <w:tcBorders>
              <w:top w:val="nil"/>
              <w:left w:val="nil"/>
              <w:right w:val="nil"/>
            </w:tcBorders>
            <w:shd w:val="clear" w:color="auto" w:fill="auto"/>
            <w:noWrap/>
            <w:vAlign w:val="bottom"/>
            <w:hideMark/>
          </w:tcPr>
          <w:p w14:paraId="24D32A20"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14:paraId="5403D5EE"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top w:val="nil"/>
              <w:left w:val="nil"/>
              <w:right w:val="nil"/>
            </w:tcBorders>
            <w:shd w:val="clear" w:color="auto" w:fill="auto"/>
            <w:noWrap/>
            <w:vAlign w:val="bottom"/>
            <w:hideMark/>
          </w:tcPr>
          <w:p w14:paraId="3232F02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top w:val="nil"/>
              <w:left w:val="nil"/>
              <w:right w:val="nil"/>
            </w:tcBorders>
            <w:shd w:val="clear" w:color="auto" w:fill="auto"/>
            <w:noWrap/>
            <w:vAlign w:val="bottom"/>
            <w:hideMark/>
          </w:tcPr>
          <w:p w14:paraId="673459E4"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14:paraId="5E69697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978" w:type="dxa"/>
            <w:tcBorders>
              <w:top w:val="nil"/>
              <w:left w:val="nil"/>
              <w:right w:val="nil"/>
            </w:tcBorders>
            <w:shd w:val="clear" w:color="auto" w:fill="auto"/>
            <w:noWrap/>
            <w:vAlign w:val="bottom"/>
            <w:hideMark/>
          </w:tcPr>
          <w:p w14:paraId="0D004B82"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top w:val="nil"/>
              <w:left w:val="nil"/>
              <w:right w:val="nil"/>
            </w:tcBorders>
            <w:shd w:val="clear" w:color="auto" w:fill="auto"/>
            <w:noWrap/>
            <w:vAlign w:val="bottom"/>
            <w:hideMark/>
          </w:tcPr>
          <w:p w14:paraId="5F5D7A10"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top w:val="nil"/>
              <w:left w:val="nil"/>
              <w:right w:val="nil"/>
            </w:tcBorders>
            <w:shd w:val="clear" w:color="auto" w:fill="auto"/>
            <w:noWrap/>
            <w:vAlign w:val="bottom"/>
            <w:hideMark/>
          </w:tcPr>
          <w:p w14:paraId="2020AEB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14:paraId="20DBD32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14:paraId="2C40B193" w14:textId="77777777" w:rsidR="00150553" w:rsidRPr="00872B32" w:rsidRDefault="00150553" w:rsidP="008C54E8">
            <w:pPr>
              <w:snapToGrid w:val="0"/>
              <w:spacing w:line="360" w:lineRule="auto"/>
              <w:jc w:val="both"/>
              <w:rPr>
                <w:rFonts w:ascii="Book Antiqua" w:hAnsi="Book Antiqua"/>
                <w:color w:val="000000"/>
                <w:lang w:val="it-IT" w:eastAsia="it-IT"/>
              </w:rPr>
            </w:pPr>
          </w:p>
        </w:tc>
      </w:tr>
      <w:tr w:rsidR="00C808A0" w:rsidRPr="00872B32" w14:paraId="5E02DBD8" w14:textId="77777777" w:rsidTr="008C54E8">
        <w:trPr>
          <w:trHeight w:val="79"/>
        </w:trPr>
        <w:tc>
          <w:tcPr>
            <w:tcW w:w="585" w:type="dxa"/>
            <w:tcBorders>
              <w:left w:val="nil"/>
              <w:bottom w:val="single" w:sz="4" w:space="0" w:color="auto"/>
              <w:right w:val="nil"/>
            </w:tcBorders>
            <w:shd w:val="clear" w:color="auto" w:fill="auto"/>
            <w:noWrap/>
            <w:vAlign w:val="bottom"/>
            <w:hideMark/>
          </w:tcPr>
          <w:p w14:paraId="31ABD436"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973" w:type="dxa"/>
            <w:tcBorders>
              <w:left w:val="nil"/>
              <w:bottom w:val="single" w:sz="4" w:space="0" w:color="auto"/>
              <w:right w:val="nil"/>
            </w:tcBorders>
            <w:shd w:val="clear" w:color="auto" w:fill="auto"/>
            <w:noWrap/>
            <w:vAlign w:val="bottom"/>
            <w:hideMark/>
          </w:tcPr>
          <w:p w14:paraId="27F8D850"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0" w:type="dxa"/>
            <w:tcBorders>
              <w:left w:val="nil"/>
              <w:bottom w:val="single" w:sz="4" w:space="0" w:color="auto"/>
              <w:right w:val="nil"/>
            </w:tcBorders>
            <w:shd w:val="clear" w:color="auto" w:fill="auto"/>
            <w:noWrap/>
            <w:vAlign w:val="bottom"/>
            <w:hideMark/>
          </w:tcPr>
          <w:p w14:paraId="108F2D7D"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left w:val="nil"/>
              <w:bottom w:val="single" w:sz="4" w:space="0" w:color="auto"/>
              <w:right w:val="nil"/>
            </w:tcBorders>
            <w:shd w:val="clear" w:color="auto" w:fill="auto"/>
            <w:noWrap/>
            <w:vAlign w:val="bottom"/>
            <w:hideMark/>
          </w:tcPr>
          <w:p w14:paraId="5FD0BF44"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left w:val="nil"/>
              <w:bottom w:val="single" w:sz="4" w:space="0" w:color="auto"/>
              <w:right w:val="nil"/>
            </w:tcBorders>
            <w:shd w:val="clear" w:color="auto" w:fill="auto"/>
            <w:noWrap/>
            <w:vAlign w:val="bottom"/>
            <w:hideMark/>
          </w:tcPr>
          <w:p w14:paraId="66469002"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680" w:type="dxa"/>
            <w:tcBorders>
              <w:left w:val="nil"/>
              <w:bottom w:val="single" w:sz="4" w:space="0" w:color="auto"/>
              <w:right w:val="nil"/>
            </w:tcBorders>
            <w:shd w:val="clear" w:color="auto" w:fill="auto"/>
            <w:noWrap/>
            <w:vAlign w:val="bottom"/>
            <w:hideMark/>
          </w:tcPr>
          <w:p w14:paraId="3C0F83AE"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left w:val="nil"/>
              <w:bottom w:val="single" w:sz="4" w:space="0" w:color="auto"/>
              <w:right w:val="nil"/>
            </w:tcBorders>
            <w:shd w:val="clear" w:color="auto" w:fill="auto"/>
            <w:noWrap/>
            <w:vAlign w:val="bottom"/>
            <w:hideMark/>
          </w:tcPr>
          <w:p w14:paraId="3A3B73B7"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978" w:type="dxa"/>
            <w:tcBorders>
              <w:left w:val="nil"/>
              <w:bottom w:val="single" w:sz="4" w:space="0" w:color="auto"/>
              <w:right w:val="nil"/>
            </w:tcBorders>
            <w:shd w:val="clear" w:color="auto" w:fill="auto"/>
            <w:noWrap/>
            <w:vAlign w:val="bottom"/>
            <w:hideMark/>
          </w:tcPr>
          <w:p w14:paraId="15D31497"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200" w:type="dxa"/>
            <w:tcBorders>
              <w:left w:val="nil"/>
              <w:bottom w:val="single" w:sz="4" w:space="0" w:color="auto"/>
              <w:right w:val="nil"/>
            </w:tcBorders>
            <w:shd w:val="clear" w:color="auto" w:fill="auto"/>
            <w:noWrap/>
            <w:vAlign w:val="bottom"/>
            <w:hideMark/>
          </w:tcPr>
          <w:p w14:paraId="5DC9A7EA"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126" w:type="dxa"/>
            <w:tcBorders>
              <w:left w:val="nil"/>
              <w:bottom w:val="single" w:sz="4" w:space="0" w:color="auto"/>
              <w:right w:val="nil"/>
            </w:tcBorders>
            <w:shd w:val="clear" w:color="auto" w:fill="auto"/>
            <w:noWrap/>
            <w:vAlign w:val="bottom"/>
            <w:hideMark/>
          </w:tcPr>
          <w:p w14:paraId="1C3BABA7"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left w:val="nil"/>
              <w:bottom w:val="single" w:sz="4" w:space="0" w:color="auto"/>
              <w:right w:val="nil"/>
            </w:tcBorders>
            <w:shd w:val="clear" w:color="auto" w:fill="auto"/>
            <w:noWrap/>
            <w:vAlign w:val="bottom"/>
            <w:hideMark/>
          </w:tcPr>
          <w:p w14:paraId="3834F1DF" w14:textId="77777777" w:rsidR="00150553" w:rsidRPr="00872B32" w:rsidRDefault="00150553" w:rsidP="008C54E8">
            <w:pPr>
              <w:snapToGrid w:val="0"/>
              <w:spacing w:line="360" w:lineRule="auto"/>
              <w:jc w:val="both"/>
              <w:rPr>
                <w:rFonts w:ascii="Book Antiqua" w:hAnsi="Book Antiqua"/>
                <w:color w:val="000000"/>
                <w:lang w:val="it-IT" w:eastAsia="it-IT"/>
              </w:rPr>
            </w:pPr>
          </w:p>
        </w:tc>
        <w:tc>
          <w:tcPr>
            <w:tcW w:w="1093" w:type="dxa"/>
            <w:tcBorders>
              <w:left w:val="nil"/>
              <w:bottom w:val="single" w:sz="4" w:space="0" w:color="auto"/>
              <w:right w:val="nil"/>
            </w:tcBorders>
            <w:shd w:val="clear" w:color="auto" w:fill="auto"/>
            <w:noWrap/>
            <w:vAlign w:val="bottom"/>
            <w:hideMark/>
          </w:tcPr>
          <w:p w14:paraId="622FC76F" w14:textId="77777777" w:rsidR="00150553" w:rsidRPr="00872B32" w:rsidRDefault="00150553" w:rsidP="008C54E8">
            <w:pPr>
              <w:snapToGrid w:val="0"/>
              <w:spacing w:line="360" w:lineRule="auto"/>
              <w:jc w:val="both"/>
              <w:rPr>
                <w:rFonts w:ascii="Book Antiqua" w:hAnsi="Book Antiqua"/>
                <w:color w:val="000000"/>
                <w:lang w:val="it-IT" w:eastAsia="it-IT"/>
              </w:rPr>
            </w:pPr>
          </w:p>
        </w:tc>
      </w:tr>
      <w:tr w:rsidR="00C808A0" w:rsidRPr="00872B32" w14:paraId="014D18AD" w14:textId="77777777" w:rsidTr="008C54E8">
        <w:trPr>
          <w:trHeight w:val="255"/>
        </w:trPr>
        <w:tc>
          <w:tcPr>
            <w:tcW w:w="10204" w:type="dxa"/>
            <w:gridSpan w:val="12"/>
            <w:tcBorders>
              <w:top w:val="single" w:sz="4" w:space="0" w:color="auto"/>
              <w:left w:val="nil"/>
              <w:bottom w:val="nil"/>
              <w:right w:val="nil"/>
            </w:tcBorders>
            <w:shd w:val="clear" w:color="auto" w:fill="auto"/>
            <w:noWrap/>
            <w:vAlign w:val="bottom"/>
            <w:hideMark/>
          </w:tcPr>
          <w:p w14:paraId="2EB8C43D" w14:textId="77777777" w:rsidR="005E29A2" w:rsidRPr="00BA4E7C" w:rsidRDefault="00150553" w:rsidP="008C54E8">
            <w:pPr>
              <w:snapToGrid w:val="0"/>
              <w:spacing w:line="360" w:lineRule="auto"/>
              <w:jc w:val="both"/>
              <w:rPr>
                <w:rFonts w:ascii="Book Antiqua" w:eastAsia="宋体" w:hAnsi="Book Antiqua"/>
                <w:color w:val="000000"/>
                <w:lang w:eastAsia="zh-CN"/>
              </w:rPr>
            </w:pPr>
            <w:r w:rsidRPr="00872B32">
              <w:rPr>
                <w:rFonts w:ascii="Book Antiqua" w:hAnsi="Book Antiqua"/>
                <w:color w:val="000000"/>
                <w:lang w:eastAsia="it-IT"/>
              </w:rPr>
              <w:t xml:space="preserve">Values are expressed as percentages. The statistical data were obtained by using </w:t>
            </w:r>
            <w:r w:rsidR="0049730C" w:rsidRPr="0049730C">
              <w:rPr>
                <w:rFonts w:ascii="Book Antiqua" w:hAnsi="Book Antiqua"/>
                <w:i/>
                <w:color w:val="000000"/>
                <w:lang w:val="it-IT" w:eastAsia="it-IT"/>
              </w:rPr>
              <w:sym w:font="Symbol" w:char="F063"/>
            </w:r>
            <w:r w:rsidR="00101144" w:rsidRPr="00872B32">
              <w:rPr>
                <w:rFonts w:ascii="Book Antiqua" w:hAnsi="Book Antiqua"/>
                <w:color w:val="000000"/>
                <w:vertAlign w:val="superscript"/>
                <w:lang w:eastAsia="it-IT"/>
              </w:rPr>
              <w:t>2</w:t>
            </w:r>
            <w:r w:rsidRPr="00872B32">
              <w:rPr>
                <w:rFonts w:ascii="Book Antiqua" w:hAnsi="Book Antiqua"/>
                <w:color w:val="000000"/>
                <w:lang w:eastAsia="it-IT"/>
              </w:rPr>
              <w:t xml:space="preserve"> of goodness-of-fit</w:t>
            </w:r>
            <w:r w:rsidR="00C808A0" w:rsidRPr="00872B32">
              <w:rPr>
                <w:rFonts w:ascii="Book Antiqua" w:hAnsi="Book Antiqua"/>
                <w:color w:val="000000"/>
                <w:lang w:eastAsia="it-IT"/>
              </w:rPr>
              <w:t xml:space="preserve"> </w:t>
            </w:r>
            <w:r w:rsidRPr="00872B32">
              <w:rPr>
                <w:rFonts w:ascii="Book Antiqua" w:hAnsi="Book Antiqua"/>
                <w:color w:val="000000"/>
                <w:lang w:eastAsia="it-IT"/>
              </w:rPr>
              <w:t xml:space="preserve">statistic. Values of </w:t>
            </w:r>
            <w:r w:rsidRPr="00872B32">
              <w:rPr>
                <w:rFonts w:ascii="Book Antiqua" w:hAnsi="Book Antiqua"/>
                <w:i/>
                <w:color w:val="000000"/>
                <w:lang w:eastAsia="it-IT"/>
              </w:rPr>
              <w:t>P</w:t>
            </w:r>
            <w:r w:rsidR="0049730C" w:rsidRPr="00BA4E7C">
              <w:rPr>
                <w:rFonts w:ascii="Book Antiqua" w:eastAsia="宋体" w:hAnsi="Book Antiqua" w:hint="eastAsia"/>
                <w:i/>
                <w:color w:val="000000"/>
                <w:lang w:eastAsia="zh-CN"/>
              </w:rPr>
              <w:t xml:space="preserve"> </w:t>
            </w:r>
            <w:r w:rsidRPr="00872B32">
              <w:rPr>
                <w:rFonts w:ascii="Book Antiqua" w:hAnsi="Book Antiqua"/>
                <w:color w:val="000000"/>
                <w:lang w:eastAsia="it-IT"/>
              </w:rPr>
              <w:t>&lt;</w:t>
            </w:r>
            <w:r w:rsidR="0049730C" w:rsidRPr="00BA4E7C">
              <w:rPr>
                <w:rFonts w:ascii="Book Antiqua" w:eastAsia="宋体" w:hAnsi="Book Antiqua" w:hint="eastAsia"/>
                <w:color w:val="000000"/>
                <w:lang w:eastAsia="zh-CN"/>
              </w:rPr>
              <w:t xml:space="preserve"> </w:t>
            </w:r>
            <w:r w:rsidRPr="00872B32">
              <w:rPr>
                <w:rFonts w:ascii="Book Antiqua" w:hAnsi="Book Antiqua"/>
                <w:color w:val="000000"/>
                <w:lang w:eastAsia="it-IT"/>
              </w:rPr>
              <w:t xml:space="preserve">0.05 were considered significant. NS: </w:t>
            </w:r>
            <w:r w:rsidR="0049730C" w:rsidRPr="00872B32">
              <w:rPr>
                <w:rFonts w:ascii="Book Antiqua" w:hAnsi="Book Antiqua"/>
                <w:color w:val="000000"/>
                <w:lang w:eastAsia="it-IT"/>
              </w:rPr>
              <w:t xml:space="preserve">Not </w:t>
            </w:r>
            <w:r w:rsidRPr="00872B32">
              <w:rPr>
                <w:rFonts w:ascii="Book Antiqua" w:hAnsi="Book Antiqua"/>
                <w:color w:val="000000"/>
                <w:lang w:eastAsia="it-IT"/>
              </w:rPr>
              <w:t>significant</w:t>
            </w:r>
            <w:r w:rsidR="0049730C" w:rsidRPr="00BA4E7C">
              <w:rPr>
                <w:rFonts w:ascii="Book Antiqua" w:eastAsia="宋体" w:hAnsi="Book Antiqua" w:hint="eastAsia"/>
                <w:color w:val="000000"/>
                <w:lang w:eastAsia="zh-CN"/>
              </w:rPr>
              <w:t>;</w:t>
            </w:r>
            <w:r w:rsidR="00C808A0" w:rsidRPr="00872B32">
              <w:rPr>
                <w:rFonts w:ascii="Book Antiqua" w:hAnsi="Book Antiqua"/>
                <w:color w:val="000000"/>
                <w:lang w:eastAsia="it-IT"/>
              </w:rPr>
              <w:t xml:space="preserve"> </w:t>
            </w:r>
            <w:r w:rsidR="0049730C" w:rsidRPr="0049730C">
              <w:rPr>
                <w:rFonts w:ascii="Book Antiqua" w:hAnsi="Book Antiqua"/>
                <w:color w:val="000000"/>
                <w:lang w:eastAsia="it-IT"/>
              </w:rPr>
              <w:t>HS</w:t>
            </w:r>
            <w:r w:rsidR="0049730C" w:rsidRPr="0049730C">
              <w:rPr>
                <w:rFonts w:ascii="Book Antiqua" w:eastAsia="宋体" w:hAnsi="Book Antiqua" w:hint="eastAsia"/>
                <w:color w:val="000000"/>
                <w:lang w:eastAsia="zh-CN"/>
              </w:rPr>
              <w:t>:</w:t>
            </w:r>
            <w:r w:rsidR="0049730C" w:rsidRPr="0049730C">
              <w:rPr>
                <w:rFonts w:ascii="Book Antiqua" w:hAnsi="Book Antiqua"/>
                <w:color w:val="000000"/>
                <w:lang w:eastAsia="it-IT"/>
              </w:rPr>
              <w:t xml:space="preserve"> Healthy subject</w:t>
            </w:r>
            <w:r w:rsidR="0049730C" w:rsidRPr="0049730C">
              <w:rPr>
                <w:rFonts w:ascii="Book Antiqua" w:eastAsia="宋体" w:hAnsi="Book Antiqua" w:hint="eastAsia"/>
                <w:color w:val="000000"/>
                <w:lang w:eastAsia="zh-CN"/>
              </w:rPr>
              <w:t xml:space="preserve">; </w:t>
            </w:r>
            <w:r w:rsidR="0049730C" w:rsidRPr="0049730C">
              <w:rPr>
                <w:rFonts w:ascii="Book Antiqua" w:hAnsi="Book Antiqua"/>
                <w:color w:val="000000"/>
                <w:lang w:eastAsia="it-IT"/>
              </w:rPr>
              <w:t>TP</w:t>
            </w:r>
            <w:r w:rsidR="0049730C" w:rsidRPr="0049730C">
              <w:rPr>
                <w:rFonts w:ascii="Book Antiqua" w:eastAsia="宋体" w:hAnsi="Book Antiqua" w:hint="eastAsia"/>
                <w:color w:val="000000"/>
                <w:lang w:eastAsia="zh-CN"/>
              </w:rPr>
              <w:t>:</w:t>
            </w:r>
            <w:r w:rsidR="0049730C" w:rsidRPr="0049730C">
              <w:rPr>
                <w:rFonts w:ascii="Book Antiqua" w:hAnsi="Book Antiqua"/>
                <w:color w:val="000000"/>
                <w:lang w:eastAsia="it-IT"/>
              </w:rPr>
              <w:t xml:space="preserve"> Tumor patients</w:t>
            </w:r>
            <w:r w:rsidR="0049730C" w:rsidRPr="0049730C">
              <w:rPr>
                <w:rFonts w:ascii="Book Antiqua" w:eastAsia="宋体" w:hAnsi="Book Antiqua" w:hint="eastAsia"/>
                <w:color w:val="000000"/>
                <w:lang w:eastAsia="zh-CN"/>
              </w:rPr>
              <w:t>.</w:t>
            </w:r>
          </w:p>
        </w:tc>
      </w:tr>
    </w:tbl>
    <w:p w14:paraId="05B86763" w14:textId="77777777" w:rsidR="003440DA" w:rsidRPr="00872B32" w:rsidRDefault="003440DA" w:rsidP="008C54E8">
      <w:pPr>
        <w:snapToGrid w:val="0"/>
        <w:spacing w:line="360" w:lineRule="auto"/>
        <w:jc w:val="both"/>
        <w:rPr>
          <w:rFonts w:ascii="Book Antiqua" w:hAnsi="Book Antiqua"/>
          <w:color w:val="000000"/>
          <w:lang w:eastAsia="it-IT"/>
        </w:rPr>
        <w:sectPr w:rsidR="003440DA" w:rsidRPr="00872B32" w:rsidSect="008C54E8">
          <w:pgSz w:w="16838" w:h="11906" w:orient="landscape"/>
          <w:pgMar w:top="1440" w:right="1440" w:bottom="1440" w:left="1440" w:header="706" w:footer="706" w:gutter="0"/>
          <w:cols w:space="708"/>
          <w:docGrid w:linePitch="360"/>
        </w:sectPr>
      </w:pPr>
    </w:p>
    <w:tbl>
      <w:tblPr>
        <w:tblW w:w="14290" w:type="dxa"/>
        <w:tblCellMar>
          <w:left w:w="70" w:type="dxa"/>
          <w:right w:w="70" w:type="dxa"/>
        </w:tblCellMar>
        <w:tblLook w:val="04A0" w:firstRow="1" w:lastRow="0" w:firstColumn="1" w:lastColumn="0" w:noHBand="0" w:noVBand="1"/>
      </w:tblPr>
      <w:tblGrid>
        <w:gridCol w:w="605"/>
        <w:gridCol w:w="2624"/>
        <w:gridCol w:w="1294"/>
        <w:gridCol w:w="805"/>
        <w:gridCol w:w="805"/>
        <w:gridCol w:w="200"/>
        <w:gridCol w:w="1830"/>
        <w:gridCol w:w="200"/>
        <w:gridCol w:w="1378"/>
        <w:gridCol w:w="1562"/>
        <w:gridCol w:w="200"/>
        <w:gridCol w:w="1378"/>
        <w:gridCol w:w="1562"/>
      </w:tblGrid>
      <w:tr w:rsidR="00C808A0" w:rsidRPr="00872B32" w14:paraId="06FD5C91" w14:textId="77777777" w:rsidTr="003440DA">
        <w:trPr>
          <w:trHeight w:val="315"/>
        </w:trPr>
        <w:tc>
          <w:tcPr>
            <w:tcW w:w="14290" w:type="dxa"/>
            <w:gridSpan w:val="13"/>
            <w:tcBorders>
              <w:top w:val="nil"/>
              <w:left w:val="nil"/>
              <w:bottom w:val="nil"/>
              <w:right w:val="nil"/>
            </w:tcBorders>
            <w:shd w:val="clear" w:color="auto" w:fill="auto"/>
            <w:noWrap/>
            <w:vAlign w:val="center"/>
            <w:hideMark/>
          </w:tcPr>
          <w:p w14:paraId="0E62FFD6" w14:textId="77777777" w:rsidR="002D5D3F" w:rsidRPr="008B4C0B" w:rsidRDefault="003440DA" w:rsidP="008C54E8">
            <w:pPr>
              <w:snapToGrid w:val="0"/>
              <w:spacing w:line="360" w:lineRule="auto"/>
              <w:jc w:val="both"/>
              <w:rPr>
                <w:rFonts w:ascii="Book Antiqua" w:eastAsia="Calibri" w:hAnsi="Book Antiqua"/>
                <w:b/>
                <w:bCs/>
                <w:color w:val="000000"/>
              </w:rPr>
            </w:pPr>
            <w:r w:rsidRPr="008B4C0B">
              <w:rPr>
                <w:rFonts w:ascii="Book Antiqua" w:eastAsia="Calibri" w:hAnsi="Book Antiqua"/>
                <w:b/>
                <w:bCs/>
                <w:color w:val="000000"/>
              </w:rPr>
              <w:lastRenderedPageBreak/>
              <w:t>T</w:t>
            </w:r>
            <w:r w:rsidR="002D5D3F" w:rsidRPr="008B4C0B">
              <w:rPr>
                <w:rFonts w:ascii="Book Antiqua" w:eastAsia="Calibri" w:hAnsi="Book Antiqua"/>
                <w:b/>
                <w:bCs/>
                <w:color w:val="000000"/>
              </w:rPr>
              <w:t>able 3</w:t>
            </w:r>
            <w:r w:rsidR="00C808A0" w:rsidRPr="008B4C0B">
              <w:rPr>
                <w:rFonts w:ascii="Book Antiqua" w:eastAsia="Calibri" w:hAnsi="Book Antiqua"/>
                <w:b/>
                <w:bCs/>
                <w:color w:val="000000"/>
              </w:rPr>
              <w:t xml:space="preserve"> </w:t>
            </w:r>
            <w:r w:rsidR="002D5D3F" w:rsidRPr="008B4C0B">
              <w:rPr>
                <w:rFonts w:ascii="Book Antiqua" w:eastAsia="Calibri" w:hAnsi="Book Antiqua"/>
                <w:b/>
                <w:color w:val="000000"/>
              </w:rPr>
              <w:t>Fc</w:t>
            </w:r>
            <w:r w:rsidR="00101144" w:rsidRPr="008B4C0B">
              <w:rPr>
                <w:rFonts w:ascii="Book Antiqua" w:eastAsia="Calibri" w:hAnsi="Book Antiqua"/>
                <w:b/>
                <w:color w:val="000000"/>
              </w:rPr>
              <w:sym w:font="Symbol" w:char="F067"/>
            </w:r>
            <w:r w:rsidR="002D5D3F" w:rsidRPr="008B4C0B">
              <w:rPr>
                <w:rFonts w:ascii="Book Antiqua" w:eastAsia="Calibri" w:hAnsi="Book Antiqua"/>
                <w:b/>
                <w:color w:val="000000"/>
              </w:rPr>
              <w:t>RIIa and Fc</w:t>
            </w:r>
            <w:r w:rsidR="00101144" w:rsidRPr="008B4C0B">
              <w:rPr>
                <w:rFonts w:ascii="Book Antiqua" w:eastAsia="Calibri" w:hAnsi="Book Antiqua"/>
                <w:b/>
                <w:color w:val="000000"/>
              </w:rPr>
              <w:sym w:font="Symbol" w:char="F067"/>
            </w:r>
            <w:r w:rsidR="002D5D3F" w:rsidRPr="008B4C0B">
              <w:rPr>
                <w:rFonts w:ascii="Book Antiqua" w:eastAsia="Calibri" w:hAnsi="Book Antiqua"/>
                <w:b/>
                <w:color w:val="000000"/>
              </w:rPr>
              <w:t>RIIIa</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biomarkers of</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the</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risk of disease progression</w:t>
            </w:r>
          </w:p>
        </w:tc>
      </w:tr>
      <w:tr w:rsidR="00C808A0" w:rsidRPr="00872B32" w14:paraId="007FCC4E" w14:textId="77777777" w:rsidTr="003440DA">
        <w:trPr>
          <w:trHeight w:val="315"/>
        </w:trPr>
        <w:tc>
          <w:tcPr>
            <w:tcW w:w="452" w:type="dxa"/>
            <w:tcBorders>
              <w:top w:val="nil"/>
              <w:left w:val="nil"/>
              <w:bottom w:val="single" w:sz="8" w:space="0" w:color="auto"/>
              <w:right w:val="nil"/>
            </w:tcBorders>
            <w:shd w:val="clear" w:color="auto" w:fill="auto"/>
            <w:noWrap/>
            <w:vAlign w:val="center"/>
            <w:hideMark/>
          </w:tcPr>
          <w:p w14:paraId="40D4D424"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2624" w:type="dxa"/>
            <w:tcBorders>
              <w:top w:val="nil"/>
              <w:left w:val="nil"/>
              <w:bottom w:val="single" w:sz="8" w:space="0" w:color="auto"/>
              <w:right w:val="nil"/>
            </w:tcBorders>
            <w:shd w:val="clear" w:color="auto" w:fill="auto"/>
            <w:noWrap/>
            <w:vAlign w:val="center"/>
            <w:hideMark/>
          </w:tcPr>
          <w:p w14:paraId="3FDB2E38"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rPr>
              <w:t> </w:t>
            </w:r>
          </w:p>
        </w:tc>
        <w:tc>
          <w:tcPr>
            <w:tcW w:w="1294" w:type="dxa"/>
            <w:tcBorders>
              <w:top w:val="nil"/>
              <w:left w:val="nil"/>
              <w:bottom w:val="single" w:sz="8" w:space="0" w:color="auto"/>
              <w:right w:val="nil"/>
            </w:tcBorders>
            <w:shd w:val="clear" w:color="auto" w:fill="auto"/>
            <w:noWrap/>
            <w:vAlign w:val="center"/>
            <w:hideMark/>
          </w:tcPr>
          <w:p w14:paraId="5688EEC9"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805" w:type="dxa"/>
            <w:tcBorders>
              <w:top w:val="nil"/>
              <w:left w:val="nil"/>
              <w:bottom w:val="single" w:sz="8" w:space="0" w:color="auto"/>
              <w:right w:val="nil"/>
            </w:tcBorders>
            <w:shd w:val="clear" w:color="auto" w:fill="auto"/>
            <w:noWrap/>
            <w:vAlign w:val="center"/>
            <w:hideMark/>
          </w:tcPr>
          <w:p w14:paraId="5E3D8A0E"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805" w:type="dxa"/>
            <w:tcBorders>
              <w:top w:val="nil"/>
              <w:left w:val="nil"/>
              <w:bottom w:val="single" w:sz="8" w:space="0" w:color="auto"/>
              <w:right w:val="nil"/>
            </w:tcBorders>
            <w:shd w:val="clear" w:color="auto" w:fill="auto"/>
            <w:noWrap/>
            <w:vAlign w:val="center"/>
            <w:hideMark/>
          </w:tcPr>
          <w:p w14:paraId="79E630A5"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14:paraId="0EE529EC"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830" w:type="dxa"/>
            <w:tcBorders>
              <w:top w:val="nil"/>
              <w:left w:val="nil"/>
              <w:bottom w:val="single" w:sz="8" w:space="0" w:color="auto"/>
              <w:right w:val="nil"/>
            </w:tcBorders>
            <w:shd w:val="clear" w:color="auto" w:fill="auto"/>
            <w:noWrap/>
            <w:vAlign w:val="center"/>
            <w:hideMark/>
          </w:tcPr>
          <w:p w14:paraId="0885FF81"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14:paraId="17A7B741"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378" w:type="dxa"/>
            <w:tcBorders>
              <w:top w:val="nil"/>
              <w:left w:val="nil"/>
              <w:bottom w:val="single" w:sz="8" w:space="0" w:color="auto"/>
              <w:right w:val="nil"/>
            </w:tcBorders>
            <w:shd w:val="clear" w:color="auto" w:fill="auto"/>
            <w:noWrap/>
            <w:vAlign w:val="center"/>
            <w:hideMark/>
          </w:tcPr>
          <w:p w14:paraId="182E05B8"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562" w:type="dxa"/>
            <w:tcBorders>
              <w:top w:val="nil"/>
              <w:left w:val="nil"/>
              <w:bottom w:val="single" w:sz="8" w:space="0" w:color="auto"/>
              <w:right w:val="nil"/>
            </w:tcBorders>
            <w:shd w:val="clear" w:color="auto" w:fill="auto"/>
            <w:noWrap/>
            <w:vAlign w:val="center"/>
            <w:hideMark/>
          </w:tcPr>
          <w:p w14:paraId="389E13CC"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14:paraId="236A5C8B"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378" w:type="dxa"/>
            <w:tcBorders>
              <w:top w:val="nil"/>
              <w:left w:val="nil"/>
              <w:bottom w:val="single" w:sz="8" w:space="0" w:color="auto"/>
              <w:right w:val="nil"/>
            </w:tcBorders>
            <w:shd w:val="clear" w:color="auto" w:fill="auto"/>
            <w:noWrap/>
            <w:vAlign w:val="center"/>
            <w:hideMark/>
          </w:tcPr>
          <w:p w14:paraId="426CF565"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562" w:type="dxa"/>
            <w:tcBorders>
              <w:top w:val="nil"/>
              <w:left w:val="nil"/>
              <w:bottom w:val="single" w:sz="8" w:space="0" w:color="auto"/>
              <w:right w:val="nil"/>
            </w:tcBorders>
            <w:shd w:val="clear" w:color="auto" w:fill="auto"/>
            <w:noWrap/>
            <w:vAlign w:val="center"/>
            <w:hideMark/>
          </w:tcPr>
          <w:p w14:paraId="690F06AB" w14:textId="77777777" w:rsidR="002D5D3F" w:rsidRPr="00872B32" w:rsidRDefault="002D5D3F" w:rsidP="008C54E8">
            <w:pPr>
              <w:snapToGrid w:val="0"/>
              <w:spacing w:line="360" w:lineRule="auto"/>
              <w:jc w:val="both"/>
              <w:rPr>
                <w:rFonts w:ascii="Book Antiqua" w:eastAsia="Calibri" w:hAnsi="Book Antiqua"/>
                <w:color w:val="000000"/>
              </w:rPr>
            </w:pPr>
            <w:r w:rsidRPr="00872B32">
              <w:rPr>
                <w:rFonts w:ascii="Book Antiqua" w:eastAsia="Calibri" w:hAnsi="Book Antiqua"/>
                <w:color w:val="000000"/>
              </w:rPr>
              <w:t> </w:t>
            </w:r>
          </w:p>
        </w:tc>
      </w:tr>
      <w:tr w:rsidR="00C808A0" w:rsidRPr="003A1EEB" w14:paraId="529E01A9" w14:textId="77777777" w:rsidTr="003440DA">
        <w:trPr>
          <w:trHeight w:val="315"/>
        </w:trPr>
        <w:tc>
          <w:tcPr>
            <w:tcW w:w="452" w:type="dxa"/>
            <w:tcBorders>
              <w:top w:val="nil"/>
              <w:left w:val="nil"/>
              <w:bottom w:val="nil"/>
              <w:right w:val="nil"/>
            </w:tcBorders>
            <w:shd w:val="clear" w:color="auto" w:fill="auto"/>
            <w:noWrap/>
            <w:vAlign w:val="center"/>
            <w:hideMark/>
          </w:tcPr>
          <w:p w14:paraId="41CD7B51" w14:textId="77777777" w:rsidR="002D5D3F" w:rsidRPr="00872B32" w:rsidRDefault="002D5D3F" w:rsidP="008C54E8">
            <w:pPr>
              <w:snapToGrid w:val="0"/>
              <w:spacing w:line="360" w:lineRule="auto"/>
              <w:jc w:val="both"/>
              <w:rPr>
                <w:rFonts w:ascii="Book Antiqua" w:eastAsia="Calibri" w:hAnsi="Book Antiqua"/>
                <w:color w:val="000000"/>
              </w:rPr>
            </w:pPr>
          </w:p>
        </w:tc>
        <w:tc>
          <w:tcPr>
            <w:tcW w:w="2624" w:type="dxa"/>
            <w:tcBorders>
              <w:top w:val="nil"/>
              <w:left w:val="nil"/>
              <w:bottom w:val="nil"/>
              <w:right w:val="nil"/>
            </w:tcBorders>
            <w:shd w:val="clear" w:color="auto" w:fill="auto"/>
            <w:noWrap/>
            <w:vAlign w:val="center"/>
            <w:hideMark/>
          </w:tcPr>
          <w:p w14:paraId="0300A800" w14:textId="77777777" w:rsidR="002D5D3F" w:rsidRPr="00872B32" w:rsidRDefault="002D5D3F" w:rsidP="008C54E8">
            <w:pPr>
              <w:snapToGrid w:val="0"/>
              <w:spacing w:line="360" w:lineRule="auto"/>
              <w:jc w:val="both"/>
              <w:rPr>
                <w:rFonts w:ascii="Book Antiqua" w:eastAsia="Calibri" w:hAnsi="Book Antiqua"/>
                <w:color w:val="000000"/>
              </w:rPr>
            </w:pPr>
          </w:p>
        </w:tc>
        <w:tc>
          <w:tcPr>
            <w:tcW w:w="1294" w:type="dxa"/>
            <w:tcBorders>
              <w:top w:val="nil"/>
              <w:left w:val="nil"/>
              <w:bottom w:val="nil"/>
              <w:right w:val="nil"/>
            </w:tcBorders>
            <w:shd w:val="clear" w:color="auto" w:fill="auto"/>
            <w:noWrap/>
            <w:vAlign w:val="center"/>
            <w:hideMark/>
          </w:tcPr>
          <w:p w14:paraId="4B39B136" w14:textId="77777777" w:rsidR="002D5D3F" w:rsidRPr="00872B32" w:rsidRDefault="002D5D3F" w:rsidP="008C54E8">
            <w:pPr>
              <w:snapToGrid w:val="0"/>
              <w:spacing w:line="360" w:lineRule="auto"/>
              <w:jc w:val="both"/>
              <w:rPr>
                <w:rFonts w:ascii="Book Antiqua" w:eastAsia="Calibri" w:hAnsi="Book Antiqua"/>
                <w:color w:val="000000"/>
              </w:rPr>
            </w:pPr>
          </w:p>
        </w:tc>
        <w:tc>
          <w:tcPr>
            <w:tcW w:w="805" w:type="dxa"/>
            <w:tcBorders>
              <w:top w:val="nil"/>
              <w:left w:val="nil"/>
              <w:bottom w:val="nil"/>
              <w:right w:val="nil"/>
            </w:tcBorders>
            <w:shd w:val="clear" w:color="auto" w:fill="auto"/>
            <w:noWrap/>
            <w:vAlign w:val="center"/>
            <w:hideMark/>
          </w:tcPr>
          <w:p w14:paraId="7F503AB5" w14:textId="77777777" w:rsidR="002D5D3F" w:rsidRPr="008C54E8" w:rsidRDefault="002D5D3F" w:rsidP="008C54E8">
            <w:pPr>
              <w:snapToGrid w:val="0"/>
              <w:spacing w:line="360" w:lineRule="auto"/>
              <w:jc w:val="both"/>
              <w:rPr>
                <w:rFonts w:ascii="Book Antiqua" w:eastAsia="Calibri" w:hAnsi="Book Antiqua"/>
                <w:b/>
                <w:color w:val="000000"/>
              </w:rPr>
            </w:pPr>
          </w:p>
        </w:tc>
        <w:tc>
          <w:tcPr>
            <w:tcW w:w="805" w:type="dxa"/>
            <w:tcBorders>
              <w:top w:val="nil"/>
              <w:left w:val="nil"/>
              <w:bottom w:val="nil"/>
              <w:right w:val="nil"/>
            </w:tcBorders>
            <w:shd w:val="clear" w:color="auto" w:fill="auto"/>
            <w:noWrap/>
            <w:vAlign w:val="center"/>
            <w:hideMark/>
          </w:tcPr>
          <w:p w14:paraId="43E93DA5" w14:textId="77777777" w:rsidR="002D5D3F" w:rsidRPr="008C54E8" w:rsidRDefault="002D5D3F" w:rsidP="008C54E8">
            <w:pPr>
              <w:snapToGrid w:val="0"/>
              <w:spacing w:line="360" w:lineRule="auto"/>
              <w:jc w:val="both"/>
              <w:rPr>
                <w:rFonts w:ascii="Book Antiqua" w:eastAsia="Calibri" w:hAnsi="Book Antiqua"/>
                <w:b/>
                <w:color w:val="000000"/>
              </w:rPr>
            </w:pPr>
          </w:p>
        </w:tc>
        <w:tc>
          <w:tcPr>
            <w:tcW w:w="200" w:type="dxa"/>
            <w:tcBorders>
              <w:top w:val="nil"/>
              <w:left w:val="nil"/>
              <w:bottom w:val="nil"/>
              <w:right w:val="nil"/>
            </w:tcBorders>
            <w:shd w:val="clear" w:color="auto" w:fill="auto"/>
            <w:noWrap/>
            <w:vAlign w:val="center"/>
            <w:hideMark/>
          </w:tcPr>
          <w:p w14:paraId="65EEC193" w14:textId="77777777" w:rsidR="002D5D3F" w:rsidRPr="008C54E8" w:rsidRDefault="002D5D3F" w:rsidP="008C54E8">
            <w:pPr>
              <w:snapToGrid w:val="0"/>
              <w:spacing w:line="360" w:lineRule="auto"/>
              <w:jc w:val="both"/>
              <w:rPr>
                <w:rFonts w:ascii="Book Antiqua" w:eastAsia="Calibri" w:hAnsi="Book Antiqua"/>
                <w:b/>
                <w:color w:val="000000"/>
              </w:rPr>
            </w:pPr>
          </w:p>
        </w:tc>
        <w:tc>
          <w:tcPr>
            <w:tcW w:w="1830" w:type="dxa"/>
            <w:tcBorders>
              <w:top w:val="nil"/>
              <w:left w:val="nil"/>
              <w:bottom w:val="nil"/>
              <w:right w:val="nil"/>
            </w:tcBorders>
            <w:shd w:val="clear" w:color="auto" w:fill="auto"/>
            <w:noWrap/>
            <w:vAlign w:val="center"/>
            <w:hideMark/>
          </w:tcPr>
          <w:p w14:paraId="13850E0E" w14:textId="77777777" w:rsidR="002D5D3F" w:rsidRPr="008C54E8" w:rsidRDefault="002D5D3F" w:rsidP="008C54E8">
            <w:pPr>
              <w:snapToGrid w:val="0"/>
              <w:spacing w:line="360" w:lineRule="auto"/>
              <w:jc w:val="both"/>
              <w:rPr>
                <w:rFonts w:ascii="Book Antiqua" w:eastAsia="Calibri" w:hAnsi="Book Antiqua"/>
                <w:b/>
                <w:color w:val="000000"/>
              </w:rPr>
            </w:pPr>
          </w:p>
        </w:tc>
        <w:tc>
          <w:tcPr>
            <w:tcW w:w="200" w:type="dxa"/>
            <w:tcBorders>
              <w:top w:val="nil"/>
              <w:left w:val="nil"/>
              <w:bottom w:val="nil"/>
              <w:right w:val="nil"/>
            </w:tcBorders>
            <w:shd w:val="clear" w:color="auto" w:fill="auto"/>
            <w:noWrap/>
            <w:vAlign w:val="center"/>
            <w:hideMark/>
          </w:tcPr>
          <w:p w14:paraId="7278E6E8" w14:textId="77777777" w:rsidR="002D5D3F" w:rsidRPr="008C54E8" w:rsidRDefault="002D5D3F" w:rsidP="008C54E8">
            <w:pPr>
              <w:snapToGrid w:val="0"/>
              <w:spacing w:line="360" w:lineRule="auto"/>
              <w:jc w:val="both"/>
              <w:rPr>
                <w:rFonts w:ascii="Book Antiqua" w:eastAsia="Calibri" w:hAnsi="Book Antiqua"/>
                <w:b/>
                <w:color w:val="000000"/>
              </w:rPr>
            </w:pPr>
          </w:p>
        </w:tc>
        <w:tc>
          <w:tcPr>
            <w:tcW w:w="2940" w:type="dxa"/>
            <w:gridSpan w:val="2"/>
            <w:tcBorders>
              <w:top w:val="single" w:sz="8" w:space="0" w:color="auto"/>
              <w:left w:val="nil"/>
              <w:bottom w:val="nil"/>
              <w:right w:val="nil"/>
            </w:tcBorders>
            <w:shd w:val="clear" w:color="auto" w:fill="auto"/>
            <w:noWrap/>
            <w:vAlign w:val="center"/>
            <w:hideMark/>
          </w:tcPr>
          <w:p w14:paraId="233F387C" w14:textId="77777777" w:rsidR="002D5D3F" w:rsidRPr="008C54E8" w:rsidRDefault="008B4C0B" w:rsidP="008C54E8">
            <w:pPr>
              <w:snapToGrid w:val="0"/>
              <w:spacing w:line="360" w:lineRule="auto"/>
              <w:jc w:val="both"/>
              <w:rPr>
                <w:rFonts w:ascii="Book Antiqua" w:eastAsia="Calibri" w:hAnsi="Book Antiqua"/>
                <w:b/>
                <w:color w:val="000000"/>
                <w:lang w:val="it-IT"/>
              </w:rPr>
            </w:pPr>
            <w:r w:rsidRPr="008C54E8">
              <w:rPr>
                <w:rFonts w:ascii="Book Antiqua" w:eastAsia="Calibri" w:hAnsi="Book Antiqua"/>
                <w:b/>
                <w:color w:val="000000"/>
                <w:lang w:val="it-IT"/>
              </w:rPr>
              <w:t>Likelihood ratio</w:t>
            </w:r>
          </w:p>
        </w:tc>
        <w:tc>
          <w:tcPr>
            <w:tcW w:w="200" w:type="dxa"/>
            <w:tcBorders>
              <w:top w:val="nil"/>
              <w:left w:val="nil"/>
              <w:bottom w:val="nil"/>
              <w:right w:val="nil"/>
            </w:tcBorders>
            <w:shd w:val="clear" w:color="auto" w:fill="auto"/>
            <w:noWrap/>
            <w:vAlign w:val="center"/>
            <w:hideMark/>
          </w:tcPr>
          <w:p w14:paraId="4B66BD98" w14:textId="77777777" w:rsidR="002D5D3F" w:rsidRPr="008C54E8" w:rsidRDefault="002D5D3F" w:rsidP="008C54E8">
            <w:pPr>
              <w:snapToGrid w:val="0"/>
              <w:spacing w:line="360" w:lineRule="auto"/>
              <w:jc w:val="both"/>
              <w:rPr>
                <w:rFonts w:ascii="Book Antiqua" w:eastAsia="Calibri" w:hAnsi="Book Antiqua"/>
                <w:b/>
                <w:color w:val="000000"/>
                <w:lang w:val="it-IT"/>
              </w:rPr>
            </w:pPr>
          </w:p>
        </w:tc>
        <w:tc>
          <w:tcPr>
            <w:tcW w:w="2940" w:type="dxa"/>
            <w:gridSpan w:val="2"/>
            <w:tcBorders>
              <w:top w:val="single" w:sz="8" w:space="0" w:color="auto"/>
              <w:left w:val="nil"/>
              <w:bottom w:val="nil"/>
              <w:right w:val="nil"/>
            </w:tcBorders>
            <w:shd w:val="clear" w:color="auto" w:fill="auto"/>
            <w:noWrap/>
            <w:vAlign w:val="center"/>
            <w:hideMark/>
          </w:tcPr>
          <w:p w14:paraId="3F84542C" w14:textId="77777777" w:rsidR="002D5D3F" w:rsidRPr="008C54E8" w:rsidRDefault="008B4C0B" w:rsidP="008C54E8">
            <w:pPr>
              <w:snapToGrid w:val="0"/>
              <w:spacing w:line="360" w:lineRule="auto"/>
              <w:jc w:val="both"/>
              <w:rPr>
                <w:rFonts w:ascii="Book Antiqua" w:eastAsia="Calibri" w:hAnsi="Book Antiqua"/>
                <w:b/>
                <w:color w:val="000000"/>
                <w:lang w:val="it-IT"/>
              </w:rPr>
            </w:pPr>
            <w:r w:rsidRPr="008C54E8">
              <w:rPr>
                <w:rFonts w:ascii="Book Antiqua" w:eastAsia="Calibri" w:hAnsi="Book Antiqua"/>
                <w:b/>
                <w:color w:val="000000"/>
                <w:lang w:val="it-IT"/>
              </w:rPr>
              <w:t>Predictive value</w:t>
            </w:r>
          </w:p>
        </w:tc>
      </w:tr>
      <w:tr w:rsidR="00C808A0" w:rsidRPr="003A1EEB" w14:paraId="41B5E79B" w14:textId="77777777" w:rsidTr="003440DA">
        <w:trPr>
          <w:trHeight w:val="330"/>
        </w:trPr>
        <w:tc>
          <w:tcPr>
            <w:tcW w:w="452" w:type="dxa"/>
            <w:tcBorders>
              <w:top w:val="nil"/>
              <w:left w:val="nil"/>
              <w:bottom w:val="nil"/>
              <w:right w:val="nil"/>
            </w:tcBorders>
            <w:shd w:val="clear" w:color="auto" w:fill="auto"/>
            <w:noWrap/>
            <w:vAlign w:val="bottom"/>
            <w:hideMark/>
          </w:tcPr>
          <w:p w14:paraId="12B29CE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14:paraId="6939B14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14:paraId="655260C2"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center"/>
            <w:hideMark/>
          </w:tcPr>
          <w:p w14:paraId="2456D143" w14:textId="77777777" w:rsidR="002D5D3F" w:rsidRPr="008C54E8" w:rsidRDefault="002D5D3F" w:rsidP="008C54E8">
            <w:pPr>
              <w:snapToGrid w:val="0"/>
              <w:spacing w:line="360" w:lineRule="auto"/>
              <w:jc w:val="both"/>
              <w:rPr>
                <w:rFonts w:ascii="Book Antiqua" w:eastAsia="Calibri" w:hAnsi="Book Antiqua"/>
                <w:b/>
                <w:color w:val="000000"/>
                <w:lang w:val="it-IT"/>
              </w:rPr>
            </w:pPr>
            <w:r w:rsidRPr="008C54E8">
              <w:rPr>
                <w:rFonts w:ascii="Book Antiqua" w:eastAsia="Calibri" w:hAnsi="Book Antiqua"/>
                <w:b/>
                <w:color w:val="000000"/>
                <w:lang w:val="it-IT"/>
              </w:rPr>
              <w:t>S</w:t>
            </w:r>
            <w:r w:rsidR="008B4C0B" w:rsidRPr="008C54E8">
              <w:rPr>
                <w:rFonts w:ascii="Book Antiqua" w:eastAsia="Calibri" w:hAnsi="Book Antiqua"/>
                <w:b/>
                <w:color w:val="000000"/>
                <w:lang w:val="it-IT"/>
              </w:rPr>
              <w:t>ensitivity</w:t>
            </w:r>
          </w:p>
        </w:tc>
        <w:tc>
          <w:tcPr>
            <w:tcW w:w="200" w:type="dxa"/>
            <w:tcBorders>
              <w:top w:val="nil"/>
              <w:left w:val="nil"/>
              <w:bottom w:val="nil"/>
              <w:right w:val="nil"/>
            </w:tcBorders>
            <w:shd w:val="clear" w:color="auto" w:fill="auto"/>
            <w:noWrap/>
            <w:vAlign w:val="bottom"/>
            <w:hideMark/>
          </w:tcPr>
          <w:p w14:paraId="31A6C890" w14:textId="77777777" w:rsidR="002D5D3F" w:rsidRPr="008C54E8" w:rsidRDefault="002D5D3F" w:rsidP="008C54E8">
            <w:pPr>
              <w:snapToGrid w:val="0"/>
              <w:spacing w:line="360" w:lineRule="auto"/>
              <w:jc w:val="both"/>
              <w:rPr>
                <w:rFonts w:ascii="Book Antiqua" w:eastAsia="Calibri" w:hAnsi="Book Antiqua"/>
                <w:b/>
                <w:color w:val="000000"/>
                <w:lang w:val="it-IT"/>
              </w:rPr>
            </w:pPr>
          </w:p>
        </w:tc>
        <w:tc>
          <w:tcPr>
            <w:tcW w:w="1830" w:type="dxa"/>
            <w:tcBorders>
              <w:top w:val="nil"/>
              <w:left w:val="nil"/>
              <w:bottom w:val="single" w:sz="8" w:space="0" w:color="auto"/>
              <w:right w:val="nil"/>
            </w:tcBorders>
            <w:shd w:val="clear" w:color="auto" w:fill="auto"/>
            <w:noWrap/>
            <w:vAlign w:val="center"/>
            <w:hideMark/>
          </w:tcPr>
          <w:p w14:paraId="66691241" w14:textId="77777777" w:rsidR="002D5D3F" w:rsidRPr="008C54E8" w:rsidRDefault="008B4C0B" w:rsidP="008C54E8">
            <w:pPr>
              <w:snapToGrid w:val="0"/>
              <w:spacing w:line="360" w:lineRule="auto"/>
              <w:jc w:val="both"/>
              <w:rPr>
                <w:rFonts w:ascii="Book Antiqua" w:eastAsia="Calibri" w:hAnsi="Book Antiqua"/>
                <w:b/>
                <w:color w:val="000000"/>
                <w:lang w:val="it-IT"/>
              </w:rPr>
            </w:pPr>
            <w:r w:rsidRPr="008C54E8">
              <w:rPr>
                <w:rFonts w:ascii="Book Antiqua" w:eastAsia="Calibri" w:hAnsi="Book Antiqua"/>
                <w:b/>
                <w:color w:val="000000"/>
                <w:lang w:val="it-IT"/>
              </w:rPr>
              <w:t>Specificity</w:t>
            </w:r>
          </w:p>
        </w:tc>
        <w:tc>
          <w:tcPr>
            <w:tcW w:w="200" w:type="dxa"/>
            <w:tcBorders>
              <w:top w:val="nil"/>
              <w:left w:val="nil"/>
              <w:bottom w:val="nil"/>
              <w:right w:val="nil"/>
            </w:tcBorders>
            <w:shd w:val="clear" w:color="auto" w:fill="auto"/>
            <w:noWrap/>
            <w:vAlign w:val="bottom"/>
            <w:hideMark/>
          </w:tcPr>
          <w:p w14:paraId="67EE2E90" w14:textId="77777777" w:rsidR="002D5D3F" w:rsidRPr="008C54E8" w:rsidRDefault="002D5D3F" w:rsidP="008C54E8">
            <w:pPr>
              <w:snapToGrid w:val="0"/>
              <w:spacing w:line="360" w:lineRule="auto"/>
              <w:jc w:val="both"/>
              <w:rPr>
                <w:rFonts w:ascii="Book Antiqua" w:eastAsia="Calibri" w:hAnsi="Book Antiqua"/>
                <w:b/>
                <w:color w:val="000000"/>
                <w:lang w:val="it-IT"/>
              </w:rPr>
            </w:pPr>
          </w:p>
        </w:tc>
        <w:tc>
          <w:tcPr>
            <w:tcW w:w="1378" w:type="dxa"/>
            <w:tcBorders>
              <w:top w:val="nil"/>
              <w:left w:val="nil"/>
              <w:bottom w:val="single" w:sz="8" w:space="0" w:color="auto"/>
              <w:right w:val="nil"/>
            </w:tcBorders>
            <w:shd w:val="clear" w:color="auto" w:fill="auto"/>
            <w:noWrap/>
            <w:vAlign w:val="center"/>
            <w:hideMark/>
          </w:tcPr>
          <w:p w14:paraId="377D3A2E" w14:textId="77777777" w:rsidR="002D5D3F" w:rsidRPr="008C54E8" w:rsidRDefault="008B4C0B" w:rsidP="008C54E8">
            <w:pPr>
              <w:snapToGrid w:val="0"/>
              <w:spacing w:line="360" w:lineRule="auto"/>
              <w:jc w:val="both"/>
              <w:rPr>
                <w:rFonts w:ascii="Book Antiqua" w:eastAsia="Calibri" w:hAnsi="Book Antiqua"/>
                <w:b/>
                <w:color w:val="000000"/>
                <w:lang w:val="it-IT"/>
              </w:rPr>
            </w:pPr>
            <w:r w:rsidRPr="008C54E8">
              <w:rPr>
                <w:rFonts w:ascii="Book Antiqua" w:eastAsia="Calibri" w:hAnsi="Book Antiqua"/>
                <w:b/>
                <w:color w:val="000000"/>
                <w:lang w:val="it-IT"/>
              </w:rPr>
              <w:t>Positive</w:t>
            </w:r>
          </w:p>
        </w:tc>
        <w:tc>
          <w:tcPr>
            <w:tcW w:w="1562" w:type="dxa"/>
            <w:tcBorders>
              <w:top w:val="nil"/>
              <w:left w:val="nil"/>
              <w:bottom w:val="single" w:sz="8" w:space="0" w:color="auto"/>
              <w:right w:val="nil"/>
            </w:tcBorders>
            <w:shd w:val="clear" w:color="auto" w:fill="auto"/>
            <w:noWrap/>
            <w:vAlign w:val="center"/>
            <w:hideMark/>
          </w:tcPr>
          <w:p w14:paraId="5A2DD7D1" w14:textId="77777777" w:rsidR="002D5D3F" w:rsidRPr="008C54E8" w:rsidRDefault="008B4C0B" w:rsidP="008C54E8">
            <w:pPr>
              <w:snapToGrid w:val="0"/>
              <w:spacing w:line="360" w:lineRule="auto"/>
              <w:jc w:val="both"/>
              <w:rPr>
                <w:rFonts w:ascii="Book Antiqua" w:eastAsia="Calibri" w:hAnsi="Book Antiqua"/>
                <w:b/>
                <w:color w:val="000000"/>
                <w:lang w:val="it-IT"/>
              </w:rPr>
            </w:pPr>
            <w:r w:rsidRPr="008C54E8">
              <w:rPr>
                <w:rFonts w:ascii="Book Antiqua" w:eastAsia="Calibri" w:hAnsi="Book Antiqua"/>
                <w:b/>
                <w:color w:val="000000"/>
                <w:lang w:val="it-IT"/>
              </w:rPr>
              <w:t>Negative</w:t>
            </w:r>
          </w:p>
        </w:tc>
        <w:tc>
          <w:tcPr>
            <w:tcW w:w="200" w:type="dxa"/>
            <w:tcBorders>
              <w:top w:val="nil"/>
              <w:left w:val="nil"/>
              <w:bottom w:val="nil"/>
              <w:right w:val="nil"/>
            </w:tcBorders>
            <w:shd w:val="clear" w:color="auto" w:fill="auto"/>
            <w:noWrap/>
            <w:vAlign w:val="bottom"/>
            <w:hideMark/>
          </w:tcPr>
          <w:p w14:paraId="2BBD565A" w14:textId="77777777" w:rsidR="002D5D3F" w:rsidRPr="008C54E8" w:rsidRDefault="002D5D3F" w:rsidP="008C54E8">
            <w:pPr>
              <w:snapToGrid w:val="0"/>
              <w:spacing w:line="360" w:lineRule="auto"/>
              <w:jc w:val="both"/>
              <w:rPr>
                <w:rFonts w:ascii="Book Antiqua" w:eastAsia="Calibri" w:hAnsi="Book Antiqua"/>
                <w:b/>
                <w:color w:val="000000"/>
                <w:lang w:val="it-IT"/>
              </w:rPr>
            </w:pPr>
          </w:p>
        </w:tc>
        <w:tc>
          <w:tcPr>
            <w:tcW w:w="1378" w:type="dxa"/>
            <w:tcBorders>
              <w:top w:val="nil"/>
              <w:left w:val="nil"/>
              <w:bottom w:val="single" w:sz="8" w:space="0" w:color="auto"/>
              <w:right w:val="nil"/>
            </w:tcBorders>
            <w:shd w:val="clear" w:color="auto" w:fill="auto"/>
            <w:noWrap/>
            <w:vAlign w:val="center"/>
            <w:hideMark/>
          </w:tcPr>
          <w:p w14:paraId="19A683FA" w14:textId="77777777" w:rsidR="002D5D3F" w:rsidRPr="008C54E8" w:rsidRDefault="008B4C0B" w:rsidP="008C54E8">
            <w:pPr>
              <w:snapToGrid w:val="0"/>
              <w:spacing w:line="360" w:lineRule="auto"/>
              <w:jc w:val="both"/>
              <w:rPr>
                <w:rFonts w:ascii="Book Antiqua" w:eastAsia="Calibri" w:hAnsi="Book Antiqua"/>
                <w:b/>
                <w:color w:val="000000"/>
                <w:lang w:val="it-IT"/>
              </w:rPr>
            </w:pPr>
            <w:r w:rsidRPr="008C54E8">
              <w:rPr>
                <w:rFonts w:ascii="Book Antiqua" w:eastAsia="Calibri" w:hAnsi="Book Antiqua"/>
                <w:b/>
                <w:color w:val="000000"/>
                <w:lang w:val="it-IT"/>
              </w:rPr>
              <w:t>Positive</w:t>
            </w:r>
          </w:p>
        </w:tc>
        <w:tc>
          <w:tcPr>
            <w:tcW w:w="1562" w:type="dxa"/>
            <w:tcBorders>
              <w:top w:val="nil"/>
              <w:left w:val="nil"/>
              <w:bottom w:val="single" w:sz="8" w:space="0" w:color="auto"/>
              <w:right w:val="nil"/>
            </w:tcBorders>
            <w:shd w:val="clear" w:color="auto" w:fill="auto"/>
            <w:noWrap/>
            <w:vAlign w:val="center"/>
            <w:hideMark/>
          </w:tcPr>
          <w:p w14:paraId="2421DA06" w14:textId="77777777" w:rsidR="002D5D3F" w:rsidRPr="008C54E8" w:rsidRDefault="008B4C0B" w:rsidP="008C54E8">
            <w:pPr>
              <w:snapToGrid w:val="0"/>
              <w:spacing w:line="360" w:lineRule="auto"/>
              <w:jc w:val="both"/>
              <w:rPr>
                <w:rFonts w:ascii="Book Antiqua" w:eastAsia="Calibri" w:hAnsi="Book Antiqua"/>
                <w:b/>
                <w:color w:val="000000"/>
                <w:lang w:val="it-IT"/>
              </w:rPr>
            </w:pPr>
            <w:r w:rsidRPr="008C54E8">
              <w:rPr>
                <w:rFonts w:ascii="Book Antiqua" w:eastAsia="Calibri" w:hAnsi="Book Antiqua"/>
                <w:b/>
                <w:color w:val="000000"/>
                <w:lang w:val="it-IT"/>
              </w:rPr>
              <w:t>Negative</w:t>
            </w:r>
          </w:p>
        </w:tc>
      </w:tr>
      <w:tr w:rsidR="00C808A0" w:rsidRPr="00872B32" w14:paraId="116C0EB3" w14:textId="77777777" w:rsidTr="003440DA">
        <w:trPr>
          <w:trHeight w:val="315"/>
        </w:trPr>
        <w:tc>
          <w:tcPr>
            <w:tcW w:w="452" w:type="dxa"/>
            <w:tcBorders>
              <w:top w:val="nil"/>
              <w:left w:val="nil"/>
              <w:bottom w:val="nil"/>
              <w:right w:val="nil"/>
            </w:tcBorders>
            <w:shd w:val="clear" w:color="auto" w:fill="auto"/>
            <w:noWrap/>
            <w:vAlign w:val="bottom"/>
            <w:hideMark/>
          </w:tcPr>
          <w:p w14:paraId="7A82ED76"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14:paraId="0BDCC500"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14:paraId="2F7E51A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610" w:type="dxa"/>
            <w:gridSpan w:val="2"/>
            <w:vMerge w:val="restart"/>
            <w:tcBorders>
              <w:top w:val="nil"/>
              <w:left w:val="nil"/>
              <w:bottom w:val="nil"/>
              <w:right w:val="nil"/>
            </w:tcBorders>
            <w:shd w:val="clear" w:color="auto" w:fill="auto"/>
            <w:noWrap/>
            <w:vAlign w:val="bottom"/>
            <w:hideMark/>
          </w:tcPr>
          <w:p w14:paraId="1C0FB73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21F52F6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14:paraId="562905A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7ECB5D3D"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5AC4F17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5070F37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183A13A0"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070F955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7BE16852"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7A6FEFB1" w14:textId="77777777" w:rsidTr="003440DA">
        <w:trPr>
          <w:trHeight w:val="315"/>
        </w:trPr>
        <w:tc>
          <w:tcPr>
            <w:tcW w:w="452" w:type="dxa"/>
            <w:vMerge w:val="restart"/>
            <w:tcBorders>
              <w:top w:val="nil"/>
              <w:left w:val="nil"/>
              <w:bottom w:val="nil"/>
              <w:right w:val="single" w:sz="8" w:space="0" w:color="auto"/>
            </w:tcBorders>
            <w:shd w:val="clear" w:color="auto" w:fill="auto"/>
            <w:noWrap/>
            <w:textDirection w:val="tbLrV"/>
            <w:vAlign w:val="center"/>
            <w:hideMark/>
          </w:tcPr>
          <w:p w14:paraId="797C94B5"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Men</w:t>
            </w:r>
          </w:p>
        </w:tc>
        <w:tc>
          <w:tcPr>
            <w:tcW w:w="2624" w:type="dxa"/>
            <w:tcBorders>
              <w:top w:val="nil"/>
              <w:left w:val="nil"/>
              <w:bottom w:val="nil"/>
              <w:right w:val="nil"/>
            </w:tcBorders>
            <w:shd w:val="clear" w:color="auto" w:fill="auto"/>
            <w:noWrap/>
            <w:vAlign w:val="center"/>
            <w:hideMark/>
          </w:tcPr>
          <w:p w14:paraId="3B61DFFC" w14:textId="77777777" w:rsidR="002D5D3F" w:rsidRPr="00872B32" w:rsidRDefault="002D5D3F" w:rsidP="008C54E8">
            <w:pPr>
              <w:snapToGrid w:val="0"/>
              <w:spacing w:line="360" w:lineRule="auto"/>
              <w:jc w:val="both"/>
              <w:rPr>
                <w:rFonts w:ascii="Book Antiqua" w:eastAsia="Calibri" w:hAnsi="Book Antiqua"/>
                <w:b/>
                <w:bCs/>
                <w:color w:val="000000"/>
                <w:lang w:val="it-IT"/>
              </w:rPr>
            </w:pPr>
            <w:r w:rsidRPr="00872B32">
              <w:rPr>
                <w:rFonts w:ascii="Book Antiqua" w:eastAsia="Calibri" w:hAnsi="Book Antiqua"/>
                <w:b/>
                <w:bCs/>
                <w:color w:val="000000"/>
                <w:lang w:val="it-IT"/>
              </w:rPr>
              <w:t>N</w:t>
            </w:r>
            <w:r w:rsidR="00AC17F2" w:rsidRPr="00872B32">
              <w:rPr>
                <w:rFonts w:ascii="Book Antiqua" w:eastAsia="Calibri" w:hAnsi="Book Antiqua"/>
                <w:b/>
                <w:bCs/>
                <w:color w:val="000000"/>
                <w:lang w:val="it-IT"/>
              </w:rPr>
              <w:t>o risk</w:t>
            </w:r>
          </w:p>
        </w:tc>
        <w:tc>
          <w:tcPr>
            <w:tcW w:w="1294" w:type="dxa"/>
            <w:tcBorders>
              <w:top w:val="nil"/>
              <w:left w:val="nil"/>
              <w:bottom w:val="nil"/>
              <w:right w:val="nil"/>
            </w:tcBorders>
            <w:shd w:val="clear" w:color="auto" w:fill="auto"/>
            <w:noWrap/>
            <w:vAlign w:val="center"/>
            <w:hideMark/>
          </w:tcPr>
          <w:p w14:paraId="34DAA6AE" w14:textId="77777777" w:rsidR="002D5D3F" w:rsidRPr="00872B32" w:rsidRDefault="002D5D3F" w:rsidP="008C54E8">
            <w:pPr>
              <w:snapToGrid w:val="0"/>
              <w:spacing w:line="360" w:lineRule="auto"/>
              <w:jc w:val="both"/>
              <w:rPr>
                <w:rFonts w:ascii="Book Antiqua" w:eastAsia="Calibri" w:hAnsi="Book Antiqua"/>
                <w:b/>
                <w:bCs/>
                <w:color w:val="000000"/>
                <w:lang w:val="it-IT"/>
              </w:rPr>
            </w:pPr>
          </w:p>
        </w:tc>
        <w:tc>
          <w:tcPr>
            <w:tcW w:w="1610" w:type="dxa"/>
            <w:gridSpan w:val="2"/>
            <w:vMerge/>
            <w:tcBorders>
              <w:top w:val="nil"/>
              <w:left w:val="nil"/>
              <w:bottom w:val="nil"/>
              <w:right w:val="nil"/>
            </w:tcBorders>
            <w:vAlign w:val="center"/>
            <w:hideMark/>
          </w:tcPr>
          <w:p w14:paraId="43393CC6"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05DD506D"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16630692"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6FFFBF8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416318C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11BB2F0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55085FCF"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3D50657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5052255B"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7D2A5F51" w14:textId="77777777" w:rsidTr="003440DA">
        <w:trPr>
          <w:trHeight w:val="315"/>
        </w:trPr>
        <w:tc>
          <w:tcPr>
            <w:tcW w:w="452" w:type="dxa"/>
            <w:vMerge/>
            <w:tcBorders>
              <w:top w:val="nil"/>
              <w:left w:val="nil"/>
              <w:bottom w:val="nil"/>
              <w:right w:val="single" w:sz="8" w:space="0" w:color="auto"/>
            </w:tcBorders>
            <w:vAlign w:val="center"/>
            <w:hideMark/>
          </w:tcPr>
          <w:p w14:paraId="334B5F20"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6D8D11FC"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HH/FF</w:t>
            </w:r>
          </w:p>
        </w:tc>
        <w:tc>
          <w:tcPr>
            <w:tcW w:w="1294" w:type="dxa"/>
            <w:tcBorders>
              <w:top w:val="nil"/>
              <w:left w:val="nil"/>
              <w:bottom w:val="nil"/>
              <w:right w:val="nil"/>
            </w:tcBorders>
            <w:shd w:val="clear" w:color="auto" w:fill="auto"/>
            <w:noWrap/>
            <w:vAlign w:val="center"/>
            <w:hideMark/>
          </w:tcPr>
          <w:p w14:paraId="57F7D5B3"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&lt;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59CE1642"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5238C0D6"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664AA9EE"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80.00%</w:t>
            </w:r>
          </w:p>
        </w:tc>
        <w:tc>
          <w:tcPr>
            <w:tcW w:w="200" w:type="dxa"/>
            <w:tcBorders>
              <w:top w:val="nil"/>
              <w:left w:val="nil"/>
              <w:bottom w:val="nil"/>
              <w:right w:val="nil"/>
            </w:tcBorders>
            <w:shd w:val="clear" w:color="auto" w:fill="auto"/>
            <w:noWrap/>
            <w:vAlign w:val="bottom"/>
            <w:hideMark/>
          </w:tcPr>
          <w:p w14:paraId="596607A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3A402C45"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4AEF190D"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25</w:t>
            </w:r>
          </w:p>
        </w:tc>
        <w:tc>
          <w:tcPr>
            <w:tcW w:w="200" w:type="dxa"/>
            <w:tcBorders>
              <w:top w:val="nil"/>
              <w:left w:val="nil"/>
              <w:bottom w:val="nil"/>
              <w:right w:val="nil"/>
            </w:tcBorders>
            <w:shd w:val="clear" w:color="auto" w:fill="auto"/>
            <w:noWrap/>
            <w:vAlign w:val="bottom"/>
            <w:hideMark/>
          </w:tcPr>
          <w:p w14:paraId="51A0D439"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21FA7A02"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2127566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40.00%</w:t>
            </w:r>
          </w:p>
        </w:tc>
      </w:tr>
      <w:tr w:rsidR="00C808A0" w:rsidRPr="00872B32" w14:paraId="40E3D8E2" w14:textId="77777777" w:rsidTr="003440DA">
        <w:trPr>
          <w:trHeight w:val="315"/>
        </w:trPr>
        <w:tc>
          <w:tcPr>
            <w:tcW w:w="452" w:type="dxa"/>
            <w:vMerge/>
            <w:tcBorders>
              <w:top w:val="nil"/>
              <w:left w:val="nil"/>
              <w:bottom w:val="nil"/>
              <w:right w:val="single" w:sz="8" w:space="0" w:color="auto"/>
            </w:tcBorders>
            <w:vAlign w:val="center"/>
            <w:hideMark/>
          </w:tcPr>
          <w:p w14:paraId="5D97A59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1DB8020C"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RR/VV</w:t>
            </w:r>
          </w:p>
        </w:tc>
        <w:tc>
          <w:tcPr>
            <w:tcW w:w="1294" w:type="dxa"/>
            <w:tcBorders>
              <w:top w:val="nil"/>
              <w:left w:val="nil"/>
              <w:bottom w:val="nil"/>
              <w:right w:val="nil"/>
            </w:tcBorders>
            <w:shd w:val="clear" w:color="auto" w:fill="auto"/>
            <w:noWrap/>
            <w:vAlign w:val="center"/>
            <w:hideMark/>
          </w:tcPr>
          <w:p w14:paraId="373353B0"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471E4BCC"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704EA82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1496A2BD"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83.33%</w:t>
            </w:r>
          </w:p>
        </w:tc>
        <w:tc>
          <w:tcPr>
            <w:tcW w:w="200" w:type="dxa"/>
            <w:tcBorders>
              <w:top w:val="nil"/>
              <w:left w:val="nil"/>
              <w:bottom w:val="nil"/>
              <w:right w:val="nil"/>
            </w:tcBorders>
            <w:shd w:val="clear" w:color="auto" w:fill="auto"/>
            <w:noWrap/>
            <w:vAlign w:val="bottom"/>
            <w:hideMark/>
          </w:tcPr>
          <w:p w14:paraId="71EDDEC9"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4D88B2B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103CED53"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20</w:t>
            </w:r>
          </w:p>
        </w:tc>
        <w:tc>
          <w:tcPr>
            <w:tcW w:w="200" w:type="dxa"/>
            <w:tcBorders>
              <w:top w:val="nil"/>
              <w:left w:val="nil"/>
              <w:bottom w:val="nil"/>
              <w:right w:val="nil"/>
            </w:tcBorders>
            <w:shd w:val="clear" w:color="auto" w:fill="auto"/>
            <w:noWrap/>
            <w:vAlign w:val="bottom"/>
            <w:hideMark/>
          </w:tcPr>
          <w:p w14:paraId="0C6950A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3F473BA1"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2AC77518"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55.56%</w:t>
            </w:r>
          </w:p>
        </w:tc>
      </w:tr>
      <w:tr w:rsidR="00C808A0" w:rsidRPr="00872B32" w14:paraId="084614B1" w14:textId="77777777" w:rsidTr="003440DA">
        <w:trPr>
          <w:trHeight w:val="315"/>
        </w:trPr>
        <w:tc>
          <w:tcPr>
            <w:tcW w:w="452" w:type="dxa"/>
            <w:vMerge/>
            <w:tcBorders>
              <w:top w:val="nil"/>
              <w:left w:val="nil"/>
              <w:bottom w:val="nil"/>
              <w:right w:val="single" w:sz="8" w:space="0" w:color="auto"/>
            </w:tcBorders>
            <w:vAlign w:val="center"/>
            <w:hideMark/>
          </w:tcPr>
          <w:p w14:paraId="000434A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14:paraId="3C651A1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14:paraId="0DA62D3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bottom"/>
            <w:hideMark/>
          </w:tcPr>
          <w:p w14:paraId="3B213DF2"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055231C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14:paraId="3D4C4FFF"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33A5C606"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79AAAC9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23AC29F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1ED203F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79EE75B6"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4C26D1A9"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3648F6A3" w14:textId="77777777" w:rsidTr="003440DA">
        <w:trPr>
          <w:trHeight w:val="315"/>
        </w:trPr>
        <w:tc>
          <w:tcPr>
            <w:tcW w:w="452" w:type="dxa"/>
            <w:vMerge/>
            <w:tcBorders>
              <w:top w:val="nil"/>
              <w:left w:val="nil"/>
              <w:bottom w:val="nil"/>
              <w:right w:val="single" w:sz="8" w:space="0" w:color="auto"/>
            </w:tcBorders>
            <w:vAlign w:val="center"/>
            <w:hideMark/>
          </w:tcPr>
          <w:p w14:paraId="03948B0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74A6D612" w14:textId="77777777" w:rsidR="002D5D3F" w:rsidRPr="00872B32" w:rsidRDefault="002D5D3F" w:rsidP="008C54E8">
            <w:pPr>
              <w:snapToGrid w:val="0"/>
              <w:spacing w:line="360" w:lineRule="auto"/>
              <w:jc w:val="both"/>
              <w:rPr>
                <w:rFonts w:ascii="Book Antiqua" w:eastAsia="Calibri" w:hAnsi="Book Antiqua"/>
                <w:b/>
                <w:bCs/>
                <w:color w:val="000000"/>
                <w:lang w:val="it-IT"/>
              </w:rPr>
            </w:pPr>
            <w:r w:rsidRPr="00872B32">
              <w:rPr>
                <w:rFonts w:ascii="Book Antiqua" w:eastAsia="Calibri" w:hAnsi="Book Antiqua"/>
                <w:b/>
                <w:bCs/>
                <w:color w:val="000000"/>
                <w:lang w:val="it-IT"/>
              </w:rPr>
              <w:t>M</w:t>
            </w:r>
            <w:r w:rsidR="00AC17F2" w:rsidRPr="00872B32">
              <w:rPr>
                <w:rFonts w:ascii="Book Antiqua" w:eastAsia="Calibri" w:hAnsi="Book Antiqua"/>
                <w:b/>
                <w:bCs/>
                <w:color w:val="000000"/>
                <w:lang w:val="it-IT"/>
              </w:rPr>
              <w:t>oderate risk</w:t>
            </w:r>
          </w:p>
        </w:tc>
        <w:tc>
          <w:tcPr>
            <w:tcW w:w="1294" w:type="dxa"/>
            <w:tcBorders>
              <w:top w:val="nil"/>
              <w:left w:val="nil"/>
              <w:bottom w:val="nil"/>
              <w:right w:val="nil"/>
            </w:tcBorders>
            <w:shd w:val="clear" w:color="auto" w:fill="auto"/>
            <w:noWrap/>
            <w:vAlign w:val="center"/>
            <w:hideMark/>
          </w:tcPr>
          <w:p w14:paraId="3F6F6FC5" w14:textId="77777777" w:rsidR="002D5D3F" w:rsidRPr="00872B32" w:rsidRDefault="002D5D3F" w:rsidP="008C54E8">
            <w:pPr>
              <w:snapToGrid w:val="0"/>
              <w:spacing w:line="360" w:lineRule="auto"/>
              <w:jc w:val="both"/>
              <w:rPr>
                <w:rFonts w:ascii="Book Antiqua" w:eastAsia="Calibri" w:hAnsi="Book Antiqua"/>
                <w:b/>
                <w:bCs/>
                <w:color w:val="000000"/>
                <w:lang w:val="it-IT"/>
              </w:rPr>
            </w:pPr>
          </w:p>
        </w:tc>
        <w:tc>
          <w:tcPr>
            <w:tcW w:w="1610" w:type="dxa"/>
            <w:gridSpan w:val="2"/>
            <w:tcBorders>
              <w:top w:val="nil"/>
              <w:left w:val="nil"/>
              <w:bottom w:val="nil"/>
              <w:right w:val="nil"/>
            </w:tcBorders>
            <w:shd w:val="clear" w:color="auto" w:fill="auto"/>
            <w:noWrap/>
            <w:vAlign w:val="center"/>
            <w:hideMark/>
          </w:tcPr>
          <w:p w14:paraId="311F9C8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24C4B73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29B5A07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37D97C6D"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2D8725D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34C42E9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653CC74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67B6AA6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65B39ADD"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42CCABE3" w14:textId="77777777" w:rsidTr="003440DA">
        <w:trPr>
          <w:trHeight w:val="315"/>
        </w:trPr>
        <w:tc>
          <w:tcPr>
            <w:tcW w:w="452" w:type="dxa"/>
            <w:vMerge/>
            <w:tcBorders>
              <w:top w:val="nil"/>
              <w:left w:val="nil"/>
              <w:bottom w:val="nil"/>
              <w:right w:val="single" w:sz="8" w:space="0" w:color="auto"/>
            </w:tcBorders>
            <w:vAlign w:val="center"/>
            <w:hideMark/>
          </w:tcPr>
          <w:p w14:paraId="282AA9B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07BD13BE"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HR/FF</w:t>
            </w:r>
          </w:p>
        </w:tc>
        <w:tc>
          <w:tcPr>
            <w:tcW w:w="1294" w:type="dxa"/>
            <w:tcBorders>
              <w:top w:val="nil"/>
              <w:left w:val="nil"/>
              <w:bottom w:val="nil"/>
              <w:right w:val="nil"/>
            </w:tcBorders>
            <w:shd w:val="clear" w:color="auto" w:fill="auto"/>
            <w:noWrap/>
            <w:vAlign w:val="center"/>
            <w:hideMark/>
          </w:tcPr>
          <w:p w14:paraId="7BAB2015"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0.0005</w:t>
            </w:r>
          </w:p>
        </w:tc>
        <w:tc>
          <w:tcPr>
            <w:tcW w:w="1610" w:type="dxa"/>
            <w:gridSpan w:val="2"/>
            <w:tcBorders>
              <w:top w:val="nil"/>
              <w:left w:val="nil"/>
              <w:bottom w:val="nil"/>
              <w:right w:val="nil"/>
            </w:tcBorders>
            <w:shd w:val="clear" w:color="auto" w:fill="auto"/>
            <w:noWrap/>
            <w:vAlign w:val="center"/>
            <w:hideMark/>
          </w:tcPr>
          <w:p w14:paraId="6EFAD171"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12.50%</w:t>
            </w:r>
          </w:p>
        </w:tc>
        <w:tc>
          <w:tcPr>
            <w:tcW w:w="200" w:type="dxa"/>
            <w:tcBorders>
              <w:top w:val="nil"/>
              <w:left w:val="nil"/>
              <w:bottom w:val="nil"/>
              <w:right w:val="nil"/>
            </w:tcBorders>
            <w:shd w:val="clear" w:color="auto" w:fill="auto"/>
            <w:noWrap/>
            <w:vAlign w:val="bottom"/>
            <w:hideMark/>
          </w:tcPr>
          <w:p w14:paraId="2741DA2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245AFEFC"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14:paraId="51F4C3D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3609F515"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37</w:t>
            </w:r>
          </w:p>
        </w:tc>
        <w:tc>
          <w:tcPr>
            <w:tcW w:w="1562" w:type="dxa"/>
            <w:tcBorders>
              <w:top w:val="nil"/>
              <w:left w:val="nil"/>
              <w:bottom w:val="nil"/>
              <w:right w:val="nil"/>
            </w:tcBorders>
            <w:shd w:val="clear" w:color="auto" w:fill="auto"/>
            <w:noWrap/>
            <w:vAlign w:val="center"/>
            <w:hideMark/>
          </w:tcPr>
          <w:p w14:paraId="370C08A3"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31</w:t>
            </w:r>
          </w:p>
        </w:tc>
        <w:tc>
          <w:tcPr>
            <w:tcW w:w="200" w:type="dxa"/>
            <w:tcBorders>
              <w:top w:val="nil"/>
              <w:left w:val="nil"/>
              <w:bottom w:val="nil"/>
              <w:right w:val="nil"/>
            </w:tcBorders>
            <w:shd w:val="clear" w:color="auto" w:fill="auto"/>
            <w:noWrap/>
            <w:vAlign w:val="bottom"/>
            <w:hideMark/>
          </w:tcPr>
          <w:p w14:paraId="63B41F2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101C992E"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25.00%</w:t>
            </w:r>
          </w:p>
        </w:tc>
        <w:tc>
          <w:tcPr>
            <w:tcW w:w="1562" w:type="dxa"/>
            <w:tcBorders>
              <w:top w:val="nil"/>
              <w:left w:val="nil"/>
              <w:bottom w:val="nil"/>
              <w:right w:val="nil"/>
            </w:tcBorders>
            <w:shd w:val="clear" w:color="auto" w:fill="auto"/>
            <w:noWrap/>
            <w:vAlign w:val="center"/>
            <w:hideMark/>
          </w:tcPr>
          <w:p w14:paraId="342D240C"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46.15%</w:t>
            </w:r>
          </w:p>
        </w:tc>
      </w:tr>
      <w:tr w:rsidR="00C808A0" w:rsidRPr="00872B32" w14:paraId="2364CB1F" w14:textId="77777777" w:rsidTr="003440DA">
        <w:trPr>
          <w:trHeight w:val="315"/>
        </w:trPr>
        <w:tc>
          <w:tcPr>
            <w:tcW w:w="452" w:type="dxa"/>
            <w:vMerge/>
            <w:tcBorders>
              <w:top w:val="nil"/>
              <w:left w:val="nil"/>
              <w:bottom w:val="nil"/>
              <w:right w:val="single" w:sz="8" w:space="0" w:color="auto"/>
            </w:tcBorders>
            <w:vAlign w:val="center"/>
            <w:hideMark/>
          </w:tcPr>
          <w:p w14:paraId="40EB00E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14:paraId="128E64C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14:paraId="7BBDDFDD"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bottom"/>
            <w:hideMark/>
          </w:tcPr>
          <w:p w14:paraId="3E4227D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0AFFDF1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14:paraId="151E49B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45FF2C4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6952731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1B16F8C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5B52AA9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0D66EA20"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403098DA"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5DBB64EA" w14:textId="77777777" w:rsidTr="003440DA">
        <w:trPr>
          <w:trHeight w:val="315"/>
        </w:trPr>
        <w:tc>
          <w:tcPr>
            <w:tcW w:w="452" w:type="dxa"/>
            <w:vMerge/>
            <w:tcBorders>
              <w:top w:val="nil"/>
              <w:left w:val="nil"/>
              <w:bottom w:val="nil"/>
              <w:right w:val="single" w:sz="8" w:space="0" w:color="auto"/>
            </w:tcBorders>
            <w:vAlign w:val="center"/>
            <w:hideMark/>
          </w:tcPr>
          <w:p w14:paraId="6CD13BA0"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31E96163" w14:textId="77777777" w:rsidR="002D5D3F" w:rsidRPr="00872B32" w:rsidRDefault="002D5D3F" w:rsidP="008C54E8">
            <w:pPr>
              <w:snapToGrid w:val="0"/>
              <w:spacing w:line="360" w:lineRule="auto"/>
              <w:jc w:val="both"/>
              <w:rPr>
                <w:rFonts w:ascii="Book Antiqua" w:eastAsia="Calibri" w:hAnsi="Book Antiqua"/>
                <w:b/>
                <w:bCs/>
                <w:color w:val="000000"/>
                <w:lang w:val="it-IT"/>
              </w:rPr>
            </w:pPr>
            <w:r w:rsidRPr="00872B32">
              <w:rPr>
                <w:rFonts w:ascii="Book Antiqua" w:eastAsia="Calibri" w:hAnsi="Book Antiqua"/>
                <w:b/>
                <w:bCs/>
                <w:color w:val="000000"/>
                <w:lang w:val="it-IT"/>
              </w:rPr>
              <w:t>H</w:t>
            </w:r>
            <w:r w:rsidR="00AC17F2" w:rsidRPr="00872B32">
              <w:rPr>
                <w:rFonts w:ascii="Book Antiqua" w:eastAsia="Calibri" w:hAnsi="Book Antiqua"/>
                <w:b/>
                <w:bCs/>
                <w:color w:val="000000"/>
                <w:lang w:val="it-IT"/>
              </w:rPr>
              <w:t>igh risk</w:t>
            </w:r>
          </w:p>
        </w:tc>
        <w:tc>
          <w:tcPr>
            <w:tcW w:w="1294" w:type="dxa"/>
            <w:tcBorders>
              <w:top w:val="nil"/>
              <w:left w:val="nil"/>
              <w:bottom w:val="nil"/>
              <w:right w:val="nil"/>
            </w:tcBorders>
            <w:shd w:val="clear" w:color="auto" w:fill="auto"/>
            <w:noWrap/>
            <w:vAlign w:val="center"/>
            <w:hideMark/>
          </w:tcPr>
          <w:p w14:paraId="6149DAF8" w14:textId="77777777" w:rsidR="002D5D3F" w:rsidRPr="00872B32" w:rsidRDefault="002D5D3F" w:rsidP="008C54E8">
            <w:pPr>
              <w:snapToGrid w:val="0"/>
              <w:spacing w:line="360" w:lineRule="auto"/>
              <w:jc w:val="both"/>
              <w:rPr>
                <w:rFonts w:ascii="Book Antiqua" w:eastAsia="Calibri" w:hAnsi="Book Antiqua"/>
                <w:b/>
                <w:bCs/>
                <w:color w:val="000000"/>
                <w:lang w:val="it-IT"/>
              </w:rPr>
            </w:pPr>
          </w:p>
        </w:tc>
        <w:tc>
          <w:tcPr>
            <w:tcW w:w="1610" w:type="dxa"/>
            <w:gridSpan w:val="2"/>
            <w:tcBorders>
              <w:top w:val="nil"/>
              <w:left w:val="nil"/>
              <w:bottom w:val="nil"/>
              <w:right w:val="nil"/>
            </w:tcBorders>
            <w:shd w:val="clear" w:color="auto" w:fill="auto"/>
            <w:noWrap/>
            <w:vAlign w:val="center"/>
            <w:hideMark/>
          </w:tcPr>
          <w:p w14:paraId="69624B49"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7AEF1EA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42773B5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732D4B3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2BAB03B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5ABAB78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481FC8C1"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0665609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7A385254"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01D5A4BC" w14:textId="77777777" w:rsidTr="003440DA">
        <w:trPr>
          <w:trHeight w:val="315"/>
        </w:trPr>
        <w:tc>
          <w:tcPr>
            <w:tcW w:w="452" w:type="dxa"/>
            <w:vMerge/>
            <w:tcBorders>
              <w:top w:val="nil"/>
              <w:left w:val="nil"/>
              <w:bottom w:val="nil"/>
              <w:right w:val="single" w:sz="8" w:space="0" w:color="auto"/>
            </w:tcBorders>
            <w:vAlign w:val="center"/>
            <w:hideMark/>
          </w:tcPr>
          <w:p w14:paraId="791B3D5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250D5F18"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HH/VF</w:t>
            </w:r>
          </w:p>
        </w:tc>
        <w:tc>
          <w:tcPr>
            <w:tcW w:w="1294" w:type="dxa"/>
            <w:tcBorders>
              <w:top w:val="nil"/>
              <w:left w:val="nil"/>
              <w:bottom w:val="nil"/>
              <w:right w:val="nil"/>
            </w:tcBorders>
            <w:shd w:val="clear" w:color="auto" w:fill="auto"/>
            <w:noWrap/>
            <w:vAlign w:val="center"/>
            <w:hideMark/>
          </w:tcPr>
          <w:p w14:paraId="0D05D498"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0.0002</w:t>
            </w:r>
          </w:p>
        </w:tc>
        <w:tc>
          <w:tcPr>
            <w:tcW w:w="1610" w:type="dxa"/>
            <w:gridSpan w:val="2"/>
            <w:tcBorders>
              <w:top w:val="nil"/>
              <w:left w:val="nil"/>
              <w:bottom w:val="nil"/>
              <w:right w:val="nil"/>
            </w:tcBorders>
            <w:shd w:val="clear" w:color="auto" w:fill="auto"/>
            <w:noWrap/>
            <w:vAlign w:val="center"/>
            <w:hideMark/>
          </w:tcPr>
          <w:p w14:paraId="33B9798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14:paraId="6D77ED42"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2CD5E62D"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60.00%</w:t>
            </w:r>
          </w:p>
        </w:tc>
        <w:tc>
          <w:tcPr>
            <w:tcW w:w="200" w:type="dxa"/>
            <w:tcBorders>
              <w:top w:val="nil"/>
              <w:left w:val="nil"/>
              <w:bottom w:val="nil"/>
              <w:right w:val="nil"/>
            </w:tcBorders>
            <w:shd w:val="clear" w:color="auto" w:fill="auto"/>
            <w:noWrap/>
            <w:vAlign w:val="bottom"/>
            <w:hideMark/>
          </w:tcPr>
          <w:p w14:paraId="24EC2716"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12A44F8F"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67</w:t>
            </w:r>
          </w:p>
        </w:tc>
        <w:tc>
          <w:tcPr>
            <w:tcW w:w="1562" w:type="dxa"/>
            <w:tcBorders>
              <w:top w:val="nil"/>
              <w:left w:val="nil"/>
              <w:bottom w:val="nil"/>
              <w:right w:val="nil"/>
            </w:tcBorders>
            <w:shd w:val="clear" w:color="auto" w:fill="auto"/>
            <w:noWrap/>
            <w:vAlign w:val="center"/>
            <w:hideMark/>
          </w:tcPr>
          <w:p w14:paraId="448CEF40"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56</w:t>
            </w:r>
          </w:p>
        </w:tc>
        <w:tc>
          <w:tcPr>
            <w:tcW w:w="200" w:type="dxa"/>
            <w:tcBorders>
              <w:top w:val="nil"/>
              <w:left w:val="nil"/>
              <w:bottom w:val="nil"/>
              <w:right w:val="nil"/>
            </w:tcBorders>
            <w:shd w:val="clear" w:color="auto" w:fill="auto"/>
            <w:noWrap/>
            <w:vAlign w:val="bottom"/>
            <w:hideMark/>
          </w:tcPr>
          <w:p w14:paraId="6DC33CF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7606E44F"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c>
          <w:tcPr>
            <w:tcW w:w="1562" w:type="dxa"/>
            <w:tcBorders>
              <w:top w:val="nil"/>
              <w:left w:val="nil"/>
              <w:bottom w:val="nil"/>
              <w:right w:val="nil"/>
            </w:tcBorders>
            <w:shd w:val="clear" w:color="auto" w:fill="auto"/>
            <w:noWrap/>
            <w:vAlign w:val="center"/>
            <w:hideMark/>
          </w:tcPr>
          <w:p w14:paraId="0171B266"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60.00%</w:t>
            </w:r>
          </w:p>
        </w:tc>
      </w:tr>
      <w:tr w:rsidR="00C808A0" w:rsidRPr="00872B32" w14:paraId="0209788F" w14:textId="77777777" w:rsidTr="003440DA">
        <w:trPr>
          <w:trHeight w:val="315"/>
        </w:trPr>
        <w:tc>
          <w:tcPr>
            <w:tcW w:w="452" w:type="dxa"/>
            <w:vMerge/>
            <w:tcBorders>
              <w:top w:val="nil"/>
              <w:left w:val="nil"/>
              <w:bottom w:val="nil"/>
              <w:right w:val="single" w:sz="8" w:space="0" w:color="auto"/>
            </w:tcBorders>
            <w:vAlign w:val="center"/>
            <w:hideMark/>
          </w:tcPr>
          <w:p w14:paraId="7C1D842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1364D3C8"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HR/VF</w:t>
            </w:r>
          </w:p>
        </w:tc>
        <w:tc>
          <w:tcPr>
            <w:tcW w:w="1294" w:type="dxa"/>
            <w:tcBorders>
              <w:top w:val="nil"/>
              <w:left w:val="nil"/>
              <w:bottom w:val="nil"/>
              <w:right w:val="nil"/>
            </w:tcBorders>
            <w:shd w:val="clear" w:color="auto" w:fill="auto"/>
            <w:noWrap/>
            <w:vAlign w:val="center"/>
            <w:hideMark/>
          </w:tcPr>
          <w:p w14:paraId="1E1D5C93"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0.004</w:t>
            </w:r>
          </w:p>
        </w:tc>
        <w:tc>
          <w:tcPr>
            <w:tcW w:w="1610" w:type="dxa"/>
            <w:gridSpan w:val="2"/>
            <w:tcBorders>
              <w:top w:val="nil"/>
              <w:left w:val="nil"/>
              <w:bottom w:val="nil"/>
              <w:right w:val="nil"/>
            </w:tcBorders>
            <w:shd w:val="clear" w:color="auto" w:fill="auto"/>
            <w:noWrap/>
            <w:vAlign w:val="center"/>
            <w:hideMark/>
          </w:tcPr>
          <w:p w14:paraId="677540BA"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75.00%</w:t>
            </w:r>
          </w:p>
        </w:tc>
        <w:tc>
          <w:tcPr>
            <w:tcW w:w="200" w:type="dxa"/>
            <w:tcBorders>
              <w:top w:val="nil"/>
              <w:left w:val="nil"/>
              <w:bottom w:val="nil"/>
              <w:right w:val="nil"/>
            </w:tcBorders>
            <w:shd w:val="clear" w:color="auto" w:fill="auto"/>
            <w:noWrap/>
            <w:vAlign w:val="bottom"/>
            <w:hideMark/>
          </w:tcPr>
          <w:p w14:paraId="18410AC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1247E4D1"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44.44%</w:t>
            </w:r>
          </w:p>
        </w:tc>
        <w:tc>
          <w:tcPr>
            <w:tcW w:w="200" w:type="dxa"/>
            <w:tcBorders>
              <w:top w:val="nil"/>
              <w:left w:val="nil"/>
              <w:bottom w:val="nil"/>
              <w:right w:val="nil"/>
            </w:tcBorders>
            <w:shd w:val="clear" w:color="auto" w:fill="auto"/>
            <w:noWrap/>
            <w:vAlign w:val="bottom"/>
            <w:hideMark/>
          </w:tcPr>
          <w:p w14:paraId="6B21DBF2"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0CFFD1B2"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35</w:t>
            </w:r>
          </w:p>
        </w:tc>
        <w:tc>
          <w:tcPr>
            <w:tcW w:w="1562" w:type="dxa"/>
            <w:tcBorders>
              <w:top w:val="nil"/>
              <w:left w:val="nil"/>
              <w:bottom w:val="nil"/>
              <w:right w:val="nil"/>
            </w:tcBorders>
            <w:shd w:val="clear" w:color="auto" w:fill="auto"/>
            <w:noWrap/>
            <w:vAlign w:val="center"/>
            <w:hideMark/>
          </w:tcPr>
          <w:p w14:paraId="4D1C5A0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56</w:t>
            </w:r>
          </w:p>
        </w:tc>
        <w:tc>
          <w:tcPr>
            <w:tcW w:w="200" w:type="dxa"/>
            <w:tcBorders>
              <w:top w:val="nil"/>
              <w:left w:val="nil"/>
              <w:bottom w:val="nil"/>
              <w:right w:val="nil"/>
            </w:tcBorders>
            <w:shd w:val="clear" w:color="auto" w:fill="auto"/>
            <w:noWrap/>
            <w:vAlign w:val="bottom"/>
            <w:hideMark/>
          </w:tcPr>
          <w:p w14:paraId="53B69981"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1F2BD756"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54.55%</w:t>
            </w:r>
          </w:p>
        </w:tc>
        <w:tc>
          <w:tcPr>
            <w:tcW w:w="1562" w:type="dxa"/>
            <w:tcBorders>
              <w:top w:val="nil"/>
              <w:left w:val="nil"/>
              <w:bottom w:val="nil"/>
              <w:right w:val="nil"/>
            </w:tcBorders>
            <w:shd w:val="clear" w:color="auto" w:fill="auto"/>
            <w:noWrap/>
            <w:vAlign w:val="center"/>
            <w:hideMark/>
          </w:tcPr>
          <w:p w14:paraId="6FF0C02D"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r>
      <w:tr w:rsidR="00C808A0" w:rsidRPr="00872B32" w14:paraId="552F5AC0" w14:textId="77777777" w:rsidTr="003440DA">
        <w:trPr>
          <w:trHeight w:val="315"/>
        </w:trPr>
        <w:tc>
          <w:tcPr>
            <w:tcW w:w="452" w:type="dxa"/>
            <w:vMerge/>
            <w:tcBorders>
              <w:top w:val="nil"/>
              <w:left w:val="nil"/>
              <w:bottom w:val="nil"/>
              <w:right w:val="single" w:sz="8" w:space="0" w:color="auto"/>
            </w:tcBorders>
            <w:vAlign w:val="center"/>
            <w:hideMark/>
          </w:tcPr>
          <w:p w14:paraId="4062C351"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27EBCB34"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RR/VF</w:t>
            </w:r>
          </w:p>
        </w:tc>
        <w:tc>
          <w:tcPr>
            <w:tcW w:w="1294" w:type="dxa"/>
            <w:tcBorders>
              <w:top w:val="nil"/>
              <w:left w:val="nil"/>
              <w:bottom w:val="nil"/>
              <w:right w:val="nil"/>
            </w:tcBorders>
            <w:shd w:val="clear" w:color="auto" w:fill="auto"/>
            <w:noWrap/>
            <w:vAlign w:val="center"/>
            <w:hideMark/>
          </w:tcPr>
          <w:p w14:paraId="1BDF4D07"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609AD5CA"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14:paraId="2F0894D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774258D0"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16.67%</w:t>
            </w:r>
          </w:p>
        </w:tc>
        <w:tc>
          <w:tcPr>
            <w:tcW w:w="200" w:type="dxa"/>
            <w:tcBorders>
              <w:top w:val="nil"/>
              <w:left w:val="nil"/>
              <w:bottom w:val="nil"/>
              <w:right w:val="nil"/>
            </w:tcBorders>
            <w:shd w:val="clear" w:color="auto" w:fill="auto"/>
            <w:noWrap/>
            <w:vAlign w:val="bottom"/>
            <w:hideMark/>
          </w:tcPr>
          <w:p w14:paraId="47560E8F"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4B796C79"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20</w:t>
            </w:r>
          </w:p>
        </w:tc>
        <w:tc>
          <w:tcPr>
            <w:tcW w:w="1562" w:type="dxa"/>
            <w:tcBorders>
              <w:top w:val="nil"/>
              <w:left w:val="nil"/>
              <w:bottom w:val="nil"/>
              <w:right w:val="nil"/>
            </w:tcBorders>
            <w:shd w:val="clear" w:color="auto" w:fill="auto"/>
            <w:noWrap/>
            <w:vAlign w:val="center"/>
            <w:hideMark/>
          </w:tcPr>
          <w:p w14:paraId="0C4346B6"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14:paraId="0BFC650D"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6CBD4849"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44.44%</w:t>
            </w:r>
          </w:p>
        </w:tc>
        <w:tc>
          <w:tcPr>
            <w:tcW w:w="1562" w:type="dxa"/>
            <w:tcBorders>
              <w:top w:val="nil"/>
              <w:left w:val="nil"/>
              <w:bottom w:val="nil"/>
              <w:right w:val="nil"/>
            </w:tcBorders>
            <w:shd w:val="clear" w:color="auto" w:fill="auto"/>
            <w:noWrap/>
            <w:vAlign w:val="center"/>
            <w:hideMark/>
          </w:tcPr>
          <w:p w14:paraId="348B0AF0"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r>
      <w:tr w:rsidR="00C808A0" w:rsidRPr="00872B32" w14:paraId="289BEAE2" w14:textId="77777777" w:rsidTr="003440DA">
        <w:trPr>
          <w:trHeight w:val="315"/>
        </w:trPr>
        <w:tc>
          <w:tcPr>
            <w:tcW w:w="452" w:type="dxa"/>
            <w:tcBorders>
              <w:top w:val="nil"/>
              <w:left w:val="nil"/>
              <w:bottom w:val="nil"/>
              <w:right w:val="nil"/>
            </w:tcBorders>
            <w:shd w:val="clear" w:color="auto" w:fill="auto"/>
            <w:noWrap/>
            <w:vAlign w:val="bottom"/>
            <w:hideMark/>
          </w:tcPr>
          <w:p w14:paraId="14B94F1F"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14:paraId="241D03C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14:paraId="0827710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bottom"/>
            <w:hideMark/>
          </w:tcPr>
          <w:p w14:paraId="6C2874D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6717E8C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14:paraId="1B4AC20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1E02AAA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6759011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5C8C7D7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14B6267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2AEE2362"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0CD02804"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3B42B55A" w14:textId="77777777" w:rsidTr="003440DA">
        <w:trPr>
          <w:trHeight w:val="315"/>
        </w:trPr>
        <w:tc>
          <w:tcPr>
            <w:tcW w:w="452" w:type="dxa"/>
            <w:vMerge w:val="restart"/>
            <w:tcBorders>
              <w:top w:val="nil"/>
              <w:left w:val="nil"/>
              <w:bottom w:val="nil"/>
              <w:right w:val="single" w:sz="8" w:space="0" w:color="auto"/>
            </w:tcBorders>
            <w:shd w:val="clear" w:color="auto" w:fill="auto"/>
            <w:noWrap/>
            <w:textDirection w:val="tbLrV"/>
            <w:vAlign w:val="center"/>
            <w:hideMark/>
          </w:tcPr>
          <w:p w14:paraId="008EBA3F"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Women</w:t>
            </w:r>
          </w:p>
        </w:tc>
        <w:tc>
          <w:tcPr>
            <w:tcW w:w="2624" w:type="dxa"/>
            <w:tcBorders>
              <w:top w:val="nil"/>
              <w:left w:val="nil"/>
              <w:bottom w:val="nil"/>
              <w:right w:val="nil"/>
            </w:tcBorders>
            <w:shd w:val="clear" w:color="auto" w:fill="auto"/>
            <w:noWrap/>
            <w:vAlign w:val="center"/>
            <w:hideMark/>
          </w:tcPr>
          <w:p w14:paraId="7E8BA3B4" w14:textId="77777777" w:rsidR="002D5D3F" w:rsidRPr="00872B32" w:rsidRDefault="002D5D3F" w:rsidP="008C54E8">
            <w:pPr>
              <w:snapToGrid w:val="0"/>
              <w:spacing w:line="360" w:lineRule="auto"/>
              <w:jc w:val="both"/>
              <w:rPr>
                <w:rFonts w:ascii="Book Antiqua" w:eastAsia="Calibri" w:hAnsi="Book Antiqua"/>
                <w:b/>
                <w:bCs/>
                <w:color w:val="000000"/>
                <w:lang w:val="it-IT"/>
              </w:rPr>
            </w:pPr>
            <w:r w:rsidRPr="00872B32">
              <w:rPr>
                <w:rFonts w:ascii="Book Antiqua" w:eastAsia="Calibri" w:hAnsi="Book Antiqua"/>
                <w:b/>
                <w:bCs/>
                <w:color w:val="000000"/>
                <w:lang w:val="it-IT"/>
              </w:rPr>
              <w:t>N</w:t>
            </w:r>
            <w:r w:rsidR="00AC17F2" w:rsidRPr="00872B32">
              <w:rPr>
                <w:rFonts w:ascii="Book Antiqua" w:eastAsia="Calibri" w:hAnsi="Book Antiqua"/>
                <w:b/>
                <w:bCs/>
                <w:color w:val="000000"/>
                <w:lang w:val="it-IT"/>
              </w:rPr>
              <w:t>o risk</w:t>
            </w:r>
          </w:p>
        </w:tc>
        <w:tc>
          <w:tcPr>
            <w:tcW w:w="1294" w:type="dxa"/>
            <w:tcBorders>
              <w:top w:val="nil"/>
              <w:left w:val="nil"/>
              <w:bottom w:val="nil"/>
              <w:right w:val="nil"/>
            </w:tcBorders>
            <w:shd w:val="clear" w:color="auto" w:fill="auto"/>
            <w:noWrap/>
            <w:vAlign w:val="center"/>
            <w:hideMark/>
          </w:tcPr>
          <w:p w14:paraId="4E141FA9" w14:textId="77777777" w:rsidR="002D5D3F" w:rsidRPr="00872B32" w:rsidRDefault="002D5D3F" w:rsidP="008C54E8">
            <w:pPr>
              <w:snapToGrid w:val="0"/>
              <w:spacing w:line="360" w:lineRule="auto"/>
              <w:jc w:val="both"/>
              <w:rPr>
                <w:rFonts w:ascii="Book Antiqua" w:eastAsia="Calibri" w:hAnsi="Book Antiqua"/>
                <w:b/>
                <w:bCs/>
                <w:color w:val="000000"/>
                <w:lang w:val="it-IT"/>
              </w:rPr>
            </w:pPr>
          </w:p>
        </w:tc>
        <w:tc>
          <w:tcPr>
            <w:tcW w:w="1610" w:type="dxa"/>
            <w:gridSpan w:val="2"/>
            <w:tcBorders>
              <w:top w:val="nil"/>
              <w:left w:val="nil"/>
              <w:bottom w:val="nil"/>
              <w:right w:val="nil"/>
            </w:tcBorders>
            <w:shd w:val="clear" w:color="auto" w:fill="auto"/>
            <w:noWrap/>
            <w:vAlign w:val="center"/>
            <w:hideMark/>
          </w:tcPr>
          <w:p w14:paraId="750F71B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6C8AFCE1"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2B143DF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429950A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0EB79AB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34B730F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72DEC022"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667DC5F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0220B169"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09C902DC" w14:textId="77777777" w:rsidTr="003440DA">
        <w:trPr>
          <w:trHeight w:val="315"/>
        </w:trPr>
        <w:tc>
          <w:tcPr>
            <w:tcW w:w="452" w:type="dxa"/>
            <w:vMerge/>
            <w:tcBorders>
              <w:top w:val="nil"/>
              <w:left w:val="nil"/>
              <w:bottom w:val="nil"/>
              <w:right w:val="single" w:sz="8" w:space="0" w:color="auto"/>
            </w:tcBorders>
            <w:vAlign w:val="center"/>
            <w:hideMark/>
          </w:tcPr>
          <w:p w14:paraId="09341DF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2F6F0053"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HH/VV</w:t>
            </w:r>
          </w:p>
        </w:tc>
        <w:tc>
          <w:tcPr>
            <w:tcW w:w="1294" w:type="dxa"/>
            <w:tcBorders>
              <w:top w:val="nil"/>
              <w:left w:val="nil"/>
              <w:bottom w:val="nil"/>
              <w:right w:val="nil"/>
            </w:tcBorders>
            <w:shd w:val="clear" w:color="auto" w:fill="auto"/>
            <w:noWrap/>
            <w:vAlign w:val="center"/>
            <w:hideMark/>
          </w:tcPr>
          <w:p w14:paraId="506C3755"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6293A725"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55802C8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31391B13"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61.54%</w:t>
            </w:r>
          </w:p>
        </w:tc>
        <w:tc>
          <w:tcPr>
            <w:tcW w:w="200" w:type="dxa"/>
            <w:tcBorders>
              <w:top w:val="nil"/>
              <w:left w:val="nil"/>
              <w:bottom w:val="nil"/>
              <w:right w:val="nil"/>
            </w:tcBorders>
            <w:shd w:val="clear" w:color="auto" w:fill="auto"/>
            <w:noWrap/>
            <w:vAlign w:val="bottom"/>
            <w:hideMark/>
          </w:tcPr>
          <w:p w14:paraId="76D06E2F"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351FE973"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244BBBAB"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62</w:t>
            </w:r>
          </w:p>
        </w:tc>
        <w:tc>
          <w:tcPr>
            <w:tcW w:w="200" w:type="dxa"/>
            <w:tcBorders>
              <w:top w:val="nil"/>
              <w:left w:val="nil"/>
              <w:bottom w:val="nil"/>
              <w:right w:val="nil"/>
            </w:tcBorders>
            <w:shd w:val="clear" w:color="auto" w:fill="auto"/>
            <w:noWrap/>
            <w:vAlign w:val="bottom"/>
            <w:hideMark/>
          </w:tcPr>
          <w:p w14:paraId="086B4F4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17CC836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1BD9B38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80.00%</w:t>
            </w:r>
          </w:p>
        </w:tc>
      </w:tr>
      <w:tr w:rsidR="00C808A0" w:rsidRPr="00872B32" w14:paraId="72A88B55" w14:textId="77777777" w:rsidTr="003440DA">
        <w:trPr>
          <w:trHeight w:val="315"/>
        </w:trPr>
        <w:tc>
          <w:tcPr>
            <w:tcW w:w="452" w:type="dxa"/>
            <w:vMerge/>
            <w:tcBorders>
              <w:top w:val="nil"/>
              <w:left w:val="nil"/>
              <w:bottom w:val="nil"/>
              <w:right w:val="single" w:sz="8" w:space="0" w:color="auto"/>
            </w:tcBorders>
            <w:vAlign w:val="center"/>
            <w:hideMark/>
          </w:tcPr>
          <w:p w14:paraId="7F7F69F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561123D6"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HR/VV</w:t>
            </w:r>
          </w:p>
        </w:tc>
        <w:tc>
          <w:tcPr>
            <w:tcW w:w="1294" w:type="dxa"/>
            <w:tcBorders>
              <w:top w:val="nil"/>
              <w:left w:val="nil"/>
              <w:bottom w:val="nil"/>
              <w:right w:val="nil"/>
            </w:tcBorders>
            <w:shd w:val="clear" w:color="auto" w:fill="auto"/>
            <w:noWrap/>
            <w:vAlign w:val="center"/>
            <w:hideMark/>
          </w:tcPr>
          <w:p w14:paraId="6A98B35D"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0.004</w:t>
            </w:r>
          </w:p>
        </w:tc>
        <w:tc>
          <w:tcPr>
            <w:tcW w:w="1610" w:type="dxa"/>
            <w:gridSpan w:val="2"/>
            <w:tcBorders>
              <w:top w:val="nil"/>
              <w:left w:val="nil"/>
              <w:bottom w:val="nil"/>
              <w:right w:val="nil"/>
            </w:tcBorders>
            <w:shd w:val="clear" w:color="auto" w:fill="auto"/>
            <w:noWrap/>
            <w:vAlign w:val="center"/>
            <w:hideMark/>
          </w:tcPr>
          <w:p w14:paraId="7F25E2D4"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6B7BDC5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09C1FE02"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92.31%</w:t>
            </w:r>
          </w:p>
        </w:tc>
        <w:tc>
          <w:tcPr>
            <w:tcW w:w="200" w:type="dxa"/>
            <w:tcBorders>
              <w:top w:val="nil"/>
              <w:left w:val="nil"/>
              <w:bottom w:val="nil"/>
              <w:right w:val="nil"/>
            </w:tcBorders>
            <w:shd w:val="clear" w:color="auto" w:fill="auto"/>
            <w:noWrap/>
            <w:vAlign w:val="bottom"/>
            <w:hideMark/>
          </w:tcPr>
          <w:p w14:paraId="723A4FF1"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4219B9C0"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6FF7D57C"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08</w:t>
            </w:r>
          </w:p>
        </w:tc>
        <w:tc>
          <w:tcPr>
            <w:tcW w:w="200" w:type="dxa"/>
            <w:tcBorders>
              <w:top w:val="nil"/>
              <w:left w:val="nil"/>
              <w:bottom w:val="nil"/>
              <w:right w:val="nil"/>
            </w:tcBorders>
            <w:shd w:val="clear" w:color="auto" w:fill="auto"/>
            <w:noWrap/>
            <w:vAlign w:val="bottom"/>
            <w:hideMark/>
          </w:tcPr>
          <w:p w14:paraId="11C5F4F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7253E944"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1828DCBA"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63.16%</w:t>
            </w:r>
          </w:p>
        </w:tc>
      </w:tr>
      <w:tr w:rsidR="00C808A0" w:rsidRPr="00872B32" w14:paraId="77274664" w14:textId="77777777" w:rsidTr="003440DA">
        <w:trPr>
          <w:trHeight w:val="315"/>
        </w:trPr>
        <w:tc>
          <w:tcPr>
            <w:tcW w:w="452" w:type="dxa"/>
            <w:vMerge/>
            <w:tcBorders>
              <w:top w:val="nil"/>
              <w:left w:val="nil"/>
              <w:bottom w:val="nil"/>
              <w:right w:val="single" w:sz="8" w:space="0" w:color="auto"/>
            </w:tcBorders>
            <w:vAlign w:val="center"/>
            <w:hideMark/>
          </w:tcPr>
          <w:p w14:paraId="46F62BD2"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6CFBFF83"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RR/FF</w:t>
            </w:r>
          </w:p>
        </w:tc>
        <w:tc>
          <w:tcPr>
            <w:tcW w:w="1294" w:type="dxa"/>
            <w:tcBorders>
              <w:top w:val="nil"/>
              <w:left w:val="nil"/>
              <w:bottom w:val="nil"/>
              <w:right w:val="nil"/>
            </w:tcBorders>
            <w:shd w:val="clear" w:color="auto" w:fill="auto"/>
            <w:noWrap/>
            <w:vAlign w:val="center"/>
            <w:hideMark/>
          </w:tcPr>
          <w:p w14:paraId="1A8637D5"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2A18A7F1"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14:paraId="0EEF9FE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19D6CC45"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14:paraId="60673AFF"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734F30DC"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14:paraId="40125B29"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50</w:t>
            </w:r>
          </w:p>
        </w:tc>
        <w:tc>
          <w:tcPr>
            <w:tcW w:w="200" w:type="dxa"/>
            <w:tcBorders>
              <w:top w:val="nil"/>
              <w:left w:val="nil"/>
              <w:bottom w:val="nil"/>
              <w:right w:val="nil"/>
            </w:tcBorders>
            <w:shd w:val="clear" w:color="auto" w:fill="auto"/>
            <w:noWrap/>
            <w:vAlign w:val="bottom"/>
            <w:hideMark/>
          </w:tcPr>
          <w:p w14:paraId="1B401BD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05781EA9"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14:paraId="6C3CE4ED"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r>
      <w:tr w:rsidR="00C808A0" w:rsidRPr="00872B32" w14:paraId="4DE755E7" w14:textId="77777777" w:rsidTr="003440DA">
        <w:trPr>
          <w:trHeight w:val="315"/>
        </w:trPr>
        <w:tc>
          <w:tcPr>
            <w:tcW w:w="452" w:type="dxa"/>
            <w:vMerge/>
            <w:tcBorders>
              <w:top w:val="nil"/>
              <w:left w:val="nil"/>
              <w:bottom w:val="nil"/>
              <w:right w:val="single" w:sz="8" w:space="0" w:color="auto"/>
            </w:tcBorders>
            <w:vAlign w:val="center"/>
            <w:hideMark/>
          </w:tcPr>
          <w:p w14:paraId="38C4528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14:paraId="5E9FDE89"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14:paraId="36291C8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bottom"/>
            <w:hideMark/>
          </w:tcPr>
          <w:p w14:paraId="6237B94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0ECB19D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14:paraId="20ABAA39"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74AE0101"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52697B5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33ACF1A6"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0CBF469F"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2105090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5937D4B0"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4008C63C" w14:textId="77777777" w:rsidTr="003440DA">
        <w:trPr>
          <w:trHeight w:val="315"/>
        </w:trPr>
        <w:tc>
          <w:tcPr>
            <w:tcW w:w="452" w:type="dxa"/>
            <w:vMerge/>
            <w:tcBorders>
              <w:top w:val="nil"/>
              <w:left w:val="nil"/>
              <w:bottom w:val="nil"/>
              <w:right w:val="single" w:sz="8" w:space="0" w:color="auto"/>
            </w:tcBorders>
            <w:vAlign w:val="center"/>
            <w:hideMark/>
          </w:tcPr>
          <w:p w14:paraId="3ED7635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680A29E9" w14:textId="77777777" w:rsidR="002D5D3F" w:rsidRPr="00872B32" w:rsidRDefault="002D5D3F" w:rsidP="008C54E8">
            <w:pPr>
              <w:snapToGrid w:val="0"/>
              <w:spacing w:line="360" w:lineRule="auto"/>
              <w:jc w:val="both"/>
              <w:rPr>
                <w:rFonts w:ascii="Book Antiqua" w:eastAsia="Calibri" w:hAnsi="Book Antiqua"/>
                <w:b/>
                <w:bCs/>
                <w:color w:val="000000"/>
                <w:lang w:val="it-IT"/>
              </w:rPr>
            </w:pPr>
            <w:r w:rsidRPr="00872B32">
              <w:rPr>
                <w:rFonts w:ascii="Book Antiqua" w:eastAsia="Calibri" w:hAnsi="Book Antiqua"/>
                <w:b/>
                <w:bCs/>
                <w:color w:val="000000"/>
                <w:lang w:val="it-IT"/>
              </w:rPr>
              <w:t>H</w:t>
            </w:r>
            <w:r w:rsidR="00AC17F2" w:rsidRPr="00872B32">
              <w:rPr>
                <w:rFonts w:ascii="Book Antiqua" w:eastAsia="Calibri" w:hAnsi="Book Antiqua"/>
                <w:b/>
                <w:bCs/>
                <w:color w:val="000000"/>
                <w:lang w:val="it-IT"/>
              </w:rPr>
              <w:t>igh risk</w:t>
            </w:r>
          </w:p>
        </w:tc>
        <w:tc>
          <w:tcPr>
            <w:tcW w:w="1294" w:type="dxa"/>
            <w:tcBorders>
              <w:top w:val="nil"/>
              <w:left w:val="nil"/>
              <w:bottom w:val="nil"/>
              <w:right w:val="nil"/>
            </w:tcBorders>
            <w:shd w:val="clear" w:color="auto" w:fill="auto"/>
            <w:noWrap/>
            <w:vAlign w:val="center"/>
            <w:hideMark/>
          </w:tcPr>
          <w:p w14:paraId="68F6C9C7" w14:textId="77777777" w:rsidR="002D5D3F" w:rsidRPr="00872B32" w:rsidRDefault="002D5D3F" w:rsidP="008C54E8">
            <w:pPr>
              <w:snapToGrid w:val="0"/>
              <w:spacing w:line="360" w:lineRule="auto"/>
              <w:jc w:val="both"/>
              <w:rPr>
                <w:rFonts w:ascii="Book Antiqua" w:eastAsia="Calibri" w:hAnsi="Book Antiqua"/>
                <w:b/>
                <w:bCs/>
                <w:color w:val="000000"/>
                <w:lang w:val="it-IT"/>
              </w:rPr>
            </w:pPr>
          </w:p>
        </w:tc>
        <w:tc>
          <w:tcPr>
            <w:tcW w:w="1610" w:type="dxa"/>
            <w:gridSpan w:val="2"/>
            <w:tcBorders>
              <w:top w:val="nil"/>
              <w:left w:val="nil"/>
              <w:bottom w:val="nil"/>
              <w:right w:val="nil"/>
            </w:tcBorders>
            <w:shd w:val="clear" w:color="auto" w:fill="auto"/>
            <w:noWrap/>
            <w:vAlign w:val="center"/>
            <w:hideMark/>
          </w:tcPr>
          <w:p w14:paraId="5EA7B3F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62B0721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2616726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463028F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40A0917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6AF9D7E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14:paraId="0DDD7A70"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04AEDE5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14:paraId="4394D6FF"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C808A0" w:rsidRPr="00872B32" w14:paraId="5DEE5D37" w14:textId="77777777" w:rsidTr="003440DA">
        <w:trPr>
          <w:trHeight w:val="315"/>
        </w:trPr>
        <w:tc>
          <w:tcPr>
            <w:tcW w:w="452" w:type="dxa"/>
            <w:vMerge/>
            <w:tcBorders>
              <w:top w:val="nil"/>
              <w:left w:val="nil"/>
              <w:bottom w:val="nil"/>
              <w:right w:val="single" w:sz="8" w:space="0" w:color="auto"/>
            </w:tcBorders>
            <w:vAlign w:val="center"/>
            <w:hideMark/>
          </w:tcPr>
          <w:p w14:paraId="2BA9BE3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29F33CB1"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HH/VF</w:t>
            </w:r>
          </w:p>
        </w:tc>
        <w:tc>
          <w:tcPr>
            <w:tcW w:w="1294" w:type="dxa"/>
            <w:tcBorders>
              <w:top w:val="nil"/>
              <w:left w:val="nil"/>
              <w:bottom w:val="nil"/>
              <w:right w:val="nil"/>
            </w:tcBorders>
            <w:shd w:val="clear" w:color="auto" w:fill="auto"/>
            <w:noWrap/>
            <w:vAlign w:val="center"/>
            <w:hideMark/>
          </w:tcPr>
          <w:p w14:paraId="736C1DAD"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15BB6BB6"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14:paraId="521FF451"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2EECA10B"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38.46%</w:t>
            </w:r>
          </w:p>
        </w:tc>
        <w:tc>
          <w:tcPr>
            <w:tcW w:w="200" w:type="dxa"/>
            <w:tcBorders>
              <w:top w:val="nil"/>
              <w:left w:val="nil"/>
              <w:bottom w:val="nil"/>
              <w:right w:val="nil"/>
            </w:tcBorders>
            <w:shd w:val="clear" w:color="auto" w:fill="auto"/>
            <w:noWrap/>
            <w:vAlign w:val="bottom"/>
            <w:hideMark/>
          </w:tcPr>
          <w:p w14:paraId="46EADFC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3B972198"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62</w:t>
            </w:r>
          </w:p>
        </w:tc>
        <w:tc>
          <w:tcPr>
            <w:tcW w:w="1562" w:type="dxa"/>
            <w:tcBorders>
              <w:top w:val="nil"/>
              <w:left w:val="nil"/>
              <w:bottom w:val="nil"/>
              <w:right w:val="nil"/>
            </w:tcBorders>
            <w:shd w:val="clear" w:color="auto" w:fill="auto"/>
            <w:noWrap/>
            <w:vAlign w:val="center"/>
            <w:hideMark/>
          </w:tcPr>
          <w:p w14:paraId="2FF09152"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14:paraId="3B03CD1B"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1BE0683E"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20.00%</w:t>
            </w:r>
          </w:p>
        </w:tc>
        <w:tc>
          <w:tcPr>
            <w:tcW w:w="1562" w:type="dxa"/>
            <w:tcBorders>
              <w:top w:val="nil"/>
              <w:left w:val="nil"/>
              <w:bottom w:val="nil"/>
              <w:right w:val="nil"/>
            </w:tcBorders>
            <w:shd w:val="clear" w:color="auto" w:fill="auto"/>
            <w:noWrap/>
            <w:vAlign w:val="center"/>
            <w:hideMark/>
          </w:tcPr>
          <w:p w14:paraId="0B0BC76D"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r>
      <w:tr w:rsidR="00C808A0" w:rsidRPr="00872B32" w14:paraId="7232929D" w14:textId="77777777" w:rsidTr="003440DA">
        <w:trPr>
          <w:trHeight w:val="315"/>
        </w:trPr>
        <w:tc>
          <w:tcPr>
            <w:tcW w:w="452" w:type="dxa"/>
            <w:vMerge/>
            <w:tcBorders>
              <w:top w:val="nil"/>
              <w:left w:val="nil"/>
              <w:bottom w:val="nil"/>
              <w:right w:val="single" w:sz="8" w:space="0" w:color="auto"/>
            </w:tcBorders>
            <w:vAlign w:val="center"/>
            <w:hideMark/>
          </w:tcPr>
          <w:p w14:paraId="1C7ADECD"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14:paraId="30C20D74" w14:textId="77777777" w:rsidR="002D5D3F" w:rsidRPr="00872B32" w:rsidRDefault="002D5D3F" w:rsidP="008C54E8">
            <w:pPr>
              <w:snapToGrid w:val="0"/>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RR/VF</w:t>
            </w:r>
          </w:p>
        </w:tc>
        <w:tc>
          <w:tcPr>
            <w:tcW w:w="1294" w:type="dxa"/>
            <w:tcBorders>
              <w:top w:val="nil"/>
              <w:left w:val="nil"/>
              <w:bottom w:val="nil"/>
              <w:right w:val="nil"/>
            </w:tcBorders>
            <w:shd w:val="clear" w:color="auto" w:fill="auto"/>
            <w:noWrap/>
            <w:vAlign w:val="center"/>
            <w:hideMark/>
          </w:tcPr>
          <w:p w14:paraId="1F8AF0B6" w14:textId="77777777" w:rsidR="002D5D3F" w:rsidRPr="00872B32" w:rsidRDefault="00AC17F2" w:rsidP="008C54E8">
            <w:pPr>
              <w:snapToGrid w:val="0"/>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宋体"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14:paraId="30413A3A"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14:paraId="5163A12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14:paraId="762B40F1"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33.33%</w:t>
            </w:r>
          </w:p>
        </w:tc>
        <w:tc>
          <w:tcPr>
            <w:tcW w:w="200" w:type="dxa"/>
            <w:tcBorders>
              <w:top w:val="nil"/>
              <w:left w:val="nil"/>
              <w:bottom w:val="nil"/>
              <w:right w:val="nil"/>
            </w:tcBorders>
            <w:shd w:val="clear" w:color="auto" w:fill="auto"/>
            <w:noWrap/>
            <w:vAlign w:val="bottom"/>
            <w:hideMark/>
          </w:tcPr>
          <w:p w14:paraId="7467589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3BBE2FDC"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50</w:t>
            </w:r>
          </w:p>
        </w:tc>
        <w:tc>
          <w:tcPr>
            <w:tcW w:w="1562" w:type="dxa"/>
            <w:tcBorders>
              <w:top w:val="nil"/>
              <w:left w:val="nil"/>
              <w:bottom w:val="nil"/>
              <w:right w:val="nil"/>
            </w:tcBorders>
            <w:shd w:val="clear" w:color="auto" w:fill="auto"/>
            <w:noWrap/>
            <w:vAlign w:val="center"/>
            <w:hideMark/>
          </w:tcPr>
          <w:p w14:paraId="0A3EDBC6"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宋体"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14:paraId="2881EE0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14:paraId="1B957E1A"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33.33%</w:t>
            </w:r>
          </w:p>
        </w:tc>
        <w:tc>
          <w:tcPr>
            <w:tcW w:w="1562" w:type="dxa"/>
            <w:tcBorders>
              <w:top w:val="nil"/>
              <w:left w:val="nil"/>
              <w:bottom w:val="nil"/>
              <w:right w:val="nil"/>
            </w:tcBorders>
            <w:shd w:val="clear" w:color="auto" w:fill="auto"/>
            <w:noWrap/>
            <w:vAlign w:val="center"/>
            <w:hideMark/>
          </w:tcPr>
          <w:p w14:paraId="51137313"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r>
      <w:tr w:rsidR="00C808A0" w:rsidRPr="00872B32" w14:paraId="2CC0A6D9" w14:textId="77777777" w:rsidTr="003440DA">
        <w:trPr>
          <w:trHeight w:val="330"/>
        </w:trPr>
        <w:tc>
          <w:tcPr>
            <w:tcW w:w="452" w:type="dxa"/>
            <w:tcBorders>
              <w:top w:val="nil"/>
              <w:left w:val="nil"/>
              <w:bottom w:val="single" w:sz="8" w:space="0" w:color="auto"/>
              <w:right w:val="nil"/>
            </w:tcBorders>
            <w:shd w:val="clear" w:color="auto" w:fill="auto"/>
            <w:noWrap/>
            <w:vAlign w:val="center"/>
            <w:hideMark/>
          </w:tcPr>
          <w:p w14:paraId="192F94C3"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2624" w:type="dxa"/>
            <w:tcBorders>
              <w:top w:val="nil"/>
              <w:left w:val="nil"/>
              <w:bottom w:val="single" w:sz="8" w:space="0" w:color="auto"/>
              <w:right w:val="nil"/>
            </w:tcBorders>
            <w:shd w:val="clear" w:color="auto" w:fill="auto"/>
            <w:noWrap/>
            <w:vAlign w:val="center"/>
            <w:hideMark/>
          </w:tcPr>
          <w:p w14:paraId="516ABCE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294" w:type="dxa"/>
            <w:tcBorders>
              <w:top w:val="nil"/>
              <w:left w:val="nil"/>
              <w:bottom w:val="single" w:sz="8" w:space="0" w:color="auto"/>
              <w:right w:val="nil"/>
            </w:tcBorders>
            <w:shd w:val="clear" w:color="auto" w:fill="auto"/>
            <w:noWrap/>
            <w:vAlign w:val="center"/>
            <w:hideMark/>
          </w:tcPr>
          <w:p w14:paraId="06DDCF60"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805" w:type="dxa"/>
            <w:tcBorders>
              <w:top w:val="nil"/>
              <w:left w:val="nil"/>
              <w:bottom w:val="single" w:sz="8" w:space="0" w:color="auto"/>
              <w:right w:val="nil"/>
            </w:tcBorders>
            <w:shd w:val="clear" w:color="auto" w:fill="auto"/>
            <w:noWrap/>
            <w:vAlign w:val="center"/>
            <w:hideMark/>
          </w:tcPr>
          <w:p w14:paraId="0669471B"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805" w:type="dxa"/>
            <w:tcBorders>
              <w:top w:val="nil"/>
              <w:left w:val="nil"/>
              <w:bottom w:val="single" w:sz="8" w:space="0" w:color="auto"/>
              <w:right w:val="nil"/>
            </w:tcBorders>
            <w:shd w:val="clear" w:color="auto" w:fill="auto"/>
            <w:noWrap/>
            <w:vAlign w:val="center"/>
            <w:hideMark/>
          </w:tcPr>
          <w:p w14:paraId="0FD99740"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14:paraId="298C2DD2"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830" w:type="dxa"/>
            <w:tcBorders>
              <w:top w:val="nil"/>
              <w:left w:val="nil"/>
              <w:bottom w:val="single" w:sz="8" w:space="0" w:color="auto"/>
              <w:right w:val="nil"/>
            </w:tcBorders>
            <w:shd w:val="clear" w:color="auto" w:fill="auto"/>
            <w:noWrap/>
            <w:vAlign w:val="center"/>
            <w:hideMark/>
          </w:tcPr>
          <w:p w14:paraId="01C6944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14:paraId="3A332A1B"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378" w:type="dxa"/>
            <w:tcBorders>
              <w:top w:val="nil"/>
              <w:left w:val="nil"/>
              <w:bottom w:val="single" w:sz="8" w:space="0" w:color="auto"/>
              <w:right w:val="nil"/>
            </w:tcBorders>
            <w:shd w:val="clear" w:color="auto" w:fill="auto"/>
            <w:noWrap/>
            <w:vAlign w:val="center"/>
            <w:hideMark/>
          </w:tcPr>
          <w:p w14:paraId="57E31E22"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562" w:type="dxa"/>
            <w:tcBorders>
              <w:top w:val="nil"/>
              <w:left w:val="nil"/>
              <w:bottom w:val="single" w:sz="8" w:space="0" w:color="auto"/>
              <w:right w:val="nil"/>
            </w:tcBorders>
            <w:shd w:val="clear" w:color="auto" w:fill="auto"/>
            <w:noWrap/>
            <w:vAlign w:val="center"/>
            <w:hideMark/>
          </w:tcPr>
          <w:p w14:paraId="3F07E46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14:paraId="2CD22C65"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378" w:type="dxa"/>
            <w:tcBorders>
              <w:top w:val="nil"/>
              <w:left w:val="nil"/>
              <w:bottom w:val="single" w:sz="8" w:space="0" w:color="auto"/>
              <w:right w:val="nil"/>
            </w:tcBorders>
            <w:shd w:val="clear" w:color="auto" w:fill="auto"/>
            <w:noWrap/>
            <w:vAlign w:val="center"/>
            <w:hideMark/>
          </w:tcPr>
          <w:p w14:paraId="15FDE487"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562" w:type="dxa"/>
            <w:tcBorders>
              <w:top w:val="nil"/>
              <w:left w:val="nil"/>
              <w:bottom w:val="single" w:sz="8" w:space="0" w:color="auto"/>
              <w:right w:val="nil"/>
            </w:tcBorders>
            <w:shd w:val="clear" w:color="auto" w:fill="auto"/>
            <w:noWrap/>
            <w:vAlign w:val="center"/>
            <w:hideMark/>
          </w:tcPr>
          <w:p w14:paraId="4834CD9C" w14:textId="77777777" w:rsidR="002D5D3F" w:rsidRPr="00872B32" w:rsidRDefault="002D5D3F"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r>
      <w:tr w:rsidR="00C808A0" w:rsidRPr="00872B32" w14:paraId="614EDC70" w14:textId="77777777" w:rsidTr="003440DA">
        <w:trPr>
          <w:trHeight w:val="79"/>
        </w:trPr>
        <w:tc>
          <w:tcPr>
            <w:tcW w:w="452" w:type="dxa"/>
            <w:tcBorders>
              <w:top w:val="nil"/>
              <w:left w:val="nil"/>
              <w:bottom w:val="nil"/>
              <w:right w:val="nil"/>
            </w:tcBorders>
            <w:shd w:val="clear" w:color="auto" w:fill="auto"/>
            <w:noWrap/>
            <w:vAlign w:val="bottom"/>
            <w:hideMark/>
          </w:tcPr>
          <w:p w14:paraId="75CDB01D"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14:paraId="6EEA4E34"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14:paraId="2DC722E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805" w:type="dxa"/>
            <w:tcBorders>
              <w:top w:val="nil"/>
              <w:left w:val="nil"/>
              <w:bottom w:val="nil"/>
              <w:right w:val="nil"/>
            </w:tcBorders>
            <w:shd w:val="clear" w:color="auto" w:fill="auto"/>
            <w:noWrap/>
            <w:vAlign w:val="bottom"/>
            <w:hideMark/>
          </w:tcPr>
          <w:p w14:paraId="4B92645C"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805" w:type="dxa"/>
            <w:tcBorders>
              <w:top w:val="nil"/>
              <w:left w:val="nil"/>
              <w:bottom w:val="nil"/>
              <w:right w:val="nil"/>
            </w:tcBorders>
            <w:shd w:val="clear" w:color="auto" w:fill="auto"/>
            <w:noWrap/>
            <w:vAlign w:val="bottom"/>
            <w:hideMark/>
          </w:tcPr>
          <w:p w14:paraId="4A210DF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71218FD3"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14:paraId="2F977C5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618A5558"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12F90A35"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770942AE"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14:paraId="39500C97"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14:paraId="4EFFCE9A" w14:textId="77777777" w:rsidR="002D5D3F" w:rsidRPr="00872B32" w:rsidRDefault="002D5D3F" w:rsidP="008C54E8">
            <w:pPr>
              <w:snapToGrid w:val="0"/>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14:paraId="46A5CA4E" w14:textId="77777777" w:rsidR="002D5D3F" w:rsidRPr="00872B32" w:rsidRDefault="002D5D3F" w:rsidP="008C54E8">
            <w:pPr>
              <w:snapToGrid w:val="0"/>
              <w:spacing w:line="360" w:lineRule="auto"/>
              <w:jc w:val="both"/>
              <w:rPr>
                <w:rFonts w:ascii="Book Antiqua" w:eastAsia="Calibri" w:hAnsi="Book Antiqua"/>
                <w:color w:val="000000"/>
                <w:lang w:val="it-IT"/>
              </w:rPr>
            </w:pPr>
          </w:p>
        </w:tc>
      </w:tr>
      <w:tr w:rsidR="002D5D3F" w:rsidRPr="00872B32" w14:paraId="21F9582B" w14:textId="77777777" w:rsidTr="003440DA">
        <w:trPr>
          <w:trHeight w:val="300"/>
        </w:trPr>
        <w:tc>
          <w:tcPr>
            <w:tcW w:w="14290" w:type="dxa"/>
            <w:gridSpan w:val="13"/>
            <w:tcBorders>
              <w:top w:val="nil"/>
              <w:left w:val="nil"/>
              <w:bottom w:val="nil"/>
              <w:right w:val="nil"/>
            </w:tcBorders>
            <w:shd w:val="clear" w:color="auto" w:fill="auto"/>
            <w:noWrap/>
            <w:vAlign w:val="center"/>
            <w:hideMark/>
          </w:tcPr>
          <w:p w14:paraId="296BA72E" w14:textId="1E6454A3" w:rsidR="002D5D3F" w:rsidRPr="00BA4E7C" w:rsidRDefault="004C2452" w:rsidP="008C54E8">
            <w:pPr>
              <w:snapToGrid w:val="0"/>
              <w:spacing w:line="360" w:lineRule="auto"/>
              <w:jc w:val="both"/>
              <w:rPr>
                <w:rFonts w:ascii="Book Antiqua" w:eastAsia="宋体" w:hAnsi="Book Antiqua"/>
                <w:color w:val="000000"/>
                <w:lang w:val="it-IT" w:eastAsia="zh-CN"/>
              </w:rPr>
            </w:pPr>
            <w:r w:rsidRPr="00872B32">
              <w:rPr>
                <w:rFonts w:ascii="Book Antiqua" w:eastAsia="Calibri" w:hAnsi="Book Antiqua"/>
                <w:color w:val="000000"/>
              </w:rPr>
              <w:t xml:space="preserve">The statistical </w:t>
            </w:r>
            <w:r w:rsidR="002D5D3F" w:rsidRPr="00872B32">
              <w:rPr>
                <w:rFonts w:ascii="Book Antiqua" w:eastAsia="Calibri" w:hAnsi="Book Antiqua"/>
                <w:color w:val="000000"/>
              </w:rPr>
              <w:t xml:space="preserve">data were obtained by using Diagnostic test evaluation/MedCalc-statistical software. Values of </w:t>
            </w:r>
            <w:r w:rsidR="002D5D3F" w:rsidRPr="00872B32">
              <w:rPr>
                <w:rFonts w:ascii="Book Antiqua" w:eastAsia="Calibri" w:hAnsi="Book Antiqua"/>
                <w:i/>
                <w:color w:val="000000"/>
              </w:rPr>
              <w:t xml:space="preserve">P </w:t>
            </w:r>
            <w:r w:rsidR="002D5D3F" w:rsidRPr="00872B32">
              <w:rPr>
                <w:rFonts w:ascii="Book Antiqua" w:eastAsia="Calibri" w:hAnsi="Book Antiqua"/>
                <w:color w:val="000000"/>
              </w:rPr>
              <w:t>&lt;</w:t>
            </w:r>
            <w:r w:rsidR="00AC17F2" w:rsidRPr="00BA4E7C">
              <w:rPr>
                <w:rFonts w:ascii="Book Antiqua" w:eastAsia="宋体" w:hAnsi="Book Antiqua" w:hint="eastAsia"/>
                <w:color w:val="000000"/>
                <w:lang w:eastAsia="zh-CN"/>
              </w:rPr>
              <w:t xml:space="preserve"> </w:t>
            </w:r>
            <w:r w:rsidR="002D5D3F" w:rsidRPr="00872B32">
              <w:rPr>
                <w:rFonts w:ascii="Book Antiqua" w:eastAsia="Calibri" w:hAnsi="Book Antiqua"/>
                <w:color w:val="000000"/>
              </w:rPr>
              <w:t>0.05 were considered significant</w:t>
            </w:r>
            <w:r w:rsidR="00AC17F2" w:rsidRPr="00BA4E7C">
              <w:rPr>
                <w:rFonts w:ascii="Book Antiqua" w:eastAsia="宋体" w:hAnsi="Book Antiqua" w:hint="eastAsia"/>
                <w:color w:val="000000"/>
                <w:lang w:eastAsia="zh-CN"/>
              </w:rPr>
              <w:t>.</w:t>
            </w:r>
          </w:p>
        </w:tc>
      </w:tr>
    </w:tbl>
    <w:p w14:paraId="75B835E5" w14:textId="77777777" w:rsidR="002D5D3F" w:rsidRPr="00872B32" w:rsidRDefault="002D5D3F" w:rsidP="008C54E8">
      <w:pPr>
        <w:snapToGrid w:val="0"/>
        <w:spacing w:line="360" w:lineRule="auto"/>
        <w:jc w:val="both"/>
        <w:rPr>
          <w:rFonts w:ascii="Book Antiqua" w:eastAsia="Calibri" w:hAnsi="Book Antiqua"/>
          <w:color w:val="000000"/>
        </w:rPr>
      </w:pPr>
    </w:p>
    <w:p w14:paraId="751E3269" w14:textId="77777777" w:rsidR="000A7335" w:rsidRDefault="000A7335" w:rsidP="008C54E8">
      <w:pPr>
        <w:snapToGrid w:val="0"/>
        <w:spacing w:line="360" w:lineRule="auto"/>
        <w:jc w:val="both"/>
        <w:rPr>
          <w:rFonts w:ascii="Book Antiqua" w:eastAsia="Calibri" w:hAnsi="Book Antiqua"/>
          <w:b/>
          <w:bCs/>
          <w:color w:val="000000"/>
        </w:rPr>
        <w:sectPr w:rsidR="000A7335" w:rsidSect="008C54E8">
          <w:pgSz w:w="16838" w:h="11906" w:orient="landscape"/>
          <w:pgMar w:top="1440" w:right="1440" w:bottom="1440" w:left="1440" w:header="706" w:footer="706" w:gutter="0"/>
          <w:cols w:space="708"/>
          <w:docGrid w:linePitch="360"/>
        </w:sectPr>
      </w:pPr>
    </w:p>
    <w:tbl>
      <w:tblPr>
        <w:tblW w:w="10062" w:type="dxa"/>
        <w:tblCellMar>
          <w:left w:w="70" w:type="dxa"/>
          <w:right w:w="70" w:type="dxa"/>
        </w:tblCellMar>
        <w:tblLook w:val="04A0" w:firstRow="1" w:lastRow="0" w:firstColumn="1" w:lastColumn="0" w:noHBand="0" w:noVBand="1"/>
      </w:tblPr>
      <w:tblGrid>
        <w:gridCol w:w="1616"/>
        <w:gridCol w:w="574"/>
        <w:gridCol w:w="272"/>
        <w:gridCol w:w="440"/>
        <w:gridCol w:w="146"/>
        <w:gridCol w:w="574"/>
        <w:gridCol w:w="272"/>
        <w:gridCol w:w="440"/>
        <w:gridCol w:w="160"/>
        <w:gridCol w:w="560"/>
        <w:gridCol w:w="272"/>
        <w:gridCol w:w="440"/>
        <w:gridCol w:w="146"/>
        <w:gridCol w:w="574"/>
        <w:gridCol w:w="272"/>
        <w:gridCol w:w="440"/>
        <w:gridCol w:w="146"/>
        <w:gridCol w:w="574"/>
        <w:gridCol w:w="272"/>
        <w:gridCol w:w="440"/>
        <w:gridCol w:w="146"/>
        <w:gridCol w:w="574"/>
        <w:gridCol w:w="272"/>
        <w:gridCol w:w="440"/>
      </w:tblGrid>
      <w:tr w:rsidR="00C808A0" w:rsidRPr="00872B32" w14:paraId="7890C462" w14:textId="77777777" w:rsidTr="00AC17F2">
        <w:trPr>
          <w:trHeight w:val="300"/>
        </w:trPr>
        <w:tc>
          <w:tcPr>
            <w:tcW w:w="10062" w:type="dxa"/>
            <w:gridSpan w:val="24"/>
            <w:tcBorders>
              <w:top w:val="nil"/>
              <w:left w:val="nil"/>
              <w:bottom w:val="single" w:sz="4" w:space="0" w:color="auto"/>
              <w:right w:val="nil"/>
            </w:tcBorders>
            <w:shd w:val="clear" w:color="auto" w:fill="auto"/>
            <w:noWrap/>
            <w:vAlign w:val="bottom"/>
            <w:hideMark/>
          </w:tcPr>
          <w:p w14:paraId="36F88EF3" w14:textId="0A0FA405" w:rsidR="0047561E" w:rsidRPr="00AC17F2" w:rsidRDefault="0047561E" w:rsidP="008C54E8">
            <w:pPr>
              <w:snapToGrid w:val="0"/>
              <w:spacing w:line="360" w:lineRule="auto"/>
              <w:jc w:val="both"/>
              <w:rPr>
                <w:rFonts w:ascii="Book Antiqua" w:eastAsia="Calibri" w:hAnsi="Book Antiqua"/>
                <w:b/>
                <w:color w:val="000000"/>
              </w:rPr>
            </w:pPr>
            <w:r w:rsidRPr="00AC17F2">
              <w:rPr>
                <w:rFonts w:ascii="Book Antiqua" w:eastAsia="Calibri" w:hAnsi="Book Antiqua"/>
                <w:b/>
                <w:bCs/>
                <w:color w:val="000000"/>
              </w:rPr>
              <w:lastRenderedPageBreak/>
              <w:t>Table 4</w:t>
            </w:r>
            <w:r w:rsidR="00C808A0" w:rsidRPr="00AC17F2">
              <w:rPr>
                <w:rFonts w:ascii="Book Antiqua" w:eastAsia="Calibri" w:hAnsi="Book Antiqua"/>
                <w:b/>
                <w:bCs/>
                <w:color w:val="000000"/>
              </w:rPr>
              <w:t xml:space="preserve"> </w:t>
            </w:r>
            <w:r w:rsidRPr="00AC17F2">
              <w:rPr>
                <w:rFonts w:ascii="Book Antiqua" w:eastAsia="Calibri" w:hAnsi="Book Antiqua"/>
                <w:b/>
                <w:color w:val="000000"/>
              </w:rPr>
              <w:t xml:space="preserve">Levels of phenotypic antigen expression in </w:t>
            </w:r>
            <w:r w:rsidR="00AC17F2" w:rsidRPr="00AC17F2">
              <w:rPr>
                <w:rFonts w:ascii="Book Antiqua" w:eastAsia="Calibri" w:hAnsi="Book Antiqua"/>
                <w:b/>
                <w:color w:val="000000"/>
              </w:rPr>
              <w:t xml:space="preserve">healthy subjects and tumor patients </w:t>
            </w:r>
          </w:p>
        </w:tc>
      </w:tr>
      <w:tr w:rsidR="00C808A0" w:rsidRPr="00872B32" w14:paraId="7771AF77" w14:textId="77777777" w:rsidTr="00AC17F2">
        <w:trPr>
          <w:trHeight w:val="300"/>
        </w:trPr>
        <w:tc>
          <w:tcPr>
            <w:tcW w:w="1616" w:type="dxa"/>
            <w:tcBorders>
              <w:top w:val="nil"/>
              <w:left w:val="nil"/>
              <w:bottom w:val="nil"/>
              <w:right w:val="nil"/>
            </w:tcBorders>
            <w:shd w:val="clear" w:color="auto" w:fill="auto"/>
            <w:noWrap/>
            <w:vAlign w:val="bottom"/>
            <w:hideMark/>
          </w:tcPr>
          <w:p w14:paraId="64CAE813" w14:textId="77777777" w:rsidR="0047561E" w:rsidRPr="00872B32" w:rsidRDefault="0047561E" w:rsidP="008C54E8">
            <w:pPr>
              <w:snapToGrid w:val="0"/>
              <w:spacing w:line="360" w:lineRule="auto"/>
              <w:jc w:val="both"/>
              <w:rPr>
                <w:rFonts w:ascii="Book Antiqua" w:eastAsia="Calibri" w:hAnsi="Book Antiqua"/>
                <w:color w:val="000000"/>
              </w:rPr>
            </w:pPr>
          </w:p>
        </w:tc>
        <w:tc>
          <w:tcPr>
            <w:tcW w:w="1286" w:type="dxa"/>
            <w:gridSpan w:val="3"/>
            <w:tcBorders>
              <w:top w:val="nil"/>
              <w:left w:val="nil"/>
              <w:bottom w:val="single" w:sz="4" w:space="0" w:color="auto"/>
              <w:right w:val="nil"/>
            </w:tcBorders>
            <w:shd w:val="clear" w:color="auto" w:fill="auto"/>
            <w:noWrap/>
            <w:vAlign w:val="bottom"/>
          </w:tcPr>
          <w:p w14:paraId="57360023" w14:textId="77777777" w:rsidR="0047561E" w:rsidRPr="00872B32" w:rsidRDefault="0047561E" w:rsidP="008C54E8">
            <w:pPr>
              <w:snapToGrid w:val="0"/>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HS</w:t>
            </w:r>
          </w:p>
        </w:tc>
        <w:tc>
          <w:tcPr>
            <w:tcW w:w="146" w:type="dxa"/>
            <w:tcBorders>
              <w:top w:val="nil"/>
              <w:left w:val="nil"/>
              <w:bottom w:val="nil"/>
              <w:right w:val="nil"/>
            </w:tcBorders>
            <w:shd w:val="clear" w:color="auto" w:fill="auto"/>
            <w:noWrap/>
            <w:vAlign w:val="bottom"/>
            <w:hideMark/>
          </w:tcPr>
          <w:p w14:paraId="4DB01362" w14:textId="77777777" w:rsidR="0047561E" w:rsidRPr="00872B32" w:rsidRDefault="0047561E" w:rsidP="008C54E8">
            <w:pPr>
              <w:snapToGrid w:val="0"/>
              <w:spacing w:line="360" w:lineRule="auto"/>
              <w:jc w:val="both"/>
              <w:rPr>
                <w:rFonts w:ascii="Book Antiqua" w:eastAsia="Calibri" w:hAnsi="Book Antiqua"/>
                <w:b/>
                <w:color w:val="000000"/>
                <w:lang w:val="it-IT"/>
              </w:rPr>
            </w:pPr>
          </w:p>
        </w:tc>
        <w:tc>
          <w:tcPr>
            <w:tcW w:w="1286" w:type="dxa"/>
            <w:gridSpan w:val="3"/>
            <w:tcBorders>
              <w:top w:val="nil"/>
              <w:left w:val="nil"/>
              <w:bottom w:val="single" w:sz="4" w:space="0" w:color="auto"/>
              <w:right w:val="nil"/>
            </w:tcBorders>
            <w:shd w:val="clear" w:color="auto" w:fill="auto"/>
            <w:noWrap/>
            <w:vAlign w:val="bottom"/>
            <w:hideMark/>
          </w:tcPr>
          <w:p w14:paraId="76E47A2E" w14:textId="77777777" w:rsidR="0047561E" w:rsidRPr="00872B32" w:rsidRDefault="0047561E" w:rsidP="008C54E8">
            <w:pPr>
              <w:snapToGrid w:val="0"/>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Men</w:t>
            </w:r>
          </w:p>
        </w:tc>
        <w:tc>
          <w:tcPr>
            <w:tcW w:w="160" w:type="dxa"/>
            <w:tcBorders>
              <w:top w:val="nil"/>
              <w:left w:val="nil"/>
              <w:bottom w:val="nil"/>
              <w:right w:val="nil"/>
            </w:tcBorders>
            <w:shd w:val="clear" w:color="auto" w:fill="auto"/>
            <w:noWrap/>
            <w:vAlign w:val="bottom"/>
            <w:hideMark/>
          </w:tcPr>
          <w:p w14:paraId="36301FE9" w14:textId="77777777" w:rsidR="0047561E" w:rsidRPr="00872B32" w:rsidRDefault="0047561E" w:rsidP="008C54E8">
            <w:pPr>
              <w:snapToGrid w:val="0"/>
              <w:spacing w:line="360" w:lineRule="auto"/>
              <w:jc w:val="both"/>
              <w:rPr>
                <w:rFonts w:ascii="Book Antiqua" w:eastAsia="Calibri" w:hAnsi="Book Antiqua"/>
                <w:b/>
                <w:color w:val="000000"/>
                <w:lang w:val="it-IT"/>
              </w:rPr>
            </w:pPr>
          </w:p>
        </w:tc>
        <w:tc>
          <w:tcPr>
            <w:tcW w:w="1272" w:type="dxa"/>
            <w:gridSpan w:val="3"/>
            <w:tcBorders>
              <w:top w:val="nil"/>
              <w:left w:val="nil"/>
              <w:bottom w:val="single" w:sz="4" w:space="0" w:color="auto"/>
              <w:right w:val="nil"/>
            </w:tcBorders>
            <w:shd w:val="clear" w:color="auto" w:fill="auto"/>
            <w:noWrap/>
            <w:vAlign w:val="bottom"/>
            <w:hideMark/>
          </w:tcPr>
          <w:p w14:paraId="6F450861" w14:textId="77777777" w:rsidR="0047561E" w:rsidRPr="00872B32" w:rsidRDefault="0047561E" w:rsidP="008C54E8">
            <w:pPr>
              <w:snapToGrid w:val="0"/>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Women</w:t>
            </w:r>
          </w:p>
        </w:tc>
        <w:tc>
          <w:tcPr>
            <w:tcW w:w="146" w:type="dxa"/>
            <w:tcBorders>
              <w:top w:val="nil"/>
              <w:left w:val="nil"/>
              <w:bottom w:val="nil"/>
              <w:right w:val="nil"/>
            </w:tcBorders>
            <w:shd w:val="clear" w:color="auto" w:fill="auto"/>
            <w:noWrap/>
            <w:vAlign w:val="bottom"/>
            <w:hideMark/>
          </w:tcPr>
          <w:p w14:paraId="465F702B" w14:textId="77777777" w:rsidR="0047561E" w:rsidRPr="00872B32" w:rsidRDefault="0047561E" w:rsidP="008C54E8">
            <w:pPr>
              <w:snapToGrid w:val="0"/>
              <w:spacing w:line="360" w:lineRule="auto"/>
              <w:jc w:val="both"/>
              <w:rPr>
                <w:rFonts w:ascii="Book Antiqua" w:eastAsia="Calibri" w:hAnsi="Book Antiqua"/>
                <w:b/>
                <w:color w:val="000000"/>
                <w:lang w:val="it-IT"/>
              </w:rPr>
            </w:pPr>
          </w:p>
        </w:tc>
        <w:tc>
          <w:tcPr>
            <w:tcW w:w="1286" w:type="dxa"/>
            <w:gridSpan w:val="3"/>
            <w:tcBorders>
              <w:top w:val="nil"/>
              <w:left w:val="nil"/>
              <w:bottom w:val="single" w:sz="4" w:space="0" w:color="auto"/>
              <w:right w:val="nil"/>
            </w:tcBorders>
            <w:shd w:val="clear" w:color="auto" w:fill="auto"/>
            <w:noWrap/>
            <w:vAlign w:val="bottom"/>
            <w:hideMark/>
          </w:tcPr>
          <w:p w14:paraId="565EF012" w14:textId="77777777" w:rsidR="0047561E" w:rsidRPr="00872B32" w:rsidRDefault="0047561E" w:rsidP="008C54E8">
            <w:pPr>
              <w:snapToGrid w:val="0"/>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TP</w:t>
            </w:r>
          </w:p>
        </w:tc>
        <w:tc>
          <w:tcPr>
            <w:tcW w:w="146" w:type="dxa"/>
            <w:tcBorders>
              <w:top w:val="nil"/>
              <w:left w:val="nil"/>
              <w:bottom w:val="nil"/>
              <w:right w:val="nil"/>
            </w:tcBorders>
            <w:shd w:val="clear" w:color="auto" w:fill="auto"/>
            <w:noWrap/>
            <w:vAlign w:val="bottom"/>
            <w:hideMark/>
          </w:tcPr>
          <w:p w14:paraId="132CC333" w14:textId="77777777" w:rsidR="0047561E" w:rsidRPr="00872B32" w:rsidRDefault="0047561E" w:rsidP="008C54E8">
            <w:pPr>
              <w:snapToGrid w:val="0"/>
              <w:spacing w:line="360" w:lineRule="auto"/>
              <w:jc w:val="both"/>
              <w:rPr>
                <w:rFonts w:ascii="Book Antiqua" w:eastAsia="Calibri" w:hAnsi="Book Antiqua"/>
                <w:b/>
                <w:color w:val="000000"/>
                <w:lang w:val="it-IT"/>
              </w:rPr>
            </w:pPr>
          </w:p>
        </w:tc>
        <w:tc>
          <w:tcPr>
            <w:tcW w:w="1286" w:type="dxa"/>
            <w:gridSpan w:val="3"/>
            <w:tcBorders>
              <w:top w:val="nil"/>
              <w:left w:val="nil"/>
              <w:bottom w:val="single" w:sz="4" w:space="0" w:color="auto"/>
              <w:right w:val="nil"/>
            </w:tcBorders>
            <w:shd w:val="clear" w:color="auto" w:fill="auto"/>
            <w:noWrap/>
            <w:vAlign w:val="bottom"/>
            <w:hideMark/>
          </w:tcPr>
          <w:p w14:paraId="37493B24" w14:textId="77777777" w:rsidR="0047561E" w:rsidRPr="00872B32" w:rsidRDefault="0047561E" w:rsidP="008C54E8">
            <w:pPr>
              <w:snapToGrid w:val="0"/>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Men</w:t>
            </w:r>
          </w:p>
        </w:tc>
        <w:tc>
          <w:tcPr>
            <w:tcW w:w="146" w:type="dxa"/>
            <w:tcBorders>
              <w:top w:val="nil"/>
              <w:left w:val="nil"/>
              <w:bottom w:val="nil"/>
              <w:right w:val="nil"/>
            </w:tcBorders>
            <w:shd w:val="clear" w:color="auto" w:fill="auto"/>
            <w:noWrap/>
            <w:vAlign w:val="bottom"/>
            <w:hideMark/>
          </w:tcPr>
          <w:p w14:paraId="0F6EB616" w14:textId="77777777" w:rsidR="0047561E" w:rsidRPr="00872B32" w:rsidRDefault="0047561E" w:rsidP="008C54E8">
            <w:pPr>
              <w:snapToGrid w:val="0"/>
              <w:spacing w:line="360" w:lineRule="auto"/>
              <w:jc w:val="both"/>
              <w:rPr>
                <w:rFonts w:ascii="Book Antiqua" w:eastAsia="Calibri" w:hAnsi="Book Antiqua"/>
                <w:b/>
                <w:color w:val="000000"/>
                <w:lang w:val="it-IT"/>
              </w:rPr>
            </w:pPr>
          </w:p>
        </w:tc>
        <w:tc>
          <w:tcPr>
            <w:tcW w:w="1286" w:type="dxa"/>
            <w:gridSpan w:val="3"/>
            <w:tcBorders>
              <w:top w:val="nil"/>
              <w:left w:val="nil"/>
              <w:bottom w:val="single" w:sz="4" w:space="0" w:color="auto"/>
              <w:right w:val="nil"/>
            </w:tcBorders>
            <w:shd w:val="clear" w:color="auto" w:fill="auto"/>
            <w:noWrap/>
            <w:vAlign w:val="bottom"/>
            <w:hideMark/>
          </w:tcPr>
          <w:p w14:paraId="254C33F3" w14:textId="77777777" w:rsidR="0047561E" w:rsidRPr="00872B32" w:rsidRDefault="0047561E" w:rsidP="008C54E8">
            <w:pPr>
              <w:snapToGrid w:val="0"/>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Women</w:t>
            </w:r>
          </w:p>
        </w:tc>
      </w:tr>
      <w:tr w:rsidR="00C808A0" w:rsidRPr="00872B32" w14:paraId="0410A698" w14:textId="77777777" w:rsidTr="00AC17F2">
        <w:trPr>
          <w:trHeight w:val="300"/>
        </w:trPr>
        <w:tc>
          <w:tcPr>
            <w:tcW w:w="1616" w:type="dxa"/>
            <w:tcBorders>
              <w:top w:val="nil"/>
              <w:left w:val="nil"/>
              <w:bottom w:val="nil"/>
              <w:right w:val="nil"/>
            </w:tcBorders>
            <w:shd w:val="clear" w:color="auto" w:fill="auto"/>
            <w:noWrap/>
            <w:vAlign w:val="bottom"/>
            <w:hideMark/>
          </w:tcPr>
          <w:p w14:paraId="5F655F4A"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4F058BD9"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14:paraId="22D2E83D"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14:paraId="10242EED"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146" w:type="dxa"/>
            <w:tcBorders>
              <w:top w:val="nil"/>
              <w:left w:val="nil"/>
              <w:bottom w:val="nil"/>
              <w:right w:val="nil"/>
            </w:tcBorders>
            <w:shd w:val="clear" w:color="auto" w:fill="auto"/>
            <w:noWrap/>
            <w:vAlign w:val="bottom"/>
            <w:hideMark/>
          </w:tcPr>
          <w:p w14:paraId="5728E781"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57461C8C"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14:paraId="37C21B26"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14:paraId="2C98570C"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160" w:type="dxa"/>
            <w:tcBorders>
              <w:top w:val="nil"/>
              <w:left w:val="nil"/>
              <w:bottom w:val="nil"/>
              <w:right w:val="nil"/>
            </w:tcBorders>
            <w:shd w:val="clear" w:color="auto" w:fill="auto"/>
            <w:noWrap/>
            <w:vAlign w:val="bottom"/>
            <w:hideMark/>
          </w:tcPr>
          <w:p w14:paraId="6B5043D2"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14:paraId="0146AEAD"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14:paraId="0FA7DF2B"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14:paraId="36293091"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146" w:type="dxa"/>
            <w:tcBorders>
              <w:top w:val="nil"/>
              <w:left w:val="nil"/>
              <w:bottom w:val="nil"/>
              <w:right w:val="nil"/>
            </w:tcBorders>
            <w:shd w:val="clear" w:color="auto" w:fill="auto"/>
            <w:noWrap/>
            <w:vAlign w:val="bottom"/>
            <w:hideMark/>
          </w:tcPr>
          <w:p w14:paraId="6538F5A4"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55347755"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14:paraId="58D2E127"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14:paraId="2D1476E0"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146" w:type="dxa"/>
            <w:tcBorders>
              <w:top w:val="nil"/>
              <w:left w:val="nil"/>
              <w:bottom w:val="nil"/>
              <w:right w:val="nil"/>
            </w:tcBorders>
            <w:shd w:val="clear" w:color="auto" w:fill="auto"/>
            <w:noWrap/>
            <w:vAlign w:val="bottom"/>
            <w:hideMark/>
          </w:tcPr>
          <w:p w14:paraId="052143D3"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68339DF6"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14:paraId="1F3FDBEF"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14:paraId="6FE51313"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146" w:type="dxa"/>
            <w:tcBorders>
              <w:top w:val="nil"/>
              <w:left w:val="nil"/>
              <w:bottom w:val="nil"/>
              <w:right w:val="nil"/>
            </w:tcBorders>
            <w:shd w:val="clear" w:color="auto" w:fill="auto"/>
            <w:noWrap/>
            <w:vAlign w:val="bottom"/>
            <w:hideMark/>
          </w:tcPr>
          <w:p w14:paraId="4219A308"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6C904FBB"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14:paraId="774FB35D"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14:paraId="47A0EF7F" w14:textId="77777777" w:rsidR="0047561E" w:rsidRPr="00872B32" w:rsidRDefault="0047561E" w:rsidP="008C54E8">
            <w:pPr>
              <w:snapToGrid w:val="0"/>
              <w:spacing w:line="360" w:lineRule="auto"/>
              <w:jc w:val="both"/>
              <w:rPr>
                <w:rFonts w:ascii="Book Antiqua" w:eastAsia="Calibri" w:hAnsi="Book Antiqua"/>
                <w:color w:val="000000"/>
                <w:lang w:val="it-IT"/>
              </w:rPr>
            </w:pPr>
          </w:p>
        </w:tc>
      </w:tr>
      <w:tr w:rsidR="00C808A0" w:rsidRPr="00872B32" w14:paraId="1B7E7BE3" w14:textId="77777777" w:rsidTr="00AC17F2">
        <w:trPr>
          <w:trHeight w:val="300"/>
        </w:trPr>
        <w:tc>
          <w:tcPr>
            <w:tcW w:w="1616" w:type="dxa"/>
            <w:tcBorders>
              <w:top w:val="nil"/>
              <w:left w:val="nil"/>
              <w:bottom w:val="nil"/>
              <w:right w:val="nil"/>
            </w:tcBorders>
            <w:shd w:val="clear" w:color="auto" w:fill="auto"/>
            <w:noWrap/>
            <w:vAlign w:val="bottom"/>
            <w:hideMark/>
          </w:tcPr>
          <w:p w14:paraId="0DD3C55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CD3</w:t>
            </w:r>
          </w:p>
        </w:tc>
        <w:tc>
          <w:tcPr>
            <w:tcW w:w="574" w:type="dxa"/>
            <w:tcBorders>
              <w:top w:val="nil"/>
              <w:left w:val="nil"/>
              <w:bottom w:val="nil"/>
              <w:right w:val="nil"/>
            </w:tcBorders>
            <w:shd w:val="clear" w:color="auto" w:fill="auto"/>
            <w:noWrap/>
            <w:vAlign w:val="bottom"/>
            <w:hideMark/>
          </w:tcPr>
          <w:p w14:paraId="1045CC2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59.8</w:t>
            </w:r>
          </w:p>
        </w:tc>
        <w:tc>
          <w:tcPr>
            <w:tcW w:w="272" w:type="dxa"/>
            <w:tcBorders>
              <w:top w:val="nil"/>
              <w:left w:val="nil"/>
              <w:bottom w:val="nil"/>
              <w:right w:val="nil"/>
            </w:tcBorders>
            <w:shd w:val="clear" w:color="auto" w:fill="auto"/>
            <w:noWrap/>
            <w:vAlign w:val="bottom"/>
            <w:hideMark/>
          </w:tcPr>
          <w:p w14:paraId="60B5ED8D"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3E671DF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14:paraId="14F4EA6B"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12D1B70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60.9</w:t>
            </w:r>
          </w:p>
        </w:tc>
        <w:tc>
          <w:tcPr>
            <w:tcW w:w="272" w:type="dxa"/>
            <w:tcBorders>
              <w:top w:val="nil"/>
              <w:left w:val="nil"/>
              <w:bottom w:val="nil"/>
              <w:right w:val="nil"/>
            </w:tcBorders>
            <w:shd w:val="clear" w:color="auto" w:fill="auto"/>
            <w:noWrap/>
            <w:vAlign w:val="bottom"/>
            <w:hideMark/>
          </w:tcPr>
          <w:p w14:paraId="12667AA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007D2C7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14:paraId="5D1FC777"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14:paraId="2734123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58.3</w:t>
            </w:r>
          </w:p>
        </w:tc>
        <w:tc>
          <w:tcPr>
            <w:tcW w:w="272" w:type="dxa"/>
            <w:tcBorders>
              <w:top w:val="nil"/>
              <w:left w:val="nil"/>
              <w:bottom w:val="nil"/>
              <w:right w:val="nil"/>
            </w:tcBorders>
            <w:shd w:val="clear" w:color="auto" w:fill="auto"/>
            <w:noWrap/>
            <w:vAlign w:val="bottom"/>
            <w:hideMark/>
          </w:tcPr>
          <w:p w14:paraId="13AAF80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0FA2C0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w:t>
            </w:r>
          </w:p>
        </w:tc>
        <w:tc>
          <w:tcPr>
            <w:tcW w:w="146" w:type="dxa"/>
            <w:tcBorders>
              <w:top w:val="nil"/>
              <w:left w:val="nil"/>
              <w:bottom w:val="nil"/>
              <w:right w:val="nil"/>
            </w:tcBorders>
            <w:shd w:val="clear" w:color="auto" w:fill="auto"/>
            <w:noWrap/>
            <w:vAlign w:val="bottom"/>
            <w:hideMark/>
          </w:tcPr>
          <w:p w14:paraId="38775884"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558B893B"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49.0</w:t>
            </w:r>
          </w:p>
        </w:tc>
        <w:tc>
          <w:tcPr>
            <w:tcW w:w="272" w:type="dxa"/>
            <w:tcBorders>
              <w:top w:val="nil"/>
              <w:left w:val="nil"/>
              <w:bottom w:val="nil"/>
              <w:right w:val="nil"/>
            </w:tcBorders>
            <w:shd w:val="clear" w:color="auto" w:fill="auto"/>
            <w:noWrap/>
            <w:vAlign w:val="bottom"/>
            <w:hideMark/>
          </w:tcPr>
          <w:p w14:paraId="651C8EFF"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13A6C26D"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w:t>
            </w:r>
          </w:p>
        </w:tc>
        <w:tc>
          <w:tcPr>
            <w:tcW w:w="146" w:type="dxa"/>
            <w:tcBorders>
              <w:top w:val="nil"/>
              <w:left w:val="nil"/>
              <w:bottom w:val="nil"/>
              <w:right w:val="nil"/>
            </w:tcBorders>
            <w:shd w:val="clear" w:color="auto" w:fill="auto"/>
            <w:noWrap/>
            <w:vAlign w:val="bottom"/>
            <w:hideMark/>
          </w:tcPr>
          <w:p w14:paraId="7F7D97C0"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10339DE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46.7</w:t>
            </w:r>
          </w:p>
        </w:tc>
        <w:tc>
          <w:tcPr>
            <w:tcW w:w="272" w:type="dxa"/>
            <w:tcBorders>
              <w:top w:val="nil"/>
              <w:left w:val="nil"/>
              <w:bottom w:val="nil"/>
              <w:right w:val="nil"/>
            </w:tcBorders>
            <w:shd w:val="clear" w:color="auto" w:fill="auto"/>
            <w:noWrap/>
            <w:vAlign w:val="bottom"/>
            <w:hideMark/>
          </w:tcPr>
          <w:p w14:paraId="273CA7C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5CFCDAAD"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2.8</w:t>
            </w:r>
          </w:p>
        </w:tc>
        <w:tc>
          <w:tcPr>
            <w:tcW w:w="146" w:type="dxa"/>
            <w:tcBorders>
              <w:top w:val="nil"/>
              <w:left w:val="nil"/>
              <w:bottom w:val="nil"/>
              <w:right w:val="nil"/>
            </w:tcBorders>
            <w:shd w:val="clear" w:color="auto" w:fill="auto"/>
            <w:noWrap/>
            <w:vAlign w:val="bottom"/>
            <w:hideMark/>
          </w:tcPr>
          <w:p w14:paraId="6B5DFBD5"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0F93042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52.4</w:t>
            </w:r>
          </w:p>
        </w:tc>
        <w:tc>
          <w:tcPr>
            <w:tcW w:w="272" w:type="dxa"/>
            <w:tcBorders>
              <w:top w:val="nil"/>
              <w:left w:val="nil"/>
              <w:bottom w:val="nil"/>
              <w:right w:val="nil"/>
            </w:tcBorders>
            <w:shd w:val="clear" w:color="auto" w:fill="auto"/>
            <w:noWrap/>
            <w:vAlign w:val="bottom"/>
            <w:hideMark/>
          </w:tcPr>
          <w:p w14:paraId="16141E7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1CE1BF8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4.0</w:t>
            </w:r>
          </w:p>
        </w:tc>
      </w:tr>
      <w:tr w:rsidR="00C808A0" w:rsidRPr="00872B32" w14:paraId="4A4EB4A4" w14:textId="77777777" w:rsidTr="00AC17F2">
        <w:trPr>
          <w:trHeight w:val="300"/>
        </w:trPr>
        <w:tc>
          <w:tcPr>
            <w:tcW w:w="1616" w:type="dxa"/>
            <w:tcBorders>
              <w:top w:val="nil"/>
              <w:left w:val="nil"/>
              <w:bottom w:val="nil"/>
              <w:right w:val="nil"/>
            </w:tcBorders>
            <w:shd w:val="clear" w:color="auto" w:fill="auto"/>
            <w:noWrap/>
            <w:vAlign w:val="bottom"/>
            <w:hideMark/>
          </w:tcPr>
          <w:p w14:paraId="5E636A0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CD8</w:t>
            </w:r>
          </w:p>
        </w:tc>
        <w:tc>
          <w:tcPr>
            <w:tcW w:w="574" w:type="dxa"/>
            <w:tcBorders>
              <w:top w:val="nil"/>
              <w:left w:val="nil"/>
              <w:bottom w:val="nil"/>
              <w:right w:val="nil"/>
            </w:tcBorders>
            <w:shd w:val="clear" w:color="auto" w:fill="auto"/>
            <w:noWrap/>
            <w:vAlign w:val="bottom"/>
            <w:hideMark/>
          </w:tcPr>
          <w:p w14:paraId="26E6D7E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25.3</w:t>
            </w:r>
          </w:p>
        </w:tc>
        <w:tc>
          <w:tcPr>
            <w:tcW w:w="272" w:type="dxa"/>
            <w:tcBorders>
              <w:top w:val="nil"/>
              <w:left w:val="nil"/>
              <w:bottom w:val="nil"/>
              <w:right w:val="nil"/>
            </w:tcBorders>
            <w:shd w:val="clear" w:color="auto" w:fill="auto"/>
            <w:noWrap/>
            <w:vAlign w:val="bottom"/>
            <w:hideMark/>
          </w:tcPr>
          <w:p w14:paraId="00F6429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02665EA0"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0.9</w:t>
            </w:r>
          </w:p>
        </w:tc>
        <w:tc>
          <w:tcPr>
            <w:tcW w:w="146" w:type="dxa"/>
            <w:tcBorders>
              <w:top w:val="nil"/>
              <w:left w:val="nil"/>
              <w:bottom w:val="nil"/>
              <w:right w:val="nil"/>
            </w:tcBorders>
            <w:shd w:val="clear" w:color="auto" w:fill="auto"/>
            <w:noWrap/>
            <w:vAlign w:val="bottom"/>
            <w:hideMark/>
          </w:tcPr>
          <w:p w14:paraId="2C48CE95"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002A00C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25.0</w:t>
            </w:r>
          </w:p>
        </w:tc>
        <w:tc>
          <w:tcPr>
            <w:tcW w:w="272" w:type="dxa"/>
            <w:tcBorders>
              <w:top w:val="nil"/>
              <w:left w:val="nil"/>
              <w:bottom w:val="nil"/>
              <w:right w:val="nil"/>
            </w:tcBorders>
            <w:shd w:val="clear" w:color="auto" w:fill="auto"/>
            <w:noWrap/>
            <w:vAlign w:val="bottom"/>
            <w:hideMark/>
          </w:tcPr>
          <w:p w14:paraId="666CD14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7A4B5F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60" w:type="dxa"/>
            <w:tcBorders>
              <w:top w:val="nil"/>
              <w:left w:val="nil"/>
              <w:bottom w:val="nil"/>
              <w:right w:val="nil"/>
            </w:tcBorders>
            <w:shd w:val="clear" w:color="auto" w:fill="auto"/>
            <w:noWrap/>
            <w:vAlign w:val="bottom"/>
            <w:hideMark/>
          </w:tcPr>
          <w:p w14:paraId="04E4D0BF"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14:paraId="5928DBF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26.1</w:t>
            </w:r>
          </w:p>
        </w:tc>
        <w:tc>
          <w:tcPr>
            <w:tcW w:w="272" w:type="dxa"/>
            <w:tcBorders>
              <w:top w:val="nil"/>
              <w:left w:val="nil"/>
              <w:bottom w:val="nil"/>
              <w:right w:val="nil"/>
            </w:tcBorders>
            <w:shd w:val="clear" w:color="auto" w:fill="auto"/>
            <w:noWrap/>
            <w:vAlign w:val="bottom"/>
            <w:hideMark/>
          </w:tcPr>
          <w:p w14:paraId="0F8B95D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900C77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14:paraId="2DF07F43"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7E4F0A2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20.0</w:t>
            </w:r>
          </w:p>
        </w:tc>
        <w:tc>
          <w:tcPr>
            <w:tcW w:w="272" w:type="dxa"/>
            <w:tcBorders>
              <w:top w:val="nil"/>
              <w:left w:val="nil"/>
              <w:bottom w:val="nil"/>
              <w:right w:val="nil"/>
            </w:tcBorders>
            <w:shd w:val="clear" w:color="auto" w:fill="auto"/>
            <w:noWrap/>
            <w:vAlign w:val="bottom"/>
            <w:hideMark/>
          </w:tcPr>
          <w:p w14:paraId="39463C36"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5680B1C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14:paraId="2230975A"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3D2B27CB"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19.2</w:t>
            </w:r>
          </w:p>
        </w:tc>
        <w:tc>
          <w:tcPr>
            <w:tcW w:w="272" w:type="dxa"/>
            <w:tcBorders>
              <w:top w:val="nil"/>
              <w:left w:val="nil"/>
              <w:bottom w:val="nil"/>
              <w:right w:val="nil"/>
            </w:tcBorders>
            <w:shd w:val="clear" w:color="auto" w:fill="auto"/>
            <w:noWrap/>
            <w:vAlign w:val="bottom"/>
            <w:hideMark/>
          </w:tcPr>
          <w:p w14:paraId="3BA2774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2C5D0A7"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w:t>
            </w:r>
          </w:p>
        </w:tc>
        <w:tc>
          <w:tcPr>
            <w:tcW w:w="146" w:type="dxa"/>
            <w:tcBorders>
              <w:top w:val="nil"/>
              <w:left w:val="nil"/>
              <w:bottom w:val="nil"/>
              <w:right w:val="nil"/>
            </w:tcBorders>
            <w:shd w:val="clear" w:color="auto" w:fill="auto"/>
            <w:noWrap/>
            <w:vAlign w:val="bottom"/>
            <w:hideMark/>
          </w:tcPr>
          <w:p w14:paraId="59E280EA"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6178809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21.4</w:t>
            </w:r>
          </w:p>
        </w:tc>
        <w:tc>
          <w:tcPr>
            <w:tcW w:w="272" w:type="dxa"/>
            <w:tcBorders>
              <w:top w:val="nil"/>
              <w:left w:val="nil"/>
              <w:bottom w:val="nil"/>
              <w:right w:val="nil"/>
            </w:tcBorders>
            <w:shd w:val="clear" w:color="auto" w:fill="auto"/>
            <w:noWrap/>
            <w:vAlign w:val="bottom"/>
            <w:hideMark/>
          </w:tcPr>
          <w:p w14:paraId="66E972FF"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4ED9A8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w:t>
            </w:r>
          </w:p>
        </w:tc>
      </w:tr>
      <w:tr w:rsidR="00C808A0" w:rsidRPr="00872B32" w14:paraId="4E9AFE09" w14:textId="77777777" w:rsidTr="00AC17F2">
        <w:trPr>
          <w:trHeight w:val="300"/>
        </w:trPr>
        <w:tc>
          <w:tcPr>
            <w:tcW w:w="1616" w:type="dxa"/>
            <w:tcBorders>
              <w:top w:val="nil"/>
              <w:left w:val="nil"/>
              <w:bottom w:val="nil"/>
              <w:right w:val="nil"/>
            </w:tcBorders>
            <w:shd w:val="clear" w:color="auto" w:fill="auto"/>
            <w:noWrap/>
            <w:vAlign w:val="bottom"/>
            <w:hideMark/>
          </w:tcPr>
          <w:p w14:paraId="4874D1D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CD16</w:t>
            </w:r>
          </w:p>
        </w:tc>
        <w:tc>
          <w:tcPr>
            <w:tcW w:w="574" w:type="dxa"/>
            <w:tcBorders>
              <w:top w:val="nil"/>
              <w:left w:val="nil"/>
              <w:bottom w:val="nil"/>
              <w:right w:val="nil"/>
            </w:tcBorders>
            <w:shd w:val="clear" w:color="auto" w:fill="auto"/>
            <w:noWrap/>
            <w:vAlign w:val="bottom"/>
            <w:hideMark/>
          </w:tcPr>
          <w:p w14:paraId="44A406C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12.5</w:t>
            </w:r>
          </w:p>
        </w:tc>
        <w:tc>
          <w:tcPr>
            <w:tcW w:w="272" w:type="dxa"/>
            <w:tcBorders>
              <w:top w:val="nil"/>
              <w:left w:val="nil"/>
              <w:bottom w:val="nil"/>
              <w:right w:val="nil"/>
            </w:tcBorders>
            <w:shd w:val="clear" w:color="auto" w:fill="auto"/>
            <w:noWrap/>
            <w:vAlign w:val="bottom"/>
            <w:hideMark/>
          </w:tcPr>
          <w:p w14:paraId="63A4743A"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370BCBE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1.1</w:t>
            </w:r>
          </w:p>
        </w:tc>
        <w:tc>
          <w:tcPr>
            <w:tcW w:w="146" w:type="dxa"/>
            <w:tcBorders>
              <w:top w:val="nil"/>
              <w:left w:val="nil"/>
              <w:bottom w:val="nil"/>
              <w:right w:val="nil"/>
            </w:tcBorders>
            <w:shd w:val="clear" w:color="auto" w:fill="auto"/>
            <w:noWrap/>
            <w:vAlign w:val="bottom"/>
            <w:hideMark/>
          </w:tcPr>
          <w:p w14:paraId="5A9A6044"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6F6BFA80"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16.5</w:t>
            </w:r>
          </w:p>
        </w:tc>
        <w:tc>
          <w:tcPr>
            <w:tcW w:w="272" w:type="dxa"/>
            <w:tcBorders>
              <w:top w:val="nil"/>
              <w:left w:val="nil"/>
              <w:bottom w:val="nil"/>
              <w:right w:val="nil"/>
            </w:tcBorders>
            <w:shd w:val="clear" w:color="auto" w:fill="auto"/>
            <w:noWrap/>
            <w:vAlign w:val="bottom"/>
            <w:hideMark/>
          </w:tcPr>
          <w:p w14:paraId="1C75ECA0"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3036DCB"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14:paraId="6598035F"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14:paraId="13C652D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7.7</w:t>
            </w:r>
          </w:p>
        </w:tc>
        <w:tc>
          <w:tcPr>
            <w:tcW w:w="272" w:type="dxa"/>
            <w:tcBorders>
              <w:top w:val="nil"/>
              <w:left w:val="nil"/>
              <w:bottom w:val="nil"/>
              <w:right w:val="nil"/>
            </w:tcBorders>
            <w:shd w:val="clear" w:color="auto" w:fill="auto"/>
            <w:noWrap/>
            <w:vAlign w:val="bottom"/>
            <w:hideMark/>
          </w:tcPr>
          <w:p w14:paraId="3A63E6B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5966BDF"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0.8</w:t>
            </w:r>
          </w:p>
        </w:tc>
        <w:tc>
          <w:tcPr>
            <w:tcW w:w="146" w:type="dxa"/>
            <w:tcBorders>
              <w:top w:val="nil"/>
              <w:left w:val="nil"/>
              <w:bottom w:val="nil"/>
              <w:right w:val="nil"/>
            </w:tcBorders>
            <w:shd w:val="clear" w:color="auto" w:fill="auto"/>
            <w:noWrap/>
            <w:vAlign w:val="bottom"/>
            <w:hideMark/>
          </w:tcPr>
          <w:p w14:paraId="16B513BE"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3BC32FA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15.5</w:t>
            </w:r>
          </w:p>
        </w:tc>
        <w:tc>
          <w:tcPr>
            <w:tcW w:w="272" w:type="dxa"/>
            <w:tcBorders>
              <w:top w:val="nil"/>
              <w:left w:val="nil"/>
              <w:bottom w:val="nil"/>
              <w:right w:val="nil"/>
            </w:tcBorders>
            <w:shd w:val="clear" w:color="auto" w:fill="auto"/>
            <w:noWrap/>
            <w:vAlign w:val="bottom"/>
            <w:hideMark/>
          </w:tcPr>
          <w:p w14:paraId="4A08B68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4B4FE34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14:paraId="52CE6957"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53AC0CF0"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15.4</w:t>
            </w:r>
          </w:p>
        </w:tc>
        <w:tc>
          <w:tcPr>
            <w:tcW w:w="272" w:type="dxa"/>
            <w:tcBorders>
              <w:top w:val="nil"/>
              <w:left w:val="nil"/>
              <w:bottom w:val="nil"/>
              <w:right w:val="nil"/>
            </w:tcBorders>
            <w:shd w:val="clear" w:color="auto" w:fill="auto"/>
            <w:noWrap/>
            <w:vAlign w:val="bottom"/>
            <w:hideMark/>
          </w:tcPr>
          <w:p w14:paraId="0A79475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9B229D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w:t>
            </w:r>
          </w:p>
        </w:tc>
        <w:tc>
          <w:tcPr>
            <w:tcW w:w="146" w:type="dxa"/>
            <w:tcBorders>
              <w:top w:val="nil"/>
              <w:left w:val="nil"/>
              <w:bottom w:val="nil"/>
              <w:right w:val="nil"/>
            </w:tcBorders>
            <w:shd w:val="clear" w:color="auto" w:fill="auto"/>
            <w:noWrap/>
            <w:vAlign w:val="bottom"/>
            <w:hideMark/>
          </w:tcPr>
          <w:p w14:paraId="72FB41FD"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2C1F8BE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14.7</w:t>
            </w:r>
          </w:p>
        </w:tc>
        <w:tc>
          <w:tcPr>
            <w:tcW w:w="272" w:type="dxa"/>
            <w:tcBorders>
              <w:top w:val="nil"/>
              <w:left w:val="nil"/>
              <w:bottom w:val="nil"/>
              <w:right w:val="nil"/>
            </w:tcBorders>
            <w:shd w:val="clear" w:color="auto" w:fill="auto"/>
            <w:noWrap/>
            <w:vAlign w:val="bottom"/>
            <w:hideMark/>
          </w:tcPr>
          <w:p w14:paraId="51472D0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32966485"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w:t>
            </w:r>
          </w:p>
        </w:tc>
      </w:tr>
      <w:tr w:rsidR="00C808A0" w:rsidRPr="00872B32" w14:paraId="4ADC798B" w14:textId="77777777" w:rsidTr="00AC17F2">
        <w:trPr>
          <w:trHeight w:val="300"/>
        </w:trPr>
        <w:tc>
          <w:tcPr>
            <w:tcW w:w="1616" w:type="dxa"/>
            <w:tcBorders>
              <w:top w:val="nil"/>
              <w:left w:val="nil"/>
              <w:bottom w:val="nil"/>
              <w:right w:val="nil"/>
            </w:tcBorders>
            <w:shd w:val="clear" w:color="auto" w:fill="auto"/>
            <w:noWrap/>
            <w:vAlign w:val="bottom"/>
            <w:hideMark/>
          </w:tcPr>
          <w:p w14:paraId="2B10703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CD56</w:t>
            </w:r>
          </w:p>
        </w:tc>
        <w:tc>
          <w:tcPr>
            <w:tcW w:w="574" w:type="dxa"/>
            <w:tcBorders>
              <w:top w:val="nil"/>
              <w:left w:val="nil"/>
              <w:bottom w:val="nil"/>
              <w:right w:val="nil"/>
            </w:tcBorders>
            <w:shd w:val="clear" w:color="auto" w:fill="auto"/>
            <w:noWrap/>
            <w:vAlign w:val="bottom"/>
            <w:hideMark/>
          </w:tcPr>
          <w:p w14:paraId="30ACE83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11.8</w:t>
            </w:r>
          </w:p>
        </w:tc>
        <w:tc>
          <w:tcPr>
            <w:tcW w:w="272" w:type="dxa"/>
            <w:tcBorders>
              <w:top w:val="nil"/>
              <w:left w:val="nil"/>
              <w:bottom w:val="nil"/>
              <w:right w:val="nil"/>
            </w:tcBorders>
            <w:shd w:val="clear" w:color="auto" w:fill="auto"/>
            <w:noWrap/>
            <w:vAlign w:val="bottom"/>
            <w:hideMark/>
          </w:tcPr>
          <w:p w14:paraId="745616D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5B83105"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14:paraId="263D55B9"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1A0E69EF"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14.6</w:t>
            </w:r>
          </w:p>
        </w:tc>
        <w:tc>
          <w:tcPr>
            <w:tcW w:w="272" w:type="dxa"/>
            <w:tcBorders>
              <w:top w:val="nil"/>
              <w:left w:val="nil"/>
              <w:bottom w:val="nil"/>
              <w:right w:val="nil"/>
            </w:tcBorders>
            <w:shd w:val="clear" w:color="auto" w:fill="auto"/>
            <w:noWrap/>
            <w:vAlign w:val="bottom"/>
            <w:hideMark/>
          </w:tcPr>
          <w:p w14:paraId="3602B37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0ACAF0F"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w:t>
            </w:r>
          </w:p>
        </w:tc>
        <w:tc>
          <w:tcPr>
            <w:tcW w:w="160" w:type="dxa"/>
            <w:tcBorders>
              <w:top w:val="nil"/>
              <w:left w:val="nil"/>
              <w:bottom w:val="nil"/>
              <w:right w:val="nil"/>
            </w:tcBorders>
            <w:shd w:val="clear" w:color="auto" w:fill="auto"/>
            <w:noWrap/>
            <w:vAlign w:val="bottom"/>
            <w:hideMark/>
          </w:tcPr>
          <w:p w14:paraId="1BC49477"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14:paraId="5F804DA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8.5</w:t>
            </w:r>
          </w:p>
        </w:tc>
        <w:tc>
          <w:tcPr>
            <w:tcW w:w="272" w:type="dxa"/>
            <w:tcBorders>
              <w:top w:val="nil"/>
              <w:left w:val="nil"/>
              <w:bottom w:val="nil"/>
              <w:right w:val="nil"/>
            </w:tcBorders>
            <w:shd w:val="clear" w:color="auto" w:fill="auto"/>
            <w:noWrap/>
            <w:vAlign w:val="bottom"/>
            <w:hideMark/>
          </w:tcPr>
          <w:p w14:paraId="5830EBB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7D0C890"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0.9</w:t>
            </w:r>
          </w:p>
        </w:tc>
        <w:tc>
          <w:tcPr>
            <w:tcW w:w="146" w:type="dxa"/>
            <w:tcBorders>
              <w:top w:val="nil"/>
              <w:left w:val="nil"/>
              <w:bottom w:val="nil"/>
              <w:right w:val="nil"/>
            </w:tcBorders>
            <w:shd w:val="clear" w:color="auto" w:fill="auto"/>
            <w:noWrap/>
            <w:vAlign w:val="bottom"/>
            <w:hideMark/>
          </w:tcPr>
          <w:p w14:paraId="4FAB35C5"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763AB14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16.4</w:t>
            </w:r>
          </w:p>
        </w:tc>
        <w:tc>
          <w:tcPr>
            <w:tcW w:w="272" w:type="dxa"/>
            <w:tcBorders>
              <w:top w:val="nil"/>
              <w:left w:val="nil"/>
              <w:bottom w:val="nil"/>
              <w:right w:val="nil"/>
            </w:tcBorders>
            <w:shd w:val="clear" w:color="auto" w:fill="auto"/>
            <w:noWrap/>
            <w:vAlign w:val="bottom"/>
            <w:hideMark/>
          </w:tcPr>
          <w:p w14:paraId="44AF4A5B"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13C4580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w:t>
            </w:r>
          </w:p>
        </w:tc>
        <w:tc>
          <w:tcPr>
            <w:tcW w:w="146" w:type="dxa"/>
            <w:tcBorders>
              <w:top w:val="nil"/>
              <w:left w:val="nil"/>
              <w:bottom w:val="nil"/>
              <w:right w:val="nil"/>
            </w:tcBorders>
            <w:shd w:val="clear" w:color="auto" w:fill="auto"/>
            <w:noWrap/>
            <w:vAlign w:val="bottom"/>
            <w:hideMark/>
          </w:tcPr>
          <w:p w14:paraId="6E70FB1F"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7F5ECF8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17.5</w:t>
            </w:r>
          </w:p>
        </w:tc>
        <w:tc>
          <w:tcPr>
            <w:tcW w:w="272" w:type="dxa"/>
            <w:tcBorders>
              <w:top w:val="nil"/>
              <w:left w:val="nil"/>
              <w:bottom w:val="nil"/>
              <w:right w:val="nil"/>
            </w:tcBorders>
            <w:shd w:val="clear" w:color="auto" w:fill="auto"/>
            <w:noWrap/>
            <w:vAlign w:val="bottom"/>
            <w:hideMark/>
          </w:tcPr>
          <w:p w14:paraId="734BF38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43C9CC7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2.0</w:t>
            </w:r>
          </w:p>
        </w:tc>
        <w:tc>
          <w:tcPr>
            <w:tcW w:w="146" w:type="dxa"/>
            <w:tcBorders>
              <w:top w:val="nil"/>
              <w:left w:val="nil"/>
              <w:bottom w:val="nil"/>
              <w:right w:val="nil"/>
            </w:tcBorders>
            <w:shd w:val="clear" w:color="auto" w:fill="auto"/>
            <w:noWrap/>
            <w:vAlign w:val="bottom"/>
            <w:hideMark/>
          </w:tcPr>
          <w:p w14:paraId="2FB5F661"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72B9B875"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14.9</w:t>
            </w:r>
          </w:p>
        </w:tc>
        <w:tc>
          <w:tcPr>
            <w:tcW w:w="272" w:type="dxa"/>
            <w:tcBorders>
              <w:top w:val="nil"/>
              <w:left w:val="nil"/>
              <w:bottom w:val="nil"/>
              <w:right w:val="nil"/>
            </w:tcBorders>
            <w:shd w:val="clear" w:color="auto" w:fill="auto"/>
            <w:noWrap/>
            <w:vAlign w:val="bottom"/>
            <w:hideMark/>
          </w:tcPr>
          <w:p w14:paraId="59E65CCF"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583583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w:t>
            </w:r>
          </w:p>
        </w:tc>
      </w:tr>
      <w:tr w:rsidR="00C808A0" w:rsidRPr="00872B32" w14:paraId="6291A1C8" w14:textId="77777777" w:rsidTr="00AC17F2">
        <w:trPr>
          <w:trHeight w:val="300"/>
        </w:trPr>
        <w:tc>
          <w:tcPr>
            <w:tcW w:w="1616" w:type="dxa"/>
            <w:tcBorders>
              <w:top w:val="nil"/>
              <w:left w:val="nil"/>
              <w:bottom w:val="nil"/>
              <w:right w:val="nil"/>
            </w:tcBorders>
            <w:shd w:val="clear" w:color="auto" w:fill="auto"/>
            <w:noWrap/>
            <w:vAlign w:val="bottom"/>
            <w:hideMark/>
          </w:tcPr>
          <w:p w14:paraId="072FA6A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CD57</w:t>
            </w:r>
          </w:p>
        </w:tc>
        <w:tc>
          <w:tcPr>
            <w:tcW w:w="574" w:type="dxa"/>
            <w:tcBorders>
              <w:top w:val="nil"/>
              <w:left w:val="nil"/>
              <w:bottom w:val="nil"/>
              <w:right w:val="nil"/>
            </w:tcBorders>
            <w:shd w:val="clear" w:color="auto" w:fill="auto"/>
            <w:noWrap/>
            <w:vAlign w:val="bottom"/>
            <w:hideMark/>
          </w:tcPr>
          <w:p w14:paraId="4A18663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23.7</w:t>
            </w:r>
          </w:p>
        </w:tc>
        <w:tc>
          <w:tcPr>
            <w:tcW w:w="272" w:type="dxa"/>
            <w:tcBorders>
              <w:top w:val="nil"/>
              <w:left w:val="nil"/>
              <w:bottom w:val="nil"/>
              <w:right w:val="nil"/>
            </w:tcBorders>
            <w:shd w:val="clear" w:color="auto" w:fill="auto"/>
            <w:noWrap/>
            <w:vAlign w:val="bottom"/>
            <w:hideMark/>
          </w:tcPr>
          <w:p w14:paraId="25167C97"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AB6653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14:paraId="72554624"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4C70D38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25.9</w:t>
            </w:r>
          </w:p>
        </w:tc>
        <w:tc>
          <w:tcPr>
            <w:tcW w:w="272" w:type="dxa"/>
            <w:tcBorders>
              <w:top w:val="nil"/>
              <w:left w:val="nil"/>
              <w:bottom w:val="nil"/>
              <w:right w:val="nil"/>
            </w:tcBorders>
            <w:shd w:val="clear" w:color="auto" w:fill="auto"/>
            <w:noWrap/>
            <w:vAlign w:val="bottom"/>
            <w:hideMark/>
          </w:tcPr>
          <w:p w14:paraId="1F6EE29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BF795D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14:paraId="643B6065"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14:paraId="54EDEB1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21.5</w:t>
            </w:r>
          </w:p>
        </w:tc>
        <w:tc>
          <w:tcPr>
            <w:tcW w:w="272" w:type="dxa"/>
            <w:tcBorders>
              <w:top w:val="nil"/>
              <w:left w:val="nil"/>
              <w:bottom w:val="nil"/>
              <w:right w:val="nil"/>
            </w:tcBorders>
            <w:shd w:val="clear" w:color="auto" w:fill="auto"/>
            <w:noWrap/>
            <w:vAlign w:val="bottom"/>
            <w:hideMark/>
          </w:tcPr>
          <w:p w14:paraId="465FC5FD"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633B5A7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14:paraId="77099197"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45234750"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23.7</w:t>
            </w:r>
          </w:p>
        </w:tc>
        <w:tc>
          <w:tcPr>
            <w:tcW w:w="272" w:type="dxa"/>
            <w:tcBorders>
              <w:top w:val="nil"/>
              <w:left w:val="nil"/>
              <w:bottom w:val="nil"/>
              <w:right w:val="nil"/>
            </w:tcBorders>
            <w:shd w:val="clear" w:color="auto" w:fill="auto"/>
            <w:noWrap/>
            <w:vAlign w:val="bottom"/>
            <w:hideMark/>
          </w:tcPr>
          <w:p w14:paraId="7573B2D5"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72A08F5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46" w:type="dxa"/>
            <w:tcBorders>
              <w:top w:val="nil"/>
              <w:left w:val="nil"/>
              <w:bottom w:val="nil"/>
              <w:right w:val="nil"/>
            </w:tcBorders>
            <w:shd w:val="clear" w:color="auto" w:fill="auto"/>
            <w:noWrap/>
            <w:vAlign w:val="bottom"/>
            <w:hideMark/>
          </w:tcPr>
          <w:p w14:paraId="14A8B18A"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26AFAB0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22.3</w:t>
            </w:r>
          </w:p>
        </w:tc>
        <w:tc>
          <w:tcPr>
            <w:tcW w:w="272" w:type="dxa"/>
            <w:tcBorders>
              <w:top w:val="nil"/>
              <w:left w:val="nil"/>
              <w:bottom w:val="nil"/>
              <w:right w:val="nil"/>
            </w:tcBorders>
            <w:shd w:val="clear" w:color="auto" w:fill="auto"/>
            <w:noWrap/>
            <w:vAlign w:val="bottom"/>
            <w:hideMark/>
          </w:tcPr>
          <w:p w14:paraId="3C406E8D"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0EDDF69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46" w:type="dxa"/>
            <w:tcBorders>
              <w:top w:val="nil"/>
              <w:left w:val="nil"/>
              <w:bottom w:val="nil"/>
              <w:right w:val="nil"/>
            </w:tcBorders>
            <w:shd w:val="clear" w:color="auto" w:fill="auto"/>
            <w:noWrap/>
            <w:vAlign w:val="bottom"/>
            <w:hideMark/>
          </w:tcPr>
          <w:p w14:paraId="744A7AE9"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14:paraId="685A3E5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26.2</w:t>
            </w:r>
          </w:p>
        </w:tc>
        <w:tc>
          <w:tcPr>
            <w:tcW w:w="272" w:type="dxa"/>
            <w:tcBorders>
              <w:top w:val="nil"/>
              <w:left w:val="nil"/>
              <w:bottom w:val="nil"/>
              <w:right w:val="nil"/>
            </w:tcBorders>
            <w:shd w:val="clear" w:color="auto" w:fill="auto"/>
            <w:noWrap/>
            <w:vAlign w:val="bottom"/>
            <w:hideMark/>
          </w:tcPr>
          <w:p w14:paraId="69169FFD"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14:paraId="2404ADF0"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4.0</w:t>
            </w:r>
          </w:p>
        </w:tc>
      </w:tr>
      <w:tr w:rsidR="00C808A0" w:rsidRPr="00872B32" w14:paraId="6094A787" w14:textId="77777777" w:rsidTr="00AC17F2">
        <w:trPr>
          <w:trHeight w:val="300"/>
        </w:trPr>
        <w:tc>
          <w:tcPr>
            <w:tcW w:w="1616" w:type="dxa"/>
            <w:tcBorders>
              <w:top w:val="nil"/>
              <w:left w:val="nil"/>
              <w:right w:val="nil"/>
            </w:tcBorders>
            <w:shd w:val="clear" w:color="auto" w:fill="auto"/>
            <w:noWrap/>
            <w:vAlign w:val="bottom"/>
            <w:hideMark/>
          </w:tcPr>
          <w:p w14:paraId="07F86E7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CD3</w:t>
            </w:r>
            <w:r w:rsidRPr="008C54E8">
              <w:rPr>
                <w:rFonts w:ascii="Symbol" w:eastAsia="Calibri" w:hAnsi="Symbol"/>
                <w:color w:val="000000"/>
                <w:vertAlign w:val="superscript"/>
                <w:lang w:val="it-IT"/>
              </w:rPr>
              <w:t></w:t>
            </w:r>
            <w:r w:rsidRPr="00872B32">
              <w:rPr>
                <w:rFonts w:ascii="Book Antiqua" w:eastAsia="Calibri" w:hAnsi="Book Antiqua"/>
                <w:color w:val="000000"/>
                <w:lang w:val="it-IT"/>
              </w:rPr>
              <w:t>CD56</w:t>
            </w:r>
            <w:r w:rsidRPr="008C54E8">
              <w:rPr>
                <w:rFonts w:ascii="Symbol" w:eastAsia="Calibri" w:hAnsi="Symbol"/>
                <w:color w:val="000000"/>
                <w:vertAlign w:val="superscript"/>
                <w:lang w:val="it-IT"/>
              </w:rPr>
              <w:t></w:t>
            </w:r>
          </w:p>
        </w:tc>
        <w:tc>
          <w:tcPr>
            <w:tcW w:w="574" w:type="dxa"/>
            <w:tcBorders>
              <w:top w:val="nil"/>
              <w:left w:val="nil"/>
              <w:right w:val="nil"/>
            </w:tcBorders>
            <w:shd w:val="clear" w:color="auto" w:fill="auto"/>
            <w:noWrap/>
            <w:vAlign w:val="bottom"/>
            <w:hideMark/>
          </w:tcPr>
          <w:p w14:paraId="60B1B765"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14:paraId="1CD58F6F"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47EC64D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0.1</w:t>
            </w:r>
          </w:p>
        </w:tc>
        <w:tc>
          <w:tcPr>
            <w:tcW w:w="146" w:type="dxa"/>
            <w:tcBorders>
              <w:top w:val="nil"/>
              <w:left w:val="nil"/>
              <w:right w:val="nil"/>
            </w:tcBorders>
            <w:shd w:val="clear" w:color="auto" w:fill="auto"/>
            <w:noWrap/>
            <w:vAlign w:val="bottom"/>
            <w:hideMark/>
          </w:tcPr>
          <w:p w14:paraId="52E4C1C7"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right w:val="nil"/>
            </w:tcBorders>
            <w:shd w:val="clear" w:color="auto" w:fill="auto"/>
            <w:noWrap/>
            <w:vAlign w:val="bottom"/>
            <w:hideMark/>
          </w:tcPr>
          <w:p w14:paraId="2CEAC1F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14:paraId="451EFB70"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50A0DD1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0.1</w:t>
            </w:r>
          </w:p>
        </w:tc>
        <w:tc>
          <w:tcPr>
            <w:tcW w:w="160" w:type="dxa"/>
            <w:tcBorders>
              <w:top w:val="nil"/>
              <w:left w:val="nil"/>
              <w:right w:val="nil"/>
            </w:tcBorders>
            <w:shd w:val="clear" w:color="auto" w:fill="auto"/>
            <w:noWrap/>
            <w:vAlign w:val="bottom"/>
            <w:hideMark/>
          </w:tcPr>
          <w:p w14:paraId="464DA5CC"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60" w:type="dxa"/>
            <w:tcBorders>
              <w:top w:val="nil"/>
              <w:left w:val="nil"/>
              <w:right w:val="nil"/>
            </w:tcBorders>
            <w:shd w:val="clear" w:color="auto" w:fill="auto"/>
            <w:noWrap/>
            <w:vAlign w:val="bottom"/>
            <w:hideMark/>
          </w:tcPr>
          <w:p w14:paraId="2BDE6E09"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14:paraId="0F300A77"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410E3DBD"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0.1</w:t>
            </w:r>
          </w:p>
        </w:tc>
        <w:tc>
          <w:tcPr>
            <w:tcW w:w="146" w:type="dxa"/>
            <w:tcBorders>
              <w:top w:val="nil"/>
              <w:left w:val="nil"/>
              <w:right w:val="nil"/>
            </w:tcBorders>
            <w:shd w:val="clear" w:color="auto" w:fill="auto"/>
            <w:noWrap/>
            <w:vAlign w:val="bottom"/>
            <w:hideMark/>
          </w:tcPr>
          <w:p w14:paraId="5A635293"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right w:val="nil"/>
            </w:tcBorders>
            <w:shd w:val="clear" w:color="auto" w:fill="auto"/>
            <w:noWrap/>
            <w:vAlign w:val="bottom"/>
            <w:hideMark/>
          </w:tcPr>
          <w:p w14:paraId="2F63C63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12.7</w:t>
            </w:r>
          </w:p>
        </w:tc>
        <w:tc>
          <w:tcPr>
            <w:tcW w:w="272" w:type="dxa"/>
            <w:tcBorders>
              <w:top w:val="nil"/>
              <w:left w:val="nil"/>
              <w:right w:val="nil"/>
            </w:tcBorders>
            <w:shd w:val="clear" w:color="auto" w:fill="auto"/>
            <w:noWrap/>
            <w:vAlign w:val="bottom"/>
            <w:hideMark/>
          </w:tcPr>
          <w:p w14:paraId="21B80CA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2CC9AF3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3.2</w:t>
            </w:r>
          </w:p>
        </w:tc>
        <w:tc>
          <w:tcPr>
            <w:tcW w:w="146" w:type="dxa"/>
            <w:tcBorders>
              <w:top w:val="nil"/>
              <w:left w:val="nil"/>
              <w:right w:val="nil"/>
            </w:tcBorders>
            <w:shd w:val="clear" w:color="auto" w:fill="auto"/>
            <w:noWrap/>
            <w:vAlign w:val="bottom"/>
            <w:hideMark/>
          </w:tcPr>
          <w:p w14:paraId="5052CCCE"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right w:val="nil"/>
            </w:tcBorders>
            <w:shd w:val="clear" w:color="auto" w:fill="auto"/>
            <w:noWrap/>
            <w:vAlign w:val="bottom"/>
            <w:hideMark/>
          </w:tcPr>
          <w:p w14:paraId="1387EB2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18.0</w:t>
            </w:r>
          </w:p>
        </w:tc>
        <w:tc>
          <w:tcPr>
            <w:tcW w:w="272" w:type="dxa"/>
            <w:tcBorders>
              <w:top w:val="nil"/>
              <w:left w:val="nil"/>
              <w:right w:val="nil"/>
            </w:tcBorders>
            <w:shd w:val="clear" w:color="auto" w:fill="auto"/>
            <w:noWrap/>
            <w:vAlign w:val="bottom"/>
            <w:hideMark/>
          </w:tcPr>
          <w:p w14:paraId="60551BB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3C1558E8"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5.5</w:t>
            </w:r>
          </w:p>
        </w:tc>
        <w:tc>
          <w:tcPr>
            <w:tcW w:w="146" w:type="dxa"/>
            <w:tcBorders>
              <w:top w:val="nil"/>
              <w:left w:val="nil"/>
              <w:right w:val="nil"/>
            </w:tcBorders>
            <w:shd w:val="clear" w:color="auto" w:fill="auto"/>
            <w:noWrap/>
            <w:vAlign w:val="bottom"/>
            <w:hideMark/>
          </w:tcPr>
          <w:p w14:paraId="1A0087D0"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right w:val="nil"/>
            </w:tcBorders>
            <w:shd w:val="clear" w:color="auto" w:fill="auto"/>
            <w:noWrap/>
            <w:vAlign w:val="bottom"/>
            <w:hideMark/>
          </w:tcPr>
          <w:p w14:paraId="2166EDA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7.3</w:t>
            </w:r>
          </w:p>
        </w:tc>
        <w:tc>
          <w:tcPr>
            <w:tcW w:w="272" w:type="dxa"/>
            <w:tcBorders>
              <w:top w:val="nil"/>
              <w:left w:val="nil"/>
              <w:right w:val="nil"/>
            </w:tcBorders>
            <w:shd w:val="clear" w:color="auto" w:fill="auto"/>
            <w:noWrap/>
            <w:vAlign w:val="bottom"/>
            <w:hideMark/>
          </w:tcPr>
          <w:p w14:paraId="04B74D1A"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14:paraId="07158B7B"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2.1</w:t>
            </w:r>
          </w:p>
        </w:tc>
      </w:tr>
      <w:tr w:rsidR="00C808A0" w:rsidRPr="00872B32" w14:paraId="5D4D0CFD" w14:textId="77777777" w:rsidTr="00AC17F2">
        <w:trPr>
          <w:trHeight w:val="300"/>
        </w:trPr>
        <w:tc>
          <w:tcPr>
            <w:tcW w:w="1616" w:type="dxa"/>
            <w:tcBorders>
              <w:top w:val="nil"/>
              <w:left w:val="nil"/>
              <w:bottom w:val="single" w:sz="4" w:space="0" w:color="auto"/>
              <w:right w:val="nil"/>
            </w:tcBorders>
            <w:shd w:val="clear" w:color="auto" w:fill="auto"/>
            <w:noWrap/>
            <w:vAlign w:val="bottom"/>
            <w:hideMark/>
          </w:tcPr>
          <w:p w14:paraId="41EBC89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CD8</w:t>
            </w:r>
            <w:r w:rsidRPr="008C54E8">
              <w:rPr>
                <w:rFonts w:ascii="Symbol" w:eastAsia="Calibri" w:hAnsi="Symbol"/>
                <w:color w:val="000000"/>
                <w:vertAlign w:val="superscript"/>
                <w:lang w:val="it-IT"/>
              </w:rPr>
              <w:t></w:t>
            </w:r>
            <w:r w:rsidRPr="00872B32">
              <w:rPr>
                <w:rFonts w:ascii="Book Antiqua" w:eastAsia="Calibri" w:hAnsi="Book Antiqua"/>
                <w:color w:val="000000"/>
                <w:lang w:val="it-IT"/>
              </w:rPr>
              <w:t>CD57</w:t>
            </w:r>
            <w:r w:rsidRPr="008C54E8">
              <w:rPr>
                <w:rFonts w:ascii="Symbol" w:eastAsia="Calibri" w:hAnsi="Symbol"/>
                <w:color w:val="000000"/>
                <w:vertAlign w:val="superscript"/>
                <w:lang w:val="it-IT"/>
              </w:rPr>
              <w:t></w:t>
            </w:r>
          </w:p>
        </w:tc>
        <w:tc>
          <w:tcPr>
            <w:tcW w:w="574" w:type="dxa"/>
            <w:tcBorders>
              <w:top w:val="nil"/>
              <w:left w:val="nil"/>
              <w:bottom w:val="single" w:sz="4" w:space="0" w:color="auto"/>
              <w:right w:val="nil"/>
            </w:tcBorders>
            <w:shd w:val="clear" w:color="auto" w:fill="auto"/>
            <w:noWrap/>
            <w:vAlign w:val="bottom"/>
            <w:hideMark/>
          </w:tcPr>
          <w:p w14:paraId="0D7A83C6"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11.4</w:t>
            </w:r>
          </w:p>
        </w:tc>
        <w:tc>
          <w:tcPr>
            <w:tcW w:w="272" w:type="dxa"/>
            <w:tcBorders>
              <w:top w:val="nil"/>
              <w:left w:val="nil"/>
              <w:bottom w:val="single" w:sz="4" w:space="0" w:color="auto"/>
              <w:right w:val="nil"/>
            </w:tcBorders>
            <w:shd w:val="clear" w:color="auto" w:fill="auto"/>
            <w:noWrap/>
            <w:vAlign w:val="bottom"/>
            <w:hideMark/>
          </w:tcPr>
          <w:p w14:paraId="301E0AA3"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0B8AE28A"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w:t>
            </w:r>
          </w:p>
        </w:tc>
        <w:tc>
          <w:tcPr>
            <w:tcW w:w="146" w:type="dxa"/>
            <w:tcBorders>
              <w:top w:val="nil"/>
              <w:left w:val="nil"/>
              <w:bottom w:val="single" w:sz="4" w:space="0" w:color="auto"/>
              <w:right w:val="nil"/>
            </w:tcBorders>
            <w:shd w:val="clear" w:color="auto" w:fill="auto"/>
            <w:noWrap/>
            <w:vAlign w:val="bottom"/>
            <w:hideMark/>
          </w:tcPr>
          <w:p w14:paraId="6A217B02"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single" w:sz="4" w:space="0" w:color="auto"/>
              <w:right w:val="nil"/>
            </w:tcBorders>
            <w:shd w:val="clear" w:color="auto" w:fill="auto"/>
            <w:noWrap/>
            <w:vAlign w:val="bottom"/>
            <w:hideMark/>
          </w:tcPr>
          <w:p w14:paraId="2178E261"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12.4</w:t>
            </w:r>
          </w:p>
        </w:tc>
        <w:tc>
          <w:tcPr>
            <w:tcW w:w="272" w:type="dxa"/>
            <w:tcBorders>
              <w:top w:val="nil"/>
              <w:left w:val="nil"/>
              <w:bottom w:val="single" w:sz="4" w:space="0" w:color="auto"/>
              <w:right w:val="nil"/>
            </w:tcBorders>
            <w:shd w:val="clear" w:color="auto" w:fill="auto"/>
            <w:noWrap/>
            <w:vAlign w:val="bottom"/>
            <w:hideMark/>
          </w:tcPr>
          <w:p w14:paraId="3591773C"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28980407"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2.0</w:t>
            </w:r>
          </w:p>
        </w:tc>
        <w:tc>
          <w:tcPr>
            <w:tcW w:w="160" w:type="dxa"/>
            <w:tcBorders>
              <w:top w:val="nil"/>
              <w:left w:val="nil"/>
              <w:bottom w:val="single" w:sz="4" w:space="0" w:color="auto"/>
              <w:right w:val="nil"/>
            </w:tcBorders>
            <w:shd w:val="clear" w:color="auto" w:fill="auto"/>
            <w:noWrap/>
            <w:vAlign w:val="bottom"/>
            <w:hideMark/>
          </w:tcPr>
          <w:p w14:paraId="6ADF421A"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60" w:type="dxa"/>
            <w:tcBorders>
              <w:top w:val="nil"/>
              <w:left w:val="nil"/>
              <w:bottom w:val="single" w:sz="4" w:space="0" w:color="auto"/>
              <w:right w:val="nil"/>
            </w:tcBorders>
            <w:shd w:val="clear" w:color="auto" w:fill="auto"/>
            <w:noWrap/>
            <w:vAlign w:val="bottom"/>
            <w:hideMark/>
          </w:tcPr>
          <w:p w14:paraId="11F7DD2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8.4</w:t>
            </w:r>
          </w:p>
        </w:tc>
        <w:tc>
          <w:tcPr>
            <w:tcW w:w="272" w:type="dxa"/>
            <w:tcBorders>
              <w:top w:val="nil"/>
              <w:left w:val="nil"/>
              <w:bottom w:val="single" w:sz="4" w:space="0" w:color="auto"/>
              <w:right w:val="nil"/>
            </w:tcBorders>
            <w:shd w:val="clear" w:color="auto" w:fill="auto"/>
            <w:noWrap/>
            <w:vAlign w:val="bottom"/>
            <w:hideMark/>
          </w:tcPr>
          <w:p w14:paraId="6CECD96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555CCD8F"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2.2</w:t>
            </w:r>
          </w:p>
        </w:tc>
        <w:tc>
          <w:tcPr>
            <w:tcW w:w="146" w:type="dxa"/>
            <w:tcBorders>
              <w:top w:val="nil"/>
              <w:left w:val="nil"/>
              <w:bottom w:val="single" w:sz="4" w:space="0" w:color="auto"/>
              <w:right w:val="nil"/>
            </w:tcBorders>
            <w:shd w:val="clear" w:color="auto" w:fill="auto"/>
            <w:noWrap/>
            <w:vAlign w:val="bottom"/>
            <w:hideMark/>
          </w:tcPr>
          <w:p w14:paraId="6446C715"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single" w:sz="4" w:space="0" w:color="auto"/>
              <w:right w:val="nil"/>
            </w:tcBorders>
            <w:shd w:val="clear" w:color="auto" w:fill="auto"/>
            <w:noWrap/>
            <w:vAlign w:val="bottom"/>
            <w:hideMark/>
          </w:tcPr>
          <w:p w14:paraId="0A504C3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7.2</w:t>
            </w:r>
          </w:p>
        </w:tc>
        <w:tc>
          <w:tcPr>
            <w:tcW w:w="272" w:type="dxa"/>
            <w:tcBorders>
              <w:top w:val="nil"/>
              <w:left w:val="nil"/>
              <w:bottom w:val="single" w:sz="4" w:space="0" w:color="auto"/>
              <w:right w:val="nil"/>
            </w:tcBorders>
            <w:shd w:val="clear" w:color="auto" w:fill="auto"/>
            <w:noWrap/>
            <w:vAlign w:val="bottom"/>
            <w:hideMark/>
          </w:tcPr>
          <w:p w14:paraId="4587CC4B"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05B52095"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3.1</w:t>
            </w:r>
          </w:p>
        </w:tc>
        <w:tc>
          <w:tcPr>
            <w:tcW w:w="146" w:type="dxa"/>
            <w:tcBorders>
              <w:top w:val="nil"/>
              <w:left w:val="nil"/>
              <w:bottom w:val="single" w:sz="4" w:space="0" w:color="auto"/>
              <w:right w:val="nil"/>
            </w:tcBorders>
            <w:shd w:val="clear" w:color="auto" w:fill="auto"/>
            <w:noWrap/>
            <w:vAlign w:val="bottom"/>
            <w:hideMark/>
          </w:tcPr>
          <w:p w14:paraId="10AFA49C"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single" w:sz="4" w:space="0" w:color="auto"/>
              <w:right w:val="nil"/>
            </w:tcBorders>
            <w:shd w:val="clear" w:color="auto" w:fill="auto"/>
            <w:noWrap/>
            <w:vAlign w:val="bottom"/>
            <w:hideMark/>
          </w:tcPr>
          <w:p w14:paraId="3D4ABC27"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15.5</w:t>
            </w:r>
          </w:p>
        </w:tc>
        <w:tc>
          <w:tcPr>
            <w:tcW w:w="272" w:type="dxa"/>
            <w:tcBorders>
              <w:top w:val="nil"/>
              <w:left w:val="nil"/>
              <w:bottom w:val="single" w:sz="4" w:space="0" w:color="auto"/>
              <w:right w:val="nil"/>
            </w:tcBorders>
            <w:shd w:val="clear" w:color="auto" w:fill="auto"/>
            <w:noWrap/>
            <w:vAlign w:val="bottom"/>
            <w:hideMark/>
          </w:tcPr>
          <w:p w14:paraId="772108F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4961118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0.1</w:t>
            </w:r>
          </w:p>
        </w:tc>
        <w:tc>
          <w:tcPr>
            <w:tcW w:w="146" w:type="dxa"/>
            <w:tcBorders>
              <w:top w:val="nil"/>
              <w:left w:val="nil"/>
              <w:bottom w:val="single" w:sz="4" w:space="0" w:color="auto"/>
              <w:right w:val="nil"/>
            </w:tcBorders>
            <w:shd w:val="clear" w:color="auto" w:fill="auto"/>
            <w:noWrap/>
            <w:vAlign w:val="bottom"/>
            <w:hideMark/>
          </w:tcPr>
          <w:p w14:paraId="2BE9DA7C" w14:textId="77777777" w:rsidR="0047561E" w:rsidRPr="00872B32" w:rsidRDefault="0047561E" w:rsidP="008C54E8">
            <w:pPr>
              <w:snapToGrid w:val="0"/>
              <w:spacing w:line="360" w:lineRule="auto"/>
              <w:jc w:val="both"/>
              <w:rPr>
                <w:rFonts w:ascii="Book Antiqua" w:eastAsia="Calibri" w:hAnsi="Book Antiqua"/>
                <w:color w:val="000000"/>
                <w:lang w:val="it-IT"/>
              </w:rPr>
            </w:pPr>
          </w:p>
        </w:tc>
        <w:tc>
          <w:tcPr>
            <w:tcW w:w="574" w:type="dxa"/>
            <w:tcBorders>
              <w:top w:val="nil"/>
              <w:left w:val="nil"/>
              <w:bottom w:val="single" w:sz="4" w:space="0" w:color="auto"/>
              <w:right w:val="nil"/>
            </w:tcBorders>
            <w:shd w:val="clear" w:color="auto" w:fill="auto"/>
            <w:noWrap/>
            <w:vAlign w:val="bottom"/>
            <w:hideMark/>
          </w:tcPr>
          <w:p w14:paraId="456F7F3E"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4.5</w:t>
            </w:r>
          </w:p>
        </w:tc>
        <w:tc>
          <w:tcPr>
            <w:tcW w:w="272" w:type="dxa"/>
            <w:tcBorders>
              <w:top w:val="nil"/>
              <w:left w:val="nil"/>
              <w:bottom w:val="single" w:sz="4" w:space="0" w:color="auto"/>
              <w:right w:val="nil"/>
            </w:tcBorders>
            <w:shd w:val="clear" w:color="auto" w:fill="auto"/>
            <w:noWrap/>
            <w:vAlign w:val="bottom"/>
            <w:hideMark/>
          </w:tcPr>
          <w:p w14:paraId="61715034"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14:paraId="531EBD32" w14:textId="77777777" w:rsidR="0047561E" w:rsidRPr="00872B32" w:rsidRDefault="0047561E" w:rsidP="008C54E8">
            <w:pPr>
              <w:snapToGrid w:val="0"/>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w:t>
            </w:r>
          </w:p>
        </w:tc>
      </w:tr>
    </w:tbl>
    <w:p w14:paraId="6FF84057" w14:textId="77777777" w:rsidR="001A3C92" w:rsidRPr="00BA4E7C" w:rsidRDefault="001A3C92" w:rsidP="008C54E8">
      <w:pPr>
        <w:snapToGrid w:val="0"/>
        <w:spacing w:line="360" w:lineRule="auto"/>
        <w:jc w:val="both"/>
        <w:rPr>
          <w:rFonts w:ascii="Book Antiqua" w:eastAsia="宋体" w:hAnsi="Book Antiqua"/>
          <w:b/>
          <w:color w:val="000000"/>
          <w:lang w:eastAsia="zh-CN"/>
        </w:rPr>
      </w:pPr>
    </w:p>
    <w:sectPr w:rsidR="001A3C92" w:rsidRPr="00BA4E7C" w:rsidSect="008C54E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33933" w14:textId="77777777" w:rsidR="00E40B85" w:rsidRDefault="00E40B85" w:rsidP="000956E5">
      <w:pPr>
        <w:spacing w:line="240" w:lineRule="auto"/>
      </w:pPr>
      <w:r>
        <w:separator/>
      </w:r>
    </w:p>
  </w:endnote>
  <w:endnote w:type="continuationSeparator" w:id="0">
    <w:p w14:paraId="79EA9959" w14:textId="77777777" w:rsidR="00E40B85" w:rsidRDefault="00E40B85" w:rsidP="000956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BoldItalicMT">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AdvP4DF60E">
    <w:altName w:val="MS Gothic"/>
    <w:panose1 w:val="00000000000000000000"/>
    <w:charset w:val="80"/>
    <w:family w:val="auto"/>
    <w:notTrueType/>
    <w:pitch w:val="default"/>
    <w:sig w:usb0="00000000" w:usb1="08070000" w:usb2="00000010" w:usb3="00000000" w:csb0="00020001" w:csb1="00000000"/>
  </w:font>
  <w:font w:name="AdvPTime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435240"/>
      <w:docPartObj>
        <w:docPartGallery w:val="Page Numbers (Bottom of Page)"/>
        <w:docPartUnique/>
      </w:docPartObj>
    </w:sdtPr>
    <w:sdtEndPr>
      <w:rPr>
        <w:noProof/>
      </w:rPr>
    </w:sdtEndPr>
    <w:sdtContent>
      <w:p w14:paraId="38BE9CD2" w14:textId="376E7DB5" w:rsidR="005A7AEF" w:rsidRDefault="005A7AEF">
        <w:pPr>
          <w:pStyle w:val="a4"/>
          <w:jc w:val="center"/>
        </w:pPr>
        <w:r w:rsidRPr="008C54E8">
          <w:rPr>
            <w:rFonts w:ascii="Book Antiqua" w:hAnsi="Book Antiqua"/>
          </w:rPr>
          <w:fldChar w:fldCharType="begin"/>
        </w:r>
        <w:r w:rsidRPr="008C54E8">
          <w:rPr>
            <w:rFonts w:ascii="Book Antiqua" w:hAnsi="Book Antiqua"/>
          </w:rPr>
          <w:instrText xml:space="preserve"> PAGE   \* MERGEFORMAT </w:instrText>
        </w:r>
        <w:r w:rsidRPr="008C54E8">
          <w:rPr>
            <w:rFonts w:ascii="Book Antiqua" w:hAnsi="Book Antiqua"/>
          </w:rPr>
          <w:fldChar w:fldCharType="separate"/>
        </w:r>
        <w:r w:rsidR="00F84683">
          <w:rPr>
            <w:rFonts w:ascii="Book Antiqua" w:hAnsi="Book Antiqua"/>
            <w:noProof/>
          </w:rPr>
          <w:t>4</w:t>
        </w:r>
        <w:r w:rsidRPr="008C54E8">
          <w:rPr>
            <w:rFonts w:ascii="Book Antiqua" w:hAnsi="Book Antiqua"/>
            <w:noProof/>
          </w:rPr>
          <w:fldChar w:fldCharType="end"/>
        </w:r>
      </w:p>
    </w:sdtContent>
  </w:sdt>
  <w:p w14:paraId="36220053" w14:textId="77777777" w:rsidR="005A7AEF" w:rsidRDefault="005A7AE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F28A9" w14:textId="77777777" w:rsidR="00E40B85" w:rsidRDefault="00E40B85" w:rsidP="000956E5">
      <w:pPr>
        <w:spacing w:line="240" w:lineRule="auto"/>
      </w:pPr>
      <w:r>
        <w:separator/>
      </w:r>
    </w:p>
  </w:footnote>
  <w:footnote w:type="continuationSeparator" w:id="0">
    <w:p w14:paraId="0B5E587E" w14:textId="77777777" w:rsidR="00E40B85" w:rsidRDefault="00E40B85" w:rsidP="000956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B7D8E"/>
    <w:multiLevelType w:val="hybridMultilevel"/>
    <w:tmpl w:val="AD46CD3C"/>
    <w:lvl w:ilvl="0" w:tplc="B91606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163116F"/>
    <w:multiLevelType w:val="hybridMultilevel"/>
    <w:tmpl w:val="90DE26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ipodia">
    <w15:presenceInfo w15:providerId="None" w15:userId="Filipodia"/>
  </w15:person>
  <w15:person w15:author="patrizia">
    <w15:presenceInfo w15:providerId="None" w15:userId="patriz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6E5"/>
    <w:rsid w:val="00000012"/>
    <w:rsid w:val="000000DE"/>
    <w:rsid w:val="00002D32"/>
    <w:rsid w:val="000049BB"/>
    <w:rsid w:val="000053A8"/>
    <w:rsid w:val="000107C3"/>
    <w:rsid w:val="0001080E"/>
    <w:rsid w:val="00015F5C"/>
    <w:rsid w:val="000213F0"/>
    <w:rsid w:val="000214BF"/>
    <w:rsid w:val="00023F3C"/>
    <w:rsid w:val="0002479F"/>
    <w:rsid w:val="000263BF"/>
    <w:rsid w:val="00030330"/>
    <w:rsid w:val="00030665"/>
    <w:rsid w:val="00033E1F"/>
    <w:rsid w:val="00035021"/>
    <w:rsid w:val="000362DC"/>
    <w:rsid w:val="000409D0"/>
    <w:rsid w:val="00041AC4"/>
    <w:rsid w:val="00046416"/>
    <w:rsid w:val="000507F8"/>
    <w:rsid w:val="00052F54"/>
    <w:rsid w:val="0005505A"/>
    <w:rsid w:val="00055A1A"/>
    <w:rsid w:val="000616F2"/>
    <w:rsid w:val="000631B3"/>
    <w:rsid w:val="00063409"/>
    <w:rsid w:val="000669E4"/>
    <w:rsid w:val="000672C3"/>
    <w:rsid w:val="0007090C"/>
    <w:rsid w:val="00074F2C"/>
    <w:rsid w:val="00076924"/>
    <w:rsid w:val="00076CB5"/>
    <w:rsid w:val="00077CEF"/>
    <w:rsid w:val="00080793"/>
    <w:rsid w:val="00081BF9"/>
    <w:rsid w:val="00086782"/>
    <w:rsid w:val="000956E5"/>
    <w:rsid w:val="00095BB5"/>
    <w:rsid w:val="000A3437"/>
    <w:rsid w:val="000A36AB"/>
    <w:rsid w:val="000A7335"/>
    <w:rsid w:val="000B3B9B"/>
    <w:rsid w:val="000B447C"/>
    <w:rsid w:val="000B4898"/>
    <w:rsid w:val="000B6DDD"/>
    <w:rsid w:val="000C3172"/>
    <w:rsid w:val="000C6F48"/>
    <w:rsid w:val="000D1022"/>
    <w:rsid w:val="000D1EFC"/>
    <w:rsid w:val="000D40F2"/>
    <w:rsid w:val="000E0080"/>
    <w:rsid w:val="000E1476"/>
    <w:rsid w:val="000E3F27"/>
    <w:rsid w:val="000E4A83"/>
    <w:rsid w:val="000E61F3"/>
    <w:rsid w:val="000F1E59"/>
    <w:rsid w:val="000F4C9D"/>
    <w:rsid w:val="00101144"/>
    <w:rsid w:val="00101E0D"/>
    <w:rsid w:val="00107D5C"/>
    <w:rsid w:val="00110DC3"/>
    <w:rsid w:val="00121D83"/>
    <w:rsid w:val="0012718C"/>
    <w:rsid w:val="00130292"/>
    <w:rsid w:val="00133D29"/>
    <w:rsid w:val="00137C74"/>
    <w:rsid w:val="0014222E"/>
    <w:rsid w:val="00150553"/>
    <w:rsid w:val="001538F5"/>
    <w:rsid w:val="00155FD2"/>
    <w:rsid w:val="00157F2D"/>
    <w:rsid w:val="00162278"/>
    <w:rsid w:val="00165A54"/>
    <w:rsid w:val="00167B17"/>
    <w:rsid w:val="00176889"/>
    <w:rsid w:val="00180B7F"/>
    <w:rsid w:val="001852D4"/>
    <w:rsid w:val="001867FD"/>
    <w:rsid w:val="00187F3C"/>
    <w:rsid w:val="001A132E"/>
    <w:rsid w:val="001A2EA0"/>
    <w:rsid w:val="001A3C92"/>
    <w:rsid w:val="001B02D1"/>
    <w:rsid w:val="001B5EBE"/>
    <w:rsid w:val="001C029D"/>
    <w:rsid w:val="001C1C21"/>
    <w:rsid w:val="001C2139"/>
    <w:rsid w:val="001C33B1"/>
    <w:rsid w:val="001C482F"/>
    <w:rsid w:val="001D0A2A"/>
    <w:rsid w:val="001D3822"/>
    <w:rsid w:val="001D4DAD"/>
    <w:rsid w:val="001E3C4E"/>
    <w:rsid w:val="001E3FE1"/>
    <w:rsid w:val="001E498B"/>
    <w:rsid w:val="001F32F1"/>
    <w:rsid w:val="001F4124"/>
    <w:rsid w:val="001F5453"/>
    <w:rsid w:val="001F5773"/>
    <w:rsid w:val="001F73D8"/>
    <w:rsid w:val="00200BC1"/>
    <w:rsid w:val="00202D07"/>
    <w:rsid w:val="0020697C"/>
    <w:rsid w:val="0021487F"/>
    <w:rsid w:val="00215E82"/>
    <w:rsid w:val="00216A58"/>
    <w:rsid w:val="00220716"/>
    <w:rsid w:val="00221872"/>
    <w:rsid w:val="00221DF8"/>
    <w:rsid w:val="00225423"/>
    <w:rsid w:val="002260D1"/>
    <w:rsid w:val="00227147"/>
    <w:rsid w:val="00227685"/>
    <w:rsid w:val="00227C57"/>
    <w:rsid w:val="00231DF0"/>
    <w:rsid w:val="00236173"/>
    <w:rsid w:val="0024466C"/>
    <w:rsid w:val="002477FF"/>
    <w:rsid w:val="00250BD9"/>
    <w:rsid w:val="00251DA9"/>
    <w:rsid w:val="00256388"/>
    <w:rsid w:val="002568B3"/>
    <w:rsid w:val="0026208F"/>
    <w:rsid w:val="00263B17"/>
    <w:rsid w:val="00265867"/>
    <w:rsid w:val="00267004"/>
    <w:rsid w:val="00277CA1"/>
    <w:rsid w:val="00281314"/>
    <w:rsid w:val="00290C37"/>
    <w:rsid w:val="002A074A"/>
    <w:rsid w:val="002A19D7"/>
    <w:rsid w:val="002A7522"/>
    <w:rsid w:val="002B2352"/>
    <w:rsid w:val="002B42A6"/>
    <w:rsid w:val="002B51E7"/>
    <w:rsid w:val="002B7237"/>
    <w:rsid w:val="002D02A4"/>
    <w:rsid w:val="002D2943"/>
    <w:rsid w:val="002D5B3C"/>
    <w:rsid w:val="002D5D3F"/>
    <w:rsid w:val="002D66A9"/>
    <w:rsid w:val="002D723C"/>
    <w:rsid w:val="002D79CC"/>
    <w:rsid w:val="002E439B"/>
    <w:rsid w:val="002E64F1"/>
    <w:rsid w:val="002F2092"/>
    <w:rsid w:val="002F34E5"/>
    <w:rsid w:val="002F3726"/>
    <w:rsid w:val="002F49AA"/>
    <w:rsid w:val="002F4A43"/>
    <w:rsid w:val="002F5524"/>
    <w:rsid w:val="00303175"/>
    <w:rsid w:val="00305D4F"/>
    <w:rsid w:val="00310DD2"/>
    <w:rsid w:val="00311014"/>
    <w:rsid w:val="003161D1"/>
    <w:rsid w:val="0032446C"/>
    <w:rsid w:val="0032452C"/>
    <w:rsid w:val="003271BC"/>
    <w:rsid w:val="00334178"/>
    <w:rsid w:val="003440DA"/>
    <w:rsid w:val="00344FF8"/>
    <w:rsid w:val="0035068E"/>
    <w:rsid w:val="003537D8"/>
    <w:rsid w:val="0035434D"/>
    <w:rsid w:val="00355C6E"/>
    <w:rsid w:val="00360DD9"/>
    <w:rsid w:val="003617D6"/>
    <w:rsid w:val="003635A9"/>
    <w:rsid w:val="00367206"/>
    <w:rsid w:val="00367977"/>
    <w:rsid w:val="00375B50"/>
    <w:rsid w:val="00386593"/>
    <w:rsid w:val="003873E0"/>
    <w:rsid w:val="00395013"/>
    <w:rsid w:val="00397A55"/>
    <w:rsid w:val="003A1EEB"/>
    <w:rsid w:val="003A4E66"/>
    <w:rsid w:val="003A5B8B"/>
    <w:rsid w:val="003B60E5"/>
    <w:rsid w:val="003C16E3"/>
    <w:rsid w:val="003C317F"/>
    <w:rsid w:val="003D23AF"/>
    <w:rsid w:val="003D3567"/>
    <w:rsid w:val="003D5138"/>
    <w:rsid w:val="003D5A61"/>
    <w:rsid w:val="003E0439"/>
    <w:rsid w:val="003E28E4"/>
    <w:rsid w:val="003E6303"/>
    <w:rsid w:val="003E75EB"/>
    <w:rsid w:val="003F0AE8"/>
    <w:rsid w:val="00402256"/>
    <w:rsid w:val="00403CC0"/>
    <w:rsid w:val="004074B5"/>
    <w:rsid w:val="00413A89"/>
    <w:rsid w:val="004144D6"/>
    <w:rsid w:val="00414F0F"/>
    <w:rsid w:val="00420318"/>
    <w:rsid w:val="00422113"/>
    <w:rsid w:val="0042727D"/>
    <w:rsid w:val="00430119"/>
    <w:rsid w:val="00432B6E"/>
    <w:rsid w:val="00436CEB"/>
    <w:rsid w:val="00441707"/>
    <w:rsid w:val="00443926"/>
    <w:rsid w:val="00447583"/>
    <w:rsid w:val="00455122"/>
    <w:rsid w:val="0045597B"/>
    <w:rsid w:val="00456D2C"/>
    <w:rsid w:val="00460E6A"/>
    <w:rsid w:val="00462D2C"/>
    <w:rsid w:val="00463AB4"/>
    <w:rsid w:val="0047561E"/>
    <w:rsid w:val="00477C46"/>
    <w:rsid w:val="004817A9"/>
    <w:rsid w:val="00481BDF"/>
    <w:rsid w:val="00482BCE"/>
    <w:rsid w:val="004852C1"/>
    <w:rsid w:val="00486040"/>
    <w:rsid w:val="004864AF"/>
    <w:rsid w:val="004906F1"/>
    <w:rsid w:val="004919EE"/>
    <w:rsid w:val="004921D6"/>
    <w:rsid w:val="00495E71"/>
    <w:rsid w:val="0049730C"/>
    <w:rsid w:val="004A1569"/>
    <w:rsid w:val="004B2D33"/>
    <w:rsid w:val="004B4BBA"/>
    <w:rsid w:val="004C2452"/>
    <w:rsid w:val="004D00CA"/>
    <w:rsid w:val="004E2E1F"/>
    <w:rsid w:val="004E445F"/>
    <w:rsid w:val="004E70CC"/>
    <w:rsid w:val="004E75F3"/>
    <w:rsid w:val="004F18C4"/>
    <w:rsid w:val="004F5575"/>
    <w:rsid w:val="004F6BD0"/>
    <w:rsid w:val="004F6C7B"/>
    <w:rsid w:val="005025BF"/>
    <w:rsid w:val="00513E63"/>
    <w:rsid w:val="0052129C"/>
    <w:rsid w:val="00526FCE"/>
    <w:rsid w:val="005324CB"/>
    <w:rsid w:val="005334C1"/>
    <w:rsid w:val="005336AB"/>
    <w:rsid w:val="005447EE"/>
    <w:rsid w:val="00547E90"/>
    <w:rsid w:val="00554477"/>
    <w:rsid w:val="00554E85"/>
    <w:rsid w:val="005554EF"/>
    <w:rsid w:val="00555D27"/>
    <w:rsid w:val="005575A7"/>
    <w:rsid w:val="00560A2F"/>
    <w:rsid w:val="0056223C"/>
    <w:rsid w:val="005655C0"/>
    <w:rsid w:val="005808AA"/>
    <w:rsid w:val="00583207"/>
    <w:rsid w:val="00586F60"/>
    <w:rsid w:val="00587097"/>
    <w:rsid w:val="0059503C"/>
    <w:rsid w:val="005A5E7B"/>
    <w:rsid w:val="005A6F0C"/>
    <w:rsid w:val="005A7AEF"/>
    <w:rsid w:val="005B6985"/>
    <w:rsid w:val="005B75F0"/>
    <w:rsid w:val="005B7691"/>
    <w:rsid w:val="005C114F"/>
    <w:rsid w:val="005C34DC"/>
    <w:rsid w:val="005C3B05"/>
    <w:rsid w:val="005C5097"/>
    <w:rsid w:val="005C5404"/>
    <w:rsid w:val="005C5A30"/>
    <w:rsid w:val="005C5BA5"/>
    <w:rsid w:val="005C5F69"/>
    <w:rsid w:val="005D0988"/>
    <w:rsid w:val="005D2ECB"/>
    <w:rsid w:val="005D7A51"/>
    <w:rsid w:val="005E0907"/>
    <w:rsid w:val="005E29A2"/>
    <w:rsid w:val="005E33EA"/>
    <w:rsid w:val="005E4DD5"/>
    <w:rsid w:val="005E618B"/>
    <w:rsid w:val="005F10BA"/>
    <w:rsid w:val="005F1A00"/>
    <w:rsid w:val="005F4652"/>
    <w:rsid w:val="005F5CB4"/>
    <w:rsid w:val="00601290"/>
    <w:rsid w:val="006025C3"/>
    <w:rsid w:val="00604A30"/>
    <w:rsid w:val="00604C6E"/>
    <w:rsid w:val="0060642C"/>
    <w:rsid w:val="00606B7B"/>
    <w:rsid w:val="00622086"/>
    <w:rsid w:val="00623CFA"/>
    <w:rsid w:val="0062629D"/>
    <w:rsid w:val="006262A5"/>
    <w:rsid w:val="006270D1"/>
    <w:rsid w:val="00632AE8"/>
    <w:rsid w:val="00634826"/>
    <w:rsid w:val="00635000"/>
    <w:rsid w:val="0063598A"/>
    <w:rsid w:val="00641BCA"/>
    <w:rsid w:val="00643190"/>
    <w:rsid w:val="006477C9"/>
    <w:rsid w:val="00652F50"/>
    <w:rsid w:val="00655E8F"/>
    <w:rsid w:val="00655F09"/>
    <w:rsid w:val="00660CEE"/>
    <w:rsid w:val="00663E18"/>
    <w:rsid w:val="006646F2"/>
    <w:rsid w:val="00664E79"/>
    <w:rsid w:val="0066690E"/>
    <w:rsid w:val="00675A45"/>
    <w:rsid w:val="006820D1"/>
    <w:rsid w:val="00683D80"/>
    <w:rsid w:val="006840CC"/>
    <w:rsid w:val="00684960"/>
    <w:rsid w:val="00685CE9"/>
    <w:rsid w:val="006963EB"/>
    <w:rsid w:val="00697470"/>
    <w:rsid w:val="006A2ED0"/>
    <w:rsid w:val="006A4864"/>
    <w:rsid w:val="006B454F"/>
    <w:rsid w:val="006B4F2C"/>
    <w:rsid w:val="006B5362"/>
    <w:rsid w:val="006C4F8B"/>
    <w:rsid w:val="006C7501"/>
    <w:rsid w:val="006D1FC8"/>
    <w:rsid w:val="006D5C24"/>
    <w:rsid w:val="006E1A0E"/>
    <w:rsid w:val="006E3315"/>
    <w:rsid w:val="006E7D95"/>
    <w:rsid w:val="006F22F1"/>
    <w:rsid w:val="006F2A88"/>
    <w:rsid w:val="006F3AE8"/>
    <w:rsid w:val="006F7EFB"/>
    <w:rsid w:val="007017FA"/>
    <w:rsid w:val="00705C54"/>
    <w:rsid w:val="00706381"/>
    <w:rsid w:val="00707A78"/>
    <w:rsid w:val="0071086E"/>
    <w:rsid w:val="007153EF"/>
    <w:rsid w:val="007179EE"/>
    <w:rsid w:val="0072343A"/>
    <w:rsid w:val="0073211F"/>
    <w:rsid w:val="00735907"/>
    <w:rsid w:val="00736922"/>
    <w:rsid w:val="00736AA5"/>
    <w:rsid w:val="00743481"/>
    <w:rsid w:val="0074350B"/>
    <w:rsid w:val="00745F59"/>
    <w:rsid w:val="00747303"/>
    <w:rsid w:val="0075630E"/>
    <w:rsid w:val="00757C3A"/>
    <w:rsid w:val="007676E4"/>
    <w:rsid w:val="00772F32"/>
    <w:rsid w:val="00780B8D"/>
    <w:rsid w:val="00781096"/>
    <w:rsid w:val="0078240B"/>
    <w:rsid w:val="0078304A"/>
    <w:rsid w:val="00784175"/>
    <w:rsid w:val="00784809"/>
    <w:rsid w:val="0078745F"/>
    <w:rsid w:val="00787CA5"/>
    <w:rsid w:val="00791C55"/>
    <w:rsid w:val="00796D7F"/>
    <w:rsid w:val="007A7B84"/>
    <w:rsid w:val="007B1274"/>
    <w:rsid w:val="007B13DA"/>
    <w:rsid w:val="007B2A95"/>
    <w:rsid w:val="007C0EA1"/>
    <w:rsid w:val="007C3132"/>
    <w:rsid w:val="007C5DA2"/>
    <w:rsid w:val="007C71A1"/>
    <w:rsid w:val="007D0FE8"/>
    <w:rsid w:val="007D180E"/>
    <w:rsid w:val="007D21B2"/>
    <w:rsid w:val="007D2A8C"/>
    <w:rsid w:val="007D6576"/>
    <w:rsid w:val="007D70F1"/>
    <w:rsid w:val="007E05D9"/>
    <w:rsid w:val="007E13B9"/>
    <w:rsid w:val="007E1A80"/>
    <w:rsid w:val="007E1F90"/>
    <w:rsid w:val="007E4360"/>
    <w:rsid w:val="007E6782"/>
    <w:rsid w:val="007F0E62"/>
    <w:rsid w:val="007F4671"/>
    <w:rsid w:val="00801434"/>
    <w:rsid w:val="00802F85"/>
    <w:rsid w:val="0080447B"/>
    <w:rsid w:val="00804D0F"/>
    <w:rsid w:val="00813CEF"/>
    <w:rsid w:val="00820027"/>
    <w:rsid w:val="0082324A"/>
    <w:rsid w:val="00823B16"/>
    <w:rsid w:val="00824020"/>
    <w:rsid w:val="00824A13"/>
    <w:rsid w:val="00824F3E"/>
    <w:rsid w:val="0082588E"/>
    <w:rsid w:val="00825A00"/>
    <w:rsid w:val="008260B9"/>
    <w:rsid w:val="008326F7"/>
    <w:rsid w:val="0084484C"/>
    <w:rsid w:val="00845621"/>
    <w:rsid w:val="008547D9"/>
    <w:rsid w:val="0085545F"/>
    <w:rsid w:val="008558D8"/>
    <w:rsid w:val="00856529"/>
    <w:rsid w:val="008603A0"/>
    <w:rsid w:val="008603CC"/>
    <w:rsid w:val="008617A7"/>
    <w:rsid w:val="00863661"/>
    <w:rsid w:val="008642C8"/>
    <w:rsid w:val="00865E14"/>
    <w:rsid w:val="008675A0"/>
    <w:rsid w:val="00867888"/>
    <w:rsid w:val="00872B32"/>
    <w:rsid w:val="00873A9B"/>
    <w:rsid w:val="00874664"/>
    <w:rsid w:val="00876428"/>
    <w:rsid w:val="00883162"/>
    <w:rsid w:val="0088698E"/>
    <w:rsid w:val="0089168D"/>
    <w:rsid w:val="00895956"/>
    <w:rsid w:val="00895D1A"/>
    <w:rsid w:val="00896D15"/>
    <w:rsid w:val="008A706A"/>
    <w:rsid w:val="008B2C6C"/>
    <w:rsid w:val="008B304B"/>
    <w:rsid w:val="008B3958"/>
    <w:rsid w:val="008B4A76"/>
    <w:rsid w:val="008B4C0B"/>
    <w:rsid w:val="008B5699"/>
    <w:rsid w:val="008B7386"/>
    <w:rsid w:val="008C54E8"/>
    <w:rsid w:val="008C5A4C"/>
    <w:rsid w:val="008D09D9"/>
    <w:rsid w:val="008D1257"/>
    <w:rsid w:val="008D13F0"/>
    <w:rsid w:val="008D1E2F"/>
    <w:rsid w:val="008D550A"/>
    <w:rsid w:val="008D705E"/>
    <w:rsid w:val="008D75AD"/>
    <w:rsid w:val="008E090A"/>
    <w:rsid w:val="008E0D8C"/>
    <w:rsid w:val="008E15DF"/>
    <w:rsid w:val="008E2DC4"/>
    <w:rsid w:val="008E4F7B"/>
    <w:rsid w:val="008F33A9"/>
    <w:rsid w:val="008F3DF9"/>
    <w:rsid w:val="008F5740"/>
    <w:rsid w:val="008F7A29"/>
    <w:rsid w:val="00923368"/>
    <w:rsid w:val="00926863"/>
    <w:rsid w:val="00927DA1"/>
    <w:rsid w:val="0093380A"/>
    <w:rsid w:val="009358BC"/>
    <w:rsid w:val="00941398"/>
    <w:rsid w:val="009418C3"/>
    <w:rsid w:val="00942E86"/>
    <w:rsid w:val="00943930"/>
    <w:rsid w:val="00944869"/>
    <w:rsid w:val="009512EE"/>
    <w:rsid w:val="009555D9"/>
    <w:rsid w:val="0095636E"/>
    <w:rsid w:val="009567BD"/>
    <w:rsid w:val="009672B8"/>
    <w:rsid w:val="00967AD8"/>
    <w:rsid w:val="00971A48"/>
    <w:rsid w:val="009800E6"/>
    <w:rsid w:val="00980A6B"/>
    <w:rsid w:val="00984B1A"/>
    <w:rsid w:val="00984F92"/>
    <w:rsid w:val="009859FA"/>
    <w:rsid w:val="00987D3A"/>
    <w:rsid w:val="00997C59"/>
    <w:rsid w:val="009A0507"/>
    <w:rsid w:val="009A2AEA"/>
    <w:rsid w:val="009A3ED6"/>
    <w:rsid w:val="009A5E18"/>
    <w:rsid w:val="009B0091"/>
    <w:rsid w:val="009C0623"/>
    <w:rsid w:val="009C096F"/>
    <w:rsid w:val="009C42E4"/>
    <w:rsid w:val="009C4CCE"/>
    <w:rsid w:val="009C566F"/>
    <w:rsid w:val="009C6305"/>
    <w:rsid w:val="009C7B65"/>
    <w:rsid w:val="009D1017"/>
    <w:rsid w:val="009D3423"/>
    <w:rsid w:val="009D5B17"/>
    <w:rsid w:val="009D79B9"/>
    <w:rsid w:val="009E0EEE"/>
    <w:rsid w:val="009E2982"/>
    <w:rsid w:val="009E33EC"/>
    <w:rsid w:val="009E66C0"/>
    <w:rsid w:val="009E6727"/>
    <w:rsid w:val="009F0F5F"/>
    <w:rsid w:val="009F2B10"/>
    <w:rsid w:val="009F2DA3"/>
    <w:rsid w:val="009F3734"/>
    <w:rsid w:val="009F3F5E"/>
    <w:rsid w:val="009F7D67"/>
    <w:rsid w:val="00A05395"/>
    <w:rsid w:val="00A06EB5"/>
    <w:rsid w:val="00A15AB6"/>
    <w:rsid w:val="00A20886"/>
    <w:rsid w:val="00A24C4A"/>
    <w:rsid w:val="00A27431"/>
    <w:rsid w:val="00A27C7E"/>
    <w:rsid w:val="00A325D9"/>
    <w:rsid w:val="00A34B0E"/>
    <w:rsid w:val="00A36C6A"/>
    <w:rsid w:val="00A37881"/>
    <w:rsid w:val="00A40033"/>
    <w:rsid w:val="00A4413C"/>
    <w:rsid w:val="00A4523B"/>
    <w:rsid w:val="00A453C1"/>
    <w:rsid w:val="00A4725F"/>
    <w:rsid w:val="00A5289B"/>
    <w:rsid w:val="00A53B37"/>
    <w:rsid w:val="00A60631"/>
    <w:rsid w:val="00A71752"/>
    <w:rsid w:val="00A71AF3"/>
    <w:rsid w:val="00A74DD9"/>
    <w:rsid w:val="00A7631A"/>
    <w:rsid w:val="00A81D85"/>
    <w:rsid w:val="00A87BEA"/>
    <w:rsid w:val="00A94167"/>
    <w:rsid w:val="00AA1584"/>
    <w:rsid w:val="00AA3EFD"/>
    <w:rsid w:val="00AA586B"/>
    <w:rsid w:val="00AA602A"/>
    <w:rsid w:val="00AB0413"/>
    <w:rsid w:val="00AC17F2"/>
    <w:rsid w:val="00AD17B8"/>
    <w:rsid w:val="00AE0C3B"/>
    <w:rsid w:val="00AE1C28"/>
    <w:rsid w:val="00AE1CF3"/>
    <w:rsid w:val="00AE502E"/>
    <w:rsid w:val="00AE5DD5"/>
    <w:rsid w:val="00AF15FC"/>
    <w:rsid w:val="00AF33E8"/>
    <w:rsid w:val="00B068B9"/>
    <w:rsid w:val="00B10536"/>
    <w:rsid w:val="00B20420"/>
    <w:rsid w:val="00B22435"/>
    <w:rsid w:val="00B2394B"/>
    <w:rsid w:val="00B258EE"/>
    <w:rsid w:val="00B3255D"/>
    <w:rsid w:val="00B42202"/>
    <w:rsid w:val="00B47593"/>
    <w:rsid w:val="00B50EED"/>
    <w:rsid w:val="00B531EF"/>
    <w:rsid w:val="00B6098B"/>
    <w:rsid w:val="00B7337B"/>
    <w:rsid w:val="00B73496"/>
    <w:rsid w:val="00B770D3"/>
    <w:rsid w:val="00B77334"/>
    <w:rsid w:val="00B81210"/>
    <w:rsid w:val="00B837AF"/>
    <w:rsid w:val="00B86008"/>
    <w:rsid w:val="00B878E0"/>
    <w:rsid w:val="00B95335"/>
    <w:rsid w:val="00BA0ACA"/>
    <w:rsid w:val="00BA1577"/>
    <w:rsid w:val="00BA2C4D"/>
    <w:rsid w:val="00BA3128"/>
    <w:rsid w:val="00BA4E7C"/>
    <w:rsid w:val="00BA6FAD"/>
    <w:rsid w:val="00BA7D4C"/>
    <w:rsid w:val="00BB0216"/>
    <w:rsid w:val="00BB2D9A"/>
    <w:rsid w:val="00BD2187"/>
    <w:rsid w:val="00BD750C"/>
    <w:rsid w:val="00BE5196"/>
    <w:rsid w:val="00BE614D"/>
    <w:rsid w:val="00BF3D38"/>
    <w:rsid w:val="00BF41EB"/>
    <w:rsid w:val="00BF4ACE"/>
    <w:rsid w:val="00BF7946"/>
    <w:rsid w:val="00C00392"/>
    <w:rsid w:val="00C1349B"/>
    <w:rsid w:val="00C15C5B"/>
    <w:rsid w:val="00C165DD"/>
    <w:rsid w:val="00C167F7"/>
    <w:rsid w:val="00C24E3C"/>
    <w:rsid w:val="00C30BF0"/>
    <w:rsid w:val="00C31EA5"/>
    <w:rsid w:val="00C36AD4"/>
    <w:rsid w:val="00C373C8"/>
    <w:rsid w:val="00C42BE6"/>
    <w:rsid w:val="00C44AA6"/>
    <w:rsid w:val="00C508CF"/>
    <w:rsid w:val="00C513B1"/>
    <w:rsid w:val="00C52C8B"/>
    <w:rsid w:val="00C55580"/>
    <w:rsid w:val="00C557BA"/>
    <w:rsid w:val="00C646C6"/>
    <w:rsid w:val="00C65F53"/>
    <w:rsid w:val="00C6624D"/>
    <w:rsid w:val="00C67C49"/>
    <w:rsid w:val="00C77BDF"/>
    <w:rsid w:val="00C808A0"/>
    <w:rsid w:val="00C84378"/>
    <w:rsid w:val="00C844B6"/>
    <w:rsid w:val="00C91AFD"/>
    <w:rsid w:val="00C95681"/>
    <w:rsid w:val="00C96D83"/>
    <w:rsid w:val="00CA0616"/>
    <w:rsid w:val="00CA082F"/>
    <w:rsid w:val="00CA0881"/>
    <w:rsid w:val="00CA095C"/>
    <w:rsid w:val="00CA0B2E"/>
    <w:rsid w:val="00CA1771"/>
    <w:rsid w:val="00CA5F8C"/>
    <w:rsid w:val="00CB3129"/>
    <w:rsid w:val="00CB3DB8"/>
    <w:rsid w:val="00CB427D"/>
    <w:rsid w:val="00CC24E5"/>
    <w:rsid w:val="00CC2650"/>
    <w:rsid w:val="00CC4116"/>
    <w:rsid w:val="00CC45F1"/>
    <w:rsid w:val="00CC464E"/>
    <w:rsid w:val="00CD08C1"/>
    <w:rsid w:val="00CD12EB"/>
    <w:rsid w:val="00CE07D8"/>
    <w:rsid w:val="00CE3BF6"/>
    <w:rsid w:val="00CE491E"/>
    <w:rsid w:val="00CE6CFD"/>
    <w:rsid w:val="00CF4356"/>
    <w:rsid w:val="00CF520E"/>
    <w:rsid w:val="00CF6B9E"/>
    <w:rsid w:val="00D023C5"/>
    <w:rsid w:val="00D0416F"/>
    <w:rsid w:val="00D05378"/>
    <w:rsid w:val="00D05A36"/>
    <w:rsid w:val="00D06769"/>
    <w:rsid w:val="00D13447"/>
    <w:rsid w:val="00D14CC3"/>
    <w:rsid w:val="00D16E46"/>
    <w:rsid w:val="00D20722"/>
    <w:rsid w:val="00D22BC0"/>
    <w:rsid w:val="00D243A8"/>
    <w:rsid w:val="00D25B58"/>
    <w:rsid w:val="00D266F6"/>
    <w:rsid w:val="00D26927"/>
    <w:rsid w:val="00D270FE"/>
    <w:rsid w:val="00D3658E"/>
    <w:rsid w:val="00D41737"/>
    <w:rsid w:val="00D4187D"/>
    <w:rsid w:val="00D42F0C"/>
    <w:rsid w:val="00D43ABC"/>
    <w:rsid w:val="00D441FE"/>
    <w:rsid w:val="00D44F73"/>
    <w:rsid w:val="00D567B2"/>
    <w:rsid w:val="00D56DDC"/>
    <w:rsid w:val="00D607A9"/>
    <w:rsid w:val="00D61CDF"/>
    <w:rsid w:val="00D626CB"/>
    <w:rsid w:val="00D65548"/>
    <w:rsid w:val="00D70491"/>
    <w:rsid w:val="00D719B4"/>
    <w:rsid w:val="00D72235"/>
    <w:rsid w:val="00D7373A"/>
    <w:rsid w:val="00D7461A"/>
    <w:rsid w:val="00D76D39"/>
    <w:rsid w:val="00D77896"/>
    <w:rsid w:val="00D842DD"/>
    <w:rsid w:val="00D9488C"/>
    <w:rsid w:val="00D97EF3"/>
    <w:rsid w:val="00DA0D05"/>
    <w:rsid w:val="00DB2BE0"/>
    <w:rsid w:val="00DB390F"/>
    <w:rsid w:val="00DB47AC"/>
    <w:rsid w:val="00DC4AEC"/>
    <w:rsid w:val="00DC4B19"/>
    <w:rsid w:val="00DD73BE"/>
    <w:rsid w:val="00DD7D2B"/>
    <w:rsid w:val="00DE16FF"/>
    <w:rsid w:val="00DE62AE"/>
    <w:rsid w:val="00DE68B6"/>
    <w:rsid w:val="00DE7346"/>
    <w:rsid w:val="00DF049F"/>
    <w:rsid w:val="00DF10CF"/>
    <w:rsid w:val="00DF28F4"/>
    <w:rsid w:val="00DF5106"/>
    <w:rsid w:val="00E0294A"/>
    <w:rsid w:val="00E069DA"/>
    <w:rsid w:val="00E10D59"/>
    <w:rsid w:val="00E160E8"/>
    <w:rsid w:val="00E16BCF"/>
    <w:rsid w:val="00E20832"/>
    <w:rsid w:val="00E20860"/>
    <w:rsid w:val="00E237E8"/>
    <w:rsid w:val="00E25F2D"/>
    <w:rsid w:val="00E308AE"/>
    <w:rsid w:val="00E40B85"/>
    <w:rsid w:val="00E4102B"/>
    <w:rsid w:val="00E421CA"/>
    <w:rsid w:val="00E43DC9"/>
    <w:rsid w:val="00E5133E"/>
    <w:rsid w:val="00E541BB"/>
    <w:rsid w:val="00E64583"/>
    <w:rsid w:val="00E6589E"/>
    <w:rsid w:val="00E731DC"/>
    <w:rsid w:val="00E7643C"/>
    <w:rsid w:val="00E80BBC"/>
    <w:rsid w:val="00E80E11"/>
    <w:rsid w:val="00E843ED"/>
    <w:rsid w:val="00E8528D"/>
    <w:rsid w:val="00E96584"/>
    <w:rsid w:val="00EB0DC7"/>
    <w:rsid w:val="00EB29D1"/>
    <w:rsid w:val="00EB36F7"/>
    <w:rsid w:val="00EB45A3"/>
    <w:rsid w:val="00EB6062"/>
    <w:rsid w:val="00EC0E0B"/>
    <w:rsid w:val="00EC1BEB"/>
    <w:rsid w:val="00EC248D"/>
    <w:rsid w:val="00EC30D7"/>
    <w:rsid w:val="00ED1833"/>
    <w:rsid w:val="00ED1F37"/>
    <w:rsid w:val="00ED2C91"/>
    <w:rsid w:val="00ED3ADB"/>
    <w:rsid w:val="00ED6E53"/>
    <w:rsid w:val="00EE0BCA"/>
    <w:rsid w:val="00EE1CE0"/>
    <w:rsid w:val="00EE329E"/>
    <w:rsid w:val="00EE3F03"/>
    <w:rsid w:val="00EE5EAD"/>
    <w:rsid w:val="00EE7104"/>
    <w:rsid w:val="00EE7509"/>
    <w:rsid w:val="00EF68C4"/>
    <w:rsid w:val="00F034B0"/>
    <w:rsid w:val="00F06C38"/>
    <w:rsid w:val="00F15019"/>
    <w:rsid w:val="00F20B02"/>
    <w:rsid w:val="00F221F8"/>
    <w:rsid w:val="00F24ADB"/>
    <w:rsid w:val="00F27F57"/>
    <w:rsid w:val="00F37E95"/>
    <w:rsid w:val="00F507E2"/>
    <w:rsid w:val="00F51FC2"/>
    <w:rsid w:val="00F52664"/>
    <w:rsid w:val="00F55280"/>
    <w:rsid w:val="00F5604C"/>
    <w:rsid w:val="00F6082E"/>
    <w:rsid w:val="00F60E39"/>
    <w:rsid w:val="00F6186E"/>
    <w:rsid w:val="00F6578F"/>
    <w:rsid w:val="00F703E8"/>
    <w:rsid w:val="00F71AFB"/>
    <w:rsid w:val="00F74024"/>
    <w:rsid w:val="00F76F69"/>
    <w:rsid w:val="00F834DD"/>
    <w:rsid w:val="00F84683"/>
    <w:rsid w:val="00F848E7"/>
    <w:rsid w:val="00F874B3"/>
    <w:rsid w:val="00F93C23"/>
    <w:rsid w:val="00F96256"/>
    <w:rsid w:val="00FB4E2E"/>
    <w:rsid w:val="00FC12EB"/>
    <w:rsid w:val="00FC49E2"/>
    <w:rsid w:val="00FC7FD5"/>
    <w:rsid w:val="00FD692E"/>
    <w:rsid w:val="00FD6D8A"/>
    <w:rsid w:val="00FE4840"/>
    <w:rsid w:val="00FE56CA"/>
    <w:rsid w:val="00FE64D9"/>
    <w:rsid w:val="00FF1396"/>
    <w:rsid w:val="00FF1470"/>
    <w:rsid w:val="00FF2BF7"/>
    <w:rsid w:val="00FF30E8"/>
    <w:rsid w:val="00FF70D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A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6E5"/>
    <w:pPr>
      <w:spacing w:line="480" w:lineRule="auto"/>
    </w:pPr>
    <w:rPr>
      <w:rFonts w:ascii="Times New Roman" w:eastAsia="Times New Roman" w:hAnsi="Times New Roman"/>
      <w:sz w:val="24"/>
      <w:szCs w:val="24"/>
      <w:lang w:eastAsia="en-US"/>
    </w:rPr>
  </w:style>
  <w:style w:type="paragraph" w:styleId="1">
    <w:name w:val="heading 1"/>
    <w:basedOn w:val="a"/>
    <w:next w:val="a"/>
    <w:link w:val="1Char"/>
    <w:qFormat/>
    <w:rsid w:val="003D23AF"/>
    <w:pPr>
      <w:keepNext/>
      <w:outlineLvl w:val="0"/>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56E5"/>
    <w:pPr>
      <w:tabs>
        <w:tab w:val="center" w:pos="4819"/>
        <w:tab w:val="right" w:pos="9638"/>
      </w:tabs>
      <w:spacing w:line="240" w:lineRule="auto"/>
    </w:pPr>
  </w:style>
  <w:style w:type="character" w:customStyle="1" w:styleId="Char">
    <w:name w:val="页眉 Char"/>
    <w:basedOn w:val="a0"/>
    <w:link w:val="a3"/>
    <w:uiPriority w:val="99"/>
    <w:rsid w:val="000956E5"/>
  </w:style>
  <w:style w:type="paragraph" w:styleId="a4">
    <w:name w:val="footer"/>
    <w:basedOn w:val="a"/>
    <w:link w:val="Char0"/>
    <w:uiPriority w:val="99"/>
    <w:unhideWhenUsed/>
    <w:rsid w:val="000956E5"/>
    <w:pPr>
      <w:tabs>
        <w:tab w:val="center" w:pos="4819"/>
        <w:tab w:val="right" w:pos="9638"/>
      </w:tabs>
      <w:spacing w:line="240" w:lineRule="auto"/>
    </w:pPr>
  </w:style>
  <w:style w:type="character" w:customStyle="1" w:styleId="Char0">
    <w:name w:val="页脚 Char"/>
    <w:basedOn w:val="a0"/>
    <w:link w:val="a4"/>
    <w:uiPriority w:val="99"/>
    <w:rsid w:val="000956E5"/>
  </w:style>
  <w:style w:type="paragraph" w:styleId="a5">
    <w:name w:val="No Spacing"/>
    <w:uiPriority w:val="1"/>
    <w:qFormat/>
    <w:rsid w:val="000956E5"/>
    <w:rPr>
      <w:rFonts w:ascii="Cambria" w:eastAsia="Times New Roman" w:hAnsi="Cambria"/>
      <w:sz w:val="24"/>
      <w:szCs w:val="24"/>
      <w:lang w:eastAsia="it-IT"/>
    </w:rPr>
  </w:style>
  <w:style w:type="paragraph" w:styleId="a6">
    <w:name w:val="List Paragraph"/>
    <w:basedOn w:val="a"/>
    <w:uiPriority w:val="34"/>
    <w:qFormat/>
    <w:rsid w:val="000956E5"/>
    <w:pPr>
      <w:spacing w:after="160" w:line="259" w:lineRule="auto"/>
      <w:ind w:left="720"/>
      <w:contextualSpacing/>
    </w:pPr>
    <w:rPr>
      <w:rFonts w:ascii="Calibri" w:eastAsia="Calibri" w:hAnsi="Calibri"/>
      <w:sz w:val="22"/>
      <w:szCs w:val="22"/>
      <w:lang w:val="it-IT"/>
    </w:rPr>
  </w:style>
  <w:style w:type="character" w:customStyle="1" w:styleId="mb">
    <w:name w:val="mb"/>
    <w:basedOn w:val="a0"/>
    <w:rsid w:val="000956E5"/>
  </w:style>
  <w:style w:type="paragraph" w:styleId="a7">
    <w:name w:val="Balloon Text"/>
    <w:basedOn w:val="a"/>
    <w:link w:val="Char1"/>
    <w:uiPriority w:val="99"/>
    <w:semiHidden/>
    <w:unhideWhenUsed/>
    <w:rsid w:val="000956E5"/>
    <w:pPr>
      <w:spacing w:line="240" w:lineRule="auto"/>
    </w:pPr>
    <w:rPr>
      <w:rFonts w:ascii="Tahoma" w:hAnsi="Tahoma"/>
      <w:sz w:val="16"/>
      <w:szCs w:val="16"/>
      <w:lang w:eastAsia="x-none"/>
    </w:rPr>
  </w:style>
  <w:style w:type="character" w:customStyle="1" w:styleId="Char1">
    <w:name w:val="批注框文本 Char"/>
    <w:link w:val="a7"/>
    <w:uiPriority w:val="99"/>
    <w:semiHidden/>
    <w:rsid w:val="000956E5"/>
    <w:rPr>
      <w:rFonts w:ascii="Tahoma" w:eastAsia="Times New Roman" w:hAnsi="Tahoma" w:cs="Tahoma"/>
      <w:sz w:val="16"/>
      <w:szCs w:val="16"/>
      <w:lang w:val="en-US"/>
    </w:rPr>
  </w:style>
  <w:style w:type="character" w:customStyle="1" w:styleId="1Char">
    <w:name w:val="标题 1 Char"/>
    <w:link w:val="1"/>
    <w:rsid w:val="003D23AF"/>
    <w:rPr>
      <w:rFonts w:ascii="Times New Roman" w:eastAsia="Times New Roman" w:hAnsi="Times New Roman"/>
      <w:i/>
      <w:iCs/>
      <w:sz w:val="24"/>
      <w:szCs w:val="24"/>
      <w:lang w:val="en-US" w:eastAsia="en-US"/>
    </w:rPr>
  </w:style>
  <w:style w:type="character" w:styleId="a8">
    <w:name w:val="Hyperlink"/>
    <w:uiPriority w:val="99"/>
    <w:unhideWhenUsed/>
    <w:rsid w:val="003D23AF"/>
    <w:rPr>
      <w:color w:val="0000FF"/>
      <w:u w:val="single"/>
    </w:rPr>
  </w:style>
  <w:style w:type="character" w:customStyle="1" w:styleId="jrnl">
    <w:name w:val="jrnl"/>
    <w:basedOn w:val="a0"/>
    <w:rsid w:val="003D23AF"/>
  </w:style>
  <w:style w:type="character" w:styleId="a9">
    <w:name w:val="Subtle Emphasis"/>
    <w:uiPriority w:val="19"/>
    <w:qFormat/>
    <w:rsid w:val="00D25B58"/>
    <w:rPr>
      <w:i/>
      <w:iCs/>
      <w:color w:val="404040"/>
    </w:rPr>
  </w:style>
  <w:style w:type="table" w:customStyle="1" w:styleId="Grigliatabella1">
    <w:name w:val="Griglia tabella1"/>
    <w:basedOn w:val="a1"/>
    <w:next w:val="aa"/>
    <w:uiPriority w:val="39"/>
    <w:rsid w:val="00D76D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39"/>
    <w:rsid w:val="00D76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a1"/>
    <w:next w:val="aa"/>
    <w:uiPriority w:val="39"/>
    <w:rsid w:val="006A486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a1"/>
    <w:next w:val="aa"/>
    <w:uiPriority w:val="39"/>
    <w:rsid w:val="004F6BD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a1"/>
    <w:next w:val="aa"/>
    <w:uiPriority w:val="39"/>
    <w:rsid w:val="003865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a1"/>
    <w:next w:val="aa"/>
    <w:uiPriority w:val="39"/>
    <w:rsid w:val="007017F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1">
    <w:name w:val="Nessun elenco1"/>
    <w:next w:val="a2"/>
    <w:uiPriority w:val="99"/>
    <w:semiHidden/>
    <w:unhideWhenUsed/>
    <w:rsid w:val="00813CEF"/>
  </w:style>
  <w:style w:type="character" w:styleId="ab">
    <w:name w:val="FollowedHyperlink"/>
    <w:uiPriority w:val="99"/>
    <w:semiHidden/>
    <w:unhideWhenUsed/>
    <w:rsid w:val="00813CEF"/>
    <w:rPr>
      <w:color w:val="954F72"/>
      <w:u w:val="single"/>
    </w:rPr>
  </w:style>
  <w:style w:type="paragraph" w:customStyle="1" w:styleId="xl63">
    <w:name w:val="xl63"/>
    <w:basedOn w:val="a"/>
    <w:rsid w:val="00813CEF"/>
    <w:pPr>
      <w:spacing w:before="100" w:beforeAutospacing="1" w:after="100" w:afterAutospacing="1" w:line="240" w:lineRule="auto"/>
    </w:pPr>
    <w:rPr>
      <w:sz w:val="18"/>
      <w:szCs w:val="18"/>
      <w:lang w:val="it-IT" w:eastAsia="it-IT"/>
    </w:rPr>
  </w:style>
  <w:style w:type="paragraph" w:customStyle="1" w:styleId="xl64">
    <w:name w:val="xl64"/>
    <w:basedOn w:val="a"/>
    <w:rsid w:val="00813CEF"/>
    <w:pPr>
      <w:spacing w:before="100" w:beforeAutospacing="1" w:after="100" w:afterAutospacing="1" w:line="240" w:lineRule="auto"/>
    </w:pPr>
    <w:rPr>
      <w:sz w:val="18"/>
      <w:szCs w:val="18"/>
      <w:lang w:val="it-IT" w:eastAsia="it-IT"/>
    </w:rPr>
  </w:style>
  <w:style w:type="paragraph" w:customStyle="1" w:styleId="xl65">
    <w:name w:val="xl65"/>
    <w:basedOn w:val="a"/>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66">
    <w:name w:val="xl66"/>
    <w:basedOn w:val="a"/>
    <w:rsid w:val="00813CEF"/>
    <w:pPr>
      <w:pBdr>
        <w:left w:val="single" w:sz="4" w:space="0" w:color="auto"/>
        <w:bottom w:val="single" w:sz="4" w:space="0" w:color="auto"/>
      </w:pBdr>
      <w:spacing w:before="100" w:beforeAutospacing="1" w:after="100" w:afterAutospacing="1" w:line="240" w:lineRule="auto"/>
    </w:pPr>
    <w:rPr>
      <w:sz w:val="18"/>
      <w:szCs w:val="18"/>
      <w:lang w:val="it-IT" w:eastAsia="it-IT"/>
    </w:rPr>
  </w:style>
  <w:style w:type="paragraph" w:customStyle="1" w:styleId="xl67">
    <w:name w:val="xl67"/>
    <w:basedOn w:val="a"/>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68">
    <w:name w:val="xl68"/>
    <w:basedOn w:val="a"/>
    <w:rsid w:val="00813CEF"/>
    <w:pPr>
      <w:pBdr>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69">
    <w:name w:val="xl69"/>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0">
    <w:name w:val="xl70"/>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1">
    <w:name w:val="xl71"/>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2">
    <w:name w:val="xl72"/>
    <w:basedOn w:val="a"/>
    <w:rsid w:val="00813CEF"/>
    <w:pPr>
      <w:pBdr>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3">
    <w:name w:val="xl73"/>
    <w:basedOn w:val="a"/>
    <w:rsid w:val="00813CEF"/>
    <w:pPr>
      <w:pBdr>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4">
    <w:name w:val="xl74"/>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5">
    <w:name w:val="xl75"/>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6">
    <w:name w:val="xl76"/>
    <w:basedOn w:val="a"/>
    <w:rsid w:val="00813CEF"/>
    <w:pPr>
      <w:pBdr>
        <w:top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7">
    <w:name w:val="xl77"/>
    <w:basedOn w:val="a"/>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8">
    <w:name w:val="xl78"/>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9">
    <w:name w:val="xl79"/>
    <w:basedOn w:val="a"/>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80">
    <w:name w:val="xl80"/>
    <w:basedOn w:val="a"/>
    <w:rsid w:val="00813CEF"/>
    <w:pPr>
      <w:pBdr>
        <w:top w:val="single" w:sz="4" w:space="0" w:color="auto"/>
        <w:bottom w:val="single" w:sz="4" w:space="0" w:color="auto"/>
      </w:pBdr>
      <w:spacing w:before="100" w:beforeAutospacing="1" w:after="100" w:afterAutospacing="1" w:line="240" w:lineRule="auto"/>
    </w:pPr>
    <w:rPr>
      <w:sz w:val="18"/>
      <w:szCs w:val="18"/>
      <w:lang w:val="it-IT" w:eastAsia="it-IT"/>
    </w:rPr>
  </w:style>
  <w:style w:type="paragraph" w:customStyle="1" w:styleId="xl81">
    <w:name w:val="xl81"/>
    <w:basedOn w:val="a"/>
    <w:rsid w:val="00813CEF"/>
    <w:pPr>
      <w:pBdr>
        <w:top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82">
    <w:name w:val="xl82"/>
    <w:basedOn w:val="a"/>
    <w:rsid w:val="00813CEF"/>
    <w:pPr>
      <w:spacing w:before="100" w:beforeAutospacing="1" w:after="100" w:afterAutospacing="1" w:line="240" w:lineRule="auto"/>
    </w:pPr>
    <w:rPr>
      <w:sz w:val="16"/>
      <w:szCs w:val="16"/>
      <w:lang w:val="it-IT" w:eastAsia="it-IT"/>
    </w:rPr>
  </w:style>
  <w:style w:type="paragraph" w:customStyle="1" w:styleId="xl83">
    <w:name w:val="xl83"/>
    <w:basedOn w:val="a"/>
    <w:rsid w:val="00813CEF"/>
    <w:pPr>
      <w:pBdr>
        <w:bottom w:val="single" w:sz="4" w:space="0" w:color="auto"/>
      </w:pBdr>
      <w:spacing w:before="100" w:beforeAutospacing="1" w:after="100" w:afterAutospacing="1" w:line="240" w:lineRule="auto"/>
    </w:pPr>
    <w:rPr>
      <w:sz w:val="16"/>
      <w:szCs w:val="16"/>
      <w:lang w:val="it-IT" w:eastAsia="it-IT"/>
    </w:rPr>
  </w:style>
  <w:style w:type="paragraph" w:customStyle="1" w:styleId="xl84">
    <w:name w:val="xl84"/>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85">
    <w:name w:val="xl85"/>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86">
    <w:name w:val="xl86"/>
    <w:basedOn w:val="a"/>
    <w:rsid w:val="00813CEF"/>
    <w:pPr>
      <w:pBdr>
        <w:top w:val="single" w:sz="4" w:space="0" w:color="auto"/>
        <w:left w:val="single" w:sz="4" w:space="0" w:color="auto"/>
        <w:bottom w:val="single" w:sz="4" w:space="0" w:color="auto"/>
      </w:pBdr>
      <w:spacing w:before="100" w:beforeAutospacing="1" w:after="100" w:afterAutospacing="1" w:line="240" w:lineRule="auto"/>
      <w:jc w:val="center"/>
    </w:pPr>
    <w:rPr>
      <w:sz w:val="18"/>
      <w:szCs w:val="18"/>
      <w:lang w:val="it-IT" w:eastAsia="it-IT"/>
    </w:rPr>
  </w:style>
  <w:style w:type="paragraph" w:customStyle="1" w:styleId="xl87">
    <w:name w:val="xl87"/>
    <w:basedOn w:val="a"/>
    <w:rsid w:val="00813CEF"/>
    <w:pPr>
      <w:spacing w:before="100" w:beforeAutospacing="1" w:after="100" w:afterAutospacing="1" w:line="240" w:lineRule="auto"/>
    </w:pPr>
    <w:rPr>
      <w:sz w:val="18"/>
      <w:szCs w:val="18"/>
      <w:lang w:val="it-IT" w:eastAsia="it-IT"/>
    </w:rPr>
  </w:style>
  <w:style w:type="paragraph" w:customStyle="1" w:styleId="xl88">
    <w:name w:val="xl88"/>
    <w:basedOn w:val="a"/>
    <w:rsid w:val="00813CEF"/>
    <w:pPr>
      <w:spacing w:before="100" w:beforeAutospacing="1" w:after="100" w:afterAutospacing="1" w:line="240" w:lineRule="auto"/>
      <w:jc w:val="center"/>
    </w:pPr>
    <w:rPr>
      <w:sz w:val="18"/>
      <w:szCs w:val="18"/>
      <w:lang w:val="it-IT" w:eastAsia="it-IT"/>
    </w:rPr>
  </w:style>
  <w:style w:type="paragraph" w:customStyle="1" w:styleId="xl89">
    <w:name w:val="xl89"/>
    <w:basedOn w:val="a"/>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pPr>
    <w:rPr>
      <w:sz w:val="20"/>
      <w:szCs w:val="20"/>
      <w:lang w:val="it-IT" w:eastAsia="it-IT"/>
    </w:rPr>
  </w:style>
  <w:style w:type="paragraph" w:customStyle="1" w:styleId="xl90">
    <w:name w:val="xl90"/>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val="it-IT" w:eastAsia="it-IT"/>
    </w:rPr>
  </w:style>
  <w:style w:type="paragraph" w:customStyle="1" w:styleId="xl91">
    <w:name w:val="xl91"/>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val="it-IT" w:eastAsia="it-IT"/>
    </w:rPr>
  </w:style>
  <w:style w:type="paragraph" w:customStyle="1" w:styleId="xl92">
    <w:name w:val="xl92"/>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3">
    <w:name w:val="xl93"/>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94">
    <w:name w:val="xl94"/>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18"/>
      <w:szCs w:val="18"/>
      <w:lang w:val="it-IT" w:eastAsia="it-IT"/>
    </w:rPr>
  </w:style>
  <w:style w:type="paragraph" w:customStyle="1" w:styleId="xl95">
    <w:name w:val="xl95"/>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96">
    <w:name w:val="xl96"/>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7">
    <w:name w:val="xl97"/>
    <w:basedOn w:val="a"/>
    <w:rsid w:val="00813CEF"/>
    <w:pPr>
      <w:pBdr>
        <w:top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8">
    <w:name w:val="xl98"/>
    <w:basedOn w:val="a"/>
    <w:rsid w:val="00813CEF"/>
    <w:pPr>
      <w:pBdr>
        <w:left w:val="single" w:sz="4" w:space="0" w:color="auto"/>
      </w:pBdr>
      <w:spacing w:before="100" w:beforeAutospacing="1" w:after="100" w:afterAutospacing="1" w:line="240" w:lineRule="auto"/>
    </w:pPr>
    <w:rPr>
      <w:sz w:val="18"/>
      <w:szCs w:val="18"/>
      <w:lang w:val="it-IT" w:eastAsia="it-IT"/>
    </w:rPr>
  </w:style>
  <w:style w:type="paragraph" w:customStyle="1" w:styleId="xl99">
    <w:name w:val="xl99"/>
    <w:basedOn w:val="a"/>
    <w:rsid w:val="00813CEF"/>
    <w:pPr>
      <w:pBdr>
        <w:right w:val="single" w:sz="4" w:space="0" w:color="auto"/>
      </w:pBdr>
      <w:spacing w:before="100" w:beforeAutospacing="1" w:after="100" w:afterAutospacing="1" w:line="240" w:lineRule="auto"/>
    </w:pPr>
    <w:rPr>
      <w:sz w:val="18"/>
      <w:szCs w:val="18"/>
      <w:lang w:val="it-IT" w:eastAsia="it-IT"/>
    </w:rPr>
  </w:style>
  <w:style w:type="paragraph" w:customStyle="1" w:styleId="xl100">
    <w:name w:val="xl100"/>
    <w:basedOn w:val="a"/>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101">
    <w:name w:val="xl101"/>
    <w:basedOn w:val="a"/>
    <w:rsid w:val="00813CEF"/>
    <w:pPr>
      <w:pBdr>
        <w:bottom w:val="single" w:sz="4" w:space="0" w:color="auto"/>
      </w:pBdr>
      <w:spacing w:before="100" w:beforeAutospacing="1" w:after="100" w:afterAutospacing="1" w:line="240" w:lineRule="auto"/>
      <w:jc w:val="center"/>
    </w:pPr>
    <w:rPr>
      <w:sz w:val="18"/>
      <w:szCs w:val="18"/>
      <w:lang w:val="it-IT" w:eastAsia="it-IT"/>
    </w:rPr>
  </w:style>
  <w:style w:type="paragraph" w:customStyle="1" w:styleId="xl102">
    <w:name w:val="xl102"/>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3">
    <w:name w:val="xl103"/>
    <w:basedOn w:val="a"/>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4">
    <w:name w:val="xl104"/>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5">
    <w:name w:val="xl105"/>
    <w:basedOn w:val="a"/>
    <w:rsid w:val="00813CEF"/>
    <w:pPr>
      <w:pBdr>
        <w:lef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6">
    <w:name w:val="xl106"/>
    <w:basedOn w:val="a"/>
    <w:rsid w:val="00813CEF"/>
    <w:pPr>
      <w:spacing w:before="100" w:beforeAutospacing="1" w:after="100" w:afterAutospacing="1" w:line="240" w:lineRule="auto"/>
      <w:jc w:val="center"/>
      <w:textAlignment w:val="center"/>
    </w:pPr>
    <w:rPr>
      <w:sz w:val="18"/>
      <w:szCs w:val="18"/>
      <w:lang w:val="it-IT" w:eastAsia="it-IT"/>
    </w:rPr>
  </w:style>
  <w:style w:type="paragraph" w:customStyle="1" w:styleId="xl107">
    <w:name w:val="xl107"/>
    <w:basedOn w:val="a"/>
    <w:rsid w:val="00813CEF"/>
    <w:pPr>
      <w:pBdr>
        <w:righ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8">
    <w:name w:val="xl108"/>
    <w:basedOn w:val="a"/>
    <w:rsid w:val="00813CEF"/>
    <w:pPr>
      <w:pBdr>
        <w:left w:val="single" w:sz="4" w:space="0" w:color="auto"/>
        <w:bottom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9">
    <w:name w:val="xl109"/>
    <w:basedOn w:val="a"/>
    <w:rsid w:val="00813CEF"/>
    <w:pPr>
      <w:pBdr>
        <w:bottom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10">
    <w:name w:val="xl110"/>
    <w:basedOn w:val="a"/>
    <w:rsid w:val="00813CEF"/>
    <w:pPr>
      <w:pBdr>
        <w:bottom w:val="single" w:sz="4" w:space="0" w:color="auto"/>
        <w:righ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11">
    <w:name w:val="xl111"/>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2">
    <w:name w:val="xl112"/>
    <w:basedOn w:val="a"/>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3">
    <w:name w:val="xl113"/>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4">
    <w:name w:val="xl114"/>
    <w:basedOn w:val="a"/>
    <w:rsid w:val="00813CEF"/>
    <w:pPr>
      <w:pBdr>
        <w:left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5">
    <w:name w:val="xl115"/>
    <w:basedOn w:val="a"/>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6">
    <w:name w:val="xl116"/>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7">
    <w:name w:val="xl117"/>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8">
    <w:name w:val="xl118"/>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9">
    <w:name w:val="xl119"/>
    <w:basedOn w:val="a"/>
    <w:rsid w:val="00813CEF"/>
    <w:pPr>
      <w:pBdr>
        <w:left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0">
    <w:name w:val="xl120"/>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1">
    <w:name w:val="xl121"/>
    <w:basedOn w:val="a"/>
    <w:rsid w:val="00813CEF"/>
    <w:pPr>
      <w:pBdr>
        <w:left w:val="single" w:sz="4" w:space="0" w:color="auto"/>
      </w:pBdr>
      <w:spacing w:before="100" w:beforeAutospacing="1" w:after="100" w:afterAutospacing="1" w:line="240" w:lineRule="auto"/>
      <w:jc w:val="center"/>
    </w:pPr>
    <w:rPr>
      <w:sz w:val="18"/>
      <w:szCs w:val="18"/>
      <w:lang w:val="it-IT" w:eastAsia="it-IT"/>
    </w:rPr>
  </w:style>
  <w:style w:type="paragraph" w:customStyle="1" w:styleId="xl122">
    <w:name w:val="xl122"/>
    <w:basedOn w:val="a"/>
    <w:rsid w:val="00813CEF"/>
    <w:pPr>
      <w:spacing w:before="100" w:beforeAutospacing="1" w:after="100" w:afterAutospacing="1" w:line="240" w:lineRule="auto"/>
      <w:jc w:val="center"/>
    </w:pPr>
    <w:rPr>
      <w:sz w:val="18"/>
      <w:szCs w:val="18"/>
      <w:lang w:val="it-IT" w:eastAsia="it-IT"/>
    </w:rPr>
  </w:style>
  <w:style w:type="paragraph" w:customStyle="1" w:styleId="xl123">
    <w:name w:val="xl123"/>
    <w:basedOn w:val="a"/>
    <w:rsid w:val="00813CEF"/>
    <w:pPr>
      <w:pBdr>
        <w:right w:val="single" w:sz="4" w:space="0" w:color="auto"/>
      </w:pBdr>
      <w:spacing w:before="100" w:beforeAutospacing="1" w:after="100" w:afterAutospacing="1" w:line="240" w:lineRule="auto"/>
      <w:jc w:val="center"/>
    </w:pPr>
    <w:rPr>
      <w:sz w:val="18"/>
      <w:szCs w:val="18"/>
      <w:lang w:val="it-IT" w:eastAsia="it-IT"/>
    </w:rPr>
  </w:style>
  <w:style w:type="paragraph" w:customStyle="1" w:styleId="xl124">
    <w:name w:val="xl124"/>
    <w:basedOn w:val="a"/>
    <w:rsid w:val="00813CEF"/>
    <w:pPr>
      <w:pBdr>
        <w:left w:val="single" w:sz="4" w:space="0" w:color="auto"/>
      </w:pBdr>
      <w:spacing w:before="100" w:beforeAutospacing="1" w:after="100" w:afterAutospacing="1" w:line="240" w:lineRule="auto"/>
      <w:jc w:val="center"/>
    </w:pPr>
    <w:rPr>
      <w:sz w:val="18"/>
      <w:szCs w:val="18"/>
      <w:lang w:val="it-IT" w:eastAsia="it-IT"/>
    </w:rPr>
  </w:style>
  <w:style w:type="paragraph" w:customStyle="1" w:styleId="xl125">
    <w:name w:val="xl125"/>
    <w:basedOn w:val="a"/>
    <w:rsid w:val="00813CEF"/>
    <w:pPr>
      <w:spacing w:before="100" w:beforeAutospacing="1" w:after="100" w:afterAutospacing="1" w:line="240" w:lineRule="auto"/>
      <w:jc w:val="center"/>
    </w:pPr>
    <w:rPr>
      <w:sz w:val="18"/>
      <w:szCs w:val="18"/>
      <w:lang w:val="it-IT" w:eastAsia="it-IT"/>
    </w:rPr>
  </w:style>
  <w:style w:type="paragraph" w:customStyle="1" w:styleId="xl126">
    <w:name w:val="xl126"/>
    <w:basedOn w:val="a"/>
    <w:rsid w:val="00813CEF"/>
    <w:pPr>
      <w:pBdr>
        <w:right w:val="single" w:sz="4" w:space="0" w:color="auto"/>
      </w:pBdr>
      <w:spacing w:before="100" w:beforeAutospacing="1" w:after="100" w:afterAutospacing="1" w:line="240" w:lineRule="auto"/>
      <w:jc w:val="center"/>
    </w:pPr>
    <w:rPr>
      <w:sz w:val="18"/>
      <w:szCs w:val="18"/>
      <w:lang w:val="it-IT" w:eastAsia="it-IT"/>
    </w:rPr>
  </w:style>
  <w:style w:type="paragraph" w:customStyle="1" w:styleId="xl127">
    <w:name w:val="xl127"/>
    <w:basedOn w:val="a"/>
    <w:rsid w:val="00813CEF"/>
    <w:pPr>
      <w:pBdr>
        <w:bottom w:val="single" w:sz="4" w:space="0" w:color="auto"/>
      </w:pBdr>
      <w:spacing w:before="100" w:beforeAutospacing="1" w:after="100" w:afterAutospacing="1" w:line="240" w:lineRule="auto"/>
      <w:jc w:val="center"/>
    </w:pPr>
    <w:rPr>
      <w:sz w:val="18"/>
      <w:szCs w:val="18"/>
      <w:lang w:val="it-IT" w:eastAsia="it-IT"/>
    </w:rPr>
  </w:style>
  <w:style w:type="paragraph" w:customStyle="1" w:styleId="xl128">
    <w:name w:val="xl128"/>
    <w:basedOn w:val="a"/>
    <w:rsid w:val="00813CEF"/>
    <w:pPr>
      <w:pBdr>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9">
    <w:name w:val="xl129"/>
    <w:basedOn w:val="a"/>
    <w:rsid w:val="00813CEF"/>
    <w:pPr>
      <w:pBdr>
        <w:left w:val="single" w:sz="4" w:space="0" w:color="auto"/>
        <w:bottom w:val="single" w:sz="4" w:space="0" w:color="auto"/>
      </w:pBdr>
      <w:spacing w:before="100" w:beforeAutospacing="1" w:after="100" w:afterAutospacing="1" w:line="240" w:lineRule="auto"/>
      <w:jc w:val="center"/>
    </w:pPr>
    <w:rPr>
      <w:sz w:val="18"/>
      <w:szCs w:val="18"/>
      <w:lang w:val="it-IT" w:eastAsia="it-IT"/>
    </w:rPr>
  </w:style>
  <w:style w:type="paragraph" w:customStyle="1" w:styleId="xl130">
    <w:name w:val="xl130"/>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1">
    <w:name w:val="xl131"/>
    <w:basedOn w:val="a"/>
    <w:rsid w:val="00813CEF"/>
    <w:pPr>
      <w:pBdr>
        <w:left w:val="single" w:sz="4" w:space="0" w:color="auto"/>
        <w:right w:val="single" w:sz="4" w:space="0" w:color="auto"/>
      </w:pBdr>
      <w:spacing w:before="100" w:beforeAutospacing="1" w:after="100" w:afterAutospacing="1" w:line="240" w:lineRule="auto"/>
    </w:pPr>
    <w:rPr>
      <w:sz w:val="16"/>
      <w:szCs w:val="16"/>
      <w:lang w:val="it-IT" w:eastAsia="it-IT"/>
    </w:rPr>
  </w:style>
  <w:style w:type="paragraph" w:customStyle="1" w:styleId="xl132">
    <w:name w:val="xl132"/>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6"/>
      <w:szCs w:val="16"/>
      <w:lang w:val="it-IT" w:eastAsia="it-IT"/>
    </w:rPr>
  </w:style>
  <w:style w:type="paragraph" w:customStyle="1" w:styleId="xl133">
    <w:name w:val="xl133"/>
    <w:basedOn w:val="a"/>
    <w:rsid w:val="00813CEF"/>
    <w:pPr>
      <w:pBdr>
        <w:top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4">
    <w:name w:val="xl134"/>
    <w:basedOn w:val="a"/>
    <w:rsid w:val="00813CEF"/>
    <w:pPr>
      <w:pBdr>
        <w:right w:val="single" w:sz="4" w:space="0" w:color="auto"/>
      </w:pBdr>
      <w:spacing w:before="100" w:beforeAutospacing="1" w:after="100" w:afterAutospacing="1" w:line="240" w:lineRule="auto"/>
      <w:jc w:val="center"/>
    </w:pPr>
    <w:rPr>
      <w:sz w:val="16"/>
      <w:szCs w:val="16"/>
      <w:lang w:val="it-IT" w:eastAsia="it-IT"/>
    </w:rPr>
  </w:style>
  <w:style w:type="paragraph" w:customStyle="1" w:styleId="xl135">
    <w:name w:val="xl135"/>
    <w:basedOn w:val="a"/>
    <w:rsid w:val="00813CEF"/>
    <w:pPr>
      <w:pBdr>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6">
    <w:name w:val="xl136"/>
    <w:basedOn w:val="a"/>
    <w:rsid w:val="00813CEF"/>
    <w:pPr>
      <w:pBdr>
        <w:top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7">
    <w:name w:val="xl137"/>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8">
    <w:name w:val="xl138"/>
    <w:basedOn w:val="a"/>
    <w:rsid w:val="00813CEF"/>
    <w:pPr>
      <w:pBdr>
        <w:left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9">
    <w:name w:val="xl139"/>
    <w:basedOn w:val="a"/>
    <w:rsid w:val="00813CEF"/>
    <w:pPr>
      <w:spacing w:before="100" w:beforeAutospacing="1" w:after="100" w:afterAutospacing="1" w:line="240" w:lineRule="auto"/>
      <w:jc w:val="center"/>
    </w:pPr>
    <w:rPr>
      <w:sz w:val="16"/>
      <w:szCs w:val="16"/>
      <w:lang w:val="it-IT" w:eastAsia="it-IT"/>
    </w:rPr>
  </w:style>
  <w:style w:type="character" w:styleId="ac">
    <w:name w:val="annotation reference"/>
    <w:uiPriority w:val="99"/>
    <w:semiHidden/>
    <w:unhideWhenUsed/>
    <w:rsid w:val="00C52C8B"/>
    <w:rPr>
      <w:sz w:val="21"/>
      <w:szCs w:val="21"/>
    </w:rPr>
  </w:style>
  <w:style w:type="paragraph" w:styleId="ad">
    <w:name w:val="annotation text"/>
    <w:basedOn w:val="a"/>
    <w:link w:val="Char2"/>
    <w:unhideWhenUsed/>
    <w:rsid w:val="00C52C8B"/>
  </w:style>
  <w:style w:type="character" w:customStyle="1" w:styleId="Char2">
    <w:name w:val="批注文字 Char"/>
    <w:link w:val="ad"/>
    <w:rsid w:val="00C52C8B"/>
    <w:rPr>
      <w:rFonts w:ascii="Times New Roman" w:eastAsia="Times New Roman" w:hAnsi="Times New Roman"/>
      <w:sz w:val="24"/>
      <w:szCs w:val="24"/>
      <w:lang w:val="en-US" w:eastAsia="en-US"/>
    </w:rPr>
  </w:style>
  <w:style w:type="paragraph" w:styleId="ae">
    <w:name w:val="annotation subject"/>
    <w:basedOn w:val="ad"/>
    <w:next w:val="ad"/>
    <w:link w:val="Char3"/>
    <w:uiPriority w:val="99"/>
    <w:semiHidden/>
    <w:unhideWhenUsed/>
    <w:rsid w:val="00C52C8B"/>
    <w:rPr>
      <w:b/>
      <w:bCs/>
    </w:rPr>
  </w:style>
  <w:style w:type="character" w:customStyle="1" w:styleId="Char3">
    <w:name w:val="批注主题 Char"/>
    <w:link w:val="ae"/>
    <w:uiPriority w:val="99"/>
    <w:semiHidden/>
    <w:rsid w:val="00C52C8B"/>
    <w:rPr>
      <w:rFonts w:ascii="Times New Roman" w:eastAsia="Times New Roman" w:hAnsi="Times New Roman"/>
      <w:b/>
      <w:bCs/>
      <w:sz w:val="24"/>
      <w:szCs w:val="24"/>
      <w:lang w:val="en-US" w:eastAsia="en-US"/>
    </w:rPr>
  </w:style>
  <w:style w:type="character" w:customStyle="1" w:styleId="gt-baf-back">
    <w:name w:val="gt-baf-back"/>
    <w:basedOn w:val="a0"/>
    <w:rsid w:val="004E75F3"/>
  </w:style>
  <w:style w:type="paragraph" w:styleId="af">
    <w:name w:val="Revision"/>
    <w:hidden/>
    <w:uiPriority w:val="99"/>
    <w:semiHidden/>
    <w:rsid w:val="00A37881"/>
    <w:rPr>
      <w:rFonts w:ascii="Times New Roman" w:eastAsia="Times New Roman" w:hAnsi="Times New Roman"/>
      <w:sz w:val="24"/>
      <w:szCs w:val="24"/>
      <w:lang w:eastAsia="en-US"/>
    </w:rPr>
  </w:style>
  <w:style w:type="paragraph" w:styleId="af0">
    <w:name w:val="Plain Text"/>
    <w:basedOn w:val="a"/>
    <w:link w:val="Char4"/>
    <w:rsid w:val="00EE0BCA"/>
    <w:pPr>
      <w:widowControl w:val="0"/>
      <w:spacing w:line="240" w:lineRule="auto"/>
      <w:jc w:val="both"/>
    </w:pPr>
    <w:rPr>
      <w:rFonts w:ascii="宋体" w:eastAsia="宋体" w:hAnsi="Courier New" w:cs="Courier New"/>
      <w:kern w:val="2"/>
      <w:sz w:val="21"/>
      <w:szCs w:val="21"/>
      <w:lang w:eastAsia="zh-CN"/>
    </w:rPr>
  </w:style>
  <w:style w:type="character" w:customStyle="1" w:styleId="Char4">
    <w:name w:val="纯文本 Char"/>
    <w:link w:val="af0"/>
    <w:rsid w:val="00EE0BCA"/>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6E5"/>
    <w:pPr>
      <w:spacing w:line="480" w:lineRule="auto"/>
    </w:pPr>
    <w:rPr>
      <w:rFonts w:ascii="Times New Roman" w:eastAsia="Times New Roman" w:hAnsi="Times New Roman"/>
      <w:sz w:val="24"/>
      <w:szCs w:val="24"/>
      <w:lang w:eastAsia="en-US"/>
    </w:rPr>
  </w:style>
  <w:style w:type="paragraph" w:styleId="1">
    <w:name w:val="heading 1"/>
    <w:basedOn w:val="a"/>
    <w:next w:val="a"/>
    <w:link w:val="1Char"/>
    <w:qFormat/>
    <w:rsid w:val="003D23AF"/>
    <w:pPr>
      <w:keepNext/>
      <w:outlineLvl w:val="0"/>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56E5"/>
    <w:pPr>
      <w:tabs>
        <w:tab w:val="center" w:pos="4819"/>
        <w:tab w:val="right" w:pos="9638"/>
      </w:tabs>
      <w:spacing w:line="240" w:lineRule="auto"/>
    </w:pPr>
  </w:style>
  <w:style w:type="character" w:customStyle="1" w:styleId="Char">
    <w:name w:val="页眉 Char"/>
    <w:basedOn w:val="a0"/>
    <w:link w:val="a3"/>
    <w:uiPriority w:val="99"/>
    <w:rsid w:val="000956E5"/>
  </w:style>
  <w:style w:type="paragraph" w:styleId="a4">
    <w:name w:val="footer"/>
    <w:basedOn w:val="a"/>
    <w:link w:val="Char0"/>
    <w:uiPriority w:val="99"/>
    <w:unhideWhenUsed/>
    <w:rsid w:val="000956E5"/>
    <w:pPr>
      <w:tabs>
        <w:tab w:val="center" w:pos="4819"/>
        <w:tab w:val="right" w:pos="9638"/>
      </w:tabs>
      <w:spacing w:line="240" w:lineRule="auto"/>
    </w:pPr>
  </w:style>
  <w:style w:type="character" w:customStyle="1" w:styleId="Char0">
    <w:name w:val="页脚 Char"/>
    <w:basedOn w:val="a0"/>
    <w:link w:val="a4"/>
    <w:uiPriority w:val="99"/>
    <w:rsid w:val="000956E5"/>
  </w:style>
  <w:style w:type="paragraph" w:styleId="a5">
    <w:name w:val="No Spacing"/>
    <w:uiPriority w:val="1"/>
    <w:qFormat/>
    <w:rsid w:val="000956E5"/>
    <w:rPr>
      <w:rFonts w:ascii="Cambria" w:eastAsia="Times New Roman" w:hAnsi="Cambria"/>
      <w:sz w:val="24"/>
      <w:szCs w:val="24"/>
      <w:lang w:eastAsia="it-IT"/>
    </w:rPr>
  </w:style>
  <w:style w:type="paragraph" w:styleId="a6">
    <w:name w:val="List Paragraph"/>
    <w:basedOn w:val="a"/>
    <w:uiPriority w:val="34"/>
    <w:qFormat/>
    <w:rsid w:val="000956E5"/>
    <w:pPr>
      <w:spacing w:after="160" w:line="259" w:lineRule="auto"/>
      <w:ind w:left="720"/>
      <w:contextualSpacing/>
    </w:pPr>
    <w:rPr>
      <w:rFonts w:ascii="Calibri" w:eastAsia="Calibri" w:hAnsi="Calibri"/>
      <w:sz w:val="22"/>
      <w:szCs w:val="22"/>
      <w:lang w:val="it-IT"/>
    </w:rPr>
  </w:style>
  <w:style w:type="character" w:customStyle="1" w:styleId="mb">
    <w:name w:val="mb"/>
    <w:basedOn w:val="a0"/>
    <w:rsid w:val="000956E5"/>
  </w:style>
  <w:style w:type="paragraph" w:styleId="a7">
    <w:name w:val="Balloon Text"/>
    <w:basedOn w:val="a"/>
    <w:link w:val="Char1"/>
    <w:uiPriority w:val="99"/>
    <w:semiHidden/>
    <w:unhideWhenUsed/>
    <w:rsid w:val="000956E5"/>
    <w:pPr>
      <w:spacing w:line="240" w:lineRule="auto"/>
    </w:pPr>
    <w:rPr>
      <w:rFonts w:ascii="Tahoma" w:hAnsi="Tahoma"/>
      <w:sz w:val="16"/>
      <w:szCs w:val="16"/>
      <w:lang w:eastAsia="x-none"/>
    </w:rPr>
  </w:style>
  <w:style w:type="character" w:customStyle="1" w:styleId="Char1">
    <w:name w:val="批注框文本 Char"/>
    <w:link w:val="a7"/>
    <w:uiPriority w:val="99"/>
    <w:semiHidden/>
    <w:rsid w:val="000956E5"/>
    <w:rPr>
      <w:rFonts w:ascii="Tahoma" w:eastAsia="Times New Roman" w:hAnsi="Tahoma" w:cs="Tahoma"/>
      <w:sz w:val="16"/>
      <w:szCs w:val="16"/>
      <w:lang w:val="en-US"/>
    </w:rPr>
  </w:style>
  <w:style w:type="character" w:customStyle="1" w:styleId="1Char">
    <w:name w:val="标题 1 Char"/>
    <w:link w:val="1"/>
    <w:rsid w:val="003D23AF"/>
    <w:rPr>
      <w:rFonts w:ascii="Times New Roman" w:eastAsia="Times New Roman" w:hAnsi="Times New Roman"/>
      <w:i/>
      <w:iCs/>
      <w:sz w:val="24"/>
      <w:szCs w:val="24"/>
      <w:lang w:val="en-US" w:eastAsia="en-US"/>
    </w:rPr>
  </w:style>
  <w:style w:type="character" w:styleId="a8">
    <w:name w:val="Hyperlink"/>
    <w:uiPriority w:val="99"/>
    <w:unhideWhenUsed/>
    <w:rsid w:val="003D23AF"/>
    <w:rPr>
      <w:color w:val="0000FF"/>
      <w:u w:val="single"/>
    </w:rPr>
  </w:style>
  <w:style w:type="character" w:customStyle="1" w:styleId="jrnl">
    <w:name w:val="jrnl"/>
    <w:basedOn w:val="a0"/>
    <w:rsid w:val="003D23AF"/>
  </w:style>
  <w:style w:type="character" w:styleId="a9">
    <w:name w:val="Subtle Emphasis"/>
    <w:uiPriority w:val="19"/>
    <w:qFormat/>
    <w:rsid w:val="00D25B58"/>
    <w:rPr>
      <w:i/>
      <w:iCs/>
      <w:color w:val="404040"/>
    </w:rPr>
  </w:style>
  <w:style w:type="table" w:customStyle="1" w:styleId="Grigliatabella1">
    <w:name w:val="Griglia tabella1"/>
    <w:basedOn w:val="a1"/>
    <w:next w:val="aa"/>
    <w:uiPriority w:val="39"/>
    <w:rsid w:val="00D76D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39"/>
    <w:rsid w:val="00D76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a1"/>
    <w:next w:val="aa"/>
    <w:uiPriority w:val="39"/>
    <w:rsid w:val="006A486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a1"/>
    <w:next w:val="aa"/>
    <w:uiPriority w:val="39"/>
    <w:rsid w:val="004F6BD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a1"/>
    <w:next w:val="aa"/>
    <w:uiPriority w:val="39"/>
    <w:rsid w:val="003865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a1"/>
    <w:next w:val="aa"/>
    <w:uiPriority w:val="39"/>
    <w:rsid w:val="007017F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1">
    <w:name w:val="Nessun elenco1"/>
    <w:next w:val="a2"/>
    <w:uiPriority w:val="99"/>
    <w:semiHidden/>
    <w:unhideWhenUsed/>
    <w:rsid w:val="00813CEF"/>
  </w:style>
  <w:style w:type="character" w:styleId="ab">
    <w:name w:val="FollowedHyperlink"/>
    <w:uiPriority w:val="99"/>
    <w:semiHidden/>
    <w:unhideWhenUsed/>
    <w:rsid w:val="00813CEF"/>
    <w:rPr>
      <w:color w:val="954F72"/>
      <w:u w:val="single"/>
    </w:rPr>
  </w:style>
  <w:style w:type="paragraph" w:customStyle="1" w:styleId="xl63">
    <w:name w:val="xl63"/>
    <w:basedOn w:val="a"/>
    <w:rsid w:val="00813CEF"/>
    <w:pPr>
      <w:spacing w:before="100" w:beforeAutospacing="1" w:after="100" w:afterAutospacing="1" w:line="240" w:lineRule="auto"/>
    </w:pPr>
    <w:rPr>
      <w:sz w:val="18"/>
      <w:szCs w:val="18"/>
      <w:lang w:val="it-IT" w:eastAsia="it-IT"/>
    </w:rPr>
  </w:style>
  <w:style w:type="paragraph" w:customStyle="1" w:styleId="xl64">
    <w:name w:val="xl64"/>
    <w:basedOn w:val="a"/>
    <w:rsid w:val="00813CEF"/>
    <w:pPr>
      <w:spacing w:before="100" w:beforeAutospacing="1" w:after="100" w:afterAutospacing="1" w:line="240" w:lineRule="auto"/>
    </w:pPr>
    <w:rPr>
      <w:sz w:val="18"/>
      <w:szCs w:val="18"/>
      <w:lang w:val="it-IT" w:eastAsia="it-IT"/>
    </w:rPr>
  </w:style>
  <w:style w:type="paragraph" w:customStyle="1" w:styleId="xl65">
    <w:name w:val="xl65"/>
    <w:basedOn w:val="a"/>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66">
    <w:name w:val="xl66"/>
    <w:basedOn w:val="a"/>
    <w:rsid w:val="00813CEF"/>
    <w:pPr>
      <w:pBdr>
        <w:left w:val="single" w:sz="4" w:space="0" w:color="auto"/>
        <w:bottom w:val="single" w:sz="4" w:space="0" w:color="auto"/>
      </w:pBdr>
      <w:spacing w:before="100" w:beforeAutospacing="1" w:after="100" w:afterAutospacing="1" w:line="240" w:lineRule="auto"/>
    </w:pPr>
    <w:rPr>
      <w:sz w:val="18"/>
      <w:szCs w:val="18"/>
      <w:lang w:val="it-IT" w:eastAsia="it-IT"/>
    </w:rPr>
  </w:style>
  <w:style w:type="paragraph" w:customStyle="1" w:styleId="xl67">
    <w:name w:val="xl67"/>
    <w:basedOn w:val="a"/>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68">
    <w:name w:val="xl68"/>
    <w:basedOn w:val="a"/>
    <w:rsid w:val="00813CEF"/>
    <w:pPr>
      <w:pBdr>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69">
    <w:name w:val="xl69"/>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0">
    <w:name w:val="xl70"/>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1">
    <w:name w:val="xl71"/>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2">
    <w:name w:val="xl72"/>
    <w:basedOn w:val="a"/>
    <w:rsid w:val="00813CEF"/>
    <w:pPr>
      <w:pBdr>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3">
    <w:name w:val="xl73"/>
    <w:basedOn w:val="a"/>
    <w:rsid w:val="00813CEF"/>
    <w:pPr>
      <w:pBdr>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4">
    <w:name w:val="xl74"/>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5">
    <w:name w:val="xl75"/>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6">
    <w:name w:val="xl76"/>
    <w:basedOn w:val="a"/>
    <w:rsid w:val="00813CEF"/>
    <w:pPr>
      <w:pBdr>
        <w:top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7">
    <w:name w:val="xl77"/>
    <w:basedOn w:val="a"/>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8">
    <w:name w:val="xl78"/>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9">
    <w:name w:val="xl79"/>
    <w:basedOn w:val="a"/>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80">
    <w:name w:val="xl80"/>
    <w:basedOn w:val="a"/>
    <w:rsid w:val="00813CEF"/>
    <w:pPr>
      <w:pBdr>
        <w:top w:val="single" w:sz="4" w:space="0" w:color="auto"/>
        <w:bottom w:val="single" w:sz="4" w:space="0" w:color="auto"/>
      </w:pBdr>
      <w:spacing w:before="100" w:beforeAutospacing="1" w:after="100" w:afterAutospacing="1" w:line="240" w:lineRule="auto"/>
    </w:pPr>
    <w:rPr>
      <w:sz w:val="18"/>
      <w:szCs w:val="18"/>
      <w:lang w:val="it-IT" w:eastAsia="it-IT"/>
    </w:rPr>
  </w:style>
  <w:style w:type="paragraph" w:customStyle="1" w:styleId="xl81">
    <w:name w:val="xl81"/>
    <w:basedOn w:val="a"/>
    <w:rsid w:val="00813CEF"/>
    <w:pPr>
      <w:pBdr>
        <w:top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82">
    <w:name w:val="xl82"/>
    <w:basedOn w:val="a"/>
    <w:rsid w:val="00813CEF"/>
    <w:pPr>
      <w:spacing w:before="100" w:beforeAutospacing="1" w:after="100" w:afterAutospacing="1" w:line="240" w:lineRule="auto"/>
    </w:pPr>
    <w:rPr>
      <w:sz w:val="16"/>
      <w:szCs w:val="16"/>
      <w:lang w:val="it-IT" w:eastAsia="it-IT"/>
    </w:rPr>
  </w:style>
  <w:style w:type="paragraph" w:customStyle="1" w:styleId="xl83">
    <w:name w:val="xl83"/>
    <w:basedOn w:val="a"/>
    <w:rsid w:val="00813CEF"/>
    <w:pPr>
      <w:pBdr>
        <w:bottom w:val="single" w:sz="4" w:space="0" w:color="auto"/>
      </w:pBdr>
      <w:spacing w:before="100" w:beforeAutospacing="1" w:after="100" w:afterAutospacing="1" w:line="240" w:lineRule="auto"/>
    </w:pPr>
    <w:rPr>
      <w:sz w:val="16"/>
      <w:szCs w:val="16"/>
      <w:lang w:val="it-IT" w:eastAsia="it-IT"/>
    </w:rPr>
  </w:style>
  <w:style w:type="paragraph" w:customStyle="1" w:styleId="xl84">
    <w:name w:val="xl84"/>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85">
    <w:name w:val="xl85"/>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86">
    <w:name w:val="xl86"/>
    <w:basedOn w:val="a"/>
    <w:rsid w:val="00813CEF"/>
    <w:pPr>
      <w:pBdr>
        <w:top w:val="single" w:sz="4" w:space="0" w:color="auto"/>
        <w:left w:val="single" w:sz="4" w:space="0" w:color="auto"/>
        <w:bottom w:val="single" w:sz="4" w:space="0" w:color="auto"/>
      </w:pBdr>
      <w:spacing w:before="100" w:beforeAutospacing="1" w:after="100" w:afterAutospacing="1" w:line="240" w:lineRule="auto"/>
      <w:jc w:val="center"/>
    </w:pPr>
    <w:rPr>
      <w:sz w:val="18"/>
      <w:szCs w:val="18"/>
      <w:lang w:val="it-IT" w:eastAsia="it-IT"/>
    </w:rPr>
  </w:style>
  <w:style w:type="paragraph" w:customStyle="1" w:styleId="xl87">
    <w:name w:val="xl87"/>
    <w:basedOn w:val="a"/>
    <w:rsid w:val="00813CEF"/>
    <w:pPr>
      <w:spacing w:before="100" w:beforeAutospacing="1" w:after="100" w:afterAutospacing="1" w:line="240" w:lineRule="auto"/>
    </w:pPr>
    <w:rPr>
      <w:sz w:val="18"/>
      <w:szCs w:val="18"/>
      <w:lang w:val="it-IT" w:eastAsia="it-IT"/>
    </w:rPr>
  </w:style>
  <w:style w:type="paragraph" w:customStyle="1" w:styleId="xl88">
    <w:name w:val="xl88"/>
    <w:basedOn w:val="a"/>
    <w:rsid w:val="00813CEF"/>
    <w:pPr>
      <w:spacing w:before="100" w:beforeAutospacing="1" w:after="100" w:afterAutospacing="1" w:line="240" w:lineRule="auto"/>
      <w:jc w:val="center"/>
    </w:pPr>
    <w:rPr>
      <w:sz w:val="18"/>
      <w:szCs w:val="18"/>
      <w:lang w:val="it-IT" w:eastAsia="it-IT"/>
    </w:rPr>
  </w:style>
  <w:style w:type="paragraph" w:customStyle="1" w:styleId="xl89">
    <w:name w:val="xl89"/>
    <w:basedOn w:val="a"/>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pPr>
    <w:rPr>
      <w:sz w:val="20"/>
      <w:szCs w:val="20"/>
      <w:lang w:val="it-IT" w:eastAsia="it-IT"/>
    </w:rPr>
  </w:style>
  <w:style w:type="paragraph" w:customStyle="1" w:styleId="xl90">
    <w:name w:val="xl90"/>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val="it-IT" w:eastAsia="it-IT"/>
    </w:rPr>
  </w:style>
  <w:style w:type="paragraph" w:customStyle="1" w:styleId="xl91">
    <w:name w:val="xl91"/>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val="it-IT" w:eastAsia="it-IT"/>
    </w:rPr>
  </w:style>
  <w:style w:type="paragraph" w:customStyle="1" w:styleId="xl92">
    <w:name w:val="xl92"/>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3">
    <w:name w:val="xl93"/>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94">
    <w:name w:val="xl94"/>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18"/>
      <w:szCs w:val="18"/>
      <w:lang w:val="it-IT" w:eastAsia="it-IT"/>
    </w:rPr>
  </w:style>
  <w:style w:type="paragraph" w:customStyle="1" w:styleId="xl95">
    <w:name w:val="xl95"/>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96">
    <w:name w:val="xl96"/>
    <w:basedOn w:val="a"/>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7">
    <w:name w:val="xl97"/>
    <w:basedOn w:val="a"/>
    <w:rsid w:val="00813CEF"/>
    <w:pPr>
      <w:pBdr>
        <w:top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8">
    <w:name w:val="xl98"/>
    <w:basedOn w:val="a"/>
    <w:rsid w:val="00813CEF"/>
    <w:pPr>
      <w:pBdr>
        <w:left w:val="single" w:sz="4" w:space="0" w:color="auto"/>
      </w:pBdr>
      <w:spacing w:before="100" w:beforeAutospacing="1" w:after="100" w:afterAutospacing="1" w:line="240" w:lineRule="auto"/>
    </w:pPr>
    <w:rPr>
      <w:sz w:val="18"/>
      <w:szCs w:val="18"/>
      <w:lang w:val="it-IT" w:eastAsia="it-IT"/>
    </w:rPr>
  </w:style>
  <w:style w:type="paragraph" w:customStyle="1" w:styleId="xl99">
    <w:name w:val="xl99"/>
    <w:basedOn w:val="a"/>
    <w:rsid w:val="00813CEF"/>
    <w:pPr>
      <w:pBdr>
        <w:right w:val="single" w:sz="4" w:space="0" w:color="auto"/>
      </w:pBdr>
      <w:spacing w:before="100" w:beforeAutospacing="1" w:after="100" w:afterAutospacing="1" w:line="240" w:lineRule="auto"/>
    </w:pPr>
    <w:rPr>
      <w:sz w:val="18"/>
      <w:szCs w:val="18"/>
      <w:lang w:val="it-IT" w:eastAsia="it-IT"/>
    </w:rPr>
  </w:style>
  <w:style w:type="paragraph" w:customStyle="1" w:styleId="xl100">
    <w:name w:val="xl100"/>
    <w:basedOn w:val="a"/>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101">
    <w:name w:val="xl101"/>
    <w:basedOn w:val="a"/>
    <w:rsid w:val="00813CEF"/>
    <w:pPr>
      <w:pBdr>
        <w:bottom w:val="single" w:sz="4" w:space="0" w:color="auto"/>
      </w:pBdr>
      <w:spacing w:before="100" w:beforeAutospacing="1" w:after="100" w:afterAutospacing="1" w:line="240" w:lineRule="auto"/>
      <w:jc w:val="center"/>
    </w:pPr>
    <w:rPr>
      <w:sz w:val="18"/>
      <w:szCs w:val="18"/>
      <w:lang w:val="it-IT" w:eastAsia="it-IT"/>
    </w:rPr>
  </w:style>
  <w:style w:type="paragraph" w:customStyle="1" w:styleId="xl102">
    <w:name w:val="xl102"/>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3">
    <w:name w:val="xl103"/>
    <w:basedOn w:val="a"/>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4">
    <w:name w:val="xl104"/>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5">
    <w:name w:val="xl105"/>
    <w:basedOn w:val="a"/>
    <w:rsid w:val="00813CEF"/>
    <w:pPr>
      <w:pBdr>
        <w:lef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6">
    <w:name w:val="xl106"/>
    <w:basedOn w:val="a"/>
    <w:rsid w:val="00813CEF"/>
    <w:pPr>
      <w:spacing w:before="100" w:beforeAutospacing="1" w:after="100" w:afterAutospacing="1" w:line="240" w:lineRule="auto"/>
      <w:jc w:val="center"/>
      <w:textAlignment w:val="center"/>
    </w:pPr>
    <w:rPr>
      <w:sz w:val="18"/>
      <w:szCs w:val="18"/>
      <w:lang w:val="it-IT" w:eastAsia="it-IT"/>
    </w:rPr>
  </w:style>
  <w:style w:type="paragraph" w:customStyle="1" w:styleId="xl107">
    <w:name w:val="xl107"/>
    <w:basedOn w:val="a"/>
    <w:rsid w:val="00813CEF"/>
    <w:pPr>
      <w:pBdr>
        <w:righ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8">
    <w:name w:val="xl108"/>
    <w:basedOn w:val="a"/>
    <w:rsid w:val="00813CEF"/>
    <w:pPr>
      <w:pBdr>
        <w:left w:val="single" w:sz="4" w:space="0" w:color="auto"/>
        <w:bottom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9">
    <w:name w:val="xl109"/>
    <w:basedOn w:val="a"/>
    <w:rsid w:val="00813CEF"/>
    <w:pPr>
      <w:pBdr>
        <w:bottom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10">
    <w:name w:val="xl110"/>
    <w:basedOn w:val="a"/>
    <w:rsid w:val="00813CEF"/>
    <w:pPr>
      <w:pBdr>
        <w:bottom w:val="single" w:sz="4" w:space="0" w:color="auto"/>
        <w:righ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11">
    <w:name w:val="xl111"/>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2">
    <w:name w:val="xl112"/>
    <w:basedOn w:val="a"/>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3">
    <w:name w:val="xl113"/>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4">
    <w:name w:val="xl114"/>
    <w:basedOn w:val="a"/>
    <w:rsid w:val="00813CEF"/>
    <w:pPr>
      <w:pBdr>
        <w:left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5">
    <w:name w:val="xl115"/>
    <w:basedOn w:val="a"/>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6">
    <w:name w:val="xl116"/>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7">
    <w:name w:val="xl117"/>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8">
    <w:name w:val="xl118"/>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9">
    <w:name w:val="xl119"/>
    <w:basedOn w:val="a"/>
    <w:rsid w:val="00813CEF"/>
    <w:pPr>
      <w:pBdr>
        <w:left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0">
    <w:name w:val="xl120"/>
    <w:basedOn w:val="a"/>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1">
    <w:name w:val="xl121"/>
    <w:basedOn w:val="a"/>
    <w:rsid w:val="00813CEF"/>
    <w:pPr>
      <w:pBdr>
        <w:left w:val="single" w:sz="4" w:space="0" w:color="auto"/>
      </w:pBdr>
      <w:spacing w:before="100" w:beforeAutospacing="1" w:after="100" w:afterAutospacing="1" w:line="240" w:lineRule="auto"/>
      <w:jc w:val="center"/>
    </w:pPr>
    <w:rPr>
      <w:sz w:val="18"/>
      <w:szCs w:val="18"/>
      <w:lang w:val="it-IT" w:eastAsia="it-IT"/>
    </w:rPr>
  </w:style>
  <w:style w:type="paragraph" w:customStyle="1" w:styleId="xl122">
    <w:name w:val="xl122"/>
    <w:basedOn w:val="a"/>
    <w:rsid w:val="00813CEF"/>
    <w:pPr>
      <w:spacing w:before="100" w:beforeAutospacing="1" w:after="100" w:afterAutospacing="1" w:line="240" w:lineRule="auto"/>
      <w:jc w:val="center"/>
    </w:pPr>
    <w:rPr>
      <w:sz w:val="18"/>
      <w:szCs w:val="18"/>
      <w:lang w:val="it-IT" w:eastAsia="it-IT"/>
    </w:rPr>
  </w:style>
  <w:style w:type="paragraph" w:customStyle="1" w:styleId="xl123">
    <w:name w:val="xl123"/>
    <w:basedOn w:val="a"/>
    <w:rsid w:val="00813CEF"/>
    <w:pPr>
      <w:pBdr>
        <w:right w:val="single" w:sz="4" w:space="0" w:color="auto"/>
      </w:pBdr>
      <w:spacing w:before="100" w:beforeAutospacing="1" w:after="100" w:afterAutospacing="1" w:line="240" w:lineRule="auto"/>
      <w:jc w:val="center"/>
    </w:pPr>
    <w:rPr>
      <w:sz w:val="18"/>
      <w:szCs w:val="18"/>
      <w:lang w:val="it-IT" w:eastAsia="it-IT"/>
    </w:rPr>
  </w:style>
  <w:style w:type="paragraph" w:customStyle="1" w:styleId="xl124">
    <w:name w:val="xl124"/>
    <w:basedOn w:val="a"/>
    <w:rsid w:val="00813CEF"/>
    <w:pPr>
      <w:pBdr>
        <w:left w:val="single" w:sz="4" w:space="0" w:color="auto"/>
      </w:pBdr>
      <w:spacing w:before="100" w:beforeAutospacing="1" w:after="100" w:afterAutospacing="1" w:line="240" w:lineRule="auto"/>
      <w:jc w:val="center"/>
    </w:pPr>
    <w:rPr>
      <w:sz w:val="18"/>
      <w:szCs w:val="18"/>
      <w:lang w:val="it-IT" w:eastAsia="it-IT"/>
    </w:rPr>
  </w:style>
  <w:style w:type="paragraph" w:customStyle="1" w:styleId="xl125">
    <w:name w:val="xl125"/>
    <w:basedOn w:val="a"/>
    <w:rsid w:val="00813CEF"/>
    <w:pPr>
      <w:spacing w:before="100" w:beforeAutospacing="1" w:after="100" w:afterAutospacing="1" w:line="240" w:lineRule="auto"/>
      <w:jc w:val="center"/>
    </w:pPr>
    <w:rPr>
      <w:sz w:val="18"/>
      <w:szCs w:val="18"/>
      <w:lang w:val="it-IT" w:eastAsia="it-IT"/>
    </w:rPr>
  </w:style>
  <w:style w:type="paragraph" w:customStyle="1" w:styleId="xl126">
    <w:name w:val="xl126"/>
    <w:basedOn w:val="a"/>
    <w:rsid w:val="00813CEF"/>
    <w:pPr>
      <w:pBdr>
        <w:right w:val="single" w:sz="4" w:space="0" w:color="auto"/>
      </w:pBdr>
      <w:spacing w:before="100" w:beforeAutospacing="1" w:after="100" w:afterAutospacing="1" w:line="240" w:lineRule="auto"/>
      <w:jc w:val="center"/>
    </w:pPr>
    <w:rPr>
      <w:sz w:val="18"/>
      <w:szCs w:val="18"/>
      <w:lang w:val="it-IT" w:eastAsia="it-IT"/>
    </w:rPr>
  </w:style>
  <w:style w:type="paragraph" w:customStyle="1" w:styleId="xl127">
    <w:name w:val="xl127"/>
    <w:basedOn w:val="a"/>
    <w:rsid w:val="00813CEF"/>
    <w:pPr>
      <w:pBdr>
        <w:bottom w:val="single" w:sz="4" w:space="0" w:color="auto"/>
      </w:pBdr>
      <w:spacing w:before="100" w:beforeAutospacing="1" w:after="100" w:afterAutospacing="1" w:line="240" w:lineRule="auto"/>
      <w:jc w:val="center"/>
    </w:pPr>
    <w:rPr>
      <w:sz w:val="18"/>
      <w:szCs w:val="18"/>
      <w:lang w:val="it-IT" w:eastAsia="it-IT"/>
    </w:rPr>
  </w:style>
  <w:style w:type="paragraph" w:customStyle="1" w:styleId="xl128">
    <w:name w:val="xl128"/>
    <w:basedOn w:val="a"/>
    <w:rsid w:val="00813CEF"/>
    <w:pPr>
      <w:pBdr>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9">
    <w:name w:val="xl129"/>
    <w:basedOn w:val="a"/>
    <w:rsid w:val="00813CEF"/>
    <w:pPr>
      <w:pBdr>
        <w:left w:val="single" w:sz="4" w:space="0" w:color="auto"/>
        <w:bottom w:val="single" w:sz="4" w:space="0" w:color="auto"/>
      </w:pBdr>
      <w:spacing w:before="100" w:beforeAutospacing="1" w:after="100" w:afterAutospacing="1" w:line="240" w:lineRule="auto"/>
      <w:jc w:val="center"/>
    </w:pPr>
    <w:rPr>
      <w:sz w:val="18"/>
      <w:szCs w:val="18"/>
      <w:lang w:val="it-IT" w:eastAsia="it-IT"/>
    </w:rPr>
  </w:style>
  <w:style w:type="paragraph" w:customStyle="1" w:styleId="xl130">
    <w:name w:val="xl130"/>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1">
    <w:name w:val="xl131"/>
    <w:basedOn w:val="a"/>
    <w:rsid w:val="00813CEF"/>
    <w:pPr>
      <w:pBdr>
        <w:left w:val="single" w:sz="4" w:space="0" w:color="auto"/>
        <w:right w:val="single" w:sz="4" w:space="0" w:color="auto"/>
      </w:pBdr>
      <w:spacing w:before="100" w:beforeAutospacing="1" w:after="100" w:afterAutospacing="1" w:line="240" w:lineRule="auto"/>
    </w:pPr>
    <w:rPr>
      <w:sz w:val="16"/>
      <w:szCs w:val="16"/>
      <w:lang w:val="it-IT" w:eastAsia="it-IT"/>
    </w:rPr>
  </w:style>
  <w:style w:type="paragraph" w:customStyle="1" w:styleId="xl132">
    <w:name w:val="xl132"/>
    <w:basedOn w:val="a"/>
    <w:rsid w:val="00813CEF"/>
    <w:pPr>
      <w:pBdr>
        <w:left w:val="single" w:sz="4" w:space="0" w:color="auto"/>
        <w:bottom w:val="single" w:sz="4" w:space="0" w:color="auto"/>
        <w:right w:val="single" w:sz="4" w:space="0" w:color="auto"/>
      </w:pBdr>
      <w:spacing w:before="100" w:beforeAutospacing="1" w:after="100" w:afterAutospacing="1" w:line="240" w:lineRule="auto"/>
    </w:pPr>
    <w:rPr>
      <w:sz w:val="16"/>
      <w:szCs w:val="16"/>
      <w:lang w:val="it-IT" w:eastAsia="it-IT"/>
    </w:rPr>
  </w:style>
  <w:style w:type="paragraph" w:customStyle="1" w:styleId="xl133">
    <w:name w:val="xl133"/>
    <w:basedOn w:val="a"/>
    <w:rsid w:val="00813CEF"/>
    <w:pPr>
      <w:pBdr>
        <w:top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4">
    <w:name w:val="xl134"/>
    <w:basedOn w:val="a"/>
    <w:rsid w:val="00813CEF"/>
    <w:pPr>
      <w:pBdr>
        <w:right w:val="single" w:sz="4" w:space="0" w:color="auto"/>
      </w:pBdr>
      <w:spacing w:before="100" w:beforeAutospacing="1" w:after="100" w:afterAutospacing="1" w:line="240" w:lineRule="auto"/>
      <w:jc w:val="center"/>
    </w:pPr>
    <w:rPr>
      <w:sz w:val="16"/>
      <w:szCs w:val="16"/>
      <w:lang w:val="it-IT" w:eastAsia="it-IT"/>
    </w:rPr>
  </w:style>
  <w:style w:type="paragraph" w:customStyle="1" w:styleId="xl135">
    <w:name w:val="xl135"/>
    <w:basedOn w:val="a"/>
    <w:rsid w:val="00813CEF"/>
    <w:pPr>
      <w:pBdr>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6">
    <w:name w:val="xl136"/>
    <w:basedOn w:val="a"/>
    <w:rsid w:val="00813CEF"/>
    <w:pPr>
      <w:pBdr>
        <w:top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7">
    <w:name w:val="xl137"/>
    <w:basedOn w:val="a"/>
    <w:rsid w:val="00813CEF"/>
    <w:pPr>
      <w:pBdr>
        <w:top w:val="single" w:sz="4" w:space="0" w:color="auto"/>
        <w:left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8">
    <w:name w:val="xl138"/>
    <w:basedOn w:val="a"/>
    <w:rsid w:val="00813CEF"/>
    <w:pPr>
      <w:pBdr>
        <w:left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9">
    <w:name w:val="xl139"/>
    <w:basedOn w:val="a"/>
    <w:rsid w:val="00813CEF"/>
    <w:pPr>
      <w:spacing w:before="100" w:beforeAutospacing="1" w:after="100" w:afterAutospacing="1" w:line="240" w:lineRule="auto"/>
      <w:jc w:val="center"/>
    </w:pPr>
    <w:rPr>
      <w:sz w:val="16"/>
      <w:szCs w:val="16"/>
      <w:lang w:val="it-IT" w:eastAsia="it-IT"/>
    </w:rPr>
  </w:style>
  <w:style w:type="character" w:styleId="ac">
    <w:name w:val="annotation reference"/>
    <w:uiPriority w:val="99"/>
    <w:semiHidden/>
    <w:unhideWhenUsed/>
    <w:rsid w:val="00C52C8B"/>
    <w:rPr>
      <w:sz w:val="21"/>
      <w:szCs w:val="21"/>
    </w:rPr>
  </w:style>
  <w:style w:type="paragraph" w:styleId="ad">
    <w:name w:val="annotation text"/>
    <w:basedOn w:val="a"/>
    <w:link w:val="Char2"/>
    <w:unhideWhenUsed/>
    <w:rsid w:val="00C52C8B"/>
  </w:style>
  <w:style w:type="character" w:customStyle="1" w:styleId="Char2">
    <w:name w:val="批注文字 Char"/>
    <w:link w:val="ad"/>
    <w:rsid w:val="00C52C8B"/>
    <w:rPr>
      <w:rFonts w:ascii="Times New Roman" w:eastAsia="Times New Roman" w:hAnsi="Times New Roman"/>
      <w:sz w:val="24"/>
      <w:szCs w:val="24"/>
      <w:lang w:val="en-US" w:eastAsia="en-US"/>
    </w:rPr>
  </w:style>
  <w:style w:type="paragraph" w:styleId="ae">
    <w:name w:val="annotation subject"/>
    <w:basedOn w:val="ad"/>
    <w:next w:val="ad"/>
    <w:link w:val="Char3"/>
    <w:uiPriority w:val="99"/>
    <w:semiHidden/>
    <w:unhideWhenUsed/>
    <w:rsid w:val="00C52C8B"/>
    <w:rPr>
      <w:b/>
      <w:bCs/>
    </w:rPr>
  </w:style>
  <w:style w:type="character" w:customStyle="1" w:styleId="Char3">
    <w:name w:val="批注主题 Char"/>
    <w:link w:val="ae"/>
    <w:uiPriority w:val="99"/>
    <w:semiHidden/>
    <w:rsid w:val="00C52C8B"/>
    <w:rPr>
      <w:rFonts w:ascii="Times New Roman" w:eastAsia="Times New Roman" w:hAnsi="Times New Roman"/>
      <w:b/>
      <w:bCs/>
      <w:sz w:val="24"/>
      <w:szCs w:val="24"/>
      <w:lang w:val="en-US" w:eastAsia="en-US"/>
    </w:rPr>
  </w:style>
  <w:style w:type="character" w:customStyle="1" w:styleId="gt-baf-back">
    <w:name w:val="gt-baf-back"/>
    <w:basedOn w:val="a0"/>
    <w:rsid w:val="004E75F3"/>
  </w:style>
  <w:style w:type="paragraph" w:styleId="af">
    <w:name w:val="Revision"/>
    <w:hidden/>
    <w:uiPriority w:val="99"/>
    <w:semiHidden/>
    <w:rsid w:val="00A37881"/>
    <w:rPr>
      <w:rFonts w:ascii="Times New Roman" w:eastAsia="Times New Roman" w:hAnsi="Times New Roman"/>
      <w:sz w:val="24"/>
      <w:szCs w:val="24"/>
      <w:lang w:eastAsia="en-US"/>
    </w:rPr>
  </w:style>
  <w:style w:type="paragraph" w:styleId="af0">
    <w:name w:val="Plain Text"/>
    <w:basedOn w:val="a"/>
    <w:link w:val="Char4"/>
    <w:rsid w:val="00EE0BCA"/>
    <w:pPr>
      <w:widowControl w:val="0"/>
      <w:spacing w:line="240" w:lineRule="auto"/>
      <w:jc w:val="both"/>
    </w:pPr>
    <w:rPr>
      <w:rFonts w:ascii="宋体" w:eastAsia="宋体" w:hAnsi="Courier New" w:cs="Courier New"/>
      <w:kern w:val="2"/>
      <w:sz w:val="21"/>
      <w:szCs w:val="21"/>
      <w:lang w:eastAsia="zh-CN"/>
    </w:rPr>
  </w:style>
  <w:style w:type="character" w:customStyle="1" w:styleId="Char4">
    <w:name w:val="纯文本 Char"/>
    <w:link w:val="af0"/>
    <w:rsid w:val="00EE0BCA"/>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672655">
      <w:bodyDiv w:val="1"/>
      <w:marLeft w:val="0"/>
      <w:marRight w:val="0"/>
      <w:marTop w:val="0"/>
      <w:marBottom w:val="0"/>
      <w:divBdr>
        <w:top w:val="none" w:sz="0" w:space="0" w:color="auto"/>
        <w:left w:val="none" w:sz="0" w:space="0" w:color="auto"/>
        <w:bottom w:val="none" w:sz="0" w:space="0" w:color="auto"/>
        <w:right w:val="none" w:sz="0" w:space="0" w:color="auto"/>
      </w:divBdr>
    </w:div>
    <w:div w:id="458841014">
      <w:bodyDiv w:val="1"/>
      <w:marLeft w:val="0"/>
      <w:marRight w:val="0"/>
      <w:marTop w:val="0"/>
      <w:marBottom w:val="0"/>
      <w:divBdr>
        <w:top w:val="none" w:sz="0" w:space="0" w:color="auto"/>
        <w:left w:val="none" w:sz="0" w:space="0" w:color="auto"/>
        <w:bottom w:val="none" w:sz="0" w:space="0" w:color="auto"/>
        <w:right w:val="none" w:sz="0" w:space="0" w:color="auto"/>
      </w:divBdr>
    </w:div>
    <w:div w:id="644508339">
      <w:bodyDiv w:val="1"/>
      <w:marLeft w:val="0"/>
      <w:marRight w:val="0"/>
      <w:marTop w:val="0"/>
      <w:marBottom w:val="0"/>
      <w:divBdr>
        <w:top w:val="none" w:sz="0" w:space="0" w:color="auto"/>
        <w:left w:val="none" w:sz="0" w:space="0" w:color="auto"/>
        <w:bottom w:val="none" w:sz="0" w:space="0" w:color="auto"/>
        <w:right w:val="none" w:sz="0" w:space="0" w:color="auto"/>
      </w:divBdr>
    </w:div>
    <w:div w:id="733813480">
      <w:bodyDiv w:val="1"/>
      <w:marLeft w:val="0"/>
      <w:marRight w:val="0"/>
      <w:marTop w:val="0"/>
      <w:marBottom w:val="0"/>
      <w:divBdr>
        <w:top w:val="none" w:sz="0" w:space="0" w:color="auto"/>
        <w:left w:val="none" w:sz="0" w:space="0" w:color="auto"/>
        <w:bottom w:val="none" w:sz="0" w:space="0" w:color="auto"/>
        <w:right w:val="none" w:sz="0" w:space="0" w:color="auto"/>
      </w:divBdr>
    </w:div>
    <w:div w:id="750739824">
      <w:bodyDiv w:val="1"/>
      <w:marLeft w:val="0"/>
      <w:marRight w:val="0"/>
      <w:marTop w:val="0"/>
      <w:marBottom w:val="0"/>
      <w:divBdr>
        <w:top w:val="none" w:sz="0" w:space="0" w:color="auto"/>
        <w:left w:val="none" w:sz="0" w:space="0" w:color="auto"/>
        <w:bottom w:val="none" w:sz="0" w:space="0" w:color="auto"/>
        <w:right w:val="none" w:sz="0" w:space="0" w:color="auto"/>
      </w:divBdr>
    </w:div>
    <w:div w:id="822700946">
      <w:bodyDiv w:val="1"/>
      <w:marLeft w:val="0"/>
      <w:marRight w:val="0"/>
      <w:marTop w:val="0"/>
      <w:marBottom w:val="0"/>
      <w:divBdr>
        <w:top w:val="none" w:sz="0" w:space="0" w:color="auto"/>
        <w:left w:val="none" w:sz="0" w:space="0" w:color="auto"/>
        <w:bottom w:val="none" w:sz="0" w:space="0" w:color="auto"/>
        <w:right w:val="none" w:sz="0" w:space="0" w:color="auto"/>
      </w:divBdr>
    </w:div>
    <w:div w:id="1148589718">
      <w:bodyDiv w:val="1"/>
      <w:marLeft w:val="0"/>
      <w:marRight w:val="0"/>
      <w:marTop w:val="0"/>
      <w:marBottom w:val="0"/>
      <w:divBdr>
        <w:top w:val="none" w:sz="0" w:space="0" w:color="auto"/>
        <w:left w:val="none" w:sz="0" w:space="0" w:color="auto"/>
        <w:bottom w:val="none" w:sz="0" w:space="0" w:color="auto"/>
        <w:right w:val="none" w:sz="0" w:space="0" w:color="auto"/>
      </w:divBdr>
    </w:div>
    <w:div w:id="1213888574">
      <w:bodyDiv w:val="1"/>
      <w:marLeft w:val="0"/>
      <w:marRight w:val="0"/>
      <w:marTop w:val="0"/>
      <w:marBottom w:val="0"/>
      <w:divBdr>
        <w:top w:val="none" w:sz="0" w:space="0" w:color="auto"/>
        <w:left w:val="none" w:sz="0" w:space="0" w:color="auto"/>
        <w:bottom w:val="none" w:sz="0" w:space="0" w:color="auto"/>
        <w:right w:val="none" w:sz="0" w:space="0" w:color="auto"/>
      </w:divBdr>
    </w:div>
    <w:div w:id="1320570787">
      <w:bodyDiv w:val="1"/>
      <w:marLeft w:val="0"/>
      <w:marRight w:val="0"/>
      <w:marTop w:val="0"/>
      <w:marBottom w:val="0"/>
      <w:divBdr>
        <w:top w:val="none" w:sz="0" w:space="0" w:color="auto"/>
        <w:left w:val="none" w:sz="0" w:space="0" w:color="auto"/>
        <w:bottom w:val="none" w:sz="0" w:space="0" w:color="auto"/>
        <w:right w:val="none" w:sz="0" w:space="0" w:color="auto"/>
      </w:divBdr>
    </w:div>
    <w:div w:id="1351370571">
      <w:bodyDiv w:val="1"/>
      <w:marLeft w:val="0"/>
      <w:marRight w:val="0"/>
      <w:marTop w:val="0"/>
      <w:marBottom w:val="0"/>
      <w:divBdr>
        <w:top w:val="none" w:sz="0" w:space="0" w:color="auto"/>
        <w:left w:val="none" w:sz="0" w:space="0" w:color="auto"/>
        <w:bottom w:val="none" w:sz="0" w:space="0" w:color="auto"/>
        <w:right w:val="none" w:sz="0" w:space="0" w:color="auto"/>
      </w:divBdr>
    </w:div>
    <w:div w:id="1664162717">
      <w:bodyDiv w:val="1"/>
      <w:marLeft w:val="0"/>
      <w:marRight w:val="0"/>
      <w:marTop w:val="0"/>
      <w:marBottom w:val="0"/>
      <w:divBdr>
        <w:top w:val="none" w:sz="0" w:space="0" w:color="auto"/>
        <w:left w:val="none" w:sz="0" w:space="0" w:color="auto"/>
        <w:bottom w:val="none" w:sz="0" w:space="0" w:color="auto"/>
        <w:right w:val="none" w:sz="0" w:space="0" w:color="auto"/>
      </w:divBdr>
    </w:div>
    <w:div w:id="1789739576">
      <w:bodyDiv w:val="1"/>
      <w:marLeft w:val="0"/>
      <w:marRight w:val="0"/>
      <w:marTop w:val="0"/>
      <w:marBottom w:val="0"/>
      <w:divBdr>
        <w:top w:val="none" w:sz="0" w:space="0" w:color="auto"/>
        <w:left w:val="none" w:sz="0" w:space="0" w:color="auto"/>
        <w:bottom w:val="none" w:sz="0" w:space="0" w:color="auto"/>
        <w:right w:val="none" w:sz="0" w:space="0" w:color="auto"/>
      </w:divBdr>
    </w:div>
    <w:div w:id="1805267910">
      <w:bodyDiv w:val="1"/>
      <w:marLeft w:val="0"/>
      <w:marRight w:val="0"/>
      <w:marTop w:val="0"/>
      <w:marBottom w:val="0"/>
      <w:divBdr>
        <w:top w:val="none" w:sz="0" w:space="0" w:color="auto"/>
        <w:left w:val="none" w:sz="0" w:space="0" w:color="auto"/>
        <w:bottom w:val="none" w:sz="0" w:space="0" w:color="auto"/>
        <w:right w:val="none" w:sz="0" w:space="0" w:color="auto"/>
      </w:divBdr>
    </w:div>
    <w:div w:id="1910340545">
      <w:bodyDiv w:val="1"/>
      <w:marLeft w:val="0"/>
      <w:marRight w:val="0"/>
      <w:marTop w:val="0"/>
      <w:marBottom w:val="0"/>
      <w:divBdr>
        <w:top w:val="none" w:sz="0" w:space="0" w:color="auto"/>
        <w:left w:val="none" w:sz="0" w:space="0" w:color="auto"/>
        <w:bottom w:val="none" w:sz="0" w:space="0" w:color="auto"/>
        <w:right w:val="none" w:sz="0" w:space="0" w:color="auto"/>
      </w:divBdr>
    </w:div>
    <w:div w:id="1986426341">
      <w:bodyDiv w:val="1"/>
      <w:marLeft w:val="0"/>
      <w:marRight w:val="0"/>
      <w:marTop w:val="0"/>
      <w:marBottom w:val="0"/>
      <w:divBdr>
        <w:top w:val="none" w:sz="0" w:space="0" w:color="auto"/>
        <w:left w:val="none" w:sz="0" w:space="0" w:color="auto"/>
        <w:bottom w:val="none" w:sz="0" w:space="0" w:color="auto"/>
        <w:right w:val="none" w:sz="0" w:space="0" w:color="auto"/>
      </w:divBdr>
    </w:div>
    <w:div w:id="2019115392">
      <w:bodyDiv w:val="1"/>
      <w:marLeft w:val="0"/>
      <w:marRight w:val="0"/>
      <w:marTop w:val="0"/>
      <w:marBottom w:val="0"/>
      <w:divBdr>
        <w:top w:val="none" w:sz="0" w:space="0" w:color="auto"/>
        <w:left w:val="none" w:sz="0" w:space="0" w:color="auto"/>
        <w:bottom w:val="none" w:sz="0" w:space="0" w:color="auto"/>
        <w:right w:val="none" w:sz="0" w:space="0" w:color="auto"/>
      </w:divBdr>
    </w:div>
    <w:div w:id="205465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1914-1407)" TargetMode="External"/><Relationship Id="rId18" Type="http://schemas.openxmlformats.org/officeDocument/2006/relationships/image" Target="media/image1.emf"/><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oleObject13.bin"/><Relationship Id="rId50" Type="http://schemas.openxmlformats.org/officeDocument/2006/relationships/image" Target="media/image18.png"/><Relationship Id="rId55" Type="http://schemas.openxmlformats.org/officeDocument/2006/relationships/oleObject" Target="embeddings/oleObject17.bin"/><Relationship Id="rId63" Type="http://schemas.openxmlformats.org/officeDocument/2006/relationships/image" Target="media/image25.png"/><Relationship Id="rId68" Type="http://schemas.openxmlformats.org/officeDocument/2006/relationships/oleObject" Target="embeddings/oleObject22.bin"/><Relationship Id="rId76" Type="http://schemas.openxmlformats.org/officeDocument/2006/relationships/oleObject" Target="embeddings/oleObject26.bin"/><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mailto:annamaria.berghella@cnr.it" TargetMode="External"/><Relationship Id="rId29" Type="http://schemas.openxmlformats.org/officeDocument/2006/relationships/oleObject" Target="embeddings/oleObject5.bin"/><Relationship Id="rId11" Type="http://schemas.openxmlformats.org/officeDocument/2006/relationships/hyperlink" Target="https://orcid.org/%200000-0002-2790-905x"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oleObject" Target="embeddings/oleObject10.bin"/><Relationship Id="rId45" Type="http://schemas.openxmlformats.org/officeDocument/2006/relationships/image" Target="media/image15.png"/><Relationship Id="rId53" Type="http://schemas.openxmlformats.org/officeDocument/2006/relationships/oleObject" Target="embeddings/oleObject16.bin"/><Relationship Id="rId58" Type="http://schemas.openxmlformats.org/officeDocument/2006/relationships/image" Target="media/image22.png"/><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4.png"/><Relationship Id="rId10" Type="http://schemas.openxmlformats.org/officeDocument/2006/relationships/hyperlink" Target="https://orcid.org/0000-0003-3533-4265" TargetMode="External"/><Relationship Id="rId19" Type="http://schemas.openxmlformats.org/officeDocument/2006/relationships/package" Target="embeddings/Microsoft_Word_Document111.docx"/><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19.png"/><Relationship Id="rId60" Type="http://schemas.openxmlformats.org/officeDocument/2006/relationships/oleObject" Target="embeddings/Microsoft_Excel_97-2003____1.xls"/><Relationship Id="rId65" Type="http://schemas.openxmlformats.org/officeDocument/2006/relationships/image" Target="media/image26.png"/><Relationship Id="rId73" Type="http://schemas.openxmlformats.org/officeDocument/2006/relationships/image" Target="media/image30.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orcid.org/0000-0002-6381-113X" TargetMode="External"/><Relationship Id="rId14" Type="http://schemas.openxmlformats.org/officeDocument/2006/relationships/hyperlink" Target="https://orcid.org/0000-0002-2758-9391" TargetMode="External"/><Relationship Id="rId22" Type="http://schemas.openxmlformats.org/officeDocument/2006/relationships/image" Target="media/image3.png"/><Relationship Id="rId27" Type="http://schemas.openxmlformats.org/officeDocument/2006/relationships/oleObject" Target="embeddings/oleObject4.bin"/><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oleObject" Target="embeddings/oleObject20.bin"/><Relationship Id="rId69" Type="http://schemas.openxmlformats.org/officeDocument/2006/relationships/image" Target="media/image28.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hyperlink" Target="https://orcid.org/%200000-0002-8559-7023" TargetMode="External"/><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image" Target="media/image9.png"/><Relationship Id="rId38" Type="http://schemas.openxmlformats.org/officeDocument/2006/relationships/oleObject" Target="embeddings/oleObject9.bin"/><Relationship Id="rId46" Type="http://schemas.openxmlformats.org/officeDocument/2006/relationships/image" Target="media/image16.png"/><Relationship Id="rId59" Type="http://schemas.openxmlformats.org/officeDocument/2006/relationships/image" Target="media/image23.wmf"/><Relationship Id="rId67" Type="http://schemas.openxmlformats.org/officeDocument/2006/relationships/image" Target="media/image27.png"/><Relationship Id="rId20" Type="http://schemas.openxmlformats.org/officeDocument/2006/relationships/image" Target="media/image2.png"/><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nc/4.0/" TargetMode="External"/><Relationship Id="rId23" Type="http://schemas.openxmlformats.org/officeDocument/2006/relationships/oleObject" Target="embeddings/oleObject2.bin"/><Relationship Id="rId28" Type="http://schemas.openxmlformats.org/officeDocument/2006/relationships/image" Target="media/image6.png"/><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4B925-32C5-43A5-B767-736827B6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60</Pages>
  <Words>13151</Words>
  <Characters>74967</Characters>
  <Application>Microsoft Office Word</Application>
  <DocSecurity>0</DocSecurity>
  <Lines>624</Lines>
  <Paragraphs>175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Grizli777</Company>
  <LinksUpToDate>false</LinksUpToDate>
  <CharactersWithSpaces>87943</CharactersWithSpaces>
  <SharedDoc>false</SharedDoc>
  <HLinks>
    <vt:vector size="90" baseType="variant">
      <vt:variant>
        <vt:i4>393310</vt:i4>
      </vt:variant>
      <vt:variant>
        <vt:i4>49</vt:i4>
      </vt:variant>
      <vt:variant>
        <vt:i4>0</vt:i4>
      </vt:variant>
      <vt:variant>
        <vt:i4>5</vt:i4>
      </vt:variant>
      <vt:variant>
        <vt:lpwstr>https://www.ncbi.nlm.nih.gov/pubmed/29550327</vt:lpwstr>
      </vt:variant>
      <vt:variant>
        <vt:lpwstr/>
      </vt:variant>
      <vt:variant>
        <vt:i4>3604590</vt:i4>
      </vt:variant>
      <vt:variant>
        <vt:i4>46</vt:i4>
      </vt:variant>
      <vt:variant>
        <vt:i4>0</vt:i4>
      </vt:variant>
      <vt:variant>
        <vt:i4>5</vt:i4>
      </vt:variant>
      <vt:variant>
        <vt:lpwstr>https://www.ncbi.nlm.nih.gov/pubmed/7907273</vt:lpwstr>
      </vt:variant>
      <vt:variant>
        <vt:lpwstr/>
      </vt:variant>
      <vt:variant>
        <vt:i4>3801187</vt:i4>
      </vt:variant>
      <vt:variant>
        <vt:i4>43</vt:i4>
      </vt:variant>
      <vt:variant>
        <vt:i4>0</vt:i4>
      </vt:variant>
      <vt:variant>
        <vt:i4>5</vt:i4>
      </vt:variant>
      <vt:variant>
        <vt:lpwstr>https://www.ncbi.nlm.nih.gov/pubmed/9242542</vt:lpwstr>
      </vt:variant>
      <vt:variant>
        <vt:lpwstr/>
      </vt:variant>
      <vt:variant>
        <vt:i4>3342442</vt:i4>
      </vt:variant>
      <vt:variant>
        <vt:i4>40</vt:i4>
      </vt:variant>
      <vt:variant>
        <vt:i4>0</vt:i4>
      </vt:variant>
      <vt:variant>
        <vt:i4>5</vt:i4>
      </vt:variant>
      <vt:variant>
        <vt:lpwstr>https://www.ncbi.nlm.nih.gov/pubmed/1401085</vt:lpwstr>
      </vt:variant>
      <vt:variant>
        <vt:lpwstr/>
      </vt:variant>
      <vt:variant>
        <vt:i4>3473517</vt:i4>
      </vt:variant>
      <vt:variant>
        <vt:i4>37</vt:i4>
      </vt:variant>
      <vt:variant>
        <vt:i4>0</vt:i4>
      </vt:variant>
      <vt:variant>
        <vt:i4>5</vt:i4>
      </vt:variant>
      <vt:variant>
        <vt:lpwstr>https://www.ncbi.nlm.nih.gov/pubmed/2139735</vt:lpwstr>
      </vt:variant>
      <vt:variant>
        <vt:lpwstr/>
      </vt:variant>
      <vt:variant>
        <vt:i4>4063339</vt:i4>
      </vt:variant>
      <vt:variant>
        <vt:i4>34</vt:i4>
      </vt:variant>
      <vt:variant>
        <vt:i4>0</vt:i4>
      </vt:variant>
      <vt:variant>
        <vt:i4>5</vt:i4>
      </vt:variant>
      <vt:variant>
        <vt:lpwstr>https://www.ncbi.nlm.nih.gov/pubmed/8517920</vt:lpwstr>
      </vt:variant>
      <vt:variant>
        <vt:lpwstr/>
      </vt:variant>
      <vt:variant>
        <vt:i4>196696</vt:i4>
      </vt:variant>
      <vt:variant>
        <vt:i4>31</vt:i4>
      </vt:variant>
      <vt:variant>
        <vt:i4>0</vt:i4>
      </vt:variant>
      <vt:variant>
        <vt:i4>5</vt:i4>
      </vt:variant>
      <vt:variant>
        <vt:lpwstr>https://www.ncbi.nlm.nih.gov/pubmed/16329188</vt:lpwstr>
      </vt:variant>
      <vt:variant>
        <vt:lpwstr/>
      </vt:variant>
      <vt:variant>
        <vt:i4>589911</vt:i4>
      </vt:variant>
      <vt:variant>
        <vt:i4>28</vt:i4>
      </vt:variant>
      <vt:variant>
        <vt:i4>0</vt:i4>
      </vt:variant>
      <vt:variant>
        <vt:i4>5</vt:i4>
      </vt:variant>
      <vt:variant>
        <vt:lpwstr>https://www.ncbi.nlm.nih.gov/pubmed/22628304</vt:lpwstr>
      </vt:variant>
      <vt:variant>
        <vt:lpwstr/>
      </vt:variant>
      <vt:variant>
        <vt:i4>1966184</vt:i4>
      </vt:variant>
      <vt:variant>
        <vt:i4>21</vt:i4>
      </vt:variant>
      <vt:variant>
        <vt:i4>0</vt:i4>
      </vt:variant>
      <vt:variant>
        <vt:i4>5</vt:i4>
      </vt:variant>
      <vt:variant>
        <vt:lpwstr>mailto:annamaria.berghella@cnr.it</vt:lpwstr>
      </vt:variant>
      <vt:variant>
        <vt:lpwstr/>
      </vt:variant>
      <vt:variant>
        <vt:i4>5963798</vt:i4>
      </vt:variant>
      <vt:variant>
        <vt:i4>15</vt:i4>
      </vt:variant>
      <vt:variant>
        <vt:i4>0</vt:i4>
      </vt:variant>
      <vt:variant>
        <vt:i4>5</vt:i4>
      </vt:variant>
      <vt:variant>
        <vt:lpwstr>https://orcid.org/0000-0002-2758-9391</vt:lpwstr>
      </vt:variant>
      <vt:variant>
        <vt:lpwstr/>
      </vt:variant>
      <vt:variant>
        <vt:i4>7405601</vt:i4>
      </vt:variant>
      <vt:variant>
        <vt:i4>12</vt:i4>
      </vt:variant>
      <vt:variant>
        <vt:i4>0</vt:i4>
      </vt:variant>
      <vt:variant>
        <vt:i4>5</vt:i4>
      </vt:variant>
      <vt:variant>
        <vt:lpwstr>https://orcid.org/0000-0002-1914-1407)</vt:lpwstr>
      </vt:variant>
      <vt:variant>
        <vt:lpwstr/>
      </vt:variant>
      <vt:variant>
        <vt:i4>7667748</vt:i4>
      </vt:variant>
      <vt:variant>
        <vt:i4>9</vt:i4>
      </vt:variant>
      <vt:variant>
        <vt:i4>0</vt:i4>
      </vt:variant>
      <vt:variant>
        <vt:i4>5</vt:i4>
      </vt:variant>
      <vt:variant>
        <vt:lpwstr>https://orcid.org/ 0000-0002-8559-7023</vt:lpwstr>
      </vt:variant>
      <vt:variant>
        <vt:lpwstr/>
      </vt:variant>
      <vt:variant>
        <vt:i4>3670054</vt:i4>
      </vt:variant>
      <vt:variant>
        <vt:i4>6</vt:i4>
      </vt:variant>
      <vt:variant>
        <vt:i4>0</vt:i4>
      </vt:variant>
      <vt:variant>
        <vt:i4>5</vt:i4>
      </vt:variant>
      <vt:variant>
        <vt:lpwstr>https://orcid.org/ 0000-0002-2790-905x</vt:lpwstr>
      </vt:variant>
      <vt:variant>
        <vt:lpwstr/>
      </vt:variant>
      <vt:variant>
        <vt:i4>5242897</vt:i4>
      </vt:variant>
      <vt:variant>
        <vt:i4>3</vt:i4>
      </vt:variant>
      <vt:variant>
        <vt:i4>0</vt:i4>
      </vt:variant>
      <vt:variant>
        <vt:i4>5</vt:i4>
      </vt:variant>
      <vt:variant>
        <vt:lpwstr>https://orcid.org/0000-0003-3533-4265</vt:lpwstr>
      </vt:variant>
      <vt:variant>
        <vt:lpwstr/>
      </vt:variant>
      <vt:variant>
        <vt:i4>5505053</vt:i4>
      </vt:variant>
      <vt:variant>
        <vt:i4>0</vt:i4>
      </vt:variant>
      <vt:variant>
        <vt:i4>0</vt:i4>
      </vt:variant>
      <vt:variant>
        <vt:i4>5</vt:i4>
      </vt:variant>
      <vt:variant>
        <vt:lpwstr>https://orcid.org/0000-0002-6381-113X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maria</dc:creator>
  <cp:lastModifiedBy>WHL</cp:lastModifiedBy>
  <cp:revision>9</cp:revision>
  <cp:lastPrinted>2018-10-18T11:44:00Z</cp:lastPrinted>
  <dcterms:created xsi:type="dcterms:W3CDTF">2019-01-24T23:11:00Z</dcterms:created>
  <dcterms:modified xsi:type="dcterms:W3CDTF">2019-02-15T06:07:00Z</dcterms:modified>
</cp:coreProperties>
</file>