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BE6DD" w14:textId="77777777" w:rsidR="003A0BA3" w:rsidRPr="00A35CEC" w:rsidRDefault="003A0BA3" w:rsidP="00B23A0C">
      <w:pPr>
        <w:pStyle w:val="11"/>
        <w:adjustRightInd w:val="0"/>
        <w:snapToGrid w:val="0"/>
        <w:spacing w:line="360" w:lineRule="auto"/>
        <w:jc w:val="both"/>
        <w:outlineLvl w:val="0"/>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bookmarkStart w:id="13" w:name="_Hlk532160685"/>
      <w:r w:rsidRPr="00A35CEC">
        <w:rPr>
          <w:rFonts w:ascii="Book Antiqua" w:hAnsi="Book Antiqua" w:cs="Times New Roman"/>
          <w:b/>
          <w:color w:val="auto"/>
          <w:sz w:val="24"/>
          <w:szCs w:val="24"/>
          <w:lang w:val="en-US" w:eastAsia="zh-CN"/>
        </w:rPr>
        <w:t xml:space="preserve">Name of </w:t>
      </w:r>
      <w:r w:rsidRPr="00A35CEC">
        <w:rPr>
          <w:rFonts w:ascii="Book Antiqua" w:hAnsi="Book Antiqua" w:cs="Times New Roman"/>
          <w:b/>
          <w:caps/>
          <w:color w:val="auto"/>
          <w:sz w:val="24"/>
          <w:szCs w:val="24"/>
          <w:lang w:val="en-US" w:eastAsia="zh-CN"/>
        </w:rPr>
        <w:t>j</w:t>
      </w:r>
      <w:r w:rsidRPr="00A35CEC">
        <w:rPr>
          <w:rFonts w:ascii="Book Antiqua" w:hAnsi="Book Antiqua" w:cs="Times New Roman"/>
          <w:b/>
          <w:color w:val="auto"/>
          <w:sz w:val="24"/>
          <w:szCs w:val="24"/>
          <w:lang w:val="en-US" w:eastAsia="zh-CN"/>
        </w:rPr>
        <w:t xml:space="preserve">ournal: </w:t>
      </w:r>
      <w:bookmarkStart w:id="14" w:name="OLE_LINK718"/>
      <w:bookmarkStart w:id="15" w:name="OLE_LINK719"/>
      <w:r w:rsidRPr="00A35CEC">
        <w:rPr>
          <w:rFonts w:ascii="Book Antiqua" w:hAnsi="Book Antiqua" w:cs="Times New Roman"/>
          <w:b/>
          <w:i/>
          <w:color w:val="auto"/>
          <w:sz w:val="24"/>
          <w:szCs w:val="24"/>
          <w:lang w:val="en-US" w:eastAsia="zh-CN"/>
        </w:rPr>
        <w:t>World Journal of Gastroenterology</w:t>
      </w:r>
      <w:bookmarkEnd w:id="14"/>
      <w:bookmarkEnd w:id="15"/>
    </w:p>
    <w:p w14:paraId="4A44A00D" w14:textId="77777777" w:rsidR="003A0BA3" w:rsidRPr="00A35CEC" w:rsidRDefault="003A0BA3" w:rsidP="00B23A0C">
      <w:pPr>
        <w:pStyle w:val="11"/>
        <w:adjustRightInd w:val="0"/>
        <w:snapToGrid w:val="0"/>
        <w:spacing w:line="360" w:lineRule="auto"/>
        <w:jc w:val="both"/>
        <w:outlineLvl w:val="0"/>
        <w:rPr>
          <w:rFonts w:ascii="Book Antiqua" w:hAnsi="Book Antiqua" w:cs="Times New Roman"/>
          <w:b/>
          <w:i/>
          <w:color w:val="auto"/>
          <w:sz w:val="24"/>
          <w:szCs w:val="24"/>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A35CEC">
        <w:rPr>
          <w:rFonts w:ascii="Book Antiqua" w:hAnsi="Book Antiqua" w:cs="Times New Roman"/>
          <w:b/>
          <w:color w:val="auto"/>
          <w:sz w:val="24"/>
          <w:szCs w:val="24"/>
          <w:lang w:val="en-US" w:eastAsia="zh-CN"/>
        </w:rPr>
        <w:t>Manuscript NO:</w:t>
      </w:r>
      <w:bookmarkEnd w:id="16"/>
      <w:bookmarkEnd w:id="17"/>
      <w:bookmarkEnd w:id="18"/>
      <w:bookmarkEnd w:id="19"/>
      <w:r w:rsidRPr="00A35CEC">
        <w:rPr>
          <w:rFonts w:ascii="Book Antiqua" w:hAnsi="Book Antiqua" w:cs="Times New Roman"/>
          <w:b/>
          <w:color w:val="auto"/>
          <w:sz w:val="24"/>
          <w:szCs w:val="24"/>
          <w:lang w:val="en-US" w:eastAsia="zh-CN"/>
        </w:rPr>
        <w:t xml:space="preserve"> 42593</w:t>
      </w:r>
    </w:p>
    <w:bookmarkEnd w:id="20"/>
    <w:bookmarkEnd w:id="21"/>
    <w:p w14:paraId="45BCDE8D" w14:textId="77777777" w:rsidR="003A0BA3" w:rsidRPr="00A35CEC" w:rsidRDefault="003A0BA3" w:rsidP="00342141">
      <w:pPr>
        <w:adjustRightInd w:val="0"/>
        <w:snapToGrid w:val="0"/>
        <w:spacing w:line="360" w:lineRule="auto"/>
        <w:jc w:val="both"/>
        <w:outlineLvl w:val="0"/>
        <w:rPr>
          <w:rFonts w:ascii="Book Antiqua" w:hAnsi="Book Antiqua"/>
          <w:b/>
        </w:rPr>
      </w:pPr>
      <w:r w:rsidRPr="00A35CEC">
        <w:rPr>
          <w:rFonts w:ascii="Book Antiqua" w:hAnsi="Book Antiqua"/>
          <w:b/>
        </w:rPr>
        <w:t xml:space="preserve">Manuscript </w:t>
      </w:r>
      <w:r w:rsidRPr="00A35CEC">
        <w:rPr>
          <w:rFonts w:ascii="Book Antiqua" w:hAnsi="Book Antiqua"/>
          <w:b/>
          <w:caps/>
        </w:rPr>
        <w:t>t</w:t>
      </w:r>
      <w:r w:rsidRPr="00A35CEC">
        <w:rPr>
          <w:rFonts w:ascii="Book Antiqua" w:hAnsi="Book Antiqua"/>
          <w:b/>
        </w:rPr>
        <w:t>ype:</w:t>
      </w:r>
      <w:bookmarkEnd w:id="0"/>
      <w:bookmarkEnd w:id="1"/>
      <w:bookmarkEnd w:id="2"/>
      <w:bookmarkEnd w:id="3"/>
      <w:bookmarkEnd w:id="4"/>
      <w:bookmarkEnd w:id="5"/>
      <w:bookmarkEnd w:id="6"/>
      <w:bookmarkEnd w:id="7"/>
      <w:bookmarkEnd w:id="8"/>
      <w:bookmarkEnd w:id="9"/>
      <w:bookmarkEnd w:id="10"/>
      <w:r w:rsidRPr="00A35CEC">
        <w:rPr>
          <w:rFonts w:ascii="Book Antiqua" w:hAnsi="Book Antiqua"/>
          <w:b/>
        </w:rPr>
        <w:t xml:space="preserve"> </w:t>
      </w:r>
      <w:bookmarkStart w:id="22" w:name="OLE_LINK13"/>
      <w:r w:rsidRPr="00A35CEC">
        <w:rPr>
          <w:rFonts w:ascii="Book Antiqua" w:hAnsi="Book Antiqua"/>
          <w:b/>
        </w:rPr>
        <w:t>ORIGINAL ARTICLE</w:t>
      </w:r>
      <w:bookmarkEnd w:id="11"/>
      <w:bookmarkEnd w:id="22"/>
    </w:p>
    <w:p w14:paraId="79B29A2A" w14:textId="77777777" w:rsidR="003A0BA3" w:rsidRPr="00A35CEC" w:rsidRDefault="003A0BA3" w:rsidP="00342141">
      <w:pPr>
        <w:adjustRightInd w:val="0"/>
        <w:snapToGrid w:val="0"/>
        <w:spacing w:line="360" w:lineRule="auto"/>
        <w:jc w:val="both"/>
        <w:rPr>
          <w:rFonts w:ascii="Book Antiqua" w:hAnsi="Book Antiqua"/>
          <w:b/>
        </w:rPr>
      </w:pPr>
      <w:bookmarkStart w:id="23" w:name="OLE_LINK45"/>
    </w:p>
    <w:bookmarkEnd w:id="23"/>
    <w:p w14:paraId="53D14062" w14:textId="77777777" w:rsidR="003A0BA3" w:rsidRPr="00A35CEC" w:rsidRDefault="003A0BA3" w:rsidP="00342141">
      <w:pPr>
        <w:adjustRightInd w:val="0"/>
        <w:snapToGrid w:val="0"/>
        <w:spacing w:line="360" w:lineRule="auto"/>
        <w:jc w:val="both"/>
        <w:outlineLvl w:val="0"/>
        <w:rPr>
          <w:rFonts w:ascii="Book Antiqua" w:hAnsi="Book Antiqua"/>
          <w:b/>
        </w:rPr>
      </w:pPr>
      <w:r w:rsidRPr="00A35CEC">
        <w:rPr>
          <w:rFonts w:ascii="Book Antiqua" w:eastAsia="幼圆" w:hAnsi="Book Antiqua"/>
          <w:b/>
          <w:i/>
        </w:rPr>
        <w:t>Basic Study</w:t>
      </w:r>
      <w:bookmarkEnd w:id="12"/>
      <w:r w:rsidRPr="00A35CEC">
        <w:rPr>
          <w:rFonts w:ascii="Book Antiqua" w:hAnsi="Book Antiqua"/>
          <w:b/>
        </w:rPr>
        <w:t xml:space="preserve"> </w:t>
      </w:r>
    </w:p>
    <w:p w14:paraId="1D9FC4A6" w14:textId="0C473F25" w:rsidR="00387E31" w:rsidRPr="00A35CEC" w:rsidRDefault="003A0BA3" w:rsidP="00342141">
      <w:pPr>
        <w:adjustRightInd w:val="0"/>
        <w:snapToGrid w:val="0"/>
        <w:spacing w:line="360" w:lineRule="auto"/>
        <w:jc w:val="both"/>
        <w:rPr>
          <w:rFonts w:ascii="Book Antiqua" w:hAnsi="Book Antiqua"/>
          <w:b/>
        </w:rPr>
      </w:pPr>
      <w:bookmarkStart w:id="24" w:name="OLE_LINK55"/>
      <w:r w:rsidRPr="00A35CEC">
        <w:rPr>
          <w:rFonts w:ascii="Book Antiqua" w:hAnsi="Book Antiqua"/>
          <w:b/>
        </w:rPr>
        <w:t>E</w:t>
      </w:r>
      <w:r w:rsidR="00790209" w:rsidRPr="00A35CEC">
        <w:rPr>
          <w:rFonts w:ascii="Book Antiqua" w:hAnsi="Book Antiqua"/>
          <w:b/>
        </w:rPr>
        <w:t>conomic evaluation of the h</w:t>
      </w:r>
      <w:r w:rsidR="0082003D" w:rsidRPr="00A35CEC">
        <w:rPr>
          <w:rFonts w:ascii="Book Antiqua" w:hAnsi="Book Antiqua"/>
          <w:b/>
        </w:rPr>
        <w:t>epatitis C</w:t>
      </w:r>
      <w:r w:rsidR="00E319ED" w:rsidRPr="00A35CEC">
        <w:rPr>
          <w:rFonts w:ascii="Book Antiqua" w:hAnsi="Book Antiqua"/>
          <w:b/>
        </w:rPr>
        <w:t xml:space="preserve"> elimination strategy</w:t>
      </w:r>
      <w:r w:rsidR="00387E31" w:rsidRPr="00A35CEC">
        <w:rPr>
          <w:rFonts w:ascii="Book Antiqua" w:hAnsi="Book Antiqua"/>
          <w:b/>
        </w:rPr>
        <w:t xml:space="preserve"> in Greece in the era of affordable </w:t>
      </w:r>
      <w:bookmarkStart w:id="25" w:name="OLE_LINK54"/>
      <w:bookmarkEnd w:id="13"/>
      <w:r w:rsidRPr="00A35CEC">
        <w:rPr>
          <w:rFonts w:ascii="Book Antiqua" w:hAnsi="Book Antiqua"/>
          <w:b/>
        </w:rPr>
        <w:t>direct-acting antiviral</w:t>
      </w:r>
      <w:bookmarkEnd w:id="25"/>
      <w:r w:rsidRPr="00A35CEC">
        <w:rPr>
          <w:rFonts w:ascii="Book Antiqua" w:hAnsi="Book Antiqua"/>
          <w:b/>
        </w:rPr>
        <w:t>s</w:t>
      </w:r>
      <w:bookmarkEnd w:id="24"/>
    </w:p>
    <w:p w14:paraId="1547CE01" w14:textId="77777777" w:rsidR="003A0BA3" w:rsidRPr="00A35CEC" w:rsidRDefault="003A0BA3" w:rsidP="00342141">
      <w:pPr>
        <w:adjustRightInd w:val="0"/>
        <w:snapToGrid w:val="0"/>
        <w:spacing w:line="360" w:lineRule="auto"/>
        <w:jc w:val="both"/>
        <w:rPr>
          <w:rFonts w:ascii="Book Antiqua" w:hAnsi="Book Antiqua"/>
          <w:b/>
        </w:rPr>
      </w:pPr>
    </w:p>
    <w:p w14:paraId="7EB6AA97" w14:textId="77777777" w:rsidR="004F6D51" w:rsidRPr="00A35CEC" w:rsidRDefault="003A0BA3" w:rsidP="00342141">
      <w:pPr>
        <w:adjustRightInd w:val="0"/>
        <w:snapToGrid w:val="0"/>
        <w:spacing w:line="360" w:lineRule="auto"/>
        <w:jc w:val="both"/>
        <w:outlineLvl w:val="0"/>
        <w:rPr>
          <w:rFonts w:ascii="Book Antiqua" w:hAnsi="Book Antiqua"/>
        </w:rPr>
      </w:pPr>
      <w:bookmarkStart w:id="26" w:name="OLE_LINK116"/>
      <w:proofErr w:type="spellStart"/>
      <w:r w:rsidRPr="00A35CEC">
        <w:rPr>
          <w:rFonts w:ascii="Book Antiqua" w:hAnsi="Book Antiqua"/>
        </w:rPr>
        <w:t>Gountas</w:t>
      </w:r>
      <w:proofErr w:type="spellEnd"/>
      <w:r w:rsidRPr="00A35CEC">
        <w:rPr>
          <w:rFonts w:ascii="Book Antiqua" w:hAnsi="Book Antiqua"/>
        </w:rPr>
        <w:t xml:space="preserve"> I </w:t>
      </w:r>
      <w:r w:rsidRPr="00A35CEC">
        <w:rPr>
          <w:rFonts w:ascii="Book Antiqua" w:hAnsi="Book Antiqua"/>
          <w:i/>
        </w:rPr>
        <w:t>et al</w:t>
      </w:r>
      <w:r w:rsidRPr="00A35CEC">
        <w:rPr>
          <w:rFonts w:ascii="Book Antiqua" w:hAnsi="Book Antiqua"/>
        </w:rPr>
        <w:t>.</w:t>
      </w:r>
      <w:r w:rsidR="004F6D51" w:rsidRPr="00A35CEC">
        <w:rPr>
          <w:rFonts w:ascii="Book Antiqua" w:hAnsi="Book Antiqua"/>
        </w:rPr>
        <w:t xml:space="preserve"> </w:t>
      </w:r>
      <w:r w:rsidR="007504CE" w:rsidRPr="00A35CEC">
        <w:rPr>
          <w:rFonts w:ascii="Book Antiqua" w:hAnsi="Book Antiqua"/>
        </w:rPr>
        <w:t xml:space="preserve">Cost-effectiveness of </w:t>
      </w:r>
      <w:proofErr w:type="spellStart"/>
      <w:r w:rsidR="007504CE" w:rsidRPr="00A35CEC">
        <w:rPr>
          <w:rFonts w:ascii="Book Antiqua" w:hAnsi="Book Antiqua"/>
        </w:rPr>
        <w:t>HCV</w:t>
      </w:r>
      <w:proofErr w:type="spellEnd"/>
      <w:r w:rsidR="007504CE" w:rsidRPr="00A35CEC">
        <w:rPr>
          <w:rFonts w:ascii="Book Antiqua" w:hAnsi="Book Antiqua"/>
        </w:rPr>
        <w:t xml:space="preserve"> elimination in Greece</w:t>
      </w:r>
      <w:bookmarkEnd w:id="26"/>
    </w:p>
    <w:p w14:paraId="40BB65D5" w14:textId="77777777" w:rsidR="003A0BA3" w:rsidRPr="00A35CEC" w:rsidRDefault="003A0BA3" w:rsidP="00342141">
      <w:pPr>
        <w:adjustRightInd w:val="0"/>
        <w:snapToGrid w:val="0"/>
        <w:spacing w:line="360" w:lineRule="auto"/>
        <w:jc w:val="both"/>
        <w:rPr>
          <w:rFonts w:ascii="Book Antiqua" w:hAnsi="Book Antiqua"/>
        </w:rPr>
      </w:pPr>
    </w:p>
    <w:p w14:paraId="703E6355" w14:textId="77777777" w:rsidR="00E319ED" w:rsidRPr="00A35CEC" w:rsidRDefault="00E319ED" w:rsidP="00342141">
      <w:pPr>
        <w:adjustRightInd w:val="0"/>
        <w:snapToGrid w:val="0"/>
        <w:spacing w:line="360" w:lineRule="auto"/>
        <w:jc w:val="both"/>
        <w:rPr>
          <w:rFonts w:ascii="Book Antiqua" w:hAnsi="Book Antiqua"/>
        </w:rPr>
      </w:pPr>
      <w:proofErr w:type="spellStart"/>
      <w:r w:rsidRPr="00A35CEC">
        <w:rPr>
          <w:rFonts w:ascii="Book Antiqua" w:hAnsi="Book Antiqua"/>
        </w:rPr>
        <w:t>Ilias</w:t>
      </w:r>
      <w:proofErr w:type="spellEnd"/>
      <w:r w:rsidRPr="00A35CEC">
        <w:rPr>
          <w:rFonts w:ascii="Book Antiqua" w:hAnsi="Book Antiqua"/>
        </w:rPr>
        <w:t xml:space="preserve"> </w:t>
      </w:r>
      <w:proofErr w:type="spellStart"/>
      <w:r w:rsidRPr="00A35CEC">
        <w:rPr>
          <w:rFonts w:ascii="Book Antiqua" w:hAnsi="Book Antiqua"/>
        </w:rPr>
        <w:t>Gountas</w:t>
      </w:r>
      <w:proofErr w:type="spellEnd"/>
      <w:r w:rsidRPr="00A35CEC">
        <w:rPr>
          <w:rFonts w:ascii="Book Antiqua" w:hAnsi="Book Antiqua"/>
        </w:rPr>
        <w:t xml:space="preserve">, </w:t>
      </w:r>
      <w:proofErr w:type="spellStart"/>
      <w:r w:rsidRPr="00A35CEC">
        <w:rPr>
          <w:rFonts w:ascii="Book Antiqua" w:hAnsi="Book Antiqua"/>
        </w:rPr>
        <w:t>Vana</w:t>
      </w:r>
      <w:proofErr w:type="spellEnd"/>
      <w:r w:rsidRPr="00A35CEC">
        <w:rPr>
          <w:rFonts w:ascii="Book Antiqua" w:hAnsi="Book Antiqua"/>
        </w:rPr>
        <w:t xml:space="preserve"> </w:t>
      </w:r>
      <w:proofErr w:type="spellStart"/>
      <w:r w:rsidRPr="00A35CEC">
        <w:rPr>
          <w:rFonts w:ascii="Book Antiqua" w:hAnsi="Book Antiqua"/>
        </w:rPr>
        <w:t>Sypsa</w:t>
      </w:r>
      <w:proofErr w:type="spellEnd"/>
      <w:r w:rsidRPr="00A35CEC">
        <w:rPr>
          <w:rFonts w:ascii="Book Antiqua" w:hAnsi="Book Antiqua"/>
        </w:rPr>
        <w:t xml:space="preserve">, George </w:t>
      </w:r>
      <w:bookmarkStart w:id="27" w:name="_Hlk532160061"/>
      <w:proofErr w:type="spellStart"/>
      <w:r w:rsidRPr="00A35CEC">
        <w:rPr>
          <w:rFonts w:ascii="Book Antiqua" w:hAnsi="Book Antiqua"/>
        </w:rPr>
        <w:t>Papatheodoridis</w:t>
      </w:r>
      <w:bookmarkEnd w:id="27"/>
      <w:proofErr w:type="spellEnd"/>
      <w:r w:rsidRPr="00A35CEC">
        <w:rPr>
          <w:rFonts w:ascii="Book Antiqua" w:hAnsi="Book Antiqua"/>
        </w:rPr>
        <w:t xml:space="preserve">, </w:t>
      </w:r>
      <w:proofErr w:type="spellStart"/>
      <w:r w:rsidRPr="00A35CEC">
        <w:rPr>
          <w:rFonts w:ascii="Book Antiqua" w:hAnsi="Book Antiqua"/>
        </w:rPr>
        <w:t>K</w:t>
      </w:r>
      <w:r w:rsidR="000D3876" w:rsidRPr="00A35CEC">
        <w:rPr>
          <w:rFonts w:ascii="Book Antiqua" w:hAnsi="Book Antiqua"/>
        </w:rPr>
        <w:t>y</w:t>
      </w:r>
      <w:r w:rsidRPr="00A35CEC">
        <w:rPr>
          <w:rFonts w:ascii="Book Antiqua" w:hAnsi="Book Antiqua"/>
        </w:rPr>
        <w:t>riakos</w:t>
      </w:r>
      <w:proofErr w:type="spellEnd"/>
      <w:r w:rsidRPr="00A35CEC">
        <w:rPr>
          <w:rFonts w:ascii="Book Antiqua" w:hAnsi="Book Antiqua"/>
        </w:rPr>
        <w:t xml:space="preserve"> </w:t>
      </w:r>
      <w:proofErr w:type="spellStart"/>
      <w:r w:rsidRPr="00A35CEC">
        <w:rPr>
          <w:rFonts w:ascii="Book Antiqua" w:hAnsi="Book Antiqua"/>
        </w:rPr>
        <w:t>Souliotis</w:t>
      </w:r>
      <w:proofErr w:type="spellEnd"/>
      <w:r w:rsidRPr="00A35CEC">
        <w:rPr>
          <w:rFonts w:ascii="Book Antiqua" w:hAnsi="Book Antiqua"/>
        </w:rPr>
        <w:t xml:space="preserve">, Kostas </w:t>
      </w:r>
      <w:proofErr w:type="spellStart"/>
      <w:r w:rsidRPr="00A35CEC">
        <w:rPr>
          <w:rFonts w:ascii="Book Antiqua" w:hAnsi="Book Antiqua"/>
        </w:rPr>
        <w:t>Athanasakis</w:t>
      </w:r>
      <w:proofErr w:type="spellEnd"/>
      <w:r w:rsidRPr="00A35CEC">
        <w:rPr>
          <w:rFonts w:ascii="Book Antiqua" w:hAnsi="Book Antiqua"/>
        </w:rPr>
        <w:t xml:space="preserve">, </w:t>
      </w:r>
      <w:proofErr w:type="spellStart"/>
      <w:r w:rsidRPr="00A35CEC">
        <w:rPr>
          <w:rFonts w:ascii="Book Antiqua" w:hAnsi="Book Antiqua"/>
        </w:rPr>
        <w:t>Homie</w:t>
      </w:r>
      <w:proofErr w:type="spellEnd"/>
      <w:r w:rsidRPr="00A35CEC">
        <w:rPr>
          <w:rFonts w:ascii="Book Antiqua" w:hAnsi="Book Antiqua"/>
        </w:rPr>
        <w:t xml:space="preserve"> </w:t>
      </w:r>
      <w:proofErr w:type="spellStart"/>
      <w:r w:rsidRPr="00A35CEC">
        <w:rPr>
          <w:rFonts w:ascii="Book Antiqua" w:hAnsi="Book Antiqua"/>
        </w:rPr>
        <w:t>Razavi</w:t>
      </w:r>
      <w:proofErr w:type="spellEnd"/>
      <w:r w:rsidRPr="00A35CEC">
        <w:rPr>
          <w:rFonts w:ascii="Book Antiqua" w:hAnsi="Book Antiqua"/>
        </w:rPr>
        <w:t xml:space="preserve">, </w:t>
      </w:r>
      <w:proofErr w:type="spellStart"/>
      <w:r w:rsidRPr="00A35CEC">
        <w:rPr>
          <w:rFonts w:ascii="Book Antiqua" w:hAnsi="Book Antiqua"/>
        </w:rPr>
        <w:t>Angelos</w:t>
      </w:r>
      <w:proofErr w:type="spellEnd"/>
      <w:r w:rsidRPr="00A35CEC">
        <w:rPr>
          <w:rFonts w:ascii="Book Antiqua" w:hAnsi="Book Antiqua"/>
        </w:rPr>
        <w:t xml:space="preserve"> </w:t>
      </w:r>
      <w:proofErr w:type="spellStart"/>
      <w:r w:rsidRPr="00A35CEC">
        <w:rPr>
          <w:rFonts w:ascii="Book Antiqua" w:hAnsi="Book Antiqua"/>
        </w:rPr>
        <w:t>Hatzakis</w:t>
      </w:r>
      <w:proofErr w:type="spellEnd"/>
    </w:p>
    <w:p w14:paraId="2475B49C" w14:textId="77777777" w:rsidR="00021A3B" w:rsidRPr="00A35CEC" w:rsidRDefault="00021A3B" w:rsidP="00342141">
      <w:pPr>
        <w:adjustRightInd w:val="0"/>
        <w:snapToGrid w:val="0"/>
        <w:spacing w:line="360" w:lineRule="auto"/>
        <w:jc w:val="both"/>
        <w:rPr>
          <w:rFonts w:ascii="Book Antiqua" w:hAnsi="Book Antiqua"/>
        </w:rPr>
      </w:pPr>
    </w:p>
    <w:p w14:paraId="529E7A8B" w14:textId="77777777" w:rsidR="00E319ED" w:rsidRPr="00A35CEC" w:rsidRDefault="0083049D" w:rsidP="00342141">
      <w:pPr>
        <w:adjustRightInd w:val="0"/>
        <w:snapToGrid w:val="0"/>
        <w:spacing w:line="360" w:lineRule="auto"/>
        <w:jc w:val="both"/>
        <w:rPr>
          <w:rFonts w:ascii="Book Antiqua" w:hAnsi="Book Antiqua"/>
        </w:rPr>
      </w:pPr>
      <w:proofErr w:type="spellStart"/>
      <w:r w:rsidRPr="00A35CEC">
        <w:rPr>
          <w:rFonts w:ascii="Book Antiqua" w:hAnsi="Book Antiqua"/>
          <w:b/>
        </w:rPr>
        <w:t>Ilias</w:t>
      </w:r>
      <w:proofErr w:type="spellEnd"/>
      <w:r w:rsidR="003A0BA3" w:rsidRPr="00A35CEC">
        <w:rPr>
          <w:rFonts w:ascii="Book Antiqua" w:hAnsi="Book Antiqua"/>
          <w:b/>
        </w:rPr>
        <w:t xml:space="preserve"> </w:t>
      </w:r>
      <w:proofErr w:type="spellStart"/>
      <w:r w:rsidR="003A0BA3" w:rsidRPr="00A35CEC">
        <w:rPr>
          <w:rFonts w:ascii="Book Antiqua" w:hAnsi="Book Antiqua"/>
          <w:b/>
        </w:rPr>
        <w:t>Gountas</w:t>
      </w:r>
      <w:proofErr w:type="spellEnd"/>
      <w:r w:rsidRPr="00A35CEC">
        <w:rPr>
          <w:rFonts w:ascii="Book Antiqua" w:hAnsi="Book Antiqua"/>
          <w:b/>
        </w:rPr>
        <w:t xml:space="preserve">, </w:t>
      </w:r>
      <w:proofErr w:type="spellStart"/>
      <w:r w:rsidRPr="00A35CEC">
        <w:rPr>
          <w:rFonts w:ascii="Book Antiqua" w:hAnsi="Book Antiqua"/>
          <w:b/>
        </w:rPr>
        <w:t>Vana</w:t>
      </w:r>
      <w:proofErr w:type="spellEnd"/>
      <w:r w:rsidR="003A0BA3" w:rsidRPr="00A35CEC">
        <w:rPr>
          <w:rFonts w:ascii="Book Antiqua" w:hAnsi="Book Antiqua"/>
          <w:b/>
        </w:rPr>
        <w:t xml:space="preserve"> </w:t>
      </w:r>
      <w:proofErr w:type="spellStart"/>
      <w:r w:rsidR="003A0BA3" w:rsidRPr="00A35CEC">
        <w:rPr>
          <w:rFonts w:ascii="Book Antiqua" w:hAnsi="Book Antiqua"/>
          <w:b/>
        </w:rPr>
        <w:t>Sypsa</w:t>
      </w:r>
      <w:proofErr w:type="spellEnd"/>
      <w:r w:rsidRPr="00A35CEC">
        <w:rPr>
          <w:rFonts w:ascii="Book Antiqua" w:hAnsi="Book Antiqua"/>
          <w:b/>
        </w:rPr>
        <w:t xml:space="preserve">, </w:t>
      </w:r>
      <w:proofErr w:type="spellStart"/>
      <w:r w:rsidRPr="00A35CEC">
        <w:rPr>
          <w:rFonts w:ascii="Book Antiqua" w:hAnsi="Book Antiqua"/>
          <w:b/>
        </w:rPr>
        <w:t>Angelos</w:t>
      </w:r>
      <w:proofErr w:type="spellEnd"/>
      <w:r w:rsidR="003A0BA3" w:rsidRPr="00A35CEC">
        <w:rPr>
          <w:rFonts w:ascii="Book Antiqua" w:hAnsi="Book Antiqua"/>
          <w:b/>
        </w:rPr>
        <w:t xml:space="preserve"> </w:t>
      </w:r>
      <w:proofErr w:type="spellStart"/>
      <w:r w:rsidR="003A0BA3" w:rsidRPr="00A35CEC">
        <w:rPr>
          <w:rFonts w:ascii="Book Antiqua" w:hAnsi="Book Antiqua"/>
          <w:b/>
        </w:rPr>
        <w:t>Hatzakis</w:t>
      </w:r>
      <w:proofErr w:type="spellEnd"/>
      <w:r w:rsidR="0017432E" w:rsidRPr="00A35CEC">
        <w:rPr>
          <w:rFonts w:ascii="Book Antiqua" w:hAnsi="Book Antiqua"/>
          <w:b/>
        </w:rPr>
        <w:t>,</w:t>
      </w:r>
      <w:r w:rsidR="00E319ED" w:rsidRPr="00A35CEC">
        <w:rPr>
          <w:rFonts w:ascii="Book Antiqua" w:hAnsi="Book Antiqua"/>
          <w:b/>
        </w:rPr>
        <w:t xml:space="preserve"> </w:t>
      </w:r>
      <w:r w:rsidR="00E319ED" w:rsidRPr="00A35CEC">
        <w:rPr>
          <w:rFonts w:ascii="Book Antiqua" w:hAnsi="Book Antiqua"/>
        </w:rPr>
        <w:t xml:space="preserve">Department of Hygiene, Epidemiology and Medical Statistics, Medical School, National and </w:t>
      </w:r>
      <w:proofErr w:type="spellStart"/>
      <w:r w:rsidR="00E319ED" w:rsidRPr="00A35CEC">
        <w:rPr>
          <w:rFonts w:ascii="Book Antiqua" w:hAnsi="Book Antiqua"/>
        </w:rPr>
        <w:t>Kapodistrian</w:t>
      </w:r>
      <w:proofErr w:type="spellEnd"/>
      <w:r w:rsidR="00E319ED" w:rsidRPr="00A35CEC">
        <w:rPr>
          <w:rFonts w:ascii="Book Antiqua" w:hAnsi="Book Antiqua"/>
        </w:rPr>
        <w:t xml:space="preserve"> University of Athens</w:t>
      </w:r>
      <w:r w:rsidRPr="00A35CEC">
        <w:rPr>
          <w:rFonts w:ascii="Book Antiqua" w:hAnsi="Book Antiqua"/>
        </w:rPr>
        <w:t>, Athens</w:t>
      </w:r>
      <w:r w:rsidR="003A0BA3" w:rsidRPr="00A35CEC">
        <w:rPr>
          <w:rFonts w:ascii="Book Antiqua" w:hAnsi="Book Antiqua"/>
        </w:rPr>
        <w:t xml:space="preserve"> 11527</w:t>
      </w:r>
      <w:r w:rsidRPr="00A35CEC">
        <w:rPr>
          <w:rFonts w:ascii="Book Antiqua" w:hAnsi="Book Antiqua"/>
        </w:rPr>
        <w:t>, Greece</w:t>
      </w:r>
    </w:p>
    <w:p w14:paraId="24D01757" w14:textId="77777777" w:rsidR="003A0BA3" w:rsidRPr="00A35CEC" w:rsidRDefault="003A0BA3" w:rsidP="00342141">
      <w:pPr>
        <w:adjustRightInd w:val="0"/>
        <w:snapToGrid w:val="0"/>
        <w:spacing w:line="360" w:lineRule="auto"/>
        <w:jc w:val="both"/>
        <w:rPr>
          <w:rFonts w:ascii="Book Antiqua" w:hAnsi="Book Antiqua"/>
        </w:rPr>
      </w:pPr>
    </w:p>
    <w:p w14:paraId="5E1C2D36" w14:textId="77777777" w:rsidR="00E319ED" w:rsidRPr="00A35CEC" w:rsidRDefault="0017432E" w:rsidP="00342141">
      <w:pPr>
        <w:adjustRightInd w:val="0"/>
        <w:snapToGrid w:val="0"/>
        <w:spacing w:line="360" w:lineRule="auto"/>
        <w:jc w:val="both"/>
        <w:rPr>
          <w:rFonts w:ascii="Book Antiqua" w:hAnsi="Book Antiqua"/>
        </w:rPr>
      </w:pPr>
      <w:proofErr w:type="spellStart"/>
      <w:r w:rsidRPr="00A35CEC">
        <w:rPr>
          <w:rFonts w:ascii="Book Antiqua" w:hAnsi="Book Antiqua"/>
          <w:b/>
        </w:rPr>
        <w:t>Ilias</w:t>
      </w:r>
      <w:proofErr w:type="spellEnd"/>
      <w:r w:rsidR="003A0BA3" w:rsidRPr="00A35CEC">
        <w:rPr>
          <w:rFonts w:ascii="Book Antiqua" w:hAnsi="Book Antiqua"/>
          <w:b/>
        </w:rPr>
        <w:t xml:space="preserve"> </w:t>
      </w:r>
      <w:proofErr w:type="spellStart"/>
      <w:r w:rsidR="003A0BA3" w:rsidRPr="00A35CEC">
        <w:rPr>
          <w:rFonts w:ascii="Book Antiqua" w:hAnsi="Book Antiqua"/>
          <w:b/>
        </w:rPr>
        <w:t>Gountas</w:t>
      </w:r>
      <w:proofErr w:type="spellEnd"/>
      <w:r w:rsidR="0083049D" w:rsidRPr="00A35CEC">
        <w:rPr>
          <w:rFonts w:ascii="Book Antiqua" w:hAnsi="Book Antiqua"/>
          <w:b/>
        </w:rPr>
        <w:t xml:space="preserve">, </w:t>
      </w:r>
      <w:proofErr w:type="spellStart"/>
      <w:r w:rsidRPr="00A35CEC">
        <w:rPr>
          <w:rFonts w:ascii="Book Antiqua" w:hAnsi="Book Antiqua"/>
          <w:b/>
        </w:rPr>
        <w:t>Angelos</w:t>
      </w:r>
      <w:proofErr w:type="spellEnd"/>
      <w:r w:rsidR="003A0BA3" w:rsidRPr="00A35CEC">
        <w:rPr>
          <w:rFonts w:ascii="Book Antiqua" w:hAnsi="Book Antiqua"/>
          <w:b/>
        </w:rPr>
        <w:t xml:space="preserve"> </w:t>
      </w:r>
      <w:proofErr w:type="spellStart"/>
      <w:r w:rsidR="003A0BA3" w:rsidRPr="00A35CEC">
        <w:rPr>
          <w:rFonts w:ascii="Book Antiqua" w:hAnsi="Book Antiqua"/>
          <w:b/>
        </w:rPr>
        <w:t>Hatzakis</w:t>
      </w:r>
      <w:proofErr w:type="spellEnd"/>
      <w:r w:rsidRPr="00A35CEC">
        <w:rPr>
          <w:rFonts w:ascii="Book Antiqua" w:hAnsi="Book Antiqua"/>
          <w:b/>
        </w:rPr>
        <w:t>,</w:t>
      </w:r>
      <w:r w:rsidR="00E319ED" w:rsidRPr="00A35CEC">
        <w:rPr>
          <w:rFonts w:ascii="Book Antiqua" w:hAnsi="Book Antiqua"/>
          <w:b/>
        </w:rPr>
        <w:t xml:space="preserve"> </w:t>
      </w:r>
      <w:r w:rsidR="00E319ED" w:rsidRPr="00A35CEC">
        <w:rPr>
          <w:rFonts w:ascii="Book Antiqua" w:hAnsi="Book Antiqua"/>
        </w:rPr>
        <w:t>Hellenic Scientific Society for the Study of AIDS and Sexually Transmitted Diseases, Athens</w:t>
      </w:r>
      <w:r w:rsidR="003A0BA3" w:rsidRPr="00A35CEC">
        <w:rPr>
          <w:rFonts w:ascii="Book Antiqua" w:hAnsi="Book Antiqua"/>
        </w:rPr>
        <w:t xml:space="preserve"> 11527, Greece</w:t>
      </w:r>
    </w:p>
    <w:p w14:paraId="79FF4AD4" w14:textId="77777777" w:rsidR="003A0BA3" w:rsidRPr="00A35CEC" w:rsidRDefault="003A0BA3" w:rsidP="00342141">
      <w:pPr>
        <w:adjustRightInd w:val="0"/>
        <w:snapToGrid w:val="0"/>
        <w:spacing w:line="360" w:lineRule="auto"/>
        <w:jc w:val="both"/>
        <w:rPr>
          <w:rFonts w:ascii="Book Antiqua" w:hAnsi="Book Antiqua"/>
        </w:rPr>
      </w:pPr>
    </w:p>
    <w:p w14:paraId="51E69B87" w14:textId="77777777" w:rsidR="00E319ED" w:rsidRPr="00A35CEC" w:rsidRDefault="003A0BA3" w:rsidP="00342141">
      <w:pPr>
        <w:adjustRightInd w:val="0"/>
        <w:snapToGrid w:val="0"/>
        <w:spacing w:line="360" w:lineRule="auto"/>
        <w:jc w:val="both"/>
        <w:rPr>
          <w:rFonts w:ascii="Book Antiqua" w:hAnsi="Book Antiqua"/>
        </w:rPr>
      </w:pPr>
      <w:r w:rsidRPr="00A35CEC">
        <w:rPr>
          <w:rFonts w:ascii="Book Antiqua" w:hAnsi="Book Antiqua"/>
          <w:b/>
        </w:rPr>
        <w:t xml:space="preserve">George </w:t>
      </w:r>
      <w:proofErr w:type="spellStart"/>
      <w:r w:rsidR="0017432E" w:rsidRPr="00A35CEC">
        <w:rPr>
          <w:rFonts w:ascii="Book Antiqua" w:hAnsi="Book Antiqua"/>
          <w:b/>
        </w:rPr>
        <w:t>Papatheodoridis</w:t>
      </w:r>
      <w:proofErr w:type="spellEnd"/>
      <w:r w:rsidRPr="00A35CEC">
        <w:rPr>
          <w:rFonts w:ascii="Book Antiqua" w:hAnsi="Book Antiqua"/>
          <w:b/>
        </w:rPr>
        <w:t>,</w:t>
      </w:r>
      <w:r w:rsidR="0017432E" w:rsidRPr="00A35CEC">
        <w:rPr>
          <w:rFonts w:ascii="Book Antiqua" w:hAnsi="Book Antiqua"/>
          <w:b/>
        </w:rPr>
        <w:t xml:space="preserve"> </w:t>
      </w:r>
      <w:r w:rsidR="00E319ED" w:rsidRPr="00A35CEC">
        <w:rPr>
          <w:rFonts w:ascii="Book Antiqua" w:hAnsi="Book Antiqua"/>
        </w:rPr>
        <w:t xml:space="preserve">Department of Gastroenterology, Medical School, National and </w:t>
      </w:r>
      <w:proofErr w:type="spellStart"/>
      <w:r w:rsidR="00E319ED" w:rsidRPr="00A35CEC">
        <w:rPr>
          <w:rFonts w:ascii="Book Antiqua" w:hAnsi="Book Antiqua"/>
        </w:rPr>
        <w:t>Kapodistrian</w:t>
      </w:r>
      <w:proofErr w:type="spellEnd"/>
      <w:r w:rsidR="00E319ED" w:rsidRPr="00A35CEC">
        <w:rPr>
          <w:rFonts w:ascii="Book Antiqua" w:hAnsi="Book Antiqua"/>
        </w:rPr>
        <w:t xml:space="preserve"> University of Athens, </w:t>
      </w:r>
      <w:proofErr w:type="spellStart"/>
      <w:r w:rsidR="00E319ED" w:rsidRPr="00A35CEC">
        <w:rPr>
          <w:rFonts w:ascii="Book Antiqua" w:hAnsi="Book Antiqua"/>
        </w:rPr>
        <w:t>Laiko</w:t>
      </w:r>
      <w:proofErr w:type="spellEnd"/>
      <w:r w:rsidR="00E319ED" w:rsidRPr="00A35CEC">
        <w:rPr>
          <w:rFonts w:ascii="Book Antiqua" w:hAnsi="Book Antiqua"/>
        </w:rPr>
        <w:t xml:space="preserve"> General Hospital, Athens</w:t>
      </w:r>
      <w:r w:rsidRPr="00A35CEC">
        <w:rPr>
          <w:rFonts w:ascii="Book Antiqua" w:hAnsi="Book Antiqua"/>
        </w:rPr>
        <w:t xml:space="preserve"> 11527</w:t>
      </w:r>
      <w:r w:rsidR="0017432E" w:rsidRPr="00A35CEC">
        <w:rPr>
          <w:rFonts w:ascii="Book Antiqua" w:hAnsi="Book Antiqua"/>
        </w:rPr>
        <w:t>, Greece</w:t>
      </w:r>
    </w:p>
    <w:p w14:paraId="16E97545" w14:textId="77777777" w:rsidR="003A0BA3" w:rsidRPr="00A35CEC" w:rsidRDefault="003A0BA3" w:rsidP="00342141">
      <w:pPr>
        <w:adjustRightInd w:val="0"/>
        <w:snapToGrid w:val="0"/>
        <w:spacing w:line="360" w:lineRule="auto"/>
        <w:jc w:val="both"/>
        <w:rPr>
          <w:rFonts w:ascii="Book Antiqua" w:hAnsi="Book Antiqua"/>
        </w:rPr>
      </w:pPr>
    </w:p>
    <w:p w14:paraId="154488C6" w14:textId="77777777" w:rsidR="00E319ED" w:rsidRPr="00A35CEC" w:rsidRDefault="0017432E" w:rsidP="00342141">
      <w:pPr>
        <w:adjustRightInd w:val="0"/>
        <w:snapToGrid w:val="0"/>
        <w:spacing w:line="360" w:lineRule="auto"/>
        <w:jc w:val="both"/>
        <w:rPr>
          <w:rFonts w:ascii="Book Antiqua" w:hAnsi="Book Antiqua"/>
        </w:rPr>
      </w:pPr>
      <w:proofErr w:type="spellStart"/>
      <w:r w:rsidRPr="00A35CEC">
        <w:rPr>
          <w:rFonts w:ascii="Book Antiqua" w:hAnsi="Book Antiqua"/>
          <w:b/>
        </w:rPr>
        <w:t>Kyriakos</w:t>
      </w:r>
      <w:proofErr w:type="spellEnd"/>
      <w:r w:rsidR="003A0BA3" w:rsidRPr="00A35CEC">
        <w:rPr>
          <w:rFonts w:ascii="Book Antiqua" w:hAnsi="Book Antiqua"/>
          <w:b/>
        </w:rPr>
        <w:t xml:space="preserve"> </w:t>
      </w:r>
      <w:proofErr w:type="spellStart"/>
      <w:r w:rsidR="003A0BA3" w:rsidRPr="00A35CEC">
        <w:rPr>
          <w:rFonts w:ascii="Book Antiqua" w:hAnsi="Book Antiqua"/>
          <w:b/>
        </w:rPr>
        <w:t>Souliotis</w:t>
      </w:r>
      <w:proofErr w:type="spellEnd"/>
      <w:r w:rsidR="003A0BA3" w:rsidRPr="00A35CEC">
        <w:rPr>
          <w:rFonts w:ascii="Book Antiqua" w:hAnsi="Book Antiqua"/>
          <w:b/>
        </w:rPr>
        <w:t>,</w:t>
      </w:r>
      <w:r w:rsidRPr="00A35CEC">
        <w:rPr>
          <w:rFonts w:ascii="Book Antiqua" w:hAnsi="Book Antiqua"/>
        </w:rPr>
        <w:t xml:space="preserve"> </w:t>
      </w:r>
      <w:r w:rsidR="00E319ED" w:rsidRPr="00A35CEC">
        <w:rPr>
          <w:rFonts w:ascii="Book Antiqua" w:hAnsi="Book Antiqua"/>
        </w:rPr>
        <w:t>Faculty of Social and Political Sciences, University of Peloponnese,</w:t>
      </w:r>
      <w:r w:rsidRPr="00A35CEC">
        <w:rPr>
          <w:rFonts w:ascii="Book Antiqua" w:hAnsi="Book Antiqua"/>
        </w:rPr>
        <w:t xml:space="preserve"> </w:t>
      </w:r>
      <w:r w:rsidR="00E319ED" w:rsidRPr="00A35CEC">
        <w:rPr>
          <w:rFonts w:ascii="Book Antiqua" w:hAnsi="Book Antiqua"/>
        </w:rPr>
        <w:t>Korinthos</w:t>
      </w:r>
      <w:r w:rsidR="003A0BA3" w:rsidRPr="00A35CEC">
        <w:rPr>
          <w:rFonts w:ascii="Book Antiqua" w:hAnsi="Book Antiqua"/>
        </w:rPr>
        <w:t xml:space="preserve"> 20100</w:t>
      </w:r>
      <w:r w:rsidR="00E319ED" w:rsidRPr="00A35CEC">
        <w:rPr>
          <w:rFonts w:ascii="Book Antiqua" w:hAnsi="Book Antiqua"/>
        </w:rPr>
        <w:t>, Greece</w:t>
      </w:r>
    </w:p>
    <w:p w14:paraId="013FC9F5" w14:textId="77777777" w:rsidR="003A0BA3" w:rsidRPr="00A35CEC" w:rsidRDefault="003A0BA3" w:rsidP="00342141">
      <w:pPr>
        <w:adjustRightInd w:val="0"/>
        <w:snapToGrid w:val="0"/>
        <w:spacing w:line="360" w:lineRule="auto"/>
        <w:jc w:val="both"/>
        <w:rPr>
          <w:rFonts w:ascii="Book Antiqua" w:hAnsi="Book Antiqua"/>
        </w:rPr>
      </w:pPr>
    </w:p>
    <w:p w14:paraId="07336E0F" w14:textId="32714AB3" w:rsidR="00E319ED" w:rsidRPr="00A35CEC" w:rsidRDefault="0017432E" w:rsidP="00342141">
      <w:pPr>
        <w:adjustRightInd w:val="0"/>
        <w:snapToGrid w:val="0"/>
        <w:spacing w:line="360" w:lineRule="auto"/>
        <w:jc w:val="both"/>
        <w:rPr>
          <w:rFonts w:ascii="Book Antiqua" w:hAnsi="Book Antiqua"/>
        </w:rPr>
      </w:pPr>
      <w:r w:rsidRPr="00A35CEC">
        <w:rPr>
          <w:rFonts w:ascii="Book Antiqua" w:hAnsi="Book Antiqua"/>
          <w:b/>
        </w:rPr>
        <w:t>Kostas</w:t>
      </w:r>
      <w:r w:rsidR="003A0BA3" w:rsidRPr="00A35CEC">
        <w:rPr>
          <w:rFonts w:ascii="Book Antiqua" w:hAnsi="Book Antiqua"/>
          <w:b/>
        </w:rPr>
        <w:t xml:space="preserve"> </w:t>
      </w:r>
      <w:proofErr w:type="spellStart"/>
      <w:r w:rsidR="003A0BA3" w:rsidRPr="00A35CEC">
        <w:rPr>
          <w:rFonts w:ascii="Book Antiqua" w:hAnsi="Book Antiqua"/>
          <w:b/>
        </w:rPr>
        <w:t>Athanasakis</w:t>
      </w:r>
      <w:proofErr w:type="spellEnd"/>
      <w:r w:rsidR="003A0BA3" w:rsidRPr="00A35CEC">
        <w:rPr>
          <w:rFonts w:ascii="Book Antiqua" w:hAnsi="Book Antiqua"/>
          <w:b/>
        </w:rPr>
        <w:t>,</w:t>
      </w:r>
      <w:r w:rsidRPr="00A35CEC">
        <w:rPr>
          <w:rFonts w:ascii="Book Antiqua" w:hAnsi="Book Antiqua"/>
          <w:b/>
        </w:rPr>
        <w:t xml:space="preserve"> </w:t>
      </w:r>
      <w:r w:rsidR="00E319ED" w:rsidRPr="00A35CEC">
        <w:rPr>
          <w:rFonts w:ascii="Book Antiqua" w:hAnsi="Book Antiqua"/>
        </w:rPr>
        <w:t xml:space="preserve">Department of </w:t>
      </w:r>
      <w:r w:rsidR="00DF236C" w:rsidRPr="00A35CEC">
        <w:rPr>
          <w:rFonts w:ascii="Book Antiqua" w:hAnsi="Book Antiqua"/>
        </w:rPr>
        <w:t>H</w:t>
      </w:r>
      <w:r w:rsidR="00E319ED" w:rsidRPr="00A35CEC">
        <w:rPr>
          <w:rFonts w:ascii="Book Antiqua" w:hAnsi="Book Antiqua"/>
        </w:rPr>
        <w:t xml:space="preserve">ealth </w:t>
      </w:r>
      <w:r w:rsidR="00DF236C" w:rsidRPr="00A35CEC">
        <w:rPr>
          <w:rFonts w:ascii="Book Antiqua" w:hAnsi="Book Antiqua"/>
        </w:rPr>
        <w:t>E</w:t>
      </w:r>
      <w:r w:rsidR="00E319ED" w:rsidRPr="00A35CEC">
        <w:rPr>
          <w:rFonts w:ascii="Book Antiqua" w:hAnsi="Book Antiqua"/>
        </w:rPr>
        <w:t xml:space="preserve">conomics, National School of Public </w:t>
      </w:r>
      <w:r w:rsidR="00DF236C" w:rsidRPr="00A35CEC">
        <w:rPr>
          <w:rFonts w:ascii="Book Antiqua" w:hAnsi="Book Antiqua"/>
        </w:rPr>
        <w:t>H</w:t>
      </w:r>
      <w:r w:rsidR="00E319ED" w:rsidRPr="00A35CEC">
        <w:rPr>
          <w:rFonts w:ascii="Book Antiqua" w:hAnsi="Book Antiqua"/>
        </w:rPr>
        <w:t>ealth, Athens</w:t>
      </w:r>
      <w:r w:rsidR="003A0BA3" w:rsidRPr="00A35CEC">
        <w:rPr>
          <w:rFonts w:ascii="Book Antiqua" w:hAnsi="Book Antiqua"/>
        </w:rPr>
        <w:t xml:space="preserve"> 11521</w:t>
      </w:r>
      <w:r w:rsidR="00E319ED" w:rsidRPr="00A35CEC">
        <w:rPr>
          <w:rFonts w:ascii="Book Antiqua" w:hAnsi="Book Antiqua"/>
        </w:rPr>
        <w:t>, Greece</w:t>
      </w:r>
    </w:p>
    <w:p w14:paraId="5B11F5D0" w14:textId="77777777" w:rsidR="003A0BA3" w:rsidRPr="00A35CEC" w:rsidRDefault="003A0BA3" w:rsidP="00342141">
      <w:pPr>
        <w:adjustRightInd w:val="0"/>
        <w:snapToGrid w:val="0"/>
        <w:spacing w:line="360" w:lineRule="auto"/>
        <w:jc w:val="both"/>
        <w:rPr>
          <w:rFonts w:ascii="Book Antiqua" w:hAnsi="Book Antiqua"/>
        </w:rPr>
      </w:pPr>
    </w:p>
    <w:p w14:paraId="5B101307" w14:textId="77777777" w:rsidR="00E319ED" w:rsidRPr="00A35CEC" w:rsidRDefault="0017432E" w:rsidP="00342141">
      <w:pPr>
        <w:adjustRightInd w:val="0"/>
        <w:snapToGrid w:val="0"/>
        <w:spacing w:line="360" w:lineRule="auto"/>
        <w:jc w:val="both"/>
        <w:outlineLvl w:val="0"/>
        <w:rPr>
          <w:rFonts w:ascii="Book Antiqua" w:hAnsi="Book Antiqua"/>
        </w:rPr>
      </w:pPr>
      <w:proofErr w:type="spellStart"/>
      <w:r w:rsidRPr="00A35CEC">
        <w:rPr>
          <w:rFonts w:ascii="Book Antiqua" w:hAnsi="Book Antiqua"/>
          <w:b/>
        </w:rPr>
        <w:t>Homie</w:t>
      </w:r>
      <w:proofErr w:type="spellEnd"/>
      <w:r w:rsidR="003A0BA3" w:rsidRPr="00A35CEC">
        <w:rPr>
          <w:rFonts w:ascii="Book Antiqua" w:hAnsi="Book Antiqua"/>
          <w:b/>
        </w:rPr>
        <w:t xml:space="preserve"> </w:t>
      </w:r>
      <w:proofErr w:type="spellStart"/>
      <w:r w:rsidR="003A0BA3" w:rsidRPr="00A35CEC">
        <w:rPr>
          <w:rFonts w:ascii="Book Antiqua" w:hAnsi="Book Antiqua"/>
          <w:b/>
        </w:rPr>
        <w:t>Razavi</w:t>
      </w:r>
      <w:proofErr w:type="spellEnd"/>
      <w:r w:rsidR="003A0BA3" w:rsidRPr="00A35CEC">
        <w:rPr>
          <w:rFonts w:ascii="Book Antiqua" w:hAnsi="Book Antiqua"/>
          <w:b/>
        </w:rPr>
        <w:t>,</w:t>
      </w:r>
      <w:r w:rsidRPr="00A35CEC">
        <w:rPr>
          <w:rFonts w:ascii="Book Antiqua" w:hAnsi="Book Antiqua"/>
          <w:b/>
        </w:rPr>
        <w:t xml:space="preserve"> </w:t>
      </w:r>
      <w:r w:rsidR="00E319ED" w:rsidRPr="00A35CEC">
        <w:rPr>
          <w:rFonts w:ascii="Book Antiqua" w:hAnsi="Book Antiqua"/>
        </w:rPr>
        <w:t>Center for Disease Analysis,</w:t>
      </w:r>
      <w:r w:rsidRPr="00A35CEC">
        <w:rPr>
          <w:rFonts w:ascii="Book Antiqua" w:hAnsi="Book Antiqua"/>
        </w:rPr>
        <w:t xml:space="preserve"> </w:t>
      </w:r>
      <w:r w:rsidR="00E319ED" w:rsidRPr="00A35CEC">
        <w:rPr>
          <w:rFonts w:ascii="Book Antiqua" w:hAnsi="Book Antiqua"/>
        </w:rPr>
        <w:t>Lafayette, C</w:t>
      </w:r>
      <w:r w:rsidR="00D809A1" w:rsidRPr="00A35CEC">
        <w:rPr>
          <w:rFonts w:ascii="Book Antiqua" w:hAnsi="Book Antiqua"/>
        </w:rPr>
        <w:t>O 80026, United States</w:t>
      </w:r>
    </w:p>
    <w:p w14:paraId="12B6C944" w14:textId="77777777" w:rsidR="002837FE" w:rsidRPr="00A35CEC" w:rsidRDefault="002837FE" w:rsidP="00A35CEC">
      <w:pPr>
        <w:adjustRightInd w:val="0"/>
        <w:snapToGrid w:val="0"/>
        <w:spacing w:line="360" w:lineRule="auto"/>
        <w:jc w:val="center"/>
        <w:rPr>
          <w:rFonts w:ascii="Book Antiqua" w:hAnsi="Book Antiqua"/>
          <w:b/>
        </w:rPr>
      </w:pPr>
    </w:p>
    <w:p w14:paraId="0953E164" w14:textId="77777777" w:rsidR="000D3876" w:rsidRPr="00A35CEC" w:rsidRDefault="000D3876" w:rsidP="00B23A0C">
      <w:pPr>
        <w:adjustRightInd w:val="0"/>
        <w:snapToGrid w:val="0"/>
        <w:spacing w:line="360" w:lineRule="auto"/>
        <w:jc w:val="both"/>
        <w:rPr>
          <w:rFonts w:ascii="Book Antiqua" w:hAnsi="Book Antiqua"/>
        </w:rPr>
      </w:pPr>
      <w:proofErr w:type="spellStart"/>
      <w:r w:rsidRPr="00A35CEC">
        <w:rPr>
          <w:rFonts w:ascii="Book Antiqua" w:hAnsi="Book Antiqua"/>
          <w:b/>
        </w:rPr>
        <w:t>ORCID</w:t>
      </w:r>
      <w:proofErr w:type="spellEnd"/>
      <w:r w:rsidRPr="00A35CEC">
        <w:rPr>
          <w:rFonts w:ascii="Book Antiqua" w:hAnsi="Book Antiqua"/>
          <w:b/>
        </w:rPr>
        <w:t xml:space="preserve"> number: </w:t>
      </w:r>
      <w:proofErr w:type="spellStart"/>
      <w:r w:rsidRPr="00A35CEC">
        <w:rPr>
          <w:rFonts w:ascii="Book Antiqua" w:hAnsi="Book Antiqua"/>
        </w:rPr>
        <w:t>Ilias</w:t>
      </w:r>
      <w:proofErr w:type="spellEnd"/>
      <w:r w:rsidRPr="00A35CEC">
        <w:rPr>
          <w:rFonts w:ascii="Book Antiqua" w:hAnsi="Book Antiqua"/>
        </w:rPr>
        <w:t xml:space="preserve"> </w:t>
      </w:r>
      <w:proofErr w:type="spellStart"/>
      <w:r w:rsidRPr="00A35CEC">
        <w:rPr>
          <w:rFonts w:ascii="Book Antiqua" w:hAnsi="Book Antiqua"/>
        </w:rPr>
        <w:t>Gountas</w:t>
      </w:r>
      <w:proofErr w:type="spellEnd"/>
      <w:r w:rsidRPr="00A35CEC">
        <w:rPr>
          <w:rFonts w:ascii="Book Antiqua" w:hAnsi="Book Antiqua"/>
        </w:rPr>
        <w:t xml:space="preserve"> (0000-0002-6584-0313); </w:t>
      </w:r>
      <w:proofErr w:type="spellStart"/>
      <w:r w:rsidRPr="00A35CEC">
        <w:rPr>
          <w:rFonts w:ascii="Book Antiqua" w:hAnsi="Book Antiqua"/>
        </w:rPr>
        <w:t>Vana</w:t>
      </w:r>
      <w:proofErr w:type="spellEnd"/>
      <w:r w:rsidRPr="00A35CEC">
        <w:rPr>
          <w:rFonts w:ascii="Book Antiqua" w:hAnsi="Book Antiqua"/>
        </w:rPr>
        <w:t xml:space="preserve"> </w:t>
      </w:r>
      <w:proofErr w:type="spellStart"/>
      <w:r w:rsidRPr="00A35CEC">
        <w:rPr>
          <w:rFonts w:ascii="Book Antiqua" w:hAnsi="Book Antiqua"/>
        </w:rPr>
        <w:t>Sypsa</w:t>
      </w:r>
      <w:proofErr w:type="spellEnd"/>
      <w:r w:rsidRPr="00A35CEC">
        <w:rPr>
          <w:rFonts w:ascii="Book Antiqua" w:hAnsi="Book Antiqua"/>
          <w:vertAlign w:val="superscript"/>
        </w:rPr>
        <w:t xml:space="preserve"> </w:t>
      </w:r>
      <w:r w:rsidRPr="00A35CEC">
        <w:rPr>
          <w:rFonts w:ascii="Book Antiqua" w:hAnsi="Book Antiqua"/>
        </w:rPr>
        <w:t xml:space="preserve">(0000-0002-9430-7614); George </w:t>
      </w:r>
      <w:proofErr w:type="spellStart"/>
      <w:r w:rsidRPr="00A35CEC">
        <w:rPr>
          <w:rFonts w:ascii="Book Antiqua" w:hAnsi="Book Antiqua"/>
        </w:rPr>
        <w:t>Papatheodoridis</w:t>
      </w:r>
      <w:proofErr w:type="spellEnd"/>
      <w:r w:rsidRPr="00A35CEC">
        <w:rPr>
          <w:rFonts w:ascii="Book Antiqua" w:hAnsi="Book Antiqua"/>
          <w:vertAlign w:val="superscript"/>
        </w:rPr>
        <w:t xml:space="preserve"> </w:t>
      </w:r>
      <w:r w:rsidRPr="00A35CEC">
        <w:rPr>
          <w:rFonts w:ascii="Book Antiqua" w:hAnsi="Book Antiqua"/>
        </w:rPr>
        <w:t xml:space="preserve">(0000-0002-3518-4060); </w:t>
      </w:r>
      <w:proofErr w:type="spellStart"/>
      <w:r w:rsidRPr="00A35CEC">
        <w:rPr>
          <w:rFonts w:ascii="Book Antiqua" w:hAnsi="Book Antiqua"/>
        </w:rPr>
        <w:t>Kyriakos</w:t>
      </w:r>
      <w:proofErr w:type="spellEnd"/>
      <w:r w:rsidRPr="00A35CEC">
        <w:rPr>
          <w:rFonts w:ascii="Book Antiqua" w:hAnsi="Book Antiqua"/>
        </w:rPr>
        <w:t xml:space="preserve"> </w:t>
      </w:r>
      <w:proofErr w:type="spellStart"/>
      <w:r w:rsidRPr="00A35CEC">
        <w:rPr>
          <w:rFonts w:ascii="Book Antiqua" w:hAnsi="Book Antiqua"/>
        </w:rPr>
        <w:t>Souliotis</w:t>
      </w:r>
      <w:proofErr w:type="spellEnd"/>
      <w:r w:rsidRPr="00A35CEC">
        <w:rPr>
          <w:rFonts w:ascii="Book Antiqua" w:hAnsi="Book Antiqua"/>
        </w:rPr>
        <w:t xml:space="preserve"> (</w:t>
      </w:r>
      <w:r w:rsidR="00A87006" w:rsidRPr="00A35CEC">
        <w:rPr>
          <w:rFonts w:ascii="Book Antiqua" w:hAnsi="Book Antiqua"/>
        </w:rPr>
        <w:t>0000-0003-1624-9444</w:t>
      </w:r>
      <w:r w:rsidRPr="00A35CEC">
        <w:rPr>
          <w:rFonts w:ascii="Book Antiqua" w:hAnsi="Book Antiqua"/>
        </w:rPr>
        <w:t>)</w:t>
      </w:r>
      <w:r w:rsidR="00A87006" w:rsidRPr="00A35CEC">
        <w:rPr>
          <w:rFonts w:ascii="Book Antiqua" w:hAnsi="Book Antiqua"/>
        </w:rPr>
        <w:t xml:space="preserve">; Kostas </w:t>
      </w:r>
      <w:proofErr w:type="spellStart"/>
      <w:r w:rsidR="00A87006" w:rsidRPr="00A35CEC">
        <w:rPr>
          <w:rFonts w:ascii="Book Antiqua" w:hAnsi="Book Antiqua"/>
        </w:rPr>
        <w:t>Athanasakis</w:t>
      </w:r>
      <w:proofErr w:type="spellEnd"/>
      <w:r w:rsidR="00A87006" w:rsidRPr="00A35CEC">
        <w:rPr>
          <w:rFonts w:ascii="Book Antiqua" w:hAnsi="Book Antiqua"/>
        </w:rPr>
        <w:t xml:space="preserve"> (0000-0002-1024-3802); </w:t>
      </w:r>
      <w:proofErr w:type="spellStart"/>
      <w:r w:rsidR="00A87006" w:rsidRPr="00A35CEC">
        <w:rPr>
          <w:rFonts w:ascii="Book Antiqua" w:hAnsi="Book Antiqua"/>
        </w:rPr>
        <w:t>Homie</w:t>
      </w:r>
      <w:proofErr w:type="spellEnd"/>
      <w:r w:rsidR="00A87006" w:rsidRPr="00A35CEC">
        <w:rPr>
          <w:rFonts w:ascii="Book Antiqua" w:hAnsi="Book Antiqua"/>
        </w:rPr>
        <w:t xml:space="preserve"> </w:t>
      </w:r>
      <w:proofErr w:type="spellStart"/>
      <w:r w:rsidR="00A87006" w:rsidRPr="00A35CEC">
        <w:rPr>
          <w:rFonts w:ascii="Book Antiqua" w:hAnsi="Book Antiqua"/>
        </w:rPr>
        <w:t>Razavi</w:t>
      </w:r>
      <w:proofErr w:type="spellEnd"/>
      <w:r w:rsidR="00A87006" w:rsidRPr="00A35CEC">
        <w:rPr>
          <w:rFonts w:ascii="Book Antiqua" w:hAnsi="Book Antiqua"/>
        </w:rPr>
        <w:t xml:space="preserve"> (0000-0002-2658-6930); </w:t>
      </w:r>
      <w:proofErr w:type="spellStart"/>
      <w:r w:rsidR="00A87006" w:rsidRPr="00A35CEC">
        <w:rPr>
          <w:rFonts w:ascii="Book Antiqua" w:hAnsi="Book Antiqua"/>
        </w:rPr>
        <w:t>Angelos</w:t>
      </w:r>
      <w:proofErr w:type="spellEnd"/>
      <w:r w:rsidR="00A87006" w:rsidRPr="00A35CEC">
        <w:rPr>
          <w:rFonts w:ascii="Book Antiqua" w:hAnsi="Book Antiqua"/>
        </w:rPr>
        <w:t xml:space="preserve"> </w:t>
      </w:r>
      <w:proofErr w:type="spellStart"/>
      <w:r w:rsidR="00A87006" w:rsidRPr="00A35CEC">
        <w:rPr>
          <w:rFonts w:ascii="Book Antiqua" w:hAnsi="Book Antiqua"/>
        </w:rPr>
        <w:t>Hatzakis</w:t>
      </w:r>
      <w:proofErr w:type="spellEnd"/>
      <w:r w:rsidR="00A87006" w:rsidRPr="00A35CEC">
        <w:rPr>
          <w:rFonts w:ascii="Book Antiqua" w:hAnsi="Book Antiqua"/>
        </w:rPr>
        <w:t xml:space="preserve"> (0000-0001-8420-3830)</w:t>
      </w:r>
      <w:r w:rsidR="00D809A1" w:rsidRPr="00A35CEC">
        <w:rPr>
          <w:rFonts w:ascii="Book Antiqua" w:hAnsi="Book Antiqua"/>
        </w:rPr>
        <w:t>.</w:t>
      </w:r>
    </w:p>
    <w:p w14:paraId="71FA68D4" w14:textId="77777777" w:rsidR="002837FE" w:rsidRPr="00A35CEC" w:rsidRDefault="002837FE" w:rsidP="00B23A0C">
      <w:pPr>
        <w:adjustRightInd w:val="0"/>
        <w:snapToGrid w:val="0"/>
        <w:spacing w:line="360" w:lineRule="auto"/>
        <w:jc w:val="both"/>
        <w:rPr>
          <w:rFonts w:ascii="Book Antiqua" w:hAnsi="Book Antiqua"/>
        </w:rPr>
      </w:pPr>
    </w:p>
    <w:p w14:paraId="2E94935D" w14:textId="4DE8EC86" w:rsidR="00391785" w:rsidRPr="00A35CEC" w:rsidRDefault="002837FE" w:rsidP="00342141">
      <w:pPr>
        <w:pStyle w:val="HTML"/>
        <w:shd w:val="clear" w:color="auto" w:fill="FFFFFF"/>
        <w:adjustRightInd w:val="0"/>
        <w:snapToGrid w:val="0"/>
        <w:spacing w:line="360" w:lineRule="auto"/>
        <w:jc w:val="both"/>
        <w:rPr>
          <w:rFonts w:ascii="Book Antiqua" w:hAnsi="Book Antiqua"/>
          <w:sz w:val="24"/>
          <w:szCs w:val="24"/>
          <w:lang w:val="en-US" w:eastAsia="el-GR"/>
        </w:rPr>
      </w:pPr>
      <w:r w:rsidRPr="00A35CEC">
        <w:rPr>
          <w:rFonts w:ascii="Book Antiqua" w:hAnsi="Book Antiqua"/>
          <w:b/>
          <w:sz w:val="24"/>
          <w:szCs w:val="24"/>
          <w:lang w:val="en-US" w:eastAsia="el-GR"/>
        </w:rPr>
        <w:t>Author contribution</w:t>
      </w:r>
      <w:r w:rsidR="00D809A1" w:rsidRPr="00A35CEC">
        <w:rPr>
          <w:rFonts w:ascii="Book Antiqua" w:hAnsi="Book Antiqua"/>
          <w:b/>
          <w:sz w:val="24"/>
          <w:szCs w:val="24"/>
          <w:lang w:val="en-US" w:eastAsia="el-GR"/>
        </w:rPr>
        <w:t>s</w:t>
      </w:r>
      <w:r w:rsidRPr="00A35CEC">
        <w:rPr>
          <w:rFonts w:ascii="Book Antiqua" w:hAnsi="Book Antiqua"/>
          <w:b/>
          <w:sz w:val="24"/>
          <w:szCs w:val="24"/>
          <w:lang w:val="en-US" w:eastAsia="el-GR"/>
        </w:rPr>
        <w:t>:</w:t>
      </w:r>
      <w:r w:rsidRPr="00A35CEC">
        <w:rPr>
          <w:rFonts w:ascii="Book Antiqua" w:hAnsi="Book Antiqua"/>
          <w:sz w:val="24"/>
          <w:szCs w:val="24"/>
          <w:lang w:val="en-US" w:eastAsia="el-GR"/>
        </w:rPr>
        <w:t xml:space="preserve"> </w:t>
      </w:r>
      <w:proofErr w:type="spellStart"/>
      <w:r w:rsidR="0017432E" w:rsidRPr="00A35CEC">
        <w:rPr>
          <w:rFonts w:ascii="Book Antiqua" w:hAnsi="Book Antiqua"/>
          <w:sz w:val="24"/>
          <w:szCs w:val="24"/>
          <w:lang w:val="en-US" w:eastAsia="el-GR"/>
        </w:rPr>
        <w:t>Gountas</w:t>
      </w:r>
      <w:proofErr w:type="spellEnd"/>
      <w:r w:rsidR="0017432E" w:rsidRPr="00A35CEC">
        <w:rPr>
          <w:rFonts w:ascii="Book Antiqua" w:hAnsi="Book Antiqua"/>
          <w:sz w:val="24"/>
          <w:szCs w:val="24"/>
          <w:lang w:val="en-US" w:eastAsia="el-GR"/>
        </w:rPr>
        <w:t xml:space="preserve"> I</w:t>
      </w:r>
      <w:r w:rsidR="00391785" w:rsidRPr="00A35CEC">
        <w:rPr>
          <w:rFonts w:ascii="Book Antiqua" w:hAnsi="Book Antiqua"/>
          <w:sz w:val="24"/>
          <w:szCs w:val="24"/>
          <w:lang w:val="en-US" w:eastAsia="el-GR"/>
        </w:rPr>
        <w:t xml:space="preserve"> and </w:t>
      </w:r>
      <w:proofErr w:type="spellStart"/>
      <w:r w:rsidR="0017432E" w:rsidRPr="00A35CEC">
        <w:rPr>
          <w:rFonts w:ascii="Book Antiqua" w:hAnsi="Book Antiqua"/>
          <w:sz w:val="24"/>
          <w:szCs w:val="24"/>
          <w:lang w:val="en-US" w:eastAsia="el-GR"/>
        </w:rPr>
        <w:t>Hatzakis</w:t>
      </w:r>
      <w:proofErr w:type="spellEnd"/>
      <w:r w:rsidR="0017432E" w:rsidRPr="00A35CEC">
        <w:rPr>
          <w:rFonts w:ascii="Book Antiqua" w:hAnsi="Book Antiqua"/>
          <w:sz w:val="24"/>
          <w:szCs w:val="24"/>
          <w:lang w:val="en-US" w:eastAsia="el-GR"/>
        </w:rPr>
        <w:t xml:space="preserve"> A</w:t>
      </w:r>
      <w:r w:rsidR="00391785" w:rsidRPr="00A35CEC">
        <w:rPr>
          <w:rFonts w:ascii="Book Antiqua" w:hAnsi="Book Antiqua"/>
          <w:sz w:val="24"/>
          <w:szCs w:val="24"/>
          <w:lang w:val="en-US" w:eastAsia="el-GR"/>
        </w:rPr>
        <w:t xml:space="preserve"> conceived the study</w:t>
      </w:r>
      <w:r w:rsidR="0017432E" w:rsidRPr="00A35CEC">
        <w:rPr>
          <w:rFonts w:ascii="Book Antiqua" w:hAnsi="Book Antiqua"/>
          <w:sz w:val="24"/>
          <w:szCs w:val="24"/>
          <w:lang w:val="en-US" w:eastAsia="el-GR"/>
        </w:rPr>
        <w:t>;</w:t>
      </w:r>
      <w:r w:rsidR="00391785" w:rsidRPr="00A35CEC">
        <w:rPr>
          <w:rFonts w:ascii="Book Antiqua" w:hAnsi="Book Antiqua"/>
          <w:sz w:val="24"/>
          <w:szCs w:val="24"/>
          <w:lang w:val="en-US" w:eastAsia="el-GR"/>
        </w:rPr>
        <w:t xml:space="preserve"> </w:t>
      </w:r>
      <w:proofErr w:type="spellStart"/>
      <w:r w:rsidR="0017432E" w:rsidRPr="00A35CEC">
        <w:rPr>
          <w:rFonts w:ascii="Book Antiqua" w:hAnsi="Book Antiqua"/>
          <w:sz w:val="24"/>
          <w:szCs w:val="24"/>
          <w:lang w:val="en-US" w:eastAsia="el-GR"/>
        </w:rPr>
        <w:t>Gountas</w:t>
      </w:r>
      <w:proofErr w:type="spellEnd"/>
      <w:r w:rsidR="0017432E" w:rsidRPr="00A35CEC">
        <w:rPr>
          <w:rFonts w:ascii="Book Antiqua" w:hAnsi="Book Antiqua"/>
          <w:sz w:val="24"/>
          <w:szCs w:val="24"/>
          <w:lang w:val="en-US" w:eastAsia="el-GR"/>
        </w:rPr>
        <w:t xml:space="preserve"> I</w:t>
      </w:r>
      <w:r w:rsidR="00391785" w:rsidRPr="00A35CEC">
        <w:rPr>
          <w:rFonts w:ascii="Book Antiqua" w:hAnsi="Book Antiqua"/>
          <w:sz w:val="24"/>
          <w:szCs w:val="24"/>
          <w:lang w:val="en-US" w:eastAsia="el-GR"/>
        </w:rPr>
        <w:t xml:space="preserve"> performed the </w:t>
      </w:r>
      <w:proofErr w:type="spellStart"/>
      <w:r w:rsidR="00391785" w:rsidRPr="00A35CEC">
        <w:rPr>
          <w:rFonts w:ascii="Book Antiqua" w:hAnsi="Book Antiqua"/>
          <w:sz w:val="24"/>
          <w:szCs w:val="24"/>
          <w:lang w:val="en-US" w:eastAsia="el-GR"/>
        </w:rPr>
        <w:t>modelling</w:t>
      </w:r>
      <w:proofErr w:type="spellEnd"/>
      <w:r w:rsidR="00391785" w:rsidRPr="00A35CEC">
        <w:rPr>
          <w:rFonts w:ascii="Book Antiqua" w:hAnsi="Book Antiqua"/>
          <w:sz w:val="24"/>
          <w:szCs w:val="24"/>
          <w:lang w:val="en-US" w:eastAsia="el-GR"/>
        </w:rPr>
        <w:t xml:space="preserve"> and drafted the manuscript</w:t>
      </w:r>
      <w:r w:rsidR="0017432E" w:rsidRPr="00A35CEC">
        <w:rPr>
          <w:rFonts w:ascii="Book Antiqua" w:hAnsi="Book Antiqua"/>
          <w:sz w:val="24"/>
          <w:szCs w:val="24"/>
          <w:lang w:val="en-US" w:eastAsia="el-GR"/>
        </w:rPr>
        <w:t>;</w:t>
      </w:r>
      <w:r w:rsidR="00391785" w:rsidRPr="00A35CEC">
        <w:rPr>
          <w:rFonts w:ascii="Book Antiqua" w:hAnsi="Book Antiqua"/>
          <w:sz w:val="24"/>
          <w:szCs w:val="24"/>
          <w:lang w:val="en-US" w:eastAsia="el-GR"/>
        </w:rPr>
        <w:t xml:space="preserve"> </w:t>
      </w:r>
      <w:proofErr w:type="spellStart"/>
      <w:r w:rsidR="0017432E" w:rsidRPr="00A35CEC">
        <w:rPr>
          <w:rFonts w:ascii="Book Antiqua" w:hAnsi="Book Antiqua"/>
          <w:sz w:val="24"/>
          <w:szCs w:val="24"/>
          <w:lang w:val="en-US" w:eastAsia="el-GR"/>
        </w:rPr>
        <w:t>Hatzakis</w:t>
      </w:r>
      <w:proofErr w:type="spellEnd"/>
      <w:r w:rsidR="0017432E" w:rsidRPr="00A35CEC">
        <w:rPr>
          <w:rFonts w:ascii="Book Antiqua" w:hAnsi="Book Antiqua"/>
          <w:sz w:val="24"/>
          <w:szCs w:val="24"/>
          <w:lang w:val="en-US" w:eastAsia="el-GR"/>
        </w:rPr>
        <w:t xml:space="preserve"> A</w:t>
      </w:r>
      <w:r w:rsidR="00391785" w:rsidRPr="00A35CEC">
        <w:rPr>
          <w:rFonts w:ascii="Book Antiqua" w:hAnsi="Book Antiqua"/>
          <w:sz w:val="24"/>
          <w:szCs w:val="24"/>
          <w:lang w:val="en-US" w:eastAsia="el-GR"/>
        </w:rPr>
        <w:t xml:space="preserve"> coordinated the study</w:t>
      </w:r>
      <w:r w:rsidR="0099395B" w:rsidRPr="00A35CEC">
        <w:rPr>
          <w:rFonts w:ascii="Book Antiqua" w:hAnsi="Book Antiqua"/>
          <w:sz w:val="24"/>
          <w:szCs w:val="24"/>
          <w:lang w:val="en-US" w:eastAsia="el-GR"/>
        </w:rPr>
        <w:t>;</w:t>
      </w:r>
      <w:r w:rsidR="009142BA" w:rsidRPr="00A35CEC">
        <w:rPr>
          <w:rFonts w:ascii="Book Antiqua" w:hAnsi="Book Antiqua"/>
          <w:sz w:val="24"/>
          <w:szCs w:val="24"/>
          <w:lang w:val="en-US" w:eastAsia="el-GR"/>
        </w:rPr>
        <w:t xml:space="preserve"> </w:t>
      </w:r>
      <w:proofErr w:type="spellStart"/>
      <w:r w:rsidR="0017432E" w:rsidRPr="00A35CEC">
        <w:rPr>
          <w:rFonts w:ascii="Book Antiqua" w:hAnsi="Book Antiqua"/>
          <w:sz w:val="24"/>
          <w:szCs w:val="24"/>
          <w:lang w:val="en-US" w:eastAsia="el-GR"/>
        </w:rPr>
        <w:t>Sypsa</w:t>
      </w:r>
      <w:proofErr w:type="spellEnd"/>
      <w:r w:rsidR="0017432E" w:rsidRPr="00A35CEC">
        <w:rPr>
          <w:rFonts w:ascii="Book Antiqua" w:hAnsi="Book Antiqua"/>
          <w:sz w:val="24"/>
          <w:szCs w:val="24"/>
          <w:lang w:val="en-US" w:eastAsia="el-GR"/>
        </w:rPr>
        <w:t xml:space="preserve"> V</w:t>
      </w:r>
      <w:r w:rsidR="009142BA" w:rsidRPr="00A35CEC">
        <w:rPr>
          <w:rFonts w:ascii="Book Antiqua" w:hAnsi="Book Antiqua"/>
          <w:sz w:val="24"/>
          <w:szCs w:val="24"/>
          <w:lang w:val="en-US" w:eastAsia="el-GR"/>
        </w:rPr>
        <w:t>,</w:t>
      </w:r>
      <w:r w:rsidR="00391785" w:rsidRPr="00A35CEC">
        <w:rPr>
          <w:rFonts w:ascii="Book Antiqua" w:hAnsi="Book Antiqua"/>
          <w:sz w:val="24"/>
          <w:szCs w:val="24"/>
          <w:lang w:val="en-US" w:eastAsia="el-GR"/>
        </w:rPr>
        <w:t xml:space="preserve"> </w:t>
      </w:r>
      <w:proofErr w:type="spellStart"/>
      <w:r w:rsidR="0017432E" w:rsidRPr="00A35CEC">
        <w:rPr>
          <w:rFonts w:ascii="Book Antiqua" w:hAnsi="Book Antiqua"/>
          <w:sz w:val="24"/>
          <w:szCs w:val="24"/>
          <w:lang w:val="en-US" w:eastAsia="el-GR"/>
        </w:rPr>
        <w:t>Papatheodoridis</w:t>
      </w:r>
      <w:proofErr w:type="spellEnd"/>
      <w:r w:rsidR="0017432E" w:rsidRPr="00A35CEC">
        <w:rPr>
          <w:rFonts w:ascii="Book Antiqua" w:hAnsi="Book Antiqua"/>
          <w:sz w:val="24"/>
          <w:szCs w:val="24"/>
          <w:lang w:val="en-US" w:eastAsia="el-GR"/>
        </w:rPr>
        <w:t xml:space="preserve"> G</w:t>
      </w:r>
      <w:r w:rsidR="009142BA" w:rsidRPr="00A35CEC">
        <w:rPr>
          <w:rFonts w:ascii="Book Antiqua" w:hAnsi="Book Antiqua"/>
          <w:sz w:val="24"/>
          <w:szCs w:val="24"/>
          <w:lang w:val="en-US" w:eastAsia="el-GR"/>
        </w:rPr>
        <w:t>,</w:t>
      </w:r>
      <w:r w:rsidR="006E16A3" w:rsidRPr="00A35CEC">
        <w:rPr>
          <w:rFonts w:ascii="Book Antiqua" w:hAnsi="Book Antiqua"/>
          <w:sz w:val="24"/>
          <w:szCs w:val="24"/>
          <w:lang w:val="en-US" w:eastAsia="el-GR"/>
        </w:rPr>
        <w:t xml:space="preserve"> </w:t>
      </w:r>
      <w:proofErr w:type="spellStart"/>
      <w:r w:rsidR="0017432E" w:rsidRPr="00A35CEC">
        <w:rPr>
          <w:rFonts w:ascii="Book Antiqua" w:hAnsi="Book Antiqua"/>
          <w:sz w:val="24"/>
          <w:szCs w:val="24"/>
          <w:lang w:val="en-US" w:eastAsia="el-GR"/>
        </w:rPr>
        <w:t>Souliotis</w:t>
      </w:r>
      <w:proofErr w:type="spellEnd"/>
      <w:r w:rsidR="0017432E" w:rsidRPr="00A35CEC">
        <w:rPr>
          <w:rFonts w:ascii="Book Antiqua" w:hAnsi="Book Antiqua"/>
          <w:sz w:val="24"/>
          <w:szCs w:val="24"/>
          <w:lang w:val="en-US" w:eastAsia="el-GR"/>
        </w:rPr>
        <w:t xml:space="preserve"> K</w:t>
      </w:r>
      <w:r w:rsidR="009142BA" w:rsidRPr="00A35CEC">
        <w:rPr>
          <w:rFonts w:ascii="Book Antiqua" w:hAnsi="Book Antiqua"/>
          <w:sz w:val="24"/>
          <w:szCs w:val="24"/>
          <w:lang w:val="en-US" w:eastAsia="el-GR"/>
        </w:rPr>
        <w:t xml:space="preserve">, </w:t>
      </w:r>
      <w:proofErr w:type="spellStart"/>
      <w:r w:rsidR="009142BA" w:rsidRPr="00A35CEC">
        <w:rPr>
          <w:rFonts w:ascii="Book Antiqua" w:hAnsi="Book Antiqua"/>
          <w:sz w:val="24"/>
          <w:szCs w:val="24"/>
          <w:lang w:val="en-US" w:eastAsia="el-GR"/>
        </w:rPr>
        <w:t>A</w:t>
      </w:r>
      <w:r w:rsidR="0017432E" w:rsidRPr="00A35CEC">
        <w:rPr>
          <w:rFonts w:ascii="Book Antiqua" w:hAnsi="Book Antiqua"/>
          <w:sz w:val="24"/>
          <w:szCs w:val="24"/>
          <w:lang w:val="en-US" w:eastAsia="el-GR"/>
        </w:rPr>
        <w:t>thanasakis</w:t>
      </w:r>
      <w:proofErr w:type="spellEnd"/>
      <w:r w:rsidR="0017432E" w:rsidRPr="00A35CEC">
        <w:rPr>
          <w:rFonts w:ascii="Book Antiqua" w:hAnsi="Book Antiqua"/>
          <w:sz w:val="24"/>
          <w:szCs w:val="24"/>
          <w:lang w:val="en-US" w:eastAsia="el-GR"/>
        </w:rPr>
        <w:t xml:space="preserve"> K</w:t>
      </w:r>
      <w:r w:rsidR="0099395B" w:rsidRPr="00A35CEC">
        <w:rPr>
          <w:rFonts w:ascii="Book Antiqua" w:hAnsi="Book Antiqua"/>
          <w:sz w:val="24"/>
          <w:szCs w:val="24"/>
          <w:lang w:val="en-US" w:eastAsia="el-GR"/>
        </w:rPr>
        <w:t xml:space="preserve"> and</w:t>
      </w:r>
      <w:r w:rsidR="009142BA" w:rsidRPr="00A35CEC">
        <w:rPr>
          <w:rFonts w:ascii="Book Antiqua" w:hAnsi="Book Antiqua"/>
          <w:sz w:val="24"/>
          <w:szCs w:val="24"/>
          <w:lang w:val="en-US" w:eastAsia="el-GR"/>
        </w:rPr>
        <w:t xml:space="preserve"> </w:t>
      </w:r>
      <w:proofErr w:type="spellStart"/>
      <w:r w:rsidR="009142BA" w:rsidRPr="00A35CEC">
        <w:rPr>
          <w:rFonts w:ascii="Book Antiqua" w:hAnsi="Book Antiqua"/>
          <w:sz w:val="24"/>
          <w:szCs w:val="24"/>
          <w:lang w:val="en-US" w:eastAsia="el-GR"/>
        </w:rPr>
        <w:t>R</w:t>
      </w:r>
      <w:r w:rsidR="0017432E" w:rsidRPr="00A35CEC">
        <w:rPr>
          <w:rFonts w:ascii="Book Antiqua" w:hAnsi="Book Antiqua"/>
          <w:sz w:val="24"/>
          <w:szCs w:val="24"/>
          <w:lang w:val="en-US" w:eastAsia="el-GR"/>
        </w:rPr>
        <w:t>azavi</w:t>
      </w:r>
      <w:proofErr w:type="spellEnd"/>
      <w:r w:rsidR="0017432E" w:rsidRPr="00A35CEC">
        <w:rPr>
          <w:rFonts w:ascii="Book Antiqua" w:hAnsi="Book Antiqua"/>
          <w:sz w:val="24"/>
          <w:szCs w:val="24"/>
          <w:lang w:val="en-US" w:eastAsia="el-GR"/>
        </w:rPr>
        <w:t xml:space="preserve"> H</w:t>
      </w:r>
      <w:r w:rsidR="009142BA" w:rsidRPr="00A35CEC">
        <w:rPr>
          <w:rFonts w:ascii="Book Antiqua" w:hAnsi="Book Antiqua"/>
          <w:sz w:val="24"/>
          <w:szCs w:val="24"/>
          <w:lang w:val="en-US" w:eastAsia="el-GR"/>
        </w:rPr>
        <w:t xml:space="preserve"> </w:t>
      </w:r>
      <w:r w:rsidR="00124FCA" w:rsidRPr="00A35CEC">
        <w:rPr>
          <w:rFonts w:ascii="Book Antiqua" w:hAnsi="Book Antiqua"/>
          <w:sz w:val="24"/>
          <w:szCs w:val="24"/>
          <w:lang w:val="en-US" w:eastAsia="el-GR"/>
        </w:rPr>
        <w:t>provided</w:t>
      </w:r>
      <w:r w:rsidR="00B959D2" w:rsidRPr="00A35CEC">
        <w:rPr>
          <w:rFonts w:ascii="Book Antiqua" w:hAnsi="Book Antiqua"/>
          <w:sz w:val="24"/>
          <w:szCs w:val="24"/>
          <w:lang w:val="en-US" w:eastAsia="el-GR"/>
        </w:rPr>
        <w:t xml:space="preserve"> essential</w:t>
      </w:r>
      <w:r w:rsidR="00124FCA" w:rsidRPr="00A35CEC">
        <w:rPr>
          <w:rFonts w:ascii="Book Antiqua" w:hAnsi="Book Antiqua"/>
          <w:sz w:val="24"/>
          <w:szCs w:val="24"/>
          <w:lang w:val="en-US" w:eastAsia="el-GR"/>
        </w:rPr>
        <w:t xml:space="preserve"> inputs </w:t>
      </w:r>
      <w:r w:rsidR="00391785" w:rsidRPr="00A35CEC">
        <w:rPr>
          <w:rFonts w:ascii="Book Antiqua" w:hAnsi="Book Antiqua"/>
          <w:sz w:val="24"/>
          <w:szCs w:val="24"/>
          <w:lang w:val="en-US" w:eastAsia="el-GR"/>
        </w:rPr>
        <w:t>and</w:t>
      </w:r>
      <w:r w:rsidR="00C1598E" w:rsidRPr="00A35CEC">
        <w:rPr>
          <w:rFonts w:ascii="Book Antiqua" w:hAnsi="Book Antiqua"/>
          <w:sz w:val="24"/>
          <w:szCs w:val="24"/>
          <w:lang w:val="en-US" w:eastAsia="el-GR"/>
        </w:rPr>
        <w:t xml:space="preserve"> </w:t>
      </w:r>
      <w:r w:rsidR="00391785" w:rsidRPr="00A35CEC">
        <w:rPr>
          <w:rFonts w:ascii="Book Antiqua" w:hAnsi="Book Antiqua"/>
          <w:sz w:val="24"/>
          <w:szCs w:val="24"/>
          <w:lang w:val="en-US" w:eastAsia="el-GR"/>
        </w:rPr>
        <w:t>contributed extensively to writing the manuscript</w:t>
      </w:r>
      <w:r w:rsidR="0017432E" w:rsidRPr="00A35CEC">
        <w:rPr>
          <w:rFonts w:ascii="Book Antiqua" w:hAnsi="Book Antiqua"/>
          <w:sz w:val="24"/>
          <w:szCs w:val="24"/>
          <w:lang w:val="en-US" w:eastAsia="el-GR"/>
        </w:rPr>
        <w:t xml:space="preserve">; </w:t>
      </w:r>
      <w:r w:rsidR="00391785" w:rsidRPr="00A35CEC">
        <w:rPr>
          <w:rFonts w:ascii="Book Antiqua" w:hAnsi="Book Antiqua"/>
          <w:sz w:val="24"/>
          <w:szCs w:val="24"/>
          <w:lang w:val="en-US" w:eastAsia="el-GR"/>
        </w:rPr>
        <w:t>All authors contributed to model interpretation and approved the final version.</w:t>
      </w:r>
    </w:p>
    <w:p w14:paraId="14E6247D" w14:textId="77777777" w:rsidR="004F6D51" w:rsidRPr="00A35CEC" w:rsidRDefault="004F6D51" w:rsidP="0099395B">
      <w:pPr>
        <w:pStyle w:val="11"/>
        <w:adjustRightInd w:val="0"/>
        <w:snapToGrid w:val="0"/>
        <w:spacing w:line="360" w:lineRule="auto"/>
        <w:jc w:val="both"/>
        <w:rPr>
          <w:rFonts w:ascii="Book Antiqua" w:hAnsi="Book Antiqua" w:cs="Times New Roman"/>
          <w:b/>
          <w:bCs/>
          <w:iCs/>
          <w:color w:val="auto"/>
          <w:sz w:val="24"/>
          <w:szCs w:val="24"/>
          <w:lang w:val="en-US" w:eastAsia="zh-CN"/>
        </w:rPr>
      </w:pPr>
    </w:p>
    <w:p w14:paraId="01897A1E" w14:textId="77777777" w:rsidR="003C5C64" w:rsidRPr="00A35CEC" w:rsidRDefault="003C5C64" w:rsidP="0099395B">
      <w:pPr>
        <w:adjustRightInd w:val="0"/>
        <w:snapToGrid w:val="0"/>
        <w:spacing w:line="360" w:lineRule="auto"/>
        <w:jc w:val="both"/>
        <w:outlineLvl w:val="0"/>
        <w:rPr>
          <w:rFonts w:ascii="Book Antiqua" w:hAnsi="Book Antiqua"/>
          <w:b/>
          <w:shd w:val="clear" w:color="auto" w:fill="FFFFFF"/>
        </w:rPr>
      </w:pPr>
      <w:r w:rsidRPr="00A35CEC">
        <w:rPr>
          <w:rFonts w:ascii="Book Antiqua" w:hAnsi="Book Antiqua"/>
          <w:b/>
          <w:bCs/>
        </w:rPr>
        <w:t>Conflict-of-interest statement:</w:t>
      </w:r>
      <w:r w:rsidRPr="00A35CEC">
        <w:rPr>
          <w:rFonts w:ascii="Book Antiqua" w:hAnsi="Book Antiqua"/>
          <w:b/>
          <w:shd w:val="clear" w:color="auto" w:fill="FFFFFF"/>
        </w:rPr>
        <w:t xml:space="preserve"> </w:t>
      </w:r>
      <w:r w:rsidRPr="00A35CEC">
        <w:rPr>
          <w:rFonts w:ascii="Book Antiqua" w:hAnsi="Book Antiqua"/>
        </w:rPr>
        <w:t>No conflicts of interest.</w:t>
      </w:r>
    </w:p>
    <w:p w14:paraId="25E9485A" w14:textId="77777777" w:rsidR="003C5C64" w:rsidRPr="00A35CEC" w:rsidRDefault="003C5C64" w:rsidP="0099395B">
      <w:pPr>
        <w:pStyle w:val="11"/>
        <w:adjustRightInd w:val="0"/>
        <w:snapToGrid w:val="0"/>
        <w:spacing w:line="360" w:lineRule="auto"/>
        <w:jc w:val="both"/>
        <w:rPr>
          <w:rFonts w:ascii="Book Antiqua" w:hAnsi="Book Antiqua" w:cs="Times New Roman"/>
          <w:b/>
          <w:bCs/>
          <w:iCs/>
          <w:color w:val="auto"/>
          <w:sz w:val="24"/>
          <w:szCs w:val="24"/>
          <w:lang w:val="en-US" w:eastAsia="zh-CN"/>
        </w:rPr>
      </w:pPr>
    </w:p>
    <w:p w14:paraId="5C1290BF" w14:textId="77777777" w:rsidR="004F6D51" w:rsidRPr="00A35CEC" w:rsidRDefault="004F6D51" w:rsidP="0099395B">
      <w:pPr>
        <w:adjustRightInd w:val="0"/>
        <w:snapToGrid w:val="0"/>
        <w:spacing w:line="360" w:lineRule="auto"/>
        <w:jc w:val="both"/>
        <w:outlineLvl w:val="0"/>
        <w:rPr>
          <w:rFonts w:ascii="Book Antiqua" w:hAnsi="Book Antiqua"/>
        </w:rPr>
      </w:pPr>
      <w:bookmarkStart w:id="28" w:name="OLE_LINK795"/>
      <w:bookmarkStart w:id="29" w:name="OLE_LINK796"/>
      <w:bookmarkStart w:id="30" w:name="OLE_LINK824"/>
      <w:bookmarkStart w:id="31" w:name="OLE_LINK825"/>
      <w:r w:rsidRPr="00A35CEC">
        <w:rPr>
          <w:rFonts w:ascii="Book Antiqua" w:hAnsi="Book Antiqua"/>
          <w:b/>
        </w:rPr>
        <w:t>Data sharing statement:</w:t>
      </w:r>
      <w:bookmarkEnd w:id="28"/>
      <w:bookmarkEnd w:id="29"/>
      <w:bookmarkEnd w:id="30"/>
      <w:bookmarkEnd w:id="31"/>
      <w:r w:rsidR="00450101" w:rsidRPr="00A35CEC">
        <w:rPr>
          <w:rFonts w:ascii="Book Antiqua" w:hAnsi="Book Antiqua"/>
        </w:rPr>
        <w:t xml:space="preserve"> No additional data are available.</w:t>
      </w:r>
    </w:p>
    <w:p w14:paraId="000A178D" w14:textId="77777777" w:rsidR="00A053BE" w:rsidRPr="00A35CEC" w:rsidRDefault="00A053BE">
      <w:pPr>
        <w:adjustRightInd w:val="0"/>
        <w:snapToGrid w:val="0"/>
        <w:spacing w:line="360" w:lineRule="auto"/>
        <w:jc w:val="both"/>
        <w:rPr>
          <w:rFonts w:ascii="Book Antiqua" w:hAnsi="Book Antiqua"/>
          <w:b/>
        </w:rPr>
      </w:pPr>
    </w:p>
    <w:p w14:paraId="1E36224A" w14:textId="1815E159" w:rsidR="00D809A1" w:rsidRPr="00A35CEC" w:rsidRDefault="00D809A1">
      <w:pPr>
        <w:adjustRightInd w:val="0"/>
        <w:snapToGrid w:val="0"/>
        <w:spacing w:line="360" w:lineRule="auto"/>
        <w:jc w:val="both"/>
        <w:rPr>
          <w:rFonts w:ascii="Book Antiqua" w:hAnsi="Book Antiqua"/>
        </w:rPr>
      </w:pPr>
      <w:bookmarkStart w:id="32" w:name="OLE_LINK25"/>
      <w:bookmarkStart w:id="33" w:name="OLE_LINK26"/>
      <w:bookmarkStart w:id="34" w:name="OLE_LINK375"/>
      <w:bookmarkStart w:id="35" w:name="OLE_LINK32"/>
      <w:bookmarkStart w:id="36" w:name="OLE_LINK381"/>
      <w:bookmarkStart w:id="37" w:name="OLE_LINK413"/>
      <w:r w:rsidRPr="00A35CEC">
        <w:rPr>
          <w:rFonts w:ascii="Book Antiqua" w:hAnsi="Book Antiqua"/>
          <w:b/>
        </w:rPr>
        <w:t xml:space="preserve">Open-Access: </w:t>
      </w:r>
      <w:r w:rsidRPr="00A35CEC">
        <w:rPr>
          <w:rFonts w:ascii="Book Antiqua" w:hAnsi="Book Antiqua"/>
        </w:rPr>
        <w:t xml:space="preserve">This is an </w:t>
      </w:r>
      <w:r w:rsidRPr="00A35CEC">
        <w:rPr>
          <w:rFonts w:ascii="Book Antiqua" w:hAnsi="Book Antiqua" w:cs="宋体"/>
        </w:rPr>
        <w:t xml:space="preserve">open-access article that was </w:t>
      </w:r>
      <w:r w:rsidRPr="00A35CEC">
        <w:rPr>
          <w:rFonts w:ascii="Book Antiqua" w:hAnsi="Book Antiqua"/>
        </w:rPr>
        <w:t xml:space="preserve">selected by an in-house editor and fully peer-reviewed by external reviewers. It is </w:t>
      </w:r>
      <w:r w:rsidRPr="00A35CEC">
        <w:rPr>
          <w:rFonts w:ascii="Book Antiqua" w:hAnsi="Book Antiqua" w:cs="宋体"/>
        </w:rPr>
        <w:t xml:space="preserve">distributed in accordance with </w:t>
      </w:r>
      <w:r w:rsidRPr="00A35CEC">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35CEC">
        <w:rPr>
          <w:rStyle w:val="a7"/>
          <w:rFonts w:ascii="Book Antiqua" w:hAnsi="Book Antiqua"/>
          <w:color w:val="auto"/>
        </w:rPr>
        <w:t>http://creativecommons.org/licenses/by-nc/4.0/</w:t>
      </w:r>
    </w:p>
    <w:p w14:paraId="1DCE2EDA" w14:textId="77777777" w:rsidR="00D809A1" w:rsidRPr="00A35CEC" w:rsidRDefault="00D809A1">
      <w:pPr>
        <w:adjustRightInd w:val="0"/>
        <w:snapToGrid w:val="0"/>
        <w:spacing w:line="360" w:lineRule="auto"/>
        <w:jc w:val="both"/>
        <w:rPr>
          <w:rFonts w:ascii="Book Antiqua" w:hAnsi="Book Antiqua"/>
        </w:rPr>
      </w:pPr>
    </w:p>
    <w:p w14:paraId="09E82AA1" w14:textId="77777777" w:rsidR="00D809A1" w:rsidRPr="00A35CEC" w:rsidRDefault="00D809A1">
      <w:pPr>
        <w:adjustRightInd w:val="0"/>
        <w:snapToGrid w:val="0"/>
        <w:spacing w:line="360" w:lineRule="auto"/>
        <w:jc w:val="both"/>
        <w:outlineLvl w:val="0"/>
        <w:rPr>
          <w:rFonts w:ascii="Book Antiqua" w:hAnsi="Book Antiqua"/>
          <w:bCs/>
        </w:rPr>
      </w:pPr>
      <w:r w:rsidRPr="00A35CEC">
        <w:rPr>
          <w:rFonts w:ascii="Book Antiqua" w:hAnsi="Book Antiqua"/>
          <w:b/>
          <w:bCs/>
        </w:rPr>
        <w:t xml:space="preserve">Manuscript source: </w:t>
      </w:r>
      <w:r w:rsidRPr="00A35CEC">
        <w:rPr>
          <w:rFonts w:ascii="Book Antiqua" w:hAnsi="Book Antiqua"/>
          <w:bCs/>
        </w:rPr>
        <w:t>Invited manuscript</w:t>
      </w:r>
      <w:bookmarkEnd w:id="32"/>
      <w:bookmarkEnd w:id="33"/>
      <w:bookmarkEnd w:id="34"/>
      <w:bookmarkEnd w:id="35"/>
      <w:bookmarkEnd w:id="36"/>
      <w:bookmarkEnd w:id="37"/>
    </w:p>
    <w:p w14:paraId="2AB81644" w14:textId="77777777" w:rsidR="00D809A1" w:rsidRPr="00A35CEC" w:rsidRDefault="00D809A1">
      <w:pPr>
        <w:adjustRightInd w:val="0"/>
        <w:snapToGrid w:val="0"/>
        <w:spacing w:line="360" w:lineRule="auto"/>
        <w:jc w:val="both"/>
        <w:rPr>
          <w:rFonts w:ascii="Book Antiqua" w:hAnsi="Book Antiqua"/>
          <w:b/>
        </w:rPr>
      </w:pPr>
    </w:p>
    <w:p w14:paraId="733AF5E2" w14:textId="77777777" w:rsidR="00E97C35" w:rsidRPr="00A35CEC" w:rsidRDefault="004F6D51">
      <w:pPr>
        <w:pStyle w:val="11"/>
        <w:adjustRightInd w:val="0"/>
        <w:snapToGrid w:val="0"/>
        <w:spacing w:line="360" w:lineRule="auto"/>
        <w:jc w:val="both"/>
        <w:rPr>
          <w:rFonts w:ascii="Book Antiqua" w:hAnsi="Book Antiqua" w:cs="Times New Roman"/>
          <w:b/>
          <w:bCs/>
          <w:color w:val="auto"/>
          <w:sz w:val="24"/>
          <w:szCs w:val="24"/>
          <w:lang w:val="en-US" w:eastAsia="zh-CN"/>
        </w:rPr>
      </w:pPr>
      <w:bookmarkStart w:id="38" w:name="OLE_LINK294"/>
      <w:bookmarkStart w:id="39" w:name="OLE_LINK295"/>
      <w:bookmarkStart w:id="40" w:name="OLE_LINK15"/>
      <w:bookmarkStart w:id="41" w:name="OLE_LINK16"/>
      <w:bookmarkStart w:id="42" w:name="OLE_LINK56"/>
      <w:bookmarkStart w:id="43" w:name="OLE_LINK152"/>
      <w:bookmarkStart w:id="44" w:name="OLE_LINK153"/>
      <w:bookmarkStart w:id="45" w:name="OLE_LINK516"/>
      <w:r w:rsidRPr="00A35CEC">
        <w:rPr>
          <w:rFonts w:ascii="Book Antiqua" w:hAnsi="Book Antiqua" w:cs="Times New Roman"/>
          <w:b/>
          <w:bCs/>
          <w:color w:val="auto"/>
          <w:sz w:val="24"/>
          <w:szCs w:val="24"/>
          <w:lang w:val="en-US" w:eastAsia="zh-CN"/>
        </w:rPr>
        <w:t>Corresponding author:</w:t>
      </w:r>
      <w:bookmarkEnd w:id="38"/>
      <w:bookmarkEnd w:id="39"/>
      <w:bookmarkEnd w:id="40"/>
      <w:bookmarkEnd w:id="41"/>
      <w:bookmarkEnd w:id="42"/>
      <w:bookmarkEnd w:id="43"/>
      <w:bookmarkEnd w:id="44"/>
      <w:bookmarkEnd w:id="45"/>
      <w:r w:rsidR="00D809A1" w:rsidRPr="00A35CEC">
        <w:rPr>
          <w:rFonts w:ascii="Book Antiqua" w:hAnsi="Book Antiqua" w:cs="Times New Roman"/>
          <w:b/>
          <w:bCs/>
          <w:color w:val="auto"/>
          <w:sz w:val="24"/>
          <w:szCs w:val="24"/>
          <w:lang w:val="en-US" w:eastAsia="zh-CN"/>
        </w:rPr>
        <w:t xml:space="preserve"> </w:t>
      </w:r>
      <w:proofErr w:type="spellStart"/>
      <w:r w:rsidR="00E97C35" w:rsidRPr="00A35CEC">
        <w:rPr>
          <w:rFonts w:ascii="Book Antiqua" w:hAnsi="Book Antiqua"/>
          <w:b/>
          <w:color w:val="auto"/>
          <w:sz w:val="24"/>
          <w:szCs w:val="24"/>
          <w:lang w:val="en-US"/>
        </w:rPr>
        <w:t>Angelos</w:t>
      </w:r>
      <w:proofErr w:type="spellEnd"/>
      <w:r w:rsidR="00E97C35" w:rsidRPr="00A35CEC">
        <w:rPr>
          <w:rFonts w:ascii="Book Antiqua" w:hAnsi="Book Antiqua"/>
          <w:b/>
          <w:color w:val="auto"/>
          <w:sz w:val="24"/>
          <w:szCs w:val="24"/>
          <w:lang w:val="en-US"/>
        </w:rPr>
        <w:t xml:space="preserve"> </w:t>
      </w:r>
      <w:proofErr w:type="spellStart"/>
      <w:r w:rsidR="00E97C35" w:rsidRPr="00A35CEC">
        <w:rPr>
          <w:rFonts w:ascii="Book Antiqua" w:hAnsi="Book Antiqua"/>
          <w:b/>
          <w:color w:val="auto"/>
          <w:sz w:val="24"/>
          <w:szCs w:val="24"/>
          <w:lang w:val="en-US"/>
        </w:rPr>
        <w:t>Hatzakis</w:t>
      </w:r>
      <w:proofErr w:type="spellEnd"/>
      <w:r w:rsidR="003C230B" w:rsidRPr="00A35CEC">
        <w:rPr>
          <w:rFonts w:ascii="Book Antiqua" w:hAnsi="Book Antiqua"/>
          <w:b/>
          <w:color w:val="auto"/>
          <w:sz w:val="24"/>
          <w:szCs w:val="24"/>
          <w:lang w:val="en-US"/>
        </w:rPr>
        <w:t>, PhD</w:t>
      </w:r>
      <w:r w:rsidR="0017432E" w:rsidRPr="00A35CEC">
        <w:rPr>
          <w:rFonts w:ascii="Book Antiqua" w:hAnsi="Book Antiqua"/>
          <w:b/>
          <w:color w:val="auto"/>
          <w:sz w:val="24"/>
          <w:szCs w:val="24"/>
          <w:lang w:val="en-US"/>
        </w:rPr>
        <w:t xml:space="preserve">, </w:t>
      </w:r>
      <w:r w:rsidR="00D809A1" w:rsidRPr="00A35CEC">
        <w:rPr>
          <w:rFonts w:ascii="Book Antiqua" w:hAnsi="Book Antiqua"/>
          <w:b/>
          <w:color w:val="auto"/>
          <w:sz w:val="24"/>
          <w:szCs w:val="24"/>
          <w:lang w:val="en-US"/>
        </w:rPr>
        <w:t xml:space="preserve">Doctor, Senior Researcher, Senior Scientist, </w:t>
      </w:r>
      <w:r w:rsidR="00D809A1" w:rsidRPr="00A35CEC">
        <w:rPr>
          <w:rFonts w:ascii="Book Antiqua" w:hAnsi="Book Antiqua"/>
          <w:color w:val="auto"/>
          <w:sz w:val="24"/>
          <w:szCs w:val="24"/>
          <w:lang w:val="en-US"/>
        </w:rPr>
        <w:t xml:space="preserve">Department of Hygiene, Epidemiology and Medical Statistics, Medical School, National and </w:t>
      </w:r>
      <w:proofErr w:type="spellStart"/>
      <w:r w:rsidR="00D809A1" w:rsidRPr="00A35CEC">
        <w:rPr>
          <w:rFonts w:ascii="Book Antiqua" w:hAnsi="Book Antiqua"/>
          <w:color w:val="auto"/>
          <w:sz w:val="24"/>
          <w:szCs w:val="24"/>
          <w:lang w:val="en-US"/>
        </w:rPr>
        <w:t>Kapodistrian</w:t>
      </w:r>
      <w:proofErr w:type="spellEnd"/>
      <w:r w:rsidR="00D809A1" w:rsidRPr="00A35CEC">
        <w:rPr>
          <w:rFonts w:ascii="Book Antiqua" w:hAnsi="Book Antiqua"/>
          <w:color w:val="auto"/>
          <w:sz w:val="24"/>
          <w:szCs w:val="24"/>
          <w:lang w:val="en-US"/>
        </w:rPr>
        <w:t xml:space="preserve"> University of Athens,</w:t>
      </w:r>
      <w:r w:rsidR="00D809A1" w:rsidRPr="00A35CEC">
        <w:rPr>
          <w:color w:val="auto"/>
          <w:lang w:val="en-US"/>
        </w:rPr>
        <w:t xml:space="preserve"> </w:t>
      </w:r>
      <w:r w:rsidR="00D809A1" w:rsidRPr="00A35CEC">
        <w:rPr>
          <w:rFonts w:ascii="Book Antiqua" w:hAnsi="Book Antiqua"/>
          <w:color w:val="auto"/>
          <w:sz w:val="24"/>
          <w:szCs w:val="24"/>
          <w:lang w:val="en-US"/>
        </w:rPr>
        <w:t xml:space="preserve">22 </w:t>
      </w:r>
      <w:proofErr w:type="spellStart"/>
      <w:r w:rsidR="00D809A1" w:rsidRPr="00A35CEC">
        <w:rPr>
          <w:rFonts w:ascii="Book Antiqua" w:hAnsi="Book Antiqua"/>
          <w:color w:val="auto"/>
          <w:sz w:val="24"/>
          <w:szCs w:val="24"/>
          <w:lang w:val="en-US"/>
        </w:rPr>
        <w:t>Mikras</w:t>
      </w:r>
      <w:proofErr w:type="spellEnd"/>
      <w:r w:rsidR="00D809A1" w:rsidRPr="00A35CEC">
        <w:rPr>
          <w:rFonts w:ascii="Book Antiqua" w:hAnsi="Book Antiqua"/>
          <w:color w:val="auto"/>
          <w:sz w:val="24"/>
          <w:szCs w:val="24"/>
          <w:lang w:val="en-US"/>
        </w:rPr>
        <w:t xml:space="preserve"> </w:t>
      </w:r>
      <w:proofErr w:type="spellStart"/>
      <w:r w:rsidR="00D809A1" w:rsidRPr="00A35CEC">
        <w:rPr>
          <w:rFonts w:ascii="Book Antiqua" w:hAnsi="Book Antiqua"/>
          <w:color w:val="auto"/>
          <w:sz w:val="24"/>
          <w:szCs w:val="24"/>
          <w:lang w:val="en-US"/>
        </w:rPr>
        <w:t>Asias</w:t>
      </w:r>
      <w:proofErr w:type="spellEnd"/>
      <w:r w:rsidR="00D809A1" w:rsidRPr="00A35CEC">
        <w:rPr>
          <w:rFonts w:ascii="Book Antiqua" w:hAnsi="Book Antiqua"/>
          <w:color w:val="auto"/>
          <w:sz w:val="24"/>
          <w:szCs w:val="24"/>
          <w:lang w:val="en-US"/>
        </w:rPr>
        <w:t xml:space="preserve"> Str.,</w:t>
      </w:r>
      <w:r w:rsidR="006968E3" w:rsidRPr="00A35CEC">
        <w:rPr>
          <w:rFonts w:ascii="Book Antiqua" w:hAnsi="Book Antiqua"/>
          <w:color w:val="auto"/>
          <w:sz w:val="24"/>
          <w:szCs w:val="24"/>
          <w:lang w:val="en-US"/>
        </w:rPr>
        <w:t xml:space="preserve"> Athens</w:t>
      </w:r>
      <w:r w:rsidR="00D809A1" w:rsidRPr="00A35CEC">
        <w:rPr>
          <w:rFonts w:ascii="Book Antiqua" w:hAnsi="Book Antiqua"/>
          <w:color w:val="auto"/>
          <w:sz w:val="24"/>
          <w:szCs w:val="24"/>
          <w:lang w:val="en-US"/>
        </w:rPr>
        <w:t xml:space="preserve"> 11527</w:t>
      </w:r>
      <w:r w:rsidR="006968E3" w:rsidRPr="00A35CEC">
        <w:rPr>
          <w:rFonts w:ascii="Book Antiqua" w:hAnsi="Book Antiqua"/>
          <w:color w:val="auto"/>
          <w:sz w:val="24"/>
          <w:szCs w:val="24"/>
          <w:lang w:val="en-US"/>
        </w:rPr>
        <w:t xml:space="preserve">, Greece. </w:t>
      </w:r>
      <w:r w:rsidR="00E97C35" w:rsidRPr="00A35CEC">
        <w:rPr>
          <w:rFonts w:ascii="Book Antiqua" w:hAnsi="Book Antiqua"/>
          <w:color w:val="auto"/>
          <w:sz w:val="24"/>
          <w:szCs w:val="24"/>
          <w:lang w:val="en-US"/>
        </w:rPr>
        <w:t xml:space="preserve">ahatzak@med.uoa.gr </w:t>
      </w:r>
    </w:p>
    <w:p w14:paraId="37F7CE5F" w14:textId="77777777" w:rsidR="004F6D51" w:rsidRPr="00A35CEC" w:rsidRDefault="004F6D51">
      <w:pPr>
        <w:adjustRightInd w:val="0"/>
        <w:snapToGrid w:val="0"/>
        <w:spacing w:line="360" w:lineRule="auto"/>
        <w:jc w:val="both"/>
        <w:rPr>
          <w:rFonts w:ascii="Book Antiqua" w:eastAsia="宋体" w:hAnsi="Book Antiqua" w:cs="Arial"/>
          <w:lang w:eastAsia="pl-PL"/>
        </w:rPr>
      </w:pPr>
      <w:bookmarkStart w:id="46" w:name="OLE_LINK1091"/>
      <w:bookmarkStart w:id="47" w:name="OLE_LINK1092"/>
      <w:bookmarkStart w:id="48" w:name="OLE_LINK389"/>
      <w:bookmarkStart w:id="49" w:name="OLE_LINK406"/>
      <w:bookmarkStart w:id="50" w:name="OLE_LINK658"/>
      <w:bookmarkStart w:id="51" w:name="OLE_LINK904"/>
      <w:bookmarkStart w:id="52" w:name="OLE_LINK1009"/>
      <w:bookmarkStart w:id="53" w:name="OLE_LINK1027"/>
      <w:bookmarkStart w:id="54" w:name="OLE_LINK90"/>
      <w:r w:rsidRPr="00A35CEC">
        <w:rPr>
          <w:rFonts w:ascii="Book Antiqua" w:eastAsia="宋体" w:hAnsi="Book Antiqua" w:cs="Arial"/>
          <w:b/>
          <w:lang w:eastAsia="pl-PL"/>
        </w:rPr>
        <w:t xml:space="preserve">Telephone: </w:t>
      </w:r>
      <w:bookmarkStart w:id="55" w:name="OLE_LINK62"/>
      <w:r w:rsidR="006968E3" w:rsidRPr="00A35CEC">
        <w:rPr>
          <w:rFonts w:ascii="Book Antiqua" w:eastAsia="宋体" w:hAnsi="Book Antiqua" w:cs="Arial"/>
          <w:lang w:eastAsia="pl-PL"/>
        </w:rPr>
        <w:t>+</w:t>
      </w:r>
      <w:r w:rsidR="00D809A1" w:rsidRPr="00A35CEC">
        <w:rPr>
          <w:rFonts w:ascii="Book Antiqua" w:eastAsia="宋体" w:hAnsi="Book Antiqua" w:cs="Arial"/>
          <w:lang w:eastAsia="pl-PL"/>
        </w:rPr>
        <w:t>30-</w:t>
      </w:r>
      <w:r w:rsidR="006968E3" w:rsidRPr="00A35CEC">
        <w:rPr>
          <w:rFonts w:ascii="Book Antiqua" w:eastAsia="宋体" w:hAnsi="Book Antiqua" w:cs="Arial"/>
          <w:lang w:eastAsia="pl-PL"/>
        </w:rPr>
        <w:t>210</w:t>
      </w:r>
      <w:r w:rsidR="00D809A1" w:rsidRPr="00A35CEC">
        <w:rPr>
          <w:rFonts w:ascii="Book Antiqua" w:eastAsia="宋体" w:hAnsi="Book Antiqua" w:cs="Arial"/>
          <w:lang w:eastAsia="pl-PL"/>
        </w:rPr>
        <w:t>-</w:t>
      </w:r>
      <w:r w:rsidR="006968E3" w:rsidRPr="00A35CEC">
        <w:rPr>
          <w:rFonts w:ascii="Book Antiqua" w:eastAsia="宋体" w:hAnsi="Book Antiqua" w:cs="Arial"/>
          <w:lang w:eastAsia="pl-PL"/>
        </w:rPr>
        <w:t>7474058</w:t>
      </w:r>
      <w:bookmarkEnd w:id="55"/>
    </w:p>
    <w:p w14:paraId="38B4E250" w14:textId="77777777" w:rsidR="004F6D51" w:rsidRPr="00A35CEC" w:rsidRDefault="004F6D51">
      <w:pPr>
        <w:adjustRightInd w:val="0"/>
        <w:snapToGrid w:val="0"/>
        <w:spacing w:line="360" w:lineRule="auto"/>
        <w:jc w:val="both"/>
        <w:rPr>
          <w:rFonts w:ascii="Book Antiqua" w:eastAsia="宋体" w:hAnsi="Book Antiqua" w:cs="Arial"/>
          <w:lang w:eastAsia="pl-PL"/>
        </w:rPr>
      </w:pPr>
      <w:r w:rsidRPr="00A35CEC">
        <w:rPr>
          <w:rFonts w:ascii="Book Antiqua" w:eastAsia="宋体" w:hAnsi="Book Antiqua" w:cs="Arial"/>
          <w:b/>
          <w:lang w:eastAsia="pl-PL"/>
        </w:rPr>
        <w:lastRenderedPageBreak/>
        <w:t>Fax:</w:t>
      </w:r>
      <w:bookmarkEnd w:id="46"/>
      <w:bookmarkEnd w:id="47"/>
      <w:r w:rsidR="006968E3" w:rsidRPr="00A35CEC">
        <w:rPr>
          <w:rFonts w:ascii="Book Antiqua" w:eastAsia="宋体" w:hAnsi="Book Antiqua" w:cs="Arial"/>
          <w:b/>
          <w:lang w:eastAsia="pl-PL"/>
        </w:rPr>
        <w:t xml:space="preserve"> </w:t>
      </w:r>
      <w:r w:rsidR="006968E3" w:rsidRPr="00A35CEC">
        <w:rPr>
          <w:rFonts w:ascii="Book Antiqua" w:eastAsia="宋体" w:hAnsi="Book Antiqua" w:cs="Arial"/>
          <w:lang w:eastAsia="pl-PL"/>
        </w:rPr>
        <w:t>+</w:t>
      </w:r>
      <w:r w:rsidR="00D809A1" w:rsidRPr="00A35CEC">
        <w:rPr>
          <w:rFonts w:ascii="Book Antiqua" w:eastAsia="宋体" w:hAnsi="Book Antiqua" w:cs="Arial"/>
          <w:lang w:eastAsia="pl-PL"/>
        </w:rPr>
        <w:t>30-</w:t>
      </w:r>
      <w:r w:rsidR="006968E3" w:rsidRPr="00A35CEC">
        <w:rPr>
          <w:rFonts w:ascii="Book Antiqua" w:eastAsia="宋体" w:hAnsi="Book Antiqua" w:cs="Arial"/>
          <w:lang w:eastAsia="pl-PL"/>
        </w:rPr>
        <w:t>210</w:t>
      </w:r>
      <w:r w:rsidR="00D809A1" w:rsidRPr="00A35CEC">
        <w:rPr>
          <w:rFonts w:ascii="Book Antiqua" w:eastAsia="宋体" w:hAnsi="Book Antiqua" w:cs="Arial"/>
          <w:lang w:eastAsia="pl-PL"/>
        </w:rPr>
        <w:t>-</w:t>
      </w:r>
      <w:r w:rsidR="006968E3" w:rsidRPr="00A35CEC">
        <w:rPr>
          <w:rFonts w:ascii="Book Antiqua" w:eastAsia="宋体" w:hAnsi="Book Antiqua" w:cs="Arial"/>
          <w:lang w:eastAsia="pl-PL"/>
        </w:rPr>
        <w:t>7474058</w:t>
      </w:r>
    </w:p>
    <w:bookmarkEnd w:id="48"/>
    <w:bookmarkEnd w:id="49"/>
    <w:bookmarkEnd w:id="50"/>
    <w:bookmarkEnd w:id="51"/>
    <w:bookmarkEnd w:id="52"/>
    <w:bookmarkEnd w:id="53"/>
    <w:bookmarkEnd w:id="54"/>
    <w:p w14:paraId="0E5ADBB3" w14:textId="77777777" w:rsidR="00E97C35" w:rsidRPr="00A35CEC" w:rsidRDefault="00E97C35">
      <w:pPr>
        <w:adjustRightInd w:val="0"/>
        <w:snapToGrid w:val="0"/>
        <w:spacing w:line="360" w:lineRule="auto"/>
        <w:jc w:val="both"/>
        <w:rPr>
          <w:rFonts w:ascii="Book Antiqua" w:hAnsi="Book Antiqua"/>
        </w:rPr>
      </w:pPr>
    </w:p>
    <w:p w14:paraId="4EAB2430" w14:textId="77777777" w:rsidR="00D809A1" w:rsidRPr="00A35CEC" w:rsidRDefault="00D809A1">
      <w:pPr>
        <w:adjustRightInd w:val="0"/>
        <w:snapToGrid w:val="0"/>
        <w:spacing w:line="360" w:lineRule="auto"/>
        <w:jc w:val="both"/>
        <w:outlineLvl w:val="0"/>
        <w:rPr>
          <w:rFonts w:ascii="Book Antiqua" w:hAnsi="Book Antiqua"/>
          <w:b/>
        </w:rPr>
      </w:pPr>
      <w:bookmarkStart w:id="56" w:name="OLE_LINK14"/>
      <w:bookmarkStart w:id="57" w:name="OLE_LINK51"/>
      <w:bookmarkStart w:id="58" w:name="OLE_LINK30"/>
      <w:bookmarkStart w:id="59" w:name="OLE_LINK27"/>
      <w:bookmarkStart w:id="60" w:name="OLE_LINK376"/>
      <w:bookmarkStart w:id="61" w:name="OLE_LINK382"/>
      <w:bookmarkStart w:id="62" w:name="OLE_LINK35"/>
      <w:r w:rsidRPr="00A35CEC">
        <w:rPr>
          <w:rFonts w:ascii="Book Antiqua" w:hAnsi="Book Antiqua"/>
          <w:b/>
        </w:rPr>
        <w:t xml:space="preserve">Received: </w:t>
      </w:r>
      <w:r w:rsidRPr="00A35CEC">
        <w:rPr>
          <w:rFonts w:ascii="Book Antiqua" w:hAnsi="Book Antiqua"/>
        </w:rPr>
        <w:t>October 16, 2018</w:t>
      </w:r>
    </w:p>
    <w:p w14:paraId="16982E31" w14:textId="77777777" w:rsidR="00D809A1" w:rsidRPr="00A35CEC" w:rsidRDefault="00D809A1">
      <w:pPr>
        <w:adjustRightInd w:val="0"/>
        <w:snapToGrid w:val="0"/>
        <w:spacing w:line="360" w:lineRule="auto"/>
        <w:jc w:val="both"/>
        <w:outlineLvl w:val="0"/>
        <w:rPr>
          <w:rFonts w:ascii="Book Antiqua" w:hAnsi="Book Antiqua"/>
          <w:b/>
        </w:rPr>
      </w:pPr>
      <w:r w:rsidRPr="00A35CEC">
        <w:rPr>
          <w:rFonts w:ascii="Book Antiqua" w:hAnsi="Book Antiqua"/>
          <w:b/>
        </w:rPr>
        <w:t xml:space="preserve">Peer-review started: </w:t>
      </w:r>
      <w:r w:rsidRPr="00A35CEC">
        <w:rPr>
          <w:rFonts w:ascii="Book Antiqua" w:hAnsi="Book Antiqua"/>
        </w:rPr>
        <w:t>October 16, 2018</w:t>
      </w:r>
    </w:p>
    <w:p w14:paraId="6730BEBA" w14:textId="77777777" w:rsidR="00D809A1" w:rsidRPr="00A35CEC" w:rsidRDefault="00D809A1">
      <w:pPr>
        <w:adjustRightInd w:val="0"/>
        <w:snapToGrid w:val="0"/>
        <w:spacing w:line="360" w:lineRule="auto"/>
        <w:jc w:val="both"/>
        <w:outlineLvl w:val="0"/>
        <w:rPr>
          <w:rFonts w:ascii="Book Antiqua" w:hAnsi="Book Antiqua"/>
          <w:b/>
        </w:rPr>
      </w:pPr>
      <w:r w:rsidRPr="00A35CEC">
        <w:rPr>
          <w:rFonts w:ascii="Book Antiqua" w:hAnsi="Book Antiqua"/>
          <w:b/>
        </w:rPr>
        <w:t xml:space="preserve">First decision: </w:t>
      </w:r>
      <w:r w:rsidRPr="00A35CEC">
        <w:rPr>
          <w:rFonts w:ascii="Book Antiqua" w:hAnsi="Book Antiqua"/>
        </w:rPr>
        <w:t>December 5, 2018</w:t>
      </w:r>
    </w:p>
    <w:p w14:paraId="5411D6DC" w14:textId="77777777" w:rsidR="00D809A1" w:rsidRPr="00A35CEC" w:rsidRDefault="00D809A1">
      <w:pPr>
        <w:adjustRightInd w:val="0"/>
        <w:snapToGrid w:val="0"/>
        <w:spacing w:line="360" w:lineRule="auto"/>
        <w:jc w:val="both"/>
        <w:rPr>
          <w:rFonts w:ascii="Book Antiqua" w:hAnsi="Book Antiqua"/>
          <w:b/>
        </w:rPr>
      </w:pPr>
      <w:r w:rsidRPr="00A35CEC">
        <w:rPr>
          <w:rFonts w:ascii="Book Antiqua" w:hAnsi="Book Antiqua"/>
          <w:b/>
        </w:rPr>
        <w:t xml:space="preserve">Revised: </w:t>
      </w:r>
      <w:r w:rsidRPr="00A35CEC">
        <w:rPr>
          <w:rFonts w:ascii="Book Antiqua" w:hAnsi="Book Antiqua"/>
        </w:rPr>
        <w:t>February 20, 2019</w:t>
      </w:r>
    </w:p>
    <w:p w14:paraId="4B6CA856" w14:textId="01678473" w:rsidR="00D809A1" w:rsidRPr="00A35CEC" w:rsidRDefault="00D809A1">
      <w:pPr>
        <w:adjustRightInd w:val="0"/>
        <w:snapToGrid w:val="0"/>
        <w:spacing w:line="360" w:lineRule="auto"/>
        <w:jc w:val="both"/>
        <w:outlineLvl w:val="0"/>
        <w:rPr>
          <w:rFonts w:ascii="Book Antiqua" w:hAnsi="Book Antiqua"/>
          <w:b/>
        </w:rPr>
      </w:pPr>
      <w:r w:rsidRPr="00A35CEC">
        <w:rPr>
          <w:rFonts w:ascii="Book Antiqua" w:hAnsi="Book Antiqua"/>
          <w:b/>
        </w:rPr>
        <w:t>Accepted:</w:t>
      </w:r>
      <w:r w:rsidR="00F8357F" w:rsidRPr="00A35CEC">
        <w:t xml:space="preserve"> </w:t>
      </w:r>
      <w:r w:rsidR="00F8357F" w:rsidRPr="00A35CEC">
        <w:rPr>
          <w:rFonts w:ascii="Book Antiqua" w:hAnsi="Book Antiqua"/>
        </w:rPr>
        <w:t>February 22, 2019</w:t>
      </w:r>
      <w:r w:rsidRPr="00A35CEC">
        <w:rPr>
          <w:rFonts w:ascii="Book Antiqua" w:hAnsi="Book Antiqua"/>
          <w:b/>
        </w:rPr>
        <w:t xml:space="preserve"> </w:t>
      </w:r>
    </w:p>
    <w:p w14:paraId="2282D318" w14:textId="33DA972C" w:rsidR="00D809A1" w:rsidRPr="001C18C3" w:rsidRDefault="00D809A1">
      <w:pPr>
        <w:adjustRightInd w:val="0"/>
        <w:snapToGrid w:val="0"/>
        <w:spacing w:line="360" w:lineRule="auto"/>
        <w:jc w:val="both"/>
        <w:outlineLvl w:val="0"/>
        <w:rPr>
          <w:rFonts w:ascii="Book Antiqua" w:eastAsia="宋体" w:hAnsi="Book Antiqua" w:hint="eastAsia"/>
          <w:b/>
        </w:rPr>
      </w:pPr>
      <w:r w:rsidRPr="00A35CEC">
        <w:rPr>
          <w:rFonts w:ascii="Book Antiqua" w:hAnsi="Book Antiqua"/>
          <w:b/>
        </w:rPr>
        <w:t>Article in press:</w:t>
      </w:r>
      <w:r w:rsidR="001C18C3">
        <w:rPr>
          <w:rFonts w:ascii="Book Antiqua" w:eastAsia="宋体" w:hAnsi="Book Antiqua" w:hint="eastAsia"/>
          <w:b/>
        </w:rPr>
        <w:t xml:space="preserve"> </w:t>
      </w:r>
      <w:r w:rsidR="001C18C3" w:rsidRPr="00A35CEC">
        <w:rPr>
          <w:rFonts w:ascii="Book Antiqua" w:hAnsi="Book Antiqua"/>
        </w:rPr>
        <w:t>February 22, 2019</w:t>
      </w:r>
    </w:p>
    <w:p w14:paraId="0FE9101F" w14:textId="19F22F3A" w:rsidR="00D1509D" w:rsidRPr="001C18C3" w:rsidRDefault="00D809A1">
      <w:pPr>
        <w:adjustRightInd w:val="0"/>
        <w:snapToGrid w:val="0"/>
        <w:spacing w:line="360" w:lineRule="auto"/>
        <w:jc w:val="both"/>
        <w:outlineLvl w:val="0"/>
        <w:rPr>
          <w:rFonts w:ascii="Book Antiqua" w:eastAsia="宋体" w:hAnsi="Book Antiqua" w:hint="eastAsia"/>
        </w:rPr>
      </w:pPr>
      <w:r w:rsidRPr="00A35CEC">
        <w:rPr>
          <w:rFonts w:ascii="Book Antiqua" w:hAnsi="Book Antiqua"/>
          <w:b/>
        </w:rPr>
        <w:t>Published online:</w:t>
      </w:r>
      <w:bookmarkEnd w:id="56"/>
      <w:bookmarkEnd w:id="57"/>
      <w:bookmarkEnd w:id="58"/>
      <w:bookmarkEnd w:id="59"/>
      <w:bookmarkEnd w:id="60"/>
      <w:bookmarkEnd w:id="61"/>
      <w:bookmarkEnd w:id="62"/>
      <w:r w:rsidR="001C18C3">
        <w:rPr>
          <w:rFonts w:ascii="Book Antiqua" w:eastAsia="宋体" w:hAnsi="Book Antiqua" w:hint="eastAsia"/>
          <w:b/>
        </w:rPr>
        <w:t xml:space="preserve"> </w:t>
      </w:r>
      <w:r w:rsidR="001C18C3" w:rsidRPr="00146348">
        <w:rPr>
          <w:rFonts w:ascii="Book Antiqua" w:hAnsi="Book Antiqua"/>
          <w:bCs/>
          <w:lang w:val="pl-PL"/>
        </w:rPr>
        <w:t>March</w:t>
      </w:r>
      <w:r w:rsidR="001C18C3" w:rsidRPr="00D4596E">
        <w:rPr>
          <w:rFonts w:ascii="Book Antiqua" w:hAnsi="Book Antiqua"/>
          <w:bCs/>
          <w:lang w:val="pl-PL"/>
        </w:rPr>
        <w:t xml:space="preserve"> </w:t>
      </w:r>
      <w:r w:rsidR="001C18C3">
        <w:rPr>
          <w:rFonts w:ascii="Book Antiqua" w:hAnsi="Book Antiqua" w:hint="eastAsia"/>
          <w:bCs/>
          <w:lang w:val="pl-PL"/>
        </w:rPr>
        <w:t>21</w:t>
      </w:r>
      <w:r w:rsidR="001C18C3" w:rsidRPr="00D4596E">
        <w:rPr>
          <w:rFonts w:ascii="Book Antiqua" w:hAnsi="Book Antiqua"/>
          <w:bCs/>
          <w:lang w:val="pl-PL"/>
        </w:rPr>
        <w:t>, 2019</w:t>
      </w:r>
    </w:p>
    <w:p w14:paraId="7B1C24EA" w14:textId="77777777" w:rsidR="00E97C35" w:rsidRPr="00A35CEC" w:rsidRDefault="00E97C35">
      <w:pPr>
        <w:adjustRightInd w:val="0"/>
        <w:snapToGrid w:val="0"/>
        <w:spacing w:line="360" w:lineRule="auto"/>
        <w:jc w:val="both"/>
        <w:rPr>
          <w:rFonts w:ascii="Book Antiqua" w:hAnsi="Book Antiqua"/>
        </w:rPr>
      </w:pPr>
    </w:p>
    <w:p w14:paraId="01C112EF" w14:textId="77777777" w:rsidR="00F441CF" w:rsidRPr="00A35CEC" w:rsidRDefault="004F6D51">
      <w:pPr>
        <w:autoSpaceDE w:val="0"/>
        <w:autoSpaceDN w:val="0"/>
        <w:adjustRightInd w:val="0"/>
        <w:snapToGrid w:val="0"/>
        <w:spacing w:line="360" w:lineRule="auto"/>
        <w:jc w:val="both"/>
        <w:outlineLvl w:val="0"/>
        <w:rPr>
          <w:rFonts w:ascii="Book Antiqua" w:eastAsia="Calibri" w:hAnsi="Book Antiqua"/>
          <w:b/>
        </w:rPr>
      </w:pPr>
      <w:r w:rsidRPr="00A35CEC">
        <w:rPr>
          <w:rFonts w:ascii="Book Antiqua" w:eastAsia="Calibri" w:hAnsi="Book Antiqua"/>
          <w:b/>
        </w:rPr>
        <w:br w:type="page"/>
      </w:r>
      <w:r w:rsidR="00F441CF" w:rsidRPr="00A35CEC">
        <w:rPr>
          <w:rFonts w:ascii="Book Antiqua" w:eastAsia="Calibri" w:hAnsi="Book Antiqua"/>
          <w:b/>
        </w:rPr>
        <w:lastRenderedPageBreak/>
        <w:t xml:space="preserve">Abstract </w:t>
      </w:r>
    </w:p>
    <w:p w14:paraId="66FFF9EB" w14:textId="77777777" w:rsidR="00D809A1" w:rsidRPr="00A35CEC" w:rsidRDefault="00D809A1">
      <w:pPr>
        <w:adjustRightInd w:val="0"/>
        <w:snapToGrid w:val="0"/>
        <w:spacing w:line="360" w:lineRule="auto"/>
        <w:jc w:val="both"/>
        <w:outlineLvl w:val="0"/>
        <w:rPr>
          <w:rFonts w:ascii="Book Antiqua" w:hAnsi="Book Antiqua"/>
          <w:b/>
          <w:i/>
        </w:rPr>
      </w:pPr>
      <w:bookmarkStart w:id="63" w:name="OLE_LINK447"/>
      <w:r w:rsidRPr="00A35CEC">
        <w:rPr>
          <w:rFonts w:ascii="Book Antiqua" w:hAnsi="Book Antiqua"/>
          <w:b/>
          <w:i/>
        </w:rPr>
        <w:t>BACKGROUND</w:t>
      </w:r>
    </w:p>
    <w:p w14:paraId="052394D4" w14:textId="0E047373" w:rsidR="004454EA" w:rsidRPr="00A35CEC" w:rsidRDefault="004454EA">
      <w:pPr>
        <w:adjustRightInd w:val="0"/>
        <w:snapToGrid w:val="0"/>
        <w:spacing w:line="360" w:lineRule="auto"/>
        <w:jc w:val="both"/>
        <w:rPr>
          <w:rFonts w:ascii="Book Antiqua" w:hAnsi="Book Antiqua"/>
        </w:rPr>
      </w:pPr>
      <w:r w:rsidRPr="00A35CEC">
        <w:rPr>
          <w:rFonts w:ascii="Book Antiqua" w:hAnsi="Book Antiqua" w:cs="Arial"/>
        </w:rPr>
        <w:t>Hepatitis C virus (</w:t>
      </w:r>
      <w:proofErr w:type="spellStart"/>
      <w:r w:rsidRPr="00A35CEC">
        <w:rPr>
          <w:rFonts w:ascii="Book Antiqua" w:hAnsi="Book Antiqua" w:cs="Arial"/>
        </w:rPr>
        <w:t>HCV</w:t>
      </w:r>
      <w:proofErr w:type="spellEnd"/>
      <w:r w:rsidRPr="00A35CEC">
        <w:rPr>
          <w:rFonts w:ascii="Book Antiqua" w:hAnsi="Book Antiqua" w:cs="Arial"/>
        </w:rPr>
        <w:t xml:space="preserve">) is a leading cause of </w:t>
      </w:r>
      <w:r w:rsidR="000E2D86" w:rsidRPr="00A35CEC">
        <w:rPr>
          <w:rFonts w:ascii="Book Antiqua" w:hAnsi="Book Antiqua" w:cs="Arial"/>
        </w:rPr>
        <w:t xml:space="preserve">worldwide </w:t>
      </w:r>
      <w:r w:rsidRPr="00A35CEC">
        <w:rPr>
          <w:rFonts w:ascii="Book Antiqua" w:hAnsi="Book Antiqua" w:cs="Arial"/>
        </w:rPr>
        <w:t>liver-related morbidity and mortality.</w:t>
      </w:r>
      <w:r w:rsidR="00D809A1" w:rsidRPr="00A35CEC">
        <w:rPr>
          <w:rFonts w:ascii="Book Antiqua" w:hAnsi="Book Antiqua" w:cs="Arial"/>
        </w:rPr>
        <w:t xml:space="preserve"> </w:t>
      </w:r>
      <w:r w:rsidR="000E2D86" w:rsidRPr="00A35CEC">
        <w:rPr>
          <w:rFonts w:ascii="Book Antiqua" w:hAnsi="Book Antiqua" w:cs="Arial"/>
        </w:rPr>
        <w:t xml:space="preserve">The </w:t>
      </w:r>
      <w:r w:rsidR="00903F17" w:rsidRPr="00A35CEC">
        <w:rPr>
          <w:rFonts w:ascii="Book Antiqua" w:hAnsi="Book Antiqua" w:cs="Arial"/>
        </w:rPr>
        <w:t xml:space="preserve">World Health Organization released an integrated strategy targeting </w:t>
      </w:r>
      <w:proofErr w:type="spellStart"/>
      <w:r w:rsidR="00903F17" w:rsidRPr="00A35CEC">
        <w:rPr>
          <w:rFonts w:ascii="Book Antiqua" w:hAnsi="Book Antiqua" w:cs="Arial"/>
        </w:rPr>
        <w:t>HCV</w:t>
      </w:r>
      <w:proofErr w:type="spellEnd"/>
      <w:r w:rsidR="00964A42" w:rsidRPr="00A35CEC">
        <w:rPr>
          <w:rFonts w:ascii="Book Antiqua" w:hAnsi="Book Antiqua" w:cs="Arial"/>
        </w:rPr>
        <w:t>-</w:t>
      </w:r>
      <w:r w:rsidR="00903F17" w:rsidRPr="00A35CEC">
        <w:rPr>
          <w:rFonts w:ascii="Book Antiqua" w:hAnsi="Book Antiqua" w:cs="Arial"/>
        </w:rPr>
        <w:t xml:space="preserve">elimination </w:t>
      </w:r>
      <w:r w:rsidR="000E2D86" w:rsidRPr="00A35CEC">
        <w:rPr>
          <w:rFonts w:ascii="Book Antiqua" w:hAnsi="Book Antiqua" w:cs="Arial"/>
        </w:rPr>
        <w:t xml:space="preserve">by </w:t>
      </w:r>
      <w:r w:rsidR="00903F17" w:rsidRPr="00A35CEC">
        <w:rPr>
          <w:rFonts w:ascii="Book Antiqua" w:hAnsi="Book Antiqua" w:cs="Arial"/>
        </w:rPr>
        <w:t>2030.</w:t>
      </w:r>
      <w:bookmarkEnd w:id="63"/>
      <w:r w:rsidR="000F43F9" w:rsidRPr="00A35CEC">
        <w:rPr>
          <w:rFonts w:ascii="Book Antiqua" w:hAnsi="Book Antiqua" w:cs="Arial"/>
        </w:rPr>
        <w:t xml:space="preserve"> </w:t>
      </w:r>
      <w:r w:rsidR="00964A42" w:rsidRPr="00A35CEC">
        <w:rPr>
          <w:rFonts w:ascii="Book Antiqua" w:hAnsi="Book Antiqua" w:cs="Arial"/>
        </w:rPr>
        <w:t>T</w:t>
      </w:r>
      <w:r w:rsidRPr="00A35CEC">
        <w:rPr>
          <w:rFonts w:ascii="Book Antiqua" w:hAnsi="Book Antiqua" w:cs="Arial"/>
        </w:rPr>
        <w:t xml:space="preserve">his </w:t>
      </w:r>
      <w:r w:rsidR="000F43F9" w:rsidRPr="00A35CEC">
        <w:rPr>
          <w:rFonts w:ascii="Book Antiqua" w:hAnsi="Book Antiqua" w:cs="Arial"/>
        </w:rPr>
        <w:t>study</w:t>
      </w:r>
      <w:r w:rsidR="00964A42" w:rsidRPr="00A35CEC">
        <w:rPr>
          <w:rFonts w:ascii="Book Antiqua" w:hAnsi="Book Antiqua" w:cs="Arial"/>
        </w:rPr>
        <w:t xml:space="preserve"> </w:t>
      </w:r>
      <w:r w:rsidRPr="00A35CEC">
        <w:rPr>
          <w:rFonts w:ascii="Book Antiqua" w:hAnsi="Book Antiqua" w:cs="Arial"/>
        </w:rPr>
        <w:t>aim</w:t>
      </w:r>
      <w:r w:rsidR="00964A42" w:rsidRPr="00A35CEC">
        <w:rPr>
          <w:rFonts w:ascii="Book Antiqua" w:hAnsi="Book Antiqua" w:cs="Arial"/>
        </w:rPr>
        <w:t>s</w:t>
      </w:r>
      <w:r w:rsidRPr="00A35CEC">
        <w:rPr>
          <w:rFonts w:ascii="Book Antiqua" w:hAnsi="Book Antiqua" w:cs="Arial"/>
        </w:rPr>
        <w:t xml:space="preserve"> </w:t>
      </w:r>
      <w:r w:rsidR="00964A42" w:rsidRPr="00A35CEC">
        <w:rPr>
          <w:rFonts w:ascii="Book Antiqua" w:hAnsi="Book Antiqua" w:cs="Arial"/>
        </w:rPr>
        <w:t xml:space="preserve">to estimate </w:t>
      </w:r>
      <w:bookmarkStart w:id="64" w:name="_Hlk532938865"/>
      <w:r w:rsidR="00964A42" w:rsidRPr="00A35CEC">
        <w:rPr>
          <w:rFonts w:ascii="Book Antiqua" w:hAnsi="Book Antiqua" w:cs="Arial"/>
        </w:rPr>
        <w:t xml:space="preserve">the required interventions to achieve elimination </w:t>
      </w:r>
      <w:bookmarkEnd w:id="64"/>
      <w:r w:rsidR="00964A42" w:rsidRPr="00A35CEC">
        <w:rPr>
          <w:rFonts w:ascii="Book Antiqua" w:hAnsi="Book Antiqua" w:cs="Arial"/>
        </w:rPr>
        <w:t xml:space="preserve">using updated information for </w:t>
      </w:r>
      <w:r w:rsidR="00B7369C" w:rsidRPr="00A35CEC">
        <w:rPr>
          <w:rFonts w:ascii="Book Antiqua" w:hAnsi="Book Antiqua" w:cs="Arial"/>
        </w:rPr>
        <w:t>direct-acting antiviral (</w:t>
      </w:r>
      <w:proofErr w:type="spellStart"/>
      <w:r w:rsidR="00964A42" w:rsidRPr="00A35CEC">
        <w:rPr>
          <w:rFonts w:ascii="Book Antiqua" w:hAnsi="Book Antiqua" w:cs="Arial"/>
        </w:rPr>
        <w:t>DAA</w:t>
      </w:r>
      <w:proofErr w:type="spellEnd"/>
      <w:r w:rsidR="00B7369C" w:rsidRPr="00A35CEC">
        <w:rPr>
          <w:rFonts w:ascii="Book Antiqua" w:hAnsi="Book Antiqua" w:cs="Arial"/>
        </w:rPr>
        <w:t>)</w:t>
      </w:r>
      <w:r w:rsidR="00964A42" w:rsidRPr="00A35CEC">
        <w:rPr>
          <w:rFonts w:ascii="Book Antiqua" w:hAnsi="Book Antiqua" w:cs="Arial"/>
        </w:rPr>
        <w:t xml:space="preserve"> treatment coverage</w:t>
      </w:r>
      <w:r w:rsidR="000F43F9" w:rsidRPr="00A35CEC">
        <w:rPr>
          <w:rFonts w:ascii="Book Antiqua" w:hAnsi="Book Antiqua" w:cs="Arial"/>
        </w:rPr>
        <w:t>, to compute the total costs (including indirect/societal costs) of the strategy</w:t>
      </w:r>
      <w:bookmarkStart w:id="65" w:name="_Hlk532938890"/>
      <w:r w:rsidR="000F43F9" w:rsidRPr="00A35CEC">
        <w:rPr>
          <w:rFonts w:ascii="Book Antiqua" w:hAnsi="Book Antiqua" w:cs="Arial"/>
        </w:rPr>
        <w:t xml:space="preserve"> </w:t>
      </w:r>
      <w:bookmarkEnd w:id="65"/>
      <w:r w:rsidR="000F43F9" w:rsidRPr="00A35CEC">
        <w:rPr>
          <w:rFonts w:ascii="Book Antiqua" w:hAnsi="Book Antiqua" w:cs="Arial"/>
        </w:rPr>
        <w:t>and to identify whether the elimination strategy is cost-effective/cost-saving in Greece.</w:t>
      </w:r>
    </w:p>
    <w:p w14:paraId="41113513" w14:textId="77777777" w:rsidR="00820559" w:rsidRPr="00A35CEC" w:rsidRDefault="00820559">
      <w:pPr>
        <w:autoSpaceDE w:val="0"/>
        <w:autoSpaceDN w:val="0"/>
        <w:adjustRightInd w:val="0"/>
        <w:snapToGrid w:val="0"/>
        <w:spacing w:line="360" w:lineRule="auto"/>
        <w:jc w:val="both"/>
        <w:rPr>
          <w:rFonts w:ascii="Book Antiqua" w:hAnsi="Book Antiqua" w:cs="Arial"/>
        </w:rPr>
      </w:pPr>
      <w:bookmarkStart w:id="66" w:name="_Hlk509855039"/>
    </w:p>
    <w:p w14:paraId="4C2DEC40" w14:textId="77777777" w:rsidR="00B7369C" w:rsidRPr="00A35CEC" w:rsidRDefault="00B7369C">
      <w:pPr>
        <w:autoSpaceDE w:val="0"/>
        <w:autoSpaceDN w:val="0"/>
        <w:adjustRightInd w:val="0"/>
        <w:snapToGrid w:val="0"/>
        <w:spacing w:line="360" w:lineRule="auto"/>
        <w:jc w:val="both"/>
        <w:rPr>
          <w:rFonts w:ascii="Book Antiqua" w:eastAsia="Calibri" w:hAnsi="Book Antiqua"/>
          <w:b/>
          <w:i/>
        </w:rPr>
      </w:pPr>
      <w:r w:rsidRPr="00A35CEC">
        <w:rPr>
          <w:rFonts w:ascii="Book Antiqua" w:eastAsia="Calibri" w:hAnsi="Book Antiqua"/>
          <w:b/>
          <w:i/>
        </w:rPr>
        <w:t>AIM</w:t>
      </w:r>
    </w:p>
    <w:p w14:paraId="18CD1EA1" w14:textId="77777777" w:rsidR="00687698" w:rsidRPr="00A35CEC" w:rsidRDefault="00B604EB">
      <w:pPr>
        <w:autoSpaceDE w:val="0"/>
        <w:autoSpaceDN w:val="0"/>
        <w:adjustRightInd w:val="0"/>
        <w:snapToGrid w:val="0"/>
        <w:spacing w:line="360" w:lineRule="auto"/>
        <w:jc w:val="both"/>
        <w:rPr>
          <w:rFonts w:ascii="Book Antiqua" w:hAnsi="Book Antiqua"/>
        </w:rPr>
      </w:pPr>
      <w:proofErr w:type="gramStart"/>
      <w:r w:rsidRPr="00A35CEC">
        <w:rPr>
          <w:rFonts w:ascii="Book Antiqua" w:eastAsia="Calibri" w:hAnsi="Book Antiqua"/>
        </w:rPr>
        <w:t>T</w:t>
      </w:r>
      <w:r w:rsidR="00F441CF" w:rsidRPr="00A35CEC">
        <w:rPr>
          <w:rFonts w:ascii="Book Antiqua" w:eastAsia="Calibri" w:hAnsi="Book Antiqua"/>
        </w:rPr>
        <w:t>o estimate the required interventions</w:t>
      </w:r>
      <w:r w:rsidRPr="00A35CEC">
        <w:rPr>
          <w:rFonts w:ascii="Book Antiqua" w:eastAsia="Calibri" w:hAnsi="Book Antiqua"/>
        </w:rPr>
        <w:t xml:space="preserve"> and </w:t>
      </w:r>
      <w:r w:rsidRPr="00A35CEC">
        <w:rPr>
          <w:rFonts w:ascii="Book Antiqua" w:hAnsi="Book Antiqua" w:cs="Arial"/>
        </w:rPr>
        <w:t>subsequent costs</w:t>
      </w:r>
      <w:r w:rsidR="00F441CF" w:rsidRPr="00A35CEC">
        <w:rPr>
          <w:rFonts w:ascii="Book Antiqua" w:eastAsia="Calibri" w:hAnsi="Book Antiqua"/>
        </w:rPr>
        <w:t xml:space="preserve"> to achieve </w:t>
      </w:r>
      <w:proofErr w:type="spellStart"/>
      <w:r w:rsidR="00861191" w:rsidRPr="00A35CEC">
        <w:rPr>
          <w:rFonts w:ascii="Book Antiqua" w:eastAsia="Calibri" w:hAnsi="Book Antiqua"/>
        </w:rPr>
        <w:t>HCV</w:t>
      </w:r>
      <w:proofErr w:type="spellEnd"/>
      <w:r w:rsidR="00861191" w:rsidRPr="00A35CEC">
        <w:rPr>
          <w:rFonts w:ascii="Book Antiqua" w:eastAsia="Calibri" w:hAnsi="Book Antiqua"/>
        </w:rPr>
        <w:t xml:space="preserve"> </w:t>
      </w:r>
      <w:r w:rsidR="00F441CF" w:rsidRPr="00A35CEC">
        <w:rPr>
          <w:rFonts w:ascii="Book Antiqua" w:eastAsia="Calibri" w:hAnsi="Book Antiqua"/>
        </w:rPr>
        <w:t>elimination</w:t>
      </w:r>
      <w:r w:rsidR="003C230B" w:rsidRPr="00A35CEC">
        <w:rPr>
          <w:rFonts w:ascii="Book Antiqua" w:eastAsia="Calibri" w:hAnsi="Book Antiqua"/>
        </w:rPr>
        <w:t xml:space="preserve"> </w:t>
      </w:r>
      <w:r w:rsidR="00CA33E3" w:rsidRPr="00A35CEC">
        <w:rPr>
          <w:rFonts w:ascii="Book Antiqua" w:eastAsia="Calibri" w:hAnsi="Book Antiqua"/>
        </w:rPr>
        <w:t>in Greece.</w:t>
      </w:r>
      <w:proofErr w:type="gramEnd"/>
      <w:r w:rsidR="00903F17" w:rsidRPr="00A35CEC">
        <w:rPr>
          <w:rFonts w:ascii="Book Antiqua" w:eastAsia="Calibri" w:hAnsi="Book Antiqua"/>
        </w:rPr>
        <w:t xml:space="preserve"> </w:t>
      </w:r>
    </w:p>
    <w:p w14:paraId="101CD5FE" w14:textId="77777777" w:rsidR="00820559" w:rsidRPr="00A35CEC" w:rsidRDefault="00820559">
      <w:pPr>
        <w:autoSpaceDE w:val="0"/>
        <w:autoSpaceDN w:val="0"/>
        <w:adjustRightInd w:val="0"/>
        <w:snapToGrid w:val="0"/>
        <w:spacing w:line="360" w:lineRule="auto"/>
        <w:jc w:val="both"/>
        <w:rPr>
          <w:rFonts w:ascii="Book Antiqua" w:hAnsi="Book Antiqua"/>
        </w:rPr>
      </w:pPr>
    </w:p>
    <w:p w14:paraId="3D4A1A09" w14:textId="77777777" w:rsidR="00B7369C" w:rsidRPr="00A35CEC" w:rsidRDefault="00B7369C">
      <w:pPr>
        <w:autoSpaceDE w:val="0"/>
        <w:autoSpaceDN w:val="0"/>
        <w:adjustRightInd w:val="0"/>
        <w:snapToGrid w:val="0"/>
        <w:spacing w:line="360" w:lineRule="auto"/>
        <w:jc w:val="both"/>
        <w:rPr>
          <w:rFonts w:ascii="Book Antiqua" w:eastAsia="Calibri" w:hAnsi="Book Antiqua"/>
          <w:b/>
          <w:i/>
        </w:rPr>
      </w:pPr>
      <w:r w:rsidRPr="00A35CEC">
        <w:rPr>
          <w:rFonts w:ascii="Book Antiqua" w:eastAsia="Calibri" w:hAnsi="Book Antiqua"/>
          <w:b/>
          <w:i/>
        </w:rPr>
        <w:t>METHODS</w:t>
      </w:r>
    </w:p>
    <w:p w14:paraId="5ED59DEA" w14:textId="143683CB" w:rsidR="00F441CF" w:rsidRPr="00A35CEC" w:rsidRDefault="00F441CF">
      <w:pPr>
        <w:autoSpaceDE w:val="0"/>
        <w:autoSpaceDN w:val="0"/>
        <w:adjustRightInd w:val="0"/>
        <w:snapToGrid w:val="0"/>
        <w:spacing w:line="360" w:lineRule="auto"/>
        <w:jc w:val="both"/>
        <w:rPr>
          <w:rFonts w:ascii="Book Antiqua" w:eastAsia="Calibri" w:hAnsi="Book Antiqua"/>
        </w:rPr>
      </w:pPr>
      <w:r w:rsidRPr="00A35CEC">
        <w:rPr>
          <w:rFonts w:ascii="Book Antiqua" w:eastAsia="Calibri" w:hAnsi="Book Antiqua"/>
        </w:rPr>
        <w:t>A previously</w:t>
      </w:r>
      <w:r w:rsidR="000E2D86" w:rsidRPr="00A35CEC">
        <w:rPr>
          <w:rFonts w:ascii="Book Antiqua" w:eastAsia="Calibri" w:hAnsi="Book Antiqua"/>
        </w:rPr>
        <w:t xml:space="preserve"> </w:t>
      </w:r>
      <w:r w:rsidRPr="00A35CEC">
        <w:rPr>
          <w:rFonts w:ascii="Book Antiqua" w:eastAsia="Calibri" w:hAnsi="Book Antiqua"/>
        </w:rPr>
        <w:t>validated mathematical model was adapted to the</w:t>
      </w:r>
      <w:r w:rsidR="006428C8" w:rsidRPr="00A35CEC">
        <w:rPr>
          <w:rFonts w:ascii="Book Antiqua" w:eastAsia="Calibri" w:hAnsi="Book Antiqua"/>
        </w:rPr>
        <w:t xml:space="preserve"> Greek</w:t>
      </w:r>
      <w:r w:rsidRPr="00A35CEC">
        <w:rPr>
          <w:rFonts w:ascii="Book Antiqua" w:eastAsia="Calibri" w:hAnsi="Book Antiqua"/>
        </w:rPr>
        <w:t xml:space="preserve"> </w:t>
      </w:r>
      <w:proofErr w:type="spellStart"/>
      <w:r w:rsidRPr="00A35CEC">
        <w:rPr>
          <w:rFonts w:ascii="Book Antiqua" w:eastAsia="Calibri" w:hAnsi="Book Antiqua"/>
        </w:rPr>
        <w:t>HCV</w:t>
      </w:r>
      <w:proofErr w:type="spellEnd"/>
      <w:r w:rsidRPr="00A35CEC">
        <w:rPr>
          <w:rFonts w:ascii="Book Antiqua" w:eastAsia="Calibri" w:hAnsi="Book Antiqua"/>
        </w:rPr>
        <w:t>-infected population to compare the outcomes</w:t>
      </w:r>
      <w:r w:rsidR="00A675AB" w:rsidRPr="00A35CEC">
        <w:rPr>
          <w:rFonts w:ascii="Book Antiqua" w:eastAsia="Calibri" w:hAnsi="Book Antiqua"/>
        </w:rPr>
        <w:t xml:space="preserve"> of</w:t>
      </w:r>
      <w:r w:rsidR="000E2D86" w:rsidRPr="00A35CEC">
        <w:rPr>
          <w:rFonts w:ascii="Book Antiqua" w:eastAsia="Calibri" w:hAnsi="Book Antiqua"/>
        </w:rPr>
        <w:t xml:space="preserve"> </w:t>
      </w:r>
      <w:proofErr w:type="spellStart"/>
      <w:r w:rsidR="000E2D86" w:rsidRPr="00A35CEC">
        <w:rPr>
          <w:rFonts w:ascii="Book Antiqua" w:eastAsia="Calibri" w:hAnsi="Book Antiqua"/>
        </w:rPr>
        <w:t>DAA</w:t>
      </w:r>
      <w:proofErr w:type="spellEnd"/>
      <w:r w:rsidRPr="00A35CEC">
        <w:rPr>
          <w:rFonts w:ascii="Book Antiqua" w:eastAsia="Calibri" w:hAnsi="Book Antiqua"/>
        </w:rPr>
        <w:t xml:space="preserve"> treatment without</w:t>
      </w:r>
      <w:r w:rsidR="00CA133F" w:rsidRPr="00A35CEC">
        <w:rPr>
          <w:rFonts w:ascii="Book Antiqua" w:eastAsia="Calibri" w:hAnsi="Book Antiqua"/>
        </w:rPr>
        <w:t xml:space="preserve"> the</w:t>
      </w:r>
      <w:r w:rsidRPr="00A35CEC">
        <w:rPr>
          <w:rFonts w:ascii="Book Antiqua" w:eastAsia="Calibri" w:hAnsi="Book Antiqua"/>
        </w:rPr>
        <w:t xml:space="preserve"> additional implementation of awareness or screening campaigns versus an </w:t>
      </w:r>
      <w:proofErr w:type="spellStart"/>
      <w:r w:rsidR="00FD2B4F" w:rsidRPr="00A35CEC">
        <w:rPr>
          <w:rFonts w:ascii="Book Antiqua" w:eastAsia="Calibri" w:hAnsi="Book Antiqua"/>
        </w:rPr>
        <w:t>HCV</w:t>
      </w:r>
      <w:proofErr w:type="spellEnd"/>
      <w:r w:rsidR="00FD2B4F" w:rsidRPr="00A35CEC">
        <w:rPr>
          <w:rFonts w:ascii="Book Antiqua" w:eastAsia="Calibri" w:hAnsi="Book Antiqua"/>
        </w:rPr>
        <w:t xml:space="preserve"> </w:t>
      </w:r>
      <w:r w:rsidRPr="00A35CEC">
        <w:rPr>
          <w:rFonts w:ascii="Book Antiqua" w:eastAsia="Calibri" w:hAnsi="Book Antiqua"/>
        </w:rPr>
        <w:t>elimination</w:t>
      </w:r>
      <w:r w:rsidR="00FD2B4F" w:rsidRPr="00A35CEC">
        <w:rPr>
          <w:rFonts w:ascii="Book Antiqua" w:eastAsia="Calibri" w:hAnsi="Book Antiqua"/>
        </w:rPr>
        <w:t xml:space="preserve"> strategy</w:t>
      </w:r>
      <w:r w:rsidR="00FF4070" w:rsidRPr="00A35CEC">
        <w:rPr>
          <w:rFonts w:ascii="Book Antiqua" w:eastAsia="Calibri" w:hAnsi="Book Antiqua"/>
        </w:rPr>
        <w:t>,</w:t>
      </w:r>
      <w:r w:rsidR="00FD2B4F" w:rsidRPr="00A35CEC">
        <w:rPr>
          <w:rFonts w:ascii="Book Antiqua" w:eastAsia="Calibri" w:hAnsi="Book Antiqua"/>
        </w:rPr>
        <w:t xml:space="preserve"> </w:t>
      </w:r>
      <w:r w:rsidR="00FF4070" w:rsidRPr="00A35CEC">
        <w:rPr>
          <w:rFonts w:ascii="Book Antiqua" w:eastAsia="Calibri" w:hAnsi="Book Antiqua"/>
        </w:rPr>
        <w:t>which</w:t>
      </w:r>
      <w:r w:rsidR="00FD2B4F" w:rsidRPr="00A35CEC">
        <w:rPr>
          <w:rFonts w:ascii="Book Antiqua" w:eastAsia="Calibri" w:hAnsi="Book Antiqua"/>
        </w:rPr>
        <w:t xml:space="preserve"> includes </w:t>
      </w:r>
      <w:r w:rsidR="003A42DC" w:rsidRPr="00A35CEC">
        <w:rPr>
          <w:rFonts w:ascii="Book Antiqua" w:eastAsia="Calibri" w:hAnsi="Book Antiqua"/>
        </w:rPr>
        <w:t xml:space="preserve">a </w:t>
      </w:r>
      <w:r w:rsidR="00FD2B4F" w:rsidRPr="00A35CEC">
        <w:rPr>
          <w:rFonts w:ascii="Book Antiqua" w:eastAsia="Calibri" w:hAnsi="Book Antiqua"/>
        </w:rPr>
        <w:t>sufficient number of treated patients</w:t>
      </w:r>
      <w:r w:rsidRPr="00A35CEC">
        <w:rPr>
          <w:rFonts w:ascii="Book Antiqua" w:eastAsia="Calibri" w:hAnsi="Book Antiqua"/>
        </w:rPr>
        <w:t>. We estimated</w:t>
      </w:r>
      <w:r w:rsidR="00630F39" w:rsidRPr="00A35CEC">
        <w:rPr>
          <w:rFonts w:ascii="Book Antiqua" w:eastAsia="Calibri" w:hAnsi="Book Antiqua"/>
        </w:rPr>
        <w:t xml:space="preserve"> the</w:t>
      </w:r>
      <w:r w:rsidRPr="00A35CEC">
        <w:rPr>
          <w:rFonts w:ascii="Book Antiqua" w:eastAsia="Calibri" w:hAnsi="Book Antiqua"/>
        </w:rPr>
        <w:t xml:space="preserve"> total costs</w:t>
      </w:r>
      <w:r w:rsidR="00903F17" w:rsidRPr="00A35CEC">
        <w:rPr>
          <w:rFonts w:ascii="Book Antiqua" w:eastAsia="Calibri" w:hAnsi="Book Antiqua"/>
        </w:rPr>
        <w:t xml:space="preserve"> (direct and indirect costs)</w:t>
      </w:r>
      <w:r w:rsidRPr="00A35CEC">
        <w:rPr>
          <w:rFonts w:ascii="Book Antiqua" w:eastAsia="Calibri" w:hAnsi="Book Antiqua"/>
        </w:rPr>
        <w:t>,</w:t>
      </w:r>
      <w:r w:rsidR="00630F39" w:rsidRPr="00A35CEC">
        <w:rPr>
          <w:rFonts w:ascii="Book Antiqua" w:eastAsia="Calibri" w:hAnsi="Book Antiqua"/>
        </w:rPr>
        <w:t xml:space="preserve"> the</w:t>
      </w:r>
      <w:r w:rsidRPr="00A35CEC">
        <w:rPr>
          <w:rFonts w:ascii="Book Antiqua" w:eastAsia="Calibri" w:hAnsi="Book Antiqua"/>
        </w:rPr>
        <w:t xml:space="preserve"> </w:t>
      </w:r>
      <w:bookmarkStart w:id="67" w:name="OLE_LINK60"/>
      <w:r w:rsidRPr="00A35CEC">
        <w:rPr>
          <w:rFonts w:ascii="Book Antiqua" w:eastAsia="Calibri" w:hAnsi="Book Antiqua"/>
        </w:rPr>
        <w:t>disability-adjusted life years</w:t>
      </w:r>
      <w:bookmarkEnd w:id="67"/>
      <w:r w:rsidRPr="00A35CEC">
        <w:rPr>
          <w:rFonts w:ascii="Book Antiqua" w:eastAsia="Calibri" w:hAnsi="Book Antiqua"/>
        </w:rPr>
        <w:t xml:space="preserve"> and</w:t>
      </w:r>
      <w:r w:rsidR="00630F39" w:rsidRPr="00A35CEC">
        <w:rPr>
          <w:rFonts w:ascii="Book Antiqua" w:eastAsia="Calibri" w:hAnsi="Book Antiqua"/>
        </w:rPr>
        <w:t xml:space="preserve"> the</w:t>
      </w:r>
      <w:r w:rsidRPr="00A35CEC">
        <w:rPr>
          <w:rFonts w:ascii="Book Antiqua" w:eastAsia="Calibri" w:hAnsi="Book Antiqua"/>
        </w:rPr>
        <w:t xml:space="preserve"> incremental cost-effectiveness ratio using two different price scenarios.</w:t>
      </w:r>
    </w:p>
    <w:p w14:paraId="44180142" w14:textId="77777777" w:rsidR="00F441CF" w:rsidRPr="00A35CEC" w:rsidRDefault="00F441CF">
      <w:pPr>
        <w:autoSpaceDE w:val="0"/>
        <w:autoSpaceDN w:val="0"/>
        <w:adjustRightInd w:val="0"/>
        <w:snapToGrid w:val="0"/>
        <w:spacing w:line="360" w:lineRule="auto"/>
        <w:jc w:val="both"/>
        <w:rPr>
          <w:rFonts w:ascii="Book Antiqua" w:eastAsia="Calibri" w:hAnsi="Book Antiqua"/>
        </w:rPr>
      </w:pPr>
    </w:p>
    <w:p w14:paraId="67F5265A" w14:textId="77777777" w:rsidR="00B7369C" w:rsidRPr="00A35CEC" w:rsidRDefault="00B7369C">
      <w:pPr>
        <w:adjustRightInd w:val="0"/>
        <w:snapToGrid w:val="0"/>
        <w:spacing w:line="360" w:lineRule="auto"/>
        <w:jc w:val="both"/>
        <w:rPr>
          <w:rFonts w:ascii="Book Antiqua" w:eastAsia="Calibri" w:hAnsi="Book Antiqua"/>
          <w:b/>
          <w:i/>
        </w:rPr>
      </w:pPr>
      <w:r w:rsidRPr="00A35CEC">
        <w:rPr>
          <w:rFonts w:ascii="Book Antiqua" w:eastAsia="Calibri" w:hAnsi="Book Antiqua"/>
          <w:b/>
          <w:i/>
        </w:rPr>
        <w:t>RESULTS</w:t>
      </w:r>
    </w:p>
    <w:p w14:paraId="42CD41AE" w14:textId="6972217F" w:rsidR="00820559" w:rsidRPr="00A35CEC" w:rsidRDefault="000B596D">
      <w:pPr>
        <w:adjustRightInd w:val="0"/>
        <w:snapToGrid w:val="0"/>
        <w:spacing w:line="360" w:lineRule="auto"/>
        <w:jc w:val="both"/>
        <w:rPr>
          <w:rFonts w:ascii="Book Antiqua" w:hAnsi="Book Antiqua"/>
        </w:rPr>
      </w:pPr>
      <w:r w:rsidRPr="00A35CEC">
        <w:rPr>
          <w:rFonts w:ascii="Book Antiqua" w:eastAsia="Calibri" w:hAnsi="Book Antiqua"/>
        </w:rPr>
        <w:t>W</w:t>
      </w:r>
      <w:r w:rsidRPr="00A35CEC">
        <w:rPr>
          <w:rFonts w:ascii="Book Antiqua" w:hAnsi="Book Antiqua"/>
        </w:rPr>
        <w:t xml:space="preserve">ithout the implementation of awareness or screening campaigns, </w:t>
      </w:r>
      <w:r w:rsidR="000E2D86" w:rsidRPr="00A35CEC">
        <w:rPr>
          <w:rFonts w:ascii="Book Antiqua" w:hAnsi="Book Antiqua"/>
        </w:rPr>
        <w:t xml:space="preserve">approximately </w:t>
      </w:r>
      <w:r w:rsidR="0062470F" w:rsidRPr="00A35CEC">
        <w:rPr>
          <w:rFonts w:ascii="Book Antiqua" w:hAnsi="Book Antiqua"/>
        </w:rPr>
        <w:t>20000 patients would be</w:t>
      </w:r>
      <w:r w:rsidR="00D27328" w:rsidRPr="00A35CEC">
        <w:rPr>
          <w:rFonts w:ascii="Book Antiqua" w:hAnsi="Book Antiqua"/>
        </w:rPr>
        <w:t xml:space="preserve"> </w:t>
      </w:r>
      <w:r w:rsidR="00D27328" w:rsidRPr="00A35CEC">
        <w:rPr>
          <w:rFonts w:ascii="Book Antiqua" w:eastAsia="Calibri" w:hAnsi="Book Antiqua"/>
        </w:rPr>
        <w:t>diagnosed and</w:t>
      </w:r>
      <w:r w:rsidR="0062470F" w:rsidRPr="00A35CEC">
        <w:rPr>
          <w:rFonts w:ascii="Book Antiqua" w:hAnsi="Book Antiqua"/>
        </w:rPr>
        <w:t xml:space="preserve"> treated</w:t>
      </w:r>
      <w:r w:rsidR="00DD7565" w:rsidRPr="00A35CEC">
        <w:rPr>
          <w:rFonts w:ascii="Book Antiqua" w:hAnsi="Book Antiqua"/>
        </w:rPr>
        <w:t xml:space="preserve"> with </w:t>
      </w:r>
      <w:proofErr w:type="spellStart"/>
      <w:r w:rsidR="00DD7565" w:rsidRPr="00A35CEC">
        <w:rPr>
          <w:rFonts w:ascii="Book Antiqua" w:hAnsi="Book Antiqua"/>
        </w:rPr>
        <w:t>DAAs</w:t>
      </w:r>
      <w:proofErr w:type="spellEnd"/>
      <w:r w:rsidR="0062470F" w:rsidRPr="00A35CEC">
        <w:rPr>
          <w:rFonts w:ascii="Book Antiqua" w:hAnsi="Book Antiqua"/>
        </w:rPr>
        <w:t xml:space="preserve"> by 2030</w:t>
      </w:r>
      <w:r w:rsidR="00DD7565" w:rsidRPr="00A35CEC">
        <w:rPr>
          <w:rFonts w:ascii="Book Antiqua" w:hAnsi="Book Antiqua"/>
        </w:rPr>
        <w:t xml:space="preserve">. This strategy would result in </w:t>
      </w:r>
      <w:r w:rsidR="003A42DC" w:rsidRPr="00A35CEC">
        <w:rPr>
          <w:rFonts w:ascii="Book Antiqua" w:hAnsi="Book Antiqua"/>
        </w:rPr>
        <w:t xml:space="preserve">a </w:t>
      </w:r>
      <w:r w:rsidR="003654EA" w:rsidRPr="00A35CEC">
        <w:rPr>
          <w:rFonts w:ascii="Book Antiqua" w:hAnsi="Book Antiqua"/>
        </w:rPr>
        <w:t>19</w:t>
      </w:r>
      <w:r w:rsidR="00DD7565" w:rsidRPr="00A35CEC">
        <w:rPr>
          <w:rFonts w:ascii="Book Antiqua" w:hAnsi="Book Antiqua"/>
        </w:rPr>
        <w:t>.</w:t>
      </w:r>
      <w:r w:rsidR="003654EA" w:rsidRPr="00A35CEC">
        <w:rPr>
          <w:rFonts w:ascii="Book Antiqua" w:hAnsi="Book Antiqua"/>
        </w:rPr>
        <w:t>6</w:t>
      </w:r>
      <w:r w:rsidR="00DD7565" w:rsidRPr="00A35CEC">
        <w:rPr>
          <w:rFonts w:ascii="Book Antiqua" w:hAnsi="Book Antiqua"/>
        </w:rPr>
        <w:t xml:space="preserve">% increase in </w:t>
      </w:r>
      <w:proofErr w:type="spellStart"/>
      <w:r w:rsidR="00DD7565" w:rsidRPr="00A35CEC">
        <w:rPr>
          <w:rFonts w:ascii="Book Antiqua" w:hAnsi="Book Antiqua"/>
        </w:rPr>
        <w:t>HCV</w:t>
      </w:r>
      <w:proofErr w:type="spellEnd"/>
      <w:r w:rsidR="00DD7565" w:rsidRPr="00A35CEC">
        <w:rPr>
          <w:rFonts w:ascii="Book Antiqua" w:hAnsi="Book Antiqua"/>
        </w:rPr>
        <w:t>-related mortality in 203</w:t>
      </w:r>
      <w:r w:rsidR="003610A3" w:rsidRPr="00A35CEC">
        <w:rPr>
          <w:rFonts w:ascii="Book Antiqua" w:hAnsi="Book Antiqua"/>
        </w:rPr>
        <w:t>0</w:t>
      </w:r>
      <w:r w:rsidR="00DD7565" w:rsidRPr="00A35CEC">
        <w:rPr>
          <w:rFonts w:ascii="Book Antiqua" w:hAnsi="Book Antiqua"/>
        </w:rPr>
        <w:t xml:space="preserve"> compared to 201</w:t>
      </w:r>
      <w:r w:rsidR="003654EA" w:rsidRPr="00A35CEC">
        <w:rPr>
          <w:rFonts w:ascii="Book Antiqua" w:hAnsi="Book Antiqua"/>
        </w:rPr>
        <w:t>5</w:t>
      </w:r>
      <w:r w:rsidRPr="00A35CEC">
        <w:rPr>
          <w:rFonts w:ascii="Book Antiqua" w:hAnsi="Book Antiqua"/>
        </w:rPr>
        <w:t xml:space="preserve">. </w:t>
      </w:r>
      <w:bookmarkStart w:id="68" w:name="_Hlk510624405"/>
      <w:r w:rsidR="00B70057" w:rsidRPr="00A35CEC">
        <w:rPr>
          <w:rFonts w:ascii="Book Antiqua" w:eastAsia="Calibri" w:hAnsi="Book Antiqua"/>
        </w:rPr>
        <w:t>To achieve the elimination goal</w:t>
      </w:r>
      <w:r w:rsidR="00FF4070" w:rsidRPr="00A35CEC">
        <w:rPr>
          <w:rFonts w:ascii="Book Antiqua" w:eastAsia="Calibri" w:hAnsi="Book Antiqua"/>
        </w:rPr>
        <w:t>,</w:t>
      </w:r>
      <w:r w:rsidR="00B7369C" w:rsidRPr="00A35CEC">
        <w:rPr>
          <w:rFonts w:ascii="Book Antiqua" w:eastAsia="Calibri" w:hAnsi="Book Antiqua"/>
        </w:rPr>
        <w:t xml:space="preserve"> 90</w:t>
      </w:r>
      <w:r w:rsidR="00B70057" w:rsidRPr="00A35CEC">
        <w:rPr>
          <w:rFonts w:ascii="Book Antiqua" w:eastAsia="Calibri" w:hAnsi="Book Antiqua"/>
        </w:rPr>
        <w:t>000</w:t>
      </w:r>
      <w:r w:rsidR="006428C8" w:rsidRPr="00A35CEC">
        <w:rPr>
          <w:rFonts w:ascii="Book Antiqua" w:eastAsia="Calibri" w:hAnsi="Book Antiqua"/>
        </w:rPr>
        <w:t xml:space="preserve"> </w:t>
      </w:r>
      <w:r w:rsidR="00044DBB" w:rsidRPr="00A35CEC">
        <w:rPr>
          <w:rFonts w:ascii="Book Antiqua" w:eastAsia="Calibri" w:hAnsi="Book Antiqua"/>
        </w:rPr>
        <w:t>patients</w:t>
      </w:r>
      <w:r w:rsidR="00FF4070" w:rsidRPr="00A35CEC">
        <w:rPr>
          <w:rFonts w:ascii="Book Antiqua" w:eastAsia="Calibri" w:hAnsi="Book Antiqua"/>
        </w:rPr>
        <w:t xml:space="preserve"> </w:t>
      </w:r>
      <w:r w:rsidR="006428C8" w:rsidRPr="00A35CEC">
        <w:rPr>
          <w:rFonts w:ascii="Book Antiqua" w:eastAsia="Calibri" w:hAnsi="Book Antiqua"/>
        </w:rPr>
        <w:t xml:space="preserve">need to be </w:t>
      </w:r>
      <w:r w:rsidR="006428C8" w:rsidRPr="00A35CEC">
        <w:rPr>
          <w:rFonts w:ascii="Book Antiqua" w:hAnsi="Book Antiqua"/>
        </w:rPr>
        <w:t>treated by 2030</w:t>
      </w:r>
      <w:bookmarkEnd w:id="68"/>
      <w:r w:rsidR="00B70057" w:rsidRPr="00A35CEC">
        <w:rPr>
          <w:rFonts w:ascii="Book Antiqua" w:hAnsi="Book Antiqua"/>
        </w:rPr>
        <w:t>.</w:t>
      </w:r>
      <w:r w:rsidR="00DD7565" w:rsidRPr="00A35CEC">
        <w:rPr>
          <w:rFonts w:ascii="Book Antiqua" w:hAnsi="Book Antiqua"/>
        </w:rPr>
        <w:t xml:space="preserve"> </w:t>
      </w:r>
      <w:r w:rsidR="005D038A" w:rsidRPr="00A35CEC">
        <w:rPr>
          <w:rFonts w:ascii="Book Antiqua" w:hAnsi="Book Antiqua"/>
        </w:rPr>
        <w:t xml:space="preserve">Under </w:t>
      </w:r>
      <w:r w:rsidR="000E2D86" w:rsidRPr="00A35CEC">
        <w:rPr>
          <w:rFonts w:ascii="Book Antiqua" w:hAnsi="Book Antiqua"/>
        </w:rPr>
        <w:t xml:space="preserve">the </w:t>
      </w:r>
      <w:r w:rsidR="005D038A" w:rsidRPr="00A35CEC">
        <w:rPr>
          <w:rFonts w:ascii="Book Antiqua" w:hAnsi="Book Antiqua"/>
        </w:rPr>
        <w:t xml:space="preserve">elimination scenario, </w:t>
      </w:r>
      <w:proofErr w:type="spellStart"/>
      <w:r w:rsidR="005D038A" w:rsidRPr="00A35CEC">
        <w:rPr>
          <w:rFonts w:ascii="Book Antiqua" w:hAnsi="Book Antiqua"/>
        </w:rPr>
        <w:t>viremic</w:t>
      </w:r>
      <w:proofErr w:type="spellEnd"/>
      <w:r w:rsidR="005D038A" w:rsidRPr="00A35CEC">
        <w:rPr>
          <w:rFonts w:ascii="Book Antiqua" w:hAnsi="Book Antiqua"/>
        </w:rPr>
        <w:t xml:space="preserve"> cases would decrease by 78.8% in 2030 compared to 2015</w:t>
      </w:r>
      <w:r w:rsidR="00903F17" w:rsidRPr="00A35CEC">
        <w:rPr>
          <w:rFonts w:ascii="Book Antiqua" w:hAnsi="Book Antiqua"/>
        </w:rPr>
        <w:t>. The cumulative direct costs to eliminat</w:t>
      </w:r>
      <w:r w:rsidR="00FF4070" w:rsidRPr="00A35CEC">
        <w:rPr>
          <w:rFonts w:ascii="Book Antiqua" w:hAnsi="Book Antiqua"/>
        </w:rPr>
        <w:t>e the disease</w:t>
      </w:r>
      <w:r w:rsidR="00903F17" w:rsidRPr="00A35CEC">
        <w:rPr>
          <w:rFonts w:ascii="Book Antiqua" w:hAnsi="Book Antiqua"/>
        </w:rPr>
        <w:t xml:space="preserve"> would range </w:t>
      </w:r>
      <w:r w:rsidR="00862468" w:rsidRPr="00A35CEC">
        <w:rPr>
          <w:rFonts w:ascii="Book Antiqua" w:hAnsi="Book Antiqua"/>
        </w:rPr>
        <w:t>from</w:t>
      </w:r>
      <w:r w:rsidR="00903F17" w:rsidRPr="00A35CEC">
        <w:rPr>
          <w:rFonts w:ascii="Book Antiqua" w:hAnsi="Book Antiqua"/>
        </w:rPr>
        <w:t xml:space="preserve"> 2.1</w:t>
      </w:r>
      <w:r w:rsidR="00FF4070" w:rsidRPr="00A35CEC">
        <w:rPr>
          <w:rFonts w:ascii="Book Antiqua" w:hAnsi="Book Antiqua"/>
        </w:rPr>
        <w:t>-</w:t>
      </w:r>
      <w:r w:rsidR="00903F17" w:rsidRPr="00A35CEC">
        <w:rPr>
          <w:rFonts w:ascii="Book Antiqua" w:hAnsi="Book Antiqua"/>
        </w:rPr>
        <w:t>2.3 billion euros</w:t>
      </w:r>
      <w:r w:rsidR="00274B9D" w:rsidRPr="00A35CEC">
        <w:rPr>
          <w:rFonts w:ascii="Book Antiqua" w:hAnsi="Book Antiqua"/>
        </w:rPr>
        <w:t xml:space="preserve"> (</w:t>
      </w:r>
      <w:r w:rsidR="00274B9D" w:rsidRPr="00A35CEC">
        <w:rPr>
          <w:rFonts w:ascii="Book Antiqua" w:eastAsia="Calibri" w:hAnsi="Book Antiqua" w:cs="Arial"/>
        </w:rPr>
        <w:t>€)</w:t>
      </w:r>
      <w:r w:rsidR="00903F17" w:rsidRPr="00A35CEC">
        <w:rPr>
          <w:rFonts w:ascii="Book Antiqua" w:hAnsi="Book Antiqua"/>
        </w:rPr>
        <w:t xml:space="preserve"> by 2030</w:t>
      </w:r>
      <w:r w:rsidR="00FF4070" w:rsidRPr="00A35CEC">
        <w:rPr>
          <w:rFonts w:ascii="Book Antiqua" w:hAnsi="Book Antiqua"/>
        </w:rPr>
        <w:t>, while t</w:t>
      </w:r>
      <w:r w:rsidR="00903F17" w:rsidRPr="00A35CEC">
        <w:rPr>
          <w:rFonts w:ascii="Book Antiqua" w:hAnsi="Book Antiqua"/>
        </w:rPr>
        <w:t>he indirect cost</w:t>
      </w:r>
      <w:r w:rsidR="00FF4070" w:rsidRPr="00A35CEC">
        <w:rPr>
          <w:rFonts w:ascii="Book Antiqua" w:hAnsi="Book Antiqua"/>
        </w:rPr>
        <w:t>s</w:t>
      </w:r>
      <w:r w:rsidR="00903F17" w:rsidRPr="00A35CEC">
        <w:rPr>
          <w:rFonts w:ascii="Book Antiqua" w:hAnsi="Book Antiqua"/>
        </w:rPr>
        <w:t xml:space="preserve"> would be </w:t>
      </w:r>
      <w:r w:rsidR="00274B9D" w:rsidRPr="00A35CEC">
        <w:rPr>
          <w:rFonts w:ascii="Book Antiqua" w:eastAsia="Calibri" w:hAnsi="Book Antiqua" w:cs="Arial"/>
        </w:rPr>
        <w:t>€</w:t>
      </w:r>
      <w:r w:rsidR="00903F17" w:rsidRPr="00A35CEC">
        <w:rPr>
          <w:rFonts w:ascii="Book Antiqua" w:hAnsi="Book Antiqua"/>
        </w:rPr>
        <w:t>1.1 billion. The total</w:t>
      </w:r>
      <w:r w:rsidR="00FF4070" w:rsidRPr="00A35CEC">
        <w:rPr>
          <w:rFonts w:ascii="Book Antiqua" w:hAnsi="Book Antiqua"/>
        </w:rPr>
        <w:t xml:space="preserve"> elimination</w:t>
      </w:r>
      <w:r w:rsidR="00903F17" w:rsidRPr="00A35CEC">
        <w:rPr>
          <w:rFonts w:ascii="Book Antiqua" w:hAnsi="Book Antiqua"/>
        </w:rPr>
        <w:t xml:space="preserve"> cost </w:t>
      </w:r>
      <w:r w:rsidR="00FF4070" w:rsidRPr="00A35CEC">
        <w:rPr>
          <w:rFonts w:ascii="Book Antiqua" w:hAnsi="Book Antiqua"/>
        </w:rPr>
        <w:t>in Greece would</w:t>
      </w:r>
      <w:r w:rsidR="00903F17" w:rsidRPr="00A35CEC">
        <w:rPr>
          <w:rFonts w:ascii="Book Antiqua" w:hAnsi="Book Antiqua"/>
        </w:rPr>
        <w:t xml:space="preserve"> range </w:t>
      </w:r>
      <w:r w:rsidR="00862468" w:rsidRPr="00A35CEC">
        <w:rPr>
          <w:rFonts w:ascii="Book Antiqua" w:hAnsi="Book Antiqua"/>
        </w:rPr>
        <w:t>from</w:t>
      </w:r>
      <w:r w:rsidR="00903F17" w:rsidRPr="00A35CEC">
        <w:rPr>
          <w:rFonts w:ascii="Book Antiqua" w:hAnsi="Book Antiqua"/>
        </w:rPr>
        <w:t xml:space="preserve"> </w:t>
      </w:r>
      <w:r w:rsidR="00274B9D" w:rsidRPr="00A35CEC">
        <w:rPr>
          <w:rFonts w:ascii="Book Antiqua" w:eastAsia="Calibri" w:hAnsi="Book Antiqua" w:cs="Arial"/>
        </w:rPr>
        <w:t>€</w:t>
      </w:r>
      <w:r w:rsidR="00903F17" w:rsidRPr="00A35CEC">
        <w:rPr>
          <w:rFonts w:ascii="Book Antiqua" w:hAnsi="Book Antiqua"/>
        </w:rPr>
        <w:t>3.2-3.4 billion by 203</w:t>
      </w:r>
      <w:r w:rsidR="00CA33E3" w:rsidRPr="00A35CEC">
        <w:rPr>
          <w:rFonts w:ascii="Book Antiqua" w:hAnsi="Book Antiqua"/>
        </w:rPr>
        <w:t>0</w:t>
      </w:r>
      <w:r w:rsidR="00903F17" w:rsidRPr="00A35CEC">
        <w:rPr>
          <w:rFonts w:ascii="Book Antiqua" w:hAnsi="Book Antiqua"/>
        </w:rPr>
        <w:t xml:space="preserve">. The cost per averted </w:t>
      </w:r>
      <w:r w:rsidR="000E2D86" w:rsidRPr="00A35CEC">
        <w:rPr>
          <w:rFonts w:ascii="Book Antiqua" w:eastAsia="Calibri" w:hAnsi="Book Antiqua"/>
        </w:rPr>
        <w:t xml:space="preserve">disability-adjusted life year </w:t>
      </w:r>
      <w:r w:rsidR="00903F17" w:rsidRPr="00A35CEC">
        <w:rPr>
          <w:rFonts w:ascii="Book Antiqua" w:hAnsi="Book Antiqua"/>
        </w:rPr>
        <w:t xml:space="preserve">is estimated </w:t>
      </w:r>
      <w:r w:rsidR="00903F17" w:rsidRPr="00A35CEC">
        <w:rPr>
          <w:rFonts w:ascii="Book Antiqua" w:hAnsi="Book Antiqua"/>
        </w:rPr>
        <w:lastRenderedPageBreak/>
        <w:t xml:space="preserve">between </w:t>
      </w:r>
      <w:r w:rsidR="00274B9D" w:rsidRPr="00A35CEC">
        <w:rPr>
          <w:rFonts w:ascii="Book Antiqua" w:eastAsia="Calibri" w:hAnsi="Book Antiqua" w:cs="Arial"/>
        </w:rPr>
        <w:t>€</w:t>
      </w:r>
      <w:r w:rsidR="00903F17" w:rsidRPr="00A35CEC">
        <w:rPr>
          <w:rFonts w:ascii="Book Antiqua" w:hAnsi="Book Antiqua"/>
        </w:rPr>
        <w:t>10</w:t>
      </w:r>
      <w:r w:rsidR="00274B9D" w:rsidRPr="00A35CEC">
        <w:rPr>
          <w:rFonts w:ascii="Book Antiqua" w:hAnsi="Book Antiqua"/>
        </w:rPr>
        <w:t>,</w:t>
      </w:r>
      <w:r w:rsidR="00903F17" w:rsidRPr="00A35CEC">
        <w:rPr>
          <w:rFonts w:ascii="Book Antiqua" w:hAnsi="Book Antiqua"/>
        </w:rPr>
        <w:t>100</w:t>
      </w:r>
      <w:r w:rsidR="00B7369C" w:rsidRPr="00A35CEC">
        <w:rPr>
          <w:rFonts w:ascii="Book Antiqua" w:hAnsi="Book Antiqua"/>
        </w:rPr>
        <w:t xml:space="preserve"> </w:t>
      </w:r>
      <w:r w:rsidR="000E2D86" w:rsidRPr="00A35CEC">
        <w:rPr>
          <w:rFonts w:ascii="Book Antiqua" w:hAnsi="Book Antiqua"/>
        </w:rPr>
        <w:t xml:space="preserve">and </w:t>
      </w:r>
      <w:r w:rsidR="00274B9D" w:rsidRPr="00A35CEC">
        <w:rPr>
          <w:rFonts w:ascii="Book Antiqua" w:eastAsia="Calibri" w:hAnsi="Book Antiqua" w:cs="Arial"/>
        </w:rPr>
        <w:t>€</w:t>
      </w:r>
      <w:r w:rsidR="00903F17" w:rsidRPr="00A35CEC">
        <w:rPr>
          <w:rFonts w:ascii="Book Antiqua" w:hAnsi="Book Antiqua"/>
        </w:rPr>
        <w:t>13</w:t>
      </w:r>
      <w:r w:rsidR="00274B9D" w:rsidRPr="00A35CEC">
        <w:rPr>
          <w:rFonts w:ascii="Book Antiqua" w:hAnsi="Book Antiqua"/>
        </w:rPr>
        <w:t>,</w:t>
      </w:r>
      <w:r w:rsidR="00903F17" w:rsidRPr="00A35CEC">
        <w:rPr>
          <w:rFonts w:ascii="Book Antiqua" w:hAnsi="Book Antiqua"/>
        </w:rPr>
        <w:t>380</w:t>
      </w:r>
      <w:r w:rsidR="000E2D86" w:rsidRPr="00A35CEC">
        <w:rPr>
          <w:rFonts w:ascii="Book Antiqua" w:hAnsi="Book Antiqua"/>
        </w:rPr>
        <w:t xml:space="preserve">, </w:t>
      </w:r>
      <w:r w:rsidR="00903F17" w:rsidRPr="00A35CEC">
        <w:rPr>
          <w:rFonts w:ascii="Book Antiqua" w:hAnsi="Book Antiqua"/>
        </w:rPr>
        <w:t xml:space="preserve">indicating that the elimination strategy is very cost-effective. Furthermore, </w:t>
      </w:r>
      <w:proofErr w:type="spellStart"/>
      <w:r w:rsidR="00903F17" w:rsidRPr="00A35CEC">
        <w:rPr>
          <w:rFonts w:ascii="Book Antiqua" w:hAnsi="Book Antiqua"/>
        </w:rPr>
        <w:t>HCV</w:t>
      </w:r>
      <w:proofErr w:type="spellEnd"/>
      <w:r w:rsidR="00903F17" w:rsidRPr="00A35CEC">
        <w:rPr>
          <w:rFonts w:ascii="Book Antiqua" w:hAnsi="Book Antiqua"/>
        </w:rPr>
        <w:t xml:space="preserve"> elimination strategy would save </w:t>
      </w:r>
      <w:r w:rsidR="00274B9D" w:rsidRPr="00A35CEC">
        <w:rPr>
          <w:rFonts w:ascii="Book Antiqua" w:eastAsia="Calibri" w:hAnsi="Book Antiqua" w:cs="Arial"/>
        </w:rPr>
        <w:t>€</w:t>
      </w:r>
      <w:r w:rsidR="00903F17" w:rsidRPr="00A35CEC">
        <w:rPr>
          <w:rFonts w:ascii="Book Antiqua" w:hAnsi="Book Antiqua"/>
        </w:rPr>
        <w:t>560-895 million</w:t>
      </w:r>
      <w:r w:rsidR="008A4F3E" w:rsidRPr="00A35CEC">
        <w:rPr>
          <w:rFonts w:ascii="Book Antiqua" w:hAnsi="Book Antiqua"/>
        </w:rPr>
        <w:t xml:space="preserve"> </w:t>
      </w:r>
      <w:r w:rsidR="00903F17" w:rsidRPr="00A35CEC">
        <w:rPr>
          <w:rFonts w:ascii="Book Antiqua" w:hAnsi="Book Antiqua"/>
        </w:rPr>
        <w:t>by 2035.</w:t>
      </w:r>
      <w:bookmarkEnd w:id="66"/>
    </w:p>
    <w:p w14:paraId="575D9B22" w14:textId="77777777" w:rsidR="00B7369C" w:rsidRPr="00A35CEC" w:rsidRDefault="00B7369C">
      <w:pPr>
        <w:adjustRightInd w:val="0"/>
        <w:snapToGrid w:val="0"/>
        <w:spacing w:line="360" w:lineRule="auto"/>
        <w:jc w:val="both"/>
        <w:rPr>
          <w:rFonts w:ascii="Book Antiqua" w:eastAsia="Calibri" w:hAnsi="Book Antiqua"/>
        </w:rPr>
      </w:pPr>
    </w:p>
    <w:p w14:paraId="3D1548E9" w14:textId="77777777" w:rsidR="00B7369C" w:rsidRPr="00A35CEC" w:rsidRDefault="00B7369C">
      <w:pPr>
        <w:adjustRightInd w:val="0"/>
        <w:snapToGrid w:val="0"/>
        <w:spacing w:line="360" w:lineRule="auto"/>
        <w:jc w:val="both"/>
        <w:rPr>
          <w:rFonts w:ascii="Book Antiqua" w:eastAsia="Calibri" w:hAnsi="Book Antiqua"/>
          <w:b/>
          <w:i/>
        </w:rPr>
      </w:pPr>
      <w:r w:rsidRPr="00A35CEC">
        <w:rPr>
          <w:rFonts w:ascii="Book Antiqua" w:eastAsia="Calibri" w:hAnsi="Book Antiqua"/>
          <w:b/>
          <w:i/>
        </w:rPr>
        <w:t>CONCLUSION</w:t>
      </w:r>
    </w:p>
    <w:p w14:paraId="749AD926" w14:textId="5FE06F10" w:rsidR="002E398B" w:rsidRPr="00A35CEC" w:rsidRDefault="006428C8">
      <w:pPr>
        <w:adjustRightInd w:val="0"/>
        <w:snapToGrid w:val="0"/>
        <w:spacing w:line="360" w:lineRule="auto"/>
        <w:jc w:val="both"/>
        <w:rPr>
          <w:rFonts w:ascii="Book Antiqua" w:eastAsia="Calibri" w:hAnsi="Book Antiqua"/>
        </w:rPr>
      </w:pPr>
      <w:r w:rsidRPr="00A35CEC">
        <w:rPr>
          <w:rFonts w:ascii="Book Antiqua" w:eastAsia="Calibri" w:hAnsi="Book Antiqua"/>
        </w:rPr>
        <w:t xml:space="preserve">Without large screening programs, elimination of </w:t>
      </w:r>
      <w:proofErr w:type="spellStart"/>
      <w:r w:rsidRPr="00A35CEC">
        <w:rPr>
          <w:rFonts w:ascii="Book Antiqua" w:eastAsia="Calibri" w:hAnsi="Book Antiqua"/>
        </w:rPr>
        <w:t>HCV</w:t>
      </w:r>
      <w:proofErr w:type="spellEnd"/>
      <w:r w:rsidRPr="00A35CEC">
        <w:rPr>
          <w:rFonts w:ascii="Book Antiqua" w:eastAsia="Calibri" w:hAnsi="Book Antiqua"/>
        </w:rPr>
        <w:t xml:space="preserve"> cannot be achieved.</w:t>
      </w:r>
      <w:r w:rsidR="00CA33E3" w:rsidRPr="00A35CEC">
        <w:rPr>
          <w:rFonts w:ascii="Book Antiqua" w:eastAsia="Calibri" w:hAnsi="Book Antiqua"/>
        </w:rPr>
        <w:t xml:space="preserve"> </w:t>
      </w:r>
      <w:r w:rsidR="000E2D86" w:rsidRPr="00A35CEC">
        <w:rPr>
          <w:rFonts w:ascii="Book Antiqua" w:eastAsia="Calibri" w:hAnsi="Book Antiqua"/>
        </w:rPr>
        <w:t xml:space="preserve">The </w:t>
      </w:r>
      <w:proofErr w:type="spellStart"/>
      <w:r w:rsidR="00A675AB" w:rsidRPr="00A35CEC">
        <w:rPr>
          <w:rFonts w:ascii="Book Antiqua" w:eastAsia="Calibri" w:hAnsi="Book Antiqua"/>
        </w:rPr>
        <w:t>HCV</w:t>
      </w:r>
      <w:proofErr w:type="spellEnd"/>
      <w:r w:rsidR="00A675AB" w:rsidRPr="00A35CEC">
        <w:rPr>
          <w:rFonts w:ascii="Book Antiqua" w:eastAsia="Calibri" w:hAnsi="Book Antiqua"/>
        </w:rPr>
        <w:t xml:space="preserve"> elimination strategy is feasible and cost-saving </w:t>
      </w:r>
      <w:r w:rsidR="003A42DC" w:rsidRPr="00A35CEC">
        <w:rPr>
          <w:rFonts w:ascii="Book Antiqua" w:eastAsia="Calibri" w:hAnsi="Book Antiqua"/>
        </w:rPr>
        <w:t xml:space="preserve">despite </w:t>
      </w:r>
      <w:r w:rsidR="00A675AB" w:rsidRPr="00A35CEC">
        <w:rPr>
          <w:rFonts w:ascii="Book Antiqua" w:eastAsia="Calibri" w:hAnsi="Book Antiqua"/>
        </w:rPr>
        <w:t xml:space="preserve">the uncertainty of the future cost of </w:t>
      </w:r>
      <w:proofErr w:type="spellStart"/>
      <w:r w:rsidR="00A675AB" w:rsidRPr="00A35CEC">
        <w:rPr>
          <w:rFonts w:ascii="Book Antiqua" w:eastAsia="Calibri" w:hAnsi="Book Antiqua"/>
        </w:rPr>
        <w:t>DAAs</w:t>
      </w:r>
      <w:proofErr w:type="spellEnd"/>
      <w:r w:rsidR="00A675AB" w:rsidRPr="00A35CEC">
        <w:rPr>
          <w:rFonts w:ascii="Book Antiqua" w:eastAsia="Calibri" w:hAnsi="Book Antiqua"/>
        </w:rPr>
        <w:t xml:space="preserve"> in Greece.</w:t>
      </w:r>
    </w:p>
    <w:p w14:paraId="73898415" w14:textId="77777777" w:rsidR="006E16A3" w:rsidRPr="00A35CEC" w:rsidRDefault="006E16A3">
      <w:pPr>
        <w:adjustRightInd w:val="0"/>
        <w:snapToGrid w:val="0"/>
        <w:spacing w:line="360" w:lineRule="auto"/>
        <w:jc w:val="both"/>
        <w:rPr>
          <w:rFonts w:ascii="Book Antiqua" w:hAnsi="Book Antiqua"/>
          <w:b/>
        </w:rPr>
      </w:pPr>
    </w:p>
    <w:p w14:paraId="7D9D0E70" w14:textId="77777777" w:rsidR="002F77A1" w:rsidRPr="00A35CEC" w:rsidRDefault="002837FE">
      <w:pPr>
        <w:adjustRightInd w:val="0"/>
        <w:snapToGrid w:val="0"/>
        <w:spacing w:line="360" w:lineRule="auto"/>
        <w:jc w:val="both"/>
        <w:rPr>
          <w:rFonts w:ascii="Book Antiqua" w:hAnsi="Book Antiqua"/>
          <w:bCs/>
        </w:rPr>
      </w:pPr>
      <w:r w:rsidRPr="00A35CEC">
        <w:rPr>
          <w:rFonts w:ascii="Book Antiqua" w:hAnsi="Book Antiqua"/>
          <w:b/>
          <w:bCs/>
        </w:rPr>
        <w:t xml:space="preserve">Key words: </w:t>
      </w:r>
      <w:r w:rsidR="006968E3" w:rsidRPr="00A35CEC">
        <w:rPr>
          <w:rFonts w:ascii="Book Antiqua" w:hAnsi="Book Antiqua"/>
          <w:bCs/>
        </w:rPr>
        <w:t xml:space="preserve">Hepatitis C </w:t>
      </w:r>
      <w:r w:rsidR="00B7369C" w:rsidRPr="00A35CEC">
        <w:rPr>
          <w:rFonts w:ascii="Book Antiqua" w:hAnsi="Book Antiqua"/>
          <w:bCs/>
        </w:rPr>
        <w:t>elimination; Cost effectiveness;</w:t>
      </w:r>
      <w:r w:rsidR="00C1598E" w:rsidRPr="00A35CEC">
        <w:rPr>
          <w:rFonts w:ascii="Book Antiqua" w:hAnsi="Book Antiqua"/>
          <w:bCs/>
        </w:rPr>
        <w:t xml:space="preserve"> Cost of elimination</w:t>
      </w:r>
      <w:r w:rsidR="00B7369C" w:rsidRPr="00A35CEC">
        <w:rPr>
          <w:rFonts w:ascii="Book Antiqua" w:hAnsi="Book Antiqua"/>
          <w:bCs/>
        </w:rPr>
        <w:t>;</w:t>
      </w:r>
      <w:r w:rsidR="00C1598E" w:rsidRPr="00A35CEC">
        <w:rPr>
          <w:rFonts w:ascii="Book Antiqua" w:hAnsi="Book Antiqua"/>
          <w:bCs/>
        </w:rPr>
        <w:t xml:space="preserve"> </w:t>
      </w:r>
      <w:r w:rsidR="00C1598E" w:rsidRPr="00A35CEC">
        <w:rPr>
          <w:rFonts w:ascii="Book Antiqua" w:eastAsia="Calibri" w:hAnsi="Book Antiqua"/>
        </w:rPr>
        <w:t>Indirect costs</w:t>
      </w:r>
      <w:r w:rsidR="00B7369C" w:rsidRPr="00A35CEC">
        <w:rPr>
          <w:rFonts w:ascii="Book Antiqua" w:hAnsi="Book Antiqua"/>
          <w:bCs/>
        </w:rPr>
        <w:t>;</w:t>
      </w:r>
      <w:r w:rsidR="00C1598E" w:rsidRPr="00A35CEC">
        <w:rPr>
          <w:rFonts w:ascii="Book Antiqua" w:hAnsi="Book Antiqua"/>
          <w:bCs/>
        </w:rPr>
        <w:t xml:space="preserve"> </w:t>
      </w:r>
      <w:r w:rsidR="00B7369C" w:rsidRPr="00A35CEC">
        <w:rPr>
          <w:rFonts w:ascii="Book Antiqua" w:hAnsi="Book Antiqua"/>
          <w:bCs/>
        </w:rPr>
        <w:t>Projections;</w:t>
      </w:r>
      <w:r w:rsidR="00C1598E" w:rsidRPr="00A35CEC">
        <w:rPr>
          <w:rFonts w:ascii="Book Antiqua" w:hAnsi="Book Antiqua"/>
          <w:bCs/>
        </w:rPr>
        <w:t xml:space="preserve"> </w:t>
      </w:r>
      <w:r w:rsidR="00B7369C" w:rsidRPr="00A35CEC">
        <w:rPr>
          <w:rFonts w:ascii="Book Antiqua" w:eastAsia="Calibri" w:hAnsi="Book Antiqua"/>
        </w:rPr>
        <w:t xml:space="preserve">Mathematical </w:t>
      </w:r>
      <w:proofErr w:type="spellStart"/>
      <w:r w:rsidR="00B7369C" w:rsidRPr="00A35CEC">
        <w:rPr>
          <w:rFonts w:ascii="Book Antiqua" w:eastAsia="Calibri" w:hAnsi="Book Antiqua"/>
        </w:rPr>
        <w:t>modelling</w:t>
      </w:r>
      <w:proofErr w:type="spellEnd"/>
      <w:r w:rsidR="00B7369C" w:rsidRPr="00A35CEC">
        <w:rPr>
          <w:rFonts w:ascii="Book Antiqua" w:eastAsia="Calibri" w:hAnsi="Book Antiqua"/>
        </w:rPr>
        <w:t>;</w:t>
      </w:r>
      <w:r w:rsidR="00C1598E" w:rsidRPr="00A35CEC">
        <w:rPr>
          <w:rFonts w:ascii="Book Antiqua" w:eastAsia="Calibri" w:hAnsi="Book Antiqua"/>
        </w:rPr>
        <w:t xml:space="preserve"> Awareness and screening programs</w:t>
      </w:r>
      <w:r w:rsidR="00B7369C" w:rsidRPr="00A35CEC">
        <w:rPr>
          <w:rFonts w:ascii="Book Antiqua" w:eastAsia="Calibri" w:hAnsi="Book Antiqua"/>
        </w:rPr>
        <w:t>;</w:t>
      </w:r>
      <w:r w:rsidR="00C1598E" w:rsidRPr="00A35CEC">
        <w:rPr>
          <w:rFonts w:ascii="Book Antiqua" w:eastAsia="Calibri" w:hAnsi="Book Antiqua"/>
        </w:rPr>
        <w:t xml:space="preserve"> </w:t>
      </w:r>
      <w:r w:rsidR="006968E3" w:rsidRPr="00A35CEC">
        <w:rPr>
          <w:rFonts w:ascii="Book Antiqua" w:eastAsia="Calibri" w:hAnsi="Book Antiqua"/>
        </w:rPr>
        <w:t>World Health Organization</w:t>
      </w:r>
      <w:r w:rsidR="006968E3" w:rsidRPr="00A35CEC" w:rsidDel="006968E3">
        <w:rPr>
          <w:rFonts w:ascii="Book Antiqua" w:eastAsia="Calibri" w:hAnsi="Book Antiqua"/>
        </w:rPr>
        <w:t xml:space="preserve"> </w:t>
      </w:r>
      <w:r w:rsidR="00C1598E" w:rsidRPr="00A35CEC">
        <w:rPr>
          <w:rFonts w:ascii="Book Antiqua" w:eastAsia="Calibri" w:hAnsi="Book Antiqua"/>
        </w:rPr>
        <w:t>targets</w:t>
      </w:r>
    </w:p>
    <w:p w14:paraId="0D3FE5C9" w14:textId="77777777" w:rsidR="00526740" w:rsidRPr="00A35CEC" w:rsidRDefault="00526740">
      <w:pPr>
        <w:adjustRightInd w:val="0"/>
        <w:snapToGrid w:val="0"/>
        <w:spacing w:line="360" w:lineRule="auto"/>
        <w:jc w:val="both"/>
        <w:rPr>
          <w:rFonts w:ascii="Book Antiqua" w:hAnsi="Book Antiqua"/>
          <w:b/>
        </w:rPr>
      </w:pPr>
    </w:p>
    <w:p w14:paraId="675F16AD" w14:textId="77777777" w:rsidR="00B7369C" w:rsidRPr="00A35CEC" w:rsidRDefault="00B7369C">
      <w:pPr>
        <w:adjustRightInd w:val="0"/>
        <w:snapToGrid w:val="0"/>
        <w:spacing w:line="360" w:lineRule="auto"/>
        <w:jc w:val="both"/>
        <w:rPr>
          <w:rFonts w:ascii="Book Antiqua" w:hAnsi="Book Antiqua"/>
        </w:rPr>
      </w:pPr>
      <w:bookmarkStart w:id="69" w:name="OLE_LINK43"/>
      <w:bookmarkStart w:id="70" w:name="OLE_LINK44"/>
      <w:proofErr w:type="gramStart"/>
      <w:r w:rsidRPr="00A35CEC">
        <w:rPr>
          <w:rFonts w:ascii="Book Antiqua" w:hAnsi="Book Antiqua"/>
          <w:b/>
        </w:rPr>
        <w:t>© The Author(s) 2019.</w:t>
      </w:r>
      <w:proofErr w:type="gramEnd"/>
      <w:r w:rsidRPr="00A35CEC">
        <w:rPr>
          <w:rFonts w:ascii="Book Antiqua" w:hAnsi="Book Antiqua"/>
          <w:b/>
        </w:rPr>
        <w:t xml:space="preserve"> </w:t>
      </w:r>
      <w:proofErr w:type="gramStart"/>
      <w:r w:rsidRPr="00A35CEC">
        <w:rPr>
          <w:rFonts w:ascii="Book Antiqua" w:hAnsi="Book Antiqua"/>
        </w:rPr>
        <w:t xml:space="preserve">Published by </w:t>
      </w:r>
      <w:proofErr w:type="spellStart"/>
      <w:r w:rsidRPr="00A35CEC">
        <w:rPr>
          <w:rFonts w:ascii="Book Antiqua" w:hAnsi="Book Antiqua"/>
        </w:rPr>
        <w:t>Baishideng</w:t>
      </w:r>
      <w:proofErr w:type="spellEnd"/>
      <w:r w:rsidRPr="00A35CEC">
        <w:rPr>
          <w:rFonts w:ascii="Book Antiqua" w:hAnsi="Book Antiqua"/>
        </w:rPr>
        <w:t xml:space="preserve"> Publishing Group Inc.</w:t>
      </w:r>
      <w:proofErr w:type="gramEnd"/>
      <w:r w:rsidRPr="00A35CEC">
        <w:rPr>
          <w:rFonts w:ascii="Book Antiqua" w:hAnsi="Book Antiqua"/>
        </w:rPr>
        <w:t xml:space="preserve"> All rights reserved.</w:t>
      </w:r>
      <w:bookmarkEnd w:id="69"/>
      <w:bookmarkEnd w:id="70"/>
    </w:p>
    <w:p w14:paraId="45F5CFB3" w14:textId="77777777" w:rsidR="00B7369C" w:rsidRPr="00A35CEC" w:rsidRDefault="00B7369C">
      <w:pPr>
        <w:adjustRightInd w:val="0"/>
        <w:snapToGrid w:val="0"/>
        <w:spacing w:line="360" w:lineRule="auto"/>
        <w:jc w:val="both"/>
        <w:rPr>
          <w:rFonts w:ascii="Book Antiqua" w:hAnsi="Book Antiqua"/>
          <w:b/>
        </w:rPr>
      </w:pPr>
    </w:p>
    <w:p w14:paraId="022DF29A" w14:textId="6D185D77" w:rsidR="003D4180" w:rsidRPr="00A35CEC" w:rsidRDefault="002837FE">
      <w:pPr>
        <w:adjustRightInd w:val="0"/>
        <w:snapToGrid w:val="0"/>
        <w:spacing w:line="360" w:lineRule="auto"/>
        <w:jc w:val="both"/>
        <w:rPr>
          <w:rFonts w:ascii="Book Antiqua" w:eastAsia="Calibri" w:hAnsi="Book Antiqua"/>
          <w:b/>
          <w:color w:val="000000"/>
        </w:rPr>
      </w:pPr>
      <w:r w:rsidRPr="00A35CEC">
        <w:rPr>
          <w:rFonts w:ascii="Book Antiqua" w:hAnsi="Book Antiqua"/>
          <w:b/>
        </w:rPr>
        <w:t>Cor</w:t>
      </w:r>
      <w:r w:rsidR="00F031F7" w:rsidRPr="00A35CEC">
        <w:rPr>
          <w:rFonts w:ascii="Book Antiqua" w:hAnsi="Book Antiqua"/>
          <w:b/>
        </w:rPr>
        <w:t>e</w:t>
      </w:r>
      <w:r w:rsidRPr="00A35CEC">
        <w:rPr>
          <w:rFonts w:ascii="Book Antiqua" w:hAnsi="Book Antiqua"/>
          <w:b/>
        </w:rPr>
        <w:t xml:space="preserve"> tip</w:t>
      </w:r>
      <w:r w:rsidR="002F77A1" w:rsidRPr="00A35CEC">
        <w:rPr>
          <w:rFonts w:ascii="Book Antiqua" w:hAnsi="Book Antiqua"/>
          <w:b/>
        </w:rPr>
        <w:t>:</w:t>
      </w:r>
      <w:r w:rsidR="003D4180" w:rsidRPr="00A35CEC">
        <w:rPr>
          <w:rFonts w:ascii="Book Antiqua" w:hAnsi="Book Antiqua"/>
          <w:b/>
        </w:rPr>
        <w:t xml:space="preserve"> </w:t>
      </w:r>
      <w:r w:rsidR="003D4180" w:rsidRPr="00A35CEC">
        <w:rPr>
          <w:rFonts w:ascii="Book Antiqua" w:hAnsi="Book Antiqua"/>
        </w:rPr>
        <w:t xml:space="preserve">Elimination of </w:t>
      </w:r>
      <w:r w:rsidR="00D809A1" w:rsidRPr="00A35CEC">
        <w:rPr>
          <w:rFonts w:ascii="Book Antiqua" w:hAnsi="Book Antiqua"/>
          <w:bCs/>
        </w:rPr>
        <w:t>h</w:t>
      </w:r>
      <w:r w:rsidR="006968E3" w:rsidRPr="00A35CEC">
        <w:rPr>
          <w:rFonts w:ascii="Book Antiqua" w:hAnsi="Book Antiqua"/>
          <w:bCs/>
        </w:rPr>
        <w:t xml:space="preserve">epatitis C </w:t>
      </w:r>
      <w:r w:rsidR="00D809A1" w:rsidRPr="00A35CEC">
        <w:rPr>
          <w:rFonts w:ascii="Book Antiqua" w:hAnsi="Book Antiqua"/>
          <w:bCs/>
        </w:rPr>
        <w:t xml:space="preserve">virus </w:t>
      </w:r>
      <w:r w:rsidR="006968E3" w:rsidRPr="00A35CEC">
        <w:rPr>
          <w:rFonts w:ascii="Book Antiqua" w:hAnsi="Book Antiqua"/>
          <w:bCs/>
        </w:rPr>
        <w:t>(</w:t>
      </w:r>
      <w:r w:rsidR="0099395B" w:rsidRPr="00A35CEC">
        <w:rPr>
          <w:rFonts w:ascii="Book Antiqua" w:hAnsi="Book Antiqua"/>
          <w:bCs/>
        </w:rPr>
        <w:t xml:space="preserve">commonly known as </w:t>
      </w:r>
      <w:proofErr w:type="spellStart"/>
      <w:r w:rsidR="003D4180" w:rsidRPr="00A35CEC">
        <w:rPr>
          <w:rFonts w:ascii="Book Antiqua" w:hAnsi="Book Antiqua"/>
          <w:color w:val="000000"/>
        </w:rPr>
        <w:t>HCV</w:t>
      </w:r>
      <w:proofErr w:type="spellEnd"/>
      <w:r w:rsidR="006968E3" w:rsidRPr="00A35CEC">
        <w:rPr>
          <w:rFonts w:ascii="Book Antiqua" w:hAnsi="Book Antiqua"/>
          <w:color w:val="000000"/>
        </w:rPr>
        <w:t>)</w:t>
      </w:r>
      <w:r w:rsidR="003D4180" w:rsidRPr="00A35CEC">
        <w:rPr>
          <w:rFonts w:ascii="Book Antiqua" w:hAnsi="Book Antiqua"/>
          <w:color w:val="000000"/>
        </w:rPr>
        <w:t xml:space="preserve"> cannot be achieved in Greece without the implementation of large awareness and screening programs, as treatment coverage will be suboptimal. To achieve the elimination goals</w:t>
      </w:r>
      <w:r w:rsidR="008A4F3E" w:rsidRPr="00A35CEC">
        <w:rPr>
          <w:rFonts w:ascii="Book Antiqua" w:hAnsi="Book Antiqua"/>
          <w:color w:val="000000"/>
        </w:rPr>
        <w:t>,</w:t>
      </w:r>
      <w:r w:rsidR="00B7369C" w:rsidRPr="00A35CEC">
        <w:rPr>
          <w:rFonts w:ascii="Book Antiqua" w:hAnsi="Book Antiqua"/>
          <w:color w:val="000000"/>
        </w:rPr>
        <w:t xml:space="preserve"> 90</w:t>
      </w:r>
      <w:r w:rsidR="003D4180" w:rsidRPr="00A35CEC">
        <w:rPr>
          <w:rFonts w:ascii="Book Antiqua" w:hAnsi="Book Antiqua"/>
          <w:color w:val="000000"/>
        </w:rPr>
        <w:t xml:space="preserve">000 patients need to be treated </w:t>
      </w:r>
      <w:r w:rsidR="000E2D86" w:rsidRPr="00A35CEC">
        <w:rPr>
          <w:rFonts w:ascii="Book Antiqua" w:hAnsi="Book Antiqua"/>
          <w:color w:val="000000"/>
        </w:rPr>
        <w:t xml:space="preserve">by </w:t>
      </w:r>
      <w:r w:rsidR="003D4180" w:rsidRPr="00A35CEC">
        <w:rPr>
          <w:rFonts w:ascii="Book Antiqua" w:hAnsi="Book Antiqua"/>
          <w:color w:val="000000"/>
        </w:rPr>
        <w:t>2030. The overall cumulative cost of elimination</w:t>
      </w:r>
      <w:r w:rsidR="00EF00EF" w:rsidRPr="00A35CEC">
        <w:rPr>
          <w:rFonts w:ascii="Book Antiqua" w:hAnsi="Book Antiqua"/>
          <w:color w:val="000000"/>
        </w:rPr>
        <w:t xml:space="preserve"> </w:t>
      </w:r>
      <w:r w:rsidR="003D4180" w:rsidRPr="00A35CEC">
        <w:rPr>
          <w:rFonts w:ascii="Book Antiqua" w:hAnsi="Book Antiqua"/>
          <w:color w:val="000000"/>
        </w:rPr>
        <w:t xml:space="preserve">would range </w:t>
      </w:r>
      <w:r w:rsidR="008A4F3E" w:rsidRPr="00A35CEC">
        <w:rPr>
          <w:rFonts w:ascii="Book Antiqua" w:hAnsi="Book Antiqua"/>
          <w:color w:val="000000"/>
        </w:rPr>
        <w:t>from</w:t>
      </w:r>
      <w:r w:rsidR="003D4180" w:rsidRPr="00A35CEC">
        <w:rPr>
          <w:rFonts w:ascii="Book Antiqua" w:hAnsi="Book Antiqua"/>
          <w:color w:val="000000"/>
        </w:rPr>
        <w:t xml:space="preserve"> 3.2-3.4 billion euros</w:t>
      </w:r>
      <w:r w:rsidR="008A4F3E" w:rsidRPr="00A35CEC">
        <w:rPr>
          <w:rFonts w:ascii="Book Antiqua" w:hAnsi="Book Antiqua"/>
          <w:color w:val="000000"/>
        </w:rPr>
        <w:t xml:space="preserve"> by 2030</w:t>
      </w:r>
      <w:r w:rsidR="003D4180" w:rsidRPr="00A35CEC">
        <w:rPr>
          <w:rFonts w:ascii="Book Antiqua" w:hAnsi="Book Antiqua"/>
          <w:color w:val="000000"/>
        </w:rPr>
        <w:t xml:space="preserve">. </w:t>
      </w:r>
      <w:r w:rsidR="00A80CAC" w:rsidRPr="00A35CEC">
        <w:rPr>
          <w:rFonts w:ascii="Book Antiqua" w:hAnsi="Book Antiqua"/>
          <w:color w:val="000000"/>
        </w:rPr>
        <w:t xml:space="preserve">The </w:t>
      </w:r>
      <w:proofErr w:type="spellStart"/>
      <w:r w:rsidR="003D4180" w:rsidRPr="00A35CEC">
        <w:rPr>
          <w:rFonts w:ascii="Book Antiqua" w:hAnsi="Book Antiqua"/>
          <w:color w:val="000000"/>
        </w:rPr>
        <w:t>HCV</w:t>
      </w:r>
      <w:proofErr w:type="spellEnd"/>
      <w:r w:rsidR="003D4180" w:rsidRPr="00A35CEC">
        <w:rPr>
          <w:rFonts w:ascii="Book Antiqua" w:hAnsi="Book Antiqua"/>
          <w:color w:val="000000"/>
        </w:rPr>
        <w:t xml:space="preserve"> elimination strategy in Greece </w:t>
      </w:r>
      <w:r w:rsidR="003D4180" w:rsidRPr="00A35CEC">
        <w:rPr>
          <w:rFonts w:ascii="Book Antiqua" w:eastAsia="Calibri" w:hAnsi="Book Antiqua"/>
          <w:color w:val="000000"/>
        </w:rPr>
        <w:t>is feasible and cost-saving despite the uncertainty of the future co</w:t>
      </w:r>
      <w:r w:rsidR="00B7369C" w:rsidRPr="00A35CEC">
        <w:rPr>
          <w:rFonts w:ascii="Book Antiqua" w:eastAsia="Calibri" w:hAnsi="Book Antiqua"/>
          <w:color w:val="000000"/>
        </w:rPr>
        <w:t xml:space="preserve">st of the </w:t>
      </w:r>
      <w:r w:rsidR="00B7369C" w:rsidRPr="00A35CEC">
        <w:rPr>
          <w:rFonts w:ascii="Book Antiqua" w:hAnsi="Book Antiqua" w:cs="Arial"/>
          <w:color w:val="000000"/>
        </w:rPr>
        <w:t>direct-acting antiviral</w:t>
      </w:r>
      <w:r w:rsidR="003D4180" w:rsidRPr="00A35CEC">
        <w:rPr>
          <w:rFonts w:ascii="Book Antiqua" w:eastAsia="Calibri" w:hAnsi="Book Antiqua"/>
          <w:color w:val="000000"/>
        </w:rPr>
        <w:t>s.</w:t>
      </w:r>
    </w:p>
    <w:p w14:paraId="37C0B8FD" w14:textId="77777777" w:rsidR="003D4180" w:rsidRPr="00A35CEC" w:rsidRDefault="003D4180">
      <w:pPr>
        <w:adjustRightInd w:val="0"/>
        <w:snapToGrid w:val="0"/>
        <w:spacing w:line="360" w:lineRule="auto"/>
        <w:jc w:val="both"/>
        <w:rPr>
          <w:rFonts w:ascii="Book Antiqua" w:hAnsi="Book Antiqua"/>
          <w:b/>
          <w:color w:val="000000"/>
        </w:rPr>
      </w:pPr>
    </w:p>
    <w:p w14:paraId="539639BD" w14:textId="77777777" w:rsidR="001C18C3" w:rsidRDefault="001C18C3" w:rsidP="001C18C3">
      <w:pPr>
        <w:adjustRightInd w:val="0"/>
        <w:snapToGrid w:val="0"/>
        <w:spacing w:line="360" w:lineRule="auto"/>
        <w:outlineLvl w:val="0"/>
        <w:rPr>
          <w:rFonts w:ascii="Book Antiqua" w:eastAsia="宋体" w:hAnsi="Book Antiqua" w:hint="eastAsia"/>
          <w:color w:val="000000"/>
        </w:rPr>
      </w:pPr>
      <w:bookmarkStart w:id="71" w:name="OLE_LINK95"/>
      <w:bookmarkStart w:id="72" w:name="OLE_LINK53"/>
      <w:bookmarkStart w:id="73" w:name="OLE_LINK47"/>
      <w:bookmarkStart w:id="74" w:name="OLE_LINK48"/>
      <w:bookmarkStart w:id="75" w:name="OLE_LINK289"/>
      <w:bookmarkStart w:id="76" w:name="OLE_LINK494"/>
      <w:r w:rsidRPr="001C18C3">
        <w:rPr>
          <w:rFonts w:ascii="Book Antiqua" w:hAnsi="Book Antiqua" w:cs="Helvetica"/>
          <w:b/>
        </w:rPr>
        <w:t>Citation:</w:t>
      </w:r>
      <w:r>
        <w:rPr>
          <w:rFonts w:ascii="Book Antiqua" w:eastAsia="宋体" w:hAnsi="Book Antiqua" w:cs="Helvetica" w:hint="eastAsia"/>
        </w:rPr>
        <w:t xml:space="preserve"> </w:t>
      </w:r>
      <w:proofErr w:type="spellStart"/>
      <w:r w:rsidRPr="0005651C">
        <w:rPr>
          <w:rFonts w:ascii="Book Antiqua" w:hAnsi="Book Antiqua"/>
          <w:color w:val="000000"/>
        </w:rPr>
        <w:t>Gountas</w:t>
      </w:r>
      <w:proofErr w:type="spellEnd"/>
      <w:r w:rsidRPr="0005651C">
        <w:rPr>
          <w:rFonts w:ascii="Book Antiqua" w:hAnsi="Book Antiqua"/>
          <w:color w:val="000000"/>
        </w:rPr>
        <w:t xml:space="preserve"> I, </w:t>
      </w:r>
      <w:proofErr w:type="spellStart"/>
      <w:r w:rsidRPr="0005651C">
        <w:rPr>
          <w:rFonts w:ascii="Book Antiqua" w:hAnsi="Book Antiqua"/>
          <w:color w:val="000000"/>
        </w:rPr>
        <w:t>Sypsa</w:t>
      </w:r>
      <w:proofErr w:type="spellEnd"/>
      <w:r w:rsidRPr="0005651C">
        <w:rPr>
          <w:rFonts w:ascii="Book Antiqua" w:hAnsi="Book Antiqua"/>
          <w:color w:val="000000"/>
        </w:rPr>
        <w:t xml:space="preserve"> V, </w:t>
      </w:r>
      <w:proofErr w:type="spellStart"/>
      <w:r w:rsidRPr="0005651C">
        <w:rPr>
          <w:rFonts w:ascii="Book Antiqua" w:hAnsi="Book Antiqua"/>
          <w:color w:val="000000"/>
        </w:rPr>
        <w:t>Papatheodoridis</w:t>
      </w:r>
      <w:proofErr w:type="spellEnd"/>
      <w:r w:rsidRPr="0005651C">
        <w:rPr>
          <w:rFonts w:ascii="Book Antiqua" w:hAnsi="Book Antiqua"/>
          <w:color w:val="000000"/>
        </w:rPr>
        <w:t xml:space="preserve"> G, </w:t>
      </w:r>
      <w:proofErr w:type="spellStart"/>
      <w:r w:rsidRPr="0005651C">
        <w:rPr>
          <w:rFonts w:ascii="Book Antiqua" w:hAnsi="Book Antiqua"/>
          <w:color w:val="000000"/>
        </w:rPr>
        <w:t>Souliotis</w:t>
      </w:r>
      <w:proofErr w:type="spellEnd"/>
      <w:r w:rsidRPr="0005651C">
        <w:rPr>
          <w:rFonts w:ascii="Book Antiqua" w:hAnsi="Book Antiqua"/>
          <w:color w:val="000000"/>
        </w:rPr>
        <w:t xml:space="preserve"> K, </w:t>
      </w:r>
      <w:proofErr w:type="spellStart"/>
      <w:r w:rsidRPr="0005651C">
        <w:rPr>
          <w:rFonts w:ascii="Book Antiqua" w:hAnsi="Book Antiqua"/>
          <w:color w:val="000000"/>
        </w:rPr>
        <w:t>Athanasakis</w:t>
      </w:r>
      <w:proofErr w:type="spellEnd"/>
      <w:r w:rsidRPr="0005651C">
        <w:rPr>
          <w:rFonts w:ascii="Book Antiqua" w:hAnsi="Book Antiqua"/>
          <w:color w:val="000000"/>
        </w:rPr>
        <w:t xml:space="preserve"> K, </w:t>
      </w:r>
      <w:proofErr w:type="spellStart"/>
      <w:r w:rsidRPr="0005651C">
        <w:rPr>
          <w:rFonts w:ascii="Book Antiqua" w:hAnsi="Book Antiqua"/>
          <w:color w:val="000000"/>
        </w:rPr>
        <w:t>Razavi</w:t>
      </w:r>
      <w:proofErr w:type="spellEnd"/>
      <w:r w:rsidRPr="0005651C">
        <w:rPr>
          <w:rFonts w:ascii="Book Antiqua" w:hAnsi="Book Antiqua"/>
          <w:color w:val="000000"/>
        </w:rPr>
        <w:t xml:space="preserve"> H, </w:t>
      </w:r>
      <w:proofErr w:type="spellStart"/>
      <w:r w:rsidRPr="0005651C">
        <w:rPr>
          <w:rFonts w:ascii="Book Antiqua" w:hAnsi="Book Antiqua"/>
          <w:color w:val="000000"/>
        </w:rPr>
        <w:t>Hatzakis</w:t>
      </w:r>
      <w:proofErr w:type="spellEnd"/>
      <w:r w:rsidRPr="0005651C">
        <w:rPr>
          <w:rFonts w:ascii="Book Antiqua" w:hAnsi="Book Antiqua"/>
          <w:color w:val="000000"/>
        </w:rPr>
        <w:t xml:space="preserve"> A. </w:t>
      </w:r>
      <w:bookmarkStart w:id="77" w:name="OLE_LINK108"/>
      <w:bookmarkStart w:id="78" w:name="OLE_LINK109"/>
      <w:r w:rsidRPr="0005651C">
        <w:rPr>
          <w:rFonts w:ascii="Book Antiqua" w:hAnsi="Book Antiqua"/>
          <w:color w:val="000000"/>
        </w:rPr>
        <w:t>Economic evaluation of the hepatitis C elimination strategy in Greece in the era of affordable direct-acting antivirals.</w:t>
      </w:r>
      <w:bookmarkEnd w:id="71"/>
      <w:r w:rsidRPr="0005651C">
        <w:rPr>
          <w:rFonts w:ascii="Book Antiqua" w:hAnsi="Book Antiqua"/>
          <w:color w:val="000000"/>
        </w:rPr>
        <w:t xml:space="preserve"> </w:t>
      </w:r>
      <w:bookmarkEnd w:id="72"/>
      <w:bookmarkEnd w:id="73"/>
      <w:bookmarkEnd w:id="74"/>
      <w:bookmarkEnd w:id="75"/>
      <w:bookmarkEnd w:id="76"/>
      <w:bookmarkEnd w:id="77"/>
      <w:bookmarkEnd w:id="78"/>
      <w:r w:rsidRPr="0005651C">
        <w:rPr>
          <w:rFonts w:ascii="Book Antiqua" w:hAnsi="Book Antiqua"/>
          <w:i/>
          <w:color w:val="000000"/>
        </w:rPr>
        <w:t xml:space="preserve">World J </w:t>
      </w:r>
      <w:proofErr w:type="spellStart"/>
      <w:r w:rsidRPr="0005651C">
        <w:rPr>
          <w:rFonts w:ascii="Book Antiqua" w:hAnsi="Book Antiqua"/>
          <w:i/>
          <w:color w:val="000000"/>
        </w:rPr>
        <w:t>Gastroenterol</w:t>
      </w:r>
      <w:proofErr w:type="spellEnd"/>
      <w:r w:rsidRPr="0005651C">
        <w:rPr>
          <w:rFonts w:ascii="Book Antiqua" w:hAnsi="Book Antiqua"/>
          <w:color w:val="000000"/>
        </w:rPr>
        <w:t xml:space="preserve"> 2019; 25(11): 1327-1340  </w:t>
      </w:r>
    </w:p>
    <w:p w14:paraId="25E9BA12" w14:textId="77777777" w:rsidR="001C18C3" w:rsidRDefault="001C18C3" w:rsidP="001C18C3">
      <w:pPr>
        <w:adjustRightInd w:val="0"/>
        <w:snapToGrid w:val="0"/>
        <w:spacing w:line="360" w:lineRule="auto"/>
        <w:outlineLvl w:val="0"/>
        <w:rPr>
          <w:rFonts w:ascii="Book Antiqua" w:eastAsia="宋体" w:hAnsi="Book Antiqua" w:hint="eastAsia"/>
          <w:color w:val="000000"/>
        </w:rPr>
      </w:pPr>
      <w:r w:rsidRPr="001C18C3">
        <w:rPr>
          <w:rFonts w:ascii="Book Antiqua" w:hAnsi="Book Antiqua"/>
          <w:b/>
          <w:color w:val="000000"/>
        </w:rPr>
        <w:t>URL:</w:t>
      </w:r>
      <w:r w:rsidRPr="0005651C">
        <w:rPr>
          <w:rFonts w:ascii="Book Antiqua" w:hAnsi="Book Antiqua"/>
          <w:color w:val="000000"/>
        </w:rPr>
        <w:t xml:space="preserve"> https://www.wjgnet.com/1007-9327/full/v25/i11/1327.htm  </w:t>
      </w:r>
    </w:p>
    <w:p w14:paraId="0EC3DD0D" w14:textId="129407C1" w:rsidR="001C18C3" w:rsidRPr="0005651C" w:rsidRDefault="001C18C3" w:rsidP="001C18C3">
      <w:pPr>
        <w:adjustRightInd w:val="0"/>
        <w:snapToGrid w:val="0"/>
        <w:spacing w:line="360" w:lineRule="auto"/>
        <w:outlineLvl w:val="0"/>
        <w:rPr>
          <w:rFonts w:ascii="Book Antiqua" w:hAnsi="Book Antiqua"/>
        </w:rPr>
      </w:pPr>
      <w:proofErr w:type="spellStart"/>
      <w:r w:rsidRPr="001C18C3">
        <w:rPr>
          <w:rFonts w:ascii="Book Antiqua" w:hAnsi="Book Antiqua"/>
          <w:b/>
          <w:color w:val="000000"/>
        </w:rPr>
        <w:t>DOI</w:t>
      </w:r>
      <w:proofErr w:type="spellEnd"/>
      <w:r w:rsidRPr="001C18C3">
        <w:rPr>
          <w:rFonts w:ascii="Book Antiqua" w:hAnsi="Book Antiqua"/>
          <w:b/>
          <w:color w:val="000000"/>
        </w:rPr>
        <w:t>:</w:t>
      </w:r>
      <w:r w:rsidRPr="0005651C">
        <w:rPr>
          <w:rFonts w:ascii="Book Antiqua" w:hAnsi="Book Antiqua"/>
          <w:color w:val="000000"/>
        </w:rPr>
        <w:t xml:space="preserve"> https://dx.doi.org/10.3748/wjg.v25.i11.1327</w:t>
      </w:r>
    </w:p>
    <w:p w14:paraId="0B04018F" w14:textId="77777777" w:rsidR="001C18C3" w:rsidRDefault="001C18C3" w:rsidP="00FA7F1A">
      <w:pPr>
        <w:adjustRightInd w:val="0"/>
        <w:snapToGrid w:val="0"/>
        <w:spacing w:line="360" w:lineRule="auto"/>
        <w:jc w:val="both"/>
        <w:outlineLvl w:val="0"/>
        <w:rPr>
          <w:rFonts w:ascii="Book Antiqua" w:eastAsia="宋体" w:hAnsi="Book Antiqua" w:hint="eastAsia"/>
          <w:b/>
          <w:color w:val="000000"/>
        </w:rPr>
      </w:pPr>
    </w:p>
    <w:p w14:paraId="5C7874A1" w14:textId="77777777" w:rsidR="000C0693" w:rsidRPr="00A35CEC" w:rsidRDefault="00B7369C" w:rsidP="00FA7F1A">
      <w:pPr>
        <w:adjustRightInd w:val="0"/>
        <w:snapToGrid w:val="0"/>
        <w:spacing w:line="360" w:lineRule="auto"/>
        <w:jc w:val="both"/>
        <w:outlineLvl w:val="0"/>
        <w:rPr>
          <w:rFonts w:ascii="Book Antiqua" w:hAnsi="Book Antiqua" w:cs="Arial"/>
          <w:b/>
          <w:color w:val="000000"/>
        </w:rPr>
      </w:pPr>
      <w:r w:rsidRPr="00A35CEC">
        <w:rPr>
          <w:rFonts w:ascii="Book Antiqua" w:hAnsi="Book Antiqua"/>
          <w:b/>
          <w:color w:val="000000"/>
        </w:rPr>
        <w:br w:type="page"/>
      </w:r>
      <w:r w:rsidR="004F6D51" w:rsidRPr="00A35CEC">
        <w:rPr>
          <w:rFonts w:ascii="Book Antiqua" w:hAnsi="Book Antiqua" w:cs="Arial"/>
          <w:b/>
          <w:color w:val="000000"/>
        </w:rPr>
        <w:lastRenderedPageBreak/>
        <w:t>INTRODUCTION</w:t>
      </w:r>
    </w:p>
    <w:p w14:paraId="141F2F90" w14:textId="0D996EA7" w:rsidR="00A87AA9" w:rsidRPr="00A35CEC" w:rsidRDefault="000C0693" w:rsidP="00FA7F1A">
      <w:pPr>
        <w:autoSpaceDE w:val="0"/>
        <w:autoSpaceDN w:val="0"/>
        <w:adjustRightInd w:val="0"/>
        <w:snapToGrid w:val="0"/>
        <w:spacing w:line="360" w:lineRule="auto"/>
        <w:jc w:val="both"/>
        <w:rPr>
          <w:rFonts w:ascii="Book Antiqua" w:hAnsi="Book Antiqua" w:cs="Arial"/>
          <w:color w:val="000000"/>
        </w:rPr>
      </w:pPr>
      <w:r w:rsidRPr="00A35CEC">
        <w:rPr>
          <w:rFonts w:ascii="Book Antiqua" w:hAnsi="Book Antiqua" w:cs="Arial"/>
          <w:color w:val="000000"/>
        </w:rPr>
        <w:t xml:space="preserve">Hepatitis C </w:t>
      </w:r>
      <w:r w:rsidR="00D809A1" w:rsidRPr="00A35CEC">
        <w:rPr>
          <w:rFonts w:ascii="Book Antiqua" w:hAnsi="Book Antiqua" w:cs="Arial"/>
          <w:color w:val="000000"/>
        </w:rPr>
        <w:t xml:space="preserve">virus </w:t>
      </w:r>
      <w:r w:rsidRPr="00A35CEC">
        <w:rPr>
          <w:rFonts w:ascii="Book Antiqua" w:hAnsi="Book Antiqua" w:cs="Arial"/>
          <w:color w:val="000000"/>
        </w:rPr>
        <w:t>(</w:t>
      </w:r>
      <w:proofErr w:type="spellStart"/>
      <w:r w:rsidRPr="00A35CEC">
        <w:rPr>
          <w:rFonts w:ascii="Book Antiqua" w:hAnsi="Book Antiqua" w:cs="Arial"/>
          <w:color w:val="000000"/>
        </w:rPr>
        <w:t>HCV</w:t>
      </w:r>
      <w:proofErr w:type="spellEnd"/>
      <w:r w:rsidRPr="00A35CEC">
        <w:rPr>
          <w:rFonts w:ascii="Book Antiqua" w:hAnsi="Book Antiqua" w:cs="Arial"/>
          <w:color w:val="000000"/>
        </w:rPr>
        <w:t xml:space="preserve">) </w:t>
      </w:r>
      <w:r w:rsidR="00E844A1" w:rsidRPr="00A35CEC">
        <w:rPr>
          <w:rFonts w:ascii="Book Antiqua" w:hAnsi="Book Antiqua" w:cs="Arial"/>
          <w:color w:val="000000"/>
        </w:rPr>
        <w:t>infection</w:t>
      </w:r>
      <w:r w:rsidR="00836780" w:rsidRPr="00A35CEC">
        <w:rPr>
          <w:rFonts w:ascii="Book Antiqua" w:hAnsi="Book Antiqua" w:cs="Arial"/>
          <w:color w:val="000000"/>
        </w:rPr>
        <w:t xml:space="preserve"> i</w:t>
      </w:r>
      <w:r w:rsidR="00DA7BBB" w:rsidRPr="00A35CEC">
        <w:rPr>
          <w:rFonts w:ascii="Book Antiqua" w:hAnsi="Book Antiqua" w:cs="Arial"/>
          <w:color w:val="000000"/>
        </w:rPr>
        <w:t>s a major public health problem</w:t>
      </w:r>
      <w:r w:rsidR="00BF1253" w:rsidRPr="00A35CEC">
        <w:rPr>
          <w:rFonts w:ascii="Book Antiqua" w:hAnsi="Book Antiqua" w:cs="Arial"/>
          <w:color w:val="000000"/>
        </w:rPr>
        <w:t>;</w:t>
      </w:r>
      <w:r w:rsidR="00DA7BBB" w:rsidRPr="00A35CEC">
        <w:rPr>
          <w:rFonts w:ascii="Book Antiqua" w:hAnsi="Book Antiqua" w:cs="Arial"/>
          <w:color w:val="000000"/>
        </w:rPr>
        <w:t xml:space="preserve"> </w:t>
      </w:r>
      <w:r w:rsidR="00E844A1" w:rsidRPr="00A35CEC">
        <w:rPr>
          <w:rFonts w:ascii="Book Antiqua" w:hAnsi="Book Antiqua" w:cs="Arial"/>
          <w:color w:val="000000"/>
        </w:rPr>
        <w:t>it</w:t>
      </w:r>
      <w:r w:rsidRPr="00A35CEC">
        <w:rPr>
          <w:rFonts w:ascii="Book Antiqua" w:hAnsi="Book Antiqua" w:cs="Arial"/>
          <w:color w:val="000000"/>
        </w:rPr>
        <w:t xml:space="preserve"> affects </w:t>
      </w:r>
      <w:r w:rsidR="00E319ED" w:rsidRPr="00A35CEC">
        <w:rPr>
          <w:rFonts w:ascii="Book Antiqua" w:hAnsi="Book Antiqua" w:cs="Arial"/>
          <w:color w:val="000000"/>
        </w:rPr>
        <w:t>1</w:t>
      </w:r>
      <w:r w:rsidR="00836780" w:rsidRPr="00A35CEC">
        <w:rPr>
          <w:rFonts w:ascii="Book Antiqua" w:hAnsi="Book Antiqua" w:cs="Arial"/>
          <w:color w:val="000000"/>
        </w:rPr>
        <w:t>% of</w:t>
      </w:r>
      <w:r w:rsidR="00BF1253" w:rsidRPr="00A35CEC">
        <w:rPr>
          <w:rFonts w:ascii="Book Antiqua" w:hAnsi="Book Antiqua" w:cs="Arial"/>
          <w:color w:val="000000"/>
        </w:rPr>
        <w:t xml:space="preserve"> the</w:t>
      </w:r>
      <w:r w:rsidR="00836780" w:rsidRPr="00A35CEC">
        <w:rPr>
          <w:rFonts w:ascii="Book Antiqua" w:hAnsi="Book Antiqua" w:cs="Arial"/>
          <w:color w:val="000000"/>
        </w:rPr>
        <w:t xml:space="preserve"> world </w:t>
      </w:r>
      <w:proofErr w:type="gramStart"/>
      <w:r w:rsidR="00836780" w:rsidRPr="00A35CEC">
        <w:rPr>
          <w:rFonts w:ascii="Book Antiqua" w:hAnsi="Book Antiqua" w:cs="Arial"/>
          <w:color w:val="000000"/>
        </w:rPr>
        <w:t>population</w:t>
      </w:r>
      <w:r w:rsidR="00482E06" w:rsidRPr="00A35CEC">
        <w:rPr>
          <w:rFonts w:ascii="Book Antiqua" w:hAnsi="Book Antiqua" w:cs="Arial"/>
          <w:color w:val="000000"/>
          <w:vertAlign w:val="superscript"/>
        </w:rPr>
        <w:t>[</w:t>
      </w:r>
      <w:proofErr w:type="gramEnd"/>
      <w:r w:rsidR="00482E06" w:rsidRPr="00A35CEC">
        <w:rPr>
          <w:rFonts w:ascii="Book Antiqua" w:hAnsi="Book Antiqua" w:cs="Arial"/>
          <w:color w:val="000000"/>
          <w:vertAlign w:val="superscript"/>
        </w:rPr>
        <w:t>1]</w:t>
      </w:r>
      <w:r w:rsidR="00E844A1" w:rsidRPr="00A35CEC">
        <w:rPr>
          <w:rFonts w:ascii="Book Antiqua" w:hAnsi="Book Antiqua" w:cs="Arial"/>
          <w:color w:val="000000"/>
        </w:rPr>
        <w:t xml:space="preserve"> </w:t>
      </w:r>
      <w:r w:rsidR="00082A8B" w:rsidRPr="00A35CEC">
        <w:rPr>
          <w:rFonts w:ascii="Book Antiqua" w:hAnsi="Book Antiqua" w:cs="Arial"/>
          <w:color w:val="000000"/>
        </w:rPr>
        <w:t>and</w:t>
      </w:r>
      <w:r w:rsidR="00E844A1" w:rsidRPr="00A35CEC">
        <w:rPr>
          <w:rFonts w:ascii="Book Antiqua" w:hAnsi="Book Antiqua" w:cs="Arial"/>
          <w:color w:val="000000"/>
        </w:rPr>
        <w:t xml:space="preserve"> is</w:t>
      </w:r>
      <w:r w:rsidR="00082A8B" w:rsidRPr="00A35CEC">
        <w:rPr>
          <w:rFonts w:ascii="Book Antiqua" w:hAnsi="Book Antiqua" w:cs="Arial"/>
          <w:color w:val="000000"/>
        </w:rPr>
        <w:t xml:space="preserve"> one of the </w:t>
      </w:r>
      <w:r w:rsidR="00A03AE7" w:rsidRPr="00A35CEC">
        <w:rPr>
          <w:rFonts w:ascii="Book Antiqua" w:hAnsi="Book Antiqua" w:cs="Arial"/>
          <w:color w:val="000000"/>
        </w:rPr>
        <w:t>main</w:t>
      </w:r>
      <w:r w:rsidR="00082A8B" w:rsidRPr="00A35CEC">
        <w:rPr>
          <w:rFonts w:ascii="Book Antiqua" w:hAnsi="Book Antiqua" w:cs="Arial"/>
          <w:color w:val="000000"/>
        </w:rPr>
        <w:t xml:space="preserve"> causes of chronic liver disease-related death in the </w:t>
      </w:r>
      <w:r w:rsidRPr="00A35CEC">
        <w:rPr>
          <w:rFonts w:ascii="Book Antiqua" w:hAnsi="Book Antiqua" w:cs="Arial"/>
          <w:color w:val="000000"/>
        </w:rPr>
        <w:t>developed world</w:t>
      </w:r>
      <w:r w:rsidR="00B7369C" w:rsidRPr="00A35CEC">
        <w:rPr>
          <w:rFonts w:ascii="Book Antiqua" w:hAnsi="Book Antiqua" w:cs="Arial"/>
          <w:color w:val="000000"/>
          <w:vertAlign w:val="superscript"/>
        </w:rPr>
        <w:t>[1,</w:t>
      </w:r>
      <w:r w:rsidR="00482E06" w:rsidRPr="00A35CEC">
        <w:rPr>
          <w:rFonts w:ascii="Book Antiqua" w:hAnsi="Book Antiqua" w:cs="Arial"/>
          <w:color w:val="000000"/>
          <w:vertAlign w:val="superscript"/>
        </w:rPr>
        <w:t>2]</w:t>
      </w:r>
      <w:r w:rsidRPr="00A35CEC">
        <w:rPr>
          <w:rFonts w:ascii="Book Antiqua" w:hAnsi="Book Antiqua" w:cs="Arial"/>
          <w:color w:val="000000"/>
        </w:rPr>
        <w:t xml:space="preserve">. </w:t>
      </w:r>
      <w:bookmarkStart w:id="79" w:name="_Hlk535505880"/>
      <w:r w:rsidR="00A15F1A" w:rsidRPr="00A35CEC">
        <w:rPr>
          <w:rFonts w:ascii="Book Antiqua" w:hAnsi="Book Antiqua" w:cs="Calibri"/>
          <w:color w:val="000000"/>
        </w:rPr>
        <w:t xml:space="preserve">It </w:t>
      </w:r>
      <w:r w:rsidR="00BF1253" w:rsidRPr="00A35CEC">
        <w:rPr>
          <w:rFonts w:ascii="Book Antiqua" w:hAnsi="Book Antiqua" w:cs="Calibri"/>
          <w:color w:val="000000"/>
        </w:rPr>
        <w:t xml:space="preserve">has been </w:t>
      </w:r>
      <w:r w:rsidR="00A15F1A" w:rsidRPr="00A35CEC">
        <w:rPr>
          <w:rFonts w:ascii="Book Antiqua" w:hAnsi="Book Antiqua" w:cs="Calibri"/>
          <w:color w:val="000000"/>
        </w:rPr>
        <w:t>estimated that approximately 50</w:t>
      </w:r>
      <w:r w:rsidR="00616C7E" w:rsidRPr="00A35CEC">
        <w:rPr>
          <w:rFonts w:ascii="Book Antiqua" w:hAnsi="Book Antiqua" w:cs="Calibri"/>
          <w:color w:val="000000"/>
        </w:rPr>
        <w:t>%-</w:t>
      </w:r>
      <w:r w:rsidR="00A15F1A" w:rsidRPr="00A35CEC">
        <w:rPr>
          <w:rFonts w:ascii="Book Antiqua" w:hAnsi="Book Antiqua" w:cs="Calibri"/>
          <w:color w:val="000000"/>
        </w:rPr>
        <w:t>85</w:t>
      </w:r>
      <w:r w:rsidR="00616C7E" w:rsidRPr="00A35CEC">
        <w:rPr>
          <w:rFonts w:ascii="Book Antiqua" w:hAnsi="Book Antiqua" w:cs="Calibri"/>
          <w:color w:val="000000"/>
        </w:rPr>
        <w:t>%</w:t>
      </w:r>
      <w:r w:rsidR="00A15F1A" w:rsidRPr="00A35CEC">
        <w:rPr>
          <w:rFonts w:ascii="Book Antiqua" w:hAnsi="Book Antiqua" w:cs="Calibri"/>
          <w:color w:val="000000"/>
        </w:rPr>
        <w:t xml:space="preserve"> of </w:t>
      </w:r>
      <w:proofErr w:type="spellStart"/>
      <w:r w:rsidR="00BF1253" w:rsidRPr="00A35CEC">
        <w:rPr>
          <w:rFonts w:ascii="Book Antiqua" w:hAnsi="Book Antiqua" w:cs="Calibri"/>
          <w:color w:val="000000"/>
        </w:rPr>
        <w:t>HCV</w:t>
      </w:r>
      <w:proofErr w:type="spellEnd"/>
      <w:r w:rsidR="00BF1253" w:rsidRPr="00A35CEC">
        <w:rPr>
          <w:rFonts w:ascii="Book Antiqua" w:hAnsi="Book Antiqua" w:cs="Calibri"/>
          <w:color w:val="000000"/>
        </w:rPr>
        <w:t xml:space="preserve"> </w:t>
      </w:r>
      <w:r w:rsidR="00A15F1A" w:rsidRPr="00A35CEC">
        <w:rPr>
          <w:rFonts w:ascii="Book Antiqua" w:hAnsi="Book Antiqua" w:cs="Calibri"/>
          <w:color w:val="000000"/>
        </w:rPr>
        <w:t xml:space="preserve">cases developed chronic hepatitis. Many patients with chronic </w:t>
      </w:r>
      <w:proofErr w:type="spellStart"/>
      <w:r w:rsidR="00A15F1A" w:rsidRPr="00A35CEC">
        <w:rPr>
          <w:rFonts w:ascii="Book Antiqua" w:hAnsi="Book Antiqua" w:cs="Calibri"/>
          <w:color w:val="000000"/>
        </w:rPr>
        <w:t>HCV</w:t>
      </w:r>
      <w:proofErr w:type="spellEnd"/>
      <w:r w:rsidR="00A15F1A" w:rsidRPr="00A35CEC">
        <w:rPr>
          <w:rFonts w:ascii="Book Antiqua" w:hAnsi="Book Antiqua" w:cs="Calibri"/>
          <w:color w:val="000000"/>
        </w:rPr>
        <w:t xml:space="preserve"> </w:t>
      </w:r>
      <w:r w:rsidR="00BF1253" w:rsidRPr="00A35CEC">
        <w:rPr>
          <w:rFonts w:ascii="Book Antiqua" w:hAnsi="Book Antiqua" w:cs="Calibri"/>
          <w:color w:val="000000"/>
        </w:rPr>
        <w:t>(</w:t>
      </w:r>
      <w:proofErr w:type="spellStart"/>
      <w:r w:rsidR="00BF1253" w:rsidRPr="00A35CEC">
        <w:rPr>
          <w:rFonts w:ascii="Book Antiqua" w:hAnsi="Book Antiqua" w:cs="Calibri"/>
          <w:color w:val="000000"/>
        </w:rPr>
        <w:t>CHC</w:t>
      </w:r>
      <w:proofErr w:type="spellEnd"/>
      <w:r w:rsidR="00BF1253" w:rsidRPr="00A35CEC">
        <w:rPr>
          <w:rFonts w:ascii="Book Antiqua" w:hAnsi="Book Antiqua" w:cs="Calibri"/>
          <w:color w:val="000000"/>
        </w:rPr>
        <w:t xml:space="preserve">) </w:t>
      </w:r>
      <w:r w:rsidR="00A15F1A" w:rsidRPr="00A35CEC">
        <w:rPr>
          <w:rFonts w:ascii="Book Antiqua" w:hAnsi="Book Antiqua" w:cs="Calibri"/>
          <w:color w:val="000000"/>
        </w:rPr>
        <w:t xml:space="preserve">infection </w:t>
      </w:r>
      <w:r w:rsidR="00BF1253" w:rsidRPr="00A35CEC">
        <w:rPr>
          <w:rFonts w:ascii="Book Antiqua" w:hAnsi="Book Antiqua" w:cs="Calibri"/>
          <w:color w:val="000000"/>
        </w:rPr>
        <w:t xml:space="preserve">do </w:t>
      </w:r>
      <w:r w:rsidR="00A15F1A" w:rsidRPr="00A35CEC">
        <w:rPr>
          <w:rFonts w:ascii="Book Antiqua" w:hAnsi="Book Antiqua" w:cs="Calibri"/>
          <w:color w:val="000000"/>
        </w:rPr>
        <w:t xml:space="preserve">not result in clinically apparent liver disease because it is </w:t>
      </w:r>
      <w:r w:rsidR="00BF1253" w:rsidRPr="00A35CEC">
        <w:rPr>
          <w:rFonts w:ascii="Book Antiqua" w:hAnsi="Book Antiqua" w:cs="Calibri"/>
          <w:color w:val="000000"/>
        </w:rPr>
        <w:t>generally</w:t>
      </w:r>
      <w:r w:rsidR="00A15F1A" w:rsidRPr="00A35CEC">
        <w:rPr>
          <w:rFonts w:ascii="Book Antiqua" w:hAnsi="Book Antiqua" w:cs="Calibri"/>
          <w:color w:val="000000"/>
        </w:rPr>
        <w:t xml:space="preserve"> a slow progressive infection. </w:t>
      </w:r>
      <w:r w:rsidR="00B7369C" w:rsidRPr="00A35CEC">
        <w:rPr>
          <w:rFonts w:ascii="Book Antiqua" w:hAnsi="Book Antiqua" w:cs="Calibri"/>
          <w:color w:val="000000"/>
        </w:rPr>
        <w:t xml:space="preserve">Five percent to </w:t>
      </w:r>
      <w:r w:rsidR="00A15F1A" w:rsidRPr="00A35CEC">
        <w:rPr>
          <w:rFonts w:ascii="Book Antiqua" w:hAnsi="Book Antiqua" w:cs="Calibri"/>
          <w:color w:val="000000"/>
        </w:rPr>
        <w:t xml:space="preserve">30% of chronically infected individuals developed cirrhosis over a span of 20 to 30 </w:t>
      </w:r>
      <w:proofErr w:type="spellStart"/>
      <w:proofErr w:type="gramStart"/>
      <w:r w:rsidR="00A15F1A" w:rsidRPr="00A35CEC">
        <w:rPr>
          <w:rFonts w:ascii="Book Antiqua" w:hAnsi="Book Antiqua" w:cs="Calibri"/>
          <w:color w:val="000000"/>
        </w:rPr>
        <w:t>yr</w:t>
      </w:r>
      <w:bookmarkEnd w:id="79"/>
      <w:proofErr w:type="spellEnd"/>
      <w:r w:rsidR="00B7369C" w:rsidRPr="00A35CEC">
        <w:rPr>
          <w:rFonts w:ascii="Book Antiqua" w:hAnsi="Book Antiqua" w:cs="Arial"/>
          <w:color w:val="000000"/>
          <w:vertAlign w:val="superscript"/>
        </w:rPr>
        <w:t>[</w:t>
      </w:r>
      <w:proofErr w:type="gramEnd"/>
      <w:r w:rsidR="00B7369C" w:rsidRPr="00A35CEC">
        <w:rPr>
          <w:rFonts w:ascii="Book Antiqua" w:hAnsi="Book Antiqua" w:cs="Arial"/>
          <w:color w:val="000000"/>
          <w:vertAlign w:val="superscript"/>
        </w:rPr>
        <w:t>3,</w:t>
      </w:r>
      <w:r w:rsidR="00482E06" w:rsidRPr="00A35CEC">
        <w:rPr>
          <w:rFonts w:ascii="Book Antiqua" w:hAnsi="Book Antiqua" w:cs="Arial"/>
          <w:color w:val="000000"/>
          <w:vertAlign w:val="superscript"/>
        </w:rPr>
        <w:t>4]</w:t>
      </w:r>
      <w:r w:rsidR="00CA0B99" w:rsidRPr="00A35CEC">
        <w:rPr>
          <w:rFonts w:ascii="Book Antiqua" w:hAnsi="Book Antiqua" w:cs="Arial"/>
          <w:color w:val="000000"/>
        </w:rPr>
        <w:t xml:space="preserve">. </w:t>
      </w:r>
      <w:r w:rsidRPr="00A35CEC">
        <w:rPr>
          <w:rFonts w:ascii="Book Antiqua" w:hAnsi="Book Antiqua" w:cs="Arial"/>
          <w:color w:val="000000"/>
        </w:rPr>
        <w:t xml:space="preserve">The recent introduction of </w:t>
      </w:r>
      <w:r w:rsidR="003A0BA3" w:rsidRPr="00A35CEC">
        <w:rPr>
          <w:rFonts w:ascii="Book Antiqua" w:hAnsi="Book Antiqua" w:cs="Arial"/>
          <w:color w:val="000000"/>
        </w:rPr>
        <w:t>direct-acting antivirals</w:t>
      </w:r>
      <w:r w:rsidRPr="00A35CEC">
        <w:rPr>
          <w:rFonts w:ascii="Book Antiqua" w:hAnsi="Book Antiqua" w:cs="Arial"/>
          <w:color w:val="000000"/>
        </w:rPr>
        <w:t xml:space="preserve"> (</w:t>
      </w:r>
      <w:proofErr w:type="spellStart"/>
      <w:r w:rsidRPr="00A35CEC">
        <w:rPr>
          <w:rFonts w:ascii="Book Antiqua" w:hAnsi="Book Antiqua" w:cs="Arial"/>
          <w:color w:val="000000"/>
        </w:rPr>
        <w:t>DAAs</w:t>
      </w:r>
      <w:proofErr w:type="spellEnd"/>
      <w:r w:rsidRPr="00A35CEC">
        <w:rPr>
          <w:rFonts w:ascii="Book Antiqua" w:hAnsi="Book Antiqua" w:cs="Arial"/>
          <w:color w:val="000000"/>
        </w:rPr>
        <w:t xml:space="preserve">) has the potential to change the future </w:t>
      </w:r>
      <w:r w:rsidR="00BF1253" w:rsidRPr="00A35CEC">
        <w:rPr>
          <w:rFonts w:ascii="Book Antiqua" w:hAnsi="Book Antiqua" w:cs="Arial"/>
          <w:color w:val="000000"/>
        </w:rPr>
        <w:t xml:space="preserve">disease </w:t>
      </w:r>
      <w:r w:rsidRPr="00A35CEC">
        <w:rPr>
          <w:rFonts w:ascii="Book Antiqua" w:hAnsi="Book Antiqua" w:cs="Arial"/>
          <w:color w:val="000000"/>
        </w:rPr>
        <w:t>burden</w:t>
      </w:r>
      <w:r w:rsidR="00070DA3" w:rsidRPr="00A35CEC">
        <w:rPr>
          <w:rFonts w:ascii="Book Antiqua" w:hAnsi="Book Antiqua" w:cs="Arial"/>
          <w:color w:val="000000"/>
        </w:rPr>
        <w:t xml:space="preserve">, as they </w:t>
      </w:r>
      <w:r w:rsidRPr="00A35CEC">
        <w:rPr>
          <w:rFonts w:ascii="Book Antiqua" w:hAnsi="Book Antiqua" w:cs="Arial"/>
          <w:color w:val="000000"/>
        </w:rPr>
        <w:t xml:space="preserve">achieve higher sustained </w:t>
      </w:r>
      <w:proofErr w:type="spellStart"/>
      <w:r w:rsidRPr="00A35CEC">
        <w:rPr>
          <w:rFonts w:ascii="Book Antiqua" w:hAnsi="Book Antiqua" w:cs="Arial"/>
          <w:color w:val="000000"/>
        </w:rPr>
        <w:t>virological</w:t>
      </w:r>
      <w:proofErr w:type="spellEnd"/>
      <w:r w:rsidRPr="00A35CEC">
        <w:rPr>
          <w:rFonts w:ascii="Book Antiqua" w:hAnsi="Book Antiqua" w:cs="Arial"/>
          <w:color w:val="000000"/>
        </w:rPr>
        <w:t xml:space="preserve"> response</w:t>
      </w:r>
      <w:r w:rsidR="00BD44F6" w:rsidRPr="00A35CEC">
        <w:rPr>
          <w:rFonts w:ascii="Book Antiqua" w:hAnsi="Book Antiqua" w:cs="Arial"/>
          <w:color w:val="000000"/>
        </w:rPr>
        <w:t xml:space="preserve"> </w:t>
      </w:r>
      <w:r w:rsidRPr="00A35CEC">
        <w:rPr>
          <w:rFonts w:ascii="Book Antiqua" w:hAnsi="Book Antiqua" w:cs="Arial"/>
          <w:color w:val="000000"/>
        </w:rPr>
        <w:t>(</w:t>
      </w:r>
      <w:proofErr w:type="spellStart"/>
      <w:r w:rsidRPr="00A35CEC">
        <w:rPr>
          <w:rFonts w:ascii="Book Antiqua" w:hAnsi="Book Antiqua" w:cs="Arial"/>
          <w:color w:val="000000"/>
        </w:rPr>
        <w:t>SVR</w:t>
      </w:r>
      <w:proofErr w:type="spellEnd"/>
      <w:r w:rsidRPr="00A35CEC">
        <w:rPr>
          <w:rFonts w:ascii="Book Antiqua" w:hAnsi="Book Antiqua" w:cs="Arial"/>
          <w:color w:val="000000"/>
        </w:rPr>
        <w:t>)</w:t>
      </w:r>
      <w:r w:rsidR="00BF1253" w:rsidRPr="00A35CEC">
        <w:rPr>
          <w:rFonts w:ascii="Book Antiqua" w:hAnsi="Book Antiqua" w:cs="Arial"/>
          <w:color w:val="000000"/>
        </w:rPr>
        <w:t xml:space="preserve"> rates</w:t>
      </w:r>
      <w:r w:rsidRPr="00A35CEC">
        <w:rPr>
          <w:rFonts w:ascii="Book Antiqua" w:hAnsi="Book Antiqua" w:cs="Arial"/>
          <w:color w:val="000000"/>
        </w:rPr>
        <w:t xml:space="preserve">, have fewer side effects and are simpler regimens compared to </w:t>
      </w:r>
      <w:r w:rsidR="00BD44F6" w:rsidRPr="00A35CEC">
        <w:rPr>
          <w:rFonts w:ascii="Book Antiqua" w:hAnsi="Book Antiqua" w:cs="Arial"/>
          <w:color w:val="000000"/>
        </w:rPr>
        <w:t>interferon (</w:t>
      </w:r>
      <w:proofErr w:type="spellStart"/>
      <w:r w:rsidRPr="00A35CEC">
        <w:rPr>
          <w:rFonts w:ascii="Book Antiqua" w:hAnsi="Book Antiqua" w:cs="Arial"/>
          <w:color w:val="000000"/>
        </w:rPr>
        <w:t>IFN</w:t>
      </w:r>
      <w:proofErr w:type="spellEnd"/>
      <w:r w:rsidR="00BD44F6" w:rsidRPr="00A35CEC">
        <w:rPr>
          <w:rFonts w:ascii="Book Antiqua" w:hAnsi="Book Antiqua" w:cs="Arial"/>
          <w:color w:val="000000"/>
        </w:rPr>
        <w:t>)</w:t>
      </w:r>
      <w:r w:rsidR="00BF1253" w:rsidRPr="00A35CEC">
        <w:rPr>
          <w:rFonts w:ascii="Book Antiqua" w:hAnsi="Book Antiqua" w:cs="Arial"/>
          <w:color w:val="000000"/>
        </w:rPr>
        <w:t>-</w:t>
      </w:r>
      <w:r w:rsidRPr="00A35CEC">
        <w:rPr>
          <w:rFonts w:ascii="Book Antiqua" w:hAnsi="Book Antiqua" w:cs="Arial"/>
          <w:color w:val="000000"/>
        </w:rPr>
        <w:t>based therapies</w:t>
      </w:r>
      <w:r w:rsidR="00B7369C" w:rsidRPr="00A35CEC">
        <w:rPr>
          <w:rFonts w:ascii="Book Antiqua" w:hAnsi="Book Antiqua" w:cs="Arial"/>
          <w:color w:val="000000"/>
          <w:vertAlign w:val="superscript"/>
        </w:rPr>
        <w:t>[5,</w:t>
      </w:r>
      <w:r w:rsidR="00482E06" w:rsidRPr="00A35CEC">
        <w:rPr>
          <w:rFonts w:ascii="Book Antiqua" w:hAnsi="Book Antiqua" w:cs="Arial"/>
          <w:color w:val="000000"/>
          <w:vertAlign w:val="superscript"/>
        </w:rPr>
        <w:t>6]</w:t>
      </w:r>
      <w:r w:rsidRPr="00A35CEC">
        <w:rPr>
          <w:rFonts w:ascii="Book Antiqua" w:hAnsi="Book Antiqua" w:cs="Arial"/>
          <w:color w:val="000000"/>
        </w:rPr>
        <w:t xml:space="preserve">. </w:t>
      </w:r>
      <w:r w:rsidR="00BD44F6" w:rsidRPr="00A35CEC">
        <w:rPr>
          <w:rFonts w:ascii="Book Antiqua" w:hAnsi="Book Antiqua" w:cs="Arial"/>
          <w:color w:val="000000"/>
        </w:rPr>
        <w:t>Due to recent developments of antiviral treatment</w:t>
      </w:r>
      <w:r w:rsidR="001C5D11" w:rsidRPr="00A35CEC">
        <w:rPr>
          <w:rFonts w:ascii="Book Antiqua" w:hAnsi="Book Antiqua" w:cs="Arial"/>
          <w:color w:val="000000"/>
        </w:rPr>
        <w:t>s</w:t>
      </w:r>
      <w:r w:rsidR="00FD6EA0" w:rsidRPr="00A35CEC">
        <w:rPr>
          <w:rFonts w:ascii="Book Antiqua" w:hAnsi="Book Antiqua" w:cs="Arial"/>
          <w:color w:val="000000"/>
        </w:rPr>
        <w:t>,</w:t>
      </w:r>
      <w:r w:rsidR="00BD44F6" w:rsidRPr="00A35CEC">
        <w:rPr>
          <w:rFonts w:ascii="Book Antiqua" w:hAnsi="Book Antiqua" w:cs="Arial"/>
          <w:color w:val="000000"/>
        </w:rPr>
        <w:t xml:space="preserve"> the </w:t>
      </w:r>
      <w:r w:rsidR="00A87AA9" w:rsidRPr="00A35CEC">
        <w:rPr>
          <w:rFonts w:ascii="Book Antiqua" w:hAnsi="Book Antiqua" w:cs="Arial"/>
          <w:color w:val="000000"/>
        </w:rPr>
        <w:t xml:space="preserve">target of eliminating </w:t>
      </w:r>
      <w:proofErr w:type="spellStart"/>
      <w:r w:rsidR="00A87AA9" w:rsidRPr="00A35CEC">
        <w:rPr>
          <w:rFonts w:ascii="Book Antiqua" w:hAnsi="Book Antiqua" w:cs="Arial"/>
          <w:color w:val="000000"/>
        </w:rPr>
        <w:t>HCV</w:t>
      </w:r>
      <w:proofErr w:type="spellEnd"/>
      <w:r w:rsidR="00A87AA9" w:rsidRPr="00A35CEC">
        <w:rPr>
          <w:rFonts w:ascii="Book Antiqua" w:hAnsi="Book Antiqua" w:cs="Arial"/>
          <w:color w:val="000000"/>
        </w:rPr>
        <w:t xml:space="preserve"> </w:t>
      </w:r>
      <w:r w:rsidR="00BF1253" w:rsidRPr="00A35CEC">
        <w:rPr>
          <w:rFonts w:ascii="Book Antiqua" w:hAnsi="Book Antiqua" w:cs="Arial"/>
          <w:color w:val="000000"/>
        </w:rPr>
        <w:t xml:space="preserve">by </w:t>
      </w:r>
      <w:r w:rsidR="00A87AA9" w:rsidRPr="00A35CEC">
        <w:rPr>
          <w:rFonts w:ascii="Book Antiqua" w:hAnsi="Book Antiqua" w:cs="Arial"/>
          <w:color w:val="000000"/>
        </w:rPr>
        <w:t>2030</w:t>
      </w:r>
      <w:r w:rsidR="00CB6B2B" w:rsidRPr="00A35CEC">
        <w:rPr>
          <w:rFonts w:ascii="Book Antiqua" w:hAnsi="Book Antiqua" w:cs="Arial"/>
          <w:color w:val="000000"/>
        </w:rPr>
        <w:t xml:space="preserve"> has</w:t>
      </w:r>
      <w:r w:rsidR="00A87AA9" w:rsidRPr="00A35CEC">
        <w:rPr>
          <w:rFonts w:ascii="Book Antiqua" w:hAnsi="Book Antiqua" w:cs="Arial"/>
          <w:color w:val="000000"/>
        </w:rPr>
        <w:t xml:space="preserve"> become </w:t>
      </w:r>
      <w:proofErr w:type="gramStart"/>
      <w:r w:rsidR="00A87AA9" w:rsidRPr="00A35CEC">
        <w:rPr>
          <w:rFonts w:ascii="Book Antiqua" w:hAnsi="Book Antiqua" w:cs="Arial"/>
          <w:color w:val="000000"/>
        </w:rPr>
        <w:t>achievable</w:t>
      </w:r>
      <w:r w:rsidR="00482E06" w:rsidRPr="00A35CEC">
        <w:rPr>
          <w:rFonts w:ascii="Book Antiqua" w:hAnsi="Book Antiqua" w:cs="Arial"/>
          <w:color w:val="000000"/>
          <w:vertAlign w:val="superscript"/>
        </w:rPr>
        <w:t>[</w:t>
      </w:r>
      <w:proofErr w:type="gramEnd"/>
      <w:r w:rsidR="00482E06" w:rsidRPr="00A35CEC">
        <w:rPr>
          <w:rFonts w:ascii="Book Antiqua" w:hAnsi="Book Antiqua" w:cs="Arial"/>
          <w:color w:val="000000"/>
          <w:vertAlign w:val="superscript"/>
        </w:rPr>
        <w:t>7]</w:t>
      </w:r>
      <w:r w:rsidR="00A87AA9" w:rsidRPr="00A35CEC">
        <w:rPr>
          <w:rFonts w:ascii="Book Antiqua" w:hAnsi="Book Antiqua" w:cs="Arial"/>
          <w:color w:val="000000"/>
        </w:rPr>
        <w:t xml:space="preserve">. Although the cost of providing </w:t>
      </w:r>
      <w:proofErr w:type="spellStart"/>
      <w:r w:rsidR="00A87AA9" w:rsidRPr="00A35CEC">
        <w:rPr>
          <w:rFonts w:ascii="Book Antiqua" w:hAnsi="Book Antiqua" w:cs="Arial"/>
          <w:color w:val="000000"/>
        </w:rPr>
        <w:t>DAAs</w:t>
      </w:r>
      <w:proofErr w:type="spellEnd"/>
      <w:r w:rsidR="00A87AA9" w:rsidRPr="00A35CEC">
        <w:rPr>
          <w:rFonts w:ascii="Book Antiqua" w:hAnsi="Book Antiqua" w:cs="Arial"/>
          <w:color w:val="000000"/>
        </w:rPr>
        <w:t xml:space="preserve"> </w:t>
      </w:r>
      <w:r w:rsidR="00BF1253" w:rsidRPr="00A35CEC">
        <w:rPr>
          <w:rFonts w:ascii="Book Antiqua" w:hAnsi="Book Antiqua" w:cs="Arial"/>
          <w:color w:val="000000"/>
        </w:rPr>
        <w:t xml:space="preserve">has </w:t>
      </w:r>
      <w:r w:rsidR="00A87AA9" w:rsidRPr="00A35CEC">
        <w:rPr>
          <w:rFonts w:ascii="Book Antiqua" w:hAnsi="Book Antiqua" w:cs="Arial"/>
          <w:color w:val="000000"/>
        </w:rPr>
        <w:t xml:space="preserve">been </w:t>
      </w:r>
      <w:r w:rsidR="00BF1253" w:rsidRPr="00A35CEC">
        <w:rPr>
          <w:rFonts w:ascii="Book Antiqua" w:hAnsi="Book Antiqua" w:cs="Arial"/>
          <w:color w:val="000000"/>
        </w:rPr>
        <w:t xml:space="preserve">extensively </w:t>
      </w:r>
      <w:r w:rsidR="00A87AA9" w:rsidRPr="00A35CEC">
        <w:rPr>
          <w:rFonts w:ascii="Book Antiqua" w:hAnsi="Book Antiqua" w:cs="Arial"/>
          <w:color w:val="000000"/>
        </w:rPr>
        <w:t xml:space="preserve">debated since their introduction, the cost and cost-effectiveness </w:t>
      </w:r>
      <w:r w:rsidR="00BF1253" w:rsidRPr="00A35CEC">
        <w:rPr>
          <w:rFonts w:ascii="Book Antiqua" w:hAnsi="Book Antiqua" w:cs="Arial"/>
          <w:color w:val="000000"/>
        </w:rPr>
        <w:t xml:space="preserve">of </w:t>
      </w:r>
      <w:r w:rsidR="00A87AA9" w:rsidRPr="00A35CEC">
        <w:rPr>
          <w:rFonts w:ascii="Book Antiqua" w:hAnsi="Book Antiqua" w:cs="Arial"/>
          <w:color w:val="000000"/>
        </w:rPr>
        <w:t>implement</w:t>
      </w:r>
      <w:r w:rsidR="00BF1253" w:rsidRPr="00A35CEC">
        <w:rPr>
          <w:rFonts w:ascii="Book Antiqua" w:hAnsi="Book Antiqua" w:cs="Arial"/>
          <w:color w:val="000000"/>
        </w:rPr>
        <w:t>ing</w:t>
      </w:r>
      <w:r w:rsidR="00D57EB6" w:rsidRPr="00A35CEC">
        <w:rPr>
          <w:rFonts w:ascii="Book Antiqua" w:hAnsi="Book Antiqua" w:cs="Arial"/>
          <w:color w:val="000000"/>
        </w:rPr>
        <w:t xml:space="preserve"> </w:t>
      </w:r>
      <w:r w:rsidR="0033010E" w:rsidRPr="00A35CEC">
        <w:rPr>
          <w:rFonts w:ascii="Book Antiqua" w:hAnsi="Book Antiqua" w:cs="Arial"/>
          <w:color w:val="000000"/>
        </w:rPr>
        <w:t>an</w:t>
      </w:r>
      <w:r w:rsidR="00A87AA9" w:rsidRPr="00A35CEC">
        <w:rPr>
          <w:rFonts w:ascii="Book Antiqua" w:hAnsi="Book Antiqua" w:cs="Arial"/>
          <w:color w:val="000000"/>
        </w:rPr>
        <w:t xml:space="preserve"> </w:t>
      </w:r>
      <w:proofErr w:type="spellStart"/>
      <w:r w:rsidR="00A87AA9" w:rsidRPr="00A35CEC">
        <w:rPr>
          <w:rFonts w:ascii="Book Antiqua" w:hAnsi="Book Antiqua" w:cs="Arial"/>
          <w:color w:val="000000"/>
        </w:rPr>
        <w:t>HCV</w:t>
      </w:r>
      <w:proofErr w:type="spellEnd"/>
      <w:r w:rsidR="00A87AA9" w:rsidRPr="00A35CEC">
        <w:rPr>
          <w:rFonts w:ascii="Book Antiqua" w:hAnsi="Book Antiqua" w:cs="Arial"/>
          <w:color w:val="000000"/>
        </w:rPr>
        <w:t xml:space="preserve"> elimination strategy </w:t>
      </w:r>
      <w:r w:rsidR="00D57EB6" w:rsidRPr="00A35CEC">
        <w:rPr>
          <w:rFonts w:ascii="Book Antiqua" w:hAnsi="Book Antiqua" w:cs="Arial"/>
          <w:color w:val="000000"/>
        </w:rPr>
        <w:t xml:space="preserve">has </w:t>
      </w:r>
      <w:r w:rsidR="00A87AA9" w:rsidRPr="00A35CEC">
        <w:rPr>
          <w:rFonts w:ascii="Book Antiqua" w:hAnsi="Book Antiqua" w:cs="Arial"/>
          <w:color w:val="000000"/>
        </w:rPr>
        <w:t xml:space="preserve">recently </w:t>
      </w:r>
      <w:r w:rsidR="00D57EB6" w:rsidRPr="00A35CEC">
        <w:rPr>
          <w:rFonts w:ascii="Book Antiqua" w:hAnsi="Book Antiqua" w:cs="Arial"/>
          <w:color w:val="000000"/>
        </w:rPr>
        <w:t xml:space="preserve">been </w:t>
      </w:r>
      <w:r w:rsidR="00A87AA9" w:rsidRPr="00A35CEC">
        <w:rPr>
          <w:rFonts w:ascii="Book Antiqua" w:hAnsi="Book Antiqua" w:cs="Arial"/>
          <w:color w:val="000000"/>
        </w:rPr>
        <w:t xml:space="preserve">put on the </w:t>
      </w:r>
      <w:proofErr w:type="gramStart"/>
      <w:r w:rsidR="00A87AA9" w:rsidRPr="00A35CEC">
        <w:rPr>
          <w:rFonts w:ascii="Book Antiqua" w:hAnsi="Book Antiqua" w:cs="Arial"/>
          <w:color w:val="000000"/>
        </w:rPr>
        <w:t>agenda</w:t>
      </w:r>
      <w:r w:rsidR="00482E06" w:rsidRPr="00A35CEC">
        <w:rPr>
          <w:rFonts w:ascii="Book Antiqua" w:hAnsi="Book Antiqua" w:cs="Arial"/>
          <w:color w:val="000000"/>
          <w:vertAlign w:val="superscript"/>
        </w:rPr>
        <w:t>[</w:t>
      </w:r>
      <w:proofErr w:type="gramEnd"/>
      <w:r w:rsidR="00482E06" w:rsidRPr="00A35CEC">
        <w:rPr>
          <w:rFonts w:ascii="Book Antiqua" w:hAnsi="Book Antiqua" w:cs="Arial"/>
          <w:color w:val="000000"/>
          <w:vertAlign w:val="superscript"/>
        </w:rPr>
        <w:t>8-12]</w:t>
      </w:r>
      <w:r w:rsidR="0003697B" w:rsidRPr="00A35CEC">
        <w:rPr>
          <w:rFonts w:ascii="Book Antiqua" w:hAnsi="Book Antiqua" w:cs="Arial"/>
          <w:color w:val="000000"/>
        </w:rPr>
        <w:t>.</w:t>
      </w:r>
    </w:p>
    <w:p w14:paraId="0B707072" w14:textId="1731FE3E" w:rsidR="00854113" w:rsidRPr="00A35CEC" w:rsidRDefault="00B7369C" w:rsidP="00FA7F1A">
      <w:pPr>
        <w:adjustRightInd w:val="0"/>
        <w:snapToGrid w:val="0"/>
        <w:spacing w:line="360" w:lineRule="auto"/>
        <w:jc w:val="both"/>
        <w:rPr>
          <w:rFonts w:ascii="Book Antiqua" w:hAnsi="Book Antiqua" w:cs="Arial"/>
          <w:color w:val="000000"/>
        </w:rPr>
      </w:pPr>
      <w:r w:rsidRPr="00A35CEC">
        <w:rPr>
          <w:rFonts w:ascii="Book Antiqua" w:hAnsi="Book Antiqua" w:cs="Arial"/>
          <w:color w:val="000000"/>
        </w:rPr>
        <w:t xml:space="preserve">  </w:t>
      </w:r>
      <w:r w:rsidR="0058143F" w:rsidRPr="00A35CEC">
        <w:rPr>
          <w:rFonts w:ascii="Book Antiqua" w:hAnsi="Book Antiqua" w:cs="Arial"/>
          <w:color w:val="000000"/>
        </w:rPr>
        <w:t>Greece has one of t</w:t>
      </w:r>
      <w:r w:rsidR="00C65E62" w:rsidRPr="00A35CEC">
        <w:rPr>
          <w:rFonts w:ascii="Book Antiqua" w:hAnsi="Book Antiqua" w:cs="Arial"/>
          <w:color w:val="000000"/>
        </w:rPr>
        <w:t xml:space="preserve">he highest prevalence rates of </w:t>
      </w:r>
      <w:proofErr w:type="spellStart"/>
      <w:r w:rsidR="00721041" w:rsidRPr="00A35CEC">
        <w:rPr>
          <w:rFonts w:ascii="Book Antiqua" w:hAnsi="Book Antiqua" w:cs="Arial"/>
          <w:color w:val="000000"/>
        </w:rPr>
        <w:t>CHC</w:t>
      </w:r>
      <w:proofErr w:type="spellEnd"/>
      <w:r w:rsidR="0058143F" w:rsidRPr="00A35CEC">
        <w:rPr>
          <w:rFonts w:ascii="Book Antiqua" w:hAnsi="Book Antiqua" w:cs="Arial"/>
          <w:color w:val="000000"/>
        </w:rPr>
        <w:t xml:space="preserve"> infection in </w:t>
      </w:r>
      <w:r w:rsidR="00026E01" w:rsidRPr="00A35CEC">
        <w:rPr>
          <w:rFonts w:ascii="Book Antiqua" w:hAnsi="Book Antiqua" w:cs="Arial"/>
          <w:color w:val="000000"/>
        </w:rPr>
        <w:t>Europe</w:t>
      </w:r>
      <w:r w:rsidR="00BF1253" w:rsidRPr="00A35CEC">
        <w:rPr>
          <w:rFonts w:ascii="Book Antiqua" w:hAnsi="Book Antiqua" w:cs="Arial"/>
          <w:color w:val="000000"/>
        </w:rPr>
        <w:t>,</w:t>
      </w:r>
      <w:r w:rsidR="00052AE1" w:rsidRPr="00A35CEC">
        <w:rPr>
          <w:rFonts w:ascii="Book Antiqua" w:hAnsi="Book Antiqua" w:cs="Arial"/>
          <w:color w:val="000000"/>
        </w:rPr>
        <w:t xml:space="preserve"> </w:t>
      </w:r>
      <w:r w:rsidR="00844E47" w:rsidRPr="00A35CEC">
        <w:rPr>
          <w:rFonts w:ascii="Book Antiqua" w:hAnsi="Book Antiqua" w:cs="Arial"/>
          <w:color w:val="000000"/>
        </w:rPr>
        <w:t>with</w:t>
      </w:r>
      <w:r w:rsidR="0058143F" w:rsidRPr="00A35CEC">
        <w:rPr>
          <w:rFonts w:ascii="Book Antiqua" w:hAnsi="Book Antiqua" w:cs="Arial"/>
          <w:color w:val="000000"/>
        </w:rPr>
        <w:t xml:space="preserve"> approximately </w:t>
      </w:r>
      <w:r w:rsidR="00BF1253" w:rsidRPr="00A35CEC">
        <w:rPr>
          <w:rFonts w:ascii="Book Antiqua" w:hAnsi="Book Antiqua" w:cs="Arial"/>
          <w:color w:val="000000"/>
        </w:rPr>
        <w:t xml:space="preserve">33% </w:t>
      </w:r>
      <w:r w:rsidR="0058143F" w:rsidRPr="00A35CEC">
        <w:rPr>
          <w:rFonts w:ascii="Book Antiqua" w:hAnsi="Book Antiqua" w:cs="Arial"/>
          <w:color w:val="000000"/>
        </w:rPr>
        <w:t>of</w:t>
      </w:r>
      <w:r w:rsidR="00430453" w:rsidRPr="00A35CEC">
        <w:rPr>
          <w:rFonts w:ascii="Book Antiqua" w:hAnsi="Book Antiqua" w:cs="Arial"/>
          <w:color w:val="000000"/>
        </w:rPr>
        <w:t xml:space="preserve"> </w:t>
      </w:r>
      <w:r w:rsidR="0058143F" w:rsidRPr="00A35CEC">
        <w:rPr>
          <w:rFonts w:ascii="Book Antiqua" w:hAnsi="Book Antiqua" w:cs="Arial"/>
          <w:color w:val="000000"/>
        </w:rPr>
        <w:t xml:space="preserve">chronically infected patients </w:t>
      </w:r>
      <w:r w:rsidR="00BF1253" w:rsidRPr="00A35CEC">
        <w:rPr>
          <w:rFonts w:ascii="Book Antiqua" w:hAnsi="Book Antiqua" w:cs="Arial"/>
          <w:color w:val="000000"/>
        </w:rPr>
        <w:t>in the</w:t>
      </w:r>
      <w:r w:rsidR="0058143F" w:rsidRPr="00A35CEC">
        <w:rPr>
          <w:rFonts w:ascii="Book Antiqua" w:hAnsi="Book Antiqua" w:cs="Arial"/>
          <w:color w:val="000000"/>
        </w:rPr>
        <w:t xml:space="preserve"> advanced fibrosis stages (</w:t>
      </w:r>
      <w:r w:rsidR="00205004" w:rsidRPr="00A35CEC">
        <w:rPr>
          <w:rFonts w:ascii="Book Antiqua" w:hAnsi="Book Antiqua" w:cs="Arial"/>
          <w:color w:val="000000"/>
        </w:rPr>
        <w:t>≥</w:t>
      </w:r>
      <w:r w:rsidRPr="00A35CEC">
        <w:rPr>
          <w:rFonts w:ascii="Book Antiqua" w:hAnsi="Book Antiqua" w:cs="Arial"/>
          <w:color w:val="000000"/>
        </w:rPr>
        <w:t xml:space="preserve"> </w:t>
      </w:r>
      <w:r w:rsidR="00205004" w:rsidRPr="00A35CEC">
        <w:rPr>
          <w:rFonts w:ascii="Book Antiqua" w:hAnsi="Book Antiqua" w:cs="Arial"/>
          <w:color w:val="000000"/>
        </w:rPr>
        <w:t>F3</w:t>
      </w:r>
      <w:proofErr w:type="gramStart"/>
      <w:r w:rsidR="0058143F" w:rsidRPr="00A35CEC">
        <w:rPr>
          <w:rFonts w:ascii="Book Antiqua" w:hAnsi="Book Antiqua" w:cs="Arial"/>
          <w:color w:val="000000"/>
        </w:rPr>
        <w:t>)</w:t>
      </w:r>
      <w:r w:rsidRPr="00A35CEC">
        <w:rPr>
          <w:rFonts w:ascii="Book Antiqua" w:hAnsi="Book Antiqua" w:cs="Arial"/>
          <w:color w:val="000000"/>
          <w:vertAlign w:val="superscript"/>
        </w:rPr>
        <w:t>[</w:t>
      </w:r>
      <w:proofErr w:type="gramEnd"/>
      <w:r w:rsidRPr="00A35CEC">
        <w:rPr>
          <w:rFonts w:ascii="Book Antiqua" w:hAnsi="Book Antiqua" w:cs="Arial"/>
          <w:color w:val="000000"/>
          <w:vertAlign w:val="superscript"/>
        </w:rPr>
        <w:t>13,</w:t>
      </w:r>
      <w:r w:rsidR="00482E06" w:rsidRPr="00A35CEC">
        <w:rPr>
          <w:rFonts w:ascii="Book Antiqua" w:hAnsi="Book Antiqua" w:cs="Arial"/>
          <w:color w:val="000000"/>
          <w:vertAlign w:val="superscript"/>
        </w:rPr>
        <w:t>14]</w:t>
      </w:r>
      <w:r w:rsidR="005A3A0A" w:rsidRPr="00A35CEC">
        <w:rPr>
          <w:rFonts w:ascii="Book Antiqua" w:hAnsi="Book Antiqua" w:cs="Arial"/>
          <w:color w:val="000000"/>
        </w:rPr>
        <w:t>.</w:t>
      </w:r>
      <w:r w:rsidR="000A7F97" w:rsidRPr="00A35CEC">
        <w:rPr>
          <w:rFonts w:ascii="Book Antiqua" w:hAnsi="Book Antiqua" w:cs="Arial"/>
          <w:color w:val="000000"/>
        </w:rPr>
        <w:t xml:space="preserve"> </w:t>
      </w:r>
      <w:r w:rsidR="00E910C9" w:rsidRPr="00A35CEC">
        <w:rPr>
          <w:rFonts w:ascii="Book Antiqua" w:hAnsi="Book Antiqua" w:cs="Arial"/>
          <w:color w:val="000000"/>
        </w:rPr>
        <w:t xml:space="preserve">Additionally, </w:t>
      </w:r>
      <w:r w:rsidR="00D81BB2" w:rsidRPr="00A35CEC">
        <w:rPr>
          <w:rFonts w:ascii="Book Antiqua" w:hAnsi="Book Antiqua" w:cs="Arial"/>
          <w:color w:val="000000"/>
        </w:rPr>
        <w:t>it</w:t>
      </w:r>
      <w:r w:rsidR="00E910C9" w:rsidRPr="00A35CEC">
        <w:rPr>
          <w:rFonts w:ascii="Book Antiqua" w:hAnsi="Book Antiqua" w:cs="Arial"/>
          <w:color w:val="000000"/>
        </w:rPr>
        <w:t xml:space="preserve"> has </w:t>
      </w:r>
      <w:r w:rsidR="00612AC1" w:rsidRPr="00A35CEC">
        <w:rPr>
          <w:rFonts w:ascii="Book Antiqua" w:hAnsi="Book Antiqua" w:cs="Arial"/>
          <w:color w:val="000000"/>
        </w:rPr>
        <w:t xml:space="preserve">an </w:t>
      </w:r>
      <w:r w:rsidR="00E910C9" w:rsidRPr="00A35CEC">
        <w:rPr>
          <w:rFonts w:ascii="Book Antiqua" w:hAnsi="Book Antiqua" w:cs="Arial"/>
          <w:color w:val="000000"/>
        </w:rPr>
        <w:t>older infected population compared to other countries, meaning that the mean fibrosis progression is</w:t>
      </w:r>
      <w:r w:rsidR="00E844A1" w:rsidRPr="00A35CEC">
        <w:rPr>
          <w:rFonts w:ascii="Book Antiqua" w:hAnsi="Book Antiqua" w:cs="Arial"/>
          <w:color w:val="000000"/>
        </w:rPr>
        <w:t xml:space="preserve"> relatively</w:t>
      </w:r>
      <w:r w:rsidR="00E910C9" w:rsidRPr="00A35CEC">
        <w:rPr>
          <w:rFonts w:ascii="Book Antiqua" w:hAnsi="Book Antiqua" w:cs="Arial"/>
          <w:color w:val="000000"/>
        </w:rPr>
        <w:t xml:space="preserve"> rapid and the probability of </w:t>
      </w:r>
      <w:proofErr w:type="spellStart"/>
      <w:r w:rsidR="00E910C9" w:rsidRPr="00A35CEC">
        <w:rPr>
          <w:rFonts w:ascii="Book Antiqua" w:hAnsi="Book Antiqua" w:cs="Arial"/>
          <w:color w:val="000000"/>
        </w:rPr>
        <w:t>HCV</w:t>
      </w:r>
      <w:proofErr w:type="spellEnd"/>
      <w:r w:rsidR="00E910C9" w:rsidRPr="00A35CEC">
        <w:rPr>
          <w:rFonts w:ascii="Book Antiqua" w:hAnsi="Book Antiqua" w:cs="Arial"/>
          <w:color w:val="000000"/>
        </w:rPr>
        <w:t>-relat</w:t>
      </w:r>
      <w:r w:rsidR="00D57478" w:rsidRPr="00A35CEC">
        <w:rPr>
          <w:rFonts w:ascii="Book Antiqua" w:hAnsi="Book Antiqua" w:cs="Arial"/>
          <w:color w:val="000000"/>
        </w:rPr>
        <w:t xml:space="preserve">ed mortality or morbidity </w:t>
      </w:r>
      <w:r w:rsidR="00612AC1" w:rsidRPr="00A35CEC">
        <w:rPr>
          <w:rFonts w:ascii="Book Antiqua" w:hAnsi="Book Antiqua" w:cs="Arial"/>
          <w:color w:val="000000"/>
        </w:rPr>
        <w:t xml:space="preserve">is </w:t>
      </w:r>
      <w:r w:rsidR="00D57478" w:rsidRPr="00A35CEC">
        <w:rPr>
          <w:rFonts w:ascii="Book Antiqua" w:hAnsi="Book Antiqua" w:cs="Arial"/>
          <w:color w:val="000000"/>
        </w:rPr>
        <w:t>high</w:t>
      </w:r>
      <w:r w:rsidR="00482E06" w:rsidRPr="00A35CEC">
        <w:rPr>
          <w:rFonts w:ascii="Book Antiqua" w:hAnsi="Book Antiqua" w:cs="Arial"/>
          <w:color w:val="000000"/>
          <w:vertAlign w:val="superscript"/>
        </w:rPr>
        <w:t>[15-17]</w:t>
      </w:r>
      <w:r w:rsidR="00F67F14" w:rsidRPr="00A35CEC">
        <w:rPr>
          <w:rFonts w:ascii="Book Antiqua" w:hAnsi="Book Antiqua" w:cs="Arial"/>
          <w:color w:val="000000"/>
        </w:rPr>
        <w:t>.</w:t>
      </w:r>
      <w:r w:rsidR="007D3823" w:rsidRPr="00A35CEC">
        <w:rPr>
          <w:rFonts w:ascii="Book Antiqua" w:hAnsi="Book Antiqua" w:cs="Arial"/>
          <w:color w:val="000000"/>
        </w:rPr>
        <w:t xml:space="preserve"> </w:t>
      </w:r>
      <w:r w:rsidR="00BF1253" w:rsidRPr="00A35CEC">
        <w:rPr>
          <w:rFonts w:ascii="Book Antiqua" w:hAnsi="Book Antiqua" w:cs="Arial"/>
          <w:color w:val="000000"/>
        </w:rPr>
        <w:t>Therefore</w:t>
      </w:r>
      <w:r w:rsidR="007D3823" w:rsidRPr="00A35CEC">
        <w:rPr>
          <w:rFonts w:ascii="Book Antiqua" w:hAnsi="Book Antiqua" w:cs="Arial"/>
          <w:color w:val="000000"/>
        </w:rPr>
        <w:t xml:space="preserve">, although </w:t>
      </w:r>
      <w:proofErr w:type="spellStart"/>
      <w:r w:rsidR="007D3823" w:rsidRPr="00A35CEC">
        <w:rPr>
          <w:rFonts w:ascii="Book Antiqua" w:hAnsi="Book Antiqua" w:cs="Arial"/>
          <w:color w:val="000000"/>
        </w:rPr>
        <w:t>HCV</w:t>
      </w:r>
      <w:proofErr w:type="spellEnd"/>
      <w:r w:rsidR="007D3823" w:rsidRPr="00A35CEC">
        <w:rPr>
          <w:rFonts w:ascii="Book Antiqua" w:hAnsi="Book Antiqua" w:cs="Arial"/>
          <w:color w:val="000000"/>
        </w:rPr>
        <w:t xml:space="preserve"> prevalence in Greece </w:t>
      </w:r>
      <w:r w:rsidR="00BF1253" w:rsidRPr="00A35CEC">
        <w:rPr>
          <w:rFonts w:ascii="Book Antiqua" w:hAnsi="Book Antiqua" w:cs="Arial"/>
          <w:color w:val="000000"/>
        </w:rPr>
        <w:t xml:space="preserve">has been </w:t>
      </w:r>
      <w:r w:rsidR="007D3823" w:rsidRPr="00A35CEC">
        <w:rPr>
          <w:rFonts w:ascii="Book Antiqua" w:hAnsi="Book Antiqua" w:cs="Arial"/>
          <w:color w:val="000000"/>
        </w:rPr>
        <w:t xml:space="preserve">decreasing </w:t>
      </w:r>
      <w:r w:rsidR="00BF1253" w:rsidRPr="00A35CEC">
        <w:rPr>
          <w:rFonts w:ascii="Book Antiqua" w:hAnsi="Book Antiqua" w:cs="Arial"/>
          <w:color w:val="000000"/>
        </w:rPr>
        <w:t xml:space="preserve">since its </w:t>
      </w:r>
      <w:r w:rsidR="007D3823" w:rsidRPr="00A35CEC">
        <w:rPr>
          <w:rFonts w:ascii="Book Antiqua" w:hAnsi="Book Antiqua" w:cs="Arial"/>
          <w:color w:val="000000"/>
        </w:rPr>
        <w:t xml:space="preserve">peak in 2005, morbidity and mortality are forecasted to increase in the next </w:t>
      </w:r>
      <w:proofErr w:type="gramStart"/>
      <w:r w:rsidR="007D3823" w:rsidRPr="00A35CEC">
        <w:rPr>
          <w:rFonts w:ascii="Book Antiqua" w:hAnsi="Book Antiqua" w:cs="Arial"/>
          <w:color w:val="000000"/>
        </w:rPr>
        <w:t>years</w:t>
      </w:r>
      <w:r w:rsidRPr="00A35CEC">
        <w:rPr>
          <w:rFonts w:ascii="Book Antiqua" w:hAnsi="Book Antiqua" w:cs="Arial"/>
          <w:color w:val="000000"/>
          <w:vertAlign w:val="superscript"/>
        </w:rPr>
        <w:t>[</w:t>
      </w:r>
      <w:proofErr w:type="gramEnd"/>
      <w:r w:rsidRPr="00A35CEC">
        <w:rPr>
          <w:rFonts w:ascii="Book Antiqua" w:hAnsi="Book Antiqua" w:cs="Arial"/>
          <w:color w:val="000000"/>
          <w:vertAlign w:val="superscript"/>
        </w:rPr>
        <w:t>14,</w:t>
      </w:r>
      <w:r w:rsidR="00482E06" w:rsidRPr="00A35CEC">
        <w:rPr>
          <w:rFonts w:ascii="Book Antiqua" w:hAnsi="Book Antiqua" w:cs="Arial"/>
          <w:color w:val="000000"/>
          <w:vertAlign w:val="superscript"/>
        </w:rPr>
        <w:t>18]</w:t>
      </w:r>
      <w:r w:rsidR="00205004" w:rsidRPr="00A35CEC">
        <w:rPr>
          <w:rFonts w:ascii="Book Antiqua" w:hAnsi="Book Antiqua" w:cs="Arial"/>
          <w:color w:val="000000"/>
        </w:rPr>
        <w:t>.</w:t>
      </w:r>
      <w:r w:rsidR="00854113" w:rsidRPr="00A35CEC">
        <w:rPr>
          <w:rFonts w:ascii="Book Antiqua" w:hAnsi="Book Antiqua" w:cs="Arial"/>
          <w:color w:val="000000"/>
        </w:rPr>
        <w:t xml:space="preserve"> </w:t>
      </w:r>
      <w:r w:rsidR="00E844A1" w:rsidRPr="00A35CEC">
        <w:rPr>
          <w:rFonts w:ascii="Book Antiqua" w:hAnsi="Book Antiqua" w:cs="Arial"/>
          <w:color w:val="000000"/>
        </w:rPr>
        <w:t>Moreover, the diagnostic rate is low (</w:t>
      </w:r>
      <w:r w:rsidR="00BF1253" w:rsidRPr="00A35CEC">
        <w:rPr>
          <w:rFonts w:ascii="Book Antiqua" w:hAnsi="Book Antiqua" w:cs="Arial"/>
          <w:color w:val="000000"/>
        </w:rPr>
        <w:t xml:space="preserve">approximately </w:t>
      </w:r>
      <w:r w:rsidR="00E844A1" w:rsidRPr="00A35CEC">
        <w:rPr>
          <w:rFonts w:ascii="Book Antiqua" w:hAnsi="Book Antiqua" w:cs="Arial"/>
          <w:color w:val="000000"/>
        </w:rPr>
        <w:t>2</w:t>
      </w:r>
      <w:r w:rsidR="00C70556" w:rsidRPr="00A35CEC">
        <w:rPr>
          <w:rFonts w:ascii="Book Antiqua" w:hAnsi="Book Antiqua" w:cs="Arial"/>
          <w:color w:val="000000"/>
        </w:rPr>
        <w:t>0</w:t>
      </w:r>
      <w:r w:rsidR="00E844A1" w:rsidRPr="00A35CEC">
        <w:rPr>
          <w:rFonts w:ascii="Book Antiqua" w:hAnsi="Book Antiqua" w:cs="Arial"/>
          <w:color w:val="000000"/>
        </w:rPr>
        <w:t xml:space="preserve">%). </w:t>
      </w:r>
      <w:r w:rsidR="00B818E6" w:rsidRPr="00A35CEC">
        <w:rPr>
          <w:rFonts w:ascii="Book Antiqua" w:hAnsi="Book Antiqua" w:cs="Arial"/>
          <w:color w:val="000000"/>
        </w:rPr>
        <w:t>Except</w:t>
      </w:r>
      <w:r w:rsidR="007D3823" w:rsidRPr="00A35CEC">
        <w:rPr>
          <w:rFonts w:ascii="Book Antiqua" w:hAnsi="Book Antiqua" w:cs="Arial"/>
          <w:color w:val="000000"/>
        </w:rPr>
        <w:t xml:space="preserve"> for</w:t>
      </w:r>
      <w:r w:rsidR="000A7413" w:rsidRPr="00A35CEC">
        <w:rPr>
          <w:rFonts w:ascii="Book Antiqua" w:hAnsi="Book Antiqua" w:cs="Arial"/>
          <w:color w:val="000000"/>
        </w:rPr>
        <w:t xml:space="preserve"> </w:t>
      </w:r>
      <w:r w:rsidR="00B818E6" w:rsidRPr="00A35CEC">
        <w:rPr>
          <w:rFonts w:ascii="Book Antiqua" w:hAnsi="Book Antiqua" w:cs="Arial"/>
          <w:color w:val="000000"/>
        </w:rPr>
        <w:t xml:space="preserve">the significant </w:t>
      </w:r>
      <w:proofErr w:type="spellStart"/>
      <w:r w:rsidR="00B818E6" w:rsidRPr="00A35CEC">
        <w:rPr>
          <w:rFonts w:ascii="Book Antiqua" w:hAnsi="Book Antiqua" w:cs="Arial"/>
          <w:color w:val="000000"/>
        </w:rPr>
        <w:t>HCV</w:t>
      </w:r>
      <w:proofErr w:type="spellEnd"/>
      <w:r w:rsidR="00B818E6" w:rsidRPr="00A35CEC">
        <w:rPr>
          <w:rFonts w:ascii="Book Antiqua" w:hAnsi="Book Antiqua" w:cs="Arial"/>
          <w:color w:val="000000"/>
        </w:rPr>
        <w:t xml:space="preserve"> epidemic, Greece</w:t>
      </w:r>
      <w:r w:rsidR="00721041" w:rsidRPr="00A35CEC">
        <w:rPr>
          <w:rFonts w:ascii="Book Antiqua" w:hAnsi="Book Antiqua" w:cs="Arial"/>
          <w:color w:val="000000"/>
        </w:rPr>
        <w:t xml:space="preserve"> </w:t>
      </w:r>
      <w:r w:rsidR="00BF1253" w:rsidRPr="00A35CEC">
        <w:rPr>
          <w:rFonts w:ascii="Book Antiqua" w:hAnsi="Book Antiqua" w:cs="Arial"/>
          <w:color w:val="000000"/>
        </w:rPr>
        <w:t xml:space="preserve">has </w:t>
      </w:r>
      <w:r w:rsidR="00B818E6" w:rsidRPr="00A35CEC">
        <w:rPr>
          <w:rFonts w:ascii="Book Antiqua" w:hAnsi="Book Antiqua" w:cs="Arial"/>
          <w:color w:val="000000"/>
        </w:rPr>
        <w:t>face</w:t>
      </w:r>
      <w:r w:rsidR="00BF1253" w:rsidRPr="00A35CEC">
        <w:rPr>
          <w:rFonts w:ascii="Book Antiqua" w:hAnsi="Book Antiqua" w:cs="Arial"/>
          <w:color w:val="000000"/>
        </w:rPr>
        <w:t>d</w:t>
      </w:r>
      <w:r w:rsidR="00B818E6" w:rsidRPr="00A35CEC">
        <w:rPr>
          <w:rFonts w:ascii="Book Antiqua" w:hAnsi="Book Antiqua" w:cs="Arial"/>
          <w:color w:val="000000"/>
        </w:rPr>
        <w:t xml:space="preserve"> </w:t>
      </w:r>
      <w:r w:rsidR="00E67C3E" w:rsidRPr="00A35CEC">
        <w:rPr>
          <w:rFonts w:ascii="Book Antiqua" w:hAnsi="Book Antiqua" w:cs="Arial"/>
          <w:color w:val="000000"/>
        </w:rPr>
        <w:t>a substantial</w:t>
      </w:r>
      <w:r w:rsidR="00B818E6" w:rsidRPr="00A35CEC">
        <w:rPr>
          <w:rFonts w:ascii="Book Antiqua" w:hAnsi="Book Antiqua" w:cs="Arial"/>
          <w:color w:val="000000"/>
        </w:rPr>
        <w:t xml:space="preserve"> financial crisis since 200</w:t>
      </w:r>
      <w:r w:rsidR="0033010E" w:rsidRPr="00A35CEC">
        <w:rPr>
          <w:rFonts w:ascii="Book Antiqua" w:hAnsi="Book Antiqua" w:cs="Arial"/>
          <w:color w:val="000000"/>
        </w:rPr>
        <w:t>8</w:t>
      </w:r>
      <w:r w:rsidR="00B818E6" w:rsidRPr="00A35CEC">
        <w:rPr>
          <w:rFonts w:ascii="Book Antiqua" w:hAnsi="Book Antiqua" w:cs="Arial"/>
          <w:color w:val="000000"/>
        </w:rPr>
        <w:t xml:space="preserve">. Since then, the Greek economy </w:t>
      </w:r>
      <w:r w:rsidR="002C7501" w:rsidRPr="00A35CEC">
        <w:rPr>
          <w:rFonts w:ascii="Book Antiqua" w:hAnsi="Book Antiqua" w:cs="Arial"/>
          <w:color w:val="000000"/>
        </w:rPr>
        <w:t>has</w:t>
      </w:r>
      <w:r w:rsidR="00B818E6" w:rsidRPr="00A35CEC">
        <w:rPr>
          <w:rFonts w:ascii="Book Antiqua" w:hAnsi="Book Antiqua" w:cs="Arial"/>
          <w:color w:val="000000"/>
        </w:rPr>
        <w:t xml:space="preserve"> </w:t>
      </w:r>
      <w:r w:rsidR="00BF1253" w:rsidRPr="00A35CEC">
        <w:rPr>
          <w:rFonts w:ascii="Book Antiqua" w:hAnsi="Book Antiqua" w:cs="Arial"/>
          <w:color w:val="000000"/>
        </w:rPr>
        <w:t xml:space="preserve">substantially </w:t>
      </w:r>
      <w:r w:rsidR="000A7413" w:rsidRPr="00A35CEC">
        <w:rPr>
          <w:rFonts w:ascii="Book Antiqua" w:hAnsi="Book Antiqua" w:cs="Arial"/>
          <w:color w:val="000000"/>
        </w:rPr>
        <w:t>shrunk</w:t>
      </w:r>
      <w:r w:rsidR="00B818E6" w:rsidRPr="00A35CEC">
        <w:rPr>
          <w:rFonts w:ascii="Book Antiqua" w:hAnsi="Book Antiqua" w:cs="Arial"/>
          <w:color w:val="000000"/>
        </w:rPr>
        <w:t xml:space="preserve">; the </w:t>
      </w:r>
      <w:r w:rsidRPr="00A35CEC">
        <w:rPr>
          <w:rFonts w:ascii="Book Antiqua" w:hAnsi="Book Antiqua" w:cs="Arial"/>
          <w:color w:val="000000"/>
        </w:rPr>
        <w:t>gross domestic product </w:t>
      </w:r>
      <w:r w:rsidR="001C0643" w:rsidRPr="00A35CEC">
        <w:rPr>
          <w:rFonts w:ascii="Book Antiqua" w:hAnsi="Book Antiqua" w:cs="Arial"/>
          <w:color w:val="000000"/>
        </w:rPr>
        <w:t xml:space="preserve">(GDP) </w:t>
      </w:r>
      <w:r w:rsidR="00A812C9" w:rsidRPr="00A35CEC">
        <w:rPr>
          <w:rFonts w:ascii="Book Antiqua" w:hAnsi="Book Antiqua" w:cs="Arial"/>
          <w:color w:val="000000"/>
        </w:rPr>
        <w:t xml:space="preserve">fell by 22%, </w:t>
      </w:r>
      <w:r w:rsidR="00B818E6" w:rsidRPr="00A35CEC">
        <w:rPr>
          <w:rFonts w:ascii="Book Antiqua" w:hAnsi="Book Antiqua" w:cs="Arial"/>
          <w:color w:val="000000"/>
        </w:rPr>
        <w:t xml:space="preserve">about one-fifth of the </w:t>
      </w:r>
      <w:r w:rsidR="00A812C9" w:rsidRPr="00A35CEC">
        <w:rPr>
          <w:rFonts w:ascii="Book Antiqua" w:hAnsi="Book Antiqua" w:cs="Arial"/>
          <w:color w:val="000000"/>
        </w:rPr>
        <w:t xml:space="preserve">aggregate production was lost and </w:t>
      </w:r>
      <w:r w:rsidR="00B818E6" w:rsidRPr="00A35CEC">
        <w:rPr>
          <w:rFonts w:ascii="Book Antiqua" w:hAnsi="Book Antiqua" w:cs="Arial"/>
          <w:color w:val="000000"/>
        </w:rPr>
        <w:t xml:space="preserve">the public pharmaceutical expenditure </w:t>
      </w:r>
      <w:r w:rsidR="00612AC1" w:rsidRPr="00A35CEC">
        <w:rPr>
          <w:rFonts w:ascii="Book Antiqua" w:hAnsi="Book Antiqua" w:cs="Arial"/>
          <w:color w:val="000000"/>
        </w:rPr>
        <w:t>was reduced by</w:t>
      </w:r>
      <w:r w:rsidR="00B818E6" w:rsidRPr="00A35CEC">
        <w:rPr>
          <w:rFonts w:ascii="Book Antiqua" w:hAnsi="Book Antiqua" w:cs="Arial"/>
          <w:color w:val="000000"/>
        </w:rPr>
        <w:t xml:space="preserve"> more than 50</w:t>
      </w:r>
      <w:proofErr w:type="gramStart"/>
      <w:r w:rsidR="00B818E6" w:rsidRPr="00A35CEC">
        <w:rPr>
          <w:rFonts w:ascii="Book Antiqua" w:hAnsi="Book Antiqua" w:cs="Arial"/>
          <w:color w:val="000000"/>
        </w:rPr>
        <w:t>%</w:t>
      </w:r>
      <w:r w:rsidR="00482E06" w:rsidRPr="00A35CEC">
        <w:rPr>
          <w:rFonts w:ascii="Book Antiqua" w:hAnsi="Book Antiqua" w:cs="Arial"/>
          <w:color w:val="000000"/>
          <w:vertAlign w:val="superscript"/>
        </w:rPr>
        <w:t>[</w:t>
      </w:r>
      <w:proofErr w:type="gramEnd"/>
      <w:r w:rsidR="00482E06" w:rsidRPr="00A35CEC">
        <w:rPr>
          <w:rFonts w:ascii="Book Antiqua" w:hAnsi="Book Antiqua" w:cs="Arial"/>
          <w:color w:val="000000"/>
          <w:vertAlign w:val="superscript"/>
        </w:rPr>
        <w:t>19]</w:t>
      </w:r>
      <w:r w:rsidR="00B818E6" w:rsidRPr="00A35CEC">
        <w:rPr>
          <w:rFonts w:ascii="Book Antiqua" w:hAnsi="Book Antiqua" w:cs="Arial"/>
          <w:color w:val="000000"/>
        </w:rPr>
        <w:t xml:space="preserve">. </w:t>
      </w:r>
    </w:p>
    <w:p w14:paraId="739683AD" w14:textId="3B3A3B2F" w:rsidR="00E844A1" w:rsidRPr="00A35CEC" w:rsidRDefault="00B7369C">
      <w:pPr>
        <w:autoSpaceDE w:val="0"/>
        <w:autoSpaceDN w:val="0"/>
        <w:adjustRightInd w:val="0"/>
        <w:snapToGrid w:val="0"/>
        <w:spacing w:line="360" w:lineRule="auto"/>
        <w:jc w:val="both"/>
        <w:rPr>
          <w:rFonts w:ascii="Book Antiqua" w:hAnsi="Book Antiqua" w:cs="Arial"/>
          <w:color w:val="000000"/>
        </w:rPr>
      </w:pPr>
      <w:r w:rsidRPr="00A35CEC">
        <w:rPr>
          <w:rFonts w:ascii="Book Antiqua" w:hAnsi="Book Antiqua" w:cs="Arial"/>
          <w:color w:val="000000"/>
        </w:rPr>
        <w:t xml:space="preserve">  </w:t>
      </w:r>
      <w:r w:rsidR="0058143F" w:rsidRPr="00A35CEC">
        <w:rPr>
          <w:rFonts w:ascii="Book Antiqua" w:hAnsi="Book Antiqua" w:cs="Arial"/>
          <w:color w:val="000000"/>
        </w:rPr>
        <w:t xml:space="preserve">Recently, a modeling study </w:t>
      </w:r>
      <w:r w:rsidR="00D81BB2" w:rsidRPr="00A35CEC">
        <w:rPr>
          <w:rFonts w:ascii="Book Antiqua" w:hAnsi="Book Antiqua" w:cs="Arial"/>
          <w:color w:val="000000"/>
        </w:rPr>
        <w:t>quantified the</w:t>
      </w:r>
      <w:r w:rsidR="0058143F" w:rsidRPr="00A35CEC">
        <w:rPr>
          <w:rFonts w:ascii="Book Antiqua" w:hAnsi="Book Antiqua" w:cs="Arial"/>
          <w:color w:val="000000"/>
        </w:rPr>
        <w:t xml:space="preserve"> impact of </w:t>
      </w:r>
      <w:proofErr w:type="spellStart"/>
      <w:r w:rsidR="0058143F" w:rsidRPr="00A35CEC">
        <w:rPr>
          <w:rFonts w:ascii="Book Antiqua" w:hAnsi="Book Antiqua" w:cs="Arial"/>
          <w:color w:val="000000"/>
        </w:rPr>
        <w:t>IFN</w:t>
      </w:r>
      <w:proofErr w:type="spellEnd"/>
      <w:r w:rsidR="0058143F" w:rsidRPr="00A35CEC">
        <w:rPr>
          <w:rFonts w:ascii="Book Antiqua" w:hAnsi="Book Antiqua" w:cs="Arial"/>
          <w:color w:val="000000"/>
        </w:rPr>
        <w:t xml:space="preserve">-free </w:t>
      </w:r>
      <w:proofErr w:type="spellStart"/>
      <w:r w:rsidR="0058143F" w:rsidRPr="00A35CEC">
        <w:rPr>
          <w:rFonts w:ascii="Book Antiqua" w:hAnsi="Book Antiqua" w:cs="Arial"/>
          <w:color w:val="000000"/>
        </w:rPr>
        <w:t>DAAs</w:t>
      </w:r>
      <w:proofErr w:type="spellEnd"/>
      <w:r w:rsidR="0058143F" w:rsidRPr="00A35CEC">
        <w:rPr>
          <w:rFonts w:ascii="Book Antiqua" w:hAnsi="Book Antiqua" w:cs="Arial"/>
          <w:color w:val="000000"/>
        </w:rPr>
        <w:t xml:space="preserve"> on </w:t>
      </w:r>
      <w:proofErr w:type="spellStart"/>
      <w:r w:rsidR="0058143F" w:rsidRPr="00A35CEC">
        <w:rPr>
          <w:rFonts w:ascii="Book Antiqua" w:hAnsi="Book Antiqua" w:cs="Arial"/>
          <w:color w:val="000000"/>
        </w:rPr>
        <w:t>HCV</w:t>
      </w:r>
      <w:proofErr w:type="spellEnd"/>
      <w:r w:rsidR="0058143F" w:rsidRPr="00A35CEC">
        <w:rPr>
          <w:rFonts w:ascii="Book Antiqua" w:hAnsi="Book Antiqua" w:cs="Arial"/>
          <w:color w:val="000000"/>
        </w:rPr>
        <w:t xml:space="preserve">-related morbidity and mortality in Greece under </w:t>
      </w:r>
      <w:r w:rsidR="00A648E6" w:rsidRPr="00A35CEC">
        <w:rPr>
          <w:rFonts w:ascii="Book Antiqua" w:hAnsi="Book Antiqua" w:cs="Arial"/>
          <w:color w:val="000000"/>
        </w:rPr>
        <w:t xml:space="preserve">the </w:t>
      </w:r>
      <w:r w:rsidRPr="00A35CEC">
        <w:rPr>
          <w:rFonts w:ascii="Book Antiqua" w:hAnsi="Book Antiqua" w:cs="Arial"/>
          <w:color w:val="000000"/>
        </w:rPr>
        <w:t>World Health Organization (</w:t>
      </w:r>
      <w:r w:rsidR="0058143F" w:rsidRPr="00A35CEC">
        <w:rPr>
          <w:rFonts w:ascii="Book Antiqua" w:hAnsi="Book Antiqua" w:cs="Arial"/>
          <w:color w:val="000000"/>
        </w:rPr>
        <w:t>WHO</w:t>
      </w:r>
      <w:r w:rsidRPr="00A35CEC">
        <w:rPr>
          <w:rFonts w:ascii="Book Antiqua" w:hAnsi="Book Antiqua" w:cs="Arial"/>
          <w:color w:val="000000"/>
        </w:rPr>
        <w:t>)</w:t>
      </w:r>
      <w:r w:rsidR="0058143F" w:rsidRPr="00A35CEC">
        <w:rPr>
          <w:rFonts w:ascii="Book Antiqua" w:hAnsi="Book Antiqua" w:cs="Arial"/>
          <w:color w:val="000000"/>
        </w:rPr>
        <w:t xml:space="preserve"> Global Hepatitis </w:t>
      </w:r>
      <w:proofErr w:type="gramStart"/>
      <w:r w:rsidR="0058143F" w:rsidRPr="00A35CEC">
        <w:rPr>
          <w:rFonts w:ascii="Book Antiqua" w:hAnsi="Book Antiqua" w:cs="Arial"/>
          <w:color w:val="000000"/>
        </w:rPr>
        <w:t>Strategy</w:t>
      </w:r>
      <w:r w:rsidR="00482E06" w:rsidRPr="00A35CEC">
        <w:rPr>
          <w:rFonts w:ascii="Book Antiqua" w:hAnsi="Book Antiqua" w:cs="Arial"/>
          <w:color w:val="000000"/>
          <w:vertAlign w:val="superscript"/>
        </w:rPr>
        <w:t>[</w:t>
      </w:r>
      <w:proofErr w:type="gramEnd"/>
      <w:r w:rsidR="00482E06" w:rsidRPr="00A35CEC">
        <w:rPr>
          <w:rFonts w:ascii="Book Antiqua" w:hAnsi="Book Antiqua" w:cs="Arial"/>
          <w:color w:val="000000"/>
          <w:vertAlign w:val="superscript"/>
        </w:rPr>
        <w:t>14]</w:t>
      </w:r>
      <w:r w:rsidR="00712FB3" w:rsidRPr="00A35CEC">
        <w:rPr>
          <w:rFonts w:ascii="Book Antiqua" w:hAnsi="Book Antiqua" w:cs="Arial"/>
          <w:color w:val="000000"/>
        </w:rPr>
        <w:t>.</w:t>
      </w:r>
      <w:r w:rsidR="00A66623" w:rsidRPr="00A35CEC">
        <w:rPr>
          <w:rFonts w:ascii="Book Antiqua" w:hAnsi="Book Antiqua" w:cs="Arial"/>
          <w:color w:val="000000"/>
        </w:rPr>
        <w:t xml:space="preserve"> </w:t>
      </w:r>
      <w:r w:rsidR="00E513D0" w:rsidRPr="00A35CEC">
        <w:rPr>
          <w:rFonts w:ascii="Book Antiqua" w:hAnsi="Book Antiqua" w:cs="Arial"/>
          <w:color w:val="000000"/>
        </w:rPr>
        <w:t>This</w:t>
      </w:r>
      <w:r w:rsidR="00882D23" w:rsidRPr="00A35CEC">
        <w:rPr>
          <w:rFonts w:ascii="Book Antiqua" w:hAnsi="Book Antiqua" w:cs="Arial"/>
          <w:color w:val="000000"/>
        </w:rPr>
        <w:t xml:space="preserve"> </w:t>
      </w:r>
      <w:r w:rsidR="00430453" w:rsidRPr="00A35CEC">
        <w:rPr>
          <w:rFonts w:ascii="Book Antiqua" w:hAnsi="Book Antiqua" w:cs="Arial"/>
          <w:color w:val="000000"/>
        </w:rPr>
        <w:t xml:space="preserve">study </w:t>
      </w:r>
      <w:r w:rsidR="00E40444" w:rsidRPr="00A35CEC">
        <w:rPr>
          <w:rFonts w:ascii="Book Antiqua" w:hAnsi="Book Antiqua" w:cs="Arial"/>
          <w:color w:val="000000"/>
        </w:rPr>
        <w:t xml:space="preserve">showed </w:t>
      </w:r>
      <w:r w:rsidR="00430453" w:rsidRPr="00A35CEC">
        <w:rPr>
          <w:rFonts w:ascii="Book Antiqua" w:hAnsi="Book Antiqua" w:cs="Arial"/>
          <w:color w:val="000000"/>
        </w:rPr>
        <w:t>that improved prevention strategies, large and effect</w:t>
      </w:r>
      <w:r w:rsidR="00B1617A" w:rsidRPr="00A35CEC">
        <w:rPr>
          <w:rFonts w:ascii="Book Antiqua" w:hAnsi="Book Antiqua" w:cs="Arial"/>
          <w:color w:val="000000"/>
        </w:rPr>
        <w:t>ive screening program</w:t>
      </w:r>
      <w:r w:rsidR="00430453" w:rsidRPr="00A35CEC">
        <w:rPr>
          <w:rFonts w:ascii="Book Antiqua" w:hAnsi="Book Antiqua" w:cs="Arial"/>
          <w:color w:val="000000"/>
        </w:rPr>
        <w:t xml:space="preserve">s and increased treatment coverage with </w:t>
      </w:r>
      <w:proofErr w:type="spellStart"/>
      <w:r w:rsidR="00430453" w:rsidRPr="00A35CEC">
        <w:rPr>
          <w:rFonts w:ascii="Book Antiqua" w:hAnsi="Book Antiqua" w:cs="Arial"/>
          <w:color w:val="000000"/>
        </w:rPr>
        <w:t>DAAs</w:t>
      </w:r>
      <w:proofErr w:type="spellEnd"/>
      <w:r w:rsidR="00430453" w:rsidRPr="00A35CEC">
        <w:rPr>
          <w:rFonts w:ascii="Book Antiqua" w:hAnsi="Book Antiqua" w:cs="Arial"/>
          <w:color w:val="000000"/>
        </w:rPr>
        <w:t xml:space="preserve"> </w:t>
      </w:r>
      <w:r w:rsidR="00E40444" w:rsidRPr="00A35CEC">
        <w:rPr>
          <w:rFonts w:ascii="Book Antiqua" w:hAnsi="Book Antiqua" w:cs="Arial"/>
          <w:color w:val="000000"/>
        </w:rPr>
        <w:t xml:space="preserve">were </w:t>
      </w:r>
      <w:r w:rsidR="00430453" w:rsidRPr="00A35CEC">
        <w:rPr>
          <w:rFonts w:ascii="Book Antiqua" w:hAnsi="Book Antiqua" w:cs="Arial"/>
          <w:color w:val="000000"/>
        </w:rPr>
        <w:t xml:space="preserve">necessary to reach the goal of </w:t>
      </w:r>
      <w:proofErr w:type="spellStart"/>
      <w:r w:rsidR="00430453" w:rsidRPr="00A35CEC">
        <w:rPr>
          <w:rFonts w:ascii="Book Antiqua" w:hAnsi="Book Antiqua" w:cs="Arial"/>
          <w:color w:val="000000"/>
        </w:rPr>
        <w:t>HCV</w:t>
      </w:r>
      <w:proofErr w:type="spellEnd"/>
      <w:r w:rsidR="00430453" w:rsidRPr="00A35CEC">
        <w:rPr>
          <w:rFonts w:ascii="Book Antiqua" w:hAnsi="Book Antiqua" w:cs="Arial"/>
          <w:color w:val="000000"/>
        </w:rPr>
        <w:t xml:space="preserve"> elimination in Greece </w:t>
      </w:r>
      <w:r w:rsidR="00851E3B" w:rsidRPr="00A35CEC">
        <w:rPr>
          <w:rFonts w:ascii="Book Antiqua" w:hAnsi="Book Antiqua" w:cs="Arial"/>
          <w:color w:val="000000"/>
        </w:rPr>
        <w:t xml:space="preserve">by </w:t>
      </w:r>
      <w:r w:rsidR="00430453" w:rsidRPr="00A35CEC">
        <w:rPr>
          <w:rFonts w:ascii="Book Antiqua" w:hAnsi="Book Antiqua" w:cs="Arial"/>
          <w:color w:val="000000"/>
        </w:rPr>
        <w:t>2030.</w:t>
      </w:r>
      <w:r w:rsidR="00FF77A3" w:rsidRPr="00A35CEC">
        <w:rPr>
          <w:rFonts w:ascii="Book Antiqua" w:hAnsi="Book Antiqua" w:cs="Arial"/>
          <w:color w:val="000000"/>
        </w:rPr>
        <w:t xml:space="preserve"> </w:t>
      </w:r>
      <w:r w:rsidR="00430453" w:rsidRPr="00A35CEC">
        <w:rPr>
          <w:rFonts w:ascii="Book Antiqua" w:hAnsi="Book Antiqua" w:cs="Arial"/>
          <w:color w:val="000000"/>
        </w:rPr>
        <w:t xml:space="preserve">To implement </w:t>
      </w:r>
      <w:r w:rsidR="0066335C" w:rsidRPr="00A35CEC">
        <w:rPr>
          <w:rFonts w:ascii="Book Antiqua" w:hAnsi="Book Antiqua" w:cs="Arial"/>
          <w:color w:val="000000"/>
        </w:rPr>
        <w:t>this</w:t>
      </w:r>
      <w:r w:rsidR="00E40444" w:rsidRPr="00A35CEC">
        <w:rPr>
          <w:rFonts w:ascii="Book Antiqua" w:hAnsi="Book Antiqua" w:cs="Arial"/>
          <w:color w:val="000000"/>
        </w:rPr>
        <w:t xml:space="preserve"> </w:t>
      </w:r>
      <w:r w:rsidR="003227F0" w:rsidRPr="00A35CEC">
        <w:rPr>
          <w:rFonts w:ascii="Book Antiqua" w:hAnsi="Book Antiqua" w:cs="Arial"/>
          <w:color w:val="000000"/>
        </w:rPr>
        <w:t>strategy,</w:t>
      </w:r>
      <w:r w:rsidR="00882D23" w:rsidRPr="00A35CEC">
        <w:rPr>
          <w:rFonts w:ascii="Book Antiqua" w:hAnsi="Book Antiqua" w:cs="Arial"/>
          <w:color w:val="000000"/>
        </w:rPr>
        <w:t xml:space="preserve"> it</w:t>
      </w:r>
      <w:r w:rsidR="003227F0" w:rsidRPr="00A35CEC">
        <w:rPr>
          <w:rFonts w:ascii="Book Antiqua" w:hAnsi="Book Antiqua" w:cs="Arial"/>
          <w:color w:val="000000"/>
        </w:rPr>
        <w:t xml:space="preserve"> </w:t>
      </w:r>
      <w:r w:rsidR="00430453" w:rsidRPr="00A35CEC">
        <w:rPr>
          <w:rFonts w:ascii="Book Antiqua" w:hAnsi="Book Antiqua" w:cs="Arial"/>
          <w:color w:val="000000"/>
        </w:rPr>
        <w:t xml:space="preserve">is </w:t>
      </w:r>
      <w:r w:rsidR="00430453" w:rsidRPr="00A35CEC">
        <w:rPr>
          <w:rFonts w:ascii="Book Antiqua" w:hAnsi="Book Antiqua" w:cs="Arial"/>
          <w:color w:val="000000"/>
        </w:rPr>
        <w:lastRenderedPageBreak/>
        <w:t xml:space="preserve">vital to consider the </w:t>
      </w:r>
      <w:r w:rsidR="00854113" w:rsidRPr="00A35CEC">
        <w:rPr>
          <w:rFonts w:ascii="Book Antiqua" w:hAnsi="Book Antiqua" w:cs="Arial"/>
          <w:color w:val="000000"/>
        </w:rPr>
        <w:t>cost</w:t>
      </w:r>
      <w:r w:rsidR="00A657F9" w:rsidRPr="00A35CEC">
        <w:rPr>
          <w:rFonts w:ascii="Book Antiqua" w:hAnsi="Book Antiqua" w:cs="Arial"/>
          <w:color w:val="000000"/>
        </w:rPr>
        <w:t xml:space="preserve"> of the proposed strategy</w:t>
      </w:r>
      <w:r w:rsidR="00991686" w:rsidRPr="00A35CEC">
        <w:rPr>
          <w:rFonts w:ascii="Book Antiqua" w:hAnsi="Book Antiqua" w:cs="Arial"/>
          <w:color w:val="000000"/>
        </w:rPr>
        <w:t xml:space="preserve">, </w:t>
      </w:r>
      <w:r w:rsidR="00430453" w:rsidRPr="00A35CEC">
        <w:rPr>
          <w:rFonts w:ascii="Book Antiqua" w:hAnsi="Book Antiqua" w:cs="Arial"/>
          <w:color w:val="000000"/>
        </w:rPr>
        <w:t>which poses significant financial challenges for</w:t>
      </w:r>
      <w:r w:rsidR="00E844A1" w:rsidRPr="00A35CEC">
        <w:rPr>
          <w:rFonts w:ascii="Book Antiqua" w:hAnsi="Book Antiqua" w:cs="Arial"/>
          <w:color w:val="000000"/>
        </w:rPr>
        <w:t xml:space="preserve"> the</w:t>
      </w:r>
      <w:r w:rsidR="00430453" w:rsidRPr="00A35CEC">
        <w:rPr>
          <w:rFonts w:ascii="Book Antiqua" w:hAnsi="Book Antiqua" w:cs="Arial"/>
          <w:color w:val="000000"/>
        </w:rPr>
        <w:t xml:space="preserve"> healthcare system</w:t>
      </w:r>
      <w:r w:rsidR="00CF7110" w:rsidRPr="00A35CEC">
        <w:rPr>
          <w:rFonts w:ascii="Book Antiqua" w:hAnsi="Book Antiqua" w:cs="Arial"/>
          <w:color w:val="000000"/>
        </w:rPr>
        <w:t xml:space="preserve">. </w:t>
      </w:r>
    </w:p>
    <w:p w14:paraId="704681E0" w14:textId="77777777" w:rsidR="002E398B" w:rsidRPr="00A35CEC" w:rsidRDefault="00B7369C">
      <w:pPr>
        <w:autoSpaceDE w:val="0"/>
        <w:autoSpaceDN w:val="0"/>
        <w:adjustRightInd w:val="0"/>
        <w:snapToGrid w:val="0"/>
        <w:spacing w:line="360" w:lineRule="auto"/>
        <w:jc w:val="both"/>
        <w:rPr>
          <w:rFonts w:ascii="Book Antiqua" w:eastAsia="Calibri" w:hAnsi="Book Antiqua" w:cs="Arial"/>
          <w:color w:val="000000"/>
        </w:rPr>
      </w:pPr>
      <w:r w:rsidRPr="00A35CEC">
        <w:rPr>
          <w:rFonts w:ascii="Book Antiqua" w:hAnsi="Book Antiqua" w:cs="Arial"/>
          <w:color w:val="000000"/>
        </w:rPr>
        <w:t xml:space="preserve">  </w:t>
      </w:r>
      <w:r w:rsidR="00CE37CA" w:rsidRPr="00A35CEC">
        <w:rPr>
          <w:rFonts w:ascii="Book Antiqua" w:hAnsi="Book Antiqua" w:cs="Arial"/>
          <w:color w:val="000000"/>
        </w:rPr>
        <w:t>The aim</w:t>
      </w:r>
      <w:r w:rsidR="002E398B" w:rsidRPr="00A35CEC">
        <w:rPr>
          <w:rFonts w:ascii="Book Antiqua" w:hAnsi="Book Antiqua" w:cs="Arial"/>
          <w:color w:val="000000"/>
        </w:rPr>
        <w:t>s</w:t>
      </w:r>
      <w:r w:rsidR="00CE37CA" w:rsidRPr="00A35CEC">
        <w:rPr>
          <w:rFonts w:ascii="Book Antiqua" w:hAnsi="Book Antiqua" w:cs="Arial"/>
          <w:color w:val="000000"/>
        </w:rPr>
        <w:t xml:space="preserve"> of this study </w:t>
      </w:r>
      <w:r w:rsidRPr="00A35CEC">
        <w:rPr>
          <w:rFonts w:ascii="Book Antiqua" w:eastAsia="Calibri" w:hAnsi="Book Antiqua" w:cs="Arial"/>
          <w:color w:val="000000"/>
        </w:rPr>
        <w:t>are (1</w:t>
      </w:r>
      <w:r w:rsidR="002E398B" w:rsidRPr="00A35CEC">
        <w:rPr>
          <w:rFonts w:ascii="Book Antiqua" w:eastAsia="Calibri" w:hAnsi="Book Antiqua" w:cs="Arial"/>
          <w:color w:val="000000"/>
        </w:rPr>
        <w:t xml:space="preserve">) to estimate the required interventions to achieve elimination using updated information for </w:t>
      </w:r>
      <w:proofErr w:type="spellStart"/>
      <w:r w:rsidR="002E398B" w:rsidRPr="00A35CEC">
        <w:rPr>
          <w:rFonts w:ascii="Book Antiqua" w:eastAsia="Calibri" w:hAnsi="Book Antiqua" w:cs="Arial"/>
          <w:color w:val="000000"/>
        </w:rPr>
        <w:t>DAA</w:t>
      </w:r>
      <w:proofErr w:type="spellEnd"/>
      <w:r w:rsidR="002E398B" w:rsidRPr="00A35CEC">
        <w:rPr>
          <w:rFonts w:ascii="Book Antiqua" w:eastAsia="Calibri" w:hAnsi="Book Antiqua" w:cs="Arial"/>
          <w:color w:val="000000"/>
        </w:rPr>
        <w:t xml:space="preserve"> treatment</w:t>
      </w:r>
      <w:r w:rsidR="00FD2B4F" w:rsidRPr="00A35CEC">
        <w:rPr>
          <w:rFonts w:ascii="Book Antiqua" w:eastAsia="Calibri" w:hAnsi="Book Antiqua" w:cs="Arial"/>
          <w:color w:val="000000"/>
        </w:rPr>
        <w:t xml:space="preserve"> coverage</w:t>
      </w:r>
      <w:r w:rsidRPr="00A35CEC">
        <w:rPr>
          <w:rFonts w:ascii="Book Antiqua" w:eastAsia="Calibri" w:hAnsi="Book Antiqua" w:cs="Arial"/>
          <w:color w:val="000000"/>
        </w:rPr>
        <w:t>, (2</w:t>
      </w:r>
      <w:r w:rsidR="002E398B" w:rsidRPr="00A35CEC">
        <w:rPr>
          <w:rFonts w:ascii="Book Antiqua" w:eastAsia="Calibri" w:hAnsi="Book Antiqua" w:cs="Arial"/>
          <w:color w:val="000000"/>
        </w:rPr>
        <w:t>) to compute the total costs (including the indirect c</w:t>
      </w:r>
      <w:r w:rsidRPr="00A35CEC">
        <w:rPr>
          <w:rFonts w:ascii="Book Antiqua" w:eastAsia="Calibri" w:hAnsi="Book Antiqua" w:cs="Arial"/>
          <w:color w:val="000000"/>
        </w:rPr>
        <w:t>osts) of the strategy and to (3</w:t>
      </w:r>
      <w:r w:rsidR="002E398B" w:rsidRPr="00A35CEC">
        <w:rPr>
          <w:rFonts w:ascii="Book Antiqua" w:eastAsia="Calibri" w:hAnsi="Book Antiqua" w:cs="Arial"/>
          <w:color w:val="000000"/>
        </w:rPr>
        <w:t>) identify whether the elimination</w:t>
      </w:r>
      <w:r w:rsidR="00FD2B4F" w:rsidRPr="00A35CEC">
        <w:rPr>
          <w:rFonts w:ascii="Book Antiqua" w:eastAsia="Calibri" w:hAnsi="Book Antiqua" w:cs="Arial"/>
          <w:color w:val="000000"/>
        </w:rPr>
        <w:t xml:space="preserve"> strategy is cost-effective</w:t>
      </w:r>
      <w:r w:rsidR="002E398B" w:rsidRPr="00A35CEC">
        <w:rPr>
          <w:rFonts w:ascii="Book Antiqua" w:eastAsia="Calibri" w:hAnsi="Book Antiqua" w:cs="Arial"/>
          <w:color w:val="000000"/>
        </w:rPr>
        <w:t xml:space="preserve"> </w:t>
      </w:r>
      <w:r w:rsidR="00A62F28" w:rsidRPr="00A35CEC">
        <w:rPr>
          <w:rFonts w:ascii="Book Antiqua" w:eastAsia="Calibri" w:hAnsi="Book Antiqua" w:cs="Arial"/>
          <w:color w:val="000000"/>
        </w:rPr>
        <w:t xml:space="preserve">for </w:t>
      </w:r>
      <w:r w:rsidR="002E398B" w:rsidRPr="00A35CEC">
        <w:rPr>
          <w:rFonts w:ascii="Book Antiqua" w:eastAsia="Calibri" w:hAnsi="Book Antiqua" w:cs="Arial"/>
          <w:color w:val="000000"/>
        </w:rPr>
        <w:t>Greece.</w:t>
      </w:r>
    </w:p>
    <w:p w14:paraId="5BF15C4B" w14:textId="77777777" w:rsidR="002E398B" w:rsidRPr="00A35CEC" w:rsidRDefault="002E398B">
      <w:pPr>
        <w:autoSpaceDE w:val="0"/>
        <w:autoSpaceDN w:val="0"/>
        <w:adjustRightInd w:val="0"/>
        <w:snapToGrid w:val="0"/>
        <w:spacing w:line="360" w:lineRule="auto"/>
        <w:jc w:val="both"/>
        <w:rPr>
          <w:rFonts w:ascii="Book Antiqua" w:hAnsi="Book Antiqua" w:cs="Arial"/>
          <w:color w:val="000000"/>
        </w:rPr>
      </w:pPr>
    </w:p>
    <w:p w14:paraId="556E9511" w14:textId="77777777" w:rsidR="00704DA5" w:rsidRPr="00A35CEC" w:rsidRDefault="00932505">
      <w:pPr>
        <w:autoSpaceDE w:val="0"/>
        <w:autoSpaceDN w:val="0"/>
        <w:adjustRightInd w:val="0"/>
        <w:snapToGrid w:val="0"/>
        <w:spacing w:line="360" w:lineRule="auto"/>
        <w:jc w:val="both"/>
        <w:rPr>
          <w:rFonts w:ascii="Book Antiqua" w:hAnsi="Book Antiqua" w:cs="Arial"/>
          <w:b/>
          <w:color w:val="000000"/>
        </w:rPr>
      </w:pPr>
      <w:r w:rsidRPr="00A35CEC">
        <w:rPr>
          <w:rFonts w:ascii="Book Antiqua" w:hAnsi="Book Antiqua" w:cs="Arial"/>
          <w:b/>
          <w:color w:val="000000"/>
        </w:rPr>
        <w:t>MATERIALS AND METHODS</w:t>
      </w:r>
    </w:p>
    <w:p w14:paraId="0E5995A1" w14:textId="77777777" w:rsidR="009E0CC3" w:rsidRPr="00A35CEC" w:rsidRDefault="00B7369C">
      <w:pPr>
        <w:adjustRightInd w:val="0"/>
        <w:snapToGrid w:val="0"/>
        <w:spacing w:line="360" w:lineRule="auto"/>
        <w:jc w:val="both"/>
        <w:rPr>
          <w:rFonts w:ascii="Book Antiqua" w:hAnsi="Book Antiqua"/>
          <w:b/>
          <w:i/>
        </w:rPr>
      </w:pPr>
      <w:r w:rsidRPr="00A35CEC">
        <w:rPr>
          <w:rFonts w:ascii="Book Antiqua" w:hAnsi="Book Antiqua"/>
          <w:b/>
          <w:i/>
        </w:rPr>
        <w:t>Disease burden model</w:t>
      </w:r>
    </w:p>
    <w:p w14:paraId="1DCDFCE9" w14:textId="1E0C997F" w:rsidR="009E0CC3" w:rsidRPr="00A35CEC" w:rsidRDefault="00082A8B">
      <w:pPr>
        <w:autoSpaceDE w:val="0"/>
        <w:autoSpaceDN w:val="0"/>
        <w:adjustRightInd w:val="0"/>
        <w:snapToGrid w:val="0"/>
        <w:spacing w:line="360" w:lineRule="auto"/>
        <w:jc w:val="both"/>
        <w:rPr>
          <w:rFonts w:ascii="Book Antiqua" w:hAnsi="Book Antiqua" w:cs="Arial"/>
        </w:rPr>
      </w:pPr>
      <w:r w:rsidRPr="00A35CEC">
        <w:rPr>
          <w:rFonts w:ascii="Book Antiqua" w:hAnsi="Book Antiqua" w:cs="Arial"/>
        </w:rPr>
        <w:t>To estimate the current number of patients in the various disease stages</w:t>
      </w:r>
      <w:r w:rsidR="00F83D0B" w:rsidRPr="00A35CEC">
        <w:rPr>
          <w:rFonts w:ascii="Book Antiqua" w:hAnsi="Book Antiqua" w:cs="Arial"/>
        </w:rPr>
        <w:t xml:space="preserve"> and</w:t>
      </w:r>
      <w:r w:rsidRPr="00A35CEC">
        <w:rPr>
          <w:rFonts w:ascii="Book Antiqua" w:hAnsi="Book Antiqua" w:cs="Arial"/>
        </w:rPr>
        <w:t xml:space="preserve"> to project the future </w:t>
      </w:r>
      <w:r w:rsidR="00F83D0B" w:rsidRPr="00A35CEC">
        <w:rPr>
          <w:rFonts w:ascii="Book Antiqua" w:hAnsi="Book Antiqua" w:cs="Arial"/>
        </w:rPr>
        <w:t xml:space="preserve">disease </w:t>
      </w:r>
      <w:r w:rsidRPr="00A35CEC">
        <w:rPr>
          <w:rFonts w:ascii="Book Antiqua" w:hAnsi="Book Antiqua" w:cs="Arial"/>
        </w:rPr>
        <w:t xml:space="preserve">burden and the </w:t>
      </w:r>
      <w:r w:rsidR="00F83D0B" w:rsidRPr="00A35CEC">
        <w:rPr>
          <w:rFonts w:ascii="Book Antiqua" w:hAnsi="Book Antiqua" w:cs="Arial"/>
        </w:rPr>
        <w:t xml:space="preserve">associated </w:t>
      </w:r>
      <w:r w:rsidRPr="00A35CEC">
        <w:rPr>
          <w:rFonts w:ascii="Book Antiqua" w:hAnsi="Book Antiqua" w:cs="Arial"/>
        </w:rPr>
        <w:t>costs, we used a</w:t>
      </w:r>
      <w:r w:rsidR="009E0CC3" w:rsidRPr="00A35CEC">
        <w:rPr>
          <w:rFonts w:ascii="Book Antiqua" w:hAnsi="Book Antiqua" w:cs="Arial"/>
        </w:rPr>
        <w:t>n Excel-based disease progression</w:t>
      </w:r>
      <w:r w:rsidRPr="00A35CEC">
        <w:rPr>
          <w:rFonts w:ascii="Book Antiqua" w:hAnsi="Book Antiqua" w:cs="Arial"/>
        </w:rPr>
        <w:t xml:space="preserve"> model</w:t>
      </w:r>
      <w:r w:rsidR="00AD5D56" w:rsidRPr="00A35CEC">
        <w:rPr>
          <w:rFonts w:ascii="Book Antiqua" w:hAnsi="Book Antiqua" w:cs="Arial"/>
        </w:rPr>
        <w:t xml:space="preserve">, </w:t>
      </w:r>
      <w:r w:rsidR="00A812C9" w:rsidRPr="00A35CEC">
        <w:rPr>
          <w:rFonts w:ascii="Book Antiqua" w:hAnsi="Book Antiqua" w:cs="Arial"/>
        </w:rPr>
        <w:t>which represent</w:t>
      </w:r>
      <w:r w:rsidR="00F579C1" w:rsidRPr="00A35CEC">
        <w:rPr>
          <w:rFonts w:ascii="Book Antiqua" w:hAnsi="Book Antiqua" w:cs="Arial"/>
        </w:rPr>
        <w:t>s</w:t>
      </w:r>
      <w:r w:rsidR="00AD5D56" w:rsidRPr="00A35CEC">
        <w:rPr>
          <w:rFonts w:ascii="Book Antiqua" w:hAnsi="Book Antiqua" w:cs="Arial"/>
        </w:rPr>
        <w:t xml:space="preserve"> the natural history of </w:t>
      </w:r>
      <w:proofErr w:type="spellStart"/>
      <w:r w:rsidR="00AD5D56" w:rsidRPr="00A35CEC">
        <w:rPr>
          <w:rFonts w:ascii="Book Antiqua" w:hAnsi="Book Antiqua" w:cs="Arial"/>
        </w:rPr>
        <w:t>CHC</w:t>
      </w:r>
      <w:proofErr w:type="spellEnd"/>
      <w:r w:rsidR="00AD5D56" w:rsidRPr="00A35CEC">
        <w:rPr>
          <w:rFonts w:ascii="Book Antiqua" w:hAnsi="Book Antiqua" w:cs="Arial"/>
        </w:rPr>
        <w:t xml:space="preserve"> according to </w:t>
      </w:r>
      <w:r w:rsidR="00F83D0B" w:rsidRPr="00A35CEC">
        <w:rPr>
          <w:rFonts w:ascii="Book Antiqua" w:hAnsi="Book Antiqua" w:cs="Arial"/>
        </w:rPr>
        <w:t xml:space="preserve">the </w:t>
      </w:r>
      <w:proofErr w:type="spellStart"/>
      <w:r w:rsidR="00AD5D56" w:rsidRPr="00A35CEC">
        <w:rPr>
          <w:rFonts w:ascii="Book Antiqua" w:hAnsi="Book Antiqua" w:cs="Arial"/>
        </w:rPr>
        <w:t>METAVIR</w:t>
      </w:r>
      <w:proofErr w:type="spellEnd"/>
      <w:r w:rsidR="00AD5D56" w:rsidRPr="00A35CEC">
        <w:rPr>
          <w:rFonts w:ascii="Book Antiqua" w:hAnsi="Book Antiqua" w:cs="Arial"/>
        </w:rPr>
        <w:t xml:space="preserve"> scoring system </w:t>
      </w:r>
      <w:r w:rsidRPr="00A35CEC">
        <w:rPr>
          <w:rFonts w:ascii="Book Antiqua" w:hAnsi="Book Antiqua" w:cs="Arial"/>
        </w:rPr>
        <w:t>constructed by the Center for Disease Analysis (C</w:t>
      </w:r>
      <w:r w:rsidR="00B7369C" w:rsidRPr="00A35CEC">
        <w:rPr>
          <w:rFonts w:ascii="Book Antiqua" w:hAnsi="Book Antiqua" w:cs="Arial"/>
        </w:rPr>
        <w:t>O</w:t>
      </w:r>
      <w:r w:rsidRPr="00A35CEC">
        <w:rPr>
          <w:rFonts w:ascii="Book Antiqua" w:hAnsi="Book Antiqua" w:cs="Arial"/>
        </w:rPr>
        <w:t>, U</w:t>
      </w:r>
      <w:r w:rsidR="00B7369C" w:rsidRPr="00A35CEC">
        <w:rPr>
          <w:rFonts w:ascii="Book Antiqua" w:hAnsi="Book Antiqua" w:cs="Arial"/>
        </w:rPr>
        <w:t>nited States</w:t>
      </w:r>
      <w:r w:rsidRPr="00A35CEC">
        <w:rPr>
          <w:rFonts w:ascii="Book Antiqua" w:hAnsi="Book Antiqua" w:cs="Arial"/>
        </w:rPr>
        <w:t>)</w:t>
      </w:r>
      <w:r w:rsidR="00482E06" w:rsidRPr="00A35CEC">
        <w:rPr>
          <w:rFonts w:ascii="Book Antiqua" w:hAnsi="Book Antiqua" w:cs="Arial"/>
          <w:vertAlign w:val="superscript"/>
        </w:rPr>
        <w:t>[20]</w:t>
      </w:r>
      <w:r w:rsidR="009E0CC3" w:rsidRPr="00A35CEC">
        <w:rPr>
          <w:rFonts w:ascii="Book Antiqua" w:eastAsia="Calibri" w:hAnsi="Book Antiqua" w:cs="Arial"/>
        </w:rPr>
        <w:t xml:space="preserve">. It has been used in several countries with country-specific data as </w:t>
      </w:r>
      <w:proofErr w:type="gramStart"/>
      <w:r w:rsidR="009E0CC3" w:rsidRPr="00A35CEC">
        <w:rPr>
          <w:rFonts w:ascii="Book Antiqua" w:eastAsia="Calibri" w:hAnsi="Book Antiqua" w:cs="Arial"/>
        </w:rPr>
        <w:t>input</w:t>
      </w:r>
      <w:r w:rsidR="00482E06" w:rsidRPr="00A35CEC">
        <w:rPr>
          <w:rFonts w:ascii="Book Antiqua" w:eastAsia="Calibri" w:hAnsi="Book Antiqua" w:cs="Arial"/>
          <w:vertAlign w:val="superscript"/>
        </w:rPr>
        <w:t>[</w:t>
      </w:r>
      <w:proofErr w:type="gramEnd"/>
      <w:r w:rsidR="00482E06" w:rsidRPr="00A35CEC">
        <w:rPr>
          <w:rFonts w:ascii="Book Antiqua" w:eastAsia="Calibri" w:hAnsi="Book Antiqua" w:cs="Arial"/>
          <w:vertAlign w:val="superscript"/>
        </w:rPr>
        <w:t>18]</w:t>
      </w:r>
      <w:r w:rsidR="009E0CC3" w:rsidRPr="00A35CEC">
        <w:rPr>
          <w:rFonts w:ascii="Book Antiqua" w:eastAsia="Calibri" w:hAnsi="Book Antiqua" w:cs="Arial"/>
        </w:rPr>
        <w:t>.</w:t>
      </w:r>
      <w:r w:rsidR="00FF77A3" w:rsidRPr="00A35CEC">
        <w:rPr>
          <w:rFonts w:ascii="Book Antiqua" w:eastAsia="Calibri" w:hAnsi="Book Antiqua" w:cs="Arial"/>
        </w:rPr>
        <w:t xml:space="preserve"> </w:t>
      </w:r>
      <w:r w:rsidR="009E0CC3" w:rsidRPr="00A35CEC">
        <w:rPr>
          <w:rFonts w:ascii="Book Antiqua" w:eastAsia="Calibri" w:hAnsi="Book Antiqua" w:cs="Arial"/>
        </w:rPr>
        <w:t>Appropriate input for Greece was obtained from the literature.</w:t>
      </w:r>
      <w:r w:rsidR="009E0CC3" w:rsidRPr="00A35CEC">
        <w:rPr>
          <w:rFonts w:ascii="Book Antiqua" w:hAnsi="Book Antiqua" w:cs="Arial"/>
        </w:rPr>
        <w:t xml:space="preserve"> </w:t>
      </w:r>
      <w:r w:rsidR="008868C1" w:rsidRPr="00A35CEC">
        <w:rPr>
          <w:rFonts w:ascii="Book Antiqua" w:hAnsi="Book Antiqua" w:cs="Arial"/>
        </w:rPr>
        <w:t xml:space="preserve">Further details about the </w:t>
      </w:r>
      <w:r w:rsidR="004104A4" w:rsidRPr="00A35CEC">
        <w:rPr>
          <w:rFonts w:ascii="Book Antiqua" w:hAnsi="Book Antiqua" w:cs="Arial"/>
        </w:rPr>
        <w:t>description of the model and Greek</w:t>
      </w:r>
      <w:r w:rsidR="00F83D0B" w:rsidRPr="00A35CEC">
        <w:rPr>
          <w:rFonts w:ascii="Book Antiqua" w:hAnsi="Book Antiqua" w:cs="Arial"/>
        </w:rPr>
        <w:t>-</w:t>
      </w:r>
      <w:r w:rsidR="004104A4" w:rsidRPr="00A35CEC">
        <w:rPr>
          <w:rFonts w:ascii="Book Antiqua" w:hAnsi="Book Antiqua" w:cs="Arial"/>
        </w:rPr>
        <w:t xml:space="preserve">specific epidemiological inputs </w:t>
      </w:r>
      <w:r w:rsidR="00F83D0B" w:rsidRPr="00A35CEC">
        <w:rPr>
          <w:rFonts w:ascii="Book Antiqua" w:hAnsi="Book Antiqua" w:cs="Arial"/>
        </w:rPr>
        <w:t xml:space="preserve">have been previously </w:t>
      </w:r>
      <w:proofErr w:type="gramStart"/>
      <w:r w:rsidR="00F83D0B" w:rsidRPr="00A35CEC">
        <w:rPr>
          <w:rFonts w:ascii="Book Antiqua" w:hAnsi="Book Antiqua" w:cs="Arial"/>
        </w:rPr>
        <w:t>published</w:t>
      </w:r>
      <w:r w:rsidR="00B7369C" w:rsidRPr="00A35CEC">
        <w:rPr>
          <w:rFonts w:ascii="Book Antiqua" w:hAnsi="Book Antiqua" w:cs="Arial"/>
          <w:vertAlign w:val="superscript"/>
        </w:rPr>
        <w:t>[</w:t>
      </w:r>
      <w:proofErr w:type="gramEnd"/>
      <w:r w:rsidR="00B7369C" w:rsidRPr="00A35CEC">
        <w:rPr>
          <w:rFonts w:ascii="Book Antiqua" w:hAnsi="Book Antiqua" w:cs="Arial"/>
          <w:vertAlign w:val="superscript"/>
        </w:rPr>
        <w:t>14,</w:t>
      </w:r>
      <w:r w:rsidR="00BC0DA7" w:rsidRPr="00A35CEC">
        <w:rPr>
          <w:rFonts w:ascii="Book Antiqua" w:hAnsi="Book Antiqua" w:cs="Arial"/>
          <w:vertAlign w:val="superscript"/>
        </w:rPr>
        <w:t>18]</w:t>
      </w:r>
      <w:r w:rsidR="00A104D8" w:rsidRPr="00A35CEC">
        <w:rPr>
          <w:rFonts w:ascii="Book Antiqua" w:hAnsi="Book Antiqua" w:cs="Arial"/>
        </w:rPr>
        <w:t>.</w:t>
      </w:r>
    </w:p>
    <w:p w14:paraId="026C2BB3" w14:textId="19DDFEC5" w:rsidR="00E844A1" w:rsidRPr="00A35CEC" w:rsidRDefault="00B7369C">
      <w:pPr>
        <w:autoSpaceDE w:val="0"/>
        <w:autoSpaceDN w:val="0"/>
        <w:adjustRightInd w:val="0"/>
        <w:snapToGrid w:val="0"/>
        <w:spacing w:line="360" w:lineRule="auto"/>
        <w:jc w:val="both"/>
        <w:rPr>
          <w:rFonts w:ascii="Book Antiqua" w:hAnsi="Book Antiqua" w:cs="Arial"/>
        </w:rPr>
      </w:pPr>
      <w:r w:rsidRPr="00A35CEC">
        <w:rPr>
          <w:rFonts w:ascii="Book Antiqua" w:hAnsi="Book Antiqua" w:cs="Arial"/>
        </w:rPr>
        <w:t xml:space="preserve">  </w:t>
      </w:r>
      <w:r w:rsidR="004104A4" w:rsidRPr="00A35CEC">
        <w:rPr>
          <w:rFonts w:ascii="Book Antiqua" w:hAnsi="Book Antiqua" w:cs="Arial"/>
        </w:rPr>
        <w:t xml:space="preserve">To examine the epidemiological and economic impact of </w:t>
      </w:r>
      <w:r w:rsidR="00F83D0B" w:rsidRPr="00A35CEC">
        <w:rPr>
          <w:rFonts w:ascii="Book Antiqua" w:hAnsi="Book Antiqua" w:cs="Arial"/>
        </w:rPr>
        <w:t xml:space="preserve">the </w:t>
      </w:r>
      <w:r w:rsidR="004104A4" w:rsidRPr="00A35CEC">
        <w:rPr>
          <w:rFonts w:ascii="Book Antiqua" w:hAnsi="Book Antiqua" w:cs="Arial"/>
        </w:rPr>
        <w:t>WHO Global</w:t>
      </w:r>
      <w:r w:rsidR="006F049F" w:rsidRPr="00A35CEC">
        <w:rPr>
          <w:rFonts w:ascii="Book Antiqua" w:hAnsi="Book Antiqua" w:cs="Arial"/>
        </w:rPr>
        <w:t xml:space="preserve"> Hepatitis Strategy, </w:t>
      </w:r>
      <w:r w:rsidR="004104A4" w:rsidRPr="00A35CEC">
        <w:rPr>
          <w:rFonts w:ascii="Book Antiqua" w:hAnsi="Book Antiqua" w:cs="Arial"/>
        </w:rPr>
        <w:t>we create</w:t>
      </w:r>
      <w:r w:rsidR="00344B5B" w:rsidRPr="00A35CEC">
        <w:rPr>
          <w:rFonts w:ascii="Book Antiqua" w:hAnsi="Book Antiqua" w:cs="Arial"/>
        </w:rPr>
        <w:t>d</w:t>
      </w:r>
      <w:r w:rsidR="004104A4" w:rsidRPr="00A35CEC">
        <w:rPr>
          <w:rFonts w:ascii="Book Antiqua" w:hAnsi="Book Antiqua" w:cs="Arial"/>
        </w:rPr>
        <w:t xml:space="preserve"> a scenario according to WHO recommendation</w:t>
      </w:r>
      <w:r w:rsidR="00C65E62" w:rsidRPr="00A35CEC">
        <w:rPr>
          <w:rFonts w:ascii="Book Antiqua" w:hAnsi="Book Antiqua" w:cs="Arial"/>
        </w:rPr>
        <w:t>s</w:t>
      </w:r>
      <w:r w:rsidR="004104A4" w:rsidRPr="00A35CEC">
        <w:rPr>
          <w:rFonts w:ascii="Book Antiqua" w:hAnsi="Book Antiqua" w:cs="Arial"/>
        </w:rPr>
        <w:t xml:space="preserve"> and compared it with the</w:t>
      </w:r>
      <w:r w:rsidR="00A87AA9" w:rsidRPr="00A35CEC">
        <w:rPr>
          <w:rFonts w:ascii="Book Antiqua" w:hAnsi="Book Antiqua" w:cs="Arial"/>
        </w:rPr>
        <w:t xml:space="preserve"> current</w:t>
      </w:r>
      <w:r w:rsidR="004104A4" w:rsidRPr="00A35CEC">
        <w:rPr>
          <w:rFonts w:ascii="Book Antiqua" w:hAnsi="Book Antiqua" w:cs="Arial"/>
        </w:rPr>
        <w:t xml:space="preserve"> </w:t>
      </w:r>
      <w:proofErr w:type="spellStart"/>
      <w:r w:rsidR="004104A4" w:rsidRPr="00A35CEC">
        <w:rPr>
          <w:rFonts w:ascii="Book Antiqua" w:hAnsi="Book Antiqua" w:cs="Arial"/>
        </w:rPr>
        <w:t>HCV</w:t>
      </w:r>
      <w:proofErr w:type="spellEnd"/>
      <w:r w:rsidR="004104A4" w:rsidRPr="00A35CEC">
        <w:rPr>
          <w:rFonts w:ascii="Book Antiqua" w:hAnsi="Book Antiqua" w:cs="Arial"/>
        </w:rPr>
        <w:t xml:space="preserve"> management </w:t>
      </w:r>
      <w:r w:rsidR="00A87AA9" w:rsidRPr="00A35CEC">
        <w:rPr>
          <w:rFonts w:ascii="Book Antiqua" w:hAnsi="Book Antiqua" w:cs="Arial"/>
        </w:rPr>
        <w:t>strategy</w:t>
      </w:r>
      <w:r w:rsidR="00B05C7F" w:rsidRPr="00A35CEC">
        <w:rPr>
          <w:rFonts w:ascii="Book Antiqua" w:hAnsi="Book Antiqua" w:cs="Arial"/>
        </w:rPr>
        <w:t xml:space="preserve"> in Greece</w:t>
      </w:r>
      <w:r w:rsidR="00F83D0B" w:rsidRPr="00A35CEC">
        <w:rPr>
          <w:rFonts w:ascii="Book Antiqua" w:hAnsi="Book Antiqua" w:cs="Arial"/>
        </w:rPr>
        <w:t>,</w:t>
      </w:r>
      <w:r w:rsidR="00A87AA9" w:rsidRPr="00A35CEC">
        <w:rPr>
          <w:rFonts w:ascii="Book Antiqua" w:hAnsi="Book Antiqua" w:cs="Arial"/>
        </w:rPr>
        <w:t xml:space="preserve"> where</w:t>
      </w:r>
      <w:r w:rsidR="00281722" w:rsidRPr="00A35CEC">
        <w:rPr>
          <w:rFonts w:ascii="Book Antiqua" w:hAnsi="Book Antiqua" w:cs="Arial"/>
        </w:rPr>
        <w:t xml:space="preserve"> patients are treated with INF-free </w:t>
      </w:r>
      <w:proofErr w:type="spellStart"/>
      <w:r w:rsidR="00281722" w:rsidRPr="00A35CEC">
        <w:rPr>
          <w:rFonts w:ascii="Book Antiqua" w:hAnsi="Book Antiqua" w:cs="Arial"/>
        </w:rPr>
        <w:t>DAA</w:t>
      </w:r>
      <w:proofErr w:type="spellEnd"/>
      <w:r w:rsidR="00281722" w:rsidRPr="00A35CEC">
        <w:rPr>
          <w:rFonts w:ascii="Book Antiqua" w:hAnsi="Book Antiqua" w:cs="Arial"/>
        </w:rPr>
        <w:t xml:space="preserve"> regimens </w:t>
      </w:r>
      <w:r w:rsidR="00CB6B2B" w:rsidRPr="00A35CEC">
        <w:rPr>
          <w:rFonts w:ascii="Book Antiqua" w:hAnsi="Book Antiqua" w:cs="Arial"/>
        </w:rPr>
        <w:t>with limited</w:t>
      </w:r>
      <w:r w:rsidR="00A87AA9" w:rsidRPr="00A35CEC">
        <w:rPr>
          <w:rFonts w:ascii="Book Antiqua" w:hAnsi="Book Antiqua" w:cs="Arial"/>
        </w:rPr>
        <w:t xml:space="preserve"> </w:t>
      </w:r>
      <w:r w:rsidR="00E844A1" w:rsidRPr="00A35CEC">
        <w:rPr>
          <w:rFonts w:ascii="Book Antiqua" w:hAnsi="Book Antiqua" w:cs="Arial"/>
        </w:rPr>
        <w:t xml:space="preserve">population coverage due to </w:t>
      </w:r>
      <w:r w:rsidR="00F579C1" w:rsidRPr="00A35CEC">
        <w:rPr>
          <w:rFonts w:ascii="Book Antiqua" w:hAnsi="Book Antiqua" w:cs="Arial"/>
        </w:rPr>
        <w:t xml:space="preserve">the </w:t>
      </w:r>
      <w:r w:rsidR="00E844A1" w:rsidRPr="00A35CEC">
        <w:rPr>
          <w:rFonts w:ascii="Book Antiqua" w:hAnsi="Book Antiqua" w:cs="Arial"/>
        </w:rPr>
        <w:t xml:space="preserve">low diagnostic rate and the lack of awareness </w:t>
      </w:r>
      <w:r w:rsidR="00D041A0" w:rsidRPr="00A35CEC">
        <w:rPr>
          <w:rFonts w:ascii="Book Antiqua" w:hAnsi="Book Antiqua" w:cs="Arial"/>
        </w:rPr>
        <w:t>or</w:t>
      </w:r>
      <w:r w:rsidR="00E844A1" w:rsidRPr="00A35CEC">
        <w:rPr>
          <w:rFonts w:ascii="Book Antiqua" w:hAnsi="Book Antiqua" w:cs="Arial"/>
        </w:rPr>
        <w:t xml:space="preserve"> screening campaigns</w:t>
      </w:r>
      <w:r w:rsidR="001830BE" w:rsidRPr="00A35CEC">
        <w:rPr>
          <w:rFonts w:ascii="Book Antiqua" w:hAnsi="Book Antiqua" w:cs="Arial"/>
        </w:rPr>
        <w:t>.</w:t>
      </w:r>
    </w:p>
    <w:p w14:paraId="0AD51639" w14:textId="77777777" w:rsidR="0090110A" w:rsidRPr="00A35CEC" w:rsidRDefault="0090110A">
      <w:pPr>
        <w:adjustRightInd w:val="0"/>
        <w:snapToGrid w:val="0"/>
        <w:spacing w:line="360" w:lineRule="auto"/>
        <w:jc w:val="both"/>
        <w:rPr>
          <w:rFonts w:ascii="Book Antiqua" w:hAnsi="Book Antiqua" w:cs="Arial"/>
        </w:rPr>
      </w:pPr>
    </w:p>
    <w:p w14:paraId="2BC231EC" w14:textId="77777777" w:rsidR="0058443A" w:rsidRPr="00A35CEC" w:rsidRDefault="009E0CC3">
      <w:pPr>
        <w:adjustRightInd w:val="0"/>
        <w:snapToGrid w:val="0"/>
        <w:spacing w:line="360" w:lineRule="auto"/>
        <w:jc w:val="both"/>
        <w:rPr>
          <w:rFonts w:ascii="Book Antiqua" w:hAnsi="Book Antiqua"/>
          <w:b/>
          <w:i/>
        </w:rPr>
      </w:pPr>
      <w:r w:rsidRPr="00A35CEC">
        <w:rPr>
          <w:rFonts w:ascii="Book Antiqua" w:hAnsi="Book Antiqua"/>
          <w:b/>
          <w:i/>
        </w:rPr>
        <w:t>Examined e</w:t>
      </w:r>
      <w:r w:rsidR="0058443A" w:rsidRPr="00A35CEC">
        <w:rPr>
          <w:rFonts w:ascii="Book Antiqua" w:hAnsi="Book Antiqua"/>
          <w:b/>
          <w:i/>
        </w:rPr>
        <w:t xml:space="preserve">pidemiological </w:t>
      </w:r>
      <w:r w:rsidRPr="00A35CEC">
        <w:rPr>
          <w:rFonts w:ascii="Book Antiqua" w:hAnsi="Book Antiqua"/>
          <w:b/>
          <w:i/>
        </w:rPr>
        <w:t>scenarios</w:t>
      </w:r>
    </w:p>
    <w:p w14:paraId="5401F175" w14:textId="5347942E" w:rsidR="005E6C71" w:rsidRPr="00A35CEC" w:rsidRDefault="003945EB">
      <w:pPr>
        <w:adjustRightInd w:val="0"/>
        <w:snapToGrid w:val="0"/>
        <w:spacing w:line="360" w:lineRule="auto"/>
        <w:jc w:val="both"/>
        <w:rPr>
          <w:rFonts w:ascii="Book Antiqua" w:hAnsi="Book Antiqua"/>
          <w:b/>
        </w:rPr>
      </w:pPr>
      <w:r w:rsidRPr="00A35CEC">
        <w:rPr>
          <w:rFonts w:ascii="Book Antiqua" w:hAnsi="Book Antiqua"/>
          <w:b/>
        </w:rPr>
        <w:t>Base case</w:t>
      </w:r>
      <w:r w:rsidR="00B7369C" w:rsidRPr="00A35CEC">
        <w:rPr>
          <w:rFonts w:ascii="Book Antiqua" w:hAnsi="Book Antiqua"/>
          <w:b/>
        </w:rPr>
        <w:t xml:space="preserve">: </w:t>
      </w:r>
      <w:r w:rsidR="00030D61" w:rsidRPr="00A35CEC">
        <w:rPr>
          <w:rFonts w:ascii="Book Antiqua" w:hAnsi="Book Antiqua" w:cs="Arial"/>
        </w:rPr>
        <w:t xml:space="preserve">In </w:t>
      </w:r>
      <w:r w:rsidR="00F579C1" w:rsidRPr="00A35CEC">
        <w:rPr>
          <w:rFonts w:ascii="Book Antiqua" w:hAnsi="Book Antiqua" w:cs="Arial"/>
        </w:rPr>
        <w:t xml:space="preserve">the </w:t>
      </w:r>
      <w:r w:rsidR="00030D61" w:rsidRPr="00A35CEC">
        <w:rPr>
          <w:rFonts w:ascii="Book Antiqua" w:hAnsi="Book Antiqua" w:cs="Arial"/>
        </w:rPr>
        <w:t xml:space="preserve">baseline scenario, patients are treated with </w:t>
      </w:r>
      <w:proofErr w:type="spellStart"/>
      <w:r w:rsidR="00030D61" w:rsidRPr="00A35CEC">
        <w:rPr>
          <w:rFonts w:ascii="Book Antiqua" w:hAnsi="Book Antiqua" w:cs="Arial"/>
        </w:rPr>
        <w:t>I</w:t>
      </w:r>
      <w:r w:rsidR="00F579C1" w:rsidRPr="00A35CEC">
        <w:rPr>
          <w:rFonts w:ascii="Book Antiqua" w:hAnsi="Book Antiqua" w:cs="Arial"/>
        </w:rPr>
        <w:t>FN</w:t>
      </w:r>
      <w:proofErr w:type="spellEnd"/>
      <w:r w:rsidR="00030D61" w:rsidRPr="00A35CEC">
        <w:rPr>
          <w:rFonts w:ascii="Book Antiqua" w:hAnsi="Book Antiqua" w:cs="Arial"/>
        </w:rPr>
        <w:t xml:space="preserve">-free </w:t>
      </w:r>
      <w:proofErr w:type="spellStart"/>
      <w:r w:rsidR="00A87AA9" w:rsidRPr="00A35CEC">
        <w:rPr>
          <w:rFonts w:ascii="Book Antiqua" w:hAnsi="Book Antiqua" w:cs="Arial"/>
        </w:rPr>
        <w:t>DAA</w:t>
      </w:r>
      <w:proofErr w:type="spellEnd"/>
      <w:r w:rsidR="00A87AA9" w:rsidRPr="00A35CEC">
        <w:rPr>
          <w:rFonts w:ascii="Book Antiqua" w:hAnsi="Book Antiqua" w:cs="Arial"/>
        </w:rPr>
        <w:t xml:space="preserve"> regimen</w:t>
      </w:r>
      <w:r w:rsidR="00F579C1" w:rsidRPr="00A35CEC">
        <w:rPr>
          <w:rFonts w:ascii="Book Antiqua" w:hAnsi="Book Antiqua" w:cs="Arial"/>
        </w:rPr>
        <w:t>s</w:t>
      </w:r>
      <w:r w:rsidR="00A87AA9" w:rsidRPr="00A35CEC">
        <w:rPr>
          <w:rFonts w:ascii="Book Antiqua" w:hAnsi="Book Antiqua" w:cs="Arial"/>
        </w:rPr>
        <w:t xml:space="preserve"> </w:t>
      </w:r>
      <w:r w:rsidR="00030D61" w:rsidRPr="00A35CEC">
        <w:rPr>
          <w:rFonts w:ascii="Book Antiqua" w:hAnsi="Book Antiqua" w:cs="Arial"/>
        </w:rPr>
        <w:t>without the additional implementation of awareness or screening campaigns</w:t>
      </w:r>
      <w:r w:rsidR="00F83D0B" w:rsidRPr="00A35CEC">
        <w:rPr>
          <w:rFonts w:ascii="Book Antiqua" w:hAnsi="Book Antiqua" w:cs="Arial"/>
        </w:rPr>
        <w:t>.</w:t>
      </w:r>
      <w:r w:rsidR="00030D61" w:rsidRPr="00A35CEC">
        <w:rPr>
          <w:rFonts w:ascii="Book Antiqua" w:hAnsi="Book Antiqua" w:cs="Arial"/>
        </w:rPr>
        <w:t xml:space="preserve"> </w:t>
      </w:r>
      <w:r w:rsidR="00F83D0B" w:rsidRPr="00A35CEC">
        <w:rPr>
          <w:rFonts w:ascii="Book Antiqua" w:hAnsi="Book Antiqua" w:cs="Arial"/>
        </w:rPr>
        <w:t xml:space="preserve">This </w:t>
      </w:r>
      <w:r w:rsidR="00A87AA9" w:rsidRPr="00A35CEC">
        <w:rPr>
          <w:rFonts w:ascii="Book Antiqua" w:hAnsi="Book Antiqua" w:cs="Arial"/>
        </w:rPr>
        <w:t>would lead</w:t>
      </w:r>
      <w:r w:rsidR="00030D61" w:rsidRPr="00A35CEC">
        <w:rPr>
          <w:rFonts w:ascii="Book Antiqua" w:hAnsi="Book Antiqua" w:cs="Arial"/>
        </w:rPr>
        <w:t xml:space="preserve"> to a gradual decrease </w:t>
      </w:r>
      <w:r w:rsidR="00F83D0B" w:rsidRPr="00A35CEC">
        <w:rPr>
          <w:rFonts w:ascii="Book Antiqua" w:hAnsi="Book Antiqua" w:cs="Arial"/>
        </w:rPr>
        <w:t xml:space="preserve">in </w:t>
      </w:r>
      <w:r w:rsidR="00F579C1" w:rsidRPr="00A35CEC">
        <w:rPr>
          <w:rFonts w:ascii="Book Antiqua" w:hAnsi="Book Antiqua" w:cs="Arial"/>
        </w:rPr>
        <w:t xml:space="preserve">the </w:t>
      </w:r>
      <w:r w:rsidR="00030D61" w:rsidRPr="00A35CEC">
        <w:rPr>
          <w:rFonts w:ascii="Book Antiqua" w:hAnsi="Book Antiqua" w:cs="Arial"/>
        </w:rPr>
        <w:t xml:space="preserve">available patients for treatment. </w:t>
      </w:r>
      <w:r w:rsidR="00EE1A64" w:rsidRPr="00A35CEC">
        <w:rPr>
          <w:rFonts w:ascii="Book Antiqua" w:hAnsi="Book Antiqua" w:cs="Arial"/>
        </w:rPr>
        <w:t xml:space="preserve">Treatment is limited </w:t>
      </w:r>
      <w:r w:rsidR="00F83D0B" w:rsidRPr="00A35CEC">
        <w:rPr>
          <w:rFonts w:ascii="Book Antiqua" w:hAnsi="Book Antiqua" w:cs="Arial"/>
        </w:rPr>
        <w:t xml:space="preserve">to </w:t>
      </w:r>
      <w:r w:rsidR="00EE1A64" w:rsidRPr="00A35CEC">
        <w:rPr>
          <w:rFonts w:ascii="Book Antiqua" w:hAnsi="Book Antiqua" w:cs="Arial"/>
        </w:rPr>
        <w:t xml:space="preserve">fibrosis stage </w:t>
      </w:r>
      <w:r w:rsidR="00EE1A64" w:rsidRPr="00A35CEC">
        <w:rPr>
          <w:rFonts w:ascii="Book Antiqua" w:hAnsi="Book Antiqua" w:cs="Arial" w:hint="eastAsia"/>
        </w:rPr>
        <w:t>≥</w:t>
      </w:r>
      <w:r w:rsidR="00B7369C" w:rsidRPr="00A35CEC">
        <w:rPr>
          <w:rFonts w:ascii="Book Antiqua" w:hAnsi="Book Antiqua" w:cs="Arial"/>
        </w:rPr>
        <w:t xml:space="preserve"> </w:t>
      </w:r>
      <w:r w:rsidR="00EE1A64" w:rsidRPr="00A35CEC">
        <w:rPr>
          <w:rFonts w:ascii="Book Antiqua" w:hAnsi="Book Antiqua" w:cs="Arial"/>
        </w:rPr>
        <w:t>2</w:t>
      </w:r>
      <w:r w:rsidR="00F83D0B" w:rsidRPr="00A35CEC">
        <w:rPr>
          <w:rFonts w:ascii="Book Antiqua" w:hAnsi="Book Antiqua" w:cs="Arial"/>
        </w:rPr>
        <w:t>,</w:t>
      </w:r>
      <w:r w:rsidR="00EE1A64" w:rsidRPr="00A35CEC">
        <w:rPr>
          <w:rFonts w:ascii="Book Antiqua" w:hAnsi="Book Antiqua" w:cs="Arial"/>
        </w:rPr>
        <w:t xml:space="preserve"> which represents the 2017 </w:t>
      </w:r>
      <w:r w:rsidR="00A62F28" w:rsidRPr="00A35CEC">
        <w:rPr>
          <w:rFonts w:ascii="Book Antiqua" w:hAnsi="Book Antiqua" w:cs="Arial"/>
        </w:rPr>
        <w:t xml:space="preserve">national </w:t>
      </w:r>
      <w:r w:rsidR="00EE1A64" w:rsidRPr="00A35CEC">
        <w:rPr>
          <w:rFonts w:ascii="Book Antiqua" w:hAnsi="Book Antiqua" w:cs="Arial"/>
        </w:rPr>
        <w:t xml:space="preserve">treatment guideline. </w:t>
      </w:r>
      <w:r w:rsidR="009477FF" w:rsidRPr="00A35CEC">
        <w:rPr>
          <w:rFonts w:ascii="Book Antiqua" w:hAnsi="Book Antiqua" w:cs="Arial"/>
        </w:rPr>
        <w:t>Approximately</w:t>
      </w:r>
      <w:r w:rsidR="007D0F0C" w:rsidRPr="00A35CEC">
        <w:rPr>
          <w:rFonts w:ascii="Book Antiqua" w:hAnsi="Book Antiqua" w:cs="Arial"/>
        </w:rPr>
        <w:t xml:space="preserve"> 2</w:t>
      </w:r>
      <w:r w:rsidR="00616C7E" w:rsidRPr="00A35CEC">
        <w:rPr>
          <w:rFonts w:ascii="Book Antiqua" w:hAnsi="Book Antiqua" w:cs="Arial"/>
        </w:rPr>
        <w:t>,</w:t>
      </w:r>
      <w:r w:rsidR="007D0F0C" w:rsidRPr="00A35CEC">
        <w:rPr>
          <w:rFonts w:ascii="Book Antiqua" w:hAnsi="Book Antiqua" w:cs="Arial"/>
        </w:rPr>
        <w:t>000 cases were treated in Greece</w:t>
      </w:r>
      <w:r w:rsidR="009477FF" w:rsidRPr="00A35CEC">
        <w:rPr>
          <w:rFonts w:ascii="Book Antiqua" w:hAnsi="Book Antiqua" w:cs="Arial"/>
        </w:rPr>
        <w:t xml:space="preserve"> in 2017</w:t>
      </w:r>
      <w:r w:rsidR="007D0F0C" w:rsidRPr="00A35CEC">
        <w:rPr>
          <w:rFonts w:ascii="Book Antiqua" w:hAnsi="Book Antiqua" w:cs="Arial"/>
        </w:rPr>
        <w:t xml:space="preserve">. </w:t>
      </w:r>
      <w:r w:rsidR="00A87AA9" w:rsidRPr="00A35CEC">
        <w:rPr>
          <w:rFonts w:ascii="Book Antiqua" w:hAnsi="Book Antiqua" w:cs="Arial"/>
        </w:rPr>
        <w:t>We assume</w:t>
      </w:r>
      <w:r w:rsidR="00CB6B2B" w:rsidRPr="00A35CEC">
        <w:rPr>
          <w:rFonts w:ascii="Book Antiqua" w:hAnsi="Book Antiqua" w:cs="Arial"/>
        </w:rPr>
        <w:t>d</w:t>
      </w:r>
      <w:r w:rsidR="00A87AA9" w:rsidRPr="00A35CEC">
        <w:rPr>
          <w:rFonts w:ascii="Book Antiqua" w:hAnsi="Book Antiqua" w:cs="Arial"/>
        </w:rPr>
        <w:t xml:space="preserve"> that this figure would be the same in </w:t>
      </w:r>
      <w:r w:rsidR="0003697B" w:rsidRPr="00A35CEC">
        <w:rPr>
          <w:rFonts w:ascii="Book Antiqua" w:hAnsi="Book Antiqua" w:cs="Arial"/>
        </w:rPr>
        <w:t>2018 but</w:t>
      </w:r>
      <w:r w:rsidR="00A87AA9" w:rsidRPr="00A35CEC">
        <w:rPr>
          <w:rFonts w:ascii="Book Antiqua" w:hAnsi="Book Antiqua" w:cs="Arial"/>
        </w:rPr>
        <w:t xml:space="preserve"> would </w:t>
      </w:r>
      <w:r w:rsidR="009477FF" w:rsidRPr="00A35CEC">
        <w:rPr>
          <w:rFonts w:ascii="Book Antiqua" w:hAnsi="Book Antiqua" w:cs="Arial"/>
        </w:rPr>
        <w:t xml:space="preserve">gradually </w:t>
      </w:r>
      <w:r w:rsidR="00A87AA9" w:rsidRPr="00A35CEC">
        <w:rPr>
          <w:rFonts w:ascii="Book Antiqua" w:hAnsi="Book Antiqua" w:cs="Arial"/>
        </w:rPr>
        <w:t>decrease to 1</w:t>
      </w:r>
      <w:r w:rsidR="00616C7E" w:rsidRPr="00A35CEC">
        <w:rPr>
          <w:rFonts w:ascii="Book Antiqua" w:hAnsi="Book Antiqua" w:cs="Arial"/>
        </w:rPr>
        <w:t>,</w:t>
      </w:r>
      <w:r w:rsidR="00A87AA9" w:rsidRPr="00A35CEC">
        <w:rPr>
          <w:rFonts w:ascii="Book Antiqua" w:hAnsi="Book Antiqua" w:cs="Arial"/>
        </w:rPr>
        <w:t xml:space="preserve">000 cases by 2020 and </w:t>
      </w:r>
      <w:r w:rsidR="009477FF" w:rsidRPr="00A35CEC">
        <w:rPr>
          <w:rFonts w:ascii="Book Antiqua" w:hAnsi="Book Antiqua" w:cs="Arial"/>
        </w:rPr>
        <w:t xml:space="preserve">would </w:t>
      </w:r>
      <w:r w:rsidR="00A87AA9" w:rsidRPr="00A35CEC">
        <w:rPr>
          <w:rFonts w:ascii="Book Antiqua" w:hAnsi="Book Antiqua" w:cs="Arial"/>
        </w:rPr>
        <w:t xml:space="preserve">then </w:t>
      </w:r>
      <w:r w:rsidR="00F579C1" w:rsidRPr="00A35CEC">
        <w:rPr>
          <w:rFonts w:ascii="Book Antiqua" w:hAnsi="Book Antiqua" w:cs="Arial"/>
        </w:rPr>
        <w:t xml:space="preserve">remain </w:t>
      </w:r>
      <w:r w:rsidR="009477FF" w:rsidRPr="00A35CEC">
        <w:rPr>
          <w:rFonts w:ascii="Book Antiqua" w:hAnsi="Book Antiqua" w:cs="Arial"/>
        </w:rPr>
        <w:t xml:space="preserve">at </w:t>
      </w:r>
      <w:r w:rsidR="00A87AA9" w:rsidRPr="00A35CEC">
        <w:rPr>
          <w:rFonts w:ascii="Book Antiqua" w:hAnsi="Book Antiqua" w:cs="Arial"/>
        </w:rPr>
        <w:t xml:space="preserve">this </w:t>
      </w:r>
      <w:r w:rsidR="00A87AA9" w:rsidRPr="00A35CEC">
        <w:rPr>
          <w:rFonts w:ascii="Book Antiqua" w:hAnsi="Book Antiqua" w:cs="Arial"/>
        </w:rPr>
        <w:lastRenderedPageBreak/>
        <w:t>number.</w:t>
      </w:r>
      <w:r w:rsidR="007D0F0C" w:rsidRPr="00A35CEC">
        <w:rPr>
          <w:rFonts w:ascii="Book Antiqua" w:hAnsi="Book Antiqua" w:cs="Arial"/>
        </w:rPr>
        <w:t xml:space="preserve"> </w:t>
      </w:r>
      <w:proofErr w:type="spellStart"/>
      <w:r w:rsidRPr="00A35CEC">
        <w:rPr>
          <w:rFonts w:ascii="Book Antiqua" w:hAnsi="Book Antiqua" w:cs="Arial"/>
        </w:rPr>
        <w:t>SVR</w:t>
      </w:r>
      <w:proofErr w:type="spellEnd"/>
      <w:r w:rsidRPr="00A35CEC">
        <w:rPr>
          <w:rFonts w:ascii="Book Antiqua" w:hAnsi="Book Antiqua" w:cs="Arial"/>
        </w:rPr>
        <w:t xml:space="preserve"> rates were</w:t>
      </w:r>
      <w:r w:rsidR="00E844A1" w:rsidRPr="00A35CEC">
        <w:rPr>
          <w:rFonts w:ascii="Book Antiqua" w:hAnsi="Book Antiqua" w:cs="Arial"/>
        </w:rPr>
        <w:t xml:space="preserve"> assumed</w:t>
      </w:r>
      <w:r w:rsidRPr="00A35CEC">
        <w:rPr>
          <w:rFonts w:ascii="Book Antiqua" w:hAnsi="Book Antiqua" w:cs="Arial"/>
        </w:rPr>
        <w:t xml:space="preserve"> </w:t>
      </w:r>
      <w:r w:rsidR="00F579C1" w:rsidRPr="00A35CEC">
        <w:rPr>
          <w:rFonts w:ascii="Book Antiqua" w:hAnsi="Book Antiqua" w:cs="Arial"/>
        </w:rPr>
        <w:t xml:space="preserve">to be </w:t>
      </w:r>
      <w:r w:rsidRPr="00A35CEC">
        <w:rPr>
          <w:rFonts w:ascii="Book Antiqua" w:hAnsi="Book Antiqua" w:cs="Arial"/>
        </w:rPr>
        <w:t>90%</w:t>
      </w:r>
      <w:r w:rsidR="007D0F0C" w:rsidRPr="00A35CEC">
        <w:rPr>
          <w:rFonts w:ascii="Book Antiqua" w:hAnsi="Book Antiqua" w:cs="Arial"/>
        </w:rPr>
        <w:t xml:space="preserve"> for genotype 1, 3 and 95% for genotype 2, 4</w:t>
      </w:r>
      <w:r w:rsidR="00482E06" w:rsidRPr="00A35CEC">
        <w:rPr>
          <w:rFonts w:ascii="Book Antiqua" w:hAnsi="Book Antiqua" w:cs="Arial"/>
          <w:vertAlign w:val="superscript"/>
        </w:rPr>
        <w:t>[15]</w:t>
      </w:r>
      <w:r w:rsidR="007D0F0C" w:rsidRPr="00A35CEC">
        <w:rPr>
          <w:rFonts w:ascii="Book Antiqua" w:hAnsi="Book Antiqua" w:cs="Arial"/>
        </w:rPr>
        <w:t xml:space="preserve"> </w:t>
      </w:r>
      <w:r w:rsidRPr="00A35CEC">
        <w:rPr>
          <w:rFonts w:ascii="Book Antiqua" w:hAnsi="Book Antiqua" w:cs="Arial"/>
        </w:rPr>
        <w:t>(</w:t>
      </w:r>
      <w:r w:rsidR="003D2070" w:rsidRPr="00A35CEC">
        <w:rPr>
          <w:rFonts w:ascii="Book Antiqua" w:hAnsi="Book Antiqua" w:cs="Arial"/>
        </w:rPr>
        <w:t>T</w:t>
      </w:r>
      <w:r w:rsidR="00C8272A" w:rsidRPr="00A35CEC">
        <w:rPr>
          <w:rFonts w:ascii="Book Antiqua" w:hAnsi="Book Antiqua" w:cs="Arial"/>
        </w:rPr>
        <w:t>able</w:t>
      </w:r>
      <w:r w:rsidR="003D2070" w:rsidRPr="00A35CEC">
        <w:rPr>
          <w:rFonts w:ascii="Book Antiqua" w:hAnsi="Book Antiqua" w:cs="Arial"/>
        </w:rPr>
        <w:t xml:space="preserve"> </w:t>
      </w:r>
      <w:r w:rsidRPr="00A35CEC">
        <w:rPr>
          <w:rFonts w:ascii="Book Antiqua" w:hAnsi="Book Antiqua" w:cs="Arial"/>
        </w:rPr>
        <w:t xml:space="preserve">1). </w:t>
      </w:r>
    </w:p>
    <w:p w14:paraId="6998F213" w14:textId="77777777" w:rsidR="00C70556" w:rsidRPr="00A35CEC" w:rsidRDefault="00C70556">
      <w:pPr>
        <w:adjustRightInd w:val="0"/>
        <w:snapToGrid w:val="0"/>
        <w:spacing w:line="360" w:lineRule="auto"/>
        <w:jc w:val="both"/>
        <w:rPr>
          <w:rFonts w:ascii="Book Antiqua" w:hAnsi="Book Antiqua" w:cs="Arial"/>
          <w:b/>
        </w:rPr>
      </w:pPr>
    </w:p>
    <w:p w14:paraId="2B8BBFE2" w14:textId="42346032" w:rsidR="002D4A99" w:rsidRPr="00A35CEC" w:rsidRDefault="001910C2">
      <w:pPr>
        <w:adjustRightInd w:val="0"/>
        <w:snapToGrid w:val="0"/>
        <w:spacing w:line="360" w:lineRule="auto"/>
        <w:jc w:val="both"/>
        <w:rPr>
          <w:rFonts w:ascii="Book Antiqua" w:hAnsi="Book Antiqua"/>
          <w:b/>
        </w:rPr>
      </w:pPr>
      <w:r w:rsidRPr="00A35CEC">
        <w:rPr>
          <w:rFonts w:ascii="Book Antiqua" w:hAnsi="Book Antiqua"/>
          <w:b/>
        </w:rPr>
        <w:t>WHO Global Hepatitis Strategy</w:t>
      </w:r>
      <w:r w:rsidR="00B7369C" w:rsidRPr="00A35CEC">
        <w:rPr>
          <w:rFonts w:ascii="Book Antiqua" w:hAnsi="Book Antiqua"/>
          <w:b/>
        </w:rPr>
        <w:t xml:space="preserve">: </w:t>
      </w:r>
      <w:r w:rsidR="00013283" w:rsidRPr="00A35CEC">
        <w:rPr>
          <w:rFonts w:ascii="Book Antiqua" w:hAnsi="Book Antiqua"/>
        </w:rPr>
        <w:t xml:space="preserve">The </w:t>
      </w:r>
      <w:r w:rsidR="002D4A99" w:rsidRPr="00A35CEC">
        <w:rPr>
          <w:rFonts w:ascii="Book Antiqua" w:hAnsi="Book Antiqua" w:cs="Arial"/>
        </w:rPr>
        <w:t xml:space="preserve">WHO </w:t>
      </w:r>
      <w:r w:rsidR="00991686" w:rsidRPr="00A35CEC">
        <w:rPr>
          <w:rFonts w:ascii="Book Antiqua" w:hAnsi="Book Antiqua" w:cs="Arial"/>
        </w:rPr>
        <w:t xml:space="preserve">Global Hepatitis Strategy </w:t>
      </w:r>
      <w:r w:rsidR="002D4A99" w:rsidRPr="00A35CEC">
        <w:rPr>
          <w:rFonts w:ascii="Book Antiqua" w:hAnsi="Book Antiqua" w:cs="Arial"/>
        </w:rPr>
        <w:t>integrate</w:t>
      </w:r>
      <w:r w:rsidR="00F579C1" w:rsidRPr="00A35CEC">
        <w:rPr>
          <w:rFonts w:ascii="Book Antiqua" w:hAnsi="Book Antiqua" w:cs="Arial"/>
        </w:rPr>
        <w:t>s</w:t>
      </w:r>
      <w:r w:rsidR="002D4A99" w:rsidRPr="00A35CEC">
        <w:rPr>
          <w:rFonts w:ascii="Book Antiqua" w:hAnsi="Book Antiqua" w:cs="Arial"/>
        </w:rPr>
        <w:t xml:space="preserve"> </w:t>
      </w:r>
      <w:r w:rsidR="00A87AA9" w:rsidRPr="00A35CEC">
        <w:rPr>
          <w:rFonts w:ascii="Book Antiqua" w:hAnsi="Book Antiqua" w:cs="Arial"/>
        </w:rPr>
        <w:t>both</w:t>
      </w:r>
      <w:r w:rsidR="00850A60" w:rsidRPr="00A35CEC">
        <w:rPr>
          <w:rFonts w:ascii="Book Antiqua" w:hAnsi="Book Antiqua" w:cs="Arial"/>
        </w:rPr>
        <w:t xml:space="preserve"> prevention and </w:t>
      </w:r>
      <w:r w:rsidR="00E844A1" w:rsidRPr="00A35CEC">
        <w:rPr>
          <w:rFonts w:ascii="Book Antiqua" w:hAnsi="Book Antiqua" w:cs="Arial"/>
        </w:rPr>
        <w:t>disease burden</w:t>
      </w:r>
      <w:r w:rsidR="00850A60" w:rsidRPr="00A35CEC">
        <w:rPr>
          <w:rFonts w:ascii="Book Antiqua" w:hAnsi="Book Antiqua" w:cs="Arial"/>
        </w:rPr>
        <w:t xml:space="preserve"> </w:t>
      </w:r>
      <w:proofErr w:type="gramStart"/>
      <w:r w:rsidR="00850A60" w:rsidRPr="00A35CEC">
        <w:rPr>
          <w:rFonts w:ascii="Book Antiqua" w:hAnsi="Book Antiqua" w:cs="Arial"/>
        </w:rPr>
        <w:t>targets</w:t>
      </w:r>
      <w:r w:rsidR="00482E06" w:rsidRPr="00A35CEC">
        <w:rPr>
          <w:rFonts w:ascii="Book Antiqua" w:hAnsi="Book Antiqua" w:cs="Arial"/>
          <w:vertAlign w:val="superscript"/>
        </w:rPr>
        <w:t>[</w:t>
      </w:r>
      <w:proofErr w:type="gramEnd"/>
      <w:r w:rsidR="00482E06" w:rsidRPr="00A35CEC">
        <w:rPr>
          <w:rFonts w:ascii="Book Antiqua" w:hAnsi="Book Antiqua" w:cs="Arial"/>
          <w:vertAlign w:val="superscript"/>
        </w:rPr>
        <w:t>7]</w:t>
      </w:r>
      <w:r w:rsidR="00991686" w:rsidRPr="00A35CEC">
        <w:rPr>
          <w:rFonts w:ascii="Book Antiqua" w:hAnsi="Book Antiqua" w:cs="Arial"/>
        </w:rPr>
        <w:t xml:space="preserve">. </w:t>
      </w:r>
      <w:r w:rsidR="002D4A99" w:rsidRPr="00A35CEC">
        <w:rPr>
          <w:rFonts w:ascii="Book Antiqua" w:hAnsi="Book Antiqua" w:cs="Arial"/>
        </w:rPr>
        <w:t>More specifically,</w:t>
      </w:r>
      <w:r w:rsidR="003227F0" w:rsidRPr="00A35CEC">
        <w:rPr>
          <w:rFonts w:ascii="Book Antiqua" w:hAnsi="Book Antiqua" w:cs="Arial"/>
        </w:rPr>
        <w:t xml:space="preserve"> the</w:t>
      </w:r>
      <w:r w:rsidR="002D4A99" w:rsidRPr="00A35CEC">
        <w:rPr>
          <w:rFonts w:ascii="Book Antiqua" w:hAnsi="Book Antiqua" w:cs="Arial"/>
        </w:rPr>
        <w:t xml:space="preserve"> prevention </w:t>
      </w:r>
      <w:r w:rsidR="00A87AA9" w:rsidRPr="00A35CEC">
        <w:rPr>
          <w:rFonts w:ascii="Book Antiqua" w:hAnsi="Book Antiqua" w:cs="Arial"/>
        </w:rPr>
        <w:t>target</w:t>
      </w:r>
      <w:r w:rsidR="002D4A99" w:rsidRPr="00A35CEC">
        <w:rPr>
          <w:rFonts w:ascii="Book Antiqua" w:hAnsi="Book Antiqua" w:cs="Arial"/>
        </w:rPr>
        <w:t xml:space="preserve"> aim</w:t>
      </w:r>
      <w:r w:rsidR="00991686" w:rsidRPr="00A35CEC">
        <w:rPr>
          <w:rFonts w:ascii="Book Antiqua" w:hAnsi="Book Antiqua" w:cs="Arial"/>
        </w:rPr>
        <w:t>s</w:t>
      </w:r>
      <w:r w:rsidR="00850A60" w:rsidRPr="00A35CEC">
        <w:rPr>
          <w:rFonts w:ascii="Book Antiqua" w:hAnsi="Book Antiqua" w:cs="Arial"/>
        </w:rPr>
        <w:t xml:space="preserve"> to</w:t>
      </w:r>
      <w:r w:rsidR="002D4A99" w:rsidRPr="00A35CEC">
        <w:rPr>
          <w:rFonts w:ascii="Book Antiqua" w:hAnsi="Book Antiqua" w:cs="Arial"/>
        </w:rPr>
        <w:t xml:space="preserve"> reduce new infection</w:t>
      </w:r>
      <w:r w:rsidR="00850A60" w:rsidRPr="00A35CEC">
        <w:rPr>
          <w:rFonts w:ascii="Book Antiqua" w:hAnsi="Book Antiqua" w:cs="Arial"/>
        </w:rPr>
        <w:t>s</w:t>
      </w:r>
      <w:r w:rsidR="002D4A99" w:rsidRPr="00A35CEC">
        <w:rPr>
          <w:rFonts w:ascii="Book Antiqua" w:hAnsi="Book Antiqua" w:cs="Arial"/>
        </w:rPr>
        <w:t xml:space="preserve"> by 90%</w:t>
      </w:r>
      <w:r w:rsidR="00A87AA9" w:rsidRPr="00A35CEC">
        <w:rPr>
          <w:rFonts w:ascii="Book Antiqua" w:hAnsi="Book Antiqua" w:cs="Arial"/>
        </w:rPr>
        <w:t xml:space="preserve">, </w:t>
      </w:r>
      <w:r w:rsidR="00850A60" w:rsidRPr="00A35CEC">
        <w:rPr>
          <w:rFonts w:ascii="Book Antiqua" w:hAnsi="Book Antiqua" w:cs="Arial"/>
        </w:rPr>
        <w:t xml:space="preserve">while </w:t>
      </w:r>
      <w:r w:rsidR="00F579C1" w:rsidRPr="00A35CEC">
        <w:rPr>
          <w:rFonts w:ascii="Book Antiqua" w:hAnsi="Book Antiqua" w:cs="Arial"/>
        </w:rPr>
        <w:t xml:space="preserve">the </w:t>
      </w:r>
      <w:r w:rsidR="00A87AA9" w:rsidRPr="00A35CEC">
        <w:rPr>
          <w:rFonts w:ascii="Book Antiqua" w:hAnsi="Book Antiqua" w:cs="Arial"/>
        </w:rPr>
        <w:t xml:space="preserve">mortality target aims </w:t>
      </w:r>
      <w:r w:rsidR="00046603" w:rsidRPr="00A35CEC">
        <w:rPr>
          <w:rFonts w:ascii="Book Antiqua" w:hAnsi="Book Antiqua" w:cs="Arial"/>
        </w:rPr>
        <w:t>to reduce</w:t>
      </w:r>
      <w:r w:rsidR="002D4A99" w:rsidRPr="00A35CEC">
        <w:rPr>
          <w:rFonts w:ascii="Book Antiqua" w:hAnsi="Book Antiqua" w:cs="Arial"/>
        </w:rPr>
        <w:t xml:space="preserve"> </w:t>
      </w:r>
      <w:proofErr w:type="spellStart"/>
      <w:r w:rsidR="002D4A99" w:rsidRPr="00A35CEC">
        <w:rPr>
          <w:rFonts w:ascii="Book Antiqua" w:hAnsi="Book Antiqua" w:cs="Arial"/>
        </w:rPr>
        <w:t>HCV</w:t>
      </w:r>
      <w:proofErr w:type="spellEnd"/>
      <w:r w:rsidR="002D4A99" w:rsidRPr="00A35CEC">
        <w:rPr>
          <w:rFonts w:ascii="Book Antiqua" w:hAnsi="Book Antiqua" w:cs="Arial"/>
        </w:rPr>
        <w:t xml:space="preserve"> mortality</w:t>
      </w:r>
      <w:r w:rsidR="00A87AA9" w:rsidRPr="00A35CEC">
        <w:rPr>
          <w:rFonts w:ascii="Book Antiqua" w:hAnsi="Book Antiqua" w:cs="Arial"/>
        </w:rPr>
        <w:t xml:space="preserve"> </w:t>
      </w:r>
      <w:r w:rsidR="00013283" w:rsidRPr="00A35CEC">
        <w:rPr>
          <w:rFonts w:ascii="Book Antiqua" w:hAnsi="Book Antiqua" w:cs="Arial"/>
        </w:rPr>
        <w:t xml:space="preserve">to </w:t>
      </w:r>
      <w:r w:rsidR="00A87AA9" w:rsidRPr="00A35CEC">
        <w:rPr>
          <w:rFonts w:ascii="Book Antiqua" w:hAnsi="Book Antiqua" w:cs="Arial"/>
        </w:rPr>
        <w:t>65%</w:t>
      </w:r>
      <w:r w:rsidR="00E844A1" w:rsidRPr="00A35CEC">
        <w:rPr>
          <w:rFonts w:ascii="Book Antiqua" w:hAnsi="Book Antiqua" w:cs="Arial"/>
        </w:rPr>
        <w:t xml:space="preserve"> </w:t>
      </w:r>
      <w:r w:rsidR="00013283" w:rsidRPr="00A35CEC">
        <w:rPr>
          <w:rFonts w:ascii="Book Antiqua" w:hAnsi="Book Antiqua" w:cs="Arial"/>
        </w:rPr>
        <w:t>by</w:t>
      </w:r>
      <w:r w:rsidR="00E844A1" w:rsidRPr="00A35CEC">
        <w:rPr>
          <w:rFonts w:ascii="Book Antiqua" w:hAnsi="Book Antiqua" w:cs="Arial"/>
        </w:rPr>
        <w:t xml:space="preserve"> 2030</w:t>
      </w:r>
      <w:r w:rsidR="003654EA" w:rsidRPr="00A35CEC">
        <w:rPr>
          <w:rFonts w:ascii="Book Antiqua" w:hAnsi="Book Antiqua" w:cs="Arial"/>
        </w:rPr>
        <w:t xml:space="preserve"> compared to 2015</w:t>
      </w:r>
      <w:r w:rsidR="00850A60" w:rsidRPr="00A35CEC">
        <w:rPr>
          <w:rFonts w:ascii="Book Antiqua" w:hAnsi="Book Antiqua" w:cs="Arial"/>
        </w:rPr>
        <w:t xml:space="preserve">. </w:t>
      </w:r>
      <w:r w:rsidR="0026125E" w:rsidRPr="00A35CEC">
        <w:rPr>
          <w:rFonts w:ascii="Book Antiqua" w:hAnsi="Book Antiqua" w:cs="Arial"/>
        </w:rPr>
        <w:t>To achieve the WHO goals</w:t>
      </w:r>
      <w:r w:rsidR="00A87AA9" w:rsidRPr="00A35CEC">
        <w:rPr>
          <w:rFonts w:ascii="Book Antiqua" w:hAnsi="Book Antiqua" w:cs="Arial"/>
        </w:rPr>
        <w:t xml:space="preserve"> in Greece</w:t>
      </w:r>
      <w:r w:rsidR="00256E13" w:rsidRPr="00A35CEC">
        <w:rPr>
          <w:rFonts w:ascii="Book Antiqua" w:hAnsi="Book Antiqua" w:cs="Arial"/>
        </w:rPr>
        <w:t xml:space="preserve">, </w:t>
      </w:r>
      <w:r w:rsidR="00013283" w:rsidRPr="00A35CEC">
        <w:rPr>
          <w:rFonts w:ascii="Book Antiqua" w:hAnsi="Book Antiqua" w:cs="Arial"/>
        </w:rPr>
        <w:t xml:space="preserve">the number of </w:t>
      </w:r>
      <w:r w:rsidR="0026125E" w:rsidRPr="00A35CEC">
        <w:rPr>
          <w:rFonts w:ascii="Book Antiqua" w:hAnsi="Book Antiqua" w:cs="Arial"/>
        </w:rPr>
        <w:t xml:space="preserve">diagnosed and treated patients </w:t>
      </w:r>
      <w:r w:rsidR="0052028F" w:rsidRPr="00A35CEC">
        <w:rPr>
          <w:rFonts w:ascii="Book Antiqua" w:hAnsi="Book Antiqua" w:cs="Arial"/>
        </w:rPr>
        <w:t xml:space="preserve">should </w:t>
      </w:r>
      <w:r w:rsidR="005B4422" w:rsidRPr="00A35CEC">
        <w:rPr>
          <w:rFonts w:ascii="Book Antiqua" w:hAnsi="Book Antiqua" w:cs="Arial"/>
        </w:rPr>
        <w:t>gradually</w:t>
      </w:r>
      <w:r w:rsidR="0026125E" w:rsidRPr="00A35CEC">
        <w:rPr>
          <w:rFonts w:ascii="Book Antiqua" w:hAnsi="Book Antiqua" w:cs="Arial"/>
        </w:rPr>
        <w:t xml:space="preserve"> increase up to </w:t>
      </w:r>
      <w:r w:rsidR="007D0F0C" w:rsidRPr="00A35CEC">
        <w:rPr>
          <w:rFonts w:ascii="Book Antiqua" w:hAnsi="Book Antiqua" w:cs="Arial"/>
        </w:rPr>
        <w:t>7</w:t>
      </w:r>
      <w:r w:rsidR="00616C7E" w:rsidRPr="00A35CEC">
        <w:rPr>
          <w:rFonts w:ascii="Book Antiqua" w:hAnsi="Book Antiqua" w:cs="Arial"/>
        </w:rPr>
        <w:t>,</w:t>
      </w:r>
      <w:r w:rsidR="007D0F0C" w:rsidRPr="00A35CEC">
        <w:rPr>
          <w:rFonts w:ascii="Book Antiqua" w:hAnsi="Book Antiqua" w:cs="Arial"/>
        </w:rPr>
        <w:t>000</w:t>
      </w:r>
      <w:r w:rsidR="00DE6B04" w:rsidRPr="00A35CEC">
        <w:rPr>
          <w:rFonts w:ascii="Book Antiqua" w:hAnsi="Book Antiqua" w:cs="Arial"/>
        </w:rPr>
        <w:t xml:space="preserve"> and </w:t>
      </w:r>
      <w:r w:rsidR="007D0F0C" w:rsidRPr="00A35CEC">
        <w:rPr>
          <w:rFonts w:ascii="Book Antiqua" w:hAnsi="Book Antiqua" w:cs="Arial"/>
        </w:rPr>
        <w:t>6</w:t>
      </w:r>
      <w:r w:rsidR="00616C7E" w:rsidRPr="00A35CEC">
        <w:rPr>
          <w:rFonts w:ascii="Book Antiqua" w:hAnsi="Book Antiqua" w:cs="Arial"/>
        </w:rPr>
        <w:t>,</w:t>
      </w:r>
      <w:r w:rsidR="007D0F0C" w:rsidRPr="00A35CEC">
        <w:rPr>
          <w:rFonts w:ascii="Book Antiqua" w:hAnsi="Book Antiqua" w:cs="Arial"/>
        </w:rPr>
        <w:t>800</w:t>
      </w:r>
      <w:r w:rsidR="0026125E" w:rsidRPr="00A35CEC">
        <w:rPr>
          <w:rFonts w:ascii="Book Antiqua" w:hAnsi="Book Antiqua" w:cs="Arial"/>
        </w:rPr>
        <w:t xml:space="preserve"> patients per year</w:t>
      </w:r>
      <w:r w:rsidR="00E36086" w:rsidRPr="00A35CEC">
        <w:rPr>
          <w:rFonts w:ascii="Book Antiqua" w:hAnsi="Book Antiqua" w:cs="Arial"/>
        </w:rPr>
        <w:t>,</w:t>
      </w:r>
      <w:r w:rsidR="0026125E" w:rsidRPr="00A35CEC">
        <w:rPr>
          <w:rFonts w:ascii="Book Antiqua" w:hAnsi="Book Antiqua" w:cs="Arial"/>
        </w:rPr>
        <w:t xml:space="preserve"> respectively</w:t>
      </w:r>
      <w:r w:rsidR="002D4A99" w:rsidRPr="00A35CEC">
        <w:rPr>
          <w:rFonts w:ascii="Book Antiqua" w:hAnsi="Book Antiqua" w:cs="Arial"/>
        </w:rPr>
        <w:t>.</w:t>
      </w:r>
      <w:r w:rsidR="00CB6B2B" w:rsidRPr="00A35CEC">
        <w:rPr>
          <w:rFonts w:ascii="Book Antiqua" w:hAnsi="Book Antiqua" w:cs="Arial"/>
        </w:rPr>
        <w:t xml:space="preserve"> </w:t>
      </w:r>
      <w:r w:rsidR="00375D41" w:rsidRPr="00A35CEC">
        <w:rPr>
          <w:rFonts w:ascii="Book Antiqua" w:hAnsi="Book Antiqua" w:cs="Arial"/>
        </w:rPr>
        <w:t>Initially,</w:t>
      </w:r>
      <w:r w:rsidR="00013283" w:rsidRPr="00A35CEC">
        <w:rPr>
          <w:rFonts w:ascii="Book Antiqua" w:hAnsi="Book Antiqua" w:cs="Arial"/>
        </w:rPr>
        <w:t xml:space="preserve"> through 2018,</w:t>
      </w:r>
      <w:r w:rsidR="002D4A99" w:rsidRPr="00A35CEC">
        <w:rPr>
          <w:rFonts w:ascii="Book Antiqua" w:hAnsi="Book Antiqua" w:cs="Arial"/>
        </w:rPr>
        <w:t xml:space="preserve"> </w:t>
      </w:r>
      <w:r w:rsidR="007D0F0C" w:rsidRPr="00A35CEC">
        <w:rPr>
          <w:rFonts w:ascii="Book Antiqua" w:hAnsi="Book Antiqua" w:cs="Arial"/>
        </w:rPr>
        <w:t xml:space="preserve">patients with fibrosis stage </w:t>
      </w:r>
      <w:r w:rsidR="007D0F0C" w:rsidRPr="00A35CEC">
        <w:rPr>
          <w:rFonts w:ascii="Book Antiqua" w:hAnsi="Book Antiqua" w:cs="Arial" w:hint="eastAsia"/>
        </w:rPr>
        <w:t>≥</w:t>
      </w:r>
      <w:r w:rsidR="00B7369C" w:rsidRPr="00A35CEC">
        <w:rPr>
          <w:rFonts w:ascii="Book Antiqua" w:hAnsi="Book Antiqua" w:cs="Arial"/>
        </w:rPr>
        <w:t xml:space="preserve"> </w:t>
      </w:r>
      <w:r w:rsidR="007D0F0C" w:rsidRPr="00A35CEC">
        <w:rPr>
          <w:rFonts w:ascii="Book Antiqua" w:hAnsi="Book Antiqua" w:cs="Arial"/>
        </w:rPr>
        <w:t>F2</w:t>
      </w:r>
      <w:r w:rsidR="002D4A99" w:rsidRPr="00A35CEC">
        <w:rPr>
          <w:rFonts w:ascii="Book Antiqua" w:hAnsi="Book Antiqua" w:cs="Arial"/>
        </w:rPr>
        <w:t xml:space="preserve"> </w:t>
      </w:r>
      <w:r w:rsidR="007D0F0C" w:rsidRPr="00A35CEC">
        <w:rPr>
          <w:rFonts w:ascii="Book Antiqua" w:hAnsi="Book Antiqua" w:cs="Arial"/>
        </w:rPr>
        <w:t>will</w:t>
      </w:r>
      <w:r w:rsidR="002D4A99" w:rsidRPr="00A35CEC">
        <w:rPr>
          <w:rFonts w:ascii="Book Antiqua" w:hAnsi="Book Antiqua" w:cs="Arial"/>
        </w:rPr>
        <w:t xml:space="preserve"> b</w:t>
      </w:r>
      <w:r w:rsidR="001A436B" w:rsidRPr="00A35CEC">
        <w:rPr>
          <w:rFonts w:ascii="Book Antiqua" w:hAnsi="Book Antiqua" w:cs="Arial"/>
        </w:rPr>
        <w:t>e treated</w:t>
      </w:r>
      <w:r w:rsidR="007D0F0C" w:rsidRPr="00A35CEC">
        <w:rPr>
          <w:rFonts w:ascii="Book Antiqua" w:hAnsi="Book Antiqua" w:cs="Arial"/>
        </w:rPr>
        <w:t xml:space="preserve">. </w:t>
      </w:r>
      <w:r w:rsidR="00375D41" w:rsidRPr="00A35CEC">
        <w:rPr>
          <w:rFonts w:ascii="Book Antiqua" w:hAnsi="Book Antiqua" w:cs="Arial"/>
        </w:rPr>
        <w:t>After 2019</w:t>
      </w:r>
      <w:r w:rsidR="00E36086" w:rsidRPr="00A35CEC">
        <w:rPr>
          <w:rFonts w:ascii="Book Antiqua" w:hAnsi="Book Antiqua" w:cs="Arial"/>
        </w:rPr>
        <w:t>,</w:t>
      </w:r>
      <w:r w:rsidR="002D4A99" w:rsidRPr="00A35CEC">
        <w:rPr>
          <w:rFonts w:ascii="Book Antiqua" w:hAnsi="Book Antiqua" w:cs="Arial"/>
        </w:rPr>
        <w:t xml:space="preserve"> treatment coverage should</w:t>
      </w:r>
      <w:r w:rsidR="0052028F" w:rsidRPr="00A35CEC">
        <w:rPr>
          <w:rFonts w:ascii="Book Antiqua" w:hAnsi="Book Antiqua" w:cs="Arial"/>
        </w:rPr>
        <w:t xml:space="preserve"> be</w:t>
      </w:r>
      <w:r w:rsidR="002D4A99" w:rsidRPr="00A35CEC">
        <w:rPr>
          <w:rFonts w:ascii="Book Antiqua" w:hAnsi="Book Antiqua" w:cs="Arial"/>
        </w:rPr>
        <w:t xml:space="preserve"> expand</w:t>
      </w:r>
      <w:r w:rsidR="0052028F" w:rsidRPr="00A35CEC">
        <w:rPr>
          <w:rFonts w:ascii="Book Antiqua" w:hAnsi="Book Antiqua" w:cs="Arial"/>
        </w:rPr>
        <w:t>ed</w:t>
      </w:r>
      <w:r w:rsidR="002D4A99" w:rsidRPr="00A35CEC">
        <w:rPr>
          <w:rFonts w:ascii="Book Antiqua" w:hAnsi="Book Antiqua" w:cs="Arial"/>
        </w:rPr>
        <w:t xml:space="preserve"> </w:t>
      </w:r>
      <w:r w:rsidR="00850A60" w:rsidRPr="00A35CEC">
        <w:rPr>
          <w:rFonts w:ascii="Book Antiqua" w:hAnsi="Book Antiqua" w:cs="Arial"/>
        </w:rPr>
        <w:t>to</w:t>
      </w:r>
      <w:r w:rsidR="0052028F" w:rsidRPr="00A35CEC">
        <w:rPr>
          <w:rFonts w:ascii="Book Antiqua" w:hAnsi="Book Antiqua" w:cs="Arial"/>
        </w:rPr>
        <w:t xml:space="preserve"> </w:t>
      </w:r>
      <w:r w:rsidR="007D0F0C" w:rsidRPr="00A35CEC">
        <w:rPr>
          <w:rFonts w:ascii="Book Antiqua" w:hAnsi="Book Antiqua" w:cs="Arial"/>
        </w:rPr>
        <w:t xml:space="preserve">all patients </w:t>
      </w:r>
      <w:r w:rsidR="003945EB" w:rsidRPr="00A35CEC">
        <w:rPr>
          <w:rFonts w:ascii="Book Antiqua" w:hAnsi="Book Antiqua" w:cs="Arial"/>
        </w:rPr>
        <w:t>(</w:t>
      </w:r>
      <w:r w:rsidR="006303C7" w:rsidRPr="00A35CEC">
        <w:rPr>
          <w:rFonts w:ascii="Book Antiqua" w:hAnsi="Book Antiqua" w:cs="Arial"/>
        </w:rPr>
        <w:t>Table</w:t>
      </w:r>
      <w:r w:rsidR="003D2070" w:rsidRPr="00A35CEC">
        <w:rPr>
          <w:rFonts w:ascii="Book Antiqua" w:hAnsi="Book Antiqua" w:cs="Arial"/>
        </w:rPr>
        <w:t xml:space="preserve"> </w:t>
      </w:r>
      <w:r w:rsidR="003945EB" w:rsidRPr="00A35CEC">
        <w:rPr>
          <w:rFonts w:ascii="Book Antiqua" w:hAnsi="Book Antiqua" w:cs="Arial"/>
        </w:rPr>
        <w:t>1)</w:t>
      </w:r>
      <w:r w:rsidR="002D4A99" w:rsidRPr="00A35CEC">
        <w:rPr>
          <w:rFonts w:ascii="Book Antiqua" w:hAnsi="Book Antiqua" w:cs="Arial"/>
        </w:rPr>
        <w:t>.</w:t>
      </w:r>
    </w:p>
    <w:p w14:paraId="2B4D1A0B" w14:textId="77777777" w:rsidR="0090110A" w:rsidRPr="00A35CEC" w:rsidRDefault="0090110A">
      <w:pPr>
        <w:adjustRightInd w:val="0"/>
        <w:snapToGrid w:val="0"/>
        <w:spacing w:line="360" w:lineRule="auto"/>
        <w:jc w:val="both"/>
        <w:rPr>
          <w:rFonts w:ascii="Book Antiqua" w:hAnsi="Book Antiqua" w:cs="Arial"/>
        </w:rPr>
      </w:pPr>
    </w:p>
    <w:p w14:paraId="47ECE2C6" w14:textId="7B1FBBF3" w:rsidR="002D4A99" w:rsidRPr="00A35CEC" w:rsidRDefault="003A529C">
      <w:pPr>
        <w:adjustRightInd w:val="0"/>
        <w:snapToGrid w:val="0"/>
        <w:spacing w:line="360" w:lineRule="auto"/>
        <w:jc w:val="both"/>
        <w:rPr>
          <w:rFonts w:ascii="Book Antiqua" w:hAnsi="Book Antiqua"/>
          <w:b/>
          <w:i/>
        </w:rPr>
      </w:pPr>
      <w:r w:rsidRPr="00A35CEC">
        <w:rPr>
          <w:rFonts w:ascii="Book Antiqua" w:hAnsi="Book Antiqua"/>
          <w:b/>
          <w:i/>
        </w:rPr>
        <w:t>Economic p</w:t>
      </w:r>
      <w:r w:rsidR="00A40DA1" w:rsidRPr="00A35CEC">
        <w:rPr>
          <w:rFonts w:ascii="Book Antiqua" w:hAnsi="Book Antiqua"/>
          <w:b/>
          <w:i/>
        </w:rPr>
        <w:t>ortion</w:t>
      </w:r>
      <w:r w:rsidRPr="00A35CEC">
        <w:rPr>
          <w:rFonts w:ascii="Book Antiqua" w:hAnsi="Book Antiqua"/>
          <w:b/>
          <w:i/>
        </w:rPr>
        <w:t xml:space="preserve"> of the </w:t>
      </w:r>
      <w:r w:rsidR="004549D5" w:rsidRPr="00A35CEC">
        <w:rPr>
          <w:rFonts w:ascii="Book Antiqua" w:hAnsi="Book Antiqua"/>
          <w:b/>
          <w:i/>
        </w:rPr>
        <w:t>model</w:t>
      </w:r>
    </w:p>
    <w:p w14:paraId="65C4AA68" w14:textId="0B7A4D7F" w:rsidR="009B1929" w:rsidRPr="00A35CEC" w:rsidRDefault="00FC44E6">
      <w:pPr>
        <w:adjustRightInd w:val="0"/>
        <w:snapToGrid w:val="0"/>
        <w:spacing w:line="360" w:lineRule="auto"/>
        <w:jc w:val="both"/>
        <w:rPr>
          <w:rFonts w:ascii="Book Antiqua" w:hAnsi="Book Antiqua" w:cs="Arial"/>
        </w:rPr>
      </w:pPr>
      <w:r w:rsidRPr="00A35CEC">
        <w:rPr>
          <w:rFonts w:ascii="Book Antiqua" w:hAnsi="Book Antiqua" w:cs="Arial"/>
        </w:rPr>
        <w:t xml:space="preserve">Regarding </w:t>
      </w:r>
      <w:r w:rsidR="009B1929" w:rsidRPr="00A35CEC">
        <w:rPr>
          <w:rFonts w:ascii="Book Antiqua" w:hAnsi="Book Antiqua" w:cs="Arial"/>
        </w:rPr>
        <w:t xml:space="preserve">the economic </w:t>
      </w:r>
      <w:r w:rsidR="00A40DA1" w:rsidRPr="00A35CEC">
        <w:rPr>
          <w:rFonts w:ascii="Book Antiqua" w:hAnsi="Book Antiqua" w:cs="Arial"/>
        </w:rPr>
        <w:t xml:space="preserve">portion </w:t>
      </w:r>
      <w:r w:rsidR="009B1929" w:rsidRPr="00A35CEC">
        <w:rPr>
          <w:rFonts w:ascii="Book Antiqua" w:hAnsi="Book Antiqua" w:cs="Arial"/>
        </w:rPr>
        <w:t>of the model, we</w:t>
      </w:r>
      <w:r w:rsidR="006F049F" w:rsidRPr="00A35CEC">
        <w:rPr>
          <w:rFonts w:ascii="Book Antiqua" w:hAnsi="Book Antiqua" w:cs="Arial"/>
        </w:rPr>
        <w:t xml:space="preserve"> have</w:t>
      </w:r>
      <w:r w:rsidR="009B1929" w:rsidRPr="00A35CEC">
        <w:rPr>
          <w:rFonts w:ascii="Book Antiqua" w:hAnsi="Book Antiqua" w:cs="Arial"/>
        </w:rPr>
        <w:t xml:space="preserve"> compute</w:t>
      </w:r>
      <w:r w:rsidR="006F049F" w:rsidRPr="00A35CEC">
        <w:rPr>
          <w:rFonts w:ascii="Book Antiqua" w:hAnsi="Book Antiqua" w:cs="Arial"/>
        </w:rPr>
        <w:t>d</w:t>
      </w:r>
      <w:r w:rsidR="009B1929" w:rsidRPr="00A35CEC">
        <w:rPr>
          <w:rFonts w:ascii="Book Antiqua" w:hAnsi="Book Antiqua" w:cs="Arial"/>
        </w:rPr>
        <w:t xml:space="preserve"> the direct and the </w:t>
      </w:r>
      <w:r w:rsidR="001C0643" w:rsidRPr="00A35CEC">
        <w:rPr>
          <w:rFonts w:ascii="Book Antiqua" w:hAnsi="Book Antiqua" w:cs="Arial"/>
        </w:rPr>
        <w:t>in</w:t>
      </w:r>
      <w:r w:rsidR="009B1929" w:rsidRPr="00A35CEC">
        <w:rPr>
          <w:rFonts w:ascii="Book Antiqua" w:hAnsi="Book Antiqua" w:cs="Arial"/>
        </w:rPr>
        <w:t>direct</w:t>
      </w:r>
      <w:r w:rsidR="00044DBB" w:rsidRPr="00A35CEC">
        <w:rPr>
          <w:rFonts w:ascii="Book Antiqua" w:hAnsi="Book Antiqua" w:cs="Arial"/>
        </w:rPr>
        <w:t>/societal</w:t>
      </w:r>
      <w:r w:rsidR="009B1929" w:rsidRPr="00A35CEC">
        <w:rPr>
          <w:rFonts w:ascii="Book Antiqua" w:hAnsi="Book Antiqua" w:cs="Arial"/>
        </w:rPr>
        <w:t xml:space="preserve"> costs </w:t>
      </w:r>
      <w:r w:rsidR="00A812C9" w:rsidRPr="00A35CEC">
        <w:rPr>
          <w:rFonts w:ascii="Book Antiqua" w:hAnsi="Book Antiqua" w:cs="Arial"/>
        </w:rPr>
        <w:t>of</w:t>
      </w:r>
      <w:r w:rsidR="009B1929" w:rsidRPr="00A35CEC">
        <w:rPr>
          <w:rFonts w:ascii="Book Antiqua" w:hAnsi="Book Antiqua" w:cs="Arial"/>
        </w:rPr>
        <w:t xml:space="preserve"> </w:t>
      </w:r>
      <w:proofErr w:type="spellStart"/>
      <w:r w:rsidR="009B1929" w:rsidRPr="00A35CEC">
        <w:rPr>
          <w:rFonts w:ascii="Book Antiqua" w:hAnsi="Book Antiqua" w:cs="Arial"/>
        </w:rPr>
        <w:t>HCV</w:t>
      </w:r>
      <w:proofErr w:type="spellEnd"/>
      <w:r w:rsidR="009B1929" w:rsidRPr="00A35CEC">
        <w:rPr>
          <w:rFonts w:ascii="Book Antiqua" w:hAnsi="Book Antiqua" w:cs="Arial"/>
        </w:rPr>
        <w:t xml:space="preserve"> infection.</w:t>
      </w:r>
    </w:p>
    <w:p w14:paraId="44CA47E0" w14:textId="77777777" w:rsidR="009B1929" w:rsidRPr="00A35CEC" w:rsidRDefault="009B1929">
      <w:pPr>
        <w:adjustRightInd w:val="0"/>
        <w:snapToGrid w:val="0"/>
        <w:spacing w:line="360" w:lineRule="auto"/>
        <w:jc w:val="both"/>
        <w:rPr>
          <w:rFonts w:ascii="Book Antiqua" w:hAnsi="Book Antiqua" w:cs="Arial"/>
          <w:b/>
        </w:rPr>
      </w:pPr>
    </w:p>
    <w:p w14:paraId="1F342C07" w14:textId="3752602F" w:rsidR="002D4BCE" w:rsidRPr="00A35CEC" w:rsidRDefault="004549D5">
      <w:pPr>
        <w:adjustRightInd w:val="0"/>
        <w:snapToGrid w:val="0"/>
        <w:spacing w:line="360" w:lineRule="auto"/>
        <w:jc w:val="both"/>
        <w:rPr>
          <w:rFonts w:ascii="Book Antiqua" w:hAnsi="Book Antiqua"/>
          <w:b/>
        </w:rPr>
      </w:pPr>
      <w:r w:rsidRPr="00A35CEC">
        <w:rPr>
          <w:rFonts w:ascii="Book Antiqua" w:hAnsi="Book Antiqua"/>
          <w:b/>
        </w:rPr>
        <w:t>Direct</w:t>
      </w:r>
      <w:r w:rsidR="00B7369C" w:rsidRPr="00A35CEC">
        <w:rPr>
          <w:rFonts w:ascii="Book Antiqua" w:hAnsi="Book Antiqua"/>
          <w:b/>
        </w:rPr>
        <w:t xml:space="preserve"> and i</w:t>
      </w:r>
      <w:r w:rsidR="00375D41" w:rsidRPr="00A35CEC">
        <w:rPr>
          <w:rFonts w:ascii="Book Antiqua" w:hAnsi="Book Antiqua"/>
          <w:b/>
        </w:rPr>
        <w:t>ndirect</w:t>
      </w:r>
      <w:r w:rsidR="00044DBB" w:rsidRPr="00A35CEC">
        <w:rPr>
          <w:rFonts w:ascii="Book Antiqua" w:hAnsi="Book Antiqua"/>
          <w:b/>
        </w:rPr>
        <w:t>/societal</w:t>
      </w:r>
      <w:r w:rsidRPr="00A35CEC">
        <w:rPr>
          <w:rFonts w:ascii="Book Antiqua" w:hAnsi="Book Antiqua"/>
          <w:b/>
        </w:rPr>
        <w:t xml:space="preserve"> costs</w:t>
      </w:r>
      <w:r w:rsidR="00B7369C" w:rsidRPr="00A35CEC">
        <w:rPr>
          <w:rFonts w:ascii="Book Antiqua" w:hAnsi="Book Antiqua"/>
          <w:b/>
        </w:rPr>
        <w:t xml:space="preserve">: </w:t>
      </w:r>
      <w:r w:rsidRPr="00A35CEC">
        <w:rPr>
          <w:rFonts w:ascii="Book Antiqua" w:eastAsia="Calibri" w:hAnsi="Book Antiqua" w:cs="Arial"/>
        </w:rPr>
        <w:t xml:space="preserve">Direct costs </w:t>
      </w:r>
      <w:r w:rsidR="0082003D" w:rsidRPr="00A35CEC">
        <w:rPr>
          <w:rFonts w:ascii="Book Antiqua" w:eastAsia="Calibri" w:hAnsi="Book Antiqua" w:cs="Arial"/>
        </w:rPr>
        <w:t>include</w:t>
      </w:r>
      <w:r w:rsidR="00FC44E6" w:rsidRPr="00A35CEC">
        <w:rPr>
          <w:rFonts w:ascii="Book Antiqua" w:eastAsia="Calibri" w:hAnsi="Book Antiqua" w:cs="Arial"/>
        </w:rPr>
        <w:t xml:space="preserve"> </w:t>
      </w:r>
      <w:r w:rsidRPr="00A35CEC">
        <w:rPr>
          <w:rFonts w:ascii="Book Antiqua" w:eastAsia="Calibri" w:hAnsi="Book Antiqua" w:cs="Arial"/>
        </w:rPr>
        <w:t xml:space="preserve">the cost of antiviral treatment </w:t>
      </w:r>
      <w:r w:rsidR="00710380" w:rsidRPr="00A35CEC">
        <w:rPr>
          <w:rFonts w:ascii="Book Antiqua" w:eastAsia="Calibri" w:hAnsi="Book Antiqua" w:cs="Arial"/>
        </w:rPr>
        <w:t xml:space="preserve">per treated patient per year, </w:t>
      </w:r>
      <w:r w:rsidR="00EE1A64" w:rsidRPr="00A35CEC">
        <w:rPr>
          <w:rFonts w:ascii="Book Antiqua" w:eastAsia="Calibri" w:hAnsi="Book Antiqua" w:cs="Arial"/>
        </w:rPr>
        <w:t xml:space="preserve">annual </w:t>
      </w:r>
      <w:r w:rsidR="002D4BCE" w:rsidRPr="00A35CEC">
        <w:rPr>
          <w:rFonts w:ascii="Book Antiqua" w:eastAsia="Calibri" w:hAnsi="Book Antiqua" w:cs="Arial"/>
        </w:rPr>
        <w:t>health care costs</w:t>
      </w:r>
      <w:r w:rsidR="00EE1A64" w:rsidRPr="00A35CEC">
        <w:rPr>
          <w:rFonts w:ascii="Book Antiqua" w:eastAsia="Calibri" w:hAnsi="Book Antiqua" w:cs="Arial"/>
        </w:rPr>
        <w:t xml:space="preserve"> per patient</w:t>
      </w:r>
      <w:r w:rsidR="002D4BCE" w:rsidRPr="00A35CEC">
        <w:rPr>
          <w:rFonts w:ascii="Book Antiqua" w:eastAsia="Calibri" w:hAnsi="Book Antiqua" w:cs="Arial"/>
        </w:rPr>
        <w:t>,</w:t>
      </w:r>
      <w:r w:rsidR="000C2473" w:rsidRPr="00A35CEC">
        <w:rPr>
          <w:rFonts w:ascii="Book Antiqua" w:eastAsia="Calibri" w:hAnsi="Book Antiqua" w:cs="Arial"/>
        </w:rPr>
        <w:t xml:space="preserve"> screening</w:t>
      </w:r>
      <w:r w:rsidR="00850A60" w:rsidRPr="00A35CEC">
        <w:rPr>
          <w:rFonts w:ascii="Book Antiqua" w:eastAsia="Calibri" w:hAnsi="Book Antiqua" w:cs="Arial"/>
        </w:rPr>
        <w:t>/diagnostic</w:t>
      </w:r>
      <w:r w:rsidR="000C2473" w:rsidRPr="00A35CEC">
        <w:rPr>
          <w:rFonts w:ascii="Book Antiqua" w:eastAsia="Calibri" w:hAnsi="Book Antiqua" w:cs="Arial"/>
        </w:rPr>
        <w:t xml:space="preserve"> costs</w:t>
      </w:r>
      <w:r w:rsidR="00EE1A64" w:rsidRPr="00A35CEC">
        <w:rPr>
          <w:rFonts w:ascii="Book Antiqua" w:eastAsia="Calibri" w:hAnsi="Book Antiqua" w:cs="Arial"/>
        </w:rPr>
        <w:t xml:space="preserve"> per patient</w:t>
      </w:r>
      <w:r w:rsidR="000C2473" w:rsidRPr="00A35CEC">
        <w:rPr>
          <w:rFonts w:ascii="Book Antiqua" w:eastAsia="Calibri" w:hAnsi="Book Antiqua" w:cs="Arial"/>
        </w:rPr>
        <w:t xml:space="preserve">, </w:t>
      </w:r>
      <w:r w:rsidRPr="00A35CEC">
        <w:rPr>
          <w:rFonts w:ascii="Book Antiqua" w:eastAsia="Calibri" w:hAnsi="Book Antiqua" w:cs="Arial"/>
        </w:rPr>
        <w:t xml:space="preserve">as well </w:t>
      </w:r>
      <w:r w:rsidR="00490733" w:rsidRPr="00A35CEC">
        <w:rPr>
          <w:rFonts w:ascii="Book Antiqua" w:eastAsia="Calibri" w:hAnsi="Book Antiqua" w:cs="Arial"/>
        </w:rPr>
        <w:t xml:space="preserve">as </w:t>
      </w:r>
      <w:r w:rsidR="00850A60" w:rsidRPr="00A35CEC">
        <w:rPr>
          <w:rFonts w:ascii="Book Antiqua" w:eastAsia="Calibri" w:hAnsi="Book Antiqua" w:cs="Arial"/>
        </w:rPr>
        <w:t>laboratory</w:t>
      </w:r>
      <w:r w:rsidRPr="00A35CEC">
        <w:rPr>
          <w:rFonts w:ascii="Book Antiqua" w:eastAsia="Calibri" w:hAnsi="Book Antiqua" w:cs="Arial"/>
        </w:rPr>
        <w:t xml:space="preserve"> cost</w:t>
      </w:r>
      <w:r w:rsidR="00A40DA1" w:rsidRPr="00A35CEC">
        <w:rPr>
          <w:rFonts w:ascii="Book Antiqua" w:eastAsia="Calibri" w:hAnsi="Book Antiqua" w:cs="Arial"/>
        </w:rPr>
        <w:t>s</w:t>
      </w:r>
      <w:r w:rsidR="00710380" w:rsidRPr="00A35CEC">
        <w:rPr>
          <w:rFonts w:ascii="Book Antiqua" w:eastAsia="Calibri" w:hAnsi="Book Antiqua" w:cs="Arial"/>
        </w:rPr>
        <w:t xml:space="preserve"> per treated patient</w:t>
      </w:r>
      <w:r w:rsidRPr="00A35CEC">
        <w:rPr>
          <w:rFonts w:ascii="Book Antiqua" w:eastAsia="Calibri" w:hAnsi="Book Antiqua" w:cs="Arial"/>
        </w:rPr>
        <w:t xml:space="preserve"> </w:t>
      </w:r>
      <w:r w:rsidR="00700B99" w:rsidRPr="00A35CEC">
        <w:rPr>
          <w:rFonts w:ascii="Book Antiqua" w:eastAsia="Calibri" w:hAnsi="Book Antiqua" w:cs="Arial"/>
        </w:rPr>
        <w:t>(</w:t>
      </w:r>
      <w:r w:rsidR="006303C7" w:rsidRPr="00A35CEC">
        <w:rPr>
          <w:rFonts w:ascii="Book Antiqua" w:eastAsia="Calibri" w:hAnsi="Book Antiqua" w:cs="Arial"/>
        </w:rPr>
        <w:t>Table</w:t>
      </w:r>
      <w:r w:rsidR="003D2070" w:rsidRPr="00A35CEC">
        <w:rPr>
          <w:rFonts w:ascii="Book Antiqua" w:eastAsia="Calibri" w:hAnsi="Book Antiqua" w:cs="Arial"/>
        </w:rPr>
        <w:t xml:space="preserve"> </w:t>
      </w:r>
      <w:r w:rsidR="00700B99" w:rsidRPr="00A35CEC">
        <w:rPr>
          <w:rFonts w:ascii="Book Antiqua" w:eastAsia="Calibri" w:hAnsi="Book Antiqua" w:cs="Arial"/>
        </w:rPr>
        <w:t>2</w:t>
      </w:r>
      <w:proofErr w:type="gramStart"/>
      <w:r w:rsidR="00700B99" w:rsidRPr="00A35CEC">
        <w:rPr>
          <w:rFonts w:ascii="Book Antiqua" w:eastAsia="Calibri" w:hAnsi="Book Antiqua" w:cs="Arial"/>
        </w:rPr>
        <w:t>)</w:t>
      </w:r>
      <w:r w:rsidR="00BC0DA7" w:rsidRPr="00A35CEC">
        <w:rPr>
          <w:rFonts w:ascii="Book Antiqua" w:eastAsia="Calibri" w:hAnsi="Book Antiqua" w:cs="Arial"/>
          <w:vertAlign w:val="superscript"/>
        </w:rPr>
        <w:t>[</w:t>
      </w:r>
      <w:proofErr w:type="gramEnd"/>
      <w:r w:rsidR="00BC0DA7" w:rsidRPr="00A35CEC">
        <w:rPr>
          <w:rFonts w:ascii="Book Antiqua" w:eastAsia="Calibri" w:hAnsi="Book Antiqua" w:cs="Arial"/>
          <w:vertAlign w:val="superscript"/>
        </w:rPr>
        <w:t>21]</w:t>
      </w:r>
      <w:r w:rsidR="00710380" w:rsidRPr="00A35CEC">
        <w:rPr>
          <w:rFonts w:ascii="Book Antiqua" w:eastAsia="Calibri" w:hAnsi="Book Antiqua" w:cs="Arial"/>
        </w:rPr>
        <w:t xml:space="preserve">. </w:t>
      </w:r>
    </w:p>
    <w:p w14:paraId="2F89BF3E" w14:textId="7E9408BC" w:rsidR="005E077C" w:rsidRPr="00A35CEC" w:rsidRDefault="00B7369C">
      <w:pPr>
        <w:pStyle w:val="HTML"/>
        <w:shd w:val="clear" w:color="auto" w:fill="FFFFFF"/>
        <w:adjustRightInd w:val="0"/>
        <w:snapToGrid w:val="0"/>
        <w:spacing w:line="360" w:lineRule="auto"/>
        <w:jc w:val="both"/>
        <w:rPr>
          <w:rFonts w:ascii="Book Antiqua" w:eastAsia="Calibri" w:hAnsi="Book Antiqua" w:cs="Arial"/>
          <w:sz w:val="24"/>
          <w:szCs w:val="24"/>
          <w:lang w:val="en-US"/>
        </w:rPr>
      </w:pPr>
      <w:r w:rsidRPr="00A35CEC">
        <w:rPr>
          <w:rFonts w:ascii="Book Antiqua" w:eastAsia="Calibri" w:hAnsi="Book Antiqua" w:cs="Arial"/>
          <w:sz w:val="24"/>
          <w:szCs w:val="24"/>
          <w:lang w:val="en-US"/>
        </w:rPr>
        <w:t xml:space="preserve">  </w:t>
      </w:r>
      <w:r w:rsidR="000C2473" w:rsidRPr="00A35CEC">
        <w:rPr>
          <w:rFonts w:ascii="Book Antiqua" w:eastAsia="Calibri" w:hAnsi="Book Antiqua" w:cs="Arial"/>
          <w:sz w:val="24"/>
          <w:szCs w:val="24"/>
          <w:lang w:val="en-US"/>
        </w:rPr>
        <w:t>D</w:t>
      </w:r>
      <w:r w:rsidR="00A812C9" w:rsidRPr="00A35CEC">
        <w:rPr>
          <w:rFonts w:ascii="Book Antiqua" w:eastAsia="Calibri" w:hAnsi="Book Antiqua" w:cs="Arial"/>
          <w:sz w:val="24"/>
          <w:szCs w:val="24"/>
          <w:lang w:val="en-US"/>
        </w:rPr>
        <w:t>ata for health</w:t>
      </w:r>
      <w:r w:rsidR="002D4BCE" w:rsidRPr="00A35CEC">
        <w:rPr>
          <w:rFonts w:ascii="Book Antiqua" w:eastAsia="Calibri" w:hAnsi="Book Antiqua" w:cs="Arial"/>
          <w:sz w:val="24"/>
          <w:szCs w:val="24"/>
          <w:lang w:val="en-US"/>
        </w:rPr>
        <w:t>care costs</w:t>
      </w:r>
      <w:r w:rsidR="00710380" w:rsidRPr="00A35CEC">
        <w:rPr>
          <w:rFonts w:ascii="Book Antiqua" w:eastAsia="Calibri" w:hAnsi="Book Antiqua" w:cs="Arial"/>
          <w:sz w:val="24"/>
          <w:szCs w:val="24"/>
          <w:lang w:val="en-US"/>
        </w:rPr>
        <w:t xml:space="preserve"> </w:t>
      </w:r>
      <w:r w:rsidR="00490733" w:rsidRPr="00A35CEC">
        <w:rPr>
          <w:rFonts w:ascii="Book Antiqua" w:eastAsia="Calibri" w:hAnsi="Book Antiqua" w:cs="Arial"/>
          <w:sz w:val="24"/>
          <w:szCs w:val="24"/>
          <w:lang w:val="en-US"/>
        </w:rPr>
        <w:t xml:space="preserve">were </w:t>
      </w:r>
      <w:r w:rsidR="00710380" w:rsidRPr="00A35CEC">
        <w:rPr>
          <w:rFonts w:ascii="Book Antiqua" w:eastAsia="Calibri" w:hAnsi="Book Antiqua" w:cs="Arial"/>
          <w:sz w:val="24"/>
          <w:szCs w:val="24"/>
          <w:lang w:val="en-US"/>
        </w:rPr>
        <w:t xml:space="preserve">obtained </w:t>
      </w:r>
      <w:r w:rsidR="001A436B" w:rsidRPr="00A35CEC">
        <w:rPr>
          <w:rFonts w:ascii="Book Antiqua" w:eastAsia="Calibri" w:hAnsi="Book Antiqua" w:cs="Arial"/>
          <w:sz w:val="24"/>
          <w:szCs w:val="24"/>
          <w:lang w:val="en-US"/>
        </w:rPr>
        <w:t>through a</w:t>
      </w:r>
      <w:r w:rsidR="00A812C9" w:rsidRPr="00A35CEC">
        <w:rPr>
          <w:rFonts w:ascii="Book Antiqua" w:eastAsia="Calibri" w:hAnsi="Book Antiqua" w:cs="Arial"/>
          <w:sz w:val="24"/>
          <w:szCs w:val="24"/>
          <w:lang w:val="en-US"/>
        </w:rPr>
        <w:t xml:space="preserve"> </w:t>
      </w:r>
      <w:r w:rsidR="00E513D0" w:rsidRPr="00A35CEC">
        <w:rPr>
          <w:rFonts w:ascii="Book Antiqua" w:eastAsia="Calibri" w:hAnsi="Book Antiqua" w:cs="Arial"/>
          <w:sz w:val="24"/>
          <w:szCs w:val="24"/>
          <w:lang w:val="en-US"/>
        </w:rPr>
        <w:t xml:space="preserve">database </w:t>
      </w:r>
      <w:r w:rsidR="00A812C9" w:rsidRPr="00A35CEC">
        <w:rPr>
          <w:rFonts w:ascii="Book Antiqua" w:eastAsia="Calibri" w:hAnsi="Book Antiqua" w:cs="Arial"/>
          <w:sz w:val="24"/>
          <w:szCs w:val="24"/>
          <w:lang w:val="en-US"/>
        </w:rPr>
        <w:t xml:space="preserve">from </w:t>
      </w:r>
      <w:r w:rsidR="00A40DA1" w:rsidRPr="00A35CEC">
        <w:rPr>
          <w:rFonts w:ascii="Book Antiqua" w:eastAsia="Calibri" w:hAnsi="Book Antiqua" w:cs="Arial"/>
          <w:sz w:val="24"/>
          <w:szCs w:val="24"/>
          <w:lang w:val="en-US"/>
        </w:rPr>
        <w:t xml:space="preserve">Greek </w:t>
      </w:r>
      <w:r w:rsidR="00E844A1" w:rsidRPr="00A35CEC">
        <w:rPr>
          <w:rFonts w:ascii="Book Antiqua" w:eastAsia="Calibri" w:hAnsi="Book Antiqua" w:cs="Arial"/>
          <w:sz w:val="24"/>
          <w:szCs w:val="24"/>
          <w:lang w:val="en-US"/>
        </w:rPr>
        <w:t>liver clinics</w:t>
      </w:r>
      <w:r w:rsidR="00A812C9" w:rsidRPr="00A35CEC">
        <w:rPr>
          <w:rFonts w:ascii="Book Antiqua" w:eastAsia="Calibri" w:hAnsi="Book Antiqua" w:cs="Arial"/>
          <w:sz w:val="24"/>
          <w:szCs w:val="24"/>
          <w:lang w:val="en-US"/>
        </w:rPr>
        <w:t xml:space="preserve">. </w:t>
      </w:r>
      <w:r w:rsidR="00A36BCE" w:rsidRPr="00A35CEC">
        <w:rPr>
          <w:rFonts w:ascii="Book Antiqua" w:eastAsia="Calibri" w:hAnsi="Book Antiqua" w:cs="Arial"/>
          <w:sz w:val="24"/>
          <w:szCs w:val="24"/>
          <w:lang w:val="en-US"/>
        </w:rPr>
        <w:t>The annual cost for</w:t>
      </w:r>
      <w:r w:rsidR="002410DB" w:rsidRPr="00A35CEC">
        <w:rPr>
          <w:rFonts w:ascii="Book Antiqua" w:eastAsia="Calibri" w:hAnsi="Book Antiqua" w:cs="Arial"/>
          <w:sz w:val="24"/>
          <w:szCs w:val="24"/>
          <w:lang w:val="en-US"/>
        </w:rPr>
        <w:t xml:space="preserve"> F0-F3 patients, </w:t>
      </w:r>
      <w:r w:rsidR="008D42E2" w:rsidRPr="00A35CEC">
        <w:rPr>
          <w:rFonts w:ascii="Book Antiqua" w:eastAsia="Calibri" w:hAnsi="Book Antiqua" w:cs="Arial"/>
          <w:sz w:val="24"/>
          <w:szCs w:val="24"/>
          <w:lang w:val="en-US"/>
        </w:rPr>
        <w:t>for</w:t>
      </w:r>
      <w:r w:rsidR="00710380" w:rsidRPr="00A35CEC">
        <w:rPr>
          <w:rFonts w:ascii="Book Antiqua" w:eastAsia="Calibri" w:hAnsi="Book Antiqua" w:cs="Arial"/>
          <w:sz w:val="24"/>
          <w:szCs w:val="24"/>
          <w:lang w:val="en-US"/>
        </w:rPr>
        <w:t xml:space="preserve"> the </w:t>
      </w:r>
      <w:r w:rsidR="00044DBB" w:rsidRPr="00A35CEC">
        <w:rPr>
          <w:rFonts w:ascii="Book Antiqua" w:eastAsia="Calibri" w:hAnsi="Book Antiqua" w:cs="Arial"/>
          <w:sz w:val="24"/>
          <w:szCs w:val="24"/>
          <w:lang w:val="en-US"/>
        </w:rPr>
        <w:t>third-party</w:t>
      </w:r>
      <w:r w:rsidR="00F579C1" w:rsidRPr="00A35CEC">
        <w:rPr>
          <w:rFonts w:ascii="Book Antiqua" w:eastAsia="Calibri" w:hAnsi="Book Antiqua" w:cs="Arial"/>
          <w:sz w:val="24"/>
          <w:szCs w:val="24"/>
          <w:lang w:val="en-US"/>
        </w:rPr>
        <w:t xml:space="preserve"> payer in Greece</w:t>
      </w:r>
      <w:r w:rsidR="002410DB" w:rsidRPr="00A35CEC">
        <w:rPr>
          <w:rFonts w:ascii="Book Antiqua" w:eastAsia="Calibri" w:hAnsi="Book Antiqua" w:cs="Arial"/>
          <w:sz w:val="24"/>
          <w:szCs w:val="24"/>
          <w:lang w:val="en-US"/>
        </w:rPr>
        <w:t>,</w:t>
      </w:r>
      <w:r w:rsidR="004F483F" w:rsidRPr="00A35CEC">
        <w:rPr>
          <w:rFonts w:ascii="Book Antiqua" w:eastAsia="Calibri" w:hAnsi="Book Antiqua" w:cs="Arial"/>
          <w:sz w:val="24"/>
          <w:szCs w:val="24"/>
          <w:lang w:val="en-US"/>
        </w:rPr>
        <w:t xml:space="preserve"> without</w:t>
      </w:r>
      <w:r w:rsidR="00375D41" w:rsidRPr="00A35CEC">
        <w:rPr>
          <w:rFonts w:ascii="Book Antiqua" w:eastAsia="Calibri" w:hAnsi="Book Antiqua" w:cs="Arial"/>
          <w:sz w:val="24"/>
          <w:szCs w:val="24"/>
          <w:lang w:val="en-US"/>
        </w:rPr>
        <w:t xml:space="preserve"> antiviral</w:t>
      </w:r>
      <w:r w:rsidR="004F483F" w:rsidRPr="00A35CEC">
        <w:rPr>
          <w:rFonts w:ascii="Book Antiqua" w:eastAsia="Calibri" w:hAnsi="Book Antiqua" w:cs="Arial"/>
          <w:sz w:val="24"/>
          <w:szCs w:val="24"/>
          <w:lang w:val="en-US"/>
        </w:rPr>
        <w:t xml:space="preserve"> treatment, </w:t>
      </w:r>
      <w:r w:rsidR="00375D41" w:rsidRPr="00A35CEC">
        <w:rPr>
          <w:rFonts w:ascii="Book Antiqua" w:eastAsia="Calibri" w:hAnsi="Book Antiqua" w:cs="Arial"/>
          <w:sz w:val="24"/>
          <w:szCs w:val="24"/>
          <w:lang w:val="en-US"/>
        </w:rPr>
        <w:t>is</w:t>
      </w:r>
      <w:r w:rsidR="002D4BCE" w:rsidRPr="00A35CEC">
        <w:rPr>
          <w:rFonts w:ascii="Book Antiqua" w:eastAsia="Calibri" w:hAnsi="Book Antiqua" w:cs="Arial"/>
          <w:sz w:val="24"/>
          <w:szCs w:val="24"/>
          <w:lang w:val="en-US"/>
        </w:rPr>
        <w:t xml:space="preserve"> </w:t>
      </w:r>
      <w:r w:rsidR="00850A60" w:rsidRPr="00A35CEC">
        <w:rPr>
          <w:rFonts w:ascii="Book Antiqua" w:eastAsia="Calibri" w:hAnsi="Book Antiqua" w:cs="Arial"/>
          <w:sz w:val="24"/>
          <w:szCs w:val="24"/>
          <w:lang w:val="en-US"/>
        </w:rPr>
        <w:t>230</w:t>
      </w:r>
      <w:r w:rsidRPr="00A35CEC">
        <w:rPr>
          <w:rFonts w:ascii="Book Antiqua" w:eastAsia="Calibri" w:hAnsi="Book Antiqua" w:cs="Arial"/>
          <w:sz w:val="24"/>
          <w:szCs w:val="24"/>
          <w:lang w:val="en-US"/>
        </w:rPr>
        <w:t xml:space="preserve"> </w:t>
      </w:r>
      <w:r w:rsidR="002D4BCE" w:rsidRPr="00A35CEC">
        <w:rPr>
          <w:rFonts w:ascii="Book Antiqua" w:eastAsia="Calibri" w:hAnsi="Book Antiqua" w:cs="Arial"/>
          <w:sz w:val="24"/>
          <w:szCs w:val="24"/>
          <w:lang w:val="en-US"/>
        </w:rPr>
        <w:t>€.</w:t>
      </w:r>
      <w:r w:rsidR="00A812C9" w:rsidRPr="00A35CEC">
        <w:rPr>
          <w:rFonts w:ascii="Book Antiqua" w:eastAsia="Calibri" w:hAnsi="Book Antiqua" w:cs="Arial"/>
          <w:sz w:val="24"/>
          <w:szCs w:val="24"/>
          <w:lang w:val="en-US"/>
        </w:rPr>
        <w:t xml:space="preserve"> The costs of compensated cirrhosis (F4), decompensated cirrhosis and hepatocellular carcinoma (</w:t>
      </w:r>
      <w:proofErr w:type="spellStart"/>
      <w:r w:rsidR="00A812C9" w:rsidRPr="00A35CEC">
        <w:rPr>
          <w:rFonts w:ascii="Book Antiqua" w:eastAsia="Calibri" w:hAnsi="Book Antiqua" w:cs="Arial"/>
          <w:sz w:val="24"/>
          <w:szCs w:val="24"/>
          <w:lang w:val="en-US"/>
        </w:rPr>
        <w:t>HCC</w:t>
      </w:r>
      <w:proofErr w:type="spellEnd"/>
      <w:r w:rsidR="00A812C9" w:rsidRPr="00A35CEC">
        <w:rPr>
          <w:rFonts w:ascii="Book Antiqua" w:eastAsia="Calibri" w:hAnsi="Book Antiqua" w:cs="Arial"/>
          <w:sz w:val="24"/>
          <w:szCs w:val="24"/>
          <w:lang w:val="en-US"/>
        </w:rPr>
        <w:t xml:space="preserve">) without the cost of antiviral treatments </w:t>
      </w:r>
      <w:r w:rsidR="00375D41" w:rsidRPr="00A35CEC">
        <w:rPr>
          <w:rFonts w:ascii="Book Antiqua" w:eastAsia="Calibri" w:hAnsi="Book Antiqua" w:cs="Arial"/>
          <w:sz w:val="24"/>
          <w:szCs w:val="24"/>
          <w:lang w:val="en-US"/>
        </w:rPr>
        <w:t>are</w:t>
      </w:r>
      <w:r w:rsidRPr="00A35CEC">
        <w:rPr>
          <w:rFonts w:ascii="Book Antiqua" w:eastAsia="Calibri" w:hAnsi="Book Antiqua" w:cs="Arial"/>
          <w:sz w:val="24"/>
          <w:szCs w:val="24"/>
          <w:lang w:val="en-US"/>
        </w:rPr>
        <w:t xml:space="preserve"> 1</w:t>
      </w:r>
      <w:r w:rsidR="00616C7E" w:rsidRPr="00A35CEC">
        <w:rPr>
          <w:rFonts w:ascii="Book Antiqua" w:eastAsia="Calibri" w:hAnsi="Book Antiqua" w:cs="Arial"/>
          <w:sz w:val="24"/>
          <w:szCs w:val="24"/>
          <w:lang w:val="en-US"/>
        </w:rPr>
        <w:t>,</w:t>
      </w:r>
      <w:r w:rsidR="00850A60" w:rsidRPr="00A35CEC">
        <w:rPr>
          <w:rFonts w:ascii="Book Antiqua" w:eastAsia="Calibri" w:hAnsi="Book Antiqua" w:cs="Arial"/>
          <w:sz w:val="24"/>
          <w:szCs w:val="24"/>
          <w:lang w:val="en-US"/>
        </w:rPr>
        <w:t>340</w:t>
      </w:r>
      <w:r w:rsidRPr="00A35CEC">
        <w:rPr>
          <w:rFonts w:ascii="Book Antiqua" w:eastAsia="Calibri" w:hAnsi="Book Antiqua" w:cs="Arial"/>
          <w:sz w:val="24"/>
          <w:szCs w:val="24"/>
          <w:lang w:val="en-US"/>
        </w:rPr>
        <w:t xml:space="preserve"> €, 4</w:t>
      </w:r>
      <w:r w:rsidR="00616C7E" w:rsidRPr="00A35CEC">
        <w:rPr>
          <w:rFonts w:ascii="Book Antiqua" w:eastAsia="Calibri" w:hAnsi="Book Antiqua" w:cs="Arial"/>
          <w:sz w:val="24"/>
          <w:szCs w:val="24"/>
          <w:lang w:val="en-US"/>
        </w:rPr>
        <w:t>,</w:t>
      </w:r>
      <w:r w:rsidR="00850A60" w:rsidRPr="00A35CEC">
        <w:rPr>
          <w:rFonts w:ascii="Book Antiqua" w:eastAsia="Calibri" w:hAnsi="Book Antiqua" w:cs="Arial"/>
          <w:sz w:val="24"/>
          <w:szCs w:val="24"/>
          <w:lang w:val="en-US"/>
        </w:rPr>
        <w:t>460</w:t>
      </w:r>
      <w:r w:rsidRPr="00A35CEC">
        <w:rPr>
          <w:rFonts w:ascii="Book Antiqua" w:eastAsia="Calibri" w:hAnsi="Book Antiqua" w:cs="Arial"/>
          <w:sz w:val="24"/>
          <w:szCs w:val="24"/>
          <w:lang w:val="en-US"/>
        </w:rPr>
        <w:t xml:space="preserve"> €, </w:t>
      </w:r>
      <w:r w:rsidR="00A40DA1" w:rsidRPr="00A35CEC">
        <w:rPr>
          <w:rFonts w:ascii="Book Antiqua" w:eastAsia="Calibri" w:hAnsi="Book Antiqua" w:cs="Arial"/>
          <w:sz w:val="24"/>
          <w:szCs w:val="24"/>
          <w:lang w:val="en-US"/>
        </w:rPr>
        <w:t xml:space="preserve">and </w:t>
      </w:r>
      <w:r w:rsidRPr="00A35CEC">
        <w:rPr>
          <w:rFonts w:ascii="Book Antiqua" w:eastAsia="Calibri" w:hAnsi="Book Antiqua" w:cs="Arial"/>
          <w:sz w:val="24"/>
          <w:szCs w:val="24"/>
          <w:lang w:val="en-US"/>
        </w:rPr>
        <w:t>33</w:t>
      </w:r>
      <w:r w:rsidR="00616C7E" w:rsidRPr="00A35CEC">
        <w:rPr>
          <w:rFonts w:ascii="Book Antiqua" w:eastAsia="Calibri" w:hAnsi="Book Antiqua" w:cs="Arial"/>
          <w:sz w:val="24"/>
          <w:szCs w:val="24"/>
          <w:lang w:val="en-US"/>
        </w:rPr>
        <w:t>,</w:t>
      </w:r>
      <w:r w:rsidR="00850A60" w:rsidRPr="00A35CEC">
        <w:rPr>
          <w:rFonts w:ascii="Book Antiqua" w:eastAsia="Calibri" w:hAnsi="Book Antiqua" w:cs="Arial"/>
          <w:sz w:val="24"/>
          <w:szCs w:val="24"/>
          <w:lang w:val="en-US"/>
        </w:rPr>
        <w:t>000</w:t>
      </w:r>
      <w:r w:rsidRPr="00A35CEC">
        <w:rPr>
          <w:rFonts w:ascii="Book Antiqua" w:eastAsia="Calibri" w:hAnsi="Book Antiqua" w:cs="Arial"/>
          <w:sz w:val="24"/>
          <w:szCs w:val="24"/>
          <w:lang w:val="en-US"/>
        </w:rPr>
        <w:t xml:space="preserve"> </w:t>
      </w:r>
      <w:r w:rsidR="00A812C9" w:rsidRPr="00A35CEC">
        <w:rPr>
          <w:rFonts w:ascii="Book Antiqua" w:eastAsia="Calibri" w:hAnsi="Book Antiqua" w:cs="Arial"/>
          <w:sz w:val="24"/>
          <w:szCs w:val="24"/>
          <w:lang w:val="en-US"/>
        </w:rPr>
        <w:t>€</w:t>
      </w:r>
      <w:r w:rsidR="00E844A1" w:rsidRPr="00A35CEC">
        <w:rPr>
          <w:rFonts w:ascii="Book Antiqua" w:eastAsia="Calibri" w:hAnsi="Book Antiqua" w:cs="Arial"/>
          <w:sz w:val="24"/>
          <w:szCs w:val="24"/>
          <w:lang w:val="en-US"/>
        </w:rPr>
        <w:t xml:space="preserve"> per year</w:t>
      </w:r>
      <w:r w:rsidR="00A812C9" w:rsidRPr="00A35CEC">
        <w:rPr>
          <w:rFonts w:ascii="Book Antiqua" w:eastAsia="Calibri" w:hAnsi="Book Antiqua" w:cs="Arial"/>
          <w:sz w:val="24"/>
          <w:szCs w:val="24"/>
          <w:lang w:val="en-US"/>
        </w:rPr>
        <w:t>, respectively.</w:t>
      </w:r>
      <w:r w:rsidR="00A40DA1" w:rsidRPr="00A35CEC">
        <w:rPr>
          <w:rFonts w:ascii="Book Antiqua" w:eastAsia="Calibri" w:hAnsi="Book Antiqua" w:cs="Arial"/>
          <w:sz w:val="24"/>
          <w:szCs w:val="24"/>
          <w:lang w:val="en-US"/>
        </w:rPr>
        <w:t xml:space="preserve"> Liver transplant p</w:t>
      </w:r>
      <w:r w:rsidR="00CB2C3A" w:rsidRPr="00A35CEC">
        <w:rPr>
          <w:rFonts w:ascii="Book Antiqua" w:eastAsia="Calibri" w:hAnsi="Book Antiqua" w:cs="Arial"/>
          <w:sz w:val="24"/>
          <w:szCs w:val="24"/>
          <w:lang w:val="en-US"/>
        </w:rPr>
        <w:t>a</w:t>
      </w:r>
      <w:r w:rsidR="00375D41" w:rsidRPr="00A35CEC">
        <w:rPr>
          <w:rFonts w:ascii="Book Antiqua" w:eastAsia="Calibri" w:hAnsi="Book Antiqua" w:cs="Arial"/>
          <w:sz w:val="24"/>
          <w:szCs w:val="24"/>
          <w:lang w:val="en-US"/>
        </w:rPr>
        <w:t>tients have</w:t>
      </w:r>
      <w:r w:rsidRPr="00A35CEC">
        <w:rPr>
          <w:rFonts w:ascii="Book Antiqua" w:eastAsia="Calibri" w:hAnsi="Book Antiqua" w:cs="Arial"/>
          <w:sz w:val="24"/>
          <w:szCs w:val="24"/>
          <w:lang w:val="en-US"/>
        </w:rPr>
        <w:t xml:space="preserve"> a cost of 134</w:t>
      </w:r>
      <w:r w:rsidR="00616C7E" w:rsidRPr="00A35CEC">
        <w:rPr>
          <w:rFonts w:ascii="Book Antiqua" w:eastAsia="Calibri" w:hAnsi="Book Antiqua" w:cs="Arial"/>
          <w:sz w:val="24"/>
          <w:szCs w:val="24"/>
          <w:lang w:val="en-US"/>
        </w:rPr>
        <w:t>,</w:t>
      </w:r>
      <w:r w:rsidR="00CB2C3A" w:rsidRPr="00A35CEC">
        <w:rPr>
          <w:rFonts w:ascii="Book Antiqua" w:eastAsia="Calibri" w:hAnsi="Book Antiqua" w:cs="Arial"/>
          <w:sz w:val="24"/>
          <w:szCs w:val="24"/>
          <w:lang w:val="en-US"/>
        </w:rPr>
        <w:t>630</w:t>
      </w:r>
      <w:r w:rsidRPr="00A35CEC">
        <w:rPr>
          <w:rFonts w:ascii="Book Antiqua" w:eastAsia="Calibri" w:hAnsi="Book Antiqua" w:cs="Arial"/>
          <w:sz w:val="24"/>
          <w:szCs w:val="24"/>
          <w:lang w:val="en-US"/>
        </w:rPr>
        <w:t xml:space="preserve"> </w:t>
      </w:r>
      <w:r w:rsidR="00CB2C3A" w:rsidRPr="00A35CEC">
        <w:rPr>
          <w:rFonts w:ascii="Book Antiqua" w:eastAsia="Calibri" w:hAnsi="Book Antiqua" w:cs="Arial"/>
          <w:sz w:val="24"/>
          <w:szCs w:val="24"/>
          <w:lang w:val="en-US"/>
        </w:rPr>
        <w:t>€ in the first ye</w:t>
      </w:r>
      <w:r w:rsidRPr="00A35CEC">
        <w:rPr>
          <w:rFonts w:ascii="Book Antiqua" w:eastAsia="Calibri" w:hAnsi="Book Antiqua" w:cs="Arial"/>
          <w:sz w:val="24"/>
          <w:szCs w:val="24"/>
          <w:lang w:val="en-US"/>
        </w:rPr>
        <w:t>ar and 4</w:t>
      </w:r>
      <w:r w:rsidR="00616C7E" w:rsidRPr="00A35CEC">
        <w:rPr>
          <w:rFonts w:ascii="Book Antiqua" w:eastAsia="Calibri" w:hAnsi="Book Antiqua" w:cs="Arial"/>
          <w:sz w:val="24"/>
          <w:szCs w:val="24"/>
          <w:lang w:val="en-US"/>
        </w:rPr>
        <w:t>,</w:t>
      </w:r>
      <w:r w:rsidR="001C5D11" w:rsidRPr="00A35CEC">
        <w:rPr>
          <w:rFonts w:ascii="Book Antiqua" w:eastAsia="Calibri" w:hAnsi="Book Antiqua" w:cs="Arial"/>
          <w:sz w:val="24"/>
          <w:szCs w:val="24"/>
          <w:lang w:val="en-US"/>
        </w:rPr>
        <w:t>640</w:t>
      </w:r>
      <w:r w:rsidRPr="00A35CEC">
        <w:rPr>
          <w:rFonts w:ascii="Book Antiqua" w:eastAsia="Calibri" w:hAnsi="Book Antiqua" w:cs="Arial"/>
          <w:sz w:val="24"/>
          <w:szCs w:val="24"/>
          <w:lang w:val="en-US"/>
        </w:rPr>
        <w:t xml:space="preserve"> </w:t>
      </w:r>
      <w:r w:rsidR="00CB2C3A" w:rsidRPr="00A35CEC">
        <w:rPr>
          <w:rFonts w:ascii="Book Antiqua" w:eastAsia="Calibri" w:hAnsi="Book Antiqua" w:cs="Arial"/>
          <w:sz w:val="24"/>
          <w:szCs w:val="24"/>
          <w:lang w:val="en-US"/>
        </w:rPr>
        <w:t xml:space="preserve">€ </w:t>
      </w:r>
      <w:r w:rsidR="00A40DA1" w:rsidRPr="00A35CEC">
        <w:rPr>
          <w:rFonts w:ascii="Book Antiqua" w:eastAsia="Calibri" w:hAnsi="Book Antiqua" w:cs="Arial"/>
          <w:sz w:val="24"/>
          <w:szCs w:val="24"/>
          <w:lang w:val="en-US"/>
        </w:rPr>
        <w:t xml:space="preserve">in </w:t>
      </w:r>
      <w:r w:rsidR="00CB2C3A" w:rsidRPr="00A35CEC">
        <w:rPr>
          <w:rFonts w:ascii="Book Antiqua" w:eastAsia="Calibri" w:hAnsi="Book Antiqua" w:cs="Arial"/>
          <w:sz w:val="24"/>
          <w:szCs w:val="24"/>
          <w:lang w:val="en-US"/>
        </w:rPr>
        <w:t xml:space="preserve">subsequent </w:t>
      </w:r>
      <w:proofErr w:type="gramStart"/>
      <w:r w:rsidR="00CB2C3A" w:rsidRPr="00A35CEC">
        <w:rPr>
          <w:rFonts w:ascii="Book Antiqua" w:eastAsia="Calibri" w:hAnsi="Book Antiqua" w:cs="Arial"/>
          <w:sz w:val="24"/>
          <w:szCs w:val="24"/>
          <w:lang w:val="en-US"/>
        </w:rPr>
        <w:t>years</w:t>
      </w:r>
      <w:r w:rsidR="00BC0DA7" w:rsidRPr="00A35CEC">
        <w:rPr>
          <w:rFonts w:ascii="Book Antiqua" w:eastAsia="Calibri" w:hAnsi="Book Antiqua" w:cs="Arial"/>
          <w:sz w:val="24"/>
          <w:szCs w:val="24"/>
          <w:vertAlign w:val="superscript"/>
          <w:lang w:val="en-US"/>
        </w:rPr>
        <w:t>[</w:t>
      </w:r>
      <w:proofErr w:type="gramEnd"/>
      <w:r w:rsidR="00BC0DA7" w:rsidRPr="00A35CEC">
        <w:rPr>
          <w:rFonts w:ascii="Book Antiqua" w:eastAsia="Calibri" w:hAnsi="Book Antiqua" w:cs="Arial"/>
          <w:sz w:val="24"/>
          <w:szCs w:val="24"/>
          <w:vertAlign w:val="superscript"/>
          <w:lang w:val="en-US"/>
        </w:rPr>
        <w:t>22]</w:t>
      </w:r>
      <w:r w:rsidR="00F67E09" w:rsidRPr="00A35CEC">
        <w:rPr>
          <w:rFonts w:ascii="Book Antiqua" w:eastAsia="Calibri" w:hAnsi="Book Antiqua" w:cs="Arial"/>
          <w:sz w:val="24"/>
          <w:szCs w:val="24"/>
          <w:lang w:val="en-US"/>
        </w:rPr>
        <w:t>. Lab cos</w:t>
      </w:r>
      <w:r w:rsidR="00FD4E2E" w:rsidRPr="00A35CEC">
        <w:rPr>
          <w:rFonts w:ascii="Book Antiqua" w:eastAsia="Calibri" w:hAnsi="Book Antiqua" w:cs="Arial"/>
          <w:sz w:val="24"/>
          <w:szCs w:val="24"/>
          <w:lang w:val="en-US"/>
        </w:rPr>
        <w:t>t</w:t>
      </w:r>
      <w:r w:rsidR="00A40DA1" w:rsidRPr="00A35CEC">
        <w:rPr>
          <w:rFonts w:ascii="Book Antiqua" w:eastAsia="Calibri" w:hAnsi="Book Antiqua" w:cs="Arial"/>
          <w:sz w:val="24"/>
          <w:szCs w:val="24"/>
          <w:lang w:val="en-US"/>
        </w:rPr>
        <w:t>s</w:t>
      </w:r>
      <w:r w:rsidR="00FD4E2E" w:rsidRPr="00A35CEC">
        <w:rPr>
          <w:rFonts w:ascii="Book Antiqua" w:eastAsia="Calibri" w:hAnsi="Book Antiqua" w:cs="Arial"/>
          <w:sz w:val="24"/>
          <w:szCs w:val="24"/>
          <w:lang w:val="en-US"/>
        </w:rPr>
        <w:t xml:space="preserve"> (</w:t>
      </w:r>
      <w:r w:rsidR="00FD4E2E" w:rsidRPr="00A35CEC">
        <w:rPr>
          <w:rFonts w:ascii="Book Antiqua" w:eastAsia="Calibri" w:hAnsi="Book Antiqua" w:cs="Arial"/>
          <w:i/>
          <w:sz w:val="24"/>
          <w:szCs w:val="24"/>
          <w:lang w:val="en-US"/>
        </w:rPr>
        <w:t>e.g.</w:t>
      </w:r>
      <w:r w:rsidRPr="00A35CEC">
        <w:rPr>
          <w:rFonts w:ascii="Book Antiqua" w:eastAsia="Calibri" w:hAnsi="Book Antiqua" w:cs="Arial"/>
          <w:sz w:val="24"/>
          <w:szCs w:val="24"/>
          <w:lang w:val="en-US"/>
        </w:rPr>
        <w:t>,</w:t>
      </w:r>
      <w:r w:rsidR="00FD4E2E" w:rsidRPr="00A35CEC">
        <w:rPr>
          <w:rFonts w:ascii="Book Antiqua" w:eastAsia="Calibri" w:hAnsi="Book Antiqua" w:cs="Arial"/>
          <w:sz w:val="24"/>
          <w:szCs w:val="24"/>
          <w:lang w:val="en-US"/>
        </w:rPr>
        <w:t xml:space="preserve"> </w:t>
      </w:r>
      <w:r w:rsidR="00A62F28" w:rsidRPr="00A35CEC">
        <w:rPr>
          <w:rFonts w:ascii="Book Antiqua" w:eastAsia="Calibri" w:hAnsi="Book Antiqua" w:cs="Arial"/>
          <w:sz w:val="24"/>
          <w:szCs w:val="24"/>
          <w:lang w:val="en-US"/>
        </w:rPr>
        <w:t>a</w:t>
      </w:r>
      <w:r w:rsidRPr="00A35CEC">
        <w:rPr>
          <w:rFonts w:ascii="Book Antiqua" w:eastAsia="Calibri" w:hAnsi="Book Antiqua" w:cs="Arial"/>
          <w:sz w:val="24"/>
          <w:szCs w:val="24"/>
          <w:lang w:val="en-US"/>
        </w:rPr>
        <w:t>nti-</w:t>
      </w:r>
      <w:proofErr w:type="spellStart"/>
      <w:r w:rsidRPr="00A35CEC">
        <w:rPr>
          <w:rFonts w:ascii="Book Antiqua" w:eastAsia="Calibri" w:hAnsi="Book Antiqua" w:cs="Arial"/>
          <w:sz w:val="24"/>
          <w:szCs w:val="24"/>
          <w:lang w:val="en-US"/>
        </w:rPr>
        <w:t>HCV</w:t>
      </w:r>
      <w:proofErr w:type="spellEnd"/>
      <w:r w:rsidRPr="00A35CEC">
        <w:rPr>
          <w:rFonts w:ascii="Book Antiqua" w:eastAsia="Calibri" w:hAnsi="Book Antiqua" w:cs="Arial"/>
          <w:sz w:val="24"/>
          <w:szCs w:val="24"/>
          <w:lang w:val="en-US"/>
        </w:rPr>
        <w:t>, RNA test, genotyping exam and liver biopsy/</w:t>
      </w:r>
      <w:proofErr w:type="spellStart"/>
      <w:r w:rsidRPr="00A35CEC">
        <w:rPr>
          <w:rFonts w:ascii="Book Antiqua" w:eastAsia="Calibri" w:hAnsi="Book Antiqua" w:cs="Arial"/>
          <w:sz w:val="24"/>
          <w:szCs w:val="24"/>
          <w:lang w:val="en-US"/>
        </w:rPr>
        <w:t>e</w:t>
      </w:r>
      <w:r w:rsidR="00C33053" w:rsidRPr="00A35CEC">
        <w:rPr>
          <w:rFonts w:ascii="Book Antiqua" w:eastAsia="Calibri" w:hAnsi="Book Antiqua" w:cs="Arial"/>
          <w:sz w:val="24"/>
          <w:szCs w:val="24"/>
          <w:lang w:val="en-US"/>
        </w:rPr>
        <w:t>lastography</w:t>
      </w:r>
      <w:proofErr w:type="spellEnd"/>
      <w:r w:rsidR="00FD4E2E" w:rsidRPr="00A35CEC">
        <w:rPr>
          <w:rFonts w:ascii="Book Antiqua" w:eastAsia="Calibri" w:hAnsi="Book Antiqua" w:cs="Arial"/>
          <w:sz w:val="24"/>
          <w:szCs w:val="24"/>
          <w:lang w:val="en-US"/>
        </w:rPr>
        <w:t>)</w:t>
      </w:r>
      <w:r w:rsidR="00F67E09" w:rsidRPr="00A35CEC">
        <w:rPr>
          <w:rFonts w:ascii="Book Antiqua" w:eastAsia="Calibri" w:hAnsi="Book Antiqua" w:cs="Arial"/>
          <w:sz w:val="24"/>
          <w:szCs w:val="24"/>
          <w:lang w:val="en-US"/>
        </w:rPr>
        <w:t xml:space="preserve"> </w:t>
      </w:r>
      <w:r w:rsidR="00375D41" w:rsidRPr="00A35CEC">
        <w:rPr>
          <w:rFonts w:ascii="Book Antiqua" w:eastAsia="Calibri" w:hAnsi="Book Antiqua" w:cs="Arial"/>
          <w:sz w:val="24"/>
          <w:szCs w:val="24"/>
          <w:lang w:val="en-US"/>
        </w:rPr>
        <w:t>are</w:t>
      </w:r>
      <w:r w:rsidR="00F67E09" w:rsidRPr="00A35CEC">
        <w:rPr>
          <w:rFonts w:ascii="Book Antiqua" w:eastAsia="Calibri" w:hAnsi="Book Antiqua" w:cs="Arial"/>
          <w:sz w:val="24"/>
          <w:szCs w:val="24"/>
          <w:lang w:val="en-US"/>
        </w:rPr>
        <w:t xml:space="preserve"> 350</w:t>
      </w:r>
      <w:r w:rsidRPr="00A35CEC">
        <w:rPr>
          <w:rFonts w:ascii="Book Antiqua" w:eastAsia="Calibri" w:hAnsi="Book Antiqua" w:cs="Arial"/>
          <w:sz w:val="24"/>
          <w:szCs w:val="24"/>
          <w:lang w:val="en-US"/>
        </w:rPr>
        <w:t xml:space="preserve"> </w:t>
      </w:r>
      <w:r w:rsidR="00F67E09" w:rsidRPr="00A35CEC">
        <w:rPr>
          <w:rFonts w:ascii="Book Antiqua" w:eastAsia="Calibri" w:hAnsi="Book Antiqua" w:cs="Arial"/>
          <w:sz w:val="24"/>
          <w:szCs w:val="24"/>
          <w:lang w:val="en-US"/>
        </w:rPr>
        <w:t>€</w:t>
      </w:r>
      <w:r w:rsidR="00A40DA1" w:rsidRPr="00A35CEC">
        <w:rPr>
          <w:rFonts w:ascii="Book Antiqua" w:eastAsia="Calibri" w:hAnsi="Book Antiqua" w:cs="Arial"/>
          <w:sz w:val="24"/>
          <w:szCs w:val="24"/>
          <w:lang w:val="en-US"/>
        </w:rPr>
        <w:t>,</w:t>
      </w:r>
      <w:r w:rsidR="00F67E09" w:rsidRPr="00A35CEC">
        <w:rPr>
          <w:rFonts w:ascii="Book Antiqua" w:eastAsia="Calibri" w:hAnsi="Book Antiqua" w:cs="Arial"/>
          <w:sz w:val="24"/>
          <w:szCs w:val="24"/>
          <w:lang w:val="en-US"/>
        </w:rPr>
        <w:t xml:space="preserve"> while the cost per</w:t>
      </w:r>
      <w:r w:rsidR="00E844A1" w:rsidRPr="00A35CEC">
        <w:rPr>
          <w:rFonts w:ascii="Book Antiqua" w:eastAsia="Calibri" w:hAnsi="Book Antiqua" w:cs="Arial"/>
          <w:sz w:val="24"/>
          <w:szCs w:val="24"/>
          <w:lang w:val="en-US"/>
        </w:rPr>
        <w:t xml:space="preserve"> anti-</w:t>
      </w:r>
      <w:proofErr w:type="spellStart"/>
      <w:r w:rsidR="00E844A1" w:rsidRPr="00A35CEC">
        <w:rPr>
          <w:rFonts w:ascii="Book Antiqua" w:eastAsia="Calibri" w:hAnsi="Book Antiqua" w:cs="Arial"/>
          <w:sz w:val="24"/>
          <w:szCs w:val="24"/>
          <w:lang w:val="en-US"/>
        </w:rPr>
        <w:t>HCV</w:t>
      </w:r>
      <w:proofErr w:type="spellEnd"/>
      <w:r w:rsidR="00F67E09" w:rsidRPr="00A35CEC">
        <w:rPr>
          <w:rFonts w:ascii="Book Antiqua" w:eastAsia="Calibri" w:hAnsi="Book Antiqua" w:cs="Arial"/>
          <w:sz w:val="24"/>
          <w:szCs w:val="24"/>
          <w:lang w:val="en-US"/>
        </w:rPr>
        <w:t xml:space="preserve"> screening </w:t>
      </w:r>
      <w:r w:rsidR="00375D41" w:rsidRPr="00A35CEC">
        <w:rPr>
          <w:rFonts w:ascii="Book Antiqua" w:eastAsia="Calibri" w:hAnsi="Book Antiqua" w:cs="Arial"/>
          <w:sz w:val="24"/>
          <w:szCs w:val="24"/>
          <w:lang w:val="en-US"/>
        </w:rPr>
        <w:t>is</w:t>
      </w:r>
      <w:r w:rsidR="00F67E09" w:rsidRPr="00A35CEC">
        <w:rPr>
          <w:rFonts w:ascii="Book Antiqua" w:eastAsia="Calibri" w:hAnsi="Book Antiqua" w:cs="Arial"/>
          <w:sz w:val="24"/>
          <w:szCs w:val="24"/>
          <w:lang w:val="en-US"/>
        </w:rPr>
        <w:t xml:space="preserve"> 10</w:t>
      </w:r>
      <w:r w:rsidRPr="00A35CEC">
        <w:rPr>
          <w:rFonts w:ascii="Book Antiqua" w:eastAsia="Calibri" w:hAnsi="Book Antiqua" w:cs="Arial"/>
          <w:sz w:val="24"/>
          <w:szCs w:val="24"/>
          <w:lang w:val="en-US"/>
        </w:rPr>
        <w:t xml:space="preserve"> </w:t>
      </w:r>
      <w:r w:rsidR="00F67E09" w:rsidRPr="00A35CEC">
        <w:rPr>
          <w:rFonts w:ascii="Book Antiqua" w:eastAsia="Calibri" w:hAnsi="Book Antiqua" w:cs="Arial"/>
          <w:sz w:val="24"/>
          <w:szCs w:val="24"/>
          <w:lang w:val="en-US"/>
        </w:rPr>
        <w:t>€.</w:t>
      </w:r>
    </w:p>
    <w:p w14:paraId="527A77ED" w14:textId="586A9248" w:rsidR="002F6801" w:rsidRPr="00A35CEC" w:rsidRDefault="00B7369C">
      <w:pPr>
        <w:pStyle w:val="HTML"/>
        <w:shd w:val="clear" w:color="auto" w:fill="FFFFFF"/>
        <w:adjustRightInd w:val="0"/>
        <w:snapToGrid w:val="0"/>
        <w:spacing w:line="360" w:lineRule="auto"/>
        <w:jc w:val="both"/>
        <w:rPr>
          <w:rFonts w:ascii="Book Antiqua" w:eastAsia="Calibri" w:hAnsi="Book Antiqua" w:cs="Arial"/>
          <w:sz w:val="24"/>
          <w:szCs w:val="24"/>
          <w:lang w:val="en-US"/>
        </w:rPr>
      </w:pPr>
      <w:r w:rsidRPr="00A35CEC">
        <w:rPr>
          <w:rFonts w:ascii="Book Antiqua" w:eastAsia="Calibri" w:hAnsi="Book Antiqua" w:cs="Arial"/>
          <w:sz w:val="24"/>
          <w:szCs w:val="24"/>
          <w:lang w:val="en-US"/>
        </w:rPr>
        <w:t xml:space="preserve">  </w:t>
      </w:r>
      <w:r w:rsidR="000C2473" w:rsidRPr="00A35CEC">
        <w:rPr>
          <w:rFonts w:ascii="Book Antiqua" w:eastAsia="Calibri" w:hAnsi="Book Antiqua" w:cs="Arial"/>
          <w:sz w:val="24"/>
          <w:szCs w:val="24"/>
          <w:lang w:val="en-US"/>
        </w:rPr>
        <w:t>The</w:t>
      </w:r>
      <w:r w:rsidR="00776C51" w:rsidRPr="00A35CEC">
        <w:rPr>
          <w:rFonts w:ascii="Book Antiqua" w:eastAsia="Calibri" w:hAnsi="Book Antiqua" w:cs="Arial"/>
          <w:sz w:val="24"/>
          <w:szCs w:val="24"/>
          <w:lang w:val="en-US"/>
        </w:rPr>
        <w:t xml:space="preserve"> average</w:t>
      </w:r>
      <w:r w:rsidR="000C2473" w:rsidRPr="00A35CEC">
        <w:rPr>
          <w:rFonts w:ascii="Book Antiqua" w:eastAsia="Calibri" w:hAnsi="Book Antiqua" w:cs="Arial"/>
          <w:sz w:val="24"/>
          <w:szCs w:val="24"/>
          <w:lang w:val="en-US"/>
        </w:rPr>
        <w:t xml:space="preserve"> treatment c</w:t>
      </w:r>
      <w:r w:rsidR="008D42E2" w:rsidRPr="00A35CEC">
        <w:rPr>
          <w:rFonts w:ascii="Book Antiqua" w:eastAsia="Calibri" w:hAnsi="Book Antiqua" w:cs="Arial"/>
          <w:sz w:val="24"/>
          <w:szCs w:val="24"/>
          <w:lang w:val="en-US"/>
        </w:rPr>
        <w:t xml:space="preserve">ost per </w:t>
      </w:r>
      <w:proofErr w:type="spellStart"/>
      <w:r w:rsidR="00A40DA1" w:rsidRPr="00A35CEC">
        <w:rPr>
          <w:rFonts w:ascii="Book Antiqua" w:eastAsia="Calibri" w:hAnsi="Book Antiqua" w:cs="Arial"/>
          <w:sz w:val="24"/>
          <w:szCs w:val="24"/>
          <w:lang w:val="en-US"/>
        </w:rPr>
        <w:t>DAA</w:t>
      </w:r>
      <w:proofErr w:type="spellEnd"/>
      <w:r w:rsidR="00A40DA1" w:rsidRPr="00A35CEC">
        <w:rPr>
          <w:rFonts w:ascii="Book Antiqua" w:eastAsia="Calibri" w:hAnsi="Book Antiqua" w:cs="Arial"/>
          <w:sz w:val="24"/>
          <w:szCs w:val="24"/>
          <w:lang w:val="en-US"/>
        </w:rPr>
        <w:t xml:space="preserve">-treated </w:t>
      </w:r>
      <w:r w:rsidR="008D42E2" w:rsidRPr="00A35CEC">
        <w:rPr>
          <w:rFonts w:ascii="Book Antiqua" w:eastAsia="Calibri" w:hAnsi="Book Antiqua" w:cs="Arial"/>
          <w:sz w:val="24"/>
          <w:szCs w:val="24"/>
          <w:lang w:val="en-US"/>
        </w:rPr>
        <w:t>patient</w:t>
      </w:r>
      <w:r w:rsidR="00776C51" w:rsidRPr="00A35CEC">
        <w:rPr>
          <w:rFonts w:ascii="Book Antiqua" w:eastAsia="Calibri" w:hAnsi="Book Antiqua" w:cs="Arial"/>
          <w:sz w:val="24"/>
          <w:szCs w:val="24"/>
          <w:lang w:val="en-US"/>
        </w:rPr>
        <w:t xml:space="preserve"> </w:t>
      </w:r>
      <w:r w:rsidR="00850A60" w:rsidRPr="00A35CEC">
        <w:rPr>
          <w:rFonts w:ascii="Book Antiqua" w:eastAsia="Calibri" w:hAnsi="Book Antiqua" w:cs="Arial"/>
          <w:sz w:val="24"/>
          <w:szCs w:val="24"/>
          <w:lang w:val="en-US"/>
        </w:rPr>
        <w:t>in Greece in 2016</w:t>
      </w:r>
      <w:r w:rsidR="008D42E2" w:rsidRPr="00A35CEC">
        <w:rPr>
          <w:rFonts w:ascii="Book Antiqua" w:eastAsia="Calibri" w:hAnsi="Book Antiqua" w:cs="Arial"/>
          <w:sz w:val="24"/>
          <w:szCs w:val="24"/>
          <w:lang w:val="en-US"/>
        </w:rPr>
        <w:t xml:space="preserve"> was </w:t>
      </w:r>
      <w:r w:rsidR="006B240F" w:rsidRPr="00A35CEC">
        <w:rPr>
          <w:rFonts w:ascii="Book Antiqua" w:eastAsia="Calibri" w:hAnsi="Book Antiqua" w:cs="Arial"/>
          <w:sz w:val="24"/>
          <w:szCs w:val="24"/>
          <w:lang w:val="en-US"/>
        </w:rPr>
        <w:t>42</w:t>
      </w:r>
      <w:r w:rsidR="00616C7E" w:rsidRPr="00A35CEC">
        <w:rPr>
          <w:rFonts w:ascii="Book Antiqua" w:eastAsia="Calibri" w:hAnsi="Book Antiqua" w:cs="Arial"/>
          <w:sz w:val="24"/>
          <w:szCs w:val="24"/>
          <w:lang w:val="en-US"/>
        </w:rPr>
        <w:t>,</w:t>
      </w:r>
      <w:r w:rsidR="000C2473" w:rsidRPr="00A35CEC">
        <w:rPr>
          <w:rFonts w:ascii="Book Antiqua" w:eastAsia="Calibri" w:hAnsi="Book Antiqua" w:cs="Arial"/>
          <w:sz w:val="24"/>
          <w:szCs w:val="24"/>
          <w:lang w:val="en-US"/>
        </w:rPr>
        <w:t>000</w:t>
      </w:r>
      <w:r w:rsidRPr="00A35CEC">
        <w:rPr>
          <w:rFonts w:ascii="Book Antiqua" w:eastAsia="Calibri" w:hAnsi="Book Antiqua" w:cs="Arial"/>
          <w:sz w:val="24"/>
          <w:szCs w:val="24"/>
          <w:lang w:val="en-US"/>
        </w:rPr>
        <w:t xml:space="preserve"> </w:t>
      </w:r>
      <w:proofErr w:type="gramStart"/>
      <w:r w:rsidR="000C2473" w:rsidRPr="00A35CEC">
        <w:rPr>
          <w:rFonts w:ascii="Book Antiqua" w:eastAsia="Calibri" w:hAnsi="Book Antiqua" w:cs="Arial"/>
          <w:sz w:val="24"/>
          <w:szCs w:val="24"/>
          <w:lang w:val="en-US"/>
        </w:rPr>
        <w:t>€</w:t>
      </w:r>
      <w:r w:rsidR="00BC0DA7" w:rsidRPr="00A35CEC">
        <w:rPr>
          <w:rFonts w:ascii="Book Antiqua" w:eastAsia="Calibri" w:hAnsi="Book Antiqua" w:cs="Arial"/>
          <w:sz w:val="24"/>
          <w:szCs w:val="24"/>
          <w:vertAlign w:val="superscript"/>
          <w:lang w:val="en-US"/>
        </w:rPr>
        <w:t>[</w:t>
      </w:r>
      <w:proofErr w:type="gramEnd"/>
      <w:r w:rsidR="00BC0DA7" w:rsidRPr="00A35CEC">
        <w:rPr>
          <w:rFonts w:ascii="Book Antiqua" w:eastAsia="Calibri" w:hAnsi="Book Antiqua" w:cs="Arial"/>
          <w:sz w:val="24"/>
          <w:szCs w:val="24"/>
          <w:vertAlign w:val="superscript"/>
          <w:lang w:val="en-US"/>
        </w:rPr>
        <w:t>23]</w:t>
      </w:r>
      <w:r w:rsidR="007C22E6" w:rsidRPr="00A35CEC">
        <w:rPr>
          <w:rFonts w:ascii="Book Antiqua" w:eastAsia="Calibri" w:hAnsi="Book Antiqua" w:cs="Arial"/>
          <w:sz w:val="24"/>
          <w:szCs w:val="24"/>
          <w:lang w:val="en-US"/>
        </w:rPr>
        <w:t>.</w:t>
      </w:r>
      <w:r w:rsidR="00850A60" w:rsidRPr="00A35CEC">
        <w:rPr>
          <w:rFonts w:ascii="Book Antiqua" w:eastAsia="Calibri" w:hAnsi="Book Antiqua" w:cs="Arial"/>
          <w:sz w:val="24"/>
          <w:szCs w:val="24"/>
          <w:lang w:val="en-US"/>
        </w:rPr>
        <w:t xml:space="preserve"> Recently, price negotiations concerning the cost of </w:t>
      </w:r>
      <w:proofErr w:type="spellStart"/>
      <w:r w:rsidR="00850A60" w:rsidRPr="00A35CEC">
        <w:rPr>
          <w:rFonts w:ascii="Book Antiqua" w:eastAsia="Calibri" w:hAnsi="Book Antiqua" w:cs="Arial"/>
          <w:sz w:val="24"/>
          <w:szCs w:val="24"/>
          <w:lang w:val="en-US"/>
        </w:rPr>
        <w:t>DAAs</w:t>
      </w:r>
      <w:proofErr w:type="spellEnd"/>
      <w:r w:rsidR="00850A60" w:rsidRPr="00A35CEC">
        <w:rPr>
          <w:rFonts w:ascii="Book Antiqua" w:eastAsia="Calibri" w:hAnsi="Book Antiqua" w:cs="Arial"/>
          <w:sz w:val="24"/>
          <w:szCs w:val="24"/>
          <w:lang w:val="en-US"/>
        </w:rPr>
        <w:t xml:space="preserve"> </w:t>
      </w:r>
      <w:r w:rsidR="00F67E09" w:rsidRPr="00A35CEC">
        <w:rPr>
          <w:rFonts w:ascii="Book Antiqua" w:eastAsia="Calibri" w:hAnsi="Book Antiqua" w:cs="Arial"/>
          <w:sz w:val="24"/>
          <w:szCs w:val="24"/>
          <w:lang w:val="en-US"/>
        </w:rPr>
        <w:t>were</w:t>
      </w:r>
      <w:r w:rsidR="00CB6B2B" w:rsidRPr="00A35CEC">
        <w:rPr>
          <w:rFonts w:ascii="Book Antiqua" w:eastAsia="Calibri" w:hAnsi="Book Antiqua" w:cs="Arial"/>
          <w:sz w:val="24"/>
          <w:szCs w:val="24"/>
          <w:lang w:val="en-US"/>
        </w:rPr>
        <w:t xml:space="preserve"> implemented, </w:t>
      </w:r>
      <w:r w:rsidR="00A62F28" w:rsidRPr="00A35CEC">
        <w:rPr>
          <w:rFonts w:ascii="Book Antiqua" w:eastAsia="Calibri" w:hAnsi="Book Antiqua" w:cs="Arial"/>
          <w:sz w:val="24"/>
          <w:szCs w:val="24"/>
          <w:lang w:val="en-US"/>
        </w:rPr>
        <w:t xml:space="preserve">resulting in </w:t>
      </w:r>
      <w:r w:rsidR="00F67E09" w:rsidRPr="00A35CEC">
        <w:rPr>
          <w:rFonts w:ascii="Book Antiqua" w:eastAsia="Calibri" w:hAnsi="Book Antiqua" w:cs="Arial"/>
          <w:sz w:val="24"/>
          <w:szCs w:val="24"/>
          <w:lang w:val="en-US"/>
        </w:rPr>
        <w:t>reduced treatment costs</w:t>
      </w:r>
      <w:r w:rsidR="00594649" w:rsidRPr="00A35CEC">
        <w:rPr>
          <w:rFonts w:ascii="Book Antiqua" w:eastAsia="Calibri" w:hAnsi="Book Antiqua" w:cs="Arial"/>
          <w:sz w:val="24"/>
          <w:szCs w:val="24"/>
          <w:lang w:val="en-US"/>
        </w:rPr>
        <w:t xml:space="preserve">. </w:t>
      </w:r>
      <w:r w:rsidR="00EE1A64" w:rsidRPr="00A35CEC">
        <w:rPr>
          <w:rFonts w:ascii="Book Antiqua" w:eastAsia="Calibri" w:hAnsi="Book Antiqua" w:cs="Arial"/>
          <w:sz w:val="24"/>
          <w:szCs w:val="24"/>
          <w:lang w:val="en-US"/>
        </w:rPr>
        <w:t xml:space="preserve">The price per </w:t>
      </w:r>
      <w:proofErr w:type="spellStart"/>
      <w:r w:rsidR="00EE1A64" w:rsidRPr="00A35CEC">
        <w:rPr>
          <w:rFonts w:ascii="Book Antiqua" w:eastAsia="Calibri" w:hAnsi="Book Antiqua" w:cs="Arial"/>
          <w:sz w:val="24"/>
          <w:szCs w:val="24"/>
          <w:lang w:val="en-US"/>
        </w:rPr>
        <w:t>DAA</w:t>
      </w:r>
      <w:proofErr w:type="spellEnd"/>
      <w:r w:rsidR="00EE1A64" w:rsidRPr="00A35CEC">
        <w:rPr>
          <w:rFonts w:ascii="Book Antiqua" w:eastAsia="Calibri" w:hAnsi="Book Antiqua" w:cs="Arial"/>
          <w:sz w:val="24"/>
          <w:szCs w:val="24"/>
          <w:lang w:val="en-US"/>
        </w:rPr>
        <w:t xml:space="preserve"> regimen is confidential. However, the average </w:t>
      </w:r>
      <w:r w:rsidR="00EE1A64" w:rsidRPr="00A35CEC">
        <w:rPr>
          <w:rFonts w:ascii="Book Antiqua" w:eastAsia="Calibri" w:hAnsi="Book Antiqua" w:cs="Arial"/>
          <w:sz w:val="24"/>
          <w:szCs w:val="24"/>
          <w:lang w:val="en-US"/>
        </w:rPr>
        <w:lastRenderedPageBreak/>
        <w:t>c</w:t>
      </w:r>
      <w:r w:rsidR="00FD2B4F" w:rsidRPr="00A35CEC">
        <w:rPr>
          <w:rFonts w:ascii="Book Antiqua" w:eastAsia="Calibri" w:hAnsi="Book Antiqua" w:cs="Arial"/>
          <w:sz w:val="24"/>
          <w:szCs w:val="24"/>
          <w:lang w:val="en-US"/>
        </w:rPr>
        <w:t>ost per treatment can be calculated</w:t>
      </w:r>
      <w:r w:rsidR="00EE1A64" w:rsidRPr="00A35CEC">
        <w:rPr>
          <w:rFonts w:ascii="Book Antiqua" w:eastAsia="Calibri" w:hAnsi="Book Antiqua" w:cs="Arial"/>
          <w:sz w:val="24"/>
          <w:szCs w:val="24"/>
          <w:lang w:val="en-US"/>
        </w:rPr>
        <w:t>.</w:t>
      </w:r>
      <w:r w:rsidR="00C70556"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According to the</w:t>
      </w:r>
      <w:r w:rsidR="00BB24F7" w:rsidRPr="00A35CEC">
        <w:rPr>
          <w:rFonts w:ascii="Book Antiqua" w:eastAsia="Calibri" w:hAnsi="Book Antiqua" w:cs="Arial"/>
          <w:sz w:val="24"/>
          <w:szCs w:val="24"/>
          <w:lang w:val="en-US"/>
        </w:rPr>
        <w:t xml:space="preserve"> official</w:t>
      </w:r>
      <w:r w:rsidR="001B27A0" w:rsidRPr="00A35CEC">
        <w:rPr>
          <w:rFonts w:ascii="Book Antiqua" w:eastAsia="Calibri" w:hAnsi="Book Antiqua" w:cs="Arial"/>
          <w:sz w:val="24"/>
          <w:szCs w:val="24"/>
          <w:lang w:val="en-US"/>
        </w:rPr>
        <w:t xml:space="preserve"> press release of the Ministry of Health, a closed </w:t>
      </w:r>
      <w:r w:rsidR="001A0E67" w:rsidRPr="00A35CEC">
        <w:rPr>
          <w:rFonts w:ascii="Book Antiqua" w:eastAsia="Calibri" w:hAnsi="Book Antiqua" w:cs="Arial"/>
          <w:sz w:val="24"/>
          <w:szCs w:val="24"/>
          <w:lang w:val="en-US"/>
        </w:rPr>
        <w:t xml:space="preserve">pharmaceutical </w:t>
      </w:r>
      <w:r w:rsidR="001B27A0" w:rsidRPr="00A35CEC">
        <w:rPr>
          <w:rFonts w:ascii="Book Antiqua" w:eastAsia="Calibri" w:hAnsi="Book Antiqua" w:cs="Arial"/>
          <w:sz w:val="24"/>
          <w:szCs w:val="24"/>
          <w:lang w:val="en-US"/>
        </w:rPr>
        <w:t>budget of about 67.6 millio</w:t>
      </w:r>
      <w:r w:rsidR="00D57808" w:rsidRPr="00A35CEC">
        <w:rPr>
          <w:rFonts w:ascii="Book Antiqua" w:eastAsia="Calibri" w:hAnsi="Book Antiqua" w:cs="Arial"/>
          <w:sz w:val="24"/>
          <w:szCs w:val="24"/>
          <w:lang w:val="en-US"/>
        </w:rPr>
        <w:t>n has been committed to treat 5</w:t>
      </w:r>
      <w:r w:rsidR="00616C7E" w:rsidRPr="00A35CEC">
        <w:rPr>
          <w:rFonts w:ascii="Book Antiqua" w:eastAsia="Calibri" w:hAnsi="Book Antiqua" w:cs="Arial"/>
          <w:sz w:val="24"/>
          <w:szCs w:val="24"/>
          <w:lang w:val="en-US"/>
        </w:rPr>
        <w:t>,</w:t>
      </w:r>
      <w:r w:rsidR="001B27A0" w:rsidRPr="00A35CEC">
        <w:rPr>
          <w:rFonts w:ascii="Book Antiqua" w:eastAsia="Calibri" w:hAnsi="Book Antiqua" w:cs="Arial"/>
          <w:sz w:val="24"/>
          <w:szCs w:val="24"/>
          <w:lang w:val="en-US"/>
        </w:rPr>
        <w:t xml:space="preserve">500 patients in the next 14 </w:t>
      </w:r>
      <w:proofErr w:type="spellStart"/>
      <w:proofErr w:type="gramStart"/>
      <w:r w:rsidR="001B27A0" w:rsidRPr="00A35CEC">
        <w:rPr>
          <w:rFonts w:ascii="Book Antiqua" w:eastAsia="Calibri" w:hAnsi="Book Antiqua" w:cs="Arial"/>
          <w:sz w:val="24"/>
          <w:szCs w:val="24"/>
          <w:lang w:val="en-US"/>
        </w:rPr>
        <w:t>mo</w:t>
      </w:r>
      <w:proofErr w:type="spellEnd"/>
      <w:r w:rsidR="00D57808" w:rsidRPr="00A35CEC">
        <w:rPr>
          <w:rFonts w:ascii="Book Antiqua" w:eastAsia="Calibri" w:hAnsi="Book Antiqua" w:cs="Arial"/>
          <w:sz w:val="24"/>
          <w:szCs w:val="24"/>
          <w:vertAlign w:val="superscript"/>
          <w:lang w:val="en-US"/>
        </w:rPr>
        <w:t>[</w:t>
      </w:r>
      <w:proofErr w:type="gramEnd"/>
      <w:r w:rsidR="00D57808" w:rsidRPr="00A35CEC">
        <w:rPr>
          <w:rFonts w:ascii="Book Antiqua" w:eastAsia="Calibri" w:hAnsi="Book Antiqua" w:cs="Arial"/>
          <w:sz w:val="24"/>
          <w:szCs w:val="24"/>
          <w:vertAlign w:val="superscript"/>
          <w:lang w:val="en-US"/>
        </w:rPr>
        <w:t>24,</w:t>
      </w:r>
      <w:r w:rsidR="00BC0DA7" w:rsidRPr="00A35CEC">
        <w:rPr>
          <w:rFonts w:ascii="Book Antiqua" w:eastAsia="Calibri" w:hAnsi="Book Antiqua" w:cs="Arial"/>
          <w:sz w:val="24"/>
          <w:szCs w:val="24"/>
          <w:vertAlign w:val="superscript"/>
          <w:lang w:val="en-US"/>
        </w:rPr>
        <w:t>25]</w:t>
      </w:r>
      <w:r w:rsidR="001B27A0" w:rsidRPr="00A35CEC">
        <w:rPr>
          <w:rFonts w:ascii="Book Antiqua" w:eastAsia="Calibri" w:hAnsi="Book Antiqua" w:cs="Arial"/>
          <w:sz w:val="24"/>
          <w:szCs w:val="24"/>
          <w:lang w:val="en-US"/>
        </w:rPr>
        <w:t>. Dividing the budgeted money by the expected treated patients equates to a cost of treatment of</w:t>
      </w:r>
      <w:r w:rsidR="00AE14EA" w:rsidRPr="00A35CEC">
        <w:rPr>
          <w:rFonts w:ascii="Book Antiqua" w:eastAsia="Calibri" w:hAnsi="Book Antiqua" w:cs="Arial"/>
          <w:sz w:val="24"/>
          <w:szCs w:val="24"/>
          <w:lang w:val="en-US"/>
        </w:rPr>
        <w:t xml:space="preserve"> about</w:t>
      </w:r>
      <w:r w:rsidR="00D57808" w:rsidRPr="00A35CEC">
        <w:rPr>
          <w:rFonts w:ascii="Book Antiqua" w:eastAsia="Calibri" w:hAnsi="Book Antiqua" w:cs="Arial"/>
          <w:sz w:val="24"/>
          <w:szCs w:val="24"/>
          <w:lang w:val="en-US"/>
        </w:rPr>
        <w:t xml:space="preserve"> 12</w:t>
      </w:r>
      <w:r w:rsidR="00616C7E" w:rsidRPr="00A35CEC">
        <w:rPr>
          <w:rFonts w:ascii="Book Antiqua" w:eastAsia="Calibri" w:hAnsi="Book Antiqua" w:cs="Arial"/>
          <w:sz w:val="24"/>
          <w:szCs w:val="24"/>
          <w:lang w:val="en-US"/>
        </w:rPr>
        <w:t>,</w:t>
      </w:r>
      <w:r w:rsidR="001B27A0" w:rsidRPr="00A35CEC">
        <w:rPr>
          <w:rFonts w:ascii="Book Antiqua" w:eastAsia="Calibri" w:hAnsi="Book Antiqua" w:cs="Arial"/>
          <w:sz w:val="24"/>
          <w:szCs w:val="24"/>
          <w:lang w:val="en-US"/>
        </w:rPr>
        <w:t>300</w:t>
      </w:r>
      <w:r w:rsidR="00D57808"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 xml:space="preserve">€. Furthermore, </w:t>
      </w:r>
      <w:r w:rsidR="00A40DA1" w:rsidRPr="00A35CEC">
        <w:rPr>
          <w:rFonts w:ascii="Book Antiqua" w:eastAsia="Calibri" w:hAnsi="Book Antiqua" w:cs="Arial"/>
          <w:sz w:val="24"/>
          <w:szCs w:val="24"/>
          <w:lang w:val="en-US"/>
        </w:rPr>
        <w:t xml:space="preserve">the </w:t>
      </w:r>
      <w:r w:rsidR="00172A3C" w:rsidRPr="00A35CEC">
        <w:rPr>
          <w:rFonts w:ascii="Book Antiqua" w:eastAsia="Calibri" w:hAnsi="Book Antiqua" w:cs="Arial"/>
          <w:sz w:val="24"/>
          <w:szCs w:val="24"/>
          <w:lang w:val="en-US"/>
        </w:rPr>
        <w:t xml:space="preserve">Minister for Health </w:t>
      </w:r>
      <w:proofErr w:type="gramStart"/>
      <w:r w:rsidR="00172A3C" w:rsidRPr="00A35CEC">
        <w:rPr>
          <w:rFonts w:ascii="Book Antiqua" w:eastAsia="Calibri" w:hAnsi="Book Antiqua" w:cs="Arial"/>
          <w:sz w:val="24"/>
          <w:szCs w:val="24"/>
          <w:lang w:val="en-US"/>
        </w:rPr>
        <w:t>state</w:t>
      </w:r>
      <w:r w:rsidR="001E53C7" w:rsidRPr="00A35CEC">
        <w:rPr>
          <w:rFonts w:ascii="Book Antiqua" w:eastAsia="Calibri" w:hAnsi="Book Antiqua" w:cs="Arial"/>
          <w:sz w:val="24"/>
          <w:szCs w:val="24"/>
          <w:lang w:val="en-US"/>
        </w:rPr>
        <w:t>d</w:t>
      </w:r>
      <w:r w:rsidR="00D57808" w:rsidRPr="00A35CEC">
        <w:rPr>
          <w:rFonts w:ascii="Book Antiqua" w:eastAsia="Calibri" w:hAnsi="Book Antiqua" w:cs="Arial"/>
          <w:sz w:val="24"/>
          <w:szCs w:val="24"/>
          <w:vertAlign w:val="superscript"/>
          <w:lang w:val="en-US"/>
        </w:rPr>
        <w:t>[</w:t>
      </w:r>
      <w:proofErr w:type="gramEnd"/>
      <w:r w:rsidR="00D57808" w:rsidRPr="00A35CEC">
        <w:rPr>
          <w:rFonts w:ascii="Book Antiqua" w:eastAsia="Calibri" w:hAnsi="Book Antiqua" w:cs="Arial"/>
          <w:sz w:val="24"/>
          <w:szCs w:val="24"/>
          <w:vertAlign w:val="superscript"/>
          <w:lang w:val="en-US"/>
        </w:rPr>
        <w:t>26,</w:t>
      </w:r>
      <w:r w:rsidR="00BC0DA7" w:rsidRPr="00A35CEC">
        <w:rPr>
          <w:rFonts w:ascii="Book Antiqua" w:eastAsia="Calibri" w:hAnsi="Book Antiqua" w:cs="Arial"/>
          <w:sz w:val="24"/>
          <w:szCs w:val="24"/>
          <w:vertAlign w:val="superscript"/>
          <w:lang w:val="en-US"/>
        </w:rPr>
        <w:t>27]</w:t>
      </w:r>
      <w:r w:rsidR="00172A3C"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that the negotiation achieved a saving</w:t>
      </w:r>
      <w:r w:rsidR="00A40DA1" w:rsidRPr="00A35CEC">
        <w:rPr>
          <w:rFonts w:ascii="Book Antiqua" w:eastAsia="Calibri" w:hAnsi="Book Antiqua" w:cs="Arial"/>
          <w:sz w:val="24"/>
          <w:szCs w:val="24"/>
          <w:lang w:val="en-US"/>
        </w:rPr>
        <w:t>s</w:t>
      </w:r>
      <w:r w:rsidR="001B27A0" w:rsidRPr="00A35CEC">
        <w:rPr>
          <w:rFonts w:ascii="Book Antiqua" w:eastAsia="Calibri" w:hAnsi="Book Antiqua" w:cs="Arial"/>
          <w:sz w:val="24"/>
          <w:szCs w:val="24"/>
          <w:lang w:val="en-US"/>
        </w:rPr>
        <w:t xml:space="preserve"> of 68%</w:t>
      </w:r>
      <w:r w:rsidR="00221A14"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compared to the average pre-</w:t>
      </w:r>
      <w:r w:rsidR="00D57808" w:rsidRPr="00A35CEC">
        <w:rPr>
          <w:rFonts w:ascii="Book Antiqua" w:eastAsia="Calibri" w:hAnsi="Book Antiqua" w:cs="Arial"/>
          <w:sz w:val="24"/>
          <w:szCs w:val="24"/>
          <w:lang w:val="en-US"/>
        </w:rPr>
        <w:t>negotiated price (42</w:t>
      </w:r>
      <w:r w:rsidR="00616C7E" w:rsidRPr="00A35CEC">
        <w:rPr>
          <w:rFonts w:ascii="Book Antiqua" w:eastAsia="Calibri" w:hAnsi="Book Antiqua" w:cs="Arial"/>
          <w:sz w:val="24"/>
          <w:szCs w:val="24"/>
          <w:lang w:val="en-US"/>
        </w:rPr>
        <w:t>,</w:t>
      </w:r>
      <w:r w:rsidR="001B27A0" w:rsidRPr="00A35CEC">
        <w:rPr>
          <w:rFonts w:ascii="Book Antiqua" w:eastAsia="Calibri" w:hAnsi="Book Antiqua" w:cs="Arial"/>
          <w:sz w:val="24"/>
          <w:szCs w:val="24"/>
          <w:lang w:val="en-US"/>
        </w:rPr>
        <w:t>000</w:t>
      </w:r>
      <w:r w:rsidR="00D57808" w:rsidRPr="00A35CEC">
        <w:rPr>
          <w:rFonts w:ascii="Book Antiqua" w:eastAsia="Calibri" w:hAnsi="Book Antiqua" w:cs="Arial"/>
          <w:sz w:val="24"/>
          <w:szCs w:val="24"/>
          <w:lang w:val="en-US"/>
        </w:rPr>
        <w:t xml:space="preserve"> € × </w:t>
      </w:r>
      <w:r w:rsidR="001B27A0" w:rsidRPr="00A35CEC">
        <w:rPr>
          <w:rFonts w:ascii="Book Antiqua" w:eastAsia="Calibri" w:hAnsi="Book Antiqua" w:cs="Arial"/>
          <w:sz w:val="24"/>
          <w:szCs w:val="24"/>
          <w:lang w:val="en-US"/>
        </w:rPr>
        <w:t>32%</w:t>
      </w:r>
      <w:r w:rsidR="00D57808"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w:t>
      </w:r>
      <w:r w:rsidR="00D57808" w:rsidRPr="00A35CEC">
        <w:rPr>
          <w:rFonts w:ascii="Book Antiqua" w:eastAsia="Calibri" w:hAnsi="Book Antiqua" w:cs="Arial"/>
          <w:sz w:val="24"/>
          <w:szCs w:val="24"/>
          <w:lang w:val="en-US"/>
        </w:rPr>
        <w:t xml:space="preserve"> 13</w:t>
      </w:r>
      <w:r w:rsidR="00616C7E" w:rsidRPr="00A35CEC">
        <w:rPr>
          <w:rFonts w:ascii="Book Antiqua" w:eastAsia="Calibri" w:hAnsi="Book Antiqua" w:cs="Arial"/>
          <w:sz w:val="24"/>
          <w:szCs w:val="24"/>
          <w:lang w:val="en-US"/>
        </w:rPr>
        <w:t>,</w:t>
      </w:r>
      <w:r w:rsidR="001B27A0" w:rsidRPr="00A35CEC">
        <w:rPr>
          <w:rFonts w:ascii="Book Antiqua" w:eastAsia="Calibri" w:hAnsi="Book Antiqua" w:cs="Arial"/>
          <w:sz w:val="24"/>
          <w:szCs w:val="24"/>
          <w:lang w:val="en-US"/>
        </w:rPr>
        <w:t>400</w:t>
      </w:r>
      <w:r w:rsidR="00D57808"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w:t>
      </w:r>
      <w:r w:rsidR="005B6429" w:rsidRPr="00A35CEC">
        <w:rPr>
          <w:rFonts w:ascii="Book Antiqua" w:eastAsia="Calibri" w:hAnsi="Book Antiqua" w:cs="Arial"/>
          <w:sz w:val="24"/>
          <w:szCs w:val="24"/>
          <w:lang w:val="en-US"/>
        </w:rPr>
        <w:t xml:space="preserve"> </w:t>
      </w:r>
      <w:r w:rsidR="001B27A0" w:rsidRPr="00A35CEC">
        <w:rPr>
          <w:rFonts w:ascii="Book Antiqua" w:eastAsia="Calibri" w:hAnsi="Book Antiqua" w:cs="Arial"/>
          <w:sz w:val="24"/>
          <w:szCs w:val="24"/>
          <w:lang w:val="en-US"/>
        </w:rPr>
        <w:t xml:space="preserve">Combining the above </w:t>
      </w:r>
      <w:r w:rsidR="001A76FF" w:rsidRPr="00A35CEC">
        <w:rPr>
          <w:rFonts w:ascii="Book Antiqua" w:eastAsia="Calibri" w:hAnsi="Book Antiqua" w:cs="Arial"/>
          <w:sz w:val="24"/>
          <w:szCs w:val="24"/>
          <w:lang w:val="en-US"/>
        </w:rPr>
        <w:t>estimations,</w:t>
      </w:r>
      <w:r w:rsidR="001B27A0" w:rsidRPr="00A35CEC">
        <w:rPr>
          <w:rFonts w:ascii="Book Antiqua" w:eastAsia="Calibri" w:hAnsi="Book Antiqua" w:cs="Arial"/>
          <w:sz w:val="24"/>
          <w:szCs w:val="24"/>
          <w:lang w:val="en-US"/>
        </w:rPr>
        <w:t xml:space="preserve"> we assumed that the </w:t>
      </w:r>
      <w:r w:rsidR="003D2070" w:rsidRPr="00A35CEC">
        <w:rPr>
          <w:rFonts w:ascii="Book Antiqua" w:eastAsia="Calibri" w:hAnsi="Book Antiqua" w:cs="Arial"/>
          <w:sz w:val="24"/>
          <w:szCs w:val="24"/>
          <w:lang w:val="en-US"/>
        </w:rPr>
        <w:t xml:space="preserve">average </w:t>
      </w:r>
      <w:r w:rsidR="001B27A0" w:rsidRPr="00A35CEC">
        <w:rPr>
          <w:rFonts w:ascii="Book Antiqua" w:eastAsia="Calibri" w:hAnsi="Book Antiqua" w:cs="Arial"/>
          <w:sz w:val="24"/>
          <w:szCs w:val="24"/>
          <w:lang w:val="en-US"/>
        </w:rPr>
        <w:t xml:space="preserve">cost of </w:t>
      </w:r>
      <w:proofErr w:type="spellStart"/>
      <w:r w:rsidR="001B27A0" w:rsidRPr="00A35CEC">
        <w:rPr>
          <w:rFonts w:ascii="Book Antiqua" w:eastAsia="Calibri" w:hAnsi="Book Antiqua" w:cs="Arial"/>
          <w:sz w:val="24"/>
          <w:szCs w:val="24"/>
          <w:lang w:val="en-US"/>
        </w:rPr>
        <w:t>DAAs</w:t>
      </w:r>
      <w:proofErr w:type="spellEnd"/>
      <w:r w:rsidR="001B27A0" w:rsidRPr="00A35CEC">
        <w:rPr>
          <w:rFonts w:ascii="Book Antiqua" w:eastAsia="Calibri" w:hAnsi="Book Antiqua" w:cs="Arial"/>
          <w:sz w:val="24"/>
          <w:szCs w:val="24"/>
          <w:lang w:val="en-US"/>
        </w:rPr>
        <w:t xml:space="preserve"> after negotiation </w:t>
      </w:r>
      <w:r w:rsidR="001A0E67" w:rsidRPr="00A35CEC">
        <w:rPr>
          <w:rFonts w:ascii="Book Antiqua" w:eastAsia="Calibri" w:hAnsi="Book Antiqua" w:cs="Arial"/>
          <w:sz w:val="24"/>
          <w:szCs w:val="24"/>
          <w:lang w:val="en-US"/>
        </w:rPr>
        <w:t>can be estimated at</w:t>
      </w:r>
      <w:r w:rsidR="00D57808" w:rsidRPr="00A35CEC">
        <w:rPr>
          <w:rFonts w:ascii="Book Antiqua" w:eastAsia="Calibri" w:hAnsi="Book Antiqua" w:cs="Arial"/>
          <w:sz w:val="24"/>
          <w:szCs w:val="24"/>
          <w:lang w:val="en-US"/>
        </w:rPr>
        <w:t xml:space="preserve"> 13</w:t>
      </w:r>
      <w:r w:rsidR="00616C7E" w:rsidRPr="00A35CEC">
        <w:rPr>
          <w:rFonts w:ascii="Book Antiqua" w:eastAsia="Calibri" w:hAnsi="Book Antiqua" w:cs="Arial"/>
          <w:sz w:val="24"/>
          <w:szCs w:val="24"/>
          <w:lang w:val="en-US"/>
        </w:rPr>
        <w:t>,</w:t>
      </w:r>
      <w:r w:rsidR="001A76FF" w:rsidRPr="00A35CEC">
        <w:rPr>
          <w:rFonts w:ascii="Book Antiqua" w:eastAsia="Calibri" w:hAnsi="Book Antiqua" w:cs="Arial"/>
          <w:sz w:val="24"/>
          <w:szCs w:val="24"/>
          <w:lang w:val="en-US"/>
        </w:rPr>
        <w:t>000</w:t>
      </w:r>
      <w:r w:rsidR="00D57808" w:rsidRPr="00A35CEC">
        <w:rPr>
          <w:rFonts w:ascii="Book Antiqua" w:eastAsia="Calibri" w:hAnsi="Book Antiqua" w:cs="Arial"/>
          <w:sz w:val="24"/>
          <w:szCs w:val="24"/>
          <w:lang w:val="en-US"/>
        </w:rPr>
        <w:t xml:space="preserve"> </w:t>
      </w:r>
      <w:r w:rsidR="001A76FF" w:rsidRPr="00A35CEC">
        <w:rPr>
          <w:rFonts w:ascii="Book Antiqua" w:eastAsia="Calibri" w:hAnsi="Book Antiqua" w:cs="Arial"/>
          <w:sz w:val="24"/>
          <w:szCs w:val="24"/>
          <w:lang w:val="en-US"/>
        </w:rPr>
        <w:t>€</w:t>
      </w:r>
      <w:r w:rsidR="001A0E67" w:rsidRPr="00A35CEC">
        <w:rPr>
          <w:rFonts w:ascii="Book Antiqua" w:eastAsia="Calibri" w:hAnsi="Book Antiqua" w:cs="Arial"/>
          <w:sz w:val="24"/>
          <w:szCs w:val="24"/>
          <w:lang w:val="en-US"/>
        </w:rPr>
        <w:t xml:space="preserve"> per </w:t>
      </w:r>
      <w:r w:rsidR="00A40DA1" w:rsidRPr="00A35CEC">
        <w:rPr>
          <w:rFonts w:ascii="Book Antiqua" w:eastAsia="Calibri" w:hAnsi="Book Antiqua" w:cs="Arial"/>
          <w:sz w:val="24"/>
          <w:szCs w:val="24"/>
          <w:lang w:val="en-US"/>
        </w:rPr>
        <w:t xml:space="preserve">treated </w:t>
      </w:r>
      <w:r w:rsidR="001A0E67" w:rsidRPr="00A35CEC">
        <w:rPr>
          <w:rFonts w:ascii="Book Antiqua" w:eastAsia="Calibri" w:hAnsi="Book Antiqua" w:cs="Arial"/>
          <w:sz w:val="24"/>
          <w:szCs w:val="24"/>
          <w:lang w:val="en-US"/>
        </w:rPr>
        <w:t>patient</w:t>
      </w:r>
      <w:r w:rsidR="002F6801" w:rsidRPr="00A35CEC">
        <w:rPr>
          <w:rFonts w:ascii="Book Antiqua" w:eastAsia="Calibri" w:hAnsi="Book Antiqua" w:cs="Arial"/>
          <w:sz w:val="24"/>
          <w:szCs w:val="24"/>
          <w:lang w:val="en-US"/>
        </w:rPr>
        <w:t xml:space="preserve">. </w:t>
      </w:r>
    </w:p>
    <w:p w14:paraId="3F57A719" w14:textId="37DAD962" w:rsidR="00ED3576" w:rsidRPr="00A35CEC" w:rsidRDefault="00D57808">
      <w:pPr>
        <w:pStyle w:val="HTML"/>
        <w:shd w:val="clear" w:color="auto" w:fill="FFFFFF"/>
        <w:adjustRightInd w:val="0"/>
        <w:snapToGrid w:val="0"/>
        <w:spacing w:line="360" w:lineRule="auto"/>
        <w:jc w:val="both"/>
        <w:rPr>
          <w:rFonts w:ascii="Book Antiqua" w:eastAsia="Calibri" w:hAnsi="Book Antiqua" w:cs="Arial"/>
          <w:sz w:val="24"/>
          <w:szCs w:val="24"/>
          <w:lang w:val="en-US"/>
        </w:rPr>
      </w:pPr>
      <w:r w:rsidRPr="00A35CEC">
        <w:rPr>
          <w:rFonts w:ascii="Book Antiqua" w:eastAsia="Calibri" w:hAnsi="Book Antiqua" w:cs="Arial"/>
          <w:sz w:val="24"/>
          <w:szCs w:val="24"/>
          <w:lang w:val="en-US"/>
        </w:rPr>
        <w:t xml:space="preserve">  </w:t>
      </w:r>
      <w:r w:rsidR="00F67E09" w:rsidRPr="00A35CEC">
        <w:rPr>
          <w:rFonts w:ascii="Book Antiqua" w:eastAsia="Calibri" w:hAnsi="Book Antiqua" w:cs="Arial"/>
          <w:sz w:val="24"/>
          <w:szCs w:val="24"/>
          <w:lang w:val="en-US"/>
        </w:rPr>
        <w:t>Due to the considerable uncertainty of</w:t>
      </w:r>
      <w:r w:rsidR="00CB6B2B" w:rsidRPr="00A35CEC">
        <w:rPr>
          <w:rFonts w:ascii="Book Antiqua" w:eastAsia="Calibri" w:hAnsi="Book Antiqua" w:cs="Arial"/>
          <w:sz w:val="24"/>
          <w:szCs w:val="24"/>
          <w:lang w:val="en-US"/>
        </w:rPr>
        <w:t xml:space="preserve"> </w:t>
      </w:r>
      <w:r w:rsidR="001A0E67" w:rsidRPr="00A35CEC">
        <w:rPr>
          <w:rFonts w:ascii="Book Antiqua" w:eastAsia="Calibri" w:hAnsi="Book Antiqua" w:cs="Arial"/>
          <w:sz w:val="24"/>
          <w:szCs w:val="24"/>
          <w:lang w:val="en-US"/>
        </w:rPr>
        <w:t xml:space="preserve">the </w:t>
      </w:r>
      <w:r w:rsidR="00CB6B2B" w:rsidRPr="00A35CEC">
        <w:rPr>
          <w:rFonts w:ascii="Book Antiqua" w:eastAsia="Calibri" w:hAnsi="Book Antiqua" w:cs="Arial"/>
          <w:sz w:val="24"/>
          <w:szCs w:val="24"/>
          <w:lang w:val="en-US"/>
        </w:rPr>
        <w:t xml:space="preserve">future </w:t>
      </w:r>
      <w:r w:rsidR="001A0E67" w:rsidRPr="00A35CEC">
        <w:rPr>
          <w:rFonts w:ascii="Book Antiqua" w:eastAsia="Calibri" w:hAnsi="Book Antiqua" w:cs="Arial"/>
          <w:sz w:val="24"/>
          <w:szCs w:val="24"/>
          <w:lang w:val="en-US"/>
        </w:rPr>
        <w:t xml:space="preserve">price evolution for </w:t>
      </w:r>
      <w:proofErr w:type="spellStart"/>
      <w:r w:rsidR="00CB6B2B" w:rsidRPr="00A35CEC">
        <w:rPr>
          <w:rFonts w:ascii="Book Antiqua" w:eastAsia="Calibri" w:hAnsi="Book Antiqua" w:cs="Arial"/>
          <w:sz w:val="24"/>
          <w:szCs w:val="24"/>
          <w:lang w:val="en-US"/>
        </w:rPr>
        <w:t>DAAs</w:t>
      </w:r>
      <w:proofErr w:type="spellEnd"/>
      <w:r w:rsidR="00F67E09" w:rsidRPr="00A35CEC">
        <w:rPr>
          <w:rFonts w:ascii="Book Antiqua" w:eastAsia="Calibri" w:hAnsi="Book Antiqua" w:cs="Arial"/>
          <w:sz w:val="24"/>
          <w:szCs w:val="24"/>
          <w:lang w:val="en-US"/>
        </w:rPr>
        <w:t>, we considered two</w:t>
      </w:r>
      <w:r w:rsidR="00375D41" w:rsidRPr="00A35CEC">
        <w:rPr>
          <w:rFonts w:ascii="Book Antiqua" w:eastAsia="Calibri" w:hAnsi="Book Antiqua" w:cs="Arial"/>
          <w:sz w:val="24"/>
          <w:szCs w:val="24"/>
          <w:lang w:val="en-US"/>
        </w:rPr>
        <w:t xml:space="preserve"> cost-</w:t>
      </w:r>
      <w:r w:rsidR="00F67E09" w:rsidRPr="00A35CEC">
        <w:rPr>
          <w:rFonts w:ascii="Book Antiqua" w:eastAsia="Calibri" w:hAnsi="Book Antiqua" w:cs="Arial"/>
          <w:sz w:val="24"/>
          <w:szCs w:val="24"/>
          <w:lang w:val="en-US"/>
        </w:rPr>
        <w:t>scenarios. In the first scenario (conservative</w:t>
      </w:r>
      <w:r w:rsidR="00CB6B2B" w:rsidRPr="00A35CEC">
        <w:rPr>
          <w:rFonts w:ascii="Book Antiqua" w:eastAsia="Calibri" w:hAnsi="Book Antiqua" w:cs="Arial"/>
          <w:sz w:val="24"/>
          <w:szCs w:val="24"/>
          <w:lang w:val="en-US"/>
        </w:rPr>
        <w:t xml:space="preserve"> scenario</w:t>
      </w:r>
      <w:r w:rsidR="00F67E09" w:rsidRPr="00A35CEC">
        <w:rPr>
          <w:rFonts w:ascii="Book Antiqua" w:eastAsia="Calibri" w:hAnsi="Book Antiqua" w:cs="Arial"/>
          <w:sz w:val="24"/>
          <w:szCs w:val="24"/>
          <w:lang w:val="en-US"/>
        </w:rPr>
        <w:t>)</w:t>
      </w:r>
      <w:r w:rsidR="00A40DA1" w:rsidRPr="00A35CEC">
        <w:rPr>
          <w:rFonts w:ascii="Book Antiqua" w:eastAsia="Calibri" w:hAnsi="Book Antiqua" w:cs="Arial"/>
          <w:sz w:val="24"/>
          <w:szCs w:val="24"/>
          <w:lang w:val="en-US"/>
        </w:rPr>
        <w:t>,</w:t>
      </w:r>
      <w:r w:rsidR="00F67E09" w:rsidRPr="00A35CEC">
        <w:rPr>
          <w:rFonts w:ascii="Book Antiqua" w:eastAsia="Calibri" w:hAnsi="Book Antiqua" w:cs="Arial"/>
          <w:sz w:val="24"/>
          <w:szCs w:val="24"/>
          <w:lang w:val="en-US"/>
        </w:rPr>
        <w:t xml:space="preserve"> we assumed that the price of </w:t>
      </w:r>
      <w:proofErr w:type="spellStart"/>
      <w:r w:rsidR="00F67E09" w:rsidRPr="00A35CEC">
        <w:rPr>
          <w:rFonts w:ascii="Book Antiqua" w:eastAsia="Calibri" w:hAnsi="Book Antiqua" w:cs="Arial"/>
          <w:sz w:val="24"/>
          <w:szCs w:val="24"/>
          <w:lang w:val="en-US"/>
        </w:rPr>
        <w:t>DAAs</w:t>
      </w:r>
      <w:proofErr w:type="spellEnd"/>
      <w:r w:rsidR="00F67E09" w:rsidRPr="00A35CEC">
        <w:rPr>
          <w:rFonts w:ascii="Book Antiqua" w:eastAsia="Calibri" w:hAnsi="Book Antiqua" w:cs="Arial"/>
          <w:sz w:val="24"/>
          <w:szCs w:val="24"/>
          <w:lang w:val="en-US"/>
        </w:rPr>
        <w:t xml:space="preserve"> would remain constant throu</w:t>
      </w:r>
      <w:r w:rsidR="00375D41" w:rsidRPr="00A35CEC">
        <w:rPr>
          <w:rFonts w:ascii="Book Antiqua" w:eastAsia="Calibri" w:hAnsi="Book Antiqua" w:cs="Arial"/>
          <w:sz w:val="24"/>
          <w:szCs w:val="24"/>
          <w:lang w:val="en-US"/>
        </w:rPr>
        <w:t>gh our study</w:t>
      </w:r>
      <w:r w:rsidR="0082003D" w:rsidRPr="00A35CEC">
        <w:rPr>
          <w:rFonts w:ascii="Book Antiqua" w:eastAsia="Calibri" w:hAnsi="Book Antiqua" w:cs="Arial"/>
          <w:sz w:val="24"/>
          <w:szCs w:val="24"/>
          <w:lang w:val="en-US"/>
        </w:rPr>
        <w:t xml:space="preserve"> (until 2035)</w:t>
      </w:r>
      <w:r w:rsidR="00375D41" w:rsidRPr="00A35CEC">
        <w:rPr>
          <w:rFonts w:ascii="Book Antiqua" w:eastAsia="Calibri" w:hAnsi="Book Antiqua" w:cs="Arial"/>
          <w:sz w:val="24"/>
          <w:szCs w:val="24"/>
          <w:lang w:val="en-US"/>
        </w:rPr>
        <w:t xml:space="preserve">, </w:t>
      </w:r>
      <w:r w:rsidR="00F67E09" w:rsidRPr="00A35CEC">
        <w:rPr>
          <w:rFonts w:ascii="Book Antiqua" w:eastAsia="Calibri" w:hAnsi="Book Antiqua" w:cs="Arial"/>
          <w:sz w:val="24"/>
          <w:szCs w:val="24"/>
          <w:lang w:val="en-US"/>
        </w:rPr>
        <w:t>while in the second scenario (optimistic</w:t>
      </w:r>
      <w:r w:rsidR="00CB6B2B" w:rsidRPr="00A35CEC">
        <w:rPr>
          <w:rFonts w:ascii="Book Antiqua" w:eastAsia="Calibri" w:hAnsi="Book Antiqua" w:cs="Arial"/>
          <w:sz w:val="24"/>
          <w:szCs w:val="24"/>
          <w:lang w:val="en-US"/>
        </w:rPr>
        <w:t xml:space="preserve"> scenario</w:t>
      </w:r>
      <w:r w:rsidR="00F67E09" w:rsidRPr="00A35CEC">
        <w:rPr>
          <w:rFonts w:ascii="Book Antiqua" w:eastAsia="Calibri" w:hAnsi="Book Antiqua" w:cs="Arial"/>
          <w:sz w:val="24"/>
          <w:szCs w:val="24"/>
          <w:lang w:val="en-US"/>
        </w:rPr>
        <w:t>)</w:t>
      </w:r>
      <w:r w:rsidR="00A40DA1" w:rsidRPr="00A35CEC">
        <w:rPr>
          <w:rFonts w:ascii="Book Antiqua" w:eastAsia="Calibri" w:hAnsi="Book Antiqua" w:cs="Arial"/>
          <w:sz w:val="24"/>
          <w:szCs w:val="24"/>
          <w:lang w:val="en-US"/>
        </w:rPr>
        <w:t>,</w:t>
      </w:r>
      <w:r w:rsidR="00F67E09" w:rsidRPr="00A35CEC">
        <w:rPr>
          <w:rFonts w:ascii="Book Antiqua" w:eastAsia="Calibri" w:hAnsi="Book Antiqua" w:cs="Arial"/>
          <w:sz w:val="24"/>
          <w:szCs w:val="24"/>
          <w:lang w:val="en-US"/>
        </w:rPr>
        <w:t xml:space="preserve"> we assumed a further 35% price reduction after 2024.</w:t>
      </w:r>
      <w:r w:rsidR="00ED3576" w:rsidRPr="00A35CEC">
        <w:rPr>
          <w:rFonts w:ascii="Book Antiqua" w:eastAsia="Calibri" w:hAnsi="Book Antiqua" w:cs="Arial"/>
          <w:sz w:val="24"/>
          <w:szCs w:val="24"/>
          <w:lang w:val="en-US"/>
        </w:rPr>
        <w:t xml:space="preserve"> Under </w:t>
      </w:r>
      <w:r w:rsidR="00A40DA1" w:rsidRPr="00A35CEC">
        <w:rPr>
          <w:rFonts w:ascii="Book Antiqua" w:eastAsia="Calibri" w:hAnsi="Book Antiqua" w:cs="Arial"/>
          <w:sz w:val="24"/>
          <w:szCs w:val="24"/>
          <w:lang w:val="en-US"/>
        </w:rPr>
        <w:t xml:space="preserve">the </w:t>
      </w:r>
      <w:r w:rsidR="00ED3576" w:rsidRPr="00A35CEC">
        <w:rPr>
          <w:rFonts w:ascii="Book Antiqua" w:eastAsia="Calibri" w:hAnsi="Book Antiqua" w:cs="Arial"/>
          <w:sz w:val="24"/>
          <w:szCs w:val="24"/>
          <w:lang w:val="en-US"/>
        </w:rPr>
        <w:t>base case</w:t>
      </w:r>
      <w:r w:rsidR="00A40DA1" w:rsidRPr="00A35CEC">
        <w:rPr>
          <w:rFonts w:ascii="Book Antiqua" w:eastAsia="Calibri" w:hAnsi="Book Antiqua" w:cs="Arial"/>
          <w:sz w:val="24"/>
          <w:szCs w:val="24"/>
          <w:lang w:val="en-US"/>
        </w:rPr>
        <w:t>,</w:t>
      </w:r>
      <w:r w:rsidR="00ED3576" w:rsidRPr="00A35CEC">
        <w:rPr>
          <w:rFonts w:ascii="Book Antiqua" w:eastAsia="Calibri" w:hAnsi="Book Antiqua" w:cs="Arial"/>
          <w:sz w:val="24"/>
          <w:szCs w:val="24"/>
          <w:lang w:val="en-US"/>
        </w:rPr>
        <w:t xml:space="preserve"> we assume</w:t>
      </w:r>
      <w:r w:rsidR="00A40DA1" w:rsidRPr="00A35CEC">
        <w:rPr>
          <w:rFonts w:ascii="Book Antiqua" w:eastAsia="Calibri" w:hAnsi="Book Antiqua" w:cs="Arial"/>
          <w:sz w:val="24"/>
          <w:szCs w:val="24"/>
          <w:lang w:val="en-US"/>
        </w:rPr>
        <w:t>d</w:t>
      </w:r>
      <w:r w:rsidR="00ED3576" w:rsidRPr="00A35CEC">
        <w:rPr>
          <w:rFonts w:ascii="Book Antiqua" w:eastAsia="Calibri" w:hAnsi="Book Antiqua" w:cs="Arial"/>
          <w:sz w:val="24"/>
          <w:szCs w:val="24"/>
          <w:lang w:val="en-US"/>
        </w:rPr>
        <w:t xml:space="preserve"> no </w:t>
      </w:r>
      <w:r w:rsidR="00A40DA1" w:rsidRPr="00A35CEC">
        <w:rPr>
          <w:rFonts w:ascii="Book Antiqua" w:eastAsia="Calibri" w:hAnsi="Book Antiqua" w:cs="Arial"/>
          <w:sz w:val="24"/>
          <w:szCs w:val="24"/>
          <w:lang w:val="en-US"/>
        </w:rPr>
        <w:t xml:space="preserve">price </w:t>
      </w:r>
      <w:r w:rsidR="00ED3576" w:rsidRPr="00A35CEC">
        <w:rPr>
          <w:rFonts w:ascii="Book Antiqua" w:eastAsia="Calibri" w:hAnsi="Book Antiqua" w:cs="Arial"/>
          <w:sz w:val="24"/>
          <w:szCs w:val="24"/>
          <w:lang w:val="en-US"/>
        </w:rPr>
        <w:t xml:space="preserve">reduction of </w:t>
      </w:r>
      <w:proofErr w:type="spellStart"/>
      <w:r w:rsidR="00ED3576" w:rsidRPr="00A35CEC">
        <w:rPr>
          <w:rFonts w:ascii="Book Antiqua" w:eastAsia="Calibri" w:hAnsi="Book Antiqua" w:cs="Arial"/>
          <w:sz w:val="24"/>
          <w:szCs w:val="24"/>
          <w:lang w:val="en-US"/>
        </w:rPr>
        <w:t>DAAs</w:t>
      </w:r>
      <w:proofErr w:type="spellEnd"/>
      <w:r w:rsidR="00ED3576" w:rsidRPr="00A35CEC">
        <w:rPr>
          <w:rFonts w:ascii="Book Antiqua" w:eastAsia="Calibri" w:hAnsi="Book Antiqua" w:cs="Arial"/>
          <w:sz w:val="24"/>
          <w:szCs w:val="24"/>
          <w:lang w:val="en-US"/>
        </w:rPr>
        <w:t xml:space="preserve"> due to the </w:t>
      </w:r>
      <w:r w:rsidR="00776C51" w:rsidRPr="00A35CEC">
        <w:rPr>
          <w:rFonts w:ascii="Book Antiqua" w:eastAsia="Calibri" w:hAnsi="Book Antiqua" w:cs="Arial"/>
          <w:sz w:val="24"/>
          <w:szCs w:val="24"/>
          <w:lang w:val="en-US"/>
        </w:rPr>
        <w:t>limited</w:t>
      </w:r>
      <w:r w:rsidR="00ED3576" w:rsidRPr="00A35CEC">
        <w:rPr>
          <w:rFonts w:ascii="Book Antiqua" w:eastAsia="Calibri" w:hAnsi="Book Antiqua" w:cs="Arial"/>
          <w:sz w:val="24"/>
          <w:szCs w:val="24"/>
          <w:lang w:val="en-US"/>
        </w:rPr>
        <w:t xml:space="preserve"> </w:t>
      </w:r>
      <w:r w:rsidR="00A40DA1" w:rsidRPr="00A35CEC">
        <w:rPr>
          <w:rFonts w:ascii="Book Antiqua" w:eastAsia="Calibri" w:hAnsi="Book Antiqua" w:cs="Arial"/>
          <w:sz w:val="24"/>
          <w:szCs w:val="24"/>
          <w:lang w:val="en-US"/>
        </w:rPr>
        <w:t xml:space="preserve">number of </w:t>
      </w:r>
      <w:r w:rsidR="00ED3576" w:rsidRPr="00A35CEC">
        <w:rPr>
          <w:rFonts w:ascii="Book Antiqua" w:eastAsia="Calibri" w:hAnsi="Book Antiqua" w:cs="Arial"/>
          <w:sz w:val="24"/>
          <w:szCs w:val="24"/>
          <w:lang w:val="en-US"/>
        </w:rPr>
        <w:t>treated patients</w:t>
      </w:r>
      <w:r w:rsidR="0082003D" w:rsidRPr="00A35CEC">
        <w:rPr>
          <w:rFonts w:ascii="Book Antiqua" w:eastAsia="Calibri" w:hAnsi="Book Antiqua" w:cs="Arial"/>
          <w:sz w:val="24"/>
          <w:szCs w:val="24"/>
          <w:lang w:val="en-US"/>
        </w:rPr>
        <w:t xml:space="preserve"> (</w:t>
      </w:r>
      <w:r w:rsidR="006303C7" w:rsidRPr="00A35CEC">
        <w:rPr>
          <w:rFonts w:ascii="Book Antiqua" w:eastAsia="Calibri" w:hAnsi="Book Antiqua" w:cs="Arial"/>
          <w:sz w:val="24"/>
          <w:szCs w:val="24"/>
          <w:lang w:val="en-US"/>
        </w:rPr>
        <w:t>Table</w:t>
      </w:r>
      <w:r w:rsidR="003D2070" w:rsidRPr="00A35CEC">
        <w:rPr>
          <w:rFonts w:ascii="Book Antiqua" w:eastAsia="Calibri" w:hAnsi="Book Antiqua" w:cs="Arial"/>
          <w:sz w:val="24"/>
          <w:szCs w:val="24"/>
          <w:lang w:val="en-US"/>
        </w:rPr>
        <w:t xml:space="preserve"> </w:t>
      </w:r>
      <w:r w:rsidR="0082003D" w:rsidRPr="00A35CEC">
        <w:rPr>
          <w:rFonts w:ascii="Book Antiqua" w:eastAsia="Calibri" w:hAnsi="Book Antiqua" w:cs="Arial"/>
          <w:sz w:val="24"/>
          <w:szCs w:val="24"/>
          <w:lang w:val="en-US"/>
        </w:rPr>
        <w:t>2).</w:t>
      </w:r>
    </w:p>
    <w:p w14:paraId="20B2486B" w14:textId="0FA6C8E5" w:rsidR="007579BB" w:rsidRPr="00A35CEC" w:rsidRDefault="00D57808">
      <w:pPr>
        <w:pStyle w:val="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
      </w:pPr>
      <w:r w:rsidRPr="00A35CEC">
        <w:rPr>
          <w:rFonts w:ascii="Book Antiqua" w:eastAsia="Calibri" w:hAnsi="Book Antiqua" w:cs="Arial"/>
          <w:b w:val="0"/>
          <w:bCs w:val="0"/>
          <w:kern w:val="0"/>
          <w:sz w:val="24"/>
          <w:szCs w:val="24"/>
          <w:lang w:val="en-US"/>
        </w:rPr>
        <w:t xml:space="preserve">  </w:t>
      </w:r>
      <w:r w:rsidR="00806A88" w:rsidRPr="00A35CEC">
        <w:rPr>
          <w:rFonts w:ascii="Book Antiqua" w:eastAsia="Calibri" w:hAnsi="Book Antiqua" w:cs="Arial"/>
          <w:b w:val="0"/>
          <w:bCs w:val="0"/>
          <w:kern w:val="0"/>
          <w:sz w:val="24"/>
          <w:szCs w:val="24"/>
          <w:lang w:val="en-US"/>
        </w:rPr>
        <w:t xml:space="preserve">The indirect or societal cost was used to approximate loss of productivity due to </w:t>
      </w:r>
      <w:proofErr w:type="spellStart"/>
      <w:r w:rsidR="00806A88" w:rsidRPr="00A35CEC">
        <w:rPr>
          <w:rFonts w:ascii="Book Antiqua" w:eastAsia="Calibri" w:hAnsi="Book Antiqua" w:cs="Arial"/>
          <w:b w:val="0"/>
          <w:bCs w:val="0"/>
          <w:kern w:val="0"/>
          <w:sz w:val="24"/>
          <w:szCs w:val="24"/>
          <w:lang w:val="en-US"/>
        </w:rPr>
        <w:t>HCV</w:t>
      </w:r>
      <w:proofErr w:type="spellEnd"/>
      <w:r w:rsidR="00806A88" w:rsidRPr="00A35CEC">
        <w:rPr>
          <w:rFonts w:ascii="Book Antiqua" w:eastAsia="Calibri" w:hAnsi="Book Antiqua" w:cs="Arial"/>
          <w:b w:val="0"/>
          <w:bCs w:val="0"/>
          <w:kern w:val="0"/>
          <w:sz w:val="24"/>
          <w:szCs w:val="24"/>
          <w:lang w:val="en-US"/>
        </w:rPr>
        <w:t xml:space="preserve"> related disabilities and </w:t>
      </w:r>
      <w:r w:rsidR="003C730F" w:rsidRPr="00A35CEC">
        <w:rPr>
          <w:rFonts w:ascii="Book Antiqua" w:eastAsia="Calibri" w:hAnsi="Book Antiqua" w:cs="Arial"/>
          <w:b w:val="0"/>
          <w:bCs w:val="0"/>
          <w:kern w:val="0"/>
          <w:sz w:val="24"/>
          <w:szCs w:val="24"/>
          <w:lang w:val="en-US"/>
        </w:rPr>
        <w:t>loss</w:t>
      </w:r>
      <w:r w:rsidR="00806A88" w:rsidRPr="00A35CEC">
        <w:rPr>
          <w:rFonts w:ascii="Book Antiqua" w:eastAsia="Calibri" w:hAnsi="Book Antiqua" w:cs="Arial"/>
          <w:b w:val="0"/>
          <w:bCs w:val="0"/>
          <w:kern w:val="0"/>
          <w:sz w:val="24"/>
          <w:szCs w:val="24"/>
          <w:lang w:val="en-US"/>
        </w:rPr>
        <w:t xml:space="preserve"> of life. </w:t>
      </w:r>
      <w:r w:rsidR="00CB51F4" w:rsidRPr="00A35CEC">
        <w:rPr>
          <w:rFonts w:ascii="Book Antiqua" w:eastAsia="Calibri" w:hAnsi="Book Antiqua" w:cs="Arial"/>
          <w:b w:val="0"/>
          <w:bCs w:val="0"/>
          <w:kern w:val="0"/>
          <w:sz w:val="24"/>
          <w:szCs w:val="24"/>
          <w:lang w:val="en-US"/>
        </w:rPr>
        <w:t xml:space="preserve">The </w:t>
      </w:r>
      <w:r w:rsidRPr="00A35CEC">
        <w:rPr>
          <w:rFonts w:ascii="Book Antiqua" w:eastAsia="Calibri" w:hAnsi="Book Antiqua" w:cs="Arial"/>
          <w:b w:val="0"/>
          <w:bCs w:val="0"/>
          <w:kern w:val="0"/>
          <w:sz w:val="24"/>
          <w:szCs w:val="24"/>
          <w:lang w:val="en-US"/>
        </w:rPr>
        <w:t xml:space="preserve">disability-adjusted life year </w:t>
      </w:r>
      <w:r w:rsidR="00CB51F4" w:rsidRPr="00A35CEC">
        <w:rPr>
          <w:rFonts w:ascii="Book Antiqua" w:eastAsia="Calibri" w:hAnsi="Book Antiqua" w:cs="Arial"/>
          <w:b w:val="0"/>
          <w:bCs w:val="0"/>
          <w:kern w:val="0"/>
          <w:sz w:val="24"/>
          <w:szCs w:val="24"/>
          <w:lang w:val="en-US"/>
        </w:rPr>
        <w:t>(</w:t>
      </w:r>
      <w:r w:rsidRPr="00A35CEC">
        <w:rPr>
          <w:rFonts w:ascii="Book Antiqua" w:eastAsia="Calibri" w:hAnsi="Book Antiqua" w:cs="Arial"/>
          <w:b w:val="0"/>
          <w:bCs w:val="0"/>
          <w:kern w:val="0"/>
          <w:sz w:val="24"/>
          <w:szCs w:val="24"/>
          <w:lang w:val="en-US"/>
        </w:rPr>
        <w:t>DALY</w:t>
      </w:r>
      <w:r w:rsidR="00375D41" w:rsidRPr="00A35CEC">
        <w:rPr>
          <w:rFonts w:ascii="Book Antiqua" w:eastAsia="Calibri" w:hAnsi="Book Antiqua" w:cs="Arial"/>
          <w:b w:val="0"/>
          <w:bCs w:val="0"/>
          <w:kern w:val="0"/>
          <w:sz w:val="24"/>
          <w:szCs w:val="24"/>
          <w:lang w:val="en-US"/>
        </w:rPr>
        <w:t xml:space="preserve">) </w:t>
      </w:r>
      <w:proofErr w:type="gramStart"/>
      <w:r w:rsidR="00375D41" w:rsidRPr="00A35CEC">
        <w:rPr>
          <w:rFonts w:ascii="Book Antiqua" w:eastAsia="Calibri" w:hAnsi="Book Antiqua" w:cs="Arial"/>
          <w:b w:val="0"/>
          <w:bCs w:val="0"/>
          <w:kern w:val="0"/>
          <w:sz w:val="24"/>
          <w:szCs w:val="24"/>
          <w:lang w:val="en-US"/>
        </w:rPr>
        <w:t>m</w:t>
      </w:r>
      <w:r w:rsidR="00CB51F4" w:rsidRPr="00A35CEC">
        <w:rPr>
          <w:rFonts w:ascii="Book Antiqua" w:eastAsia="Calibri" w:hAnsi="Book Antiqua" w:cs="Arial"/>
          <w:b w:val="0"/>
          <w:bCs w:val="0"/>
          <w:kern w:val="0"/>
          <w:sz w:val="24"/>
          <w:szCs w:val="24"/>
          <w:lang w:val="en-US"/>
        </w:rPr>
        <w:t>etric</w:t>
      </w:r>
      <w:bookmarkStart w:id="80" w:name="_Hlk486862915"/>
      <w:r w:rsidR="00BC0DA7" w:rsidRPr="00A35CEC">
        <w:rPr>
          <w:rFonts w:ascii="Book Antiqua" w:eastAsia="Calibri" w:hAnsi="Book Antiqua" w:cs="Arial"/>
          <w:b w:val="0"/>
          <w:bCs w:val="0"/>
          <w:kern w:val="0"/>
          <w:sz w:val="24"/>
          <w:szCs w:val="24"/>
          <w:vertAlign w:val="superscript"/>
          <w:lang w:val="en-US"/>
        </w:rPr>
        <w:t>[</w:t>
      </w:r>
      <w:proofErr w:type="gramEnd"/>
      <w:r w:rsidR="00BC0DA7" w:rsidRPr="00A35CEC">
        <w:rPr>
          <w:rFonts w:ascii="Book Antiqua" w:eastAsia="Calibri" w:hAnsi="Book Antiqua" w:cs="Arial"/>
          <w:b w:val="0"/>
          <w:bCs w:val="0"/>
          <w:kern w:val="0"/>
          <w:sz w:val="24"/>
          <w:szCs w:val="24"/>
          <w:vertAlign w:val="superscript"/>
          <w:lang w:val="en-US"/>
        </w:rPr>
        <w:t>28]</w:t>
      </w:r>
      <w:r w:rsidR="00CB51F4" w:rsidRPr="00A35CEC">
        <w:rPr>
          <w:rFonts w:ascii="Book Antiqua" w:eastAsia="Calibri" w:hAnsi="Book Antiqua" w:cs="Arial"/>
          <w:b w:val="0"/>
          <w:bCs w:val="0"/>
          <w:kern w:val="0"/>
          <w:sz w:val="24"/>
          <w:szCs w:val="24"/>
          <w:lang w:val="en-US"/>
        </w:rPr>
        <w:t xml:space="preserve"> </w:t>
      </w:r>
      <w:bookmarkEnd w:id="80"/>
      <w:r w:rsidR="00CB51F4" w:rsidRPr="00A35CEC">
        <w:rPr>
          <w:rFonts w:ascii="Book Antiqua" w:eastAsia="Calibri" w:hAnsi="Book Antiqua" w:cs="Arial"/>
          <w:b w:val="0"/>
          <w:bCs w:val="0"/>
          <w:kern w:val="0"/>
          <w:sz w:val="24"/>
          <w:szCs w:val="24"/>
          <w:lang w:val="en-US"/>
        </w:rPr>
        <w:t xml:space="preserve">was used to </w:t>
      </w:r>
      <w:r w:rsidR="00AB2190" w:rsidRPr="00A35CEC">
        <w:rPr>
          <w:rFonts w:ascii="Book Antiqua" w:eastAsia="Calibri" w:hAnsi="Book Antiqua" w:cs="Arial"/>
          <w:b w:val="0"/>
          <w:bCs w:val="0"/>
          <w:kern w:val="0"/>
          <w:sz w:val="24"/>
          <w:szCs w:val="24"/>
          <w:lang w:val="en-US"/>
        </w:rPr>
        <w:t>estimate</w:t>
      </w:r>
      <w:r w:rsidR="00CB51F4" w:rsidRPr="00A35CEC">
        <w:rPr>
          <w:rFonts w:ascii="Book Antiqua" w:eastAsia="Calibri" w:hAnsi="Book Antiqua" w:cs="Arial"/>
          <w:b w:val="0"/>
          <w:bCs w:val="0"/>
          <w:kern w:val="0"/>
          <w:sz w:val="24"/>
          <w:szCs w:val="24"/>
          <w:lang w:val="en-US"/>
        </w:rPr>
        <w:t xml:space="preserve"> the indirect costs</w:t>
      </w:r>
      <w:r w:rsidR="00AB2190" w:rsidRPr="00A35CEC">
        <w:rPr>
          <w:rFonts w:ascii="Book Antiqua" w:eastAsia="Calibri" w:hAnsi="Book Antiqua" w:cs="Arial"/>
          <w:b w:val="0"/>
          <w:bCs w:val="0"/>
          <w:kern w:val="0"/>
          <w:sz w:val="24"/>
          <w:szCs w:val="24"/>
          <w:lang w:val="en-US"/>
        </w:rPr>
        <w:t xml:space="preserve"> of the disease</w:t>
      </w:r>
      <w:r w:rsidR="00CB51F4" w:rsidRPr="00A35CEC">
        <w:rPr>
          <w:rFonts w:ascii="Book Antiqua" w:eastAsia="Calibri" w:hAnsi="Book Antiqua" w:cs="Arial"/>
          <w:b w:val="0"/>
          <w:bCs w:val="0"/>
          <w:kern w:val="0"/>
          <w:sz w:val="24"/>
          <w:szCs w:val="24"/>
          <w:lang w:val="en-US"/>
        </w:rPr>
        <w:t>. One DALY can be thought of as o</w:t>
      </w:r>
      <w:r w:rsidR="00375D41" w:rsidRPr="00A35CEC">
        <w:rPr>
          <w:rFonts w:ascii="Book Antiqua" w:eastAsia="Calibri" w:hAnsi="Book Antiqua" w:cs="Arial"/>
          <w:b w:val="0"/>
          <w:bCs w:val="0"/>
          <w:kern w:val="0"/>
          <w:sz w:val="24"/>
          <w:szCs w:val="24"/>
          <w:lang w:val="en-US"/>
        </w:rPr>
        <w:t xml:space="preserve">ne lost year of "healthy" life. </w:t>
      </w:r>
      <w:proofErr w:type="spellStart"/>
      <w:r w:rsidR="008C52B1" w:rsidRPr="00A35CEC">
        <w:rPr>
          <w:rFonts w:ascii="Book Antiqua" w:eastAsia="Calibri" w:hAnsi="Book Antiqua" w:cs="Arial"/>
          <w:b w:val="0"/>
          <w:bCs w:val="0"/>
          <w:kern w:val="0"/>
          <w:sz w:val="24"/>
          <w:szCs w:val="24"/>
          <w:lang w:val="en-US"/>
        </w:rPr>
        <w:t>DALYs</w:t>
      </w:r>
      <w:proofErr w:type="spellEnd"/>
      <w:r w:rsidR="008C52B1" w:rsidRPr="00A35CEC">
        <w:rPr>
          <w:rFonts w:ascii="Book Antiqua" w:eastAsia="Calibri" w:hAnsi="Book Antiqua" w:cs="Arial"/>
          <w:b w:val="0"/>
          <w:bCs w:val="0"/>
          <w:kern w:val="0"/>
          <w:sz w:val="24"/>
          <w:szCs w:val="24"/>
          <w:lang w:val="en-US"/>
        </w:rPr>
        <w:t xml:space="preserve"> are computed by combining </w:t>
      </w:r>
      <w:r w:rsidRPr="00A35CEC">
        <w:rPr>
          <w:rFonts w:ascii="Book Antiqua" w:eastAsia="Calibri" w:hAnsi="Book Antiqua" w:cs="Arial"/>
          <w:b w:val="0"/>
          <w:bCs w:val="0"/>
          <w:kern w:val="0"/>
          <w:sz w:val="24"/>
          <w:szCs w:val="24"/>
          <w:lang w:val="en-US"/>
        </w:rPr>
        <w:t xml:space="preserve">years of life lost </w:t>
      </w:r>
      <w:r w:rsidR="008C52B1" w:rsidRPr="00A35CEC">
        <w:rPr>
          <w:rFonts w:ascii="Book Antiqua" w:eastAsia="Calibri" w:hAnsi="Book Antiqua" w:cs="Arial"/>
          <w:b w:val="0"/>
          <w:bCs w:val="0"/>
          <w:kern w:val="0"/>
          <w:sz w:val="24"/>
          <w:szCs w:val="24"/>
          <w:lang w:val="en-US"/>
        </w:rPr>
        <w:t>(</w:t>
      </w:r>
      <w:proofErr w:type="spellStart"/>
      <w:r w:rsidRPr="00A35CEC">
        <w:rPr>
          <w:rFonts w:ascii="Book Antiqua" w:eastAsia="Calibri" w:hAnsi="Book Antiqua" w:cs="Arial"/>
          <w:b w:val="0"/>
          <w:bCs w:val="0"/>
          <w:kern w:val="0"/>
          <w:sz w:val="24"/>
          <w:szCs w:val="24"/>
          <w:lang w:val="en-US"/>
        </w:rPr>
        <w:t>YLLs</w:t>
      </w:r>
      <w:proofErr w:type="spellEnd"/>
      <w:r w:rsidR="008C52B1" w:rsidRPr="00A35CEC">
        <w:rPr>
          <w:rFonts w:ascii="Book Antiqua" w:eastAsia="Calibri" w:hAnsi="Book Antiqua" w:cs="Arial"/>
          <w:b w:val="0"/>
          <w:bCs w:val="0"/>
          <w:kern w:val="0"/>
          <w:sz w:val="24"/>
          <w:szCs w:val="24"/>
          <w:lang w:val="en-US"/>
        </w:rPr>
        <w:t xml:space="preserve">) and </w:t>
      </w:r>
      <w:r w:rsidRPr="00A35CEC">
        <w:rPr>
          <w:rFonts w:ascii="Book Antiqua" w:eastAsia="Calibri" w:hAnsi="Book Antiqua" w:cs="Arial"/>
          <w:b w:val="0"/>
          <w:bCs w:val="0"/>
          <w:kern w:val="0"/>
          <w:sz w:val="24"/>
          <w:szCs w:val="24"/>
          <w:lang w:val="en-US"/>
        </w:rPr>
        <w:t xml:space="preserve">years lost due to disability </w:t>
      </w:r>
      <w:r w:rsidR="008C52B1" w:rsidRPr="00A35CEC">
        <w:rPr>
          <w:rFonts w:ascii="Book Antiqua" w:eastAsia="Calibri" w:hAnsi="Book Antiqua" w:cs="Arial"/>
          <w:b w:val="0"/>
          <w:bCs w:val="0"/>
          <w:kern w:val="0"/>
          <w:sz w:val="24"/>
          <w:szCs w:val="24"/>
          <w:lang w:val="en-US"/>
        </w:rPr>
        <w:t>(</w:t>
      </w:r>
      <w:proofErr w:type="spellStart"/>
      <w:r w:rsidRPr="00A35CEC">
        <w:rPr>
          <w:rFonts w:ascii="Book Antiqua" w:eastAsia="Calibri" w:hAnsi="Book Antiqua" w:cs="Arial"/>
          <w:b w:val="0"/>
          <w:bCs w:val="0"/>
          <w:kern w:val="0"/>
          <w:sz w:val="24"/>
          <w:szCs w:val="24"/>
          <w:lang w:val="en-US"/>
        </w:rPr>
        <w:t>YLDs</w:t>
      </w:r>
      <w:proofErr w:type="spellEnd"/>
      <w:r w:rsidR="008C52B1" w:rsidRPr="00A35CEC">
        <w:rPr>
          <w:rFonts w:ascii="Book Antiqua" w:eastAsia="Calibri" w:hAnsi="Book Antiqua" w:cs="Arial"/>
          <w:b w:val="0"/>
          <w:bCs w:val="0"/>
          <w:kern w:val="0"/>
          <w:sz w:val="24"/>
          <w:szCs w:val="24"/>
          <w:lang w:val="en-US"/>
        </w:rPr>
        <w:t xml:space="preserve">) </w:t>
      </w:r>
      <w:r w:rsidR="00490733" w:rsidRPr="00A35CEC">
        <w:rPr>
          <w:rFonts w:ascii="Book Antiqua" w:eastAsia="Calibri" w:hAnsi="Book Antiqua" w:cs="Arial"/>
          <w:b w:val="0"/>
          <w:bCs w:val="0"/>
          <w:kern w:val="0"/>
          <w:sz w:val="24"/>
          <w:szCs w:val="24"/>
          <w:lang w:val="en-US"/>
        </w:rPr>
        <w:t xml:space="preserve">and </w:t>
      </w:r>
      <w:r w:rsidR="008C52B1" w:rsidRPr="00A35CEC">
        <w:rPr>
          <w:rFonts w:ascii="Book Antiqua" w:eastAsia="Calibri" w:hAnsi="Book Antiqua" w:cs="Arial"/>
          <w:b w:val="0"/>
          <w:bCs w:val="0"/>
          <w:kern w:val="0"/>
          <w:sz w:val="24"/>
          <w:szCs w:val="24"/>
          <w:lang w:val="en-US"/>
        </w:rPr>
        <w:t xml:space="preserve">weighted </w:t>
      </w:r>
      <w:r w:rsidR="005E298A" w:rsidRPr="00A35CEC">
        <w:rPr>
          <w:rFonts w:ascii="Book Antiqua" w:eastAsia="Calibri" w:hAnsi="Book Antiqua" w:cs="Arial"/>
          <w:b w:val="0"/>
          <w:bCs w:val="0"/>
          <w:kern w:val="0"/>
          <w:sz w:val="24"/>
          <w:szCs w:val="24"/>
          <w:lang w:val="en-US"/>
        </w:rPr>
        <w:t xml:space="preserve">by </w:t>
      </w:r>
      <w:r w:rsidR="008C52B1" w:rsidRPr="00A35CEC">
        <w:rPr>
          <w:rFonts w:ascii="Book Antiqua" w:eastAsia="Calibri" w:hAnsi="Book Antiqua" w:cs="Arial"/>
          <w:b w:val="0"/>
          <w:bCs w:val="0"/>
          <w:kern w:val="0"/>
          <w:sz w:val="24"/>
          <w:szCs w:val="24"/>
          <w:lang w:val="en-US"/>
        </w:rPr>
        <w:t xml:space="preserve">the severity of the </w:t>
      </w:r>
      <w:proofErr w:type="gramStart"/>
      <w:r w:rsidR="008C52B1" w:rsidRPr="00A35CEC">
        <w:rPr>
          <w:rFonts w:ascii="Book Antiqua" w:eastAsia="Calibri" w:hAnsi="Book Antiqua" w:cs="Arial"/>
          <w:b w:val="0"/>
          <w:bCs w:val="0"/>
          <w:kern w:val="0"/>
          <w:sz w:val="24"/>
          <w:szCs w:val="24"/>
          <w:lang w:val="en-US"/>
        </w:rPr>
        <w:t>disease</w:t>
      </w:r>
      <w:bookmarkStart w:id="81" w:name="_Hlk486863101"/>
      <w:r w:rsidR="00BC0DA7" w:rsidRPr="00A35CEC">
        <w:rPr>
          <w:rFonts w:ascii="Book Antiqua" w:eastAsia="Calibri" w:hAnsi="Book Antiqua" w:cs="Arial"/>
          <w:b w:val="0"/>
          <w:bCs w:val="0"/>
          <w:kern w:val="0"/>
          <w:sz w:val="24"/>
          <w:szCs w:val="24"/>
          <w:vertAlign w:val="superscript"/>
          <w:lang w:val="en-US"/>
        </w:rPr>
        <w:t>[</w:t>
      </w:r>
      <w:proofErr w:type="gramEnd"/>
      <w:r w:rsidR="00BC0DA7" w:rsidRPr="00A35CEC">
        <w:rPr>
          <w:rFonts w:ascii="Book Antiqua" w:eastAsia="Calibri" w:hAnsi="Book Antiqua" w:cs="Arial"/>
          <w:b w:val="0"/>
          <w:bCs w:val="0"/>
          <w:kern w:val="0"/>
          <w:sz w:val="24"/>
          <w:szCs w:val="24"/>
          <w:vertAlign w:val="superscript"/>
          <w:lang w:val="en-US"/>
        </w:rPr>
        <w:t>29]</w:t>
      </w:r>
      <w:r w:rsidR="008C52B1" w:rsidRPr="00A35CEC">
        <w:rPr>
          <w:rFonts w:ascii="Book Antiqua" w:eastAsia="Calibri" w:hAnsi="Book Antiqua" w:cs="Arial"/>
          <w:b w:val="0"/>
          <w:bCs w:val="0"/>
          <w:kern w:val="0"/>
          <w:sz w:val="24"/>
          <w:szCs w:val="24"/>
          <w:lang w:val="en-US"/>
        </w:rPr>
        <w:t xml:space="preserve">. </w:t>
      </w:r>
      <w:bookmarkEnd w:id="81"/>
      <w:r w:rsidR="00375D41" w:rsidRPr="00A35CEC">
        <w:rPr>
          <w:rFonts w:ascii="Book Antiqua" w:eastAsia="Calibri" w:hAnsi="Book Antiqua" w:cs="Arial"/>
          <w:b w:val="0"/>
          <w:bCs w:val="0"/>
          <w:kern w:val="0"/>
          <w:sz w:val="24"/>
          <w:szCs w:val="24"/>
          <w:lang w:val="en-US"/>
        </w:rPr>
        <w:t>Future direct and indirect costs were discounted at rate of 3%.</w:t>
      </w:r>
      <w:r w:rsidR="00EE1A64" w:rsidRPr="00A35CEC">
        <w:rPr>
          <w:rFonts w:ascii="Book Antiqua" w:eastAsia="Calibri" w:hAnsi="Book Antiqua" w:cs="Arial"/>
          <w:b w:val="0"/>
          <w:bCs w:val="0"/>
          <w:kern w:val="0"/>
          <w:sz w:val="24"/>
          <w:szCs w:val="24"/>
          <w:lang w:val="en-US"/>
        </w:rPr>
        <w:t xml:space="preserve"> The cost per DALY was estimated </w:t>
      </w:r>
      <w:r w:rsidR="005E298A" w:rsidRPr="00A35CEC">
        <w:rPr>
          <w:rFonts w:ascii="Book Antiqua" w:eastAsia="Calibri" w:hAnsi="Book Antiqua" w:cs="Arial"/>
          <w:b w:val="0"/>
          <w:bCs w:val="0"/>
          <w:kern w:val="0"/>
          <w:sz w:val="24"/>
          <w:szCs w:val="24"/>
          <w:lang w:val="en-US"/>
        </w:rPr>
        <w:t xml:space="preserve">to be </w:t>
      </w:r>
      <w:r w:rsidR="00EE1A64" w:rsidRPr="00A35CEC">
        <w:rPr>
          <w:rFonts w:ascii="Book Antiqua" w:eastAsia="Calibri" w:hAnsi="Book Antiqua" w:cs="Arial"/>
          <w:b w:val="0"/>
          <w:bCs w:val="0"/>
          <w:kern w:val="0"/>
          <w:sz w:val="24"/>
          <w:szCs w:val="24"/>
          <w:lang w:val="en-US"/>
        </w:rPr>
        <w:t xml:space="preserve">equal to the </w:t>
      </w:r>
      <w:r w:rsidRPr="00A35CEC">
        <w:rPr>
          <w:rFonts w:ascii="Book Antiqua" w:eastAsia="Calibri" w:hAnsi="Book Antiqua" w:cs="Arial"/>
          <w:b w:val="0"/>
          <w:bCs w:val="0"/>
          <w:kern w:val="0"/>
          <w:sz w:val="24"/>
          <w:szCs w:val="24"/>
          <w:lang w:val="en-US"/>
        </w:rPr>
        <w:t>gross national income (</w:t>
      </w:r>
      <w:proofErr w:type="spellStart"/>
      <w:r w:rsidRPr="00A35CEC">
        <w:rPr>
          <w:rFonts w:ascii="Book Antiqua" w:eastAsia="Calibri" w:hAnsi="Book Antiqua" w:cs="Arial"/>
          <w:b w:val="0"/>
          <w:bCs w:val="0"/>
          <w:kern w:val="0"/>
          <w:sz w:val="24"/>
          <w:szCs w:val="24"/>
          <w:lang w:val="en-US"/>
        </w:rPr>
        <w:t>GNI</w:t>
      </w:r>
      <w:proofErr w:type="spellEnd"/>
      <w:r w:rsidRPr="00A35CEC">
        <w:rPr>
          <w:rFonts w:ascii="Book Antiqua" w:eastAsia="Calibri" w:hAnsi="Book Antiqua" w:cs="Arial"/>
          <w:b w:val="0"/>
          <w:bCs w:val="0"/>
          <w:kern w:val="0"/>
          <w:sz w:val="24"/>
          <w:szCs w:val="24"/>
          <w:lang w:val="en-US"/>
        </w:rPr>
        <w:t>) per capita in 2016 (19</w:t>
      </w:r>
      <w:r w:rsidR="00616C7E" w:rsidRPr="00A35CEC">
        <w:rPr>
          <w:rFonts w:ascii="Book Antiqua" w:eastAsia="Calibri" w:hAnsi="Book Antiqua" w:cs="Arial"/>
          <w:b w:val="0"/>
          <w:bCs w:val="0"/>
          <w:kern w:val="0"/>
          <w:sz w:val="24"/>
          <w:szCs w:val="24"/>
          <w:lang w:val="en-US"/>
        </w:rPr>
        <w:t>,</w:t>
      </w:r>
      <w:r w:rsidR="00EE1A64" w:rsidRPr="00A35CEC">
        <w:rPr>
          <w:rFonts w:ascii="Book Antiqua" w:eastAsia="Calibri" w:hAnsi="Book Antiqua" w:cs="Arial"/>
          <w:b w:val="0"/>
          <w:bCs w:val="0"/>
          <w:kern w:val="0"/>
          <w:sz w:val="24"/>
          <w:szCs w:val="24"/>
          <w:lang w:val="en-US"/>
        </w:rPr>
        <w:t>000</w:t>
      </w:r>
      <w:r w:rsidRPr="00A35CEC">
        <w:rPr>
          <w:rFonts w:ascii="Book Antiqua" w:eastAsia="Calibri" w:hAnsi="Book Antiqua" w:cs="Arial"/>
          <w:b w:val="0"/>
          <w:bCs w:val="0"/>
          <w:kern w:val="0"/>
          <w:sz w:val="24"/>
          <w:szCs w:val="24"/>
          <w:lang w:val="en-US"/>
        </w:rPr>
        <w:t xml:space="preserve"> </w:t>
      </w:r>
      <w:r w:rsidR="00EE1A64" w:rsidRPr="00A35CEC">
        <w:rPr>
          <w:rFonts w:ascii="Book Antiqua" w:eastAsia="Calibri" w:hAnsi="Book Antiqua" w:cs="Arial"/>
          <w:b w:val="0"/>
          <w:bCs w:val="0"/>
          <w:kern w:val="0"/>
          <w:sz w:val="24"/>
          <w:szCs w:val="24"/>
          <w:lang w:val="en-US"/>
        </w:rPr>
        <w:t>€).</w:t>
      </w:r>
    </w:p>
    <w:p w14:paraId="7290FEA5" w14:textId="1F928DD8" w:rsidR="00A336EF" w:rsidRPr="00A35CEC" w:rsidRDefault="00D57808">
      <w:pPr>
        <w:pStyle w:val="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
      </w:pPr>
      <w:r w:rsidRPr="00A35CEC">
        <w:rPr>
          <w:rFonts w:ascii="Book Antiqua" w:eastAsia="Calibri" w:hAnsi="Book Antiqua" w:cs="Arial"/>
          <w:b w:val="0"/>
          <w:bCs w:val="0"/>
          <w:kern w:val="0"/>
          <w:sz w:val="24"/>
          <w:szCs w:val="24"/>
          <w:lang w:val="en-US"/>
        </w:rPr>
        <w:t xml:space="preserve">  </w:t>
      </w:r>
      <w:r w:rsidR="007579BB" w:rsidRPr="00A35CEC">
        <w:rPr>
          <w:rFonts w:ascii="Book Antiqua" w:eastAsia="Calibri" w:hAnsi="Book Antiqua" w:cs="Arial"/>
          <w:b w:val="0"/>
          <w:bCs w:val="0"/>
          <w:kern w:val="0"/>
          <w:sz w:val="24"/>
          <w:szCs w:val="24"/>
          <w:lang w:val="en-US"/>
        </w:rPr>
        <w:t xml:space="preserve">The cost-effectiveness of the elimination strategy was estimated </w:t>
      </w:r>
      <w:r w:rsidR="000F5B31" w:rsidRPr="00A35CEC">
        <w:rPr>
          <w:rFonts w:ascii="Book Antiqua" w:eastAsia="Calibri" w:hAnsi="Book Antiqua" w:cs="Arial"/>
          <w:b w:val="0"/>
          <w:bCs w:val="0"/>
          <w:kern w:val="0"/>
          <w:sz w:val="24"/>
          <w:szCs w:val="24"/>
          <w:lang w:val="en-US"/>
        </w:rPr>
        <w:t xml:space="preserve">using the </w:t>
      </w:r>
      <w:r w:rsidR="007579BB" w:rsidRPr="00A35CEC">
        <w:rPr>
          <w:rFonts w:ascii="Book Antiqua" w:eastAsia="Calibri" w:hAnsi="Book Antiqua" w:cs="Arial"/>
          <w:b w:val="0"/>
          <w:bCs w:val="0"/>
          <w:kern w:val="0"/>
          <w:sz w:val="24"/>
          <w:szCs w:val="24"/>
          <w:lang w:val="en-US"/>
        </w:rPr>
        <w:t>incremental cost-effectiveness ratio (</w:t>
      </w:r>
      <w:proofErr w:type="spellStart"/>
      <w:r w:rsidR="007579BB" w:rsidRPr="00A35CEC">
        <w:rPr>
          <w:rFonts w:ascii="Book Antiqua" w:eastAsia="Calibri" w:hAnsi="Book Antiqua" w:cs="Arial"/>
          <w:b w:val="0"/>
          <w:bCs w:val="0"/>
          <w:kern w:val="0"/>
          <w:sz w:val="24"/>
          <w:szCs w:val="24"/>
          <w:lang w:val="en-US"/>
        </w:rPr>
        <w:t>ICER</w:t>
      </w:r>
      <w:proofErr w:type="spellEnd"/>
      <w:r w:rsidR="007579BB" w:rsidRPr="00A35CEC">
        <w:rPr>
          <w:rFonts w:ascii="Book Antiqua" w:eastAsia="Calibri" w:hAnsi="Book Antiqua" w:cs="Arial"/>
          <w:b w:val="0"/>
          <w:bCs w:val="0"/>
          <w:kern w:val="0"/>
          <w:sz w:val="24"/>
          <w:szCs w:val="24"/>
          <w:lang w:val="en-US"/>
        </w:rPr>
        <w:t>)</w:t>
      </w:r>
      <w:r w:rsidR="00375D41" w:rsidRPr="00A35CEC">
        <w:rPr>
          <w:rFonts w:ascii="Book Antiqua" w:eastAsia="Calibri" w:hAnsi="Book Antiqua" w:cs="Arial"/>
          <w:b w:val="0"/>
          <w:bCs w:val="0"/>
          <w:kern w:val="0"/>
          <w:sz w:val="24"/>
          <w:szCs w:val="24"/>
          <w:lang w:val="en-US"/>
        </w:rPr>
        <w:t xml:space="preserve">, </w:t>
      </w:r>
      <w:r w:rsidR="007579BB" w:rsidRPr="00A35CEC">
        <w:rPr>
          <w:rFonts w:ascii="Book Antiqua" w:eastAsia="Calibri" w:hAnsi="Book Antiqua" w:cs="Arial"/>
          <w:b w:val="0"/>
          <w:bCs w:val="0"/>
          <w:kern w:val="0"/>
          <w:sz w:val="24"/>
          <w:szCs w:val="24"/>
          <w:lang w:val="en-US"/>
        </w:rPr>
        <w:t>which have been compared to the</w:t>
      </w:r>
      <w:r w:rsidRPr="00A35CEC">
        <w:rPr>
          <w:rFonts w:ascii="Book Antiqua" w:eastAsia="Calibri" w:hAnsi="Book Antiqua" w:cs="Arial"/>
          <w:b w:val="0"/>
          <w:bCs w:val="0"/>
          <w:kern w:val="0"/>
          <w:sz w:val="24"/>
          <w:szCs w:val="24"/>
          <w:lang w:val="en-US"/>
        </w:rPr>
        <w:t xml:space="preserve"> </w:t>
      </w:r>
      <w:proofErr w:type="spellStart"/>
      <w:r w:rsidRPr="00A35CEC">
        <w:rPr>
          <w:rFonts w:ascii="Book Antiqua" w:eastAsia="Calibri" w:hAnsi="Book Antiqua" w:cs="Arial"/>
          <w:b w:val="0"/>
          <w:bCs w:val="0"/>
          <w:kern w:val="0"/>
          <w:sz w:val="24"/>
          <w:szCs w:val="24"/>
          <w:lang w:val="en-US"/>
        </w:rPr>
        <w:t>GNI</w:t>
      </w:r>
      <w:proofErr w:type="spellEnd"/>
      <w:r w:rsidR="007579BB" w:rsidRPr="00A35CEC">
        <w:rPr>
          <w:rFonts w:ascii="Book Antiqua" w:eastAsia="Calibri" w:hAnsi="Book Antiqua" w:cs="Arial"/>
          <w:b w:val="0"/>
          <w:bCs w:val="0"/>
          <w:kern w:val="0"/>
          <w:sz w:val="24"/>
          <w:szCs w:val="24"/>
          <w:lang w:val="en-US"/>
        </w:rPr>
        <w:t xml:space="preserve"> per capita of Greece in 2016</w:t>
      </w:r>
      <w:r w:rsidR="00EE1A64" w:rsidRPr="00A35CEC">
        <w:rPr>
          <w:rFonts w:ascii="Book Antiqua" w:eastAsia="Calibri" w:hAnsi="Book Antiqua" w:cs="Arial"/>
          <w:b w:val="0"/>
          <w:bCs w:val="0"/>
          <w:kern w:val="0"/>
          <w:sz w:val="24"/>
          <w:szCs w:val="24"/>
          <w:lang w:val="en-US"/>
        </w:rPr>
        <w:t>.</w:t>
      </w:r>
      <w:r w:rsidR="0033010E" w:rsidRPr="00A35CEC">
        <w:rPr>
          <w:rFonts w:ascii="Book Antiqua" w:eastAsia="Calibri" w:hAnsi="Book Antiqua" w:cs="Arial"/>
          <w:b w:val="0"/>
          <w:bCs w:val="0"/>
          <w:kern w:val="0"/>
          <w:sz w:val="24"/>
          <w:szCs w:val="24"/>
          <w:lang w:val="en-US"/>
        </w:rPr>
        <w:t xml:space="preserve"> </w:t>
      </w:r>
      <w:r w:rsidR="007579BB" w:rsidRPr="00A35CEC">
        <w:rPr>
          <w:rFonts w:ascii="Book Antiqua" w:eastAsia="Calibri" w:hAnsi="Book Antiqua" w:cs="Arial"/>
          <w:b w:val="0"/>
          <w:bCs w:val="0"/>
          <w:kern w:val="0"/>
          <w:sz w:val="24"/>
          <w:szCs w:val="24"/>
          <w:lang w:val="en-US"/>
        </w:rPr>
        <w:t xml:space="preserve">If </w:t>
      </w:r>
      <w:proofErr w:type="spellStart"/>
      <w:r w:rsidR="007579BB" w:rsidRPr="00A35CEC">
        <w:rPr>
          <w:rFonts w:ascii="Book Antiqua" w:eastAsia="Calibri" w:hAnsi="Book Antiqua" w:cs="Arial"/>
          <w:b w:val="0"/>
          <w:bCs w:val="0"/>
          <w:kern w:val="0"/>
          <w:sz w:val="24"/>
          <w:szCs w:val="24"/>
          <w:lang w:val="en-US"/>
        </w:rPr>
        <w:t>ICER</w:t>
      </w:r>
      <w:proofErr w:type="spellEnd"/>
      <w:r w:rsidR="007579BB" w:rsidRPr="00A35CEC">
        <w:rPr>
          <w:rFonts w:ascii="Book Antiqua" w:eastAsia="Calibri" w:hAnsi="Book Antiqua" w:cs="Arial"/>
          <w:b w:val="0"/>
          <w:bCs w:val="0"/>
          <w:kern w:val="0"/>
          <w:sz w:val="24"/>
          <w:szCs w:val="24"/>
          <w:lang w:val="en-US"/>
        </w:rPr>
        <w:t xml:space="preserve"> is lower than</w:t>
      </w:r>
      <w:r w:rsidR="003F0C27" w:rsidRPr="00A35CEC">
        <w:rPr>
          <w:rFonts w:ascii="Book Antiqua" w:eastAsia="Calibri" w:hAnsi="Book Antiqua" w:cs="Arial"/>
          <w:b w:val="0"/>
          <w:bCs w:val="0"/>
          <w:kern w:val="0"/>
          <w:sz w:val="24"/>
          <w:szCs w:val="24"/>
          <w:lang w:val="en-US"/>
        </w:rPr>
        <w:t xml:space="preserve"> 1 </w:t>
      </w:r>
      <w:proofErr w:type="spellStart"/>
      <w:r w:rsidR="003F0C27" w:rsidRPr="00A35CEC">
        <w:rPr>
          <w:rFonts w:ascii="Book Antiqua" w:eastAsia="Calibri" w:hAnsi="Book Antiqua" w:cs="Arial"/>
          <w:b w:val="0"/>
          <w:bCs w:val="0"/>
          <w:kern w:val="0"/>
          <w:sz w:val="24"/>
          <w:szCs w:val="24"/>
          <w:lang w:val="en-US"/>
        </w:rPr>
        <w:t>GNI</w:t>
      </w:r>
      <w:proofErr w:type="spellEnd"/>
      <w:r w:rsidR="003F0C27" w:rsidRPr="00A35CEC">
        <w:rPr>
          <w:rFonts w:ascii="Book Antiqua" w:eastAsia="Calibri" w:hAnsi="Book Antiqua" w:cs="Arial"/>
          <w:b w:val="0"/>
          <w:bCs w:val="0"/>
          <w:kern w:val="0"/>
          <w:sz w:val="24"/>
          <w:szCs w:val="24"/>
          <w:lang w:val="en-US"/>
        </w:rPr>
        <w:t xml:space="preserve"> per capita, then the intervention </w:t>
      </w:r>
      <w:r w:rsidR="00616C7E" w:rsidRPr="00A35CEC">
        <w:rPr>
          <w:rFonts w:ascii="Book Antiqua" w:eastAsia="Calibri" w:hAnsi="Book Antiqua" w:cs="Arial"/>
          <w:b w:val="0"/>
          <w:bCs w:val="0"/>
          <w:kern w:val="0"/>
          <w:sz w:val="24"/>
          <w:szCs w:val="24"/>
          <w:lang w:val="en-US"/>
        </w:rPr>
        <w:t xml:space="preserve">is </w:t>
      </w:r>
      <w:r w:rsidR="003F0C27" w:rsidRPr="00A35CEC">
        <w:rPr>
          <w:rFonts w:ascii="Book Antiqua" w:eastAsia="Calibri" w:hAnsi="Book Antiqua" w:cs="Arial"/>
          <w:b w:val="0"/>
          <w:bCs w:val="0"/>
          <w:kern w:val="0"/>
          <w:sz w:val="24"/>
          <w:szCs w:val="24"/>
          <w:lang w:val="en-US"/>
        </w:rPr>
        <w:t>consider</w:t>
      </w:r>
      <w:r w:rsidR="00616C7E" w:rsidRPr="00A35CEC">
        <w:rPr>
          <w:rFonts w:ascii="Book Antiqua" w:eastAsia="Calibri" w:hAnsi="Book Antiqua" w:cs="Arial"/>
          <w:b w:val="0"/>
          <w:bCs w:val="0"/>
          <w:kern w:val="0"/>
          <w:sz w:val="24"/>
          <w:szCs w:val="24"/>
          <w:lang w:val="en-US"/>
        </w:rPr>
        <w:t>ed</w:t>
      </w:r>
      <w:r w:rsidR="003F0C27" w:rsidRPr="00A35CEC">
        <w:rPr>
          <w:rFonts w:ascii="Book Antiqua" w:eastAsia="Calibri" w:hAnsi="Book Antiqua" w:cs="Arial"/>
          <w:b w:val="0"/>
          <w:bCs w:val="0"/>
          <w:kern w:val="0"/>
          <w:sz w:val="24"/>
          <w:szCs w:val="24"/>
          <w:lang w:val="en-US"/>
        </w:rPr>
        <w:t xml:space="preserve"> “highly cost effective</w:t>
      </w:r>
      <w:proofErr w:type="gramStart"/>
      <w:r w:rsidR="003F0C27" w:rsidRPr="00A35CEC">
        <w:rPr>
          <w:rFonts w:ascii="Book Antiqua" w:eastAsia="Calibri" w:hAnsi="Book Antiqua" w:cs="Arial"/>
          <w:b w:val="0"/>
          <w:bCs w:val="0"/>
          <w:kern w:val="0"/>
          <w:sz w:val="24"/>
          <w:szCs w:val="24"/>
          <w:lang w:val="en-US"/>
        </w:rPr>
        <w:t>”</w:t>
      </w:r>
      <w:r w:rsidR="00BC0DA7" w:rsidRPr="00A35CEC">
        <w:rPr>
          <w:rFonts w:ascii="Book Antiqua" w:eastAsia="Calibri" w:hAnsi="Book Antiqua" w:cs="Arial"/>
          <w:b w:val="0"/>
          <w:bCs w:val="0"/>
          <w:kern w:val="0"/>
          <w:sz w:val="24"/>
          <w:szCs w:val="24"/>
          <w:vertAlign w:val="superscript"/>
          <w:lang w:val="en-US"/>
        </w:rPr>
        <w:t>[</w:t>
      </w:r>
      <w:proofErr w:type="gramEnd"/>
      <w:r w:rsidR="00BC0DA7" w:rsidRPr="00A35CEC">
        <w:rPr>
          <w:rFonts w:ascii="Book Antiqua" w:eastAsia="Calibri" w:hAnsi="Book Antiqua" w:cs="Arial"/>
          <w:b w:val="0"/>
          <w:bCs w:val="0"/>
          <w:kern w:val="0"/>
          <w:sz w:val="24"/>
          <w:szCs w:val="24"/>
          <w:vertAlign w:val="superscript"/>
          <w:lang w:val="en-US"/>
        </w:rPr>
        <w:t>30]</w:t>
      </w:r>
      <w:r w:rsidR="003F0C27" w:rsidRPr="00A35CEC">
        <w:rPr>
          <w:rFonts w:ascii="Book Antiqua" w:eastAsia="Calibri" w:hAnsi="Book Antiqua" w:cs="Arial"/>
          <w:b w:val="0"/>
          <w:bCs w:val="0"/>
          <w:kern w:val="0"/>
          <w:sz w:val="24"/>
          <w:szCs w:val="24"/>
          <w:lang w:val="en-US"/>
        </w:rPr>
        <w:t xml:space="preserve">. </w:t>
      </w:r>
    </w:p>
    <w:p w14:paraId="3F85EE9C" w14:textId="3A10F789" w:rsidR="00A336EF" w:rsidRPr="00A35CEC" w:rsidRDefault="00D57808">
      <w:pPr>
        <w:pStyle w:val="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
      </w:pPr>
      <w:r w:rsidRPr="00A35CEC">
        <w:rPr>
          <w:rFonts w:ascii="Book Antiqua" w:eastAsia="Calibri" w:hAnsi="Book Antiqua" w:cs="Arial"/>
          <w:b w:val="0"/>
          <w:bCs w:val="0"/>
          <w:kern w:val="0"/>
          <w:sz w:val="24"/>
          <w:szCs w:val="24"/>
          <w:lang w:val="en-US"/>
        </w:rPr>
        <w:t xml:space="preserve">  </w:t>
      </w:r>
      <w:proofErr w:type="spellStart"/>
      <w:r w:rsidRPr="00A35CEC">
        <w:rPr>
          <w:rFonts w:ascii="Book Antiqua" w:eastAsia="Calibri" w:hAnsi="Book Antiqua" w:cs="Arial"/>
          <w:b w:val="0"/>
          <w:bCs w:val="0"/>
          <w:kern w:val="0"/>
          <w:sz w:val="24"/>
          <w:szCs w:val="24"/>
          <w:lang w:val="en-US"/>
        </w:rPr>
        <w:t>ICER</w:t>
      </w:r>
      <w:proofErr w:type="spellEnd"/>
      <w:r w:rsidRPr="00A35CEC">
        <w:rPr>
          <w:rFonts w:ascii="Book Antiqua" w:eastAsia="Calibri" w:hAnsi="Book Antiqua" w:cs="Arial"/>
          <w:b w:val="0"/>
          <w:bCs w:val="0"/>
          <w:kern w:val="0"/>
          <w:sz w:val="24"/>
          <w:szCs w:val="24"/>
          <w:lang w:val="en-US"/>
        </w:rPr>
        <w:t xml:space="preserve"> = (Cost of examine strategy </w:t>
      </w:r>
      <w:r w:rsidR="009C1436" w:rsidRPr="00A35CEC">
        <w:rPr>
          <w:rFonts w:ascii="Book Antiqua" w:eastAsia="Calibri" w:hAnsi="Book Antiqua" w:cs="Arial"/>
          <w:b w:val="0"/>
          <w:bCs w:val="0"/>
          <w:kern w:val="0"/>
          <w:sz w:val="24"/>
          <w:szCs w:val="24"/>
          <w:lang w:val="en-US"/>
        </w:rPr>
        <w:t>-</w:t>
      </w:r>
      <w:r w:rsidRPr="00A35CEC">
        <w:rPr>
          <w:rFonts w:ascii="Book Antiqua" w:eastAsia="Calibri" w:hAnsi="Book Antiqua" w:cs="Arial"/>
          <w:b w:val="0"/>
          <w:bCs w:val="0"/>
          <w:kern w:val="0"/>
          <w:sz w:val="24"/>
          <w:szCs w:val="24"/>
          <w:lang w:val="en-US"/>
        </w:rPr>
        <w:t xml:space="preserve"> cost of the base strategy) / |</w:t>
      </w:r>
      <w:proofErr w:type="spellStart"/>
      <w:r w:rsidRPr="00A35CEC">
        <w:rPr>
          <w:rFonts w:ascii="Book Antiqua" w:eastAsia="Calibri" w:hAnsi="Book Antiqua" w:cs="Arial"/>
          <w:b w:val="0"/>
          <w:bCs w:val="0"/>
          <w:kern w:val="0"/>
          <w:sz w:val="24"/>
          <w:szCs w:val="24"/>
          <w:lang w:val="en-US"/>
        </w:rPr>
        <w:t>DALYs</w:t>
      </w:r>
      <w:proofErr w:type="spellEnd"/>
      <w:r w:rsidRPr="00A35CEC">
        <w:rPr>
          <w:rFonts w:ascii="Book Antiqua" w:eastAsia="Calibri" w:hAnsi="Book Antiqua" w:cs="Arial"/>
          <w:b w:val="0"/>
          <w:bCs w:val="0"/>
          <w:kern w:val="0"/>
          <w:sz w:val="24"/>
          <w:szCs w:val="24"/>
          <w:lang w:val="en-US"/>
        </w:rPr>
        <w:t xml:space="preserve"> of examine strategy </w:t>
      </w:r>
      <w:r w:rsidR="009C1436" w:rsidRPr="00A35CEC">
        <w:rPr>
          <w:rFonts w:ascii="Book Antiqua" w:eastAsia="Calibri" w:hAnsi="Book Antiqua" w:cs="Arial"/>
          <w:b w:val="0"/>
          <w:bCs w:val="0"/>
          <w:kern w:val="0"/>
          <w:sz w:val="24"/>
          <w:szCs w:val="24"/>
          <w:lang w:val="en-US"/>
        </w:rPr>
        <w:t>-</w:t>
      </w:r>
      <w:r w:rsidRPr="00A35CEC">
        <w:rPr>
          <w:rFonts w:ascii="Book Antiqua" w:eastAsia="Calibri" w:hAnsi="Book Antiqua" w:cs="Arial"/>
          <w:b w:val="0"/>
          <w:bCs w:val="0"/>
          <w:kern w:val="0"/>
          <w:sz w:val="24"/>
          <w:szCs w:val="24"/>
          <w:lang w:val="en-US"/>
        </w:rPr>
        <w:t xml:space="preserve"> </w:t>
      </w:r>
      <w:proofErr w:type="spellStart"/>
      <w:r w:rsidRPr="00A35CEC">
        <w:rPr>
          <w:rFonts w:ascii="Book Antiqua" w:eastAsia="Calibri" w:hAnsi="Book Antiqua" w:cs="Arial"/>
          <w:b w:val="0"/>
          <w:bCs w:val="0"/>
          <w:kern w:val="0"/>
          <w:sz w:val="24"/>
          <w:szCs w:val="24"/>
          <w:lang w:val="en-US"/>
        </w:rPr>
        <w:t>DALYs</w:t>
      </w:r>
      <w:proofErr w:type="spellEnd"/>
      <w:r w:rsidRPr="00A35CEC">
        <w:rPr>
          <w:rFonts w:ascii="Book Antiqua" w:eastAsia="Calibri" w:hAnsi="Book Antiqua" w:cs="Arial"/>
          <w:b w:val="0"/>
          <w:bCs w:val="0"/>
          <w:kern w:val="0"/>
          <w:sz w:val="24"/>
          <w:szCs w:val="24"/>
          <w:lang w:val="en-US"/>
        </w:rPr>
        <w:t xml:space="preserve"> of the base strategy|</w:t>
      </w:r>
    </w:p>
    <w:p w14:paraId="2C671062" w14:textId="5DFB25F4" w:rsidR="003F0C27" w:rsidRPr="00A35CEC" w:rsidRDefault="00D57808">
      <w:pPr>
        <w:pStyle w:val="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b w:val="0"/>
          <w:bCs w:val="0"/>
          <w:kern w:val="0"/>
          <w:sz w:val="24"/>
          <w:szCs w:val="24"/>
          <w:lang w:val="en-US"/>
        </w:rPr>
      </w:pPr>
      <w:r w:rsidRPr="00A35CEC">
        <w:rPr>
          <w:rFonts w:ascii="Book Antiqua" w:eastAsia="Calibri" w:hAnsi="Book Antiqua" w:cs="Arial"/>
          <w:b w:val="0"/>
          <w:bCs w:val="0"/>
          <w:kern w:val="0"/>
          <w:sz w:val="24"/>
          <w:szCs w:val="24"/>
          <w:lang w:val="en-US"/>
        </w:rPr>
        <w:t xml:space="preserve">  </w:t>
      </w:r>
      <w:r w:rsidR="00375D41" w:rsidRPr="00A35CEC">
        <w:rPr>
          <w:rFonts w:ascii="Book Antiqua" w:eastAsia="Calibri" w:hAnsi="Book Antiqua" w:cs="Arial"/>
          <w:b w:val="0"/>
          <w:bCs w:val="0"/>
          <w:kern w:val="0"/>
          <w:sz w:val="24"/>
          <w:szCs w:val="24"/>
          <w:lang w:val="en-US"/>
        </w:rPr>
        <w:t>We considered a strategy as “c</w:t>
      </w:r>
      <w:r w:rsidR="003F0C27" w:rsidRPr="00A35CEC">
        <w:rPr>
          <w:rFonts w:ascii="Book Antiqua" w:eastAsia="Calibri" w:hAnsi="Book Antiqua" w:cs="Arial"/>
          <w:b w:val="0"/>
          <w:bCs w:val="0"/>
          <w:kern w:val="0"/>
          <w:sz w:val="24"/>
          <w:szCs w:val="24"/>
          <w:lang w:val="en-US"/>
        </w:rPr>
        <w:t xml:space="preserve">ost-saving” when the </w:t>
      </w:r>
      <w:r w:rsidR="00616C7E" w:rsidRPr="00A35CEC">
        <w:rPr>
          <w:rFonts w:ascii="Book Antiqua" w:eastAsia="Calibri" w:hAnsi="Book Antiqua" w:cs="Arial"/>
          <w:b w:val="0"/>
          <w:bCs w:val="0"/>
          <w:kern w:val="0"/>
          <w:sz w:val="24"/>
          <w:szCs w:val="24"/>
          <w:lang w:val="en-US"/>
        </w:rPr>
        <w:t xml:space="preserve">difference between </w:t>
      </w:r>
      <w:r w:rsidR="003F0C27" w:rsidRPr="00A35CEC">
        <w:rPr>
          <w:rFonts w:ascii="Book Antiqua" w:eastAsia="Calibri" w:hAnsi="Book Antiqua" w:cs="Arial"/>
          <w:b w:val="0"/>
          <w:bCs w:val="0"/>
          <w:kern w:val="0"/>
          <w:sz w:val="24"/>
          <w:szCs w:val="24"/>
          <w:lang w:val="en-US"/>
        </w:rPr>
        <w:t>all direct and indirect costs of the elimination scenario up to 2035 from those of the base case was positive</w:t>
      </w:r>
      <w:r w:rsidR="008C51B5" w:rsidRPr="00A35CEC">
        <w:rPr>
          <w:rFonts w:ascii="Book Antiqua" w:eastAsia="Calibri" w:hAnsi="Book Antiqua" w:cs="Arial"/>
          <w:b w:val="0"/>
          <w:bCs w:val="0"/>
          <w:kern w:val="0"/>
          <w:sz w:val="24"/>
          <w:szCs w:val="24"/>
          <w:lang w:val="en-US"/>
        </w:rPr>
        <w:t xml:space="preserve">. </w:t>
      </w:r>
    </w:p>
    <w:p w14:paraId="08EC3EC5" w14:textId="49369D35" w:rsidR="00375D41" w:rsidRPr="00A35CEC" w:rsidRDefault="009D0E45" w:rsidP="00A35CEC">
      <w:pPr>
        <w:pStyle w:val="1"/>
        <w:shd w:val="clear" w:color="auto" w:fill="FFFFFF"/>
        <w:adjustRightInd w:val="0"/>
        <w:snapToGrid w:val="0"/>
        <w:spacing w:before="0" w:beforeAutospacing="0" w:after="0" w:afterAutospacing="0" w:line="360" w:lineRule="auto"/>
        <w:jc w:val="both"/>
        <w:textAlignment w:val="baseline"/>
        <w:rPr>
          <w:rFonts w:ascii="Book Antiqua" w:eastAsia="Calibri" w:hAnsi="Book Antiqua" w:cs="Arial"/>
          <w:sz w:val="24"/>
          <w:szCs w:val="24"/>
          <w:lang w:val="en-US"/>
        </w:rPr>
      </w:pPr>
      <w:r w:rsidRPr="00A35CEC">
        <w:rPr>
          <w:rFonts w:ascii="Book Antiqua" w:hAnsi="Book Antiqua" w:cs="Arial"/>
          <w:b w:val="0"/>
          <w:noProof/>
          <w:sz w:val="24"/>
          <w:szCs w:val="24"/>
          <w:lang w:val="en-US" w:eastAsia="zh-CN"/>
        </w:rPr>
        <w:lastRenderedPageBreak/>
        <w:drawing>
          <wp:inline distT="0" distB="0" distL="0" distR="0" wp14:anchorId="41DB05E2" wp14:editId="27A03C50">
            <wp:extent cx="63150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657225"/>
                    </a:xfrm>
                    <a:prstGeom prst="rect">
                      <a:avLst/>
                    </a:prstGeom>
                    <a:noFill/>
                    <a:ln>
                      <a:noFill/>
                    </a:ln>
                  </pic:spPr>
                </pic:pic>
              </a:graphicData>
            </a:graphic>
          </wp:inline>
        </w:drawing>
      </w:r>
    </w:p>
    <w:p w14:paraId="6BD2F285" w14:textId="77777777" w:rsidR="001910C2" w:rsidRPr="00A35CEC" w:rsidRDefault="00932505" w:rsidP="00B23A0C">
      <w:pPr>
        <w:pStyle w:val="1"/>
        <w:adjustRightInd w:val="0"/>
        <w:snapToGrid w:val="0"/>
        <w:spacing w:before="0" w:beforeAutospacing="0" w:after="0" w:afterAutospacing="0" w:line="360" w:lineRule="auto"/>
        <w:jc w:val="both"/>
        <w:rPr>
          <w:rFonts w:ascii="Book Antiqua" w:hAnsi="Book Antiqua" w:cs="Arial"/>
          <w:sz w:val="24"/>
          <w:szCs w:val="24"/>
          <w:lang w:val="en-US"/>
        </w:rPr>
      </w:pPr>
      <w:r w:rsidRPr="00A35CEC">
        <w:rPr>
          <w:rFonts w:ascii="Book Antiqua" w:hAnsi="Book Antiqua" w:cs="Arial"/>
          <w:sz w:val="24"/>
          <w:szCs w:val="24"/>
          <w:lang w:val="en-US"/>
        </w:rPr>
        <w:t>RESULTS</w:t>
      </w:r>
    </w:p>
    <w:p w14:paraId="16AEBAA0" w14:textId="77777777" w:rsidR="00A116E3" w:rsidRPr="00A35CEC" w:rsidRDefault="00A116E3" w:rsidP="00342141">
      <w:pPr>
        <w:adjustRightInd w:val="0"/>
        <w:snapToGrid w:val="0"/>
        <w:spacing w:line="360" w:lineRule="auto"/>
        <w:jc w:val="both"/>
        <w:rPr>
          <w:rFonts w:ascii="Book Antiqua" w:hAnsi="Book Antiqua"/>
          <w:b/>
          <w:i/>
        </w:rPr>
      </w:pPr>
      <w:r w:rsidRPr="00A35CEC">
        <w:rPr>
          <w:rFonts w:ascii="Book Antiqua" w:hAnsi="Book Antiqua"/>
          <w:b/>
          <w:i/>
        </w:rPr>
        <w:t>Epidemiological projections</w:t>
      </w:r>
    </w:p>
    <w:p w14:paraId="483A4B97" w14:textId="30EC8A93" w:rsidR="0057349E" w:rsidRPr="00A35CEC" w:rsidRDefault="00794E5E" w:rsidP="00342141">
      <w:pPr>
        <w:pStyle w:val="10"/>
        <w:shd w:val="clear" w:color="auto" w:fill="FFFFFF"/>
        <w:adjustRightInd w:val="0"/>
        <w:snapToGrid w:val="0"/>
        <w:spacing w:line="360" w:lineRule="auto"/>
        <w:ind w:left="0"/>
        <w:contextualSpacing w:val="0"/>
        <w:jc w:val="both"/>
        <w:rPr>
          <w:rFonts w:ascii="Book Antiqua" w:hAnsi="Book Antiqua" w:cs="Arial"/>
        </w:rPr>
      </w:pPr>
      <w:r w:rsidRPr="00A35CEC">
        <w:rPr>
          <w:rFonts w:ascii="Book Antiqua" w:hAnsi="Book Antiqua" w:cs="Arial"/>
        </w:rPr>
        <w:t xml:space="preserve">Under </w:t>
      </w:r>
      <w:r w:rsidR="00746F81" w:rsidRPr="00A35CEC">
        <w:rPr>
          <w:rFonts w:ascii="Book Antiqua" w:hAnsi="Book Antiqua" w:cs="Arial"/>
        </w:rPr>
        <w:t xml:space="preserve">the </w:t>
      </w:r>
      <w:r w:rsidRPr="00A35CEC">
        <w:rPr>
          <w:rFonts w:ascii="Book Antiqua" w:hAnsi="Book Antiqua" w:cs="Arial"/>
        </w:rPr>
        <w:t>base case</w:t>
      </w:r>
      <w:r w:rsidR="00746F81" w:rsidRPr="00A35CEC">
        <w:rPr>
          <w:rFonts w:ascii="Book Antiqua" w:hAnsi="Book Antiqua" w:cs="Arial"/>
        </w:rPr>
        <w:t xml:space="preserve"> scenario</w:t>
      </w:r>
      <w:r w:rsidRPr="00A35CEC">
        <w:rPr>
          <w:rFonts w:ascii="Book Antiqua" w:hAnsi="Book Antiqua" w:cs="Arial"/>
        </w:rPr>
        <w:t xml:space="preserve">, </w:t>
      </w:r>
      <w:r w:rsidR="00814822" w:rsidRPr="00A35CEC">
        <w:rPr>
          <w:rFonts w:ascii="Book Antiqua" w:hAnsi="Book Antiqua" w:cs="Arial"/>
        </w:rPr>
        <w:t>the model predicted</w:t>
      </w:r>
      <w:r w:rsidR="006C0A92" w:rsidRPr="00A35CEC">
        <w:rPr>
          <w:rFonts w:ascii="Book Antiqua" w:hAnsi="Book Antiqua" w:cs="Arial"/>
        </w:rPr>
        <w:t xml:space="preserve"> </w:t>
      </w:r>
      <w:r w:rsidR="00A12C7A" w:rsidRPr="00A35CEC">
        <w:rPr>
          <w:rFonts w:ascii="Book Antiqua" w:hAnsi="Book Antiqua" w:cs="Arial"/>
        </w:rPr>
        <w:t xml:space="preserve">a continuous decline in the number of </w:t>
      </w:r>
      <w:proofErr w:type="spellStart"/>
      <w:r w:rsidR="00A12C7A" w:rsidRPr="00A35CEC">
        <w:rPr>
          <w:rFonts w:ascii="Book Antiqua" w:hAnsi="Book Antiqua" w:cs="Arial"/>
        </w:rPr>
        <w:t>viremic</w:t>
      </w:r>
      <w:proofErr w:type="spellEnd"/>
      <w:r w:rsidR="00A12C7A" w:rsidRPr="00A35CEC">
        <w:rPr>
          <w:rFonts w:ascii="Book Antiqua" w:hAnsi="Book Antiqua" w:cs="Arial"/>
        </w:rPr>
        <w:t xml:space="preserve"> cases in Greece </w:t>
      </w:r>
      <w:r w:rsidR="00616C7E" w:rsidRPr="00A35CEC">
        <w:rPr>
          <w:rFonts w:ascii="Book Antiqua" w:hAnsi="Book Antiqua" w:cs="Arial"/>
        </w:rPr>
        <w:t xml:space="preserve">through </w:t>
      </w:r>
      <w:r w:rsidR="00B560AD" w:rsidRPr="00A35CEC">
        <w:rPr>
          <w:rFonts w:ascii="Book Antiqua" w:hAnsi="Book Antiqua" w:cs="Arial"/>
        </w:rPr>
        <w:t>2035</w:t>
      </w:r>
      <w:r w:rsidR="00B26201" w:rsidRPr="00A35CEC">
        <w:rPr>
          <w:rFonts w:ascii="Book Antiqua" w:hAnsi="Book Antiqua" w:cs="Arial"/>
        </w:rPr>
        <w:t xml:space="preserve"> (</w:t>
      </w:r>
      <w:r w:rsidR="006303C7" w:rsidRPr="00A35CEC">
        <w:rPr>
          <w:rFonts w:ascii="Book Antiqua" w:hAnsi="Book Antiqua" w:cs="Arial"/>
        </w:rPr>
        <w:t>Table</w:t>
      </w:r>
      <w:r w:rsidR="003D2070" w:rsidRPr="00A35CEC">
        <w:rPr>
          <w:rFonts w:ascii="Book Antiqua" w:hAnsi="Book Antiqua" w:cs="Arial"/>
        </w:rPr>
        <w:t xml:space="preserve"> </w:t>
      </w:r>
      <w:r w:rsidR="00B26201" w:rsidRPr="00A35CEC">
        <w:rPr>
          <w:rFonts w:ascii="Book Antiqua" w:hAnsi="Book Antiqua" w:cs="Arial"/>
        </w:rPr>
        <w:t xml:space="preserve">3, </w:t>
      </w:r>
      <w:r w:rsidR="00485947" w:rsidRPr="00A35CEC">
        <w:rPr>
          <w:rFonts w:ascii="Book Antiqua" w:hAnsi="Book Antiqua" w:cs="Arial"/>
        </w:rPr>
        <w:t>Figure</w:t>
      </w:r>
      <w:r w:rsidR="003D2070" w:rsidRPr="00A35CEC">
        <w:rPr>
          <w:rFonts w:ascii="Book Antiqua" w:hAnsi="Book Antiqua" w:cs="Arial"/>
        </w:rPr>
        <w:t xml:space="preserve"> </w:t>
      </w:r>
      <w:r w:rsidR="00626D56" w:rsidRPr="00A35CEC">
        <w:rPr>
          <w:rFonts w:ascii="Book Antiqua" w:hAnsi="Book Antiqua" w:cs="Arial"/>
        </w:rPr>
        <w:t>1</w:t>
      </w:r>
      <w:r w:rsidR="003D2070" w:rsidRPr="00A35CEC">
        <w:rPr>
          <w:rFonts w:ascii="Book Antiqua" w:hAnsi="Book Antiqua" w:cs="Arial"/>
        </w:rPr>
        <w:t>A-E</w:t>
      </w:r>
      <w:r w:rsidR="00626D56" w:rsidRPr="00A35CEC">
        <w:rPr>
          <w:rFonts w:ascii="Book Antiqua" w:hAnsi="Book Antiqua" w:cs="Arial"/>
        </w:rPr>
        <w:t>)</w:t>
      </w:r>
      <w:r w:rsidR="00A12C7A" w:rsidRPr="00A35CEC">
        <w:rPr>
          <w:rFonts w:ascii="Book Antiqua" w:hAnsi="Book Antiqua" w:cs="Arial"/>
        </w:rPr>
        <w:t>.</w:t>
      </w:r>
      <w:r w:rsidR="00FF77A3" w:rsidRPr="00A35CEC">
        <w:rPr>
          <w:rFonts w:ascii="Book Antiqua" w:hAnsi="Book Antiqua" w:cs="Arial"/>
        </w:rPr>
        <w:t xml:space="preserve"> </w:t>
      </w:r>
      <w:r w:rsidR="00AB2190" w:rsidRPr="00A35CEC">
        <w:rPr>
          <w:rFonts w:ascii="Book Antiqua" w:hAnsi="Book Antiqua" w:cs="Arial"/>
        </w:rPr>
        <w:t>T</w:t>
      </w:r>
      <w:r w:rsidR="002D58CF" w:rsidRPr="00A35CEC">
        <w:rPr>
          <w:rFonts w:ascii="Book Antiqua" w:hAnsi="Book Antiqua" w:cs="Arial"/>
        </w:rPr>
        <w:t xml:space="preserve">he </w:t>
      </w:r>
      <w:proofErr w:type="spellStart"/>
      <w:r w:rsidR="002D58CF" w:rsidRPr="00A35CEC">
        <w:rPr>
          <w:rFonts w:ascii="Book Antiqua" w:hAnsi="Book Antiqua" w:cs="Arial"/>
        </w:rPr>
        <w:t>viremic</w:t>
      </w:r>
      <w:proofErr w:type="spellEnd"/>
      <w:r w:rsidR="00B560AD" w:rsidRPr="00A35CEC">
        <w:rPr>
          <w:rFonts w:ascii="Book Antiqua" w:hAnsi="Book Antiqua" w:cs="Arial"/>
        </w:rPr>
        <w:t xml:space="preserve"> population would decrease by 8.</w:t>
      </w:r>
      <w:r w:rsidR="003654EA" w:rsidRPr="00A35CEC">
        <w:rPr>
          <w:rFonts w:ascii="Book Antiqua" w:hAnsi="Book Antiqua" w:cs="Arial"/>
        </w:rPr>
        <w:t>3</w:t>
      </w:r>
      <w:r w:rsidR="002D58CF" w:rsidRPr="00A35CEC">
        <w:rPr>
          <w:rFonts w:ascii="Book Antiqua" w:hAnsi="Book Antiqua" w:cs="Arial"/>
        </w:rPr>
        <w:t>%</w:t>
      </w:r>
      <w:r w:rsidR="00814822" w:rsidRPr="00A35CEC">
        <w:rPr>
          <w:rFonts w:ascii="Book Antiqua" w:hAnsi="Book Antiqua" w:cs="Arial"/>
        </w:rPr>
        <w:t xml:space="preserve"> and </w:t>
      </w:r>
      <w:r w:rsidR="00B560AD" w:rsidRPr="00A35CEC">
        <w:rPr>
          <w:rFonts w:ascii="Book Antiqua" w:hAnsi="Book Antiqua" w:cs="Arial"/>
        </w:rPr>
        <w:t>11.</w:t>
      </w:r>
      <w:r w:rsidR="003654EA" w:rsidRPr="00A35CEC">
        <w:rPr>
          <w:rFonts w:ascii="Book Antiqua" w:hAnsi="Book Antiqua" w:cs="Arial"/>
        </w:rPr>
        <w:t>1</w:t>
      </w:r>
      <w:r w:rsidR="00814822" w:rsidRPr="00A35CEC">
        <w:rPr>
          <w:rFonts w:ascii="Book Antiqua" w:hAnsi="Book Antiqua" w:cs="Arial"/>
        </w:rPr>
        <w:t xml:space="preserve">% in 2030 and </w:t>
      </w:r>
      <w:r w:rsidR="0057349E" w:rsidRPr="00A35CEC">
        <w:rPr>
          <w:rFonts w:ascii="Book Antiqua" w:hAnsi="Book Antiqua" w:cs="Arial"/>
        </w:rPr>
        <w:t>2035</w:t>
      </w:r>
      <w:r w:rsidR="00616C7E" w:rsidRPr="00A35CEC">
        <w:rPr>
          <w:rFonts w:ascii="Book Antiqua" w:hAnsi="Book Antiqua" w:cs="Arial"/>
        </w:rPr>
        <w:t xml:space="preserve"> compared to 2015</w:t>
      </w:r>
      <w:r w:rsidR="00746F81" w:rsidRPr="00A35CEC">
        <w:rPr>
          <w:rFonts w:ascii="Book Antiqua" w:hAnsi="Book Antiqua" w:cs="Arial"/>
        </w:rPr>
        <w:t>, respectively</w:t>
      </w:r>
      <w:r w:rsidR="00814822" w:rsidRPr="00A35CEC">
        <w:rPr>
          <w:rFonts w:ascii="Book Antiqua" w:hAnsi="Book Antiqua" w:cs="Arial"/>
        </w:rPr>
        <w:t xml:space="preserve">. </w:t>
      </w:r>
      <w:r w:rsidRPr="00A35CEC">
        <w:rPr>
          <w:rFonts w:ascii="Book Antiqua" w:hAnsi="Book Antiqua" w:cs="Arial"/>
        </w:rPr>
        <w:t xml:space="preserve">However, unlike </w:t>
      </w:r>
      <w:proofErr w:type="spellStart"/>
      <w:r w:rsidRPr="00A35CEC">
        <w:rPr>
          <w:rFonts w:ascii="Book Antiqua" w:hAnsi="Book Antiqua" w:cs="Arial"/>
        </w:rPr>
        <w:t>viremic</w:t>
      </w:r>
      <w:proofErr w:type="spellEnd"/>
      <w:r w:rsidRPr="00A35CEC">
        <w:rPr>
          <w:rFonts w:ascii="Book Antiqua" w:hAnsi="Book Antiqua" w:cs="Arial"/>
        </w:rPr>
        <w:t xml:space="preserve"> cases, </w:t>
      </w:r>
      <w:proofErr w:type="spellStart"/>
      <w:r w:rsidRPr="00A35CEC">
        <w:rPr>
          <w:rFonts w:ascii="Book Antiqua" w:hAnsi="Book Antiqua" w:cs="Arial"/>
        </w:rPr>
        <w:t>HCV</w:t>
      </w:r>
      <w:proofErr w:type="spellEnd"/>
      <w:r w:rsidRPr="00A35CEC">
        <w:rPr>
          <w:rFonts w:ascii="Book Antiqua" w:hAnsi="Book Antiqua" w:cs="Arial"/>
        </w:rPr>
        <w:t xml:space="preserve"> </w:t>
      </w:r>
      <w:r w:rsidR="00814822" w:rsidRPr="00A35CEC">
        <w:rPr>
          <w:rFonts w:ascii="Book Antiqua" w:hAnsi="Book Antiqua" w:cs="Arial"/>
        </w:rPr>
        <w:t>complications</w:t>
      </w:r>
      <w:r w:rsidRPr="00A35CEC">
        <w:rPr>
          <w:rFonts w:ascii="Book Antiqua" w:hAnsi="Book Antiqua" w:cs="Arial"/>
        </w:rPr>
        <w:t xml:space="preserve"> </w:t>
      </w:r>
      <w:r w:rsidR="00814822" w:rsidRPr="00A35CEC">
        <w:rPr>
          <w:rFonts w:ascii="Book Antiqua" w:hAnsi="Book Antiqua" w:cs="Arial"/>
        </w:rPr>
        <w:t>are</w:t>
      </w:r>
      <w:r w:rsidRPr="00A35CEC">
        <w:rPr>
          <w:rFonts w:ascii="Book Antiqua" w:hAnsi="Book Antiqua" w:cs="Arial"/>
        </w:rPr>
        <w:t xml:space="preserve"> anticipated to increase </w:t>
      </w:r>
      <w:r w:rsidR="00616C7E" w:rsidRPr="00A35CEC">
        <w:rPr>
          <w:rFonts w:ascii="Book Antiqua" w:hAnsi="Book Antiqua" w:cs="Arial"/>
        </w:rPr>
        <w:t>over the same time period</w:t>
      </w:r>
      <w:r w:rsidR="009D1F23" w:rsidRPr="00A35CEC">
        <w:rPr>
          <w:rFonts w:ascii="Book Antiqua" w:hAnsi="Book Antiqua" w:cs="Arial"/>
        </w:rPr>
        <w:t>.</w:t>
      </w:r>
    </w:p>
    <w:p w14:paraId="6E6D5D4B" w14:textId="2E363BD6" w:rsidR="00784739" w:rsidRPr="00A35CEC" w:rsidRDefault="00302709" w:rsidP="0099395B">
      <w:pPr>
        <w:pStyle w:val="10"/>
        <w:shd w:val="clear" w:color="auto" w:fill="FFFFFF"/>
        <w:adjustRightInd w:val="0"/>
        <w:snapToGrid w:val="0"/>
        <w:spacing w:line="360" w:lineRule="auto"/>
        <w:ind w:left="0"/>
        <w:contextualSpacing w:val="0"/>
        <w:jc w:val="both"/>
        <w:rPr>
          <w:rFonts w:ascii="Book Antiqua" w:hAnsi="Book Antiqua" w:cs="Arial"/>
        </w:rPr>
      </w:pPr>
      <w:r w:rsidRPr="00A35CEC">
        <w:rPr>
          <w:rFonts w:ascii="Book Antiqua" w:hAnsi="Book Antiqua" w:cs="Arial"/>
        </w:rPr>
        <w:t xml:space="preserve">  </w:t>
      </w:r>
      <w:r w:rsidR="00AB2190" w:rsidRPr="00A35CEC">
        <w:rPr>
          <w:rFonts w:ascii="Book Antiqua" w:hAnsi="Book Antiqua" w:cs="Arial"/>
        </w:rPr>
        <w:t>The</w:t>
      </w:r>
      <w:r w:rsidR="00794E5E" w:rsidRPr="00A35CEC">
        <w:rPr>
          <w:rFonts w:ascii="Book Antiqua" w:hAnsi="Book Antiqua" w:cs="Arial"/>
        </w:rPr>
        <w:t xml:space="preserve"> </w:t>
      </w:r>
      <w:r w:rsidR="007579BB" w:rsidRPr="00A35CEC">
        <w:rPr>
          <w:rFonts w:ascii="Book Antiqua" w:hAnsi="Book Antiqua" w:cs="Arial"/>
        </w:rPr>
        <w:t>number of patients with compensated cirrhosis</w:t>
      </w:r>
      <w:r w:rsidR="000A650A" w:rsidRPr="00A35CEC">
        <w:rPr>
          <w:rFonts w:ascii="Book Antiqua" w:hAnsi="Book Antiqua" w:cs="Arial"/>
        </w:rPr>
        <w:t xml:space="preserve"> </w:t>
      </w:r>
      <w:r w:rsidR="00616C7E" w:rsidRPr="00A35CEC">
        <w:rPr>
          <w:rFonts w:ascii="Book Antiqua" w:hAnsi="Book Antiqua" w:cs="Arial"/>
        </w:rPr>
        <w:t>is</w:t>
      </w:r>
      <w:r w:rsidR="00626D56" w:rsidRPr="00A35CEC">
        <w:rPr>
          <w:rFonts w:ascii="Book Antiqua" w:hAnsi="Book Antiqua" w:cs="Arial"/>
        </w:rPr>
        <w:t xml:space="preserve"> anticipated</w:t>
      </w:r>
      <w:r w:rsidR="007579BB" w:rsidRPr="00A35CEC">
        <w:rPr>
          <w:rFonts w:ascii="Book Antiqua" w:hAnsi="Book Antiqua" w:cs="Arial"/>
        </w:rPr>
        <w:t xml:space="preserve"> to </w:t>
      </w:r>
      <w:r w:rsidR="00EE1A64" w:rsidRPr="00A35CEC">
        <w:rPr>
          <w:rFonts w:ascii="Book Antiqua" w:hAnsi="Book Antiqua" w:cs="Arial"/>
        </w:rPr>
        <w:t>be</w:t>
      </w:r>
      <w:r w:rsidR="007579BB" w:rsidRPr="00A35CEC">
        <w:rPr>
          <w:rFonts w:ascii="Book Antiqua" w:hAnsi="Book Antiqua" w:cs="Arial"/>
        </w:rPr>
        <w:t xml:space="preserve"> </w:t>
      </w:r>
      <w:r w:rsidRPr="00A35CEC">
        <w:rPr>
          <w:rFonts w:ascii="Book Antiqua" w:hAnsi="Book Antiqua" w:cs="Arial"/>
        </w:rPr>
        <w:t>21</w:t>
      </w:r>
      <w:r w:rsidR="00616C7E" w:rsidRPr="00A35CEC">
        <w:rPr>
          <w:rFonts w:ascii="Book Antiqua" w:hAnsi="Book Antiqua" w:cs="Arial"/>
        </w:rPr>
        <w:t>,</w:t>
      </w:r>
      <w:r w:rsidR="00EE1A64" w:rsidRPr="00A35CEC">
        <w:rPr>
          <w:rFonts w:ascii="Book Antiqua" w:hAnsi="Book Antiqua" w:cs="Arial"/>
        </w:rPr>
        <w:t xml:space="preserve">100 </w:t>
      </w:r>
      <w:r w:rsidR="00794E5E" w:rsidRPr="00A35CEC">
        <w:rPr>
          <w:rFonts w:ascii="Book Antiqua" w:hAnsi="Book Antiqua" w:cs="Arial"/>
        </w:rPr>
        <w:t>ca</w:t>
      </w:r>
      <w:r w:rsidR="007579BB" w:rsidRPr="00A35CEC">
        <w:rPr>
          <w:rFonts w:ascii="Book Antiqua" w:hAnsi="Book Antiqua" w:cs="Arial"/>
        </w:rPr>
        <w:t>ses</w:t>
      </w:r>
      <w:r w:rsidR="00616C7E" w:rsidRPr="00A35CEC">
        <w:rPr>
          <w:rFonts w:ascii="Book Antiqua" w:hAnsi="Book Antiqua" w:cs="Arial"/>
        </w:rPr>
        <w:t xml:space="preserve"> by 2030</w:t>
      </w:r>
      <w:r w:rsidR="007579BB" w:rsidRPr="00A35CEC">
        <w:rPr>
          <w:rFonts w:ascii="Book Antiqua" w:hAnsi="Book Antiqua" w:cs="Arial"/>
        </w:rPr>
        <w:t xml:space="preserve"> (</w:t>
      </w:r>
      <w:r w:rsidR="003654EA" w:rsidRPr="00A35CEC">
        <w:rPr>
          <w:rFonts w:ascii="Book Antiqua" w:hAnsi="Book Antiqua" w:cs="Arial"/>
        </w:rPr>
        <w:t>19.2</w:t>
      </w:r>
      <w:r w:rsidR="005C3DB5" w:rsidRPr="00A35CEC">
        <w:rPr>
          <w:rFonts w:ascii="Book Antiqua" w:hAnsi="Book Antiqua" w:cs="Arial"/>
        </w:rPr>
        <w:t xml:space="preserve">% higher </w:t>
      </w:r>
      <w:r w:rsidR="00616C7E" w:rsidRPr="00A35CEC">
        <w:rPr>
          <w:rFonts w:ascii="Book Antiqua" w:hAnsi="Book Antiqua" w:cs="Arial"/>
        </w:rPr>
        <w:t>than</w:t>
      </w:r>
      <w:r w:rsidR="005C3DB5" w:rsidRPr="00A35CEC">
        <w:rPr>
          <w:rFonts w:ascii="Book Antiqua" w:hAnsi="Book Antiqua" w:cs="Arial"/>
        </w:rPr>
        <w:t xml:space="preserve"> 201</w:t>
      </w:r>
      <w:r w:rsidR="003654EA" w:rsidRPr="00A35CEC">
        <w:rPr>
          <w:rFonts w:ascii="Book Antiqua" w:hAnsi="Book Antiqua" w:cs="Arial"/>
        </w:rPr>
        <w:t>5</w:t>
      </w:r>
      <w:r w:rsidR="00794E5E" w:rsidRPr="00A35CEC">
        <w:rPr>
          <w:rFonts w:ascii="Book Antiqua" w:hAnsi="Book Antiqua" w:cs="Arial"/>
        </w:rPr>
        <w:t>)</w:t>
      </w:r>
      <w:r w:rsidR="0057349E" w:rsidRPr="00A35CEC">
        <w:rPr>
          <w:rFonts w:ascii="Book Antiqua" w:hAnsi="Book Antiqua" w:cs="Arial"/>
        </w:rPr>
        <w:t xml:space="preserve">. </w:t>
      </w:r>
      <w:r w:rsidR="009E63D1" w:rsidRPr="00A35CEC">
        <w:rPr>
          <w:rFonts w:ascii="Book Antiqua" w:hAnsi="Book Antiqua" w:cs="Arial"/>
        </w:rPr>
        <w:t>In 2035</w:t>
      </w:r>
      <w:r w:rsidR="0013046F" w:rsidRPr="00A35CEC">
        <w:rPr>
          <w:rFonts w:ascii="Book Antiqua" w:hAnsi="Book Antiqua" w:cs="Arial"/>
        </w:rPr>
        <w:t>,</w:t>
      </w:r>
      <w:r w:rsidR="009E63D1" w:rsidRPr="00A35CEC">
        <w:rPr>
          <w:rFonts w:ascii="Book Antiqua" w:hAnsi="Book Antiqua" w:cs="Arial"/>
        </w:rPr>
        <w:t xml:space="preserve"> the number of compensated cirrhosis</w:t>
      </w:r>
      <w:r w:rsidR="007579BB" w:rsidRPr="00A35CEC">
        <w:rPr>
          <w:rFonts w:ascii="Book Antiqua" w:hAnsi="Book Antiqua" w:cs="Arial"/>
        </w:rPr>
        <w:t xml:space="preserve"> </w:t>
      </w:r>
      <w:r w:rsidR="00746F81" w:rsidRPr="00A35CEC">
        <w:rPr>
          <w:rFonts w:ascii="Book Antiqua" w:hAnsi="Book Antiqua" w:cs="Arial"/>
        </w:rPr>
        <w:t xml:space="preserve">cases </w:t>
      </w:r>
      <w:r w:rsidR="00616C7E" w:rsidRPr="00A35CEC">
        <w:rPr>
          <w:rFonts w:ascii="Book Antiqua" w:hAnsi="Book Antiqua" w:cs="Arial"/>
        </w:rPr>
        <w:t xml:space="preserve">is expected to </w:t>
      </w:r>
      <w:r w:rsidR="007579BB" w:rsidRPr="00A35CEC">
        <w:rPr>
          <w:rFonts w:ascii="Book Antiqua" w:hAnsi="Book Antiqua" w:cs="Arial"/>
        </w:rPr>
        <w:t xml:space="preserve">be </w:t>
      </w:r>
      <w:r w:rsidRPr="00A35CEC">
        <w:rPr>
          <w:rFonts w:ascii="Book Antiqua" w:hAnsi="Book Antiqua" w:cs="Arial"/>
        </w:rPr>
        <w:t>21</w:t>
      </w:r>
      <w:r w:rsidR="00616C7E" w:rsidRPr="00A35CEC">
        <w:rPr>
          <w:rFonts w:ascii="Book Antiqua" w:hAnsi="Book Antiqua" w:cs="Arial"/>
        </w:rPr>
        <w:t>,</w:t>
      </w:r>
      <w:r w:rsidR="001E2537" w:rsidRPr="00A35CEC">
        <w:rPr>
          <w:rFonts w:ascii="Book Antiqua" w:hAnsi="Book Antiqua" w:cs="Arial"/>
        </w:rPr>
        <w:t>280</w:t>
      </w:r>
      <w:r w:rsidR="007579BB" w:rsidRPr="00A35CEC">
        <w:rPr>
          <w:rFonts w:ascii="Book Antiqua" w:hAnsi="Book Antiqua" w:cs="Arial"/>
        </w:rPr>
        <w:t xml:space="preserve"> (2</w:t>
      </w:r>
      <w:r w:rsidR="003654EA" w:rsidRPr="00A35CEC">
        <w:rPr>
          <w:rFonts w:ascii="Book Antiqua" w:hAnsi="Book Antiqua" w:cs="Arial"/>
        </w:rPr>
        <w:t>0</w:t>
      </w:r>
      <w:r w:rsidR="009E63D1" w:rsidRPr="00A35CEC">
        <w:rPr>
          <w:rFonts w:ascii="Book Antiqua" w:hAnsi="Book Antiqua" w:cs="Arial"/>
        </w:rPr>
        <w:t>.</w:t>
      </w:r>
      <w:r w:rsidR="003654EA" w:rsidRPr="00A35CEC">
        <w:rPr>
          <w:rFonts w:ascii="Book Antiqua" w:hAnsi="Book Antiqua" w:cs="Arial"/>
        </w:rPr>
        <w:t>2</w:t>
      </w:r>
      <w:r w:rsidR="009E63D1" w:rsidRPr="00A35CEC">
        <w:rPr>
          <w:rFonts w:ascii="Book Antiqua" w:hAnsi="Book Antiqua" w:cs="Arial"/>
        </w:rPr>
        <w:t xml:space="preserve">% higher </w:t>
      </w:r>
      <w:r w:rsidR="00616C7E" w:rsidRPr="00A35CEC">
        <w:rPr>
          <w:rFonts w:ascii="Book Antiqua" w:hAnsi="Book Antiqua" w:cs="Arial"/>
        </w:rPr>
        <w:t>than</w:t>
      </w:r>
      <w:r w:rsidR="009E63D1" w:rsidRPr="00A35CEC">
        <w:rPr>
          <w:rFonts w:ascii="Book Antiqua" w:hAnsi="Book Antiqua" w:cs="Arial"/>
        </w:rPr>
        <w:t xml:space="preserve"> 201</w:t>
      </w:r>
      <w:r w:rsidR="003654EA" w:rsidRPr="00A35CEC">
        <w:rPr>
          <w:rFonts w:ascii="Book Antiqua" w:hAnsi="Book Antiqua" w:cs="Arial"/>
        </w:rPr>
        <w:t>5</w:t>
      </w:r>
      <w:r w:rsidR="009E63D1" w:rsidRPr="00A35CEC">
        <w:rPr>
          <w:rFonts w:ascii="Book Antiqua" w:hAnsi="Book Antiqua" w:cs="Arial"/>
        </w:rPr>
        <w:t xml:space="preserve">). </w:t>
      </w:r>
      <w:r w:rsidR="00794E5E" w:rsidRPr="00A35CEC">
        <w:rPr>
          <w:rFonts w:ascii="Book Antiqua" w:hAnsi="Book Antiqua" w:cs="Arial"/>
        </w:rPr>
        <w:t>Similar</w:t>
      </w:r>
      <w:r w:rsidR="00AB2190" w:rsidRPr="00A35CEC">
        <w:rPr>
          <w:rFonts w:ascii="Book Antiqua" w:hAnsi="Book Antiqua" w:cs="Arial"/>
        </w:rPr>
        <w:t xml:space="preserve">ly, </w:t>
      </w:r>
      <w:r w:rsidR="00616C7E" w:rsidRPr="00A35CEC">
        <w:rPr>
          <w:rFonts w:ascii="Book Antiqua" w:hAnsi="Book Antiqua" w:cs="Arial"/>
        </w:rPr>
        <w:t xml:space="preserve">the number of </w:t>
      </w:r>
      <w:r w:rsidR="00794E5E" w:rsidRPr="00A35CEC">
        <w:rPr>
          <w:rFonts w:ascii="Book Antiqua" w:hAnsi="Book Antiqua" w:cs="Arial"/>
        </w:rPr>
        <w:t xml:space="preserve">decompensated cirrhosis </w:t>
      </w:r>
      <w:r w:rsidR="00616C7E" w:rsidRPr="00A35CEC">
        <w:rPr>
          <w:rFonts w:ascii="Book Antiqua" w:hAnsi="Book Antiqua" w:cs="Arial"/>
        </w:rPr>
        <w:t xml:space="preserve">cases </w:t>
      </w:r>
      <w:r w:rsidR="00794E5E" w:rsidRPr="00A35CEC">
        <w:rPr>
          <w:rFonts w:ascii="Book Antiqua" w:hAnsi="Book Antiqua" w:cs="Arial"/>
        </w:rPr>
        <w:t xml:space="preserve">would </w:t>
      </w:r>
      <w:proofErr w:type="spellStart"/>
      <w:r w:rsidR="00051468" w:rsidRPr="00A35CEC">
        <w:rPr>
          <w:rFonts w:ascii="Book Antiqua" w:hAnsi="Book Antiqua" w:cs="Arial"/>
        </w:rPr>
        <w:t>increase</w:t>
      </w:r>
      <w:r w:rsidR="0013046F" w:rsidRPr="00A35CEC">
        <w:rPr>
          <w:rFonts w:ascii="Book Antiqua" w:hAnsi="Book Antiqua" w:cs="Arial"/>
        </w:rPr>
        <w:t>d</w:t>
      </w:r>
      <w:proofErr w:type="spellEnd"/>
      <w:r w:rsidR="00051468" w:rsidRPr="00A35CEC">
        <w:rPr>
          <w:rFonts w:ascii="Book Antiqua" w:hAnsi="Book Antiqua" w:cs="Arial"/>
        </w:rPr>
        <w:t xml:space="preserve"> to</w:t>
      </w:r>
      <w:r w:rsidR="001E2537" w:rsidRPr="00A35CEC">
        <w:rPr>
          <w:rFonts w:ascii="Book Antiqua" w:hAnsi="Book Antiqua" w:cs="Arial"/>
        </w:rPr>
        <w:t xml:space="preserve"> </w:t>
      </w:r>
      <w:r w:rsidR="00051468" w:rsidRPr="00A35CEC">
        <w:rPr>
          <w:rFonts w:ascii="Book Antiqua" w:hAnsi="Book Antiqua" w:cs="Arial"/>
        </w:rPr>
        <w:t>2</w:t>
      </w:r>
      <w:r w:rsidR="00616C7E" w:rsidRPr="00A35CEC">
        <w:rPr>
          <w:rFonts w:ascii="Book Antiqua" w:hAnsi="Book Antiqua" w:cs="Arial"/>
        </w:rPr>
        <w:t>,</w:t>
      </w:r>
      <w:r w:rsidR="00051468" w:rsidRPr="00A35CEC">
        <w:rPr>
          <w:rFonts w:ascii="Book Antiqua" w:hAnsi="Book Antiqua" w:cs="Arial"/>
        </w:rPr>
        <w:t>160 (</w:t>
      </w:r>
      <w:r w:rsidR="003654EA" w:rsidRPr="00A35CEC">
        <w:rPr>
          <w:rFonts w:ascii="Book Antiqua" w:hAnsi="Book Antiqua" w:cs="Arial"/>
        </w:rPr>
        <w:t>18</w:t>
      </w:r>
      <w:r w:rsidR="00051468" w:rsidRPr="00A35CEC">
        <w:rPr>
          <w:rFonts w:ascii="Book Antiqua" w:hAnsi="Book Antiqua" w:cs="Arial"/>
        </w:rPr>
        <w:t>.</w:t>
      </w:r>
      <w:r w:rsidR="003654EA" w:rsidRPr="00A35CEC">
        <w:rPr>
          <w:rFonts w:ascii="Book Antiqua" w:hAnsi="Book Antiqua" w:cs="Arial"/>
        </w:rPr>
        <w:t>3</w:t>
      </w:r>
      <w:r w:rsidR="001E2537" w:rsidRPr="00A35CEC">
        <w:rPr>
          <w:rFonts w:ascii="Book Antiqua" w:hAnsi="Book Antiqua" w:cs="Arial"/>
        </w:rPr>
        <w:t>%</w:t>
      </w:r>
      <w:r w:rsidR="00051468" w:rsidRPr="00A35CEC">
        <w:rPr>
          <w:rFonts w:ascii="Book Antiqua" w:hAnsi="Book Antiqua" w:cs="Arial"/>
        </w:rPr>
        <w:t xml:space="preserve"> higher </w:t>
      </w:r>
      <w:r w:rsidR="00616C7E" w:rsidRPr="00A35CEC">
        <w:rPr>
          <w:rFonts w:ascii="Book Antiqua" w:hAnsi="Book Antiqua" w:cs="Arial"/>
        </w:rPr>
        <w:t>than</w:t>
      </w:r>
      <w:r w:rsidR="00051468" w:rsidRPr="00A35CEC">
        <w:rPr>
          <w:rFonts w:ascii="Book Antiqua" w:hAnsi="Book Antiqua" w:cs="Arial"/>
        </w:rPr>
        <w:t xml:space="preserve"> 201</w:t>
      </w:r>
      <w:r w:rsidR="003654EA" w:rsidRPr="00A35CEC">
        <w:rPr>
          <w:rFonts w:ascii="Book Antiqua" w:hAnsi="Book Antiqua" w:cs="Arial"/>
        </w:rPr>
        <w:t>5</w:t>
      </w:r>
      <w:r w:rsidR="00051468" w:rsidRPr="00A35CEC">
        <w:rPr>
          <w:rFonts w:ascii="Book Antiqua" w:hAnsi="Book Antiqua" w:cs="Arial"/>
        </w:rPr>
        <w:t>)</w:t>
      </w:r>
      <w:r w:rsidR="001E2537" w:rsidRPr="00A35CEC">
        <w:rPr>
          <w:rFonts w:ascii="Book Antiqua" w:hAnsi="Book Antiqua" w:cs="Arial"/>
        </w:rPr>
        <w:t xml:space="preserve"> and</w:t>
      </w:r>
      <w:r w:rsidR="00051468" w:rsidRPr="00A35CEC">
        <w:rPr>
          <w:rFonts w:ascii="Book Antiqua" w:hAnsi="Book Antiqua" w:cs="Arial"/>
        </w:rPr>
        <w:t xml:space="preserve"> 2</w:t>
      </w:r>
      <w:r w:rsidR="00616C7E" w:rsidRPr="00A35CEC">
        <w:rPr>
          <w:rFonts w:ascii="Book Antiqua" w:hAnsi="Book Antiqua" w:cs="Arial"/>
        </w:rPr>
        <w:t>,</w:t>
      </w:r>
      <w:r w:rsidR="00051468" w:rsidRPr="00A35CEC">
        <w:rPr>
          <w:rFonts w:ascii="Book Antiqua" w:hAnsi="Book Antiqua" w:cs="Arial"/>
        </w:rPr>
        <w:t>200 (</w:t>
      </w:r>
      <w:r w:rsidR="001E2537" w:rsidRPr="00A35CEC">
        <w:rPr>
          <w:rFonts w:ascii="Book Antiqua" w:hAnsi="Book Antiqua" w:cs="Arial"/>
        </w:rPr>
        <w:t>2</w:t>
      </w:r>
      <w:r w:rsidR="003654EA" w:rsidRPr="00A35CEC">
        <w:rPr>
          <w:rFonts w:ascii="Book Antiqua" w:hAnsi="Book Antiqua" w:cs="Arial"/>
        </w:rPr>
        <w:t>0.2</w:t>
      </w:r>
      <w:r w:rsidR="001E2537" w:rsidRPr="00A35CEC">
        <w:rPr>
          <w:rFonts w:ascii="Book Antiqua" w:hAnsi="Book Antiqua" w:cs="Arial"/>
        </w:rPr>
        <w:t>%</w:t>
      </w:r>
      <w:r w:rsidR="00051468" w:rsidRPr="00A35CEC">
        <w:rPr>
          <w:rFonts w:ascii="Book Antiqua" w:hAnsi="Book Antiqua" w:cs="Arial"/>
        </w:rPr>
        <w:t xml:space="preserve"> higher</w:t>
      </w:r>
      <w:r w:rsidR="001E2537" w:rsidRPr="00A35CEC">
        <w:rPr>
          <w:rFonts w:ascii="Book Antiqua" w:hAnsi="Book Antiqua" w:cs="Arial"/>
        </w:rPr>
        <w:t xml:space="preserve"> </w:t>
      </w:r>
      <w:r w:rsidR="00616C7E" w:rsidRPr="00A35CEC">
        <w:rPr>
          <w:rFonts w:ascii="Book Antiqua" w:hAnsi="Book Antiqua" w:cs="Arial"/>
        </w:rPr>
        <w:t>than</w:t>
      </w:r>
      <w:r w:rsidR="001E2537" w:rsidRPr="00A35CEC">
        <w:rPr>
          <w:rFonts w:ascii="Book Antiqua" w:hAnsi="Book Antiqua" w:cs="Arial"/>
        </w:rPr>
        <w:t xml:space="preserve"> 201</w:t>
      </w:r>
      <w:r w:rsidR="003654EA" w:rsidRPr="00A35CEC">
        <w:rPr>
          <w:rFonts w:ascii="Book Antiqua" w:hAnsi="Book Antiqua" w:cs="Arial"/>
        </w:rPr>
        <w:t>5</w:t>
      </w:r>
      <w:r w:rsidR="00051468" w:rsidRPr="00A35CEC">
        <w:rPr>
          <w:rFonts w:ascii="Book Antiqua" w:hAnsi="Book Antiqua" w:cs="Arial"/>
        </w:rPr>
        <w:t>) cases in 2030 and 2035, respectively</w:t>
      </w:r>
      <w:r w:rsidR="00663738" w:rsidRPr="00A35CEC">
        <w:rPr>
          <w:rFonts w:ascii="Book Antiqua" w:hAnsi="Book Antiqua" w:cs="Arial"/>
        </w:rPr>
        <w:t xml:space="preserve">. </w:t>
      </w:r>
      <w:r w:rsidR="00E318B5" w:rsidRPr="00A35CEC">
        <w:rPr>
          <w:rFonts w:ascii="Book Antiqua" w:hAnsi="Book Antiqua" w:cs="Arial"/>
        </w:rPr>
        <w:t xml:space="preserve">Regarding </w:t>
      </w:r>
      <w:proofErr w:type="spellStart"/>
      <w:r w:rsidR="00E318B5" w:rsidRPr="00A35CEC">
        <w:rPr>
          <w:rFonts w:ascii="Book Antiqua" w:hAnsi="Book Antiqua" w:cs="Arial"/>
        </w:rPr>
        <w:t>HCC</w:t>
      </w:r>
      <w:proofErr w:type="spellEnd"/>
      <w:r w:rsidR="00E318B5" w:rsidRPr="00A35CEC">
        <w:rPr>
          <w:rFonts w:ascii="Book Antiqua" w:hAnsi="Book Antiqua" w:cs="Arial"/>
        </w:rPr>
        <w:t xml:space="preserve"> cases</w:t>
      </w:r>
      <w:r w:rsidR="0013046F" w:rsidRPr="00A35CEC">
        <w:rPr>
          <w:rFonts w:ascii="Book Antiqua" w:hAnsi="Book Antiqua" w:cs="Arial"/>
        </w:rPr>
        <w:t>,</w:t>
      </w:r>
      <w:r w:rsidR="00E318B5" w:rsidRPr="00A35CEC">
        <w:rPr>
          <w:rFonts w:ascii="Book Antiqua" w:hAnsi="Book Antiqua" w:cs="Arial"/>
        </w:rPr>
        <w:t xml:space="preserve"> the model </w:t>
      </w:r>
      <w:r w:rsidR="00B46428" w:rsidRPr="00A35CEC">
        <w:rPr>
          <w:rFonts w:ascii="Book Antiqua" w:hAnsi="Book Antiqua" w:cs="Arial"/>
        </w:rPr>
        <w:t xml:space="preserve">projected </w:t>
      </w:r>
      <w:r w:rsidR="00E318B5" w:rsidRPr="00A35CEC">
        <w:rPr>
          <w:rFonts w:ascii="Book Antiqua" w:hAnsi="Book Antiqua" w:cs="Arial"/>
        </w:rPr>
        <w:t xml:space="preserve">an increase </w:t>
      </w:r>
      <w:r w:rsidR="00663738" w:rsidRPr="00A35CEC">
        <w:rPr>
          <w:rFonts w:ascii="Book Antiqua" w:hAnsi="Book Antiqua" w:cs="Arial"/>
        </w:rPr>
        <w:t xml:space="preserve">of </w:t>
      </w:r>
      <w:r w:rsidR="003654EA" w:rsidRPr="00A35CEC">
        <w:rPr>
          <w:rFonts w:ascii="Book Antiqua" w:hAnsi="Book Antiqua" w:cs="Arial"/>
        </w:rPr>
        <w:t>19</w:t>
      </w:r>
      <w:r w:rsidR="00663738" w:rsidRPr="00A35CEC">
        <w:rPr>
          <w:rFonts w:ascii="Book Antiqua" w:hAnsi="Book Antiqua" w:cs="Arial"/>
        </w:rPr>
        <w:t>.</w:t>
      </w:r>
      <w:r w:rsidR="003654EA" w:rsidRPr="00A35CEC">
        <w:rPr>
          <w:rFonts w:ascii="Book Antiqua" w:hAnsi="Book Antiqua" w:cs="Arial"/>
        </w:rPr>
        <w:t>4</w:t>
      </w:r>
      <w:r w:rsidR="00663738" w:rsidRPr="00A35CEC">
        <w:rPr>
          <w:rFonts w:ascii="Book Antiqua" w:hAnsi="Book Antiqua" w:cs="Arial"/>
        </w:rPr>
        <w:t>%</w:t>
      </w:r>
      <w:r w:rsidR="00051468" w:rsidRPr="00A35CEC">
        <w:rPr>
          <w:rFonts w:ascii="Book Antiqua" w:hAnsi="Book Antiqua" w:cs="Arial"/>
        </w:rPr>
        <w:t xml:space="preserve"> (705 cases) and 2</w:t>
      </w:r>
      <w:r w:rsidR="003654EA" w:rsidRPr="00A35CEC">
        <w:rPr>
          <w:rFonts w:ascii="Book Antiqua" w:hAnsi="Book Antiqua" w:cs="Arial"/>
        </w:rPr>
        <w:t>0</w:t>
      </w:r>
      <w:r w:rsidR="00051468" w:rsidRPr="00A35CEC">
        <w:rPr>
          <w:rFonts w:ascii="Book Antiqua" w:hAnsi="Book Antiqua" w:cs="Arial"/>
        </w:rPr>
        <w:t>.</w:t>
      </w:r>
      <w:r w:rsidR="003654EA" w:rsidRPr="00A35CEC">
        <w:rPr>
          <w:rFonts w:ascii="Book Antiqua" w:hAnsi="Book Antiqua" w:cs="Arial"/>
        </w:rPr>
        <w:t>3</w:t>
      </w:r>
      <w:r w:rsidR="00051468" w:rsidRPr="00A35CEC">
        <w:rPr>
          <w:rFonts w:ascii="Book Antiqua" w:hAnsi="Book Antiqua" w:cs="Arial"/>
        </w:rPr>
        <w:t>% (710 cases) in 2030 and 2035 compared to 201</w:t>
      </w:r>
      <w:r w:rsidR="003654EA" w:rsidRPr="00A35CEC">
        <w:rPr>
          <w:rFonts w:ascii="Book Antiqua" w:hAnsi="Book Antiqua" w:cs="Arial"/>
        </w:rPr>
        <w:t>5</w:t>
      </w:r>
      <w:r w:rsidR="00051468" w:rsidRPr="00A35CEC">
        <w:rPr>
          <w:rFonts w:ascii="Book Antiqua" w:hAnsi="Book Antiqua" w:cs="Arial"/>
        </w:rPr>
        <w:t xml:space="preserve">, respectively. Concerning liver related deaths, the </w:t>
      </w:r>
      <w:r w:rsidR="0013046F" w:rsidRPr="00A35CEC">
        <w:rPr>
          <w:rFonts w:ascii="Book Antiqua" w:hAnsi="Book Antiqua" w:cs="Arial"/>
        </w:rPr>
        <w:t>model</w:t>
      </w:r>
      <w:r w:rsidR="00051468" w:rsidRPr="00A35CEC">
        <w:rPr>
          <w:rFonts w:ascii="Book Antiqua" w:hAnsi="Book Antiqua" w:cs="Arial"/>
        </w:rPr>
        <w:t xml:space="preserve"> project</w:t>
      </w:r>
      <w:r w:rsidR="0013046F" w:rsidRPr="00A35CEC">
        <w:rPr>
          <w:rFonts w:ascii="Book Antiqua" w:hAnsi="Book Antiqua" w:cs="Arial"/>
        </w:rPr>
        <w:t>s an</w:t>
      </w:r>
      <w:r w:rsidR="00051468" w:rsidRPr="00A35CEC">
        <w:rPr>
          <w:rFonts w:ascii="Book Antiqua" w:hAnsi="Book Antiqua" w:cs="Arial"/>
        </w:rPr>
        <w:t xml:space="preserve"> </w:t>
      </w:r>
      <w:r w:rsidR="00616C7E" w:rsidRPr="00A35CEC">
        <w:rPr>
          <w:rFonts w:ascii="Book Antiqua" w:hAnsi="Book Antiqua" w:cs="Arial"/>
        </w:rPr>
        <w:t xml:space="preserve">increase </w:t>
      </w:r>
      <w:r w:rsidR="00051468" w:rsidRPr="00A35CEC">
        <w:rPr>
          <w:rFonts w:ascii="Book Antiqua" w:hAnsi="Book Antiqua" w:cs="Arial"/>
        </w:rPr>
        <w:t>to 790 (</w:t>
      </w:r>
      <w:r w:rsidR="003654EA" w:rsidRPr="00A35CEC">
        <w:rPr>
          <w:rFonts w:ascii="Book Antiqua" w:hAnsi="Book Antiqua" w:cs="Arial"/>
        </w:rPr>
        <w:t>19</w:t>
      </w:r>
      <w:r w:rsidR="00051468" w:rsidRPr="00A35CEC">
        <w:rPr>
          <w:rFonts w:ascii="Book Antiqua" w:hAnsi="Book Antiqua" w:cs="Arial"/>
        </w:rPr>
        <w:t>.</w:t>
      </w:r>
      <w:r w:rsidR="003654EA" w:rsidRPr="00A35CEC">
        <w:rPr>
          <w:rFonts w:ascii="Book Antiqua" w:hAnsi="Book Antiqua" w:cs="Arial"/>
        </w:rPr>
        <w:t>6</w:t>
      </w:r>
      <w:r w:rsidR="00051468" w:rsidRPr="00A35CEC">
        <w:rPr>
          <w:rFonts w:ascii="Book Antiqua" w:hAnsi="Book Antiqua" w:cs="Arial"/>
        </w:rPr>
        <w:t xml:space="preserve">% higher </w:t>
      </w:r>
      <w:r w:rsidR="00616C7E" w:rsidRPr="00A35CEC">
        <w:rPr>
          <w:rFonts w:ascii="Book Antiqua" w:hAnsi="Book Antiqua" w:cs="Arial"/>
        </w:rPr>
        <w:t>than</w:t>
      </w:r>
      <w:r w:rsidR="00051468" w:rsidRPr="00A35CEC">
        <w:rPr>
          <w:rFonts w:ascii="Book Antiqua" w:hAnsi="Book Antiqua" w:cs="Arial"/>
        </w:rPr>
        <w:t xml:space="preserve"> 201</w:t>
      </w:r>
      <w:r w:rsidR="003654EA" w:rsidRPr="00A35CEC">
        <w:rPr>
          <w:rFonts w:ascii="Book Antiqua" w:hAnsi="Book Antiqua" w:cs="Arial"/>
        </w:rPr>
        <w:t>5</w:t>
      </w:r>
      <w:r w:rsidR="00051468" w:rsidRPr="00A35CEC">
        <w:rPr>
          <w:rFonts w:ascii="Book Antiqua" w:hAnsi="Book Antiqua" w:cs="Arial"/>
        </w:rPr>
        <w:t>) and 805 (2</w:t>
      </w:r>
      <w:r w:rsidR="003654EA" w:rsidRPr="00A35CEC">
        <w:rPr>
          <w:rFonts w:ascii="Book Antiqua" w:hAnsi="Book Antiqua" w:cs="Arial"/>
        </w:rPr>
        <w:t>1</w:t>
      </w:r>
      <w:r w:rsidR="00051468" w:rsidRPr="00A35CEC">
        <w:rPr>
          <w:rFonts w:ascii="Book Antiqua" w:hAnsi="Book Antiqua" w:cs="Arial"/>
        </w:rPr>
        <w:t>.</w:t>
      </w:r>
      <w:r w:rsidR="003654EA" w:rsidRPr="00A35CEC">
        <w:rPr>
          <w:rFonts w:ascii="Book Antiqua" w:hAnsi="Book Antiqua" w:cs="Arial"/>
        </w:rPr>
        <w:t>9</w:t>
      </w:r>
      <w:r w:rsidR="00051468" w:rsidRPr="00A35CEC">
        <w:rPr>
          <w:rFonts w:ascii="Book Antiqua" w:hAnsi="Book Antiqua" w:cs="Arial"/>
        </w:rPr>
        <w:t xml:space="preserve">% higher </w:t>
      </w:r>
      <w:r w:rsidR="00616C7E" w:rsidRPr="00A35CEC">
        <w:rPr>
          <w:rFonts w:ascii="Book Antiqua" w:hAnsi="Book Antiqua" w:cs="Arial"/>
        </w:rPr>
        <w:t>than</w:t>
      </w:r>
      <w:r w:rsidR="00051468" w:rsidRPr="00A35CEC">
        <w:rPr>
          <w:rFonts w:ascii="Book Antiqua" w:hAnsi="Book Antiqua" w:cs="Arial"/>
        </w:rPr>
        <w:t xml:space="preserve"> 201</w:t>
      </w:r>
      <w:r w:rsidR="003654EA" w:rsidRPr="00A35CEC">
        <w:rPr>
          <w:rFonts w:ascii="Book Antiqua" w:hAnsi="Book Antiqua" w:cs="Arial"/>
        </w:rPr>
        <w:t>5</w:t>
      </w:r>
      <w:r w:rsidR="00051468" w:rsidRPr="00A35CEC">
        <w:rPr>
          <w:rFonts w:ascii="Book Antiqua" w:hAnsi="Book Antiqua" w:cs="Arial"/>
        </w:rPr>
        <w:t>) in 2030 and 2035, respectively</w:t>
      </w:r>
      <w:r w:rsidR="00663738" w:rsidRPr="00A35CEC">
        <w:rPr>
          <w:rFonts w:ascii="Book Antiqua" w:hAnsi="Book Antiqua" w:cs="Arial"/>
        </w:rPr>
        <w:t xml:space="preserve"> </w:t>
      </w:r>
      <w:r w:rsidR="0082003D" w:rsidRPr="00A35CEC">
        <w:rPr>
          <w:rFonts w:ascii="Book Antiqua" w:hAnsi="Book Antiqua" w:cs="Arial"/>
        </w:rPr>
        <w:t>(</w:t>
      </w:r>
      <w:r w:rsidR="006303C7" w:rsidRPr="00A35CEC">
        <w:rPr>
          <w:rFonts w:ascii="Book Antiqua" w:hAnsi="Book Antiqua" w:cs="Arial"/>
        </w:rPr>
        <w:t>Table</w:t>
      </w:r>
      <w:r w:rsidR="003D2070" w:rsidRPr="00A35CEC">
        <w:rPr>
          <w:rFonts w:ascii="Book Antiqua" w:hAnsi="Book Antiqua" w:cs="Arial"/>
        </w:rPr>
        <w:t xml:space="preserve"> </w:t>
      </w:r>
      <w:r w:rsidR="0082003D" w:rsidRPr="00A35CEC">
        <w:rPr>
          <w:rFonts w:ascii="Book Antiqua" w:hAnsi="Book Antiqua" w:cs="Arial"/>
        </w:rPr>
        <w:t xml:space="preserve">3, </w:t>
      </w:r>
      <w:r w:rsidR="00485947" w:rsidRPr="00A35CEC">
        <w:rPr>
          <w:rFonts w:ascii="Book Antiqua" w:hAnsi="Book Antiqua" w:cs="Arial"/>
        </w:rPr>
        <w:t>Figure</w:t>
      </w:r>
      <w:r w:rsidR="003D2070" w:rsidRPr="00A35CEC">
        <w:rPr>
          <w:rFonts w:ascii="Book Antiqua" w:hAnsi="Book Antiqua" w:cs="Arial"/>
        </w:rPr>
        <w:t xml:space="preserve"> </w:t>
      </w:r>
      <w:r w:rsidR="0082003D" w:rsidRPr="00A35CEC">
        <w:rPr>
          <w:rFonts w:ascii="Book Antiqua" w:hAnsi="Book Antiqua" w:cs="Arial"/>
        </w:rPr>
        <w:t>1</w:t>
      </w:r>
      <w:r w:rsidR="003D2070" w:rsidRPr="00A35CEC">
        <w:rPr>
          <w:rFonts w:ascii="Book Antiqua" w:hAnsi="Book Antiqua" w:cs="Arial"/>
        </w:rPr>
        <w:t>A-E</w:t>
      </w:r>
      <w:r w:rsidR="0082003D" w:rsidRPr="00A35CEC">
        <w:rPr>
          <w:rFonts w:ascii="Book Antiqua" w:hAnsi="Book Antiqua" w:cs="Arial"/>
        </w:rPr>
        <w:t>).</w:t>
      </w:r>
      <w:r w:rsidR="00784739" w:rsidRPr="00A35CEC">
        <w:rPr>
          <w:rFonts w:ascii="Book Antiqua" w:hAnsi="Book Antiqua" w:cs="Arial"/>
        </w:rPr>
        <w:t xml:space="preserve"> Under </w:t>
      </w:r>
      <w:r w:rsidR="00616C7E" w:rsidRPr="00A35CEC">
        <w:rPr>
          <w:rFonts w:ascii="Book Antiqua" w:hAnsi="Book Antiqua" w:cs="Arial"/>
        </w:rPr>
        <w:t xml:space="preserve">the </w:t>
      </w:r>
      <w:r w:rsidR="00784739" w:rsidRPr="00A35CEC">
        <w:rPr>
          <w:rFonts w:ascii="Book Antiqua" w:hAnsi="Book Antiqua" w:cs="Arial"/>
        </w:rPr>
        <w:t>base case, the model estimates that about 20</w:t>
      </w:r>
      <w:r w:rsidR="00616C7E" w:rsidRPr="00A35CEC">
        <w:rPr>
          <w:rFonts w:ascii="Book Antiqua" w:hAnsi="Book Antiqua" w:cs="Arial"/>
        </w:rPr>
        <w:t>,</w:t>
      </w:r>
      <w:r w:rsidR="00784739" w:rsidRPr="00A35CEC">
        <w:rPr>
          <w:rFonts w:ascii="Book Antiqua" w:hAnsi="Book Antiqua" w:cs="Arial"/>
        </w:rPr>
        <w:t xml:space="preserve">000 patients would be diagnosed and treated with </w:t>
      </w:r>
      <w:proofErr w:type="spellStart"/>
      <w:r w:rsidR="00784739" w:rsidRPr="00A35CEC">
        <w:rPr>
          <w:rFonts w:ascii="Book Antiqua" w:hAnsi="Book Antiqua" w:cs="Arial"/>
        </w:rPr>
        <w:t>DAAs</w:t>
      </w:r>
      <w:proofErr w:type="spellEnd"/>
      <w:r w:rsidR="00784739" w:rsidRPr="00A35CEC">
        <w:rPr>
          <w:rFonts w:ascii="Book Antiqua" w:hAnsi="Book Antiqua" w:cs="Arial"/>
        </w:rPr>
        <w:t xml:space="preserve"> by 2030.</w:t>
      </w:r>
    </w:p>
    <w:p w14:paraId="5C42AC68" w14:textId="5CA9E69C" w:rsidR="00C84D8E" w:rsidRPr="00A35CEC" w:rsidRDefault="00302709">
      <w:pPr>
        <w:pStyle w:val="10"/>
        <w:adjustRightInd w:val="0"/>
        <w:snapToGrid w:val="0"/>
        <w:spacing w:line="360" w:lineRule="auto"/>
        <w:ind w:left="0"/>
        <w:contextualSpacing w:val="0"/>
        <w:jc w:val="both"/>
        <w:rPr>
          <w:rFonts w:ascii="Book Antiqua" w:hAnsi="Book Antiqua" w:cs="Arial"/>
        </w:rPr>
      </w:pPr>
      <w:r w:rsidRPr="00A35CEC">
        <w:rPr>
          <w:rFonts w:ascii="Book Antiqua" w:hAnsi="Book Antiqua" w:cs="Arial"/>
        </w:rPr>
        <w:t xml:space="preserve">  </w:t>
      </w:r>
      <w:r w:rsidR="000A650A" w:rsidRPr="00A35CEC">
        <w:rPr>
          <w:rFonts w:ascii="Book Antiqua" w:hAnsi="Book Antiqua" w:cs="Arial"/>
        </w:rPr>
        <w:t>Under the Global Hepatitis Strategy</w:t>
      </w:r>
      <w:r w:rsidR="00616C7E" w:rsidRPr="00A35CEC">
        <w:rPr>
          <w:rFonts w:ascii="Book Antiqua" w:hAnsi="Book Antiqua" w:cs="Arial"/>
        </w:rPr>
        <w:t>,</w:t>
      </w:r>
      <w:r w:rsidR="000A650A" w:rsidRPr="00A35CEC">
        <w:rPr>
          <w:rFonts w:ascii="Book Antiqua" w:hAnsi="Book Antiqua" w:cs="Arial"/>
        </w:rPr>
        <w:t xml:space="preserve"> </w:t>
      </w:r>
      <w:r w:rsidR="002840FF" w:rsidRPr="00A35CEC">
        <w:rPr>
          <w:rFonts w:ascii="Book Antiqua" w:hAnsi="Book Antiqua" w:cs="Arial"/>
        </w:rPr>
        <w:t>significant decline</w:t>
      </w:r>
      <w:r w:rsidR="00814822" w:rsidRPr="00A35CEC">
        <w:rPr>
          <w:rFonts w:ascii="Book Antiqua" w:hAnsi="Book Antiqua" w:cs="Arial"/>
        </w:rPr>
        <w:t>s</w:t>
      </w:r>
      <w:r w:rsidR="002840FF" w:rsidRPr="00A35CEC">
        <w:rPr>
          <w:rFonts w:ascii="Book Antiqua" w:hAnsi="Book Antiqua" w:cs="Arial"/>
        </w:rPr>
        <w:t xml:space="preserve"> w</w:t>
      </w:r>
      <w:r w:rsidR="007C7114" w:rsidRPr="00A35CEC">
        <w:rPr>
          <w:rFonts w:ascii="Book Antiqua" w:hAnsi="Book Antiqua" w:cs="Arial"/>
        </w:rPr>
        <w:t xml:space="preserve">ould be observed </w:t>
      </w:r>
      <w:r w:rsidR="002840FF" w:rsidRPr="00A35CEC">
        <w:rPr>
          <w:rFonts w:ascii="Book Antiqua" w:hAnsi="Book Antiqua" w:cs="Arial"/>
        </w:rPr>
        <w:t>in</w:t>
      </w:r>
      <w:r w:rsidR="00814822" w:rsidRPr="00A35CEC">
        <w:rPr>
          <w:rFonts w:ascii="Book Antiqua" w:hAnsi="Book Antiqua" w:cs="Arial"/>
        </w:rPr>
        <w:t xml:space="preserve"> </w:t>
      </w:r>
      <w:proofErr w:type="spellStart"/>
      <w:r w:rsidR="00814822" w:rsidRPr="00A35CEC">
        <w:rPr>
          <w:rFonts w:ascii="Book Antiqua" w:hAnsi="Book Antiqua" w:cs="Arial"/>
        </w:rPr>
        <w:t>HCV</w:t>
      </w:r>
      <w:proofErr w:type="spellEnd"/>
      <w:r w:rsidR="00E318B5" w:rsidRPr="00A35CEC">
        <w:rPr>
          <w:rFonts w:ascii="Book Antiqua" w:hAnsi="Book Antiqua" w:cs="Arial"/>
        </w:rPr>
        <w:t xml:space="preserve"> morbidity and mortality</w:t>
      </w:r>
      <w:r w:rsidR="00A116E3" w:rsidRPr="00A35CEC">
        <w:rPr>
          <w:rFonts w:ascii="Book Antiqua" w:hAnsi="Book Antiqua" w:cs="Arial"/>
        </w:rPr>
        <w:t>.</w:t>
      </w:r>
      <w:r w:rsidR="00EE1EEE" w:rsidRPr="00A35CEC">
        <w:rPr>
          <w:rFonts w:ascii="Book Antiqua" w:hAnsi="Book Antiqua" w:cs="Arial"/>
        </w:rPr>
        <w:t xml:space="preserve"> </w:t>
      </w:r>
      <w:r w:rsidR="00751F5B" w:rsidRPr="00A35CEC">
        <w:rPr>
          <w:rFonts w:ascii="Book Antiqua" w:hAnsi="Book Antiqua" w:cs="Arial"/>
        </w:rPr>
        <w:t xml:space="preserve">More specifically, </w:t>
      </w:r>
      <w:r w:rsidR="00EE1EEE" w:rsidRPr="00A35CEC">
        <w:rPr>
          <w:rFonts w:ascii="Book Antiqua" w:hAnsi="Book Antiqua" w:cs="Arial"/>
        </w:rPr>
        <w:t xml:space="preserve">individuals with compensated and decompensated </w:t>
      </w:r>
      <w:r w:rsidR="005262A6" w:rsidRPr="00A35CEC">
        <w:rPr>
          <w:rFonts w:ascii="Book Antiqua" w:hAnsi="Book Antiqua" w:cs="Arial"/>
        </w:rPr>
        <w:t xml:space="preserve">cirrhosis </w:t>
      </w:r>
      <w:r w:rsidR="007C7114" w:rsidRPr="00A35CEC">
        <w:rPr>
          <w:rFonts w:ascii="Book Antiqua" w:hAnsi="Book Antiqua" w:cs="Arial"/>
        </w:rPr>
        <w:t xml:space="preserve">are expected to </w:t>
      </w:r>
      <w:r w:rsidR="00F02474" w:rsidRPr="00A35CEC">
        <w:rPr>
          <w:rFonts w:ascii="Book Antiqua" w:hAnsi="Book Antiqua" w:cs="Arial"/>
        </w:rPr>
        <w:t>decrease</w:t>
      </w:r>
      <w:r w:rsidR="00663738" w:rsidRPr="00A35CEC">
        <w:rPr>
          <w:rFonts w:ascii="Book Antiqua" w:hAnsi="Book Antiqua" w:cs="Arial"/>
        </w:rPr>
        <w:t xml:space="preserve"> by 6</w:t>
      </w:r>
      <w:r w:rsidR="003654EA" w:rsidRPr="00A35CEC">
        <w:rPr>
          <w:rFonts w:ascii="Book Antiqua" w:hAnsi="Book Antiqua" w:cs="Arial"/>
        </w:rPr>
        <w:t>3</w:t>
      </w:r>
      <w:r w:rsidR="00663738" w:rsidRPr="00A35CEC">
        <w:rPr>
          <w:rFonts w:ascii="Book Antiqua" w:hAnsi="Book Antiqua" w:cs="Arial"/>
        </w:rPr>
        <w:t>.</w:t>
      </w:r>
      <w:r w:rsidR="003654EA" w:rsidRPr="00A35CEC">
        <w:rPr>
          <w:rFonts w:ascii="Book Antiqua" w:hAnsi="Book Antiqua" w:cs="Arial"/>
        </w:rPr>
        <w:t>3</w:t>
      </w:r>
      <w:r w:rsidR="00663738" w:rsidRPr="00A35CEC">
        <w:rPr>
          <w:rFonts w:ascii="Book Antiqua" w:hAnsi="Book Antiqua" w:cs="Arial"/>
        </w:rPr>
        <w:t>%, 6</w:t>
      </w:r>
      <w:r w:rsidR="003654EA" w:rsidRPr="00A35CEC">
        <w:rPr>
          <w:rFonts w:ascii="Book Antiqua" w:hAnsi="Book Antiqua" w:cs="Arial"/>
        </w:rPr>
        <w:t>6</w:t>
      </w:r>
      <w:r w:rsidR="00663738" w:rsidRPr="00A35CEC">
        <w:rPr>
          <w:rFonts w:ascii="Book Antiqua" w:hAnsi="Book Antiqua" w:cs="Arial"/>
        </w:rPr>
        <w:t>.</w:t>
      </w:r>
      <w:r w:rsidR="003654EA" w:rsidRPr="00A35CEC">
        <w:rPr>
          <w:rFonts w:ascii="Book Antiqua" w:hAnsi="Book Antiqua" w:cs="Arial"/>
        </w:rPr>
        <w:t>7</w:t>
      </w:r>
      <w:r w:rsidR="00663738" w:rsidRPr="00A35CEC">
        <w:rPr>
          <w:rFonts w:ascii="Book Antiqua" w:hAnsi="Book Antiqua" w:cs="Arial"/>
        </w:rPr>
        <w:t>% in 2030 and 93.</w:t>
      </w:r>
      <w:r w:rsidR="003654EA" w:rsidRPr="00A35CEC">
        <w:rPr>
          <w:rFonts w:ascii="Book Antiqua" w:hAnsi="Book Antiqua" w:cs="Arial"/>
        </w:rPr>
        <w:t>9</w:t>
      </w:r>
      <w:r w:rsidR="00663738" w:rsidRPr="00A35CEC">
        <w:rPr>
          <w:rFonts w:ascii="Book Antiqua" w:hAnsi="Book Antiqua" w:cs="Arial"/>
        </w:rPr>
        <w:t>%, 91.</w:t>
      </w:r>
      <w:r w:rsidR="003654EA" w:rsidRPr="00A35CEC">
        <w:rPr>
          <w:rFonts w:ascii="Book Antiqua" w:hAnsi="Book Antiqua" w:cs="Arial"/>
        </w:rPr>
        <w:t>2</w:t>
      </w:r>
      <w:r w:rsidR="00CB4FF5" w:rsidRPr="00A35CEC">
        <w:rPr>
          <w:rFonts w:ascii="Book Antiqua" w:hAnsi="Book Antiqua" w:cs="Arial"/>
        </w:rPr>
        <w:t>% in 2035</w:t>
      </w:r>
      <w:r w:rsidR="00751F5B" w:rsidRPr="00A35CEC">
        <w:rPr>
          <w:rFonts w:ascii="Book Antiqua" w:hAnsi="Book Antiqua" w:cs="Arial"/>
        </w:rPr>
        <w:t>, respectively</w:t>
      </w:r>
      <w:r w:rsidR="00E11515" w:rsidRPr="00A35CEC">
        <w:rPr>
          <w:rFonts w:ascii="Book Antiqua" w:hAnsi="Book Antiqua" w:cs="Arial"/>
        </w:rPr>
        <w:t>,</w:t>
      </w:r>
      <w:r w:rsidR="00814822" w:rsidRPr="00A35CEC">
        <w:rPr>
          <w:rFonts w:ascii="Book Antiqua" w:hAnsi="Book Antiqua" w:cs="Arial"/>
        </w:rPr>
        <w:t xml:space="preserve"> </w:t>
      </w:r>
      <w:r w:rsidR="005262A6" w:rsidRPr="00A35CEC">
        <w:rPr>
          <w:rFonts w:ascii="Book Antiqua" w:hAnsi="Book Antiqua" w:cs="Arial"/>
        </w:rPr>
        <w:t xml:space="preserve">compared to </w:t>
      </w:r>
      <w:r w:rsidR="00616C7E" w:rsidRPr="00A35CEC">
        <w:rPr>
          <w:rFonts w:ascii="Book Antiqua" w:hAnsi="Book Antiqua" w:cs="Arial"/>
        </w:rPr>
        <w:t xml:space="preserve">the </w:t>
      </w:r>
      <w:r w:rsidR="005262A6" w:rsidRPr="00A35CEC">
        <w:rPr>
          <w:rFonts w:ascii="Book Antiqua" w:hAnsi="Book Antiqua" w:cs="Arial"/>
        </w:rPr>
        <w:t xml:space="preserve">corresponding </w:t>
      </w:r>
      <w:r w:rsidR="00616C7E" w:rsidRPr="00A35CEC">
        <w:rPr>
          <w:rFonts w:ascii="Book Antiqua" w:hAnsi="Book Antiqua" w:cs="Arial"/>
        </w:rPr>
        <w:t xml:space="preserve">number of </w:t>
      </w:r>
      <w:r w:rsidR="00E11515" w:rsidRPr="00A35CEC">
        <w:rPr>
          <w:rFonts w:ascii="Book Antiqua" w:hAnsi="Book Antiqua" w:cs="Arial"/>
        </w:rPr>
        <w:t xml:space="preserve">cases </w:t>
      </w:r>
      <w:r w:rsidR="00814822" w:rsidRPr="00A35CEC">
        <w:rPr>
          <w:rFonts w:ascii="Book Antiqua" w:hAnsi="Book Antiqua" w:cs="Arial"/>
        </w:rPr>
        <w:t>of</w:t>
      </w:r>
      <w:r w:rsidR="00E11515" w:rsidRPr="00A35CEC">
        <w:rPr>
          <w:rFonts w:ascii="Book Antiqua" w:hAnsi="Book Antiqua" w:cs="Arial"/>
        </w:rPr>
        <w:t xml:space="preserve"> </w:t>
      </w:r>
      <w:r w:rsidR="005262A6" w:rsidRPr="00A35CEC">
        <w:rPr>
          <w:rFonts w:ascii="Book Antiqua" w:hAnsi="Book Antiqua" w:cs="Arial"/>
        </w:rPr>
        <w:t xml:space="preserve">compensated and decompensated cirrhosis </w:t>
      </w:r>
      <w:r w:rsidR="00E11515" w:rsidRPr="00A35CEC">
        <w:rPr>
          <w:rFonts w:ascii="Book Antiqua" w:hAnsi="Book Antiqua" w:cs="Arial"/>
        </w:rPr>
        <w:t xml:space="preserve">in </w:t>
      </w:r>
      <w:r w:rsidR="00701A0C" w:rsidRPr="00A35CEC">
        <w:rPr>
          <w:rFonts w:ascii="Book Antiqua" w:hAnsi="Book Antiqua" w:cs="Arial"/>
        </w:rPr>
        <w:t>201</w:t>
      </w:r>
      <w:r w:rsidR="003654EA" w:rsidRPr="00A35CEC">
        <w:rPr>
          <w:rFonts w:ascii="Book Antiqua" w:hAnsi="Book Antiqua" w:cs="Arial"/>
        </w:rPr>
        <w:t>5</w:t>
      </w:r>
      <w:r w:rsidR="00751F5B" w:rsidRPr="00A35CEC">
        <w:rPr>
          <w:rFonts w:ascii="Book Antiqua" w:hAnsi="Book Antiqua" w:cs="Arial"/>
        </w:rPr>
        <w:t xml:space="preserve">. Similarly, </w:t>
      </w:r>
      <w:proofErr w:type="spellStart"/>
      <w:r w:rsidR="00751F5B" w:rsidRPr="00A35CEC">
        <w:rPr>
          <w:rFonts w:ascii="Book Antiqua" w:hAnsi="Book Antiqua" w:cs="Arial"/>
        </w:rPr>
        <w:t>HCC</w:t>
      </w:r>
      <w:proofErr w:type="spellEnd"/>
      <w:r w:rsidR="00751F5B" w:rsidRPr="00A35CEC">
        <w:rPr>
          <w:rFonts w:ascii="Book Antiqua" w:hAnsi="Book Antiqua" w:cs="Arial"/>
        </w:rPr>
        <w:t xml:space="preserve"> cases </w:t>
      </w:r>
      <w:r w:rsidR="007C7114" w:rsidRPr="00A35CEC">
        <w:rPr>
          <w:rFonts w:ascii="Book Antiqua" w:hAnsi="Book Antiqua" w:cs="Arial"/>
        </w:rPr>
        <w:t xml:space="preserve">are </w:t>
      </w:r>
      <w:r w:rsidR="00933761" w:rsidRPr="00A35CEC">
        <w:rPr>
          <w:rFonts w:ascii="Book Antiqua" w:hAnsi="Book Antiqua" w:cs="Arial"/>
        </w:rPr>
        <w:t xml:space="preserve">anticipated to </w:t>
      </w:r>
      <w:r w:rsidR="00616C7E" w:rsidRPr="00A35CEC">
        <w:rPr>
          <w:rFonts w:ascii="Book Antiqua" w:hAnsi="Book Antiqua" w:cs="Arial"/>
        </w:rPr>
        <w:t>decrease</w:t>
      </w:r>
      <w:r w:rsidR="00933761" w:rsidRPr="00A35CEC">
        <w:rPr>
          <w:rFonts w:ascii="Book Antiqua" w:hAnsi="Book Antiqua" w:cs="Arial"/>
        </w:rPr>
        <w:t xml:space="preserve"> </w:t>
      </w:r>
      <w:r w:rsidR="00051468" w:rsidRPr="00A35CEC">
        <w:rPr>
          <w:rFonts w:ascii="Book Antiqua" w:hAnsi="Book Antiqua" w:cs="Arial"/>
        </w:rPr>
        <w:t>by 6</w:t>
      </w:r>
      <w:r w:rsidR="003654EA" w:rsidRPr="00A35CEC">
        <w:rPr>
          <w:rFonts w:ascii="Book Antiqua" w:hAnsi="Book Antiqua" w:cs="Arial"/>
        </w:rPr>
        <w:t>6</w:t>
      </w:r>
      <w:r w:rsidR="00051468" w:rsidRPr="00A35CEC">
        <w:rPr>
          <w:rFonts w:ascii="Book Antiqua" w:hAnsi="Book Antiqua" w:cs="Arial"/>
        </w:rPr>
        <w:t>.</w:t>
      </w:r>
      <w:r w:rsidR="003654EA" w:rsidRPr="00A35CEC">
        <w:rPr>
          <w:rFonts w:ascii="Book Antiqua" w:hAnsi="Book Antiqua" w:cs="Arial"/>
        </w:rPr>
        <w:t>9</w:t>
      </w:r>
      <w:r w:rsidR="00051468" w:rsidRPr="00A35CEC">
        <w:rPr>
          <w:rFonts w:ascii="Book Antiqua" w:hAnsi="Book Antiqua" w:cs="Arial"/>
        </w:rPr>
        <w:t>%</w:t>
      </w:r>
      <w:r w:rsidR="0013046F" w:rsidRPr="00A35CEC">
        <w:rPr>
          <w:rFonts w:ascii="Book Antiqua" w:hAnsi="Book Antiqua" w:cs="Arial"/>
        </w:rPr>
        <w:t xml:space="preserve"> (195 cases)</w:t>
      </w:r>
      <w:r w:rsidR="00051468" w:rsidRPr="00A35CEC">
        <w:rPr>
          <w:rFonts w:ascii="Book Antiqua" w:hAnsi="Book Antiqua" w:cs="Arial"/>
        </w:rPr>
        <w:t xml:space="preserve"> and 94.</w:t>
      </w:r>
      <w:r w:rsidR="003654EA" w:rsidRPr="00A35CEC">
        <w:rPr>
          <w:rFonts w:ascii="Book Antiqua" w:hAnsi="Book Antiqua" w:cs="Arial"/>
        </w:rPr>
        <w:t>9</w:t>
      </w:r>
      <w:r w:rsidR="00051468" w:rsidRPr="00A35CEC">
        <w:rPr>
          <w:rFonts w:ascii="Book Antiqua" w:hAnsi="Book Antiqua" w:cs="Arial"/>
        </w:rPr>
        <w:t>%</w:t>
      </w:r>
      <w:r w:rsidR="0013046F" w:rsidRPr="00A35CEC">
        <w:rPr>
          <w:rFonts w:ascii="Book Antiqua" w:hAnsi="Book Antiqua" w:cs="Arial"/>
        </w:rPr>
        <w:t xml:space="preserve"> (30 cases)</w:t>
      </w:r>
      <w:r w:rsidR="00051468" w:rsidRPr="00A35CEC">
        <w:rPr>
          <w:rFonts w:ascii="Book Antiqua" w:hAnsi="Book Antiqua" w:cs="Arial"/>
        </w:rPr>
        <w:t xml:space="preserve"> in 2030 and 2035 compared to 201</w:t>
      </w:r>
      <w:r w:rsidR="003654EA" w:rsidRPr="00A35CEC">
        <w:rPr>
          <w:rFonts w:ascii="Book Antiqua" w:hAnsi="Book Antiqua" w:cs="Arial"/>
        </w:rPr>
        <w:t>5</w:t>
      </w:r>
      <w:r w:rsidR="00051468" w:rsidRPr="00A35CEC">
        <w:rPr>
          <w:rFonts w:ascii="Book Antiqua" w:hAnsi="Book Antiqua" w:cs="Arial"/>
        </w:rPr>
        <w:t xml:space="preserve">, respectively. Liver related deaths </w:t>
      </w:r>
      <w:r w:rsidR="0013046F" w:rsidRPr="00A35CEC">
        <w:rPr>
          <w:rFonts w:ascii="Book Antiqua" w:hAnsi="Book Antiqua" w:cs="Arial"/>
        </w:rPr>
        <w:t>are projected to</w:t>
      </w:r>
      <w:r w:rsidR="00051468" w:rsidRPr="00A35CEC">
        <w:rPr>
          <w:rFonts w:ascii="Book Antiqua" w:hAnsi="Book Antiqua" w:cs="Arial"/>
        </w:rPr>
        <w:t xml:space="preserve"> decrease by 6</w:t>
      </w:r>
      <w:r w:rsidR="003654EA" w:rsidRPr="00A35CEC">
        <w:rPr>
          <w:rFonts w:ascii="Book Antiqua" w:hAnsi="Book Antiqua" w:cs="Arial"/>
        </w:rPr>
        <w:t>5</w:t>
      </w:r>
      <w:r w:rsidR="00051468" w:rsidRPr="00A35CEC">
        <w:rPr>
          <w:rFonts w:ascii="Book Antiqua" w:hAnsi="Book Antiqua" w:cs="Arial"/>
        </w:rPr>
        <w:t>.</w:t>
      </w:r>
      <w:r w:rsidR="003654EA" w:rsidRPr="00A35CEC">
        <w:rPr>
          <w:rFonts w:ascii="Book Antiqua" w:hAnsi="Book Antiqua" w:cs="Arial"/>
        </w:rPr>
        <w:t>7</w:t>
      </w:r>
      <w:r w:rsidR="00051468" w:rsidRPr="00A35CEC">
        <w:rPr>
          <w:rFonts w:ascii="Book Antiqua" w:hAnsi="Book Antiqua" w:cs="Arial"/>
        </w:rPr>
        <w:t>%</w:t>
      </w:r>
      <w:r w:rsidR="0013046F" w:rsidRPr="00A35CEC">
        <w:rPr>
          <w:rFonts w:ascii="Book Antiqua" w:hAnsi="Book Antiqua" w:cs="Arial"/>
        </w:rPr>
        <w:t xml:space="preserve"> (226 deaths)</w:t>
      </w:r>
      <w:r w:rsidR="00051468" w:rsidRPr="00A35CEC">
        <w:rPr>
          <w:rFonts w:ascii="Book Antiqua" w:hAnsi="Book Antiqua" w:cs="Arial"/>
        </w:rPr>
        <w:t xml:space="preserve"> in 2030 and 91.</w:t>
      </w:r>
      <w:r w:rsidR="003654EA" w:rsidRPr="00A35CEC">
        <w:rPr>
          <w:rFonts w:ascii="Book Antiqua" w:hAnsi="Book Antiqua" w:cs="Arial"/>
        </w:rPr>
        <w:t>4</w:t>
      </w:r>
      <w:r w:rsidR="00051468" w:rsidRPr="00A35CEC">
        <w:rPr>
          <w:rFonts w:ascii="Book Antiqua" w:hAnsi="Book Antiqua" w:cs="Arial"/>
        </w:rPr>
        <w:t>%</w:t>
      </w:r>
      <w:r w:rsidR="0013046F" w:rsidRPr="00A35CEC">
        <w:rPr>
          <w:rFonts w:ascii="Book Antiqua" w:hAnsi="Book Antiqua" w:cs="Arial"/>
        </w:rPr>
        <w:t xml:space="preserve"> (57 deaths)</w:t>
      </w:r>
      <w:r w:rsidR="00051468" w:rsidRPr="00A35CEC">
        <w:rPr>
          <w:rFonts w:ascii="Book Antiqua" w:hAnsi="Book Antiqua" w:cs="Arial"/>
        </w:rPr>
        <w:t xml:space="preserve"> in 2035</w:t>
      </w:r>
      <w:r w:rsidR="00616C7E" w:rsidRPr="00A35CEC">
        <w:rPr>
          <w:rFonts w:ascii="Book Antiqua" w:hAnsi="Book Antiqua" w:cs="Arial"/>
        </w:rPr>
        <w:t xml:space="preserve"> compared to 2015</w:t>
      </w:r>
      <w:r w:rsidR="00051468" w:rsidRPr="00A35CEC">
        <w:rPr>
          <w:rFonts w:ascii="Book Antiqua" w:hAnsi="Book Antiqua" w:cs="Arial"/>
        </w:rPr>
        <w:t>, respectively</w:t>
      </w:r>
      <w:bookmarkStart w:id="82" w:name="_Hlk510623464"/>
      <w:r w:rsidR="00751F5B" w:rsidRPr="00A35CEC">
        <w:rPr>
          <w:rFonts w:ascii="Book Antiqua" w:hAnsi="Book Antiqua" w:cs="Arial"/>
        </w:rPr>
        <w:t>.</w:t>
      </w:r>
      <w:bookmarkEnd w:id="82"/>
      <w:r w:rsidR="00751F5B" w:rsidRPr="00A35CEC">
        <w:rPr>
          <w:rFonts w:ascii="Book Antiqua" w:hAnsi="Book Antiqua" w:cs="Arial"/>
        </w:rPr>
        <w:t xml:space="preserve"> Finally, </w:t>
      </w:r>
      <w:r w:rsidR="00616C7E" w:rsidRPr="00A35CEC">
        <w:rPr>
          <w:rFonts w:ascii="Book Antiqua" w:hAnsi="Book Antiqua" w:cs="Arial"/>
        </w:rPr>
        <w:t xml:space="preserve">the </w:t>
      </w:r>
      <w:r w:rsidR="00751F5B" w:rsidRPr="00A35CEC">
        <w:rPr>
          <w:rFonts w:ascii="Book Antiqua" w:hAnsi="Book Antiqua" w:cs="Arial"/>
        </w:rPr>
        <w:t xml:space="preserve">number of </w:t>
      </w:r>
      <w:proofErr w:type="spellStart"/>
      <w:r w:rsidR="00751F5B" w:rsidRPr="00A35CEC">
        <w:rPr>
          <w:rFonts w:ascii="Book Antiqua" w:hAnsi="Book Antiqua" w:cs="Arial"/>
        </w:rPr>
        <w:t>viremic</w:t>
      </w:r>
      <w:proofErr w:type="spellEnd"/>
      <w:r w:rsidR="00607CC6" w:rsidRPr="00A35CEC">
        <w:rPr>
          <w:rFonts w:ascii="Book Antiqua" w:hAnsi="Book Antiqua" w:cs="Arial"/>
        </w:rPr>
        <w:t xml:space="preserve"> </w:t>
      </w:r>
      <w:r w:rsidR="00E11515" w:rsidRPr="00A35CEC">
        <w:rPr>
          <w:rFonts w:ascii="Book Antiqua" w:hAnsi="Book Antiqua" w:cs="Arial"/>
        </w:rPr>
        <w:t xml:space="preserve">cases </w:t>
      </w:r>
      <w:r w:rsidR="00751F5B" w:rsidRPr="00A35CEC">
        <w:rPr>
          <w:rFonts w:ascii="Book Antiqua" w:hAnsi="Book Antiqua" w:cs="Arial"/>
        </w:rPr>
        <w:t>would decrease</w:t>
      </w:r>
      <w:r w:rsidR="00B560AD" w:rsidRPr="00A35CEC">
        <w:rPr>
          <w:rFonts w:ascii="Book Antiqua" w:hAnsi="Book Antiqua" w:cs="Arial"/>
        </w:rPr>
        <w:t xml:space="preserve"> by 78.</w:t>
      </w:r>
      <w:r w:rsidR="003654EA" w:rsidRPr="00A35CEC">
        <w:rPr>
          <w:rFonts w:ascii="Book Antiqua" w:hAnsi="Book Antiqua" w:cs="Arial"/>
        </w:rPr>
        <w:t>8</w:t>
      </w:r>
      <w:r w:rsidR="00CB4FF5" w:rsidRPr="00A35CEC">
        <w:rPr>
          <w:rFonts w:ascii="Book Antiqua" w:hAnsi="Book Antiqua" w:cs="Arial"/>
        </w:rPr>
        <w:t>%</w:t>
      </w:r>
      <w:r w:rsidR="0013046F" w:rsidRPr="00A35CEC">
        <w:rPr>
          <w:rFonts w:ascii="Book Antiqua" w:hAnsi="Book Antiqua" w:cs="Arial"/>
        </w:rPr>
        <w:t xml:space="preserve"> (28</w:t>
      </w:r>
      <w:r w:rsidR="00616C7E" w:rsidRPr="00A35CEC">
        <w:rPr>
          <w:rFonts w:ascii="Book Antiqua" w:hAnsi="Book Antiqua" w:cs="Arial"/>
        </w:rPr>
        <w:t>,</w:t>
      </w:r>
      <w:r w:rsidR="0013046F" w:rsidRPr="00A35CEC">
        <w:rPr>
          <w:rFonts w:ascii="Book Antiqua" w:hAnsi="Book Antiqua" w:cs="Arial"/>
        </w:rPr>
        <w:t>000 cases)</w:t>
      </w:r>
      <w:r w:rsidR="00CB4FF5" w:rsidRPr="00A35CEC">
        <w:rPr>
          <w:rFonts w:ascii="Book Antiqua" w:hAnsi="Book Antiqua" w:cs="Arial"/>
        </w:rPr>
        <w:t xml:space="preserve"> and 98.4%</w:t>
      </w:r>
      <w:r w:rsidR="0013046F" w:rsidRPr="00A35CEC">
        <w:rPr>
          <w:rFonts w:ascii="Book Antiqua" w:hAnsi="Book Antiqua" w:cs="Arial"/>
        </w:rPr>
        <w:t xml:space="preserve"> (2</w:t>
      </w:r>
      <w:r w:rsidR="00616C7E" w:rsidRPr="00A35CEC">
        <w:rPr>
          <w:rFonts w:ascii="Book Antiqua" w:hAnsi="Book Antiqua" w:cs="Arial"/>
        </w:rPr>
        <w:t>,</w:t>
      </w:r>
      <w:r w:rsidR="0013046F" w:rsidRPr="00A35CEC">
        <w:rPr>
          <w:rFonts w:ascii="Book Antiqua" w:hAnsi="Book Antiqua" w:cs="Arial"/>
        </w:rPr>
        <w:t>100 cases)</w:t>
      </w:r>
      <w:r w:rsidR="00CB4FF5" w:rsidRPr="00A35CEC">
        <w:rPr>
          <w:rFonts w:ascii="Book Antiqua" w:hAnsi="Book Antiqua" w:cs="Arial"/>
        </w:rPr>
        <w:t xml:space="preserve"> in 2030 and 2035</w:t>
      </w:r>
      <w:r w:rsidR="00616C7E" w:rsidRPr="00A35CEC">
        <w:rPr>
          <w:rFonts w:ascii="Book Antiqua" w:hAnsi="Book Antiqua" w:cs="Arial"/>
        </w:rPr>
        <w:t xml:space="preserve"> compared to the number of </w:t>
      </w:r>
      <w:proofErr w:type="spellStart"/>
      <w:r w:rsidR="00616C7E" w:rsidRPr="00A35CEC">
        <w:rPr>
          <w:rFonts w:ascii="Book Antiqua" w:hAnsi="Book Antiqua" w:cs="Arial"/>
        </w:rPr>
        <w:lastRenderedPageBreak/>
        <w:t>viremic</w:t>
      </w:r>
      <w:proofErr w:type="spellEnd"/>
      <w:r w:rsidR="00616C7E" w:rsidRPr="00A35CEC">
        <w:rPr>
          <w:rFonts w:ascii="Book Antiqua" w:hAnsi="Book Antiqua" w:cs="Arial"/>
        </w:rPr>
        <w:t xml:space="preserve"> cases in 2015</w:t>
      </w:r>
      <w:r w:rsidR="00751F5B" w:rsidRPr="00A35CEC">
        <w:rPr>
          <w:rFonts w:ascii="Book Antiqua" w:hAnsi="Book Antiqua" w:cs="Arial"/>
        </w:rPr>
        <w:t>, respectively</w:t>
      </w:r>
      <w:r w:rsidR="005262A6" w:rsidRPr="00A35CEC">
        <w:rPr>
          <w:rFonts w:ascii="Book Antiqua" w:hAnsi="Book Antiqua" w:cs="Arial"/>
        </w:rPr>
        <w:t xml:space="preserve"> </w:t>
      </w:r>
      <w:r w:rsidR="00B26201" w:rsidRPr="00A35CEC">
        <w:rPr>
          <w:rFonts w:ascii="Book Antiqua" w:hAnsi="Book Antiqua" w:cs="Arial"/>
        </w:rPr>
        <w:t>(</w:t>
      </w:r>
      <w:r w:rsidR="006303C7" w:rsidRPr="00A35CEC">
        <w:rPr>
          <w:rFonts w:ascii="Book Antiqua" w:hAnsi="Book Antiqua" w:cs="Arial"/>
        </w:rPr>
        <w:t>Table</w:t>
      </w:r>
      <w:r w:rsidR="003D2070" w:rsidRPr="00A35CEC">
        <w:rPr>
          <w:rFonts w:ascii="Book Antiqua" w:hAnsi="Book Antiqua" w:cs="Arial"/>
        </w:rPr>
        <w:t xml:space="preserve"> </w:t>
      </w:r>
      <w:r w:rsidR="00B26201" w:rsidRPr="00A35CEC">
        <w:rPr>
          <w:rFonts w:ascii="Book Antiqua" w:hAnsi="Book Antiqua" w:cs="Arial"/>
        </w:rPr>
        <w:t xml:space="preserve">3, </w:t>
      </w:r>
      <w:r w:rsidR="00485947" w:rsidRPr="00A35CEC">
        <w:rPr>
          <w:rFonts w:ascii="Book Antiqua" w:hAnsi="Book Antiqua" w:cs="Arial"/>
        </w:rPr>
        <w:t>Figure</w:t>
      </w:r>
      <w:r w:rsidR="003D2070" w:rsidRPr="00A35CEC">
        <w:rPr>
          <w:rFonts w:ascii="Book Antiqua" w:hAnsi="Book Antiqua" w:cs="Arial"/>
        </w:rPr>
        <w:t xml:space="preserve"> </w:t>
      </w:r>
      <w:r w:rsidR="00751F5B" w:rsidRPr="00A35CEC">
        <w:rPr>
          <w:rFonts w:ascii="Book Antiqua" w:hAnsi="Book Antiqua" w:cs="Arial"/>
        </w:rPr>
        <w:t>1</w:t>
      </w:r>
      <w:r w:rsidR="003D2070" w:rsidRPr="00A35CEC">
        <w:rPr>
          <w:rFonts w:ascii="Book Antiqua" w:hAnsi="Book Antiqua" w:cs="Arial"/>
        </w:rPr>
        <w:t>A-E</w:t>
      </w:r>
      <w:r w:rsidR="00751F5B" w:rsidRPr="00A35CEC">
        <w:rPr>
          <w:rFonts w:ascii="Book Antiqua" w:hAnsi="Book Antiqua" w:cs="Arial"/>
        </w:rPr>
        <w:t>).</w:t>
      </w:r>
      <w:r w:rsidR="00E57A5C" w:rsidRPr="00A35CEC">
        <w:rPr>
          <w:rFonts w:ascii="Book Antiqua" w:hAnsi="Book Antiqua" w:cs="Arial"/>
        </w:rPr>
        <w:t xml:space="preserve"> To a</w:t>
      </w:r>
      <w:r w:rsidRPr="00A35CEC">
        <w:rPr>
          <w:rFonts w:ascii="Book Antiqua" w:hAnsi="Book Antiqua" w:cs="Arial"/>
        </w:rPr>
        <w:t>chieve the elimination goals, 90</w:t>
      </w:r>
      <w:r w:rsidR="00616C7E" w:rsidRPr="00A35CEC">
        <w:rPr>
          <w:rFonts w:ascii="Book Antiqua" w:hAnsi="Book Antiqua" w:cs="Arial"/>
        </w:rPr>
        <w:t>,</w:t>
      </w:r>
      <w:r w:rsidRPr="00A35CEC">
        <w:rPr>
          <w:rFonts w:ascii="Book Antiqua" w:hAnsi="Book Antiqua" w:cs="Arial"/>
        </w:rPr>
        <w:t xml:space="preserve">000 </w:t>
      </w:r>
      <w:r w:rsidR="00E57A5C" w:rsidRPr="00A35CEC">
        <w:rPr>
          <w:rFonts w:ascii="Book Antiqua" w:hAnsi="Book Antiqua" w:cs="Arial"/>
        </w:rPr>
        <w:t>patients</w:t>
      </w:r>
      <w:r w:rsidRPr="00A35CEC">
        <w:rPr>
          <w:rFonts w:ascii="Book Antiqua" w:hAnsi="Book Antiqua" w:cs="Arial"/>
        </w:rPr>
        <w:t xml:space="preserve"> need</w:t>
      </w:r>
      <w:r w:rsidR="00E57A5C" w:rsidRPr="00A35CEC">
        <w:rPr>
          <w:rFonts w:ascii="Book Antiqua" w:hAnsi="Book Antiqua" w:cs="Arial"/>
        </w:rPr>
        <w:t xml:space="preserve"> to be treated by 2030.</w:t>
      </w:r>
    </w:p>
    <w:p w14:paraId="04DD0972" w14:textId="77777777" w:rsidR="0033010E" w:rsidRPr="00A35CEC" w:rsidRDefault="0033010E">
      <w:pPr>
        <w:pStyle w:val="10"/>
        <w:adjustRightInd w:val="0"/>
        <w:snapToGrid w:val="0"/>
        <w:spacing w:line="360" w:lineRule="auto"/>
        <w:ind w:left="0"/>
        <w:contextualSpacing w:val="0"/>
        <w:jc w:val="both"/>
        <w:rPr>
          <w:rFonts w:ascii="Book Antiqua" w:hAnsi="Book Antiqua" w:cs="Arial"/>
          <w:b/>
        </w:rPr>
      </w:pPr>
    </w:p>
    <w:p w14:paraId="2EC010F7" w14:textId="77777777" w:rsidR="00800C65" w:rsidRPr="00A35CEC" w:rsidRDefault="003E0B36">
      <w:pPr>
        <w:adjustRightInd w:val="0"/>
        <w:snapToGrid w:val="0"/>
        <w:spacing w:line="360" w:lineRule="auto"/>
        <w:jc w:val="both"/>
        <w:rPr>
          <w:rFonts w:ascii="Book Antiqua" w:hAnsi="Book Antiqua"/>
          <w:b/>
          <w:i/>
        </w:rPr>
      </w:pPr>
      <w:r w:rsidRPr="00A35CEC">
        <w:rPr>
          <w:rFonts w:ascii="Book Antiqua" w:hAnsi="Book Antiqua"/>
          <w:b/>
          <w:i/>
        </w:rPr>
        <w:t>Economic</w:t>
      </w:r>
      <w:r w:rsidR="00800C65" w:rsidRPr="00A35CEC">
        <w:rPr>
          <w:rFonts w:ascii="Book Antiqua" w:hAnsi="Book Antiqua"/>
          <w:b/>
          <w:i/>
        </w:rPr>
        <w:t xml:space="preserve"> projections</w:t>
      </w:r>
    </w:p>
    <w:p w14:paraId="74EC795D" w14:textId="7AB4B193" w:rsidR="00ED3576" w:rsidRPr="00A35CEC" w:rsidRDefault="00185004">
      <w:pPr>
        <w:adjustRightInd w:val="0"/>
        <w:snapToGrid w:val="0"/>
        <w:spacing w:line="360" w:lineRule="auto"/>
        <w:jc w:val="both"/>
        <w:rPr>
          <w:rFonts w:ascii="Book Antiqua" w:hAnsi="Book Antiqua"/>
          <w:b/>
        </w:rPr>
      </w:pPr>
      <w:r w:rsidRPr="00A35CEC">
        <w:rPr>
          <w:rFonts w:ascii="Book Antiqua" w:hAnsi="Book Antiqua"/>
          <w:b/>
        </w:rPr>
        <w:t>Annual d</w:t>
      </w:r>
      <w:r w:rsidR="00863A35" w:rsidRPr="00A35CEC">
        <w:rPr>
          <w:rFonts w:ascii="Book Antiqua" w:hAnsi="Book Antiqua"/>
          <w:b/>
        </w:rPr>
        <w:t>irect costs</w:t>
      </w:r>
      <w:r w:rsidR="002E0A9D" w:rsidRPr="00A35CEC">
        <w:rPr>
          <w:rFonts w:ascii="Book Antiqua" w:hAnsi="Book Antiqua"/>
          <w:b/>
        </w:rPr>
        <w:t xml:space="preserve">: </w:t>
      </w:r>
      <w:r w:rsidR="005058CA" w:rsidRPr="00A35CEC">
        <w:rPr>
          <w:rFonts w:ascii="Book Antiqua" w:eastAsia="Calibri" w:hAnsi="Book Antiqua" w:cs="Arial"/>
        </w:rPr>
        <w:t xml:space="preserve">Under </w:t>
      </w:r>
      <w:r w:rsidR="001E534B" w:rsidRPr="00A35CEC">
        <w:rPr>
          <w:rFonts w:ascii="Book Antiqua" w:eastAsia="Calibri" w:hAnsi="Book Antiqua" w:cs="Arial"/>
        </w:rPr>
        <w:t xml:space="preserve">the </w:t>
      </w:r>
      <w:r w:rsidR="005058CA" w:rsidRPr="00A35CEC">
        <w:rPr>
          <w:rFonts w:ascii="Book Antiqua" w:eastAsia="Calibri" w:hAnsi="Book Antiqua" w:cs="Arial"/>
        </w:rPr>
        <w:t>base</w:t>
      </w:r>
      <w:r w:rsidR="00806A88" w:rsidRPr="00A35CEC">
        <w:rPr>
          <w:rFonts w:ascii="Book Antiqua" w:eastAsia="Calibri" w:hAnsi="Book Antiqua" w:cs="Arial"/>
        </w:rPr>
        <w:t xml:space="preserve"> </w:t>
      </w:r>
      <w:r w:rsidR="001E534B" w:rsidRPr="00A35CEC">
        <w:rPr>
          <w:rFonts w:ascii="Book Antiqua" w:eastAsia="Calibri" w:hAnsi="Book Antiqua" w:cs="Arial"/>
        </w:rPr>
        <w:t>case</w:t>
      </w:r>
      <w:r w:rsidR="005058CA" w:rsidRPr="00A35CEC">
        <w:rPr>
          <w:rFonts w:ascii="Book Antiqua" w:eastAsia="Calibri" w:hAnsi="Book Antiqua" w:cs="Arial"/>
        </w:rPr>
        <w:t xml:space="preserve"> scenario, the annual direct costs of </w:t>
      </w:r>
      <w:proofErr w:type="spellStart"/>
      <w:r w:rsidR="005058CA" w:rsidRPr="00A35CEC">
        <w:rPr>
          <w:rFonts w:ascii="Book Antiqua" w:eastAsia="Calibri" w:hAnsi="Book Antiqua" w:cs="Arial"/>
        </w:rPr>
        <w:t>HCV</w:t>
      </w:r>
      <w:proofErr w:type="spellEnd"/>
      <w:r w:rsidR="005058CA" w:rsidRPr="00A35CEC">
        <w:rPr>
          <w:rFonts w:ascii="Book Antiqua" w:eastAsia="Calibri" w:hAnsi="Book Antiqua" w:cs="Arial"/>
        </w:rPr>
        <w:t xml:space="preserve"> in 2016 </w:t>
      </w:r>
      <w:r w:rsidR="002E58BD" w:rsidRPr="00A35CEC">
        <w:rPr>
          <w:rFonts w:ascii="Book Antiqua" w:eastAsia="Calibri" w:hAnsi="Book Antiqua" w:cs="Arial"/>
        </w:rPr>
        <w:t xml:space="preserve">are </w:t>
      </w:r>
      <w:r w:rsidR="005058CA" w:rsidRPr="00A35CEC">
        <w:rPr>
          <w:rFonts w:ascii="Book Antiqua" w:eastAsia="Calibri" w:hAnsi="Book Antiqua" w:cs="Arial"/>
        </w:rPr>
        <w:t>€</w:t>
      </w:r>
      <w:r w:rsidR="00E216FC" w:rsidRPr="00A35CEC">
        <w:rPr>
          <w:rFonts w:ascii="Book Antiqua" w:eastAsia="Calibri" w:hAnsi="Book Antiqua" w:cs="Arial"/>
        </w:rPr>
        <w:t>105</w:t>
      </w:r>
      <w:r w:rsidR="005058CA" w:rsidRPr="00A35CEC">
        <w:rPr>
          <w:rFonts w:ascii="Book Antiqua" w:eastAsia="Calibri" w:hAnsi="Book Antiqua" w:cs="Arial"/>
        </w:rPr>
        <w:t xml:space="preserve"> million. </w:t>
      </w:r>
      <w:r w:rsidR="00ED3576" w:rsidRPr="00A35CEC">
        <w:rPr>
          <w:rFonts w:ascii="Book Antiqua" w:eastAsia="Calibri" w:hAnsi="Book Antiqua" w:cs="Arial"/>
        </w:rPr>
        <w:t xml:space="preserve">Without the additional implementation of awareness or screening campaigns, the number of available patients for treatment </w:t>
      </w:r>
      <w:r w:rsidR="00E123AD" w:rsidRPr="00A35CEC">
        <w:rPr>
          <w:rFonts w:ascii="Book Antiqua" w:eastAsia="Calibri" w:hAnsi="Book Antiqua" w:cs="Arial"/>
        </w:rPr>
        <w:t>would</w:t>
      </w:r>
      <w:r w:rsidR="00ED3576" w:rsidRPr="00A35CEC">
        <w:rPr>
          <w:rFonts w:ascii="Book Antiqua" w:eastAsia="Calibri" w:hAnsi="Book Antiqua" w:cs="Arial"/>
        </w:rPr>
        <w:t xml:space="preserve"> drop</w:t>
      </w:r>
      <w:r w:rsidR="002E58BD" w:rsidRPr="00A35CEC">
        <w:rPr>
          <w:rFonts w:ascii="Book Antiqua" w:eastAsia="Calibri" w:hAnsi="Book Antiqua" w:cs="Arial"/>
        </w:rPr>
        <w:t xml:space="preserve">, leading to a corresponding </w:t>
      </w:r>
      <w:r w:rsidR="00AC35A3" w:rsidRPr="00A35CEC">
        <w:rPr>
          <w:rFonts w:ascii="Book Antiqua" w:eastAsia="Calibri" w:hAnsi="Book Antiqua" w:cs="Arial"/>
        </w:rPr>
        <w:t xml:space="preserve">decrease in </w:t>
      </w:r>
      <w:r w:rsidR="00806A88" w:rsidRPr="00A35CEC">
        <w:rPr>
          <w:rFonts w:ascii="Book Antiqua" w:eastAsia="Calibri" w:hAnsi="Book Antiqua" w:cs="Arial"/>
        </w:rPr>
        <w:t>the cost</w:t>
      </w:r>
      <w:r w:rsidR="00ED3576" w:rsidRPr="00A35CEC">
        <w:rPr>
          <w:rFonts w:ascii="Book Antiqua" w:eastAsia="Calibri" w:hAnsi="Book Antiqua" w:cs="Arial"/>
        </w:rPr>
        <w:t xml:space="preserve"> attributed to antiviral therapies</w:t>
      </w:r>
      <w:r w:rsidR="003D2070" w:rsidRPr="00A35CEC">
        <w:rPr>
          <w:rFonts w:ascii="Book Antiqua" w:eastAsia="Calibri" w:hAnsi="Book Antiqua" w:cs="Arial"/>
        </w:rPr>
        <w:t>.</w:t>
      </w:r>
      <w:r w:rsidR="0033010E" w:rsidRPr="00A35CEC">
        <w:rPr>
          <w:rFonts w:ascii="Book Antiqua" w:eastAsia="Calibri" w:hAnsi="Book Antiqua" w:cs="Arial"/>
        </w:rPr>
        <w:t xml:space="preserve"> </w:t>
      </w:r>
      <w:r w:rsidR="00ED3576" w:rsidRPr="00A35CEC">
        <w:rPr>
          <w:rFonts w:ascii="Book Antiqua" w:eastAsia="Calibri" w:hAnsi="Book Antiqua" w:cs="Arial"/>
        </w:rPr>
        <w:t>Specifically, the annual direct costs would decline from €</w:t>
      </w:r>
      <w:r w:rsidR="00E123AD" w:rsidRPr="00A35CEC">
        <w:rPr>
          <w:rFonts w:ascii="Book Antiqua" w:eastAsia="Calibri" w:hAnsi="Book Antiqua" w:cs="Arial"/>
        </w:rPr>
        <w:t>105</w:t>
      </w:r>
      <w:r w:rsidR="00ED3576" w:rsidRPr="00A35CEC">
        <w:rPr>
          <w:rFonts w:ascii="Book Antiqua" w:eastAsia="Calibri" w:hAnsi="Book Antiqua" w:cs="Arial"/>
        </w:rPr>
        <w:t xml:space="preserve"> to €83 million by 2019 and remain at this level </w:t>
      </w:r>
      <w:r w:rsidR="00BE7C7C" w:rsidRPr="00A35CEC">
        <w:rPr>
          <w:rFonts w:ascii="Book Antiqua" w:eastAsia="Calibri" w:hAnsi="Book Antiqua" w:cs="Arial"/>
        </w:rPr>
        <w:t xml:space="preserve">through </w:t>
      </w:r>
      <w:r w:rsidR="00ED3576" w:rsidRPr="00A35CEC">
        <w:rPr>
          <w:rFonts w:ascii="Book Antiqua" w:eastAsia="Calibri" w:hAnsi="Book Antiqua" w:cs="Arial"/>
        </w:rPr>
        <w:t>2035 (</w:t>
      </w:r>
      <w:r w:rsidR="00485947" w:rsidRPr="00A35CEC">
        <w:rPr>
          <w:rFonts w:ascii="Book Antiqua" w:eastAsia="Calibri" w:hAnsi="Book Antiqua" w:cs="Arial"/>
        </w:rPr>
        <w:t>Figure</w:t>
      </w:r>
      <w:r w:rsidR="009C1436" w:rsidRPr="00A35CEC">
        <w:rPr>
          <w:rFonts w:ascii="Book Antiqua" w:eastAsia="Calibri" w:hAnsi="Book Antiqua" w:cs="Arial"/>
        </w:rPr>
        <w:t>s</w:t>
      </w:r>
      <w:r w:rsidR="003D2070" w:rsidRPr="00A35CEC">
        <w:rPr>
          <w:rFonts w:ascii="Book Antiqua" w:eastAsia="Calibri" w:hAnsi="Book Antiqua" w:cs="Arial"/>
        </w:rPr>
        <w:t xml:space="preserve"> </w:t>
      </w:r>
      <w:r w:rsidR="009C1436" w:rsidRPr="00A35CEC">
        <w:rPr>
          <w:rFonts w:ascii="Book Antiqua" w:eastAsia="Calibri" w:hAnsi="Book Antiqua" w:cs="Arial"/>
        </w:rPr>
        <w:t xml:space="preserve">2 and </w:t>
      </w:r>
      <w:r w:rsidR="00ED3576" w:rsidRPr="00A35CEC">
        <w:rPr>
          <w:rFonts w:ascii="Book Antiqua" w:eastAsia="Calibri" w:hAnsi="Book Antiqua" w:cs="Arial"/>
        </w:rPr>
        <w:t xml:space="preserve">3).  </w:t>
      </w:r>
    </w:p>
    <w:p w14:paraId="1CB4F840" w14:textId="010D6086" w:rsidR="006F2B7B" w:rsidRPr="00A35CEC" w:rsidRDefault="009C1436">
      <w:pPr>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170D71" w:rsidRPr="00A35CEC">
        <w:rPr>
          <w:rFonts w:ascii="Book Antiqua" w:eastAsia="Calibri" w:hAnsi="Book Antiqua" w:cs="Arial"/>
        </w:rPr>
        <w:t xml:space="preserve">Regarding </w:t>
      </w:r>
      <w:r w:rsidR="002E58BD" w:rsidRPr="00A35CEC">
        <w:rPr>
          <w:rFonts w:ascii="Book Antiqua" w:eastAsia="Calibri" w:hAnsi="Book Antiqua" w:cs="Arial"/>
        </w:rPr>
        <w:t xml:space="preserve">the </w:t>
      </w:r>
      <w:r w:rsidR="00170D71" w:rsidRPr="00A35CEC">
        <w:rPr>
          <w:rFonts w:ascii="Book Antiqua" w:eastAsia="Calibri" w:hAnsi="Book Antiqua" w:cs="Arial"/>
        </w:rPr>
        <w:t>WHO Global Hepatitis Strategy, the model predicts a</w:t>
      </w:r>
      <w:r w:rsidR="004C1510" w:rsidRPr="00A35CEC">
        <w:rPr>
          <w:rFonts w:ascii="Book Antiqua" w:eastAsia="Calibri" w:hAnsi="Book Antiqua" w:cs="Arial"/>
        </w:rPr>
        <w:t xml:space="preserve"> steep</w:t>
      </w:r>
      <w:r w:rsidR="00170D71" w:rsidRPr="00A35CEC">
        <w:rPr>
          <w:rFonts w:ascii="Book Antiqua" w:eastAsia="Calibri" w:hAnsi="Book Antiqua" w:cs="Arial"/>
        </w:rPr>
        <w:t xml:space="preserve"> upward </w:t>
      </w:r>
      <w:r w:rsidR="007A1F28" w:rsidRPr="00A35CEC">
        <w:rPr>
          <w:rFonts w:ascii="Book Antiqua" w:eastAsia="Calibri" w:hAnsi="Book Antiqua" w:cs="Arial"/>
        </w:rPr>
        <w:t xml:space="preserve">trend in direct costs until </w:t>
      </w:r>
      <w:r w:rsidR="00ED3576" w:rsidRPr="00A35CEC">
        <w:rPr>
          <w:rFonts w:ascii="Book Antiqua" w:eastAsia="Calibri" w:hAnsi="Book Antiqua" w:cs="Arial"/>
        </w:rPr>
        <w:t>2023 and 2028</w:t>
      </w:r>
      <w:r w:rsidR="006F2B7B" w:rsidRPr="00A35CEC">
        <w:rPr>
          <w:rFonts w:ascii="Book Antiqua" w:eastAsia="Calibri" w:hAnsi="Book Antiqua" w:cs="Arial"/>
        </w:rPr>
        <w:t xml:space="preserve"> for the optimistic and the conservative</w:t>
      </w:r>
      <w:r w:rsidR="006F2B7B" w:rsidRPr="00A35CEC">
        <w:rPr>
          <w:rFonts w:ascii="Book Antiqua" w:hAnsi="Book Antiqua" w:cs="Arial"/>
        </w:rPr>
        <w:t xml:space="preserve"> price reduction scenario, respectively</w:t>
      </w:r>
      <w:r w:rsidR="00BE7C7C" w:rsidRPr="00A35CEC">
        <w:rPr>
          <w:rFonts w:ascii="Book Antiqua" w:hAnsi="Book Antiqua" w:cs="Arial"/>
        </w:rPr>
        <w:t>,</w:t>
      </w:r>
      <w:r w:rsidR="006F2B7B" w:rsidRPr="00A35CEC">
        <w:rPr>
          <w:rFonts w:ascii="Book Antiqua" w:eastAsia="Calibri" w:hAnsi="Book Antiqua" w:cs="Arial"/>
        </w:rPr>
        <w:t xml:space="preserve"> </w:t>
      </w:r>
      <w:r w:rsidR="00170D71" w:rsidRPr="00A35CEC">
        <w:rPr>
          <w:rFonts w:ascii="Book Antiqua" w:eastAsia="Calibri" w:hAnsi="Book Antiqua" w:cs="Arial"/>
        </w:rPr>
        <w:t xml:space="preserve">followed by </w:t>
      </w:r>
      <w:r w:rsidR="007A1F28" w:rsidRPr="00A35CEC">
        <w:rPr>
          <w:rFonts w:ascii="Book Antiqua" w:eastAsia="Calibri" w:hAnsi="Book Antiqua" w:cs="Arial"/>
        </w:rPr>
        <w:t xml:space="preserve">a significant decline </w:t>
      </w:r>
      <w:r w:rsidR="00BE7C7C" w:rsidRPr="00A35CEC">
        <w:rPr>
          <w:rFonts w:ascii="Book Antiqua" w:eastAsia="Calibri" w:hAnsi="Book Antiqua" w:cs="Arial"/>
        </w:rPr>
        <w:t xml:space="preserve">through </w:t>
      </w:r>
      <w:r w:rsidR="007A1F28" w:rsidRPr="00A35CEC">
        <w:rPr>
          <w:rFonts w:ascii="Book Antiqua" w:eastAsia="Calibri" w:hAnsi="Book Antiqua" w:cs="Arial"/>
        </w:rPr>
        <w:t>2035</w:t>
      </w:r>
      <w:r w:rsidR="00170D71" w:rsidRPr="00A35CEC">
        <w:rPr>
          <w:rFonts w:ascii="Book Antiqua" w:eastAsia="Calibri" w:hAnsi="Book Antiqua" w:cs="Arial"/>
        </w:rPr>
        <w:t>.</w:t>
      </w:r>
      <w:r w:rsidR="00FF77A3" w:rsidRPr="00A35CEC">
        <w:rPr>
          <w:rFonts w:ascii="Book Antiqua" w:eastAsia="Calibri" w:hAnsi="Book Antiqua" w:cs="Arial"/>
        </w:rPr>
        <w:t xml:space="preserve"> </w:t>
      </w:r>
      <w:r w:rsidR="00170D71" w:rsidRPr="00A35CEC">
        <w:rPr>
          <w:rFonts w:ascii="Book Antiqua" w:eastAsia="Calibri" w:hAnsi="Book Antiqua" w:cs="Arial"/>
        </w:rPr>
        <w:t xml:space="preserve">Compared to </w:t>
      </w:r>
      <w:r w:rsidR="00BE7C7C" w:rsidRPr="00A35CEC">
        <w:rPr>
          <w:rFonts w:ascii="Book Antiqua" w:eastAsia="Calibri" w:hAnsi="Book Antiqua" w:cs="Arial"/>
        </w:rPr>
        <w:t xml:space="preserve">the </w:t>
      </w:r>
      <w:r w:rsidR="00170D71" w:rsidRPr="00A35CEC">
        <w:rPr>
          <w:rFonts w:ascii="Book Antiqua" w:eastAsia="Calibri" w:hAnsi="Book Antiqua" w:cs="Arial"/>
        </w:rPr>
        <w:t>base case, the annual direct cost</w:t>
      </w:r>
      <w:r w:rsidR="006F2B7B" w:rsidRPr="00A35CEC">
        <w:rPr>
          <w:rFonts w:ascii="Book Antiqua" w:eastAsia="Calibri" w:hAnsi="Book Antiqua" w:cs="Arial"/>
        </w:rPr>
        <w:t xml:space="preserve"> of </w:t>
      </w:r>
      <w:r w:rsidR="002E58BD" w:rsidRPr="00A35CEC">
        <w:rPr>
          <w:rFonts w:ascii="Book Antiqua" w:eastAsia="Calibri" w:hAnsi="Book Antiqua" w:cs="Arial"/>
        </w:rPr>
        <w:t xml:space="preserve">the </w:t>
      </w:r>
      <w:r w:rsidR="006F2B7B" w:rsidRPr="00A35CEC">
        <w:rPr>
          <w:rFonts w:ascii="Book Antiqua" w:eastAsia="Calibri" w:hAnsi="Book Antiqua" w:cs="Arial"/>
        </w:rPr>
        <w:t>elimination scenario</w:t>
      </w:r>
      <w:r w:rsidR="00170D71" w:rsidRPr="00A35CEC">
        <w:rPr>
          <w:rFonts w:ascii="Book Antiqua" w:eastAsia="Calibri" w:hAnsi="Book Antiqua" w:cs="Arial"/>
        </w:rPr>
        <w:t xml:space="preserve"> would be</w:t>
      </w:r>
      <w:r w:rsidR="006F2B7B" w:rsidRPr="00A35CEC">
        <w:rPr>
          <w:rFonts w:ascii="Book Antiqua" w:eastAsia="Calibri" w:hAnsi="Book Antiqua" w:cs="Arial"/>
        </w:rPr>
        <w:t xml:space="preserve"> higher until 2032 and 2034</w:t>
      </w:r>
      <w:r w:rsidR="00776C51" w:rsidRPr="00A35CEC">
        <w:rPr>
          <w:rFonts w:ascii="Book Antiqua" w:eastAsia="Calibri" w:hAnsi="Book Antiqua" w:cs="Arial"/>
        </w:rPr>
        <w:t xml:space="preserve"> under the</w:t>
      </w:r>
      <w:r w:rsidR="00170D71" w:rsidRPr="00A35CEC">
        <w:rPr>
          <w:rFonts w:ascii="Book Antiqua" w:eastAsia="Calibri" w:hAnsi="Book Antiqua" w:cs="Arial"/>
        </w:rPr>
        <w:t xml:space="preserve"> </w:t>
      </w:r>
      <w:r w:rsidR="006F2B7B" w:rsidRPr="00A35CEC">
        <w:rPr>
          <w:rFonts w:ascii="Book Antiqua" w:eastAsia="Calibri" w:hAnsi="Book Antiqua" w:cs="Arial"/>
        </w:rPr>
        <w:t>optimistic and the conservative</w:t>
      </w:r>
      <w:r w:rsidR="006F2B7B" w:rsidRPr="00A35CEC">
        <w:rPr>
          <w:rFonts w:ascii="Book Antiqua" w:hAnsi="Book Antiqua" w:cs="Arial"/>
        </w:rPr>
        <w:t xml:space="preserve"> price reduction scenario, respectively </w:t>
      </w:r>
      <w:r w:rsidR="006F2B7B" w:rsidRPr="00A35CEC">
        <w:rPr>
          <w:rFonts w:ascii="Book Antiqua" w:eastAsia="Calibri" w:hAnsi="Book Antiqua" w:cs="Arial"/>
        </w:rPr>
        <w:t>(</w:t>
      </w:r>
      <w:r w:rsidR="00485947" w:rsidRPr="00A35CEC">
        <w:rPr>
          <w:rFonts w:ascii="Book Antiqua" w:eastAsia="Calibri" w:hAnsi="Book Antiqua" w:cs="Arial"/>
        </w:rPr>
        <w:t>Figure</w:t>
      </w:r>
      <w:r w:rsidRPr="00A35CEC">
        <w:rPr>
          <w:rFonts w:ascii="Book Antiqua" w:eastAsia="Calibri" w:hAnsi="Book Antiqua" w:cs="Arial"/>
        </w:rPr>
        <w:t>s</w:t>
      </w:r>
      <w:r w:rsidR="003D2070" w:rsidRPr="00A35CEC">
        <w:rPr>
          <w:rFonts w:ascii="Book Antiqua" w:eastAsia="Calibri" w:hAnsi="Book Antiqua" w:cs="Arial"/>
        </w:rPr>
        <w:t xml:space="preserve"> </w:t>
      </w:r>
      <w:r w:rsidRPr="00A35CEC">
        <w:rPr>
          <w:rFonts w:ascii="Book Antiqua" w:eastAsia="Calibri" w:hAnsi="Book Antiqua" w:cs="Arial"/>
        </w:rPr>
        <w:t xml:space="preserve">2 and </w:t>
      </w:r>
      <w:r w:rsidR="006F2B7B" w:rsidRPr="00A35CEC">
        <w:rPr>
          <w:rFonts w:ascii="Book Antiqua" w:eastAsia="Calibri" w:hAnsi="Book Antiqua" w:cs="Arial"/>
        </w:rPr>
        <w:t>3).</w:t>
      </w:r>
      <w:r w:rsidR="00FF77A3" w:rsidRPr="00A35CEC">
        <w:rPr>
          <w:rFonts w:ascii="Book Antiqua" w:eastAsia="Calibri" w:hAnsi="Book Antiqua" w:cs="Arial"/>
        </w:rPr>
        <w:t xml:space="preserve"> </w:t>
      </w:r>
    </w:p>
    <w:p w14:paraId="6F7D5EF4" w14:textId="7D7C39C1" w:rsidR="001E5823" w:rsidRPr="00A35CEC" w:rsidRDefault="009C1436">
      <w:pPr>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B26201" w:rsidRPr="00A35CEC">
        <w:rPr>
          <w:rFonts w:ascii="Book Antiqua" w:eastAsia="Calibri" w:hAnsi="Book Antiqua" w:cs="Arial"/>
        </w:rPr>
        <w:t xml:space="preserve">The </w:t>
      </w:r>
      <w:r w:rsidR="00BE7C7C" w:rsidRPr="00A35CEC">
        <w:rPr>
          <w:rFonts w:ascii="Book Antiqua" w:eastAsia="Calibri" w:hAnsi="Book Antiqua" w:cs="Arial"/>
        </w:rPr>
        <w:t xml:space="preserve">cost </w:t>
      </w:r>
      <w:r w:rsidR="00B26201" w:rsidRPr="00A35CEC">
        <w:rPr>
          <w:rFonts w:ascii="Book Antiqua" w:eastAsia="Calibri" w:hAnsi="Book Antiqua" w:cs="Arial"/>
        </w:rPr>
        <w:t xml:space="preserve">distribution </w:t>
      </w:r>
      <w:r w:rsidR="002E58BD" w:rsidRPr="00A35CEC">
        <w:rPr>
          <w:rFonts w:ascii="Book Antiqua" w:eastAsia="Calibri" w:hAnsi="Book Antiqua" w:cs="Arial"/>
        </w:rPr>
        <w:t>is</w:t>
      </w:r>
      <w:r w:rsidR="007F5A45" w:rsidRPr="00A35CEC">
        <w:rPr>
          <w:rFonts w:ascii="Book Antiqua" w:eastAsia="Calibri" w:hAnsi="Book Antiqua" w:cs="Arial"/>
        </w:rPr>
        <w:t xml:space="preserve"> significant</w:t>
      </w:r>
      <w:r w:rsidR="00217CDE" w:rsidRPr="00A35CEC">
        <w:rPr>
          <w:rFonts w:ascii="Book Antiqua" w:eastAsia="Calibri" w:hAnsi="Book Antiqua" w:cs="Arial"/>
        </w:rPr>
        <w:t>ly</w:t>
      </w:r>
      <w:r w:rsidR="00B26201" w:rsidRPr="00A35CEC">
        <w:rPr>
          <w:rFonts w:ascii="Book Antiqua" w:eastAsia="Calibri" w:hAnsi="Book Antiqua" w:cs="Arial"/>
        </w:rPr>
        <w:t xml:space="preserve"> different between </w:t>
      </w:r>
      <w:r w:rsidR="007F5A45" w:rsidRPr="00A35CEC">
        <w:rPr>
          <w:rFonts w:ascii="Book Antiqua" w:eastAsia="Calibri" w:hAnsi="Book Antiqua" w:cs="Arial"/>
        </w:rPr>
        <w:t xml:space="preserve">the two </w:t>
      </w:r>
      <w:r w:rsidR="00FA6DB5" w:rsidRPr="00A35CEC">
        <w:rPr>
          <w:rFonts w:ascii="Book Antiqua" w:eastAsia="Calibri" w:hAnsi="Book Antiqua" w:cs="Arial"/>
        </w:rPr>
        <w:t>strategies</w:t>
      </w:r>
      <w:r w:rsidR="007F5A45" w:rsidRPr="00A35CEC">
        <w:rPr>
          <w:rFonts w:ascii="Book Antiqua" w:eastAsia="Calibri" w:hAnsi="Book Antiqua" w:cs="Arial"/>
        </w:rPr>
        <w:t>. In</w:t>
      </w:r>
      <w:r w:rsidR="00BE7C7C" w:rsidRPr="00A35CEC">
        <w:rPr>
          <w:rFonts w:ascii="Book Antiqua" w:eastAsia="Calibri" w:hAnsi="Book Antiqua" w:cs="Arial"/>
        </w:rPr>
        <w:t xml:space="preserve"> the</w:t>
      </w:r>
      <w:r w:rsidR="007F5A45" w:rsidRPr="00A35CEC">
        <w:rPr>
          <w:rFonts w:ascii="Book Antiqua" w:eastAsia="Calibri" w:hAnsi="Book Antiqua" w:cs="Arial"/>
        </w:rPr>
        <w:t xml:space="preserve"> base case, </w:t>
      </w:r>
      <w:r w:rsidR="00386CD7" w:rsidRPr="00A35CEC">
        <w:rPr>
          <w:rFonts w:ascii="Book Antiqua" w:eastAsia="Calibri" w:hAnsi="Book Antiqua" w:cs="Arial"/>
        </w:rPr>
        <w:t>where</w:t>
      </w:r>
      <w:r w:rsidR="007F5A45" w:rsidRPr="00A35CEC">
        <w:rPr>
          <w:rFonts w:ascii="Book Antiqua" w:eastAsia="Calibri" w:hAnsi="Book Antiqua" w:cs="Arial"/>
        </w:rPr>
        <w:t xml:space="preserve"> treatment</w:t>
      </w:r>
      <w:r w:rsidR="001E2537" w:rsidRPr="00A35CEC">
        <w:rPr>
          <w:rFonts w:ascii="Book Antiqua" w:eastAsia="Calibri" w:hAnsi="Book Antiqua" w:cs="Arial"/>
        </w:rPr>
        <w:t xml:space="preserve"> coverage</w:t>
      </w:r>
      <w:r w:rsidR="007F5A45" w:rsidRPr="00A35CEC">
        <w:rPr>
          <w:rFonts w:ascii="Book Antiqua" w:eastAsia="Calibri" w:hAnsi="Book Antiqua" w:cs="Arial"/>
        </w:rPr>
        <w:t xml:space="preserve"> is relative</w:t>
      </w:r>
      <w:r w:rsidR="002E58BD" w:rsidRPr="00A35CEC">
        <w:rPr>
          <w:rFonts w:ascii="Book Antiqua" w:eastAsia="Calibri" w:hAnsi="Book Antiqua" w:cs="Arial"/>
        </w:rPr>
        <w:t>ly</w:t>
      </w:r>
      <w:r w:rsidR="007F5A45" w:rsidRPr="00A35CEC">
        <w:rPr>
          <w:rFonts w:ascii="Book Antiqua" w:eastAsia="Calibri" w:hAnsi="Book Antiqua" w:cs="Arial"/>
        </w:rPr>
        <w:t xml:space="preserve"> low, </w:t>
      </w:r>
      <w:r w:rsidR="00B26201" w:rsidRPr="00A35CEC">
        <w:rPr>
          <w:rFonts w:ascii="Book Antiqua" w:eastAsia="Calibri" w:hAnsi="Book Antiqua" w:cs="Arial"/>
        </w:rPr>
        <w:t xml:space="preserve">the majority of the cost is </w:t>
      </w:r>
      <w:r w:rsidR="001E2537" w:rsidRPr="00A35CEC">
        <w:rPr>
          <w:rFonts w:ascii="Book Antiqua" w:eastAsia="Calibri" w:hAnsi="Book Antiqua" w:cs="Arial"/>
        </w:rPr>
        <w:t xml:space="preserve">attributed </w:t>
      </w:r>
      <w:r w:rsidR="00B26201" w:rsidRPr="00A35CEC">
        <w:rPr>
          <w:rFonts w:ascii="Book Antiqua" w:eastAsia="Calibri" w:hAnsi="Book Antiqua" w:cs="Arial"/>
        </w:rPr>
        <w:t>to health</w:t>
      </w:r>
      <w:r w:rsidR="00170D71" w:rsidRPr="00A35CEC">
        <w:rPr>
          <w:rFonts w:ascii="Book Antiqua" w:eastAsia="Calibri" w:hAnsi="Book Antiqua" w:cs="Arial"/>
        </w:rPr>
        <w:t xml:space="preserve">care costs. </w:t>
      </w:r>
      <w:r w:rsidR="00BE7C7C" w:rsidRPr="00A35CEC">
        <w:rPr>
          <w:rFonts w:ascii="Book Antiqua" w:eastAsia="Calibri" w:hAnsi="Book Antiqua" w:cs="Arial"/>
        </w:rPr>
        <w:t>In contrast,</w:t>
      </w:r>
      <w:r w:rsidR="00170D71" w:rsidRPr="00A35CEC">
        <w:rPr>
          <w:rFonts w:ascii="Book Antiqua" w:eastAsia="Calibri" w:hAnsi="Book Antiqua" w:cs="Arial"/>
        </w:rPr>
        <w:t xml:space="preserve"> under</w:t>
      </w:r>
      <w:r w:rsidR="00B26201" w:rsidRPr="00A35CEC">
        <w:rPr>
          <w:rFonts w:ascii="Book Antiqua" w:eastAsia="Calibri" w:hAnsi="Book Antiqua" w:cs="Arial"/>
        </w:rPr>
        <w:t xml:space="preserve"> the </w:t>
      </w:r>
      <w:proofErr w:type="spellStart"/>
      <w:r w:rsidR="00B26201" w:rsidRPr="00A35CEC">
        <w:rPr>
          <w:rFonts w:ascii="Book Antiqua" w:eastAsia="Calibri" w:hAnsi="Book Antiqua" w:cs="Arial"/>
        </w:rPr>
        <w:t>HCV</w:t>
      </w:r>
      <w:proofErr w:type="spellEnd"/>
      <w:r w:rsidR="00B26201" w:rsidRPr="00A35CEC">
        <w:rPr>
          <w:rFonts w:ascii="Book Antiqua" w:eastAsia="Calibri" w:hAnsi="Book Antiqua" w:cs="Arial"/>
        </w:rPr>
        <w:t xml:space="preserve"> elimination scenario, the </w:t>
      </w:r>
      <w:r w:rsidR="00776C51" w:rsidRPr="00A35CEC">
        <w:rPr>
          <w:rFonts w:ascii="Book Antiqua" w:eastAsia="Calibri" w:hAnsi="Book Antiqua" w:cs="Arial"/>
        </w:rPr>
        <w:t>dominant</w:t>
      </w:r>
      <w:r w:rsidR="00E123AD" w:rsidRPr="00A35CEC">
        <w:rPr>
          <w:rFonts w:ascii="Book Antiqua" w:eastAsia="Calibri" w:hAnsi="Book Antiqua" w:cs="Arial"/>
        </w:rPr>
        <w:t xml:space="preserve"> </w:t>
      </w:r>
      <w:r w:rsidR="00B26201" w:rsidRPr="00A35CEC">
        <w:rPr>
          <w:rFonts w:ascii="Book Antiqua" w:eastAsia="Calibri" w:hAnsi="Book Antiqua" w:cs="Arial"/>
        </w:rPr>
        <w:t xml:space="preserve">costs </w:t>
      </w:r>
      <w:r w:rsidR="00517909" w:rsidRPr="00A35CEC">
        <w:rPr>
          <w:rFonts w:ascii="Book Antiqua" w:eastAsia="Calibri" w:hAnsi="Book Antiqua" w:cs="Arial"/>
        </w:rPr>
        <w:t>would be</w:t>
      </w:r>
      <w:r w:rsidR="00217CDE" w:rsidRPr="00A35CEC">
        <w:rPr>
          <w:rFonts w:ascii="Book Antiqua" w:eastAsia="Calibri" w:hAnsi="Book Antiqua" w:cs="Arial"/>
        </w:rPr>
        <w:t xml:space="preserve"> </w:t>
      </w:r>
      <w:r w:rsidR="007F5A45" w:rsidRPr="00A35CEC">
        <w:rPr>
          <w:rFonts w:ascii="Book Antiqua" w:eastAsia="Calibri" w:hAnsi="Book Antiqua" w:cs="Arial"/>
        </w:rPr>
        <w:t>for</w:t>
      </w:r>
      <w:r w:rsidR="00E123AD" w:rsidRPr="00A35CEC">
        <w:rPr>
          <w:rFonts w:ascii="Book Antiqua" w:eastAsia="Calibri" w:hAnsi="Book Antiqua" w:cs="Arial"/>
        </w:rPr>
        <w:t xml:space="preserve"> antiviral</w:t>
      </w:r>
      <w:r w:rsidR="007F5A45" w:rsidRPr="00A35CEC">
        <w:rPr>
          <w:rFonts w:ascii="Book Antiqua" w:eastAsia="Calibri" w:hAnsi="Book Antiqua" w:cs="Arial"/>
        </w:rPr>
        <w:t xml:space="preserve"> treatments</w:t>
      </w:r>
      <w:r w:rsidR="003A2BE4" w:rsidRPr="00A35CEC">
        <w:rPr>
          <w:rFonts w:ascii="Book Antiqua" w:eastAsia="Calibri" w:hAnsi="Book Antiqua" w:cs="Arial"/>
        </w:rPr>
        <w:t xml:space="preserve"> and </w:t>
      </w:r>
      <w:r w:rsidR="00E123AD" w:rsidRPr="00A35CEC">
        <w:rPr>
          <w:rFonts w:ascii="Book Antiqua" w:eastAsia="Calibri" w:hAnsi="Book Antiqua" w:cs="Arial"/>
        </w:rPr>
        <w:t xml:space="preserve">laboratory </w:t>
      </w:r>
      <w:r w:rsidR="003A2BE4" w:rsidRPr="00A35CEC">
        <w:rPr>
          <w:rFonts w:ascii="Book Antiqua" w:eastAsia="Calibri" w:hAnsi="Book Antiqua" w:cs="Arial"/>
        </w:rPr>
        <w:t xml:space="preserve">costs. </w:t>
      </w:r>
      <w:r w:rsidR="00BE7C7C" w:rsidRPr="00A35CEC">
        <w:rPr>
          <w:rFonts w:ascii="Book Antiqua" w:eastAsia="Calibri" w:hAnsi="Book Antiqua" w:cs="Arial"/>
        </w:rPr>
        <w:t xml:space="preserve">Under the </w:t>
      </w:r>
      <w:proofErr w:type="spellStart"/>
      <w:r w:rsidR="00BE7C7C" w:rsidRPr="00A35CEC">
        <w:rPr>
          <w:rFonts w:ascii="Book Antiqua" w:eastAsia="Calibri" w:hAnsi="Book Antiqua" w:cs="Arial"/>
        </w:rPr>
        <w:t>HCV</w:t>
      </w:r>
      <w:proofErr w:type="spellEnd"/>
      <w:r w:rsidR="00BE7C7C" w:rsidRPr="00A35CEC">
        <w:rPr>
          <w:rFonts w:ascii="Book Antiqua" w:eastAsia="Calibri" w:hAnsi="Book Antiqua" w:cs="Arial"/>
        </w:rPr>
        <w:t xml:space="preserve"> elimination strategy (irrespective of price reduction scenarios), s</w:t>
      </w:r>
      <w:r w:rsidR="00E123AD" w:rsidRPr="00A35CEC">
        <w:rPr>
          <w:rFonts w:ascii="Book Antiqua" w:eastAsia="Calibri" w:hAnsi="Book Antiqua" w:cs="Arial"/>
        </w:rPr>
        <w:t xml:space="preserve">creening costs </w:t>
      </w:r>
      <w:r w:rsidR="006F2B7B" w:rsidRPr="00A35CEC">
        <w:rPr>
          <w:rFonts w:ascii="Book Antiqua" w:eastAsia="Calibri" w:hAnsi="Book Antiqua" w:cs="Arial"/>
        </w:rPr>
        <w:t xml:space="preserve">would represent a significant share of direct costs </w:t>
      </w:r>
      <w:r w:rsidR="00E123AD" w:rsidRPr="00A35CEC">
        <w:rPr>
          <w:rFonts w:ascii="Book Antiqua" w:eastAsia="Calibri" w:hAnsi="Book Antiqua" w:cs="Arial"/>
        </w:rPr>
        <w:t xml:space="preserve">between 2026 and 2029 </w:t>
      </w:r>
      <w:r w:rsidR="00CB393E" w:rsidRPr="00A35CEC">
        <w:rPr>
          <w:rFonts w:ascii="Book Antiqua" w:eastAsia="Calibri" w:hAnsi="Book Antiqua" w:cs="Arial"/>
        </w:rPr>
        <w:t xml:space="preserve">due to the fact that it would </w:t>
      </w:r>
      <w:r w:rsidR="0071784F" w:rsidRPr="00A35CEC">
        <w:rPr>
          <w:rFonts w:ascii="Book Antiqua" w:eastAsia="Calibri" w:hAnsi="Book Antiqua" w:cs="Arial"/>
        </w:rPr>
        <w:t xml:space="preserve">become </w:t>
      </w:r>
      <w:r w:rsidR="00CB393E" w:rsidRPr="00A35CEC">
        <w:rPr>
          <w:rFonts w:ascii="Book Antiqua" w:eastAsia="Calibri" w:hAnsi="Book Antiqua" w:cs="Arial"/>
        </w:rPr>
        <w:t>more difficult to</w:t>
      </w:r>
      <w:r w:rsidR="00776C51" w:rsidRPr="00A35CEC">
        <w:rPr>
          <w:rFonts w:ascii="Book Antiqua" w:eastAsia="Calibri" w:hAnsi="Book Antiqua" w:cs="Arial"/>
        </w:rPr>
        <w:t xml:space="preserve"> diagnose </w:t>
      </w:r>
      <w:proofErr w:type="spellStart"/>
      <w:r w:rsidR="00776C51" w:rsidRPr="00A35CEC">
        <w:rPr>
          <w:rFonts w:ascii="Book Antiqua" w:eastAsia="Calibri" w:hAnsi="Book Antiqua" w:cs="Arial"/>
        </w:rPr>
        <w:t>HCV</w:t>
      </w:r>
      <w:proofErr w:type="spellEnd"/>
      <w:r w:rsidR="00776C51" w:rsidRPr="00A35CEC">
        <w:rPr>
          <w:rFonts w:ascii="Book Antiqua" w:eastAsia="Calibri" w:hAnsi="Book Antiqua" w:cs="Arial"/>
        </w:rPr>
        <w:t xml:space="preserve"> infections due to the low prevalence</w:t>
      </w:r>
      <w:r w:rsidR="00B04D45" w:rsidRPr="00A35CEC">
        <w:rPr>
          <w:rFonts w:ascii="Book Antiqua" w:eastAsia="Calibri" w:hAnsi="Book Antiqua" w:cs="Arial"/>
        </w:rPr>
        <w:t xml:space="preserve"> (</w:t>
      </w:r>
      <w:r w:rsidR="00485947" w:rsidRPr="00A35CEC">
        <w:rPr>
          <w:rFonts w:ascii="Book Antiqua" w:eastAsia="Calibri" w:hAnsi="Book Antiqua" w:cs="Arial"/>
        </w:rPr>
        <w:t>Figure</w:t>
      </w:r>
      <w:r w:rsidR="003D2070" w:rsidRPr="00A35CEC">
        <w:rPr>
          <w:rFonts w:ascii="Book Antiqua" w:eastAsia="Calibri" w:hAnsi="Book Antiqua" w:cs="Arial"/>
        </w:rPr>
        <w:t xml:space="preserve"> </w:t>
      </w:r>
      <w:r w:rsidR="00B04D45" w:rsidRPr="00A35CEC">
        <w:rPr>
          <w:rFonts w:ascii="Book Antiqua" w:eastAsia="Calibri" w:hAnsi="Book Antiqua" w:cs="Arial"/>
        </w:rPr>
        <w:t>3</w:t>
      </w:r>
      <w:r w:rsidR="006E1B69" w:rsidRPr="00A35CEC">
        <w:rPr>
          <w:rFonts w:ascii="Book Antiqua" w:eastAsia="Calibri" w:hAnsi="Book Antiqua" w:cs="Arial"/>
        </w:rPr>
        <w:t>)</w:t>
      </w:r>
      <w:r w:rsidR="00CB393E" w:rsidRPr="00A35CEC">
        <w:rPr>
          <w:rFonts w:ascii="Book Antiqua" w:eastAsia="Calibri" w:hAnsi="Book Antiqua" w:cs="Arial"/>
        </w:rPr>
        <w:t>.</w:t>
      </w:r>
      <w:r w:rsidR="003E0B36" w:rsidRPr="00A35CEC">
        <w:rPr>
          <w:rFonts w:ascii="Book Antiqua" w:eastAsia="Calibri" w:hAnsi="Book Antiqua" w:cs="Arial"/>
        </w:rPr>
        <w:t xml:space="preserve"> </w:t>
      </w:r>
    </w:p>
    <w:p w14:paraId="37B0AE87" w14:textId="77777777" w:rsidR="006F2B7B" w:rsidRPr="00A35CEC" w:rsidRDefault="006F2B7B">
      <w:pPr>
        <w:adjustRightInd w:val="0"/>
        <w:snapToGrid w:val="0"/>
        <w:spacing w:line="360" w:lineRule="auto"/>
        <w:jc w:val="both"/>
        <w:rPr>
          <w:rFonts w:ascii="Book Antiqua" w:eastAsia="Calibri" w:hAnsi="Book Antiqua" w:cs="Arial"/>
        </w:rPr>
      </w:pPr>
    </w:p>
    <w:p w14:paraId="5931AA9A" w14:textId="76BA096E" w:rsidR="00776C51" w:rsidRPr="00A35CEC" w:rsidRDefault="00185004">
      <w:pPr>
        <w:adjustRightInd w:val="0"/>
        <w:snapToGrid w:val="0"/>
        <w:spacing w:line="360" w:lineRule="auto"/>
        <w:jc w:val="both"/>
        <w:rPr>
          <w:rFonts w:ascii="Book Antiqua" w:hAnsi="Book Antiqua"/>
          <w:b/>
        </w:rPr>
      </w:pPr>
      <w:r w:rsidRPr="00A35CEC">
        <w:rPr>
          <w:rFonts w:ascii="Book Antiqua" w:hAnsi="Book Antiqua"/>
          <w:b/>
        </w:rPr>
        <w:t>Annual indirect</w:t>
      </w:r>
      <w:r w:rsidR="003A3485" w:rsidRPr="00A35CEC">
        <w:rPr>
          <w:rFonts w:ascii="Book Antiqua" w:hAnsi="Book Antiqua"/>
          <w:b/>
        </w:rPr>
        <w:t>/societal</w:t>
      </w:r>
      <w:r w:rsidRPr="00A35CEC">
        <w:rPr>
          <w:rFonts w:ascii="Book Antiqua" w:hAnsi="Book Antiqua"/>
          <w:b/>
        </w:rPr>
        <w:t xml:space="preserve"> costs</w:t>
      </w:r>
      <w:r w:rsidR="009C1436" w:rsidRPr="00A35CEC">
        <w:rPr>
          <w:rFonts w:ascii="Book Antiqua" w:hAnsi="Book Antiqua"/>
          <w:b/>
        </w:rPr>
        <w:t xml:space="preserve">: </w:t>
      </w:r>
      <w:r w:rsidR="00C33053" w:rsidRPr="00A35CEC">
        <w:rPr>
          <w:rFonts w:ascii="Book Antiqua" w:eastAsia="Calibri" w:hAnsi="Book Antiqua" w:cs="Arial"/>
        </w:rPr>
        <w:t>Concerning indirect</w:t>
      </w:r>
      <w:r w:rsidR="003A3485" w:rsidRPr="00A35CEC">
        <w:rPr>
          <w:rFonts w:ascii="Book Antiqua" w:eastAsia="Calibri" w:hAnsi="Book Antiqua" w:cs="Arial"/>
        </w:rPr>
        <w:t>/societal</w:t>
      </w:r>
      <w:r w:rsidR="00C33053" w:rsidRPr="00A35CEC">
        <w:rPr>
          <w:rFonts w:ascii="Book Antiqua" w:eastAsia="Calibri" w:hAnsi="Book Antiqua" w:cs="Arial"/>
        </w:rPr>
        <w:t xml:space="preserve"> costs,</w:t>
      </w:r>
      <w:r w:rsidR="003C730F" w:rsidRPr="00A35CEC">
        <w:rPr>
          <w:rFonts w:ascii="Book Antiqua" w:eastAsia="Calibri" w:hAnsi="Book Antiqua" w:cs="Arial"/>
        </w:rPr>
        <w:t xml:space="preserve"> the </w:t>
      </w:r>
      <w:r w:rsidR="00C33053" w:rsidRPr="00A35CEC">
        <w:rPr>
          <w:rFonts w:ascii="Book Antiqua" w:eastAsia="Calibri" w:hAnsi="Book Antiqua" w:cs="Arial"/>
        </w:rPr>
        <w:t xml:space="preserve">WHO strategy </w:t>
      </w:r>
      <w:r w:rsidR="003C730F" w:rsidRPr="00A35CEC">
        <w:rPr>
          <w:rFonts w:ascii="Book Antiqua" w:eastAsia="Calibri" w:hAnsi="Book Antiqua" w:cs="Arial"/>
        </w:rPr>
        <w:t>is expected to</w:t>
      </w:r>
      <w:r w:rsidR="00C33053" w:rsidRPr="00A35CEC">
        <w:rPr>
          <w:rFonts w:ascii="Book Antiqua" w:eastAsia="Calibri" w:hAnsi="Book Antiqua" w:cs="Arial"/>
        </w:rPr>
        <w:t xml:space="preserve"> result in substantial savings throughout the </w:t>
      </w:r>
      <w:r w:rsidR="00D5458B" w:rsidRPr="00A35CEC">
        <w:rPr>
          <w:rFonts w:ascii="Book Antiqua" w:eastAsia="Calibri" w:hAnsi="Book Antiqua" w:cs="Arial"/>
        </w:rPr>
        <w:t xml:space="preserve">length </w:t>
      </w:r>
      <w:r w:rsidR="00C33053" w:rsidRPr="00A35CEC">
        <w:rPr>
          <w:rFonts w:ascii="Book Antiqua" w:eastAsia="Calibri" w:hAnsi="Book Antiqua" w:cs="Arial"/>
        </w:rPr>
        <w:t xml:space="preserve">of the study compared to </w:t>
      </w:r>
      <w:r w:rsidR="00D5458B" w:rsidRPr="00A35CEC">
        <w:rPr>
          <w:rFonts w:ascii="Book Antiqua" w:eastAsia="Calibri" w:hAnsi="Book Antiqua" w:cs="Arial"/>
        </w:rPr>
        <w:t xml:space="preserve">the </w:t>
      </w:r>
      <w:r w:rsidR="00C33053" w:rsidRPr="00A35CEC">
        <w:rPr>
          <w:rFonts w:ascii="Book Antiqua" w:eastAsia="Calibri" w:hAnsi="Book Antiqua" w:cs="Arial"/>
        </w:rPr>
        <w:t>base case</w:t>
      </w:r>
      <w:r w:rsidR="006F2B7B" w:rsidRPr="00A35CEC">
        <w:rPr>
          <w:rFonts w:ascii="Book Antiqua" w:eastAsia="Calibri" w:hAnsi="Book Antiqua" w:cs="Arial"/>
        </w:rPr>
        <w:t xml:space="preserve">. </w:t>
      </w:r>
      <w:r w:rsidR="005F0C25" w:rsidRPr="00A35CEC">
        <w:rPr>
          <w:rFonts w:ascii="Book Antiqua" w:eastAsia="Calibri" w:hAnsi="Book Antiqua" w:cs="Arial"/>
        </w:rPr>
        <w:t>More specifically,</w:t>
      </w:r>
      <w:r w:rsidR="0082069E" w:rsidRPr="00A35CEC">
        <w:rPr>
          <w:rFonts w:ascii="Book Antiqua" w:eastAsia="Calibri" w:hAnsi="Book Antiqua" w:cs="Arial"/>
        </w:rPr>
        <w:t xml:space="preserve"> the indirect co</w:t>
      </w:r>
      <w:r w:rsidR="006F2B7B" w:rsidRPr="00A35CEC">
        <w:rPr>
          <w:rFonts w:ascii="Book Antiqua" w:eastAsia="Calibri" w:hAnsi="Book Antiqua" w:cs="Arial"/>
        </w:rPr>
        <w:t>sts of WHO strategy would be €16</w:t>
      </w:r>
      <w:r w:rsidR="00AA39C6" w:rsidRPr="00A35CEC">
        <w:rPr>
          <w:rFonts w:ascii="Book Antiqua" w:eastAsia="Calibri" w:hAnsi="Book Antiqua" w:cs="Arial"/>
        </w:rPr>
        <w:t xml:space="preserve">, </w:t>
      </w:r>
      <w:r w:rsidR="00FA6DB5" w:rsidRPr="00A35CEC">
        <w:rPr>
          <w:rFonts w:ascii="Book Antiqua" w:eastAsia="Calibri" w:hAnsi="Book Antiqua" w:cs="Arial"/>
        </w:rPr>
        <w:t>€</w:t>
      </w:r>
      <w:r w:rsidR="006F2B7B" w:rsidRPr="00A35CEC">
        <w:rPr>
          <w:rFonts w:ascii="Book Antiqua" w:eastAsia="Calibri" w:hAnsi="Book Antiqua" w:cs="Arial"/>
        </w:rPr>
        <w:t>89</w:t>
      </w:r>
      <w:r w:rsidR="00FA6DB5" w:rsidRPr="00A35CEC">
        <w:rPr>
          <w:rFonts w:ascii="Book Antiqua" w:eastAsia="Calibri" w:hAnsi="Book Antiqua" w:cs="Arial"/>
        </w:rPr>
        <w:t>,</w:t>
      </w:r>
      <w:r w:rsidR="00AA39C6" w:rsidRPr="00A35CEC">
        <w:rPr>
          <w:rFonts w:ascii="Book Antiqua" w:eastAsia="Calibri" w:hAnsi="Book Antiqua" w:cs="Arial"/>
        </w:rPr>
        <w:t xml:space="preserve"> and €</w:t>
      </w:r>
      <w:r w:rsidR="006F2B7B" w:rsidRPr="00A35CEC">
        <w:rPr>
          <w:rFonts w:ascii="Book Antiqua" w:eastAsia="Calibri" w:hAnsi="Book Antiqua" w:cs="Arial"/>
        </w:rPr>
        <w:t>95</w:t>
      </w:r>
      <w:r w:rsidR="00FA6DB5" w:rsidRPr="00A35CEC">
        <w:rPr>
          <w:rFonts w:ascii="Book Antiqua" w:eastAsia="Calibri" w:hAnsi="Book Antiqua" w:cs="Arial"/>
        </w:rPr>
        <w:t xml:space="preserve"> million</w:t>
      </w:r>
      <w:r w:rsidR="0082069E" w:rsidRPr="00A35CEC">
        <w:rPr>
          <w:rFonts w:ascii="Book Antiqua" w:eastAsia="Calibri" w:hAnsi="Book Antiqua" w:cs="Arial"/>
        </w:rPr>
        <w:t xml:space="preserve"> </w:t>
      </w:r>
      <w:r w:rsidR="002E58BD" w:rsidRPr="00A35CEC">
        <w:rPr>
          <w:rFonts w:ascii="Book Antiqua" w:eastAsia="Calibri" w:hAnsi="Book Antiqua" w:cs="Arial"/>
        </w:rPr>
        <w:t xml:space="preserve">lower </w:t>
      </w:r>
      <w:r w:rsidR="0082069E" w:rsidRPr="00A35CEC">
        <w:rPr>
          <w:rFonts w:ascii="Book Antiqua" w:eastAsia="Calibri" w:hAnsi="Book Antiqua" w:cs="Arial"/>
        </w:rPr>
        <w:t xml:space="preserve">compared to </w:t>
      </w:r>
      <w:r w:rsidR="00D5458B" w:rsidRPr="00A35CEC">
        <w:rPr>
          <w:rFonts w:ascii="Book Antiqua" w:eastAsia="Calibri" w:hAnsi="Book Antiqua" w:cs="Arial"/>
        </w:rPr>
        <w:t xml:space="preserve">the </w:t>
      </w:r>
      <w:r w:rsidR="0082069E" w:rsidRPr="00A35CEC">
        <w:rPr>
          <w:rFonts w:ascii="Book Antiqua" w:eastAsia="Calibri" w:hAnsi="Book Antiqua" w:cs="Arial"/>
        </w:rPr>
        <w:t>base case in 2016, 2030 and 20</w:t>
      </w:r>
      <w:r w:rsidR="006F2B7B" w:rsidRPr="00A35CEC">
        <w:rPr>
          <w:rFonts w:ascii="Book Antiqua" w:eastAsia="Calibri" w:hAnsi="Book Antiqua" w:cs="Arial"/>
        </w:rPr>
        <w:t>35</w:t>
      </w:r>
      <w:r w:rsidR="0082069E" w:rsidRPr="00A35CEC">
        <w:rPr>
          <w:rFonts w:ascii="Book Antiqua" w:eastAsia="Calibri" w:hAnsi="Book Antiqua" w:cs="Arial"/>
        </w:rPr>
        <w:t>, respectively</w:t>
      </w:r>
      <w:r w:rsidR="00DB0019" w:rsidRPr="00A35CEC">
        <w:rPr>
          <w:rFonts w:ascii="Book Antiqua" w:eastAsia="Calibri" w:hAnsi="Book Antiqua" w:cs="Arial"/>
        </w:rPr>
        <w:t xml:space="preserve">. </w:t>
      </w:r>
      <w:r w:rsidR="002A20D8" w:rsidRPr="00A35CEC">
        <w:rPr>
          <w:rFonts w:ascii="Book Antiqua" w:eastAsia="Calibri" w:hAnsi="Book Antiqua" w:cs="Arial"/>
        </w:rPr>
        <w:t xml:space="preserve">The above results </w:t>
      </w:r>
      <w:r w:rsidR="002E58BD" w:rsidRPr="00A35CEC">
        <w:rPr>
          <w:rFonts w:ascii="Book Antiqua" w:eastAsia="Calibri" w:hAnsi="Book Antiqua" w:cs="Arial"/>
        </w:rPr>
        <w:t xml:space="preserve">arise </w:t>
      </w:r>
      <w:r w:rsidR="0082069E" w:rsidRPr="00A35CEC">
        <w:rPr>
          <w:rFonts w:ascii="Book Antiqua" w:eastAsia="Calibri" w:hAnsi="Book Antiqua" w:cs="Arial"/>
        </w:rPr>
        <w:t>fro</w:t>
      </w:r>
      <w:r w:rsidR="002A20D8" w:rsidRPr="00A35CEC">
        <w:rPr>
          <w:rFonts w:ascii="Book Antiqua" w:eastAsia="Calibri" w:hAnsi="Book Antiqua" w:cs="Arial"/>
        </w:rPr>
        <w:t xml:space="preserve">m the </w:t>
      </w:r>
      <w:r w:rsidR="00776C51" w:rsidRPr="00A35CEC">
        <w:rPr>
          <w:rFonts w:ascii="Book Antiqua" w:eastAsia="Calibri" w:hAnsi="Book Antiqua" w:cs="Arial"/>
        </w:rPr>
        <w:t xml:space="preserve">significant reduction </w:t>
      </w:r>
      <w:r w:rsidR="0082069E" w:rsidRPr="00A35CEC">
        <w:rPr>
          <w:rFonts w:ascii="Book Antiqua" w:eastAsia="Calibri" w:hAnsi="Book Antiqua" w:cs="Arial"/>
        </w:rPr>
        <w:t xml:space="preserve">of </w:t>
      </w:r>
      <w:proofErr w:type="spellStart"/>
      <w:r w:rsidR="0082069E" w:rsidRPr="00A35CEC">
        <w:rPr>
          <w:rFonts w:ascii="Book Antiqua" w:eastAsia="Calibri" w:hAnsi="Book Antiqua" w:cs="Arial"/>
        </w:rPr>
        <w:t>HCV</w:t>
      </w:r>
      <w:proofErr w:type="spellEnd"/>
      <w:r w:rsidR="0082069E" w:rsidRPr="00A35CEC">
        <w:rPr>
          <w:rFonts w:ascii="Book Antiqua" w:eastAsia="Calibri" w:hAnsi="Book Antiqua" w:cs="Arial"/>
        </w:rPr>
        <w:t xml:space="preserve"> related end-stage liver disease</w:t>
      </w:r>
      <w:r w:rsidR="002A20D8" w:rsidRPr="00A35CEC">
        <w:rPr>
          <w:rFonts w:ascii="Book Antiqua" w:eastAsia="Calibri" w:hAnsi="Book Antiqua" w:cs="Arial"/>
        </w:rPr>
        <w:t xml:space="preserve">, </w:t>
      </w:r>
      <w:r w:rsidR="0082069E" w:rsidRPr="00A35CEC">
        <w:rPr>
          <w:rFonts w:ascii="Book Antiqua" w:eastAsia="Calibri" w:hAnsi="Book Antiqua" w:cs="Arial"/>
        </w:rPr>
        <w:t xml:space="preserve">as well as the subsequent </w:t>
      </w:r>
      <w:r w:rsidR="00776C51" w:rsidRPr="00A35CEC">
        <w:rPr>
          <w:rFonts w:ascii="Book Antiqua" w:eastAsia="Calibri" w:hAnsi="Book Antiqua" w:cs="Arial"/>
        </w:rPr>
        <w:t>aversion of disability and premature death</w:t>
      </w:r>
      <w:r w:rsidR="001E2537" w:rsidRPr="00A35CEC">
        <w:rPr>
          <w:rFonts w:ascii="Book Antiqua" w:eastAsia="Calibri" w:hAnsi="Book Antiqua" w:cs="Arial"/>
        </w:rPr>
        <w:t>s</w:t>
      </w:r>
      <w:r w:rsidR="00776C51" w:rsidRPr="00A35CEC">
        <w:rPr>
          <w:rFonts w:ascii="Book Antiqua" w:eastAsia="Calibri" w:hAnsi="Book Antiqua" w:cs="Arial"/>
        </w:rPr>
        <w:t xml:space="preserve"> </w:t>
      </w:r>
      <w:bookmarkStart w:id="83" w:name="_Hlk506991709"/>
      <w:r w:rsidR="00776C51" w:rsidRPr="00A35CEC">
        <w:rPr>
          <w:rFonts w:ascii="Book Antiqua" w:eastAsia="Calibri" w:hAnsi="Book Antiqua" w:cs="Arial"/>
        </w:rPr>
        <w:t>(</w:t>
      </w:r>
      <w:r w:rsidR="00485947" w:rsidRPr="00A35CEC">
        <w:rPr>
          <w:rFonts w:ascii="Book Antiqua" w:eastAsia="Calibri" w:hAnsi="Book Antiqua" w:cs="Arial"/>
        </w:rPr>
        <w:t>Figure</w:t>
      </w:r>
      <w:r w:rsidR="003D2070" w:rsidRPr="00A35CEC">
        <w:rPr>
          <w:rFonts w:ascii="Book Antiqua" w:eastAsia="Calibri" w:hAnsi="Book Antiqua" w:cs="Arial"/>
        </w:rPr>
        <w:t xml:space="preserve"> </w:t>
      </w:r>
      <w:r w:rsidR="00776C51" w:rsidRPr="00A35CEC">
        <w:rPr>
          <w:rFonts w:ascii="Book Antiqua" w:eastAsia="Calibri" w:hAnsi="Book Antiqua" w:cs="Arial"/>
        </w:rPr>
        <w:t>2).</w:t>
      </w:r>
      <w:bookmarkEnd w:id="83"/>
    </w:p>
    <w:p w14:paraId="616AC74F" w14:textId="77777777" w:rsidR="009D1F23" w:rsidRPr="00A35CEC" w:rsidRDefault="009D1F23">
      <w:pPr>
        <w:adjustRightInd w:val="0"/>
        <w:snapToGrid w:val="0"/>
        <w:spacing w:line="360" w:lineRule="auto"/>
        <w:jc w:val="both"/>
        <w:rPr>
          <w:rFonts w:ascii="Book Antiqua" w:eastAsia="Calibri" w:hAnsi="Book Antiqua" w:cs="Arial"/>
        </w:rPr>
      </w:pPr>
    </w:p>
    <w:p w14:paraId="6CB4D85B" w14:textId="7792FFAF" w:rsidR="006F23F9" w:rsidRPr="00A35CEC" w:rsidRDefault="000539E5">
      <w:pPr>
        <w:adjustRightInd w:val="0"/>
        <w:snapToGrid w:val="0"/>
        <w:spacing w:line="360" w:lineRule="auto"/>
        <w:jc w:val="both"/>
        <w:rPr>
          <w:rFonts w:ascii="Book Antiqua" w:hAnsi="Book Antiqua"/>
          <w:b/>
        </w:rPr>
      </w:pPr>
      <w:r w:rsidRPr="00A35CEC">
        <w:rPr>
          <w:rFonts w:ascii="Book Antiqua" w:hAnsi="Book Antiqua"/>
          <w:b/>
        </w:rPr>
        <w:t>Overall</w:t>
      </w:r>
      <w:r w:rsidR="006D5945" w:rsidRPr="00A35CEC">
        <w:rPr>
          <w:rFonts w:ascii="Book Antiqua" w:hAnsi="Book Antiqua"/>
          <w:b/>
        </w:rPr>
        <w:t xml:space="preserve"> annual</w:t>
      </w:r>
      <w:r w:rsidRPr="00A35CEC">
        <w:rPr>
          <w:rFonts w:ascii="Book Antiqua" w:hAnsi="Book Antiqua"/>
          <w:b/>
        </w:rPr>
        <w:t xml:space="preserve"> cost</w:t>
      </w:r>
      <w:r w:rsidR="00823781" w:rsidRPr="00A35CEC">
        <w:rPr>
          <w:rFonts w:ascii="Book Antiqua" w:hAnsi="Book Antiqua"/>
          <w:b/>
        </w:rPr>
        <w:t xml:space="preserve"> </w:t>
      </w:r>
      <w:r w:rsidR="00E313A9" w:rsidRPr="00A35CEC">
        <w:rPr>
          <w:rFonts w:ascii="Book Antiqua" w:hAnsi="Book Antiqua"/>
          <w:b/>
        </w:rPr>
        <w:t>(</w:t>
      </w:r>
      <w:r w:rsidR="009C1436" w:rsidRPr="00A35CEC">
        <w:rPr>
          <w:rFonts w:ascii="Book Antiqua" w:hAnsi="Book Antiqua"/>
          <w:b/>
        </w:rPr>
        <w:t>total direct and indirect costs</w:t>
      </w:r>
      <w:r w:rsidR="00823781" w:rsidRPr="00A35CEC">
        <w:rPr>
          <w:rFonts w:ascii="Book Antiqua" w:hAnsi="Book Antiqua"/>
          <w:b/>
        </w:rPr>
        <w:t>)</w:t>
      </w:r>
      <w:r w:rsidR="009C1436" w:rsidRPr="00A35CEC">
        <w:rPr>
          <w:rFonts w:ascii="Book Antiqua" w:hAnsi="Book Antiqua"/>
          <w:b/>
        </w:rPr>
        <w:t xml:space="preserve">: </w:t>
      </w:r>
      <w:r w:rsidR="00D378EE" w:rsidRPr="00A35CEC">
        <w:rPr>
          <w:rFonts w:ascii="Book Antiqua" w:eastAsia="Calibri" w:hAnsi="Book Antiqua" w:cs="Arial"/>
        </w:rPr>
        <w:t>The annual overall cost of base case would</w:t>
      </w:r>
      <w:r w:rsidR="00340B4D" w:rsidRPr="00A35CEC">
        <w:rPr>
          <w:rFonts w:ascii="Book Antiqua" w:eastAsia="Calibri" w:hAnsi="Book Antiqua" w:cs="Arial"/>
        </w:rPr>
        <w:t xml:space="preserve"> have a slight</w:t>
      </w:r>
      <w:r w:rsidR="00D378EE" w:rsidRPr="00A35CEC">
        <w:rPr>
          <w:rFonts w:ascii="Book Antiqua" w:eastAsia="Calibri" w:hAnsi="Book Antiqua" w:cs="Arial"/>
        </w:rPr>
        <w:t xml:space="preserve"> </w:t>
      </w:r>
      <w:r w:rsidR="00340B4D" w:rsidRPr="00A35CEC">
        <w:rPr>
          <w:rFonts w:ascii="Book Antiqua" w:eastAsia="Calibri" w:hAnsi="Book Antiqua" w:cs="Arial"/>
        </w:rPr>
        <w:t>decrease</w:t>
      </w:r>
      <w:r w:rsidR="00D378EE" w:rsidRPr="00A35CEC">
        <w:rPr>
          <w:rFonts w:ascii="Book Antiqua" w:eastAsia="Calibri" w:hAnsi="Book Antiqua" w:cs="Arial"/>
        </w:rPr>
        <w:t xml:space="preserve"> </w:t>
      </w:r>
      <w:r w:rsidR="00340B4D" w:rsidRPr="00A35CEC">
        <w:rPr>
          <w:rFonts w:ascii="Book Antiqua" w:eastAsia="Calibri" w:hAnsi="Book Antiqua" w:cs="Arial"/>
        </w:rPr>
        <w:t xml:space="preserve">by 2035 due to the limited cost of antiviral treatment (limited available patients for treatment). Compared to </w:t>
      </w:r>
      <w:r w:rsidR="008910FB" w:rsidRPr="00A35CEC">
        <w:rPr>
          <w:rFonts w:ascii="Book Antiqua" w:eastAsia="Calibri" w:hAnsi="Book Antiqua" w:cs="Arial"/>
        </w:rPr>
        <w:t xml:space="preserve">the </w:t>
      </w:r>
      <w:r w:rsidR="00340B4D" w:rsidRPr="00A35CEC">
        <w:rPr>
          <w:rFonts w:ascii="Book Antiqua" w:eastAsia="Calibri" w:hAnsi="Book Antiqua" w:cs="Arial"/>
        </w:rPr>
        <w:t xml:space="preserve">base case, </w:t>
      </w:r>
      <w:r w:rsidR="002E58BD" w:rsidRPr="00A35CEC">
        <w:rPr>
          <w:rFonts w:ascii="Book Antiqua" w:eastAsia="Calibri" w:hAnsi="Book Antiqua" w:cs="Arial"/>
        </w:rPr>
        <w:t xml:space="preserve">the </w:t>
      </w:r>
      <w:r w:rsidR="00340B4D" w:rsidRPr="00A35CEC">
        <w:rPr>
          <w:rFonts w:ascii="Book Antiqua" w:eastAsia="Calibri" w:hAnsi="Book Antiqua" w:cs="Arial"/>
        </w:rPr>
        <w:t>elimination strategy would be</w:t>
      </w:r>
      <w:r w:rsidR="003F0C27" w:rsidRPr="00A35CEC">
        <w:rPr>
          <w:rFonts w:ascii="Book Antiqua" w:eastAsia="Calibri" w:hAnsi="Book Antiqua" w:cs="Arial"/>
        </w:rPr>
        <w:t xml:space="preserve"> more expensive in the </w:t>
      </w:r>
      <w:r w:rsidR="002E58BD" w:rsidRPr="00A35CEC">
        <w:rPr>
          <w:rFonts w:ascii="Book Antiqua" w:eastAsia="Calibri" w:hAnsi="Book Antiqua" w:cs="Arial"/>
        </w:rPr>
        <w:t>first phase</w:t>
      </w:r>
      <w:r w:rsidR="00E123AD" w:rsidRPr="00A35CEC">
        <w:rPr>
          <w:rFonts w:ascii="Book Antiqua" w:eastAsia="Calibri" w:hAnsi="Book Antiqua" w:cs="Arial"/>
        </w:rPr>
        <w:t xml:space="preserve">, </w:t>
      </w:r>
      <w:r w:rsidR="003F0C27" w:rsidRPr="00A35CEC">
        <w:rPr>
          <w:rFonts w:ascii="Book Antiqua" w:eastAsia="Calibri" w:hAnsi="Book Antiqua" w:cs="Arial"/>
        </w:rPr>
        <w:t>but it would become</w:t>
      </w:r>
      <w:r w:rsidR="00340B4D" w:rsidRPr="00A35CEC">
        <w:rPr>
          <w:rFonts w:ascii="Book Antiqua" w:eastAsia="Calibri" w:hAnsi="Book Antiqua" w:cs="Arial"/>
        </w:rPr>
        <w:t xml:space="preserve"> </w:t>
      </w:r>
      <w:r w:rsidR="002E58BD" w:rsidRPr="00A35CEC">
        <w:rPr>
          <w:rFonts w:ascii="Book Antiqua" w:eastAsia="Calibri" w:hAnsi="Book Antiqua" w:cs="Arial"/>
        </w:rPr>
        <w:t xml:space="preserve">less costly </w:t>
      </w:r>
      <w:r w:rsidR="00340B4D" w:rsidRPr="00A35CEC">
        <w:rPr>
          <w:rFonts w:ascii="Book Antiqua" w:eastAsia="Calibri" w:hAnsi="Book Antiqua" w:cs="Arial"/>
        </w:rPr>
        <w:t>by 2024 and 2028 under the optimistic or the conservative</w:t>
      </w:r>
      <w:r w:rsidR="00340B4D" w:rsidRPr="00A35CEC">
        <w:rPr>
          <w:rFonts w:ascii="Book Antiqua" w:hAnsi="Book Antiqua" w:cs="Arial"/>
        </w:rPr>
        <w:t xml:space="preserve"> price reduction scenario, respectively. </w:t>
      </w:r>
    </w:p>
    <w:p w14:paraId="70DD1231" w14:textId="77777777" w:rsidR="006E1B69" w:rsidRPr="00A35CEC" w:rsidRDefault="006E1B69">
      <w:pPr>
        <w:adjustRightInd w:val="0"/>
        <w:snapToGrid w:val="0"/>
        <w:spacing w:line="360" w:lineRule="auto"/>
        <w:jc w:val="both"/>
        <w:rPr>
          <w:rFonts w:ascii="Book Antiqua" w:eastAsia="Calibri" w:hAnsi="Book Antiqua" w:cs="Arial"/>
        </w:rPr>
      </w:pPr>
    </w:p>
    <w:p w14:paraId="6C0FDACF" w14:textId="77777777" w:rsidR="006D5945" w:rsidRPr="00A35CEC" w:rsidRDefault="006D5945">
      <w:pPr>
        <w:adjustRightInd w:val="0"/>
        <w:snapToGrid w:val="0"/>
        <w:spacing w:line="360" w:lineRule="auto"/>
        <w:jc w:val="both"/>
        <w:rPr>
          <w:rFonts w:ascii="Book Antiqua" w:hAnsi="Book Antiqua"/>
          <w:b/>
          <w:i/>
        </w:rPr>
      </w:pPr>
      <w:r w:rsidRPr="00A35CEC">
        <w:rPr>
          <w:rFonts w:ascii="Book Antiqua" w:hAnsi="Book Antiqua"/>
          <w:b/>
          <w:i/>
        </w:rPr>
        <w:t xml:space="preserve">Cost-effectiveness </w:t>
      </w:r>
    </w:p>
    <w:p w14:paraId="374A1E87" w14:textId="3BFA4BBA" w:rsidR="006D5945" w:rsidRPr="00A35CEC" w:rsidRDefault="009252B0">
      <w:pPr>
        <w:adjustRightInd w:val="0"/>
        <w:snapToGrid w:val="0"/>
        <w:spacing w:line="360" w:lineRule="auto"/>
        <w:jc w:val="both"/>
        <w:rPr>
          <w:rFonts w:ascii="Book Antiqua" w:eastAsia="Calibri" w:hAnsi="Book Antiqua" w:cs="Arial"/>
        </w:rPr>
      </w:pPr>
      <w:r w:rsidRPr="00A35CEC">
        <w:rPr>
          <w:rFonts w:ascii="Book Antiqua" w:eastAsia="Calibri" w:hAnsi="Book Antiqua" w:cs="Arial"/>
        </w:rPr>
        <w:t>It was estimated that to achieve elimination</w:t>
      </w:r>
      <w:r w:rsidR="008910FB" w:rsidRPr="00A35CEC">
        <w:rPr>
          <w:rFonts w:ascii="Book Antiqua" w:eastAsia="Calibri" w:hAnsi="Book Antiqua" w:cs="Arial"/>
        </w:rPr>
        <w:t>,</w:t>
      </w:r>
      <w:r w:rsidRPr="00A35CEC">
        <w:rPr>
          <w:rFonts w:ascii="Book Antiqua" w:eastAsia="Calibri" w:hAnsi="Book Antiqua" w:cs="Arial"/>
        </w:rPr>
        <w:t xml:space="preserve"> an investment</w:t>
      </w:r>
      <w:r w:rsidR="00E123AD" w:rsidRPr="00A35CEC">
        <w:rPr>
          <w:rFonts w:ascii="Book Antiqua" w:eastAsia="Calibri" w:hAnsi="Book Antiqua" w:cs="Arial"/>
        </w:rPr>
        <w:t xml:space="preserve"> (direct costs)</w:t>
      </w:r>
      <w:r w:rsidRPr="00A35CEC">
        <w:rPr>
          <w:rFonts w:ascii="Book Antiqua" w:eastAsia="Calibri" w:hAnsi="Book Antiqua" w:cs="Arial"/>
        </w:rPr>
        <w:t xml:space="preserve"> of </w:t>
      </w:r>
      <w:r w:rsidR="00274B9D" w:rsidRPr="00A35CEC">
        <w:rPr>
          <w:rFonts w:ascii="Book Antiqua" w:eastAsia="Calibri" w:hAnsi="Book Antiqua" w:cs="Arial"/>
        </w:rPr>
        <w:t>€</w:t>
      </w:r>
      <w:r w:rsidRPr="00A35CEC">
        <w:rPr>
          <w:rFonts w:ascii="Book Antiqua" w:eastAsia="Calibri" w:hAnsi="Book Antiqua" w:cs="Arial"/>
        </w:rPr>
        <w:t>2.1</w:t>
      </w:r>
      <w:r w:rsidR="0033010E" w:rsidRPr="00A35CEC">
        <w:rPr>
          <w:rFonts w:ascii="Book Antiqua" w:eastAsia="Calibri" w:hAnsi="Book Antiqua" w:cs="Arial"/>
        </w:rPr>
        <w:t>2</w:t>
      </w:r>
      <w:r w:rsidRPr="00A35CEC">
        <w:rPr>
          <w:rFonts w:ascii="Book Antiqua" w:eastAsia="Calibri" w:hAnsi="Book Antiqua" w:cs="Arial"/>
        </w:rPr>
        <w:t xml:space="preserve"> or 2.33 billion should be made by 2030 under </w:t>
      </w:r>
      <w:r w:rsidR="008910FB" w:rsidRPr="00A35CEC">
        <w:rPr>
          <w:rFonts w:ascii="Book Antiqua" w:eastAsia="Calibri" w:hAnsi="Book Antiqua" w:cs="Arial"/>
        </w:rPr>
        <w:t xml:space="preserve">the </w:t>
      </w:r>
      <w:r w:rsidRPr="00A35CEC">
        <w:rPr>
          <w:rFonts w:ascii="Book Antiqua" w:eastAsia="Calibri" w:hAnsi="Book Antiqua" w:cs="Arial"/>
        </w:rPr>
        <w:t>optimistic or the conservative price reduction scenario, respectively</w:t>
      </w:r>
      <w:r w:rsidR="008C51B5" w:rsidRPr="00A35CEC">
        <w:rPr>
          <w:rFonts w:ascii="Book Antiqua" w:eastAsia="Calibri" w:hAnsi="Book Antiqua" w:cs="Arial"/>
        </w:rPr>
        <w:t xml:space="preserve">. It is also important that </w:t>
      </w:r>
      <w:r w:rsidR="00755E15" w:rsidRPr="00A35CEC">
        <w:rPr>
          <w:rFonts w:ascii="Book Antiqua" w:eastAsia="Calibri" w:hAnsi="Book Antiqua" w:cs="Arial"/>
        </w:rPr>
        <w:t xml:space="preserve">at the same time, </w:t>
      </w:r>
      <w:r w:rsidR="008C51B5" w:rsidRPr="00A35CEC">
        <w:rPr>
          <w:rFonts w:ascii="Book Antiqua" w:eastAsia="Calibri" w:hAnsi="Book Antiqua" w:cs="Arial"/>
        </w:rPr>
        <w:t xml:space="preserve">about </w:t>
      </w:r>
      <w:r w:rsidR="003965ED" w:rsidRPr="00A35CEC">
        <w:rPr>
          <w:rFonts w:ascii="Book Antiqua" w:eastAsia="Calibri" w:hAnsi="Book Antiqua" w:cs="Arial"/>
        </w:rPr>
        <w:t>€</w:t>
      </w:r>
      <w:r w:rsidR="008C51B5" w:rsidRPr="00A35CEC">
        <w:rPr>
          <w:rFonts w:ascii="Book Antiqua" w:eastAsia="Calibri" w:hAnsi="Book Antiqua" w:cs="Arial"/>
        </w:rPr>
        <w:t>1</w:t>
      </w:r>
      <w:r w:rsidRPr="00A35CEC">
        <w:rPr>
          <w:rFonts w:ascii="Book Antiqua" w:eastAsia="Calibri" w:hAnsi="Book Antiqua" w:cs="Arial"/>
        </w:rPr>
        <w:t>.1</w:t>
      </w:r>
      <w:r w:rsidR="008C51B5" w:rsidRPr="00A35CEC">
        <w:rPr>
          <w:rFonts w:ascii="Book Antiqua" w:eastAsia="Calibri" w:hAnsi="Book Antiqua" w:cs="Arial"/>
        </w:rPr>
        <w:t xml:space="preserve"> billion would be </w:t>
      </w:r>
      <w:r w:rsidR="001E2537" w:rsidRPr="00A35CEC">
        <w:rPr>
          <w:rFonts w:ascii="Book Antiqua" w:eastAsia="Calibri" w:hAnsi="Book Antiqua" w:cs="Arial"/>
        </w:rPr>
        <w:t xml:space="preserve">lost </w:t>
      </w:r>
      <w:r w:rsidR="00755E15" w:rsidRPr="00A35CEC">
        <w:rPr>
          <w:rFonts w:ascii="Book Antiqua" w:eastAsia="Calibri" w:hAnsi="Book Antiqua" w:cs="Arial"/>
        </w:rPr>
        <w:t>(indirect costs)</w:t>
      </w:r>
      <w:r w:rsidR="001E2537" w:rsidRPr="00A35CEC">
        <w:rPr>
          <w:rFonts w:ascii="Book Antiqua" w:eastAsia="Calibri" w:hAnsi="Book Antiqua" w:cs="Arial"/>
        </w:rPr>
        <w:t>.</w:t>
      </w:r>
      <w:r w:rsidR="008C51B5" w:rsidRPr="00A35CEC">
        <w:rPr>
          <w:rFonts w:ascii="Book Antiqua" w:eastAsia="Calibri" w:hAnsi="Book Antiqua" w:cs="Arial"/>
        </w:rPr>
        <w:t xml:space="preserve"> </w:t>
      </w:r>
      <w:r w:rsidRPr="00A35CEC">
        <w:rPr>
          <w:rFonts w:ascii="Book Antiqua" w:eastAsia="Calibri" w:hAnsi="Book Antiqua" w:cs="Arial"/>
        </w:rPr>
        <w:t>Summing up the above, the</w:t>
      </w:r>
      <w:r w:rsidR="00755E15" w:rsidRPr="00A35CEC">
        <w:rPr>
          <w:rFonts w:ascii="Book Antiqua" w:eastAsia="Calibri" w:hAnsi="Book Antiqua" w:cs="Arial"/>
        </w:rPr>
        <w:t xml:space="preserve"> overall cumulative</w:t>
      </w:r>
      <w:r w:rsidRPr="00A35CEC">
        <w:rPr>
          <w:rFonts w:ascii="Book Antiqua" w:eastAsia="Calibri" w:hAnsi="Book Antiqua" w:cs="Arial"/>
        </w:rPr>
        <w:t xml:space="preserve"> cost of </w:t>
      </w:r>
      <w:proofErr w:type="spellStart"/>
      <w:r w:rsidRPr="00A35CEC">
        <w:rPr>
          <w:rFonts w:ascii="Book Antiqua" w:eastAsia="Calibri" w:hAnsi="Book Antiqua" w:cs="Arial"/>
        </w:rPr>
        <w:t>HCV</w:t>
      </w:r>
      <w:proofErr w:type="spellEnd"/>
      <w:r w:rsidRPr="00A35CEC">
        <w:rPr>
          <w:rFonts w:ascii="Book Antiqua" w:eastAsia="Calibri" w:hAnsi="Book Antiqua" w:cs="Arial"/>
        </w:rPr>
        <w:t xml:space="preserve"> elimination would be range between </w:t>
      </w:r>
      <w:r w:rsidR="003965ED" w:rsidRPr="00A35CEC">
        <w:rPr>
          <w:rFonts w:ascii="Book Antiqua" w:eastAsia="Calibri" w:hAnsi="Book Antiqua" w:cs="Arial"/>
        </w:rPr>
        <w:t>€</w:t>
      </w:r>
      <w:r w:rsidRPr="00A35CEC">
        <w:rPr>
          <w:rFonts w:ascii="Book Antiqua" w:eastAsia="Calibri" w:hAnsi="Book Antiqua" w:cs="Arial"/>
        </w:rPr>
        <w:t xml:space="preserve">3.2 and 3.4 billion by 2030. The corresponding costs by 2035 would vary between </w:t>
      </w:r>
      <w:r w:rsidR="003965ED" w:rsidRPr="00A35CEC">
        <w:rPr>
          <w:rFonts w:ascii="Book Antiqua" w:eastAsia="Calibri" w:hAnsi="Book Antiqua" w:cs="Arial"/>
        </w:rPr>
        <w:t>€</w:t>
      </w:r>
      <w:r w:rsidRPr="00A35CEC">
        <w:rPr>
          <w:rFonts w:ascii="Book Antiqua" w:eastAsia="Calibri" w:hAnsi="Book Antiqua" w:cs="Arial"/>
        </w:rPr>
        <w:t>3.5 and 3.8 billion (</w:t>
      </w:r>
      <w:r w:rsidR="00485947" w:rsidRPr="00A35CEC">
        <w:rPr>
          <w:rFonts w:ascii="Book Antiqua" w:eastAsia="Calibri" w:hAnsi="Book Antiqua" w:cs="Arial"/>
        </w:rPr>
        <w:t>Figure</w:t>
      </w:r>
      <w:r w:rsidR="003D2070" w:rsidRPr="00A35CEC">
        <w:rPr>
          <w:rFonts w:ascii="Book Antiqua" w:eastAsia="Calibri" w:hAnsi="Book Antiqua" w:cs="Arial"/>
        </w:rPr>
        <w:t xml:space="preserve"> </w:t>
      </w:r>
      <w:r w:rsidR="001E2537" w:rsidRPr="00A35CEC">
        <w:rPr>
          <w:rFonts w:ascii="Book Antiqua" w:eastAsia="Calibri" w:hAnsi="Book Antiqua" w:cs="Arial"/>
        </w:rPr>
        <w:t>4</w:t>
      </w:r>
      <w:r w:rsidRPr="00A35CEC">
        <w:rPr>
          <w:rFonts w:ascii="Book Antiqua" w:eastAsia="Calibri" w:hAnsi="Book Antiqua" w:cs="Arial"/>
        </w:rPr>
        <w:t>).</w:t>
      </w:r>
    </w:p>
    <w:p w14:paraId="5F8BA3EA" w14:textId="7F4DA38B" w:rsidR="009252B0" w:rsidRPr="00A35CEC" w:rsidRDefault="009C1436">
      <w:pPr>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9252B0" w:rsidRPr="00A35CEC">
        <w:rPr>
          <w:rFonts w:ascii="Book Antiqua" w:eastAsia="Calibri" w:hAnsi="Book Antiqua" w:cs="Arial"/>
        </w:rPr>
        <w:t xml:space="preserve">The </w:t>
      </w:r>
      <w:proofErr w:type="spellStart"/>
      <w:r w:rsidR="009252B0" w:rsidRPr="00A35CEC">
        <w:rPr>
          <w:rFonts w:ascii="Book Antiqua" w:eastAsia="Calibri" w:hAnsi="Book Antiqua" w:cs="Arial"/>
        </w:rPr>
        <w:t>ICER</w:t>
      </w:r>
      <w:proofErr w:type="spellEnd"/>
      <w:r w:rsidR="009252B0" w:rsidRPr="00A35CEC">
        <w:rPr>
          <w:rFonts w:ascii="Book Antiqua" w:eastAsia="Calibri" w:hAnsi="Book Antiqua" w:cs="Arial"/>
        </w:rPr>
        <w:t xml:space="preserve"> computes that the cost per averted DALY by 2030 would </w:t>
      </w:r>
      <w:r w:rsidR="00536A7B" w:rsidRPr="00A35CEC">
        <w:rPr>
          <w:rFonts w:ascii="Book Antiqua" w:eastAsia="Calibri" w:hAnsi="Book Antiqua" w:cs="Arial"/>
        </w:rPr>
        <w:t xml:space="preserve">be </w:t>
      </w:r>
      <w:r w:rsidR="00CC54DF" w:rsidRPr="00A35CEC">
        <w:rPr>
          <w:rFonts w:ascii="Book Antiqua" w:eastAsia="Calibri" w:hAnsi="Book Antiqua" w:cs="Arial"/>
        </w:rPr>
        <w:t>€</w:t>
      </w:r>
      <w:r w:rsidR="00115379" w:rsidRPr="00A35CEC">
        <w:rPr>
          <w:rFonts w:ascii="Book Antiqua" w:eastAsia="Calibri" w:hAnsi="Book Antiqua" w:cs="Arial"/>
        </w:rPr>
        <w:t>10</w:t>
      </w:r>
      <w:r w:rsidR="00CC54DF" w:rsidRPr="00A35CEC">
        <w:rPr>
          <w:rFonts w:ascii="Book Antiqua" w:eastAsia="Calibri" w:hAnsi="Book Antiqua" w:cs="Arial"/>
        </w:rPr>
        <w:t>,</w:t>
      </w:r>
      <w:r w:rsidR="00115379" w:rsidRPr="00A35CEC">
        <w:rPr>
          <w:rFonts w:ascii="Book Antiqua" w:eastAsia="Calibri" w:hAnsi="Book Antiqua" w:cs="Arial"/>
        </w:rPr>
        <w:t>100</w:t>
      </w:r>
      <w:r w:rsidRPr="00A35CEC">
        <w:rPr>
          <w:rFonts w:ascii="Book Antiqua" w:eastAsia="Calibri" w:hAnsi="Book Antiqua" w:cs="Arial"/>
        </w:rPr>
        <w:t xml:space="preserve"> </w:t>
      </w:r>
      <w:r w:rsidR="009252B0" w:rsidRPr="00A35CEC">
        <w:rPr>
          <w:rFonts w:ascii="Book Antiqua" w:eastAsia="Calibri" w:hAnsi="Book Antiqua" w:cs="Arial"/>
        </w:rPr>
        <w:t xml:space="preserve">and </w:t>
      </w:r>
      <w:r w:rsidR="00CC54DF" w:rsidRPr="00A35CEC">
        <w:rPr>
          <w:rFonts w:ascii="Book Antiqua" w:eastAsia="Calibri" w:hAnsi="Book Antiqua" w:cs="Arial"/>
        </w:rPr>
        <w:t>€</w:t>
      </w:r>
      <w:r w:rsidR="00755E15" w:rsidRPr="00A35CEC">
        <w:rPr>
          <w:rFonts w:ascii="Book Antiqua" w:eastAsia="Calibri" w:hAnsi="Book Antiqua" w:cs="Arial"/>
        </w:rPr>
        <w:t>13</w:t>
      </w:r>
      <w:r w:rsidR="00CC54DF" w:rsidRPr="00A35CEC">
        <w:rPr>
          <w:rFonts w:ascii="Book Antiqua" w:eastAsia="Calibri" w:hAnsi="Book Antiqua" w:cs="Arial"/>
        </w:rPr>
        <w:t>,</w:t>
      </w:r>
      <w:r w:rsidR="00755E15" w:rsidRPr="00A35CEC">
        <w:rPr>
          <w:rFonts w:ascii="Book Antiqua" w:eastAsia="Calibri" w:hAnsi="Book Antiqua" w:cs="Arial"/>
        </w:rPr>
        <w:t>380</w:t>
      </w:r>
      <w:r w:rsidRPr="00A35CEC">
        <w:rPr>
          <w:rFonts w:ascii="Book Antiqua" w:eastAsia="Calibri" w:hAnsi="Book Antiqua" w:cs="Arial"/>
        </w:rPr>
        <w:t xml:space="preserve"> </w:t>
      </w:r>
      <w:r w:rsidR="006E33C3" w:rsidRPr="00A35CEC">
        <w:rPr>
          <w:rFonts w:ascii="Book Antiqua" w:eastAsia="Calibri" w:hAnsi="Book Antiqua" w:cs="Arial"/>
        </w:rPr>
        <w:t xml:space="preserve">under </w:t>
      </w:r>
      <w:r w:rsidR="00755E15" w:rsidRPr="00A35CEC">
        <w:rPr>
          <w:rFonts w:ascii="Book Antiqua" w:eastAsia="Calibri" w:hAnsi="Book Antiqua" w:cs="Arial"/>
        </w:rPr>
        <w:t xml:space="preserve">the </w:t>
      </w:r>
      <w:r w:rsidR="006E33C3" w:rsidRPr="00A35CEC">
        <w:rPr>
          <w:rFonts w:ascii="Book Antiqua" w:eastAsia="Calibri" w:hAnsi="Book Antiqua" w:cs="Arial"/>
        </w:rPr>
        <w:t xml:space="preserve">optimistic or the conservative price reduction scenario, respectively. Similarly, </w:t>
      </w:r>
      <w:r w:rsidR="009252B0" w:rsidRPr="00A35CEC">
        <w:rPr>
          <w:rFonts w:ascii="Book Antiqua" w:eastAsia="Calibri" w:hAnsi="Book Antiqua" w:cs="Arial"/>
        </w:rPr>
        <w:t xml:space="preserve">the cost per averted </w:t>
      </w:r>
      <w:proofErr w:type="spellStart"/>
      <w:r w:rsidR="009252B0" w:rsidRPr="00A35CEC">
        <w:rPr>
          <w:rFonts w:ascii="Book Antiqua" w:eastAsia="Calibri" w:hAnsi="Book Antiqua" w:cs="Arial"/>
        </w:rPr>
        <w:t>DALYs</w:t>
      </w:r>
      <w:proofErr w:type="spellEnd"/>
      <w:r w:rsidR="009252B0" w:rsidRPr="00A35CEC">
        <w:rPr>
          <w:rFonts w:ascii="Book Antiqua" w:eastAsia="Calibri" w:hAnsi="Book Antiqua" w:cs="Arial"/>
        </w:rPr>
        <w:t xml:space="preserve"> by 2035</w:t>
      </w:r>
      <w:r w:rsidR="006E33C3" w:rsidRPr="00A35CEC">
        <w:rPr>
          <w:rFonts w:ascii="Book Antiqua" w:eastAsia="Calibri" w:hAnsi="Book Antiqua" w:cs="Arial"/>
        </w:rPr>
        <w:t xml:space="preserve"> would be</w:t>
      </w:r>
      <w:r w:rsidRPr="00A35CEC">
        <w:rPr>
          <w:rFonts w:ascii="Book Antiqua" w:eastAsia="Calibri" w:hAnsi="Book Antiqua" w:cs="Arial"/>
        </w:rPr>
        <w:t xml:space="preserve"> </w:t>
      </w:r>
      <w:r w:rsidR="00CC54DF" w:rsidRPr="00A35CEC">
        <w:rPr>
          <w:rFonts w:ascii="Book Antiqua" w:eastAsia="Calibri" w:hAnsi="Book Antiqua" w:cs="Arial"/>
        </w:rPr>
        <w:t>€</w:t>
      </w:r>
      <w:r w:rsidRPr="00A35CEC">
        <w:rPr>
          <w:rFonts w:ascii="Book Antiqua" w:eastAsia="Calibri" w:hAnsi="Book Antiqua" w:cs="Arial"/>
        </w:rPr>
        <w:t>5</w:t>
      </w:r>
      <w:r w:rsidR="00115379" w:rsidRPr="00A35CEC">
        <w:rPr>
          <w:rFonts w:ascii="Book Antiqua" w:eastAsia="Calibri" w:hAnsi="Book Antiqua" w:cs="Arial"/>
        </w:rPr>
        <w:t>100</w:t>
      </w:r>
      <w:r w:rsidR="009252B0" w:rsidRPr="00A35CEC">
        <w:rPr>
          <w:rFonts w:ascii="Book Antiqua" w:eastAsia="Calibri" w:hAnsi="Book Antiqua" w:cs="Arial"/>
        </w:rPr>
        <w:t xml:space="preserve"> and </w:t>
      </w:r>
      <w:r w:rsidR="00CC54DF" w:rsidRPr="00A35CEC">
        <w:rPr>
          <w:rFonts w:ascii="Book Antiqua" w:eastAsia="Calibri" w:hAnsi="Book Antiqua" w:cs="Arial"/>
        </w:rPr>
        <w:t>€</w:t>
      </w:r>
      <w:r w:rsidR="00115379" w:rsidRPr="00A35CEC">
        <w:rPr>
          <w:rFonts w:ascii="Book Antiqua" w:eastAsia="Calibri" w:hAnsi="Book Antiqua" w:cs="Arial"/>
        </w:rPr>
        <w:t>83</w:t>
      </w:r>
      <w:r w:rsidR="009252B0" w:rsidRPr="00A35CEC">
        <w:rPr>
          <w:rFonts w:ascii="Book Antiqua" w:eastAsia="Calibri" w:hAnsi="Book Antiqua" w:cs="Arial"/>
        </w:rPr>
        <w:t>00</w:t>
      </w:r>
      <w:r w:rsidR="006E33C3" w:rsidRPr="00A35CEC">
        <w:rPr>
          <w:rFonts w:ascii="Book Antiqua" w:eastAsia="Calibri" w:hAnsi="Book Antiqua" w:cs="Arial"/>
        </w:rPr>
        <w:t>. In all scenarios</w:t>
      </w:r>
      <w:r w:rsidR="00CC54DF" w:rsidRPr="00A35CEC">
        <w:rPr>
          <w:rFonts w:ascii="Book Antiqua" w:eastAsia="Calibri" w:hAnsi="Book Antiqua" w:cs="Arial"/>
        </w:rPr>
        <w:t>, the</w:t>
      </w:r>
      <w:r w:rsidR="006E33C3" w:rsidRPr="00A35CEC">
        <w:rPr>
          <w:rFonts w:ascii="Book Antiqua" w:eastAsia="Calibri" w:hAnsi="Book Antiqua" w:cs="Arial"/>
        </w:rPr>
        <w:t xml:space="preserve"> elimination strategy was always a very cost-effective strategy</w:t>
      </w:r>
      <w:r w:rsidR="003D2070" w:rsidRPr="00A35CEC">
        <w:rPr>
          <w:rFonts w:ascii="Book Antiqua" w:eastAsia="Calibri" w:hAnsi="Book Antiqua" w:cs="Arial"/>
        </w:rPr>
        <w:t xml:space="preserve"> (</w:t>
      </w:r>
      <w:r w:rsidR="006303C7" w:rsidRPr="00A35CEC">
        <w:rPr>
          <w:rFonts w:ascii="Book Antiqua" w:eastAsia="Calibri" w:hAnsi="Book Antiqua" w:cs="Arial"/>
        </w:rPr>
        <w:t>Table</w:t>
      </w:r>
      <w:r w:rsidR="003D2070" w:rsidRPr="00A35CEC">
        <w:rPr>
          <w:rFonts w:ascii="Book Antiqua" w:eastAsia="Calibri" w:hAnsi="Book Antiqua" w:cs="Arial"/>
        </w:rPr>
        <w:t xml:space="preserve"> 4)</w:t>
      </w:r>
      <w:r w:rsidR="006E33C3" w:rsidRPr="00A35CEC">
        <w:rPr>
          <w:rFonts w:ascii="Book Antiqua" w:eastAsia="Calibri" w:hAnsi="Book Antiqua" w:cs="Arial"/>
        </w:rPr>
        <w:t xml:space="preserve">. </w:t>
      </w:r>
    </w:p>
    <w:p w14:paraId="534AFC7C" w14:textId="5AE6CFAD" w:rsidR="00644384" w:rsidRPr="00A35CEC" w:rsidRDefault="00CC54DF">
      <w:pPr>
        <w:adjustRightInd w:val="0"/>
        <w:snapToGrid w:val="0"/>
        <w:spacing w:line="360" w:lineRule="auto"/>
        <w:ind w:firstLine="120"/>
        <w:jc w:val="both"/>
        <w:rPr>
          <w:rFonts w:ascii="Book Antiqua" w:eastAsia="Calibri" w:hAnsi="Book Antiqua" w:cs="Arial"/>
        </w:rPr>
      </w:pPr>
      <w:r w:rsidRPr="00A35CEC">
        <w:rPr>
          <w:rFonts w:ascii="Book Antiqua" w:eastAsia="Calibri" w:hAnsi="Book Antiqua" w:cs="Arial"/>
        </w:rPr>
        <w:t xml:space="preserve">The </w:t>
      </w:r>
      <w:proofErr w:type="spellStart"/>
      <w:r w:rsidR="006E33C3" w:rsidRPr="00A35CEC">
        <w:rPr>
          <w:rFonts w:ascii="Book Antiqua" w:eastAsia="Calibri" w:hAnsi="Book Antiqua" w:cs="Arial"/>
        </w:rPr>
        <w:t>HCV</w:t>
      </w:r>
      <w:proofErr w:type="spellEnd"/>
      <w:r w:rsidR="006E33C3" w:rsidRPr="00A35CEC">
        <w:rPr>
          <w:rFonts w:ascii="Book Antiqua" w:eastAsia="Calibri" w:hAnsi="Book Antiqua" w:cs="Arial"/>
        </w:rPr>
        <w:t xml:space="preserve"> elimination strategy appears to be a cost-saving strategy</w:t>
      </w:r>
      <w:r w:rsidRPr="00A35CEC">
        <w:rPr>
          <w:rFonts w:ascii="Book Antiqua" w:eastAsia="Calibri" w:hAnsi="Book Antiqua" w:cs="Arial"/>
        </w:rPr>
        <w:t>,</w:t>
      </w:r>
      <w:r w:rsidR="006E33C3" w:rsidRPr="00A35CEC">
        <w:rPr>
          <w:rFonts w:ascii="Book Antiqua" w:eastAsia="Calibri" w:hAnsi="Book Antiqua" w:cs="Arial"/>
        </w:rPr>
        <w:t xml:space="preserve"> as </w:t>
      </w:r>
      <w:r w:rsidRPr="00A35CEC">
        <w:rPr>
          <w:rFonts w:ascii="Book Antiqua" w:eastAsia="Calibri" w:hAnsi="Book Antiqua" w:cs="Arial"/>
        </w:rPr>
        <w:t>€</w:t>
      </w:r>
      <w:r w:rsidR="001E2537" w:rsidRPr="00A35CEC">
        <w:rPr>
          <w:rFonts w:ascii="Book Antiqua" w:eastAsia="Calibri" w:hAnsi="Book Antiqua" w:cs="Arial"/>
        </w:rPr>
        <w:t xml:space="preserve">895 </w:t>
      </w:r>
      <w:r w:rsidR="006E33C3" w:rsidRPr="00A35CEC">
        <w:rPr>
          <w:rFonts w:ascii="Book Antiqua" w:eastAsia="Calibri" w:hAnsi="Book Antiqua" w:cs="Arial"/>
        </w:rPr>
        <w:t xml:space="preserve">million and </w:t>
      </w:r>
      <w:r w:rsidRPr="00A35CEC">
        <w:rPr>
          <w:rFonts w:ascii="Book Antiqua" w:eastAsia="Calibri" w:hAnsi="Book Antiqua" w:cs="Arial"/>
        </w:rPr>
        <w:t>€</w:t>
      </w:r>
      <w:r w:rsidR="006E33C3" w:rsidRPr="00A35CEC">
        <w:rPr>
          <w:rFonts w:ascii="Book Antiqua" w:eastAsia="Calibri" w:hAnsi="Book Antiqua" w:cs="Arial"/>
        </w:rPr>
        <w:t>560 million would be saved by 2035 under the optimistic or the conservative price reduction scenario, respectively (</w:t>
      </w:r>
      <w:r w:rsidR="00485947" w:rsidRPr="00A35CEC">
        <w:rPr>
          <w:rFonts w:ascii="Book Antiqua" w:eastAsia="Calibri" w:hAnsi="Book Antiqua" w:cs="Arial"/>
        </w:rPr>
        <w:t>Figure</w:t>
      </w:r>
      <w:r w:rsidR="009C1436" w:rsidRPr="00A35CEC">
        <w:rPr>
          <w:rFonts w:ascii="Book Antiqua" w:eastAsia="Calibri" w:hAnsi="Book Antiqua" w:cs="Arial"/>
        </w:rPr>
        <w:t>s</w:t>
      </w:r>
      <w:r w:rsidR="003D2070" w:rsidRPr="00A35CEC">
        <w:rPr>
          <w:rFonts w:ascii="Book Antiqua" w:eastAsia="Calibri" w:hAnsi="Book Antiqua" w:cs="Arial"/>
        </w:rPr>
        <w:t xml:space="preserve"> </w:t>
      </w:r>
      <w:r w:rsidR="003A3485" w:rsidRPr="00A35CEC">
        <w:rPr>
          <w:rFonts w:ascii="Book Antiqua" w:eastAsia="Calibri" w:hAnsi="Book Antiqua" w:cs="Arial"/>
        </w:rPr>
        <w:t>2D</w:t>
      </w:r>
      <w:r w:rsidR="009C1436" w:rsidRPr="00A35CEC">
        <w:rPr>
          <w:rFonts w:ascii="Book Antiqua" w:eastAsia="Calibri" w:hAnsi="Book Antiqua" w:cs="Arial"/>
        </w:rPr>
        <w:t xml:space="preserve"> and 4</w:t>
      </w:r>
      <w:r w:rsidR="006E33C3" w:rsidRPr="00A35CEC">
        <w:rPr>
          <w:rFonts w:ascii="Book Antiqua" w:eastAsia="Calibri" w:hAnsi="Book Antiqua" w:cs="Arial"/>
        </w:rPr>
        <w:t xml:space="preserve">). </w:t>
      </w:r>
    </w:p>
    <w:p w14:paraId="3951B24C" w14:textId="77777777" w:rsidR="009C1436" w:rsidRPr="00A35CEC" w:rsidRDefault="009C1436">
      <w:pPr>
        <w:adjustRightInd w:val="0"/>
        <w:snapToGrid w:val="0"/>
        <w:spacing w:line="360" w:lineRule="auto"/>
        <w:ind w:firstLine="120"/>
        <w:jc w:val="both"/>
        <w:rPr>
          <w:rFonts w:ascii="Book Antiqua" w:eastAsia="Calibri" w:hAnsi="Book Antiqua" w:cs="Arial"/>
        </w:rPr>
      </w:pPr>
    </w:p>
    <w:p w14:paraId="7EC4F5CA" w14:textId="77777777" w:rsidR="00CC4D89" w:rsidRPr="00A35CEC" w:rsidRDefault="00CC4D89">
      <w:pPr>
        <w:pStyle w:val="1"/>
        <w:adjustRightInd w:val="0"/>
        <w:snapToGrid w:val="0"/>
        <w:spacing w:before="0" w:beforeAutospacing="0" w:after="0" w:afterAutospacing="0" w:line="360" w:lineRule="auto"/>
        <w:jc w:val="both"/>
        <w:rPr>
          <w:rFonts w:ascii="Book Antiqua" w:hAnsi="Book Antiqua" w:cs="Arial"/>
          <w:sz w:val="24"/>
          <w:szCs w:val="24"/>
          <w:lang w:val="en-US"/>
        </w:rPr>
      </w:pPr>
      <w:r w:rsidRPr="00A35CEC">
        <w:rPr>
          <w:rFonts w:ascii="Book Antiqua" w:hAnsi="Book Antiqua" w:cs="Arial"/>
          <w:sz w:val="24"/>
          <w:szCs w:val="24"/>
          <w:lang w:val="en-US"/>
        </w:rPr>
        <w:t>D</w:t>
      </w:r>
      <w:r w:rsidR="00932505" w:rsidRPr="00A35CEC">
        <w:rPr>
          <w:rFonts w:ascii="Book Antiqua" w:hAnsi="Book Antiqua" w:cs="Arial"/>
          <w:sz w:val="24"/>
          <w:szCs w:val="24"/>
          <w:lang w:val="en-US"/>
        </w:rPr>
        <w:t>ISCUSSION</w:t>
      </w:r>
    </w:p>
    <w:p w14:paraId="651630EE" w14:textId="09631C11" w:rsidR="00F06648" w:rsidRPr="00A35CEC" w:rsidRDefault="00E600C0">
      <w:pPr>
        <w:tabs>
          <w:tab w:val="left" w:pos="567"/>
        </w:tabs>
        <w:adjustRightInd w:val="0"/>
        <w:snapToGrid w:val="0"/>
        <w:spacing w:line="360" w:lineRule="auto"/>
        <w:jc w:val="both"/>
        <w:rPr>
          <w:rFonts w:ascii="Book Antiqua" w:eastAsia="Calibri" w:hAnsi="Book Antiqua" w:cs="Arial"/>
        </w:rPr>
      </w:pPr>
      <w:r w:rsidRPr="00A35CEC">
        <w:rPr>
          <w:rFonts w:ascii="Book Antiqua" w:eastAsia="Calibri" w:hAnsi="Book Antiqua" w:cs="Arial"/>
        </w:rPr>
        <w:t>The</w:t>
      </w:r>
      <w:r w:rsidR="008358DD" w:rsidRPr="00A35CEC">
        <w:rPr>
          <w:rFonts w:ascii="Book Antiqua" w:eastAsia="Calibri" w:hAnsi="Book Antiqua" w:cs="Arial"/>
        </w:rPr>
        <w:t xml:space="preserve"> analysis shows that</w:t>
      </w:r>
      <w:r w:rsidR="00C33053" w:rsidRPr="00A35CEC">
        <w:rPr>
          <w:rFonts w:ascii="Book Antiqua" w:eastAsia="Calibri" w:hAnsi="Book Antiqua" w:cs="Arial"/>
        </w:rPr>
        <w:t xml:space="preserve"> </w:t>
      </w:r>
      <w:r w:rsidR="008358DD" w:rsidRPr="00A35CEC">
        <w:rPr>
          <w:rFonts w:ascii="Book Antiqua" w:eastAsia="Calibri" w:hAnsi="Book Antiqua" w:cs="Arial"/>
        </w:rPr>
        <w:t xml:space="preserve">while overall </w:t>
      </w:r>
      <w:proofErr w:type="spellStart"/>
      <w:r w:rsidR="008358DD" w:rsidRPr="00A35CEC">
        <w:rPr>
          <w:rFonts w:ascii="Book Antiqua" w:eastAsia="Calibri" w:hAnsi="Book Antiqua" w:cs="Arial"/>
        </w:rPr>
        <w:t>HCV</w:t>
      </w:r>
      <w:proofErr w:type="spellEnd"/>
      <w:r w:rsidR="008358DD" w:rsidRPr="00A35CEC">
        <w:rPr>
          <w:rFonts w:ascii="Book Antiqua" w:eastAsia="Calibri" w:hAnsi="Book Antiqua" w:cs="Arial"/>
        </w:rPr>
        <w:t xml:space="preserve"> prevalence in Greece </w:t>
      </w:r>
      <w:r w:rsidR="00806A88" w:rsidRPr="00A35CEC">
        <w:rPr>
          <w:rFonts w:ascii="Book Antiqua" w:eastAsia="Calibri" w:hAnsi="Book Antiqua" w:cs="Arial"/>
        </w:rPr>
        <w:t>will</w:t>
      </w:r>
      <w:r w:rsidR="008358DD" w:rsidRPr="00A35CEC">
        <w:rPr>
          <w:rFonts w:ascii="Book Antiqua" w:eastAsia="Calibri" w:hAnsi="Book Antiqua" w:cs="Arial"/>
        </w:rPr>
        <w:t xml:space="preserve"> </w:t>
      </w:r>
      <w:r w:rsidR="00B30F0A" w:rsidRPr="00A35CEC">
        <w:rPr>
          <w:rFonts w:ascii="Book Antiqua" w:eastAsia="Calibri" w:hAnsi="Book Antiqua" w:cs="Arial"/>
        </w:rPr>
        <w:t>decline</w:t>
      </w:r>
      <w:r w:rsidR="008358DD" w:rsidRPr="00A35CEC">
        <w:rPr>
          <w:rFonts w:ascii="Book Antiqua" w:eastAsia="Calibri" w:hAnsi="Book Antiqua" w:cs="Arial"/>
        </w:rPr>
        <w:t xml:space="preserve">, disease burden related to </w:t>
      </w:r>
      <w:proofErr w:type="spellStart"/>
      <w:r w:rsidR="008358DD" w:rsidRPr="00A35CEC">
        <w:rPr>
          <w:rFonts w:ascii="Book Antiqua" w:eastAsia="Calibri" w:hAnsi="Book Antiqua" w:cs="Arial"/>
        </w:rPr>
        <w:t>HCV</w:t>
      </w:r>
      <w:proofErr w:type="spellEnd"/>
      <w:r w:rsidR="008358DD" w:rsidRPr="00A35CEC">
        <w:rPr>
          <w:rFonts w:ascii="Book Antiqua" w:eastAsia="Calibri" w:hAnsi="Book Antiqua" w:cs="Arial"/>
        </w:rPr>
        <w:t xml:space="preserve"> and associated costs </w:t>
      </w:r>
      <w:r w:rsidR="00806A88" w:rsidRPr="00A35CEC">
        <w:rPr>
          <w:rFonts w:ascii="Book Antiqua" w:eastAsia="Calibri" w:hAnsi="Book Antiqua" w:cs="Arial"/>
        </w:rPr>
        <w:t>will</w:t>
      </w:r>
      <w:r w:rsidR="00B92786" w:rsidRPr="00A35CEC">
        <w:rPr>
          <w:rFonts w:ascii="Book Antiqua" w:eastAsia="Calibri" w:hAnsi="Book Antiqua" w:cs="Arial"/>
        </w:rPr>
        <w:t xml:space="preserve"> continue to grow</w:t>
      </w:r>
      <w:r w:rsidR="00723008" w:rsidRPr="00A35CEC">
        <w:rPr>
          <w:rFonts w:ascii="Book Antiqua" w:eastAsia="Calibri" w:hAnsi="Book Antiqua" w:cs="Arial"/>
        </w:rPr>
        <w:t xml:space="preserve"> in the era of </w:t>
      </w:r>
      <w:proofErr w:type="spellStart"/>
      <w:r w:rsidR="00723008" w:rsidRPr="00A35CEC">
        <w:rPr>
          <w:rFonts w:ascii="Book Antiqua" w:eastAsia="Calibri" w:hAnsi="Book Antiqua" w:cs="Arial"/>
        </w:rPr>
        <w:t>DAAs</w:t>
      </w:r>
      <w:proofErr w:type="spellEnd"/>
      <w:r w:rsidR="00723008" w:rsidRPr="00A35CEC">
        <w:rPr>
          <w:rFonts w:ascii="Book Antiqua" w:eastAsia="Calibri" w:hAnsi="Book Antiqua" w:cs="Arial"/>
        </w:rPr>
        <w:t xml:space="preserve"> </w:t>
      </w:r>
      <w:r w:rsidR="00CC54DF" w:rsidRPr="00A35CEC">
        <w:rPr>
          <w:rFonts w:ascii="Book Antiqua" w:eastAsia="Calibri" w:hAnsi="Book Antiqua" w:cs="Arial"/>
        </w:rPr>
        <w:t>due to</w:t>
      </w:r>
      <w:r w:rsidR="00723008" w:rsidRPr="00A35CEC">
        <w:rPr>
          <w:rFonts w:ascii="Book Antiqua" w:eastAsia="Calibri" w:hAnsi="Book Antiqua" w:cs="Arial"/>
        </w:rPr>
        <w:t xml:space="preserve"> failure to diagnose and treat sufficient number</w:t>
      </w:r>
      <w:r w:rsidR="00CC54DF" w:rsidRPr="00A35CEC">
        <w:rPr>
          <w:rFonts w:ascii="Book Antiqua" w:eastAsia="Calibri" w:hAnsi="Book Antiqua" w:cs="Arial"/>
        </w:rPr>
        <w:t>s</w:t>
      </w:r>
      <w:r w:rsidR="00723008" w:rsidRPr="00A35CEC">
        <w:rPr>
          <w:rFonts w:ascii="Book Antiqua" w:eastAsia="Calibri" w:hAnsi="Book Antiqua" w:cs="Arial"/>
        </w:rPr>
        <w:t xml:space="preserve"> of patients. Similar patterns have been observed in the </w:t>
      </w:r>
      <w:proofErr w:type="spellStart"/>
      <w:r w:rsidR="00C33053" w:rsidRPr="00A35CEC">
        <w:rPr>
          <w:rFonts w:ascii="Book Antiqua" w:eastAsia="Calibri" w:hAnsi="Book Antiqua" w:cs="Arial"/>
        </w:rPr>
        <w:t>IFN</w:t>
      </w:r>
      <w:proofErr w:type="spellEnd"/>
      <w:r w:rsidR="00723008" w:rsidRPr="00A35CEC">
        <w:rPr>
          <w:rFonts w:ascii="Book Antiqua" w:eastAsia="Calibri" w:hAnsi="Book Antiqua" w:cs="Arial"/>
        </w:rPr>
        <w:t xml:space="preserve"> </w:t>
      </w:r>
      <w:proofErr w:type="gramStart"/>
      <w:r w:rsidR="00723008" w:rsidRPr="00A35CEC">
        <w:rPr>
          <w:rFonts w:ascii="Book Antiqua" w:eastAsia="Calibri" w:hAnsi="Book Antiqua" w:cs="Arial"/>
        </w:rPr>
        <w:t>era</w:t>
      </w:r>
      <w:r w:rsidR="009C1436" w:rsidRPr="00A35CEC">
        <w:rPr>
          <w:rFonts w:ascii="Book Antiqua" w:eastAsia="Calibri" w:hAnsi="Book Antiqua" w:cs="Arial"/>
          <w:vertAlign w:val="superscript"/>
        </w:rPr>
        <w:t>[</w:t>
      </w:r>
      <w:proofErr w:type="gramEnd"/>
      <w:r w:rsidR="009C1436" w:rsidRPr="00A35CEC">
        <w:rPr>
          <w:rFonts w:ascii="Book Antiqua" w:eastAsia="Calibri" w:hAnsi="Book Antiqua" w:cs="Arial"/>
          <w:vertAlign w:val="superscript"/>
        </w:rPr>
        <w:t>13,16,</w:t>
      </w:r>
      <w:r w:rsidR="00BC0DA7" w:rsidRPr="00A35CEC">
        <w:rPr>
          <w:rFonts w:ascii="Book Antiqua" w:eastAsia="Calibri" w:hAnsi="Book Antiqua" w:cs="Arial"/>
          <w:vertAlign w:val="superscript"/>
        </w:rPr>
        <w:t>31-33]</w:t>
      </w:r>
      <w:r w:rsidR="008358DD" w:rsidRPr="00A35CEC">
        <w:rPr>
          <w:rFonts w:ascii="Book Antiqua" w:eastAsia="Calibri" w:hAnsi="Book Antiqua" w:cs="Arial"/>
        </w:rPr>
        <w:t>.</w:t>
      </w:r>
      <w:r w:rsidR="00F06648" w:rsidRPr="00A35CEC">
        <w:rPr>
          <w:rFonts w:ascii="Book Antiqua" w:eastAsia="Calibri" w:hAnsi="Book Antiqua" w:cs="Arial"/>
        </w:rPr>
        <w:t xml:space="preserve"> </w:t>
      </w:r>
    </w:p>
    <w:p w14:paraId="40E0EBFD" w14:textId="15CFD86C" w:rsidR="00D778EB" w:rsidRPr="00A35CEC" w:rsidRDefault="009C1436">
      <w:pPr>
        <w:tabs>
          <w:tab w:val="left" w:pos="567"/>
        </w:tabs>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586E03" w:rsidRPr="00A35CEC">
        <w:rPr>
          <w:rFonts w:ascii="Book Antiqua" w:eastAsia="Calibri" w:hAnsi="Book Antiqua" w:cs="Arial"/>
        </w:rPr>
        <w:t xml:space="preserve">Our </w:t>
      </w:r>
      <w:r w:rsidR="006A5DE9" w:rsidRPr="00A35CEC">
        <w:rPr>
          <w:rFonts w:ascii="Book Antiqua" w:eastAsia="Calibri" w:hAnsi="Book Antiqua" w:cs="Arial"/>
        </w:rPr>
        <w:t>analysis</w:t>
      </w:r>
      <w:r w:rsidR="00586E03" w:rsidRPr="00A35CEC">
        <w:rPr>
          <w:rFonts w:ascii="Book Antiqua" w:eastAsia="Calibri" w:hAnsi="Book Antiqua" w:cs="Arial"/>
        </w:rPr>
        <w:t xml:space="preserve"> highlight</w:t>
      </w:r>
      <w:r w:rsidR="003901CC" w:rsidRPr="00A35CEC">
        <w:rPr>
          <w:rFonts w:ascii="Book Antiqua" w:eastAsia="Calibri" w:hAnsi="Book Antiqua" w:cs="Arial"/>
        </w:rPr>
        <w:t>s</w:t>
      </w:r>
      <w:r w:rsidR="00586E03" w:rsidRPr="00A35CEC">
        <w:rPr>
          <w:rFonts w:ascii="Book Antiqua" w:eastAsia="Calibri" w:hAnsi="Book Antiqua" w:cs="Arial"/>
        </w:rPr>
        <w:t xml:space="preserve"> that </w:t>
      </w:r>
      <w:proofErr w:type="spellStart"/>
      <w:r w:rsidR="00CC54DF" w:rsidRPr="00A35CEC">
        <w:rPr>
          <w:rFonts w:ascii="Book Antiqua" w:eastAsia="Calibri" w:hAnsi="Book Antiqua" w:cs="Arial"/>
        </w:rPr>
        <w:t>HCV</w:t>
      </w:r>
      <w:proofErr w:type="spellEnd"/>
      <w:r w:rsidR="00CC54DF" w:rsidRPr="00A35CEC">
        <w:rPr>
          <w:rFonts w:ascii="Book Antiqua" w:eastAsia="Calibri" w:hAnsi="Book Antiqua" w:cs="Arial"/>
        </w:rPr>
        <w:t xml:space="preserve"> </w:t>
      </w:r>
      <w:r w:rsidR="00586E03" w:rsidRPr="00A35CEC">
        <w:rPr>
          <w:rFonts w:ascii="Book Antiqua" w:eastAsia="Calibri" w:hAnsi="Book Antiqua" w:cs="Arial"/>
        </w:rPr>
        <w:t xml:space="preserve">management without </w:t>
      </w:r>
      <w:r w:rsidR="00E7187B" w:rsidRPr="00A35CEC">
        <w:rPr>
          <w:rFonts w:ascii="Book Antiqua" w:eastAsia="Calibri" w:hAnsi="Book Antiqua" w:cs="Arial"/>
        </w:rPr>
        <w:t xml:space="preserve">effective </w:t>
      </w:r>
      <w:r w:rsidR="00586E03" w:rsidRPr="00A35CEC">
        <w:rPr>
          <w:rFonts w:ascii="Book Antiqua" w:eastAsia="Calibri" w:hAnsi="Book Antiqua" w:cs="Arial"/>
        </w:rPr>
        <w:t>awareness and screening campaigns</w:t>
      </w:r>
      <w:r w:rsidR="00755E15" w:rsidRPr="00A35CEC">
        <w:rPr>
          <w:rFonts w:ascii="Book Antiqua" w:eastAsia="Calibri" w:hAnsi="Book Antiqua" w:cs="Arial"/>
        </w:rPr>
        <w:t xml:space="preserve"> </w:t>
      </w:r>
      <w:r w:rsidR="00586E03" w:rsidRPr="00A35CEC">
        <w:rPr>
          <w:rFonts w:ascii="Book Antiqua" w:eastAsia="Calibri" w:hAnsi="Book Antiqua" w:cs="Arial"/>
        </w:rPr>
        <w:t xml:space="preserve">would be </w:t>
      </w:r>
      <w:r w:rsidR="009C73F6" w:rsidRPr="00A35CEC">
        <w:rPr>
          <w:rFonts w:ascii="Book Antiqua" w:eastAsia="Calibri" w:hAnsi="Book Antiqua" w:cs="Arial"/>
        </w:rPr>
        <w:t xml:space="preserve">an </w:t>
      </w:r>
      <w:r w:rsidR="00586E03" w:rsidRPr="00A35CEC">
        <w:rPr>
          <w:rFonts w:ascii="Book Antiqua" w:eastAsia="Calibri" w:hAnsi="Book Antiqua" w:cs="Arial"/>
        </w:rPr>
        <w:t>expensive and ineffective health policy strategy. The reason is that few patients</w:t>
      </w:r>
      <w:r w:rsidR="009C73F6" w:rsidRPr="00A35CEC">
        <w:rPr>
          <w:rFonts w:ascii="Book Antiqua" w:eastAsia="Calibri" w:hAnsi="Book Antiqua" w:cs="Arial"/>
        </w:rPr>
        <w:t xml:space="preserve"> </w:t>
      </w:r>
      <w:r w:rsidR="00CC54DF" w:rsidRPr="00A35CEC">
        <w:rPr>
          <w:rFonts w:ascii="Book Antiqua" w:eastAsia="Calibri" w:hAnsi="Book Antiqua" w:cs="Arial"/>
        </w:rPr>
        <w:t xml:space="preserve">would be </w:t>
      </w:r>
      <w:r w:rsidR="009C73F6" w:rsidRPr="00A35CEC">
        <w:rPr>
          <w:rFonts w:ascii="Book Antiqua" w:eastAsia="Calibri" w:hAnsi="Book Antiqua" w:cs="Arial"/>
        </w:rPr>
        <w:t>diagnosed and treated</w:t>
      </w:r>
      <w:r w:rsidR="00586E03" w:rsidRPr="00A35CEC">
        <w:rPr>
          <w:rFonts w:ascii="Book Antiqua" w:eastAsia="Calibri" w:hAnsi="Book Antiqua" w:cs="Arial"/>
        </w:rPr>
        <w:t xml:space="preserve">, </w:t>
      </w:r>
      <w:r w:rsidR="00CC54DF" w:rsidRPr="00A35CEC">
        <w:rPr>
          <w:rFonts w:ascii="Book Antiqua" w:eastAsia="Calibri" w:hAnsi="Book Antiqua" w:cs="Arial"/>
        </w:rPr>
        <w:t>leaving</w:t>
      </w:r>
      <w:r w:rsidR="00586E03" w:rsidRPr="00A35CEC">
        <w:rPr>
          <w:rFonts w:ascii="Book Antiqua" w:eastAsia="Calibri" w:hAnsi="Book Antiqua" w:cs="Arial"/>
        </w:rPr>
        <w:t xml:space="preserve"> a significant proportion </w:t>
      </w:r>
      <w:r w:rsidR="00CC54DF" w:rsidRPr="00A35CEC">
        <w:rPr>
          <w:rFonts w:ascii="Book Antiqua" w:eastAsia="Calibri" w:hAnsi="Book Antiqua" w:cs="Arial"/>
        </w:rPr>
        <w:t xml:space="preserve">of patients </w:t>
      </w:r>
      <w:r w:rsidR="00586E03" w:rsidRPr="00A35CEC">
        <w:rPr>
          <w:rFonts w:ascii="Book Antiqua" w:eastAsia="Calibri" w:hAnsi="Book Antiqua" w:cs="Arial"/>
        </w:rPr>
        <w:t xml:space="preserve">to </w:t>
      </w:r>
      <w:r w:rsidR="00586E03" w:rsidRPr="00A35CEC">
        <w:rPr>
          <w:rFonts w:ascii="Book Antiqua" w:eastAsia="Calibri" w:hAnsi="Book Antiqua" w:cs="Arial"/>
        </w:rPr>
        <w:lastRenderedPageBreak/>
        <w:t xml:space="preserve">progress to </w:t>
      </w:r>
      <w:r w:rsidR="00CC54DF" w:rsidRPr="00A35CEC">
        <w:rPr>
          <w:rFonts w:ascii="Book Antiqua" w:eastAsia="Calibri" w:hAnsi="Book Antiqua" w:cs="Arial"/>
        </w:rPr>
        <w:t xml:space="preserve">more </w:t>
      </w:r>
      <w:r w:rsidR="00586E03" w:rsidRPr="00A35CEC">
        <w:rPr>
          <w:rFonts w:ascii="Book Antiqua" w:eastAsia="Calibri" w:hAnsi="Book Antiqua" w:cs="Arial"/>
        </w:rPr>
        <w:t>advanced stage</w:t>
      </w:r>
      <w:r w:rsidR="009C73F6" w:rsidRPr="00A35CEC">
        <w:rPr>
          <w:rFonts w:ascii="Book Antiqua" w:eastAsia="Calibri" w:hAnsi="Book Antiqua" w:cs="Arial"/>
        </w:rPr>
        <w:t>s of the disease</w:t>
      </w:r>
      <w:r w:rsidR="00CC54DF" w:rsidRPr="00A35CEC">
        <w:rPr>
          <w:rFonts w:ascii="Book Antiqua" w:eastAsia="Calibri" w:hAnsi="Book Antiqua" w:cs="Arial"/>
        </w:rPr>
        <w:t>. Thus,</w:t>
      </w:r>
      <w:r w:rsidR="00586E03" w:rsidRPr="00A35CEC">
        <w:rPr>
          <w:rFonts w:ascii="Book Antiqua" w:eastAsia="Calibri" w:hAnsi="Book Antiqua" w:cs="Arial"/>
        </w:rPr>
        <w:t xml:space="preserve"> the additional budget gain</w:t>
      </w:r>
      <w:r w:rsidR="009C73F6" w:rsidRPr="00A35CEC">
        <w:rPr>
          <w:rFonts w:ascii="Book Antiqua" w:eastAsia="Calibri" w:hAnsi="Book Antiqua" w:cs="Arial"/>
        </w:rPr>
        <w:t>ed</w:t>
      </w:r>
      <w:r w:rsidR="00586E03" w:rsidRPr="00A35CEC">
        <w:rPr>
          <w:rFonts w:ascii="Book Antiqua" w:eastAsia="Calibri" w:hAnsi="Book Antiqua" w:cs="Arial"/>
        </w:rPr>
        <w:t xml:space="preserve"> from lower </w:t>
      </w:r>
      <w:proofErr w:type="spellStart"/>
      <w:r w:rsidR="00586E03" w:rsidRPr="00A35CEC">
        <w:rPr>
          <w:rFonts w:ascii="Book Antiqua" w:eastAsia="Calibri" w:hAnsi="Book Antiqua" w:cs="Arial"/>
        </w:rPr>
        <w:t>HCV</w:t>
      </w:r>
      <w:proofErr w:type="spellEnd"/>
      <w:r w:rsidR="00586E03" w:rsidRPr="00A35CEC">
        <w:rPr>
          <w:rFonts w:ascii="Book Antiqua" w:eastAsia="Calibri" w:hAnsi="Book Antiqua" w:cs="Arial"/>
        </w:rPr>
        <w:t xml:space="preserve"> awareness campaigns </w:t>
      </w:r>
      <w:r w:rsidR="00755E15" w:rsidRPr="00A35CEC">
        <w:rPr>
          <w:rFonts w:ascii="Book Antiqua" w:eastAsia="Calibri" w:hAnsi="Book Antiqua" w:cs="Arial"/>
        </w:rPr>
        <w:t>or low</w:t>
      </w:r>
      <w:r w:rsidR="00586E03" w:rsidRPr="00A35CEC">
        <w:rPr>
          <w:rFonts w:ascii="Book Antiqua" w:eastAsia="Calibri" w:hAnsi="Book Antiqua" w:cs="Arial"/>
        </w:rPr>
        <w:t xml:space="preserve"> treatment coverage would be paid in the next years in healthcare costs to </w:t>
      </w:r>
      <w:r w:rsidR="009C73F6" w:rsidRPr="00A35CEC">
        <w:rPr>
          <w:rFonts w:ascii="Book Antiqua" w:eastAsia="Calibri" w:hAnsi="Book Antiqua" w:cs="Arial"/>
        </w:rPr>
        <w:t xml:space="preserve">treat the new cases of </w:t>
      </w:r>
      <w:r w:rsidR="00586E03" w:rsidRPr="00A35CEC">
        <w:rPr>
          <w:rFonts w:ascii="Book Antiqua" w:eastAsia="Calibri" w:hAnsi="Book Antiqua" w:cs="Arial"/>
        </w:rPr>
        <w:t>compensated</w:t>
      </w:r>
      <w:r w:rsidR="00CC54DF" w:rsidRPr="00A35CEC">
        <w:rPr>
          <w:rFonts w:ascii="Book Antiqua" w:eastAsia="Calibri" w:hAnsi="Book Antiqua" w:cs="Arial"/>
        </w:rPr>
        <w:t xml:space="preserve"> or</w:t>
      </w:r>
      <w:r w:rsidR="00586E03" w:rsidRPr="00A35CEC">
        <w:rPr>
          <w:rFonts w:ascii="Book Antiqua" w:eastAsia="Calibri" w:hAnsi="Book Antiqua" w:cs="Arial"/>
        </w:rPr>
        <w:t xml:space="preserve"> decompensated cirrhosis and </w:t>
      </w:r>
      <w:proofErr w:type="spellStart"/>
      <w:r w:rsidR="00586E03" w:rsidRPr="00A35CEC">
        <w:rPr>
          <w:rFonts w:ascii="Book Antiqua" w:eastAsia="Calibri" w:hAnsi="Book Antiqua" w:cs="Arial"/>
        </w:rPr>
        <w:t>HCC</w:t>
      </w:r>
      <w:proofErr w:type="spellEnd"/>
      <w:r w:rsidR="00586E03" w:rsidRPr="00A35CEC">
        <w:rPr>
          <w:rFonts w:ascii="Book Antiqua" w:eastAsia="Calibri" w:hAnsi="Book Antiqua" w:cs="Arial"/>
        </w:rPr>
        <w:t xml:space="preserve">. On the contrary, </w:t>
      </w:r>
      <w:r w:rsidR="00CC54DF" w:rsidRPr="00A35CEC">
        <w:rPr>
          <w:rFonts w:ascii="Book Antiqua" w:eastAsia="Calibri" w:hAnsi="Book Antiqua" w:cs="Arial"/>
        </w:rPr>
        <w:t xml:space="preserve">the </w:t>
      </w:r>
      <w:proofErr w:type="spellStart"/>
      <w:r w:rsidR="00497552" w:rsidRPr="00A35CEC">
        <w:rPr>
          <w:rFonts w:ascii="Book Antiqua" w:eastAsia="Calibri" w:hAnsi="Book Antiqua" w:cs="Arial"/>
        </w:rPr>
        <w:t>HCV</w:t>
      </w:r>
      <w:proofErr w:type="spellEnd"/>
      <w:r w:rsidR="00497552" w:rsidRPr="00A35CEC">
        <w:rPr>
          <w:rFonts w:ascii="Book Antiqua" w:eastAsia="Calibri" w:hAnsi="Book Antiqua" w:cs="Arial"/>
        </w:rPr>
        <w:t xml:space="preserve"> elimination strategy </w:t>
      </w:r>
      <w:r w:rsidR="00586E03" w:rsidRPr="00A35CEC">
        <w:rPr>
          <w:rFonts w:ascii="Book Antiqua" w:eastAsia="Calibri" w:hAnsi="Book Antiqua" w:cs="Arial"/>
        </w:rPr>
        <w:t xml:space="preserve">is a </w:t>
      </w:r>
      <w:r w:rsidR="00497552" w:rsidRPr="00A35CEC">
        <w:rPr>
          <w:rFonts w:ascii="Book Antiqua" w:eastAsia="Calibri" w:hAnsi="Book Antiqua" w:cs="Arial"/>
        </w:rPr>
        <w:t>cost saving</w:t>
      </w:r>
      <w:r w:rsidR="00586E03" w:rsidRPr="00A35CEC">
        <w:rPr>
          <w:rFonts w:ascii="Book Antiqua" w:eastAsia="Calibri" w:hAnsi="Book Antiqua" w:cs="Arial"/>
        </w:rPr>
        <w:t xml:space="preserve"> </w:t>
      </w:r>
      <w:r w:rsidR="00497552" w:rsidRPr="00A35CEC">
        <w:rPr>
          <w:rFonts w:ascii="Book Antiqua" w:eastAsia="Calibri" w:hAnsi="Book Antiqua" w:cs="Arial"/>
        </w:rPr>
        <w:t xml:space="preserve">intervention (savings by 2035 varies from </w:t>
      </w:r>
      <w:r w:rsidR="00274B9D" w:rsidRPr="00A35CEC">
        <w:rPr>
          <w:rFonts w:ascii="Book Antiqua" w:eastAsia="Calibri" w:hAnsi="Book Antiqua" w:cs="Arial"/>
        </w:rPr>
        <w:t>€</w:t>
      </w:r>
      <w:r w:rsidR="00497552" w:rsidRPr="00A35CEC">
        <w:rPr>
          <w:rFonts w:ascii="Book Antiqua" w:eastAsia="Calibri" w:hAnsi="Book Antiqua" w:cs="Arial"/>
        </w:rPr>
        <w:t>560-890 million)</w:t>
      </w:r>
      <w:r w:rsidR="00CC54DF" w:rsidRPr="00A35CEC">
        <w:rPr>
          <w:rFonts w:ascii="Book Antiqua" w:eastAsia="Calibri" w:hAnsi="Book Antiqua" w:cs="Arial"/>
        </w:rPr>
        <w:t>,</w:t>
      </w:r>
      <w:r w:rsidR="00586E03" w:rsidRPr="00A35CEC">
        <w:rPr>
          <w:rFonts w:ascii="Book Antiqua" w:eastAsia="Calibri" w:hAnsi="Book Antiqua" w:cs="Arial"/>
        </w:rPr>
        <w:t xml:space="preserve"> as it eliminates the high cost of </w:t>
      </w:r>
      <w:proofErr w:type="spellStart"/>
      <w:r w:rsidR="00586E03" w:rsidRPr="00A35CEC">
        <w:rPr>
          <w:rFonts w:ascii="Book Antiqua" w:eastAsia="Calibri" w:hAnsi="Book Antiqua" w:cs="Arial"/>
        </w:rPr>
        <w:t>HCV</w:t>
      </w:r>
      <w:proofErr w:type="spellEnd"/>
      <w:r w:rsidR="00586E03" w:rsidRPr="00A35CEC">
        <w:rPr>
          <w:rFonts w:ascii="Book Antiqua" w:eastAsia="Calibri" w:hAnsi="Book Antiqua" w:cs="Arial"/>
        </w:rPr>
        <w:t xml:space="preserve"> attributed to related end-stage liver disease or premature death. </w:t>
      </w:r>
      <w:r w:rsidR="004C1510" w:rsidRPr="00A35CEC">
        <w:rPr>
          <w:rFonts w:ascii="Book Antiqua" w:eastAsia="Calibri" w:hAnsi="Book Antiqua" w:cs="Arial"/>
        </w:rPr>
        <w:t>It is important</w:t>
      </w:r>
      <w:r w:rsidR="00CC54DF" w:rsidRPr="00A35CEC">
        <w:rPr>
          <w:rFonts w:ascii="Book Antiqua" w:eastAsia="Calibri" w:hAnsi="Book Antiqua" w:cs="Arial"/>
        </w:rPr>
        <w:t xml:space="preserve"> to note</w:t>
      </w:r>
      <w:r w:rsidR="004C1510" w:rsidRPr="00A35CEC">
        <w:rPr>
          <w:rFonts w:ascii="Book Antiqua" w:eastAsia="Calibri" w:hAnsi="Book Antiqua" w:cs="Arial"/>
        </w:rPr>
        <w:t xml:space="preserve"> that </w:t>
      </w:r>
      <w:r w:rsidR="00CC54DF" w:rsidRPr="00A35CEC">
        <w:rPr>
          <w:rFonts w:ascii="Book Antiqua" w:eastAsia="Calibri" w:hAnsi="Book Antiqua" w:cs="Arial"/>
        </w:rPr>
        <w:t xml:space="preserve">the </w:t>
      </w:r>
      <w:proofErr w:type="spellStart"/>
      <w:r w:rsidR="00497552" w:rsidRPr="00A35CEC">
        <w:rPr>
          <w:rFonts w:ascii="Book Antiqua" w:eastAsia="Calibri" w:hAnsi="Book Antiqua" w:cs="Arial"/>
        </w:rPr>
        <w:t>HCV</w:t>
      </w:r>
      <w:proofErr w:type="spellEnd"/>
      <w:r w:rsidR="00497552" w:rsidRPr="00A35CEC">
        <w:rPr>
          <w:rFonts w:ascii="Book Antiqua" w:eastAsia="Calibri" w:hAnsi="Book Antiqua" w:cs="Arial"/>
        </w:rPr>
        <w:t xml:space="preserve"> elimination strategy is an upfront investment</w:t>
      </w:r>
      <w:r w:rsidR="00CC54DF" w:rsidRPr="00A35CEC">
        <w:rPr>
          <w:rFonts w:ascii="Book Antiqua" w:eastAsia="Calibri" w:hAnsi="Book Antiqua" w:cs="Arial"/>
        </w:rPr>
        <w:t>,</w:t>
      </w:r>
      <w:r w:rsidR="00497552" w:rsidRPr="00A35CEC">
        <w:rPr>
          <w:rFonts w:ascii="Book Antiqua" w:eastAsia="Calibri" w:hAnsi="Book Antiqua" w:cs="Arial"/>
        </w:rPr>
        <w:t xml:space="preserve"> as a significant amount of money </w:t>
      </w:r>
      <w:r w:rsidR="00E7187B" w:rsidRPr="00A35CEC">
        <w:rPr>
          <w:rFonts w:ascii="Book Antiqua" w:eastAsia="Calibri" w:hAnsi="Book Antiqua" w:cs="Arial"/>
        </w:rPr>
        <w:t>should be</w:t>
      </w:r>
      <w:r w:rsidR="00497552" w:rsidRPr="00A35CEC">
        <w:rPr>
          <w:rFonts w:ascii="Book Antiqua" w:eastAsia="Calibri" w:hAnsi="Book Antiqua" w:cs="Arial"/>
        </w:rPr>
        <w:t xml:space="preserve"> </w:t>
      </w:r>
      <w:r w:rsidR="001E2537" w:rsidRPr="00A35CEC">
        <w:rPr>
          <w:rFonts w:ascii="Book Antiqua" w:eastAsia="Calibri" w:hAnsi="Book Antiqua" w:cs="Arial"/>
        </w:rPr>
        <w:t xml:space="preserve">spent </w:t>
      </w:r>
      <w:r w:rsidR="00497552" w:rsidRPr="00A35CEC">
        <w:rPr>
          <w:rFonts w:ascii="Book Antiqua" w:eastAsia="Calibri" w:hAnsi="Book Antiqua" w:cs="Arial"/>
        </w:rPr>
        <w:t xml:space="preserve">in the </w:t>
      </w:r>
      <w:r w:rsidR="00755E15" w:rsidRPr="00A35CEC">
        <w:rPr>
          <w:rFonts w:ascii="Book Antiqua" w:eastAsia="Calibri" w:hAnsi="Book Antiqua" w:cs="Arial"/>
        </w:rPr>
        <w:t>beginning in</w:t>
      </w:r>
      <w:r w:rsidR="00497552" w:rsidRPr="00A35CEC">
        <w:rPr>
          <w:rFonts w:ascii="Book Antiqua" w:eastAsia="Calibri" w:hAnsi="Book Antiqua" w:cs="Arial"/>
        </w:rPr>
        <w:t xml:space="preserve"> order to save money later</w:t>
      </w:r>
      <w:r w:rsidR="00E7187B" w:rsidRPr="00A35CEC">
        <w:rPr>
          <w:rFonts w:ascii="Book Antiqua" w:eastAsia="Calibri" w:hAnsi="Book Antiqua" w:cs="Arial"/>
        </w:rPr>
        <w:t>.</w:t>
      </w:r>
      <w:r w:rsidR="00D778EB" w:rsidRPr="00A35CEC">
        <w:rPr>
          <w:rFonts w:ascii="Book Antiqua" w:eastAsia="Calibri" w:hAnsi="Book Antiqua" w:cs="Arial"/>
        </w:rPr>
        <w:t xml:space="preserve"> For example, in Greece</w:t>
      </w:r>
      <w:r w:rsidR="00CC54DF" w:rsidRPr="00A35CEC">
        <w:rPr>
          <w:rFonts w:ascii="Book Antiqua" w:eastAsia="Calibri" w:hAnsi="Book Antiqua" w:cs="Arial"/>
        </w:rPr>
        <w:t>,</w:t>
      </w:r>
      <w:r w:rsidR="00D778EB" w:rsidRPr="00A35CEC">
        <w:rPr>
          <w:rFonts w:ascii="Book Antiqua" w:eastAsia="Calibri" w:hAnsi="Book Antiqua" w:cs="Arial"/>
        </w:rPr>
        <w:t xml:space="preserve"> the direct costs </w:t>
      </w:r>
      <w:r w:rsidR="004C1510" w:rsidRPr="00A35CEC">
        <w:rPr>
          <w:rFonts w:ascii="Book Antiqua" w:eastAsia="Calibri" w:hAnsi="Book Antiqua" w:cs="Arial"/>
        </w:rPr>
        <w:t>need to be increase</w:t>
      </w:r>
      <w:r w:rsidR="009C73F6" w:rsidRPr="00A35CEC">
        <w:rPr>
          <w:rFonts w:ascii="Book Antiqua" w:eastAsia="Calibri" w:hAnsi="Book Antiqua" w:cs="Arial"/>
        </w:rPr>
        <w:t>d</w:t>
      </w:r>
      <w:r w:rsidR="004C1510" w:rsidRPr="00A35CEC">
        <w:rPr>
          <w:rFonts w:ascii="Book Antiqua" w:eastAsia="Calibri" w:hAnsi="Book Antiqua" w:cs="Arial"/>
        </w:rPr>
        <w:t xml:space="preserve"> by 142% in 2020 compared to 2016.</w:t>
      </w:r>
    </w:p>
    <w:p w14:paraId="56AFC7EC" w14:textId="0AFAE2E0" w:rsidR="001D11C6" w:rsidRPr="00A35CEC" w:rsidRDefault="009C1436">
      <w:pPr>
        <w:tabs>
          <w:tab w:val="left" w:pos="567"/>
        </w:tabs>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755E15" w:rsidRPr="00A35CEC">
        <w:rPr>
          <w:rFonts w:ascii="Book Antiqua" w:eastAsia="Calibri" w:hAnsi="Book Antiqua" w:cs="Arial"/>
        </w:rPr>
        <w:t>Although the cumulative direct costs of the elimination strategy are costlier than the base scenario (</w:t>
      </w:r>
      <w:r w:rsidR="006303C7" w:rsidRPr="00A35CEC">
        <w:rPr>
          <w:rFonts w:ascii="Book Antiqua" w:eastAsia="Calibri" w:hAnsi="Book Antiqua" w:cs="Arial"/>
        </w:rPr>
        <w:t>Table</w:t>
      </w:r>
      <w:r w:rsidR="00755E15" w:rsidRPr="00A35CEC">
        <w:rPr>
          <w:rFonts w:ascii="Book Antiqua" w:eastAsia="Calibri" w:hAnsi="Book Antiqua" w:cs="Arial"/>
        </w:rPr>
        <w:t xml:space="preserve"> </w:t>
      </w:r>
      <w:r w:rsidR="001E2537" w:rsidRPr="00A35CEC">
        <w:rPr>
          <w:rFonts w:ascii="Book Antiqua" w:eastAsia="Calibri" w:hAnsi="Book Antiqua" w:cs="Arial"/>
        </w:rPr>
        <w:t>4</w:t>
      </w:r>
      <w:r w:rsidR="00755E15" w:rsidRPr="00A35CEC">
        <w:rPr>
          <w:rFonts w:ascii="Book Antiqua" w:eastAsia="Calibri" w:hAnsi="Book Antiqua" w:cs="Arial"/>
        </w:rPr>
        <w:t xml:space="preserve">), when we take also into account the indirect costs caused by the disease, this relation changes and the elimination scenario </w:t>
      </w:r>
      <w:r w:rsidR="00100931" w:rsidRPr="00A35CEC">
        <w:rPr>
          <w:rFonts w:ascii="Book Antiqua" w:eastAsia="Calibri" w:hAnsi="Book Antiqua" w:cs="Arial"/>
        </w:rPr>
        <w:t>become</w:t>
      </w:r>
      <w:r w:rsidR="00755E15" w:rsidRPr="00A35CEC">
        <w:rPr>
          <w:rFonts w:ascii="Book Antiqua" w:eastAsia="Calibri" w:hAnsi="Book Antiqua" w:cs="Arial"/>
        </w:rPr>
        <w:t xml:space="preserve"> cheaper</w:t>
      </w:r>
      <w:r w:rsidR="00CC54DF" w:rsidRPr="00A35CEC">
        <w:rPr>
          <w:rFonts w:ascii="Book Antiqua" w:eastAsia="Calibri" w:hAnsi="Book Antiqua" w:cs="Arial"/>
        </w:rPr>
        <w:t>,</w:t>
      </w:r>
      <w:r w:rsidR="00755E15" w:rsidRPr="00A35CEC">
        <w:rPr>
          <w:rFonts w:ascii="Book Antiqua" w:eastAsia="Calibri" w:hAnsi="Book Antiqua" w:cs="Arial"/>
        </w:rPr>
        <w:t xml:space="preserve"> as </w:t>
      </w:r>
      <w:proofErr w:type="spellStart"/>
      <w:r w:rsidR="00755E15" w:rsidRPr="00A35CEC">
        <w:rPr>
          <w:rFonts w:ascii="Book Antiqua" w:eastAsia="Calibri" w:hAnsi="Book Antiqua" w:cs="Arial"/>
        </w:rPr>
        <w:t>HCV</w:t>
      </w:r>
      <w:proofErr w:type="spellEnd"/>
      <w:r w:rsidR="00755E15" w:rsidRPr="00A35CEC">
        <w:rPr>
          <w:rFonts w:ascii="Book Antiqua" w:eastAsia="Calibri" w:hAnsi="Book Antiqua" w:cs="Arial"/>
        </w:rPr>
        <w:t xml:space="preserve"> is a disease with high indirect </w:t>
      </w:r>
      <w:r w:rsidR="00705872" w:rsidRPr="00A35CEC">
        <w:rPr>
          <w:rFonts w:ascii="Book Antiqua" w:eastAsia="Calibri" w:hAnsi="Book Antiqua" w:cs="Arial"/>
        </w:rPr>
        <w:t>costs (</w:t>
      </w:r>
      <w:r w:rsidR="00B416F9" w:rsidRPr="00A35CEC">
        <w:rPr>
          <w:rFonts w:ascii="Book Antiqua" w:eastAsia="Calibri" w:hAnsi="Book Antiqua" w:cs="Arial"/>
        </w:rPr>
        <w:t>Figure 2D)</w:t>
      </w:r>
      <w:r w:rsidR="00C354FD" w:rsidRPr="00A35CEC">
        <w:rPr>
          <w:rFonts w:ascii="Book Antiqua" w:eastAsia="Calibri" w:hAnsi="Book Antiqua" w:cs="Arial"/>
        </w:rPr>
        <w:t>.</w:t>
      </w:r>
      <w:r w:rsidR="00DC5C57" w:rsidRPr="00A35CEC">
        <w:rPr>
          <w:rFonts w:ascii="Book Antiqua" w:eastAsia="Calibri" w:hAnsi="Book Antiqua" w:cs="Arial"/>
        </w:rPr>
        <w:t xml:space="preserve"> </w:t>
      </w:r>
      <w:r w:rsidR="00DD3139" w:rsidRPr="00A35CEC">
        <w:rPr>
          <w:rFonts w:ascii="Book Antiqua" w:eastAsia="Calibri" w:hAnsi="Book Antiqua" w:cs="Arial"/>
        </w:rPr>
        <w:t xml:space="preserve">In line with other studies, our results have shown that the indirect cost of </w:t>
      </w:r>
      <w:proofErr w:type="spellStart"/>
      <w:r w:rsidR="00DD3139" w:rsidRPr="00A35CEC">
        <w:rPr>
          <w:rFonts w:ascii="Book Antiqua" w:eastAsia="Calibri" w:hAnsi="Book Antiqua" w:cs="Arial"/>
        </w:rPr>
        <w:t>HCV</w:t>
      </w:r>
      <w:proofErr w:type="spellEnd"/>
      <w:r w:rsidR="00DD3139" w:rsidRPr="00A35CEC">
        <w:rPr>
          <w:rFonts w:ascii="Book Antiqua" w:eastAsia="Calibri" w:hAnsi="Book Antiqua" w:cs="Arial"/>
        </w:rPr>
        <w:t xml:space="preserve"> is</w:t>
      </w:r>
      <w:r w:rsidR="00E600C0" w:rsidRPr="00A35CEC">
        <w:rPr>
          <w:rFonts w:ascii="Book Antiqua" w:eastAsia="Calibri" w:hAnsi="Book Antiqua" w:cs="Arial"/>
        </w:rPr>
        <w:t xml:space="preserve"> a significant component of </w:t>
      </w:r>
      <w:r w:rsidR="009C73F6" w:rsidRPr="00A35CEC">
        <w:rPr>
          <w:rFonts w:ascii="Book Antiqua" w:eastAsia="Calibri" w:hAnsi="Book Antiqua" w:cs="Arial"/>
        </w:rPr>
        <w:t xml:space="preserve">the </w:t>
      </w:r>
      <w:r w:rsidR="00E600C0" w:rsidRPr="00A35CEC">
        <w:rPr>
          <w:rFonts w:ascii="Book Antiqua" w:eastAsia="Calibri" w:hAnsi="Book Antiqua" w:cs="Arial"/>
        </w:rPr>
        <w:t>elimination strategy</w:t>
      </w:r>
      <w:r w:rsidR="001D11C6" w:rsidRPr="00A35CEC">
        <w:rPr>
          <w:rFonts w:ascii="Book Antiqua" w:eastAsia="Calibri" w:hAnsi="Book Antiqua" w:cs="Arial"/>
        </w:rPr>
        <w:t xml:space="preserve">, </w:t>
      </w:r>
      <w:r w:rsidR="00E600C0" w:rsidRPr="00A35CEC">
        <w:rPr>
          <w:rFonts w:ascii="Book Antiqua" w:eastAsia="Calibri" w:hAnsi="Book Antiqua" w:cs="Arial"/>
        </w:rPr>
        <w:t xml:space="preserve">almost </w:t>
      </w:r>
      <w:r w:rsidR="00546DA6" w:rsidRPr="00A35CEC">
        <w:rPr>
          <w:rFonts w:ascii="Book Antiqua" w:eastAsia="Calibri" w:hAnsi="Book Antiqua" w:cs="Arial"/>
        </w:rPr>
        <w:t>comparable to the</w:t>
      </w:r>
      <w:r w:rsidR="00DD3139" w:rsidRPr="00A35CEC">
        <w:rPr>
          <w:rFonts w:ascii="Book Antiqua" w:eastAsia="Calibri" w:hAnsi="Book Antiqua" w:cs="Arial"/>
        </w:rPr>
        <w:t xml:space="preserve"> corresponding direct cost of the </w:t>
      </w:r>
      <w:proofErr w:type="gramStart"/>
      <w:r w:rsidR="00DD3139" w:rsidRPr="00A35CEC">
        <w:rPr>
          <w:rFonts w:ascii="Book Antiqua" w:eastAsia="Calibri" w:hAnsi="Book Antiqua" w:cs="Arial"/>
        </w:rPr>
        <w:t>disease</w:t>
      </w:r>
      <w:r w:rsidRPr="00A35CEC">
        <w:rPr>
          <w:rFonts w:ascii="Book Antiqua" w:eastAsia="Calibri" w:hAnsi="Book Antiqua" w:cs="Arial"/>
          <w:vertAlign w:val="superscript"/>
        </w:rPr>
        <w:t>[</w:t>
      </w:r>
      <w:proofErr w:type="gramEnd"/>
      <w:r w:rsidRPr="00A35CEC">
        <w:rPr>
          <w:rFonts w:ascii="Book Antiqua" w:eastAsia="Calibri" w:hAnsi="Book Antiqua" w:cs="Arial"/>
          <w:vertAlign w:val="superscript"/>
        </w:rPr>
        <w:t>9,10,20,33,</w:t>
      </w:r>
      <w:r w:rsidR="00BC0DA7" w:rsidRPr="00A35CEC">
        <w:rPr>
          <w:rFonts w:ascii="Book Antiqua" w:eastAsia="Calibri" w:hAnsi="Book Antiqua" w:cs="Arial"/>
          <w:vertAlign w:val="superscript"/>
        </w:rPr>
        <w:t>34]</w:t>
      </w:r>
      <w:r w:rsidR="00705872" w:rsidRPr="00A35CEC">
        <w:rPr>
          <w:rFonts w:ascii="Book Antiqua" w:eastAsia="Calibri" w:hAnsi="Book Antiqua" w:cs="Arial"/>
        </w:rPr>
        <w:t xml:space="preserve">, as the vast majority of </w:t>
      </w:r>
      <w:proofErr w:type="spellStart"/>
      <w:r w:rsidR="00705872" w:rsidRPr="00A35CEC">
        <w:rPr>
          <w:rFonts w:ascii="Book Antiqua" w:eastAsia="Calibri" w:hAnsi="Book Antiqua" w:cs="Arial"/>
        </w:rPr>
        <w:t>HCV</w:t>
      </w:r>
      <w:proofErr w:type="spellEnd"/>
      <w:r w:rsidR="00705872" w:rsidRPr="00A35CEC">
        <w:rPr>
          <w:rFonts w:ascii="Book Antiqua" w:eastAsia="Calibri" w:hAnsi="Book Antiqua" w:cs="Arial"/>
        </w:rPr>
        <w:t>-infected persons are of working age</w:t>
      </w:r>
      <w:r w:rsidR="001D11C6" w:rsidRPr="00A35CEC">
        <w:rPr>
          <w:rFonts w:ascii="Book Antiqua" w:eastAsia="Calibri" w:hAnsi="Book Antiqua" w:cs="Arial"/>
        </w:rPr>
        <w:t xml:space="preserve"> and </w:t>
      </w:r>
      <w:proofErr w:type="spellStart"/>
      <w:r w:rsidR="001D11C6" w:rsidRPr="00A35CEC">
        <w:rPr>
          <w:rFonts w:ascii="Book Antiqua" w:eastAsia="Calibri" w:hAnsi="Book Antiqua" w:cs="Arial"/>
        </w:rPr>
        <w:t>HCV</w:t>
      </w:r>
      <w:proofErr w:type="spellEnd"/>
      <w:r w:rsidR="001D11C6" w:rsidRPr="00A35CEC">
        <w:rPr>
          <w:rFonts w:ascii="Book Antiqua" w:eastAsia="Calibri" w:hAnsi="Book Antiqua" w:cs="Arial"/>
        </w:rPr>
        <w:t xml:space="preserve">-infected patients are more likely to incur absenteeism (lost hours of work) and </w:t>
      </w:r>
      <w:proofErr w:type="spellStart"/>
      <w:r w:rsidR="001D11C6" w:rsidRPr="00A35CEC">
        <w:rPr>
          <w:rFonts w:ascii="Book Antiqua" w:eastAsia="Calibri" w:hAnsi="Book Antiqua" w:cs="Arial"/>
        </w:rPr>
        <w:t>presenteeism</w:t>
      </w:r>
      <w:proofErr w:type="spellEnd"/>
      <w:r w:rsidR="001D11C6" w:rsidRPr="00A35CEC">
        <w:rPr>
          <w:rFonts w:ascii="Book Antiqua" w:eastAsia="Calibri" w:hAnsi="Book Antiqua" w:cs="Arial"/>
        </w:rPr>
        <w:t xml:space="preserve"> (decreased productivity while at work)</w:t>
      </w:r>
      <w:r w:rsidRPr="00A35CEC">
        <w:rPr>
          <w:rFonts w:ascii="Book Antiqua" w:eastAsia="Calibri" w:hAnsi="Book Antiqua" w:cs="Arial"/>
          <w:vertAlign w:val="superscript"/>
        </w:rPr>
        <w:t>[35,</w:t>
      </w:r>
      <w:r w:rsidR="00BC0DA7" w:rsidRPr="00A35CEC">
        <w:rPr>
          <w:rFonts w:ascii="Book Antiqua" w:eastAsia="Calibri" w:hAnsi="Book Antiqua" w:cs="Arial"/>
          <w:vertAlign w:val="superscript"/>
        </w:rPr>
        <w:t>36]</w:t>
      </w:r>
      <w:r w:rsidR="001D11C6" w:rsidRPr="00A35CEC">
        <w:rPr>
          <w:rFonts w:ascii="Book Antiqua" w:eastAsia="Calibri" w:hAnsi="Book Antiqua" w:cs="Arial"/>
        </w:rPr>
        <w:t>.</w:t>
      </w:r>
    </w:p>
    <w:p w14:paraId="76A76611" w14:textId="3EF9228C" w:rsidR="008E27AC" w:rsidRPr="00A35CEC" w:rsidRDefault="009C1436">
      <w:pPr>
        <w:tabs>
          <w:tab w:val="left" w:pos="567"/>
        </w:tabs>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CA465F" w:rsidRPr="00A35CEC">
        <w:rPr>
          <w:rFonts w:ascii="Book Antiqua" w:eastAsia="Calibri" w:hAnsi="Book Antiqua" w:cs="Arial"/>
        </w:rPr>
        <w:t xml:space="preserve">The </w:t>
      </w:r>
      <w:proofErr w:type="spellStart"/>
      <w:r w:rsidR="00821D4E" w:rsidRPr="00A35CEC">
        <w:rPr>
          <w:rFonts w:ascii="Book Antiqua" w:eastAsia="Calibri" w:hAnsi="Book Antiqua" w:cs="Arial"/>
        </w:rPr>
        <w:t>HCV</w:t>
      </w:r>
      <w:proofErr w:type="spellEnd"/>
      <w:r w:rsidR="00821D4E" w:rsidRPr="00A35CEC">
        <w:rPr>
          <w:rFonts w:ascii="Book Antiqua" w:eastAsia="Calibri" w:hAnsi="Book Antiqua" w:cs="Arial"/>
        </w:rPr>
        <w:t xml:space="preserve"> elimination strategy is a cost-saving investment in the case of Greece (</w:t>
      </w:r>
      <w:r w:rsidR="00821D4E" w:rsidRPr="00A35CEC">
        <w:rPr>
          <w:rFonts w:ascii="Book Antiqua" w:eastAsia="Calibri" w:hAnsi="Book Antiqua" w:cs="Arial"/>
          <w:i/>
        </w:rPr>
        <w:t>i.e.</w:t>
      </w:r>
      <w:r w:rsidRPr="00A35CEC">
        <w:rPr>
          <w:rFonts w:ascii="Book Antiqua" w:eastAsia="Calibri" w:hAnsi="Book Antiqua" w:cs="Arial"/>
        </w:rPr>
        <w:t>,</w:t>
      </w:r>
      <w:r w:rsidR="00821D4E" w:rsidRPr="00A35CEC">
        <w:rPr>
          <w:rFonts w:ascii="Book Antiqua" w:eastAsia="Calibri" w:hAnsi="Book Antiqua" w:cs="Arial"/>
        </w:rPr>
        <w:t xml:space="preserve"> improve</w:t>
      </w:r>
      <w:r w:rsidR="00B24266" w:rsidRPr="00A35CEC">
        <w:rPr>
          <w:rFonts w:ascii="Book Antiqua" w:eastAsia="Calibri" w:hAnsi="Book Antiqua" w:cs="Arial"/>
        </w:rPr>
        <w:t>d</w:t>
      </w:r>
      <w:r w:rsidR="00821D4E" w:rsidRPr="00A35CEC">
        <w:rPr>
          <w:rFonts w:ascii="Book Antiqua" w:eastAsia="Calibri" w:hAnsi="Book Antiqua" w:cs="Arial"/>
        </w:rPr>
        <w:t xml:space="preserve"> life expectancy and reduce</w:t>
      </w:r>
      <w:r w:rsidR="009C73F6" w:rsidRPr="00A35CEC">
        <w:rPr>
          <w:rFonts w:ascii="Book Antiqua" w:eastAsia="Calibri" w:hAnsi="Book Antiqua" w:cs="Arial"/>
        </w:rPr>
        <w:t>d</w:t>
      </w:r>
      <w:r w:rsidR="00821D4E" w:rsidRPr="00A35CEC">
        <w:rPr>
          <w:rFonts w:ascii="Book Antiqua" w:eastAsia="Calibri" w:hAnsi="Book Antiqua" w:cs="Arial"/>
        </w:rPr>
        <w:t xml:space="preserve"> costs at the same time). More specifically, this investment would save </w:t>
      </w:r>
      <w:r w:rsidR="00CA465F" w:rsidRPr="00A35CEC">
        <w:rPr>
          <w:rFonts w:ascii="Book Antiqua" w:eastAsia="Calibri" w:hAnsi="Book Antiqua" w:cs="Arial"/>
        </w:rPr>
        <w:t>€</w:t>
      </w:r>
      <w:r w:rsidR="00821D4E" w:rsidRPr="00A35CEC">
        <w:rPr>
          <w:rFonts w:ascii="Book Antiqua" w:eastAsia="Calibri" w:hAnsi="Book Antiqua" w:cs="Arial"/>
        </w:rPr>
        <w:t>560-</w:t>
      </w:r>
      <w:r w:rsidR="001E2537" w:rsidRPr="00A35CEC">
        <w:rPr>
          <w:rFonts w:ascii="Book Antiqua" w:eastAsia="Calibri" w:hAnsi="Book Antiqua" w:cs="Arial"/>
        </w:rPr>
        <w:t xml:space="preserve">895 </w:t>
      </w:r>
      <w:r w:rsidR="00821D4E" w:rsidRPr="00A35CEC">
        <w:rPr>
          <w:rFonts w:ascii="Book Antiqua" w:eastAsia="Calibri" w:hAnsi="Book Antiqua" w:cs="Arial"/>
        </w:rPr>
        <w:t xml:space="preserve">million by 2035, </w:t>
      </w:r>
      <w:r w:rsidR="00CA465F" w:rsidRPr="00A35CEC">
        <w:rPr>
          <w:rFonts w:ascii="Book Antiqua" w:eastAsia="Calibri" w:hAnsi="Book Antiqua" w:cs="Arial"/>
        </w:rPr>
        <w:t xml:space="preserve">making </w:t>
      </w:r>
      <w:r w:rsidR="00821D4E" w:rsidRPr="00A35CEC">
        <w:rPr>
          <w:rFonts w:ascii="Book Antiqua" w:eastAsia="Calibri" w:hAnsi="Book Antiqua" w:cs="Arial"/>
        </w:rPr>
        <w:t>it a very rewarding public health investment.</w:t>
      </w:r>
    </w:p>
    <w:p w14:paraId="1601A71D" w14:textId="5E1EEE15" w:rsidR="00D778EB" w:rsidRPr="00A35CEC" w:rsidRDefault="009C1436">
      <w:pPr>
        <w:tabs>
          <w:tab w:val="left" w:pos="567"/>
        </w:tabs>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7D4254" w:rsidRPr="00A35CEC">
        <w:rPr>
          <w:rFonts w:ascii="Book Antiqua" w:eastAsia="Calibri" w:hAnsi="Book Antiqua" w:cs="Arial"/>
        </w:rPr>
        <w:t xml:space="preserve">There are a number of limitations that could impact the outcomes of the study. </w:t>
      </w:r>
      <w:r w:rsidR="00371F32" w:rsidRPr="00A35CEC">
        <w:rPr>
          <w:rFonts w:ascii="Book Antiqua" w:eastAsia="Calibri" w:hAnsi="Book Antiqua" w:cs="Arial"/>
        </w:rPr>
        <w:t>First, p</w:t>
      </w:r>
      <w:r w:rsidR="007D4254" w:rsidRPr="00A35CEC">
        <w:rPr>
          <w:rFonts w:ascii="Book Antiqua" w:eastAsia="Calibri" w:hAnsi="Book Antiqua" w:cs="Arial"/>
        </w:rPr>
        <w:t xml:space="preserve">atients who achieved </w:t>
      </w:r>
      <w:proofErr w:type="spellStart"/>
      <w:r w:rsidR="007D4254" w:rsidRPr="00A35CEC">
        <w:rPr>
          <w:rFonts w:ascii="Book Antiqua" w:eastAsia="Calibri" w:hAnsi="Book Antiqua" w:cs="Arial"/>
        </w:rPr>
        <w:t>SVR</w:t>
      </w:r>
      <w:proofErr w:type="spellEnd"/>
      <w:r w:rsidR="007D4254" w:rsidRPr="00A35CEC">
        <w:rPr>
          <w:rFonts w:ascii="Book Antiqua" w:eastAsia="Calibri" w:hAnsi="Book Antiqua" w:cs="Arial"/>
        </w:rPr>
        <w:t xml:space="preserve"> were not tracked, so all reinfection</w:t>
      </w:r>
      <w:r w:rsidR="00A62F28" w:rsidRPr="00A35CEC">
        <w:rPr>
          <w:rFonts w:ascii="Book Antiqua" w:eastAsia="Calibri" w:hAnsi="Book Antiqua" w:cs="Arial"/>
        </w:rPr>
        <w:t xml:space="preserve"> cases</w:t>
      </w:r>
      <w:r w:rsidR="007D4254" w:rsidRPr="00A35CEC">
        <w:rPr>
          <w:rFonts w:ascii="Book Antiqua" w:eastAsia="Calibri" w:hAnsi="Book Antiqua" w:cs="Arial"/>
        </w:rPr>
        <w:t xml:space="preserve"> in the model were managed as naïve </w:t>
      </w:r>
      <w:r w:rsidR="00A62F28" w:rsidRPr="00A35CEC">
        <w:rPr>
          <w:rFonts w:ascii="Book Antiqua" w:eastAsia="Calibri" w:hAnsi="Book Antiqua" w:cs="Arial"/>
        </w:rPr>
        <w:t>ones</w:t>
      </w:r>
      <w:r w:rsidR="007D4254" w:rsidRPr="00A35CEC">
        <w:rPr>
          <w:rFonts w:ascii="Book Antiqua" w:eastAsia="Calibri" w:hAnsi="Book Antiqua" w:cs="Arial"/>
        </w:rPr>
        <w:t xml:space="preserve">. </w:t>
      </w:r>
      <w:r w:rsidR="00C33053" w:rsidRPr="00A35CEC">
        <w:rPr>
          <w:rFonts w:ascii="Book Antiqua" w:eastAsia="Calibri" w:hAnsi="Book Antiqua" w:cs="Arial"/>
        </w:rPr>
        <w:t>Second, there is an assumption that new infections would remain stable at the 201</w:t>
      </w:r>
      <w:r w:rsidR="003654EA" w:rsidRPr="00A35CEC">
        <w:rPr>
          <w:rFonts w:ascii="Book Antiqua" w:eastAsia="Calibri" w:hAnsi="Book Antiqua" w:cs="Arial"/>
        </w:rPr>
        <w:t>5</w:t>
      </w:r>
      <w:r w:rsidR="00C33053" w:rsidRPr="00A35CEC">
        <w:rPr>
          <w:rFonts w:ascii="Book Antiqua" w:eastAsia="Calibri" w:hAnsi="Book Antiqua" w:cs="Arial"/>
        </w:rPr>
        <w:t xml:space="preserve"> levels. Thus, the model does not account for treatment as prevention</w:t>
      </w:r>
      <w:r w:rsidR="00C93676" w:rsidRPr="00A35CEC">
        <w:rPr>
          <w:rFonts w:ascii="Book Antiqua" w:eastAsia="Calibri" w:hAnsi="Book Antiqua" w:cs="Arial"/>
        </w:rPr>
        <w:t>,</w:t>
      </w:r>
      <w:r w:rsidR="00C33053" w:rsidRPr="00A35CEC">
        <w:rPr>
          <w:rFonts w:ascii="Book Antiqua" w:eastAsia="Calibri" w:hAnsi="Book Antiqua" w:cs="Arial"/>
        </w:rPr>
        <w:t xml:space="preserve"> and its predictions would be more conservative. However, the strategy was cost effective despite the use of conservative assumptions, since the probability of reaching cost-effectiveness would be increased in the dynamic approach from the inclusion of the prevention of secondary cases. </w:t>
      </w:r>
      <w:r w:rsidR="00E7187B" w:rsidRPr="00A35CEC">
        <w:rPr>
          <w:rFonts w:ascii="Book Antiqua" w:eastAsia="Calibri" w:hAnsi="Book Antiqua" w:cs="Arial"/>
        </w:rPr>
        <w:t>Third</w:t>
      </w:r>
      <w:r w:rsidR="00C33053" w:rsidRPr="00A35CEC">
        <w:rPr>
          <w:rFonts w:ascii="Book Antiqua" w:eastAsia="Calibri" w:hAnsi="Book Antiqua" w:cs="Arial"/>
        </w:rPr>
        <w:t xml:space="preserve">, </w:t>
      </w:r>
      <w:r w:rsidR="007D4254" w:rsidRPr="00A35CEC">
        <w:rPr>
          <w:rFonts w:ascii="Book Antiqua" w:eastAsia="Calibri" w:hAnsi="Book Antiqua" w:cs="Arial"/>
        </w:rPr>
        <w:t xml:space="preserve">the model assumed that new therapies, guidelines or </w:t>
      </w:r>
      <w:r w:rsidR="007D4254" w:rsidRPr="00A35CEC">
        <w:rPr>
          <w:rFonts w:ascii="Book Antiqua" w:eastAsia="Calibri" w:hAnsi="Book Antiqua" w:cs="Arial"/>
        </w:rPr>
        <w:lastRenderedPageBreak/>
        <w:t>treatment strategies are adopted immediately</w:t>
      </w:r>
      <w:r w:rsidR="009C73F6" w:rsidRPr="00A35CEC">
        <w:rPr>
          <w:rFonts w:ascii="Book Antiqua" w:eastAsia="Calibri" w:hAnsi="Book Antiqua" w:cs="Arial"/>
        </w:rPr>
        <w:t xml:space="preserve"> </w:t>
      </w:r>
      <w:r w:rsidRPr="00A35CEC">
        <w:rPr>
          <w:rFonts w:ascii="Book Antiqua" w:eastAsia="Calibri" w:hAnsi="Book Antiqua" w:cs="Arial"/>
        </w:rPr>
        <w:t>-</w:t>
      </w:r>
      <w:r w:rsidR="009C73F6" w:rsidRPr="00A35CEC">
        <w:rPr>
          <w:rFonts w:ascii="Book Antiqua" w:eastAsia="Calibri" w:hAnsi="Book Antiqua" w:cs="Arial"/>
        </w:rPr>
        <w:t xml:space="preserve"> a fact that may not be the case in real life settings</w:t>
      </w:r>
      <w:r w:rsidR="007D4254" w:rsidRPr="00A35CEC">
        <w:rPr>
          <w:rFonts w:ascii="Book Antiqua" w:eastAsia="Calibri" w:hAnsi="Book Antiqua" w:cs="Arial"/>
        </w:rPr>
        <w:t xml:space="preserve">. </w:t>
      </w:r>
      <w:r w:rsidR="00E00980" w:rsidRPr="00A35CEC">
        <w:rPr>
          <w:rFonts w:ascii="Book Antiqua" w:eastAsia="Calibri" w:hAnsi="Book Antiqua" w:cs="Arial"/>
        </w:rPr>
        <w:t xml:space="preserve">Fourth, although </w:t>
      </w:r>
      <w:proofErr w:type="spellStart"/>
      <w:r w:rsidR="00E00980" w:rsidRPr="00A35CEC">
        <w:rPr>
          <w:rFonts w:ascii="Book Antiqua" w:eastAsia="Calibri" w:hAnsi="Book Antiqua" w:cs="Arial"/>
        </w:rPr>
        <w:t>extrahepatic</w:t>
      </w:r>
      <w:proofErr w:type="spellEnd"/>
      <w:r w:rsidR="00E00980" w:rsidRPr="00A35CEC">
        <w:rPr>
          <w:rFonts w:ascii="Book Antiqua" w:eastAsia="Calibri" w:hAnsi="Book Antiqua" w:cs="Arial"/>
        </w:rPr>
        <w:t xml:space="preserve"> manifestations of </w:t>
      </w:r>
      <w:proofErr w:type="spellStart"/>
      <w:r w:rsidR="00E00980" w:rsidRPr="00A35CEC">
        <w:rPr>
          <w:rFonts w:ascii="Book Antiqua" w:eastAsia="Calibri" w:hAnsi="Book Antiqua" w:cs="Arial"/>
        </w:rPr>
        <w:t>HCV</w:t>
      </w:r>
      <w:proofErr w:type="spellEnd"/>
      <w:r w:rsidR="00E00980" w:rsidRPr="00A35CEC">
        <w:rPr>
          <w:rFonts w:ascii="Book Antiqua" w:eastAsia="Calibri" w:hAnsi="Book Antiqua" w:cs="Arial"/>
        </w:rPr>
        <w:t xml:space="preserve"> represent a significant </w:t>
      </w:r>
      <w:r w:rsidR="00BB56EA" w:rsidRPr="00A35CEC">
        <w:rPr>
          <w:rFonts w:ascii="Book Antiqua" w:eastAsia="Calibri" w:hAnsi="Book Antiqua" w:cs="Arial"/>
        </w:rPr>
        <w:t xml:space="preserve">part of direct </w:t>
      </w:r>
      <w:proofErr w:type="gramStart"/>
      <w:r w:rsidR="00E00980" w:rsidRPr="00A35CEC">
        <w:rPr>
          <w:rFonts w:ascii="Book Antiqua" w:eastAsia="Calibri" w:hAnsi="Book Antiqua" w:cs="Arial"/>
        </w:rPr>
        <w:t>cost</w:t>
      </w:r>
      <w:r w:rsidR="00B62370" w:rsidRPr="00A35CEC">
        <w:rPr>
          <w:rFonts w:ascii="Book Antiqua" w:eastAsia="Calibri" w:hAnsi="Book Antiqua" w:cs="Arial"/>
          <w:vertAlign w:val="superscript"/>
        </w:rPr>
        <w:t>[</w:t>
      </w:r>
      <w:proofErr w:type="gramEnd"/>
      <w:r w:rsidR="00B62370" w:rsidRPr="00A35CEC">
        <w:rPr>
          <w:rFonts w:ascii="Book Antiqua" w:eastAsia="Calibri" w:hAnsi="Book Antiqua" w:cs="Arial"/>
          <w:vertAlign w:val="superscript"/>
        </w:rPr>
        <w:t>37,</w:t>
      </w:r>
      <w:r w:rsidR="00BC0DA7" w:rsidRPr="00A35CEC">
        <w:rPr>
          <w:rFonts w:ascii="Book Antiqua" w:eastAsia="Calibri" w:hAnsi="Book Antiqua" w:cs="Arial"/>
          <w:vertAlign w:val="superscript"/>
        </w:rPr>
        <w:t>38]</w:t>
      </w:r>
      <w:r w:rsidR="009C73F6" w:rsidRPr="00A35CEC">
        <w:rPr>
          <w:rFonts w:ascii="Book Antiqua" w:eastAsia="Calibri" w:hAnsi="Book Antiqua" w:cs="Arial"/>
        </w:rPr>
        <w:t>, they</w:t>
      </w:r>
      <w:r w:rsidR="00E00980" w:rsidRPr="00A35CEC">
        <w:rPr>
          <w:rFonts w:ascii="Book Antiqua" w:eastAsia="Calibri" w:hAnsi="Book Antiqua" w:cs="Arial"/>
        </w:rPr>
        <w:t xml:space="preserve"> were not considered in this analysis. </w:t>
      </w:r>
      <w:r w:rsidR="00806A88" w:rsidRPr="00A35CEC">
        <w:rPr>
          <w:rFonts w:ascii="Book Antiqua" w:eastAsia="Calibri" w:hAnsi="Book Antiqua" w:cs="Arial"/>
        </w:rPr>
        <w:t>Fifth, possible reductions in the future cost of screening tests were not considered.</w:t>
      </w:r>
    </w:p>
    <w:p w14:paraId="0FDD286E" w14:textId="3A5D122A" w:rsidR="00C33053" w:rsidRPr="00A35CEC" w:rsidRDefault="009C1436">
      <w:pPr>
        <w:adjustRightInd w:val="0"/>
        <w:snapToGrid w:val="0"/>
        <w:spacing w:line="360" w:lineRule="auto"/>
        <w:jc w:val="both"/>
        <w:rPr>
          <w:rFonts w:ascii="Book Antiqua" w:eastAsia="Calibri" w:hAnsi="Book Antiqua" w:cs="Arial"/>
        </w:rPr>
      </w:pPr>
      <w:r w:rsidRPr="00A35CEC">
        <w:rPr>
          <w:rFonts w:ascii="Book Antiqua" w:eastAsia="Calibri" w:hAnsi="Book Antiqua" w:cs="Arial"/>
        </w:rPr>
        <w:t xml:space="preserve">  </w:t>
      </w:r>
      <w:r w:rsidR="00C33053" w:rsidRPr="00A35CEC">
        <w:rPr>
          <w:rFonts w:ascii="Book Antiqua" w:eastAsia="Calibri" w:hAnsi="Book Antiqua" w:cs="Arial"/>
        </w:rPr>
        <w:t xml:space="preserve">In conclusion, our results support that elimination of </w:t>
      </w:r>
      <w:proofErr w:type="spellStart"/>
      <w:r w:rsidR="00C33053" w:rsidRPr="00A35CEC">
        <w:rPr>
          <w:rFonts w:ascii="Book Antiqua" w:eastAsia="Calibri" w:hAnsi="Book Antiqua" w:cs="Arial"/>
        </w:rPr>
        <w:t>HCV</w:t>
      </w:r>
      <w:proofErr w:type="spellEnd"/>
      <w:r w:rsidR="00C33053" w:rsidRPr="00A35CEC">
        <w:rPr>
          <w:rFonts w:ascii="Book Antiqua" w:eastAsia="Calibri" w:hAnsi="Book Antiqua" w:cs="Arial"/>
        </w:rPr>
        <w:t xml:space="preserve"> cannot be achieved without the implementation of large awareness and screening programs, as treatment coverage will be suboptimal. Nevertheless, </w:t>
      </w:r>
      <w:proofErr w:type="spellStart"/>
      <w:r w:rsidR="00C33053" w:rsidRPr="00A35CEC">
        <w:rPr>
          <w:rFonts w:ascii="Book Antiqua" w:eastAsia="Calibri" w:hAnsi="Book Antiqua" w:cs="Arial"/>
        </w:rPr>
        <w:t>HCV</w:t>
      </w:r>
      <w:proofErr w:type="spellEnd"/>
      <w:r w:rsidR="00C33053" w:rsidRPr="00A35CEC">
        <w:rPr>
          <w:rFonts w:ascii="Book Antiqua" w:eastAsia="Calibri" w:hAnsi="Book Antiqua" w:cs="Arial"/>
        </w:rPr>
        <w:t xml:space="preserve"> elimination is a cost-saving strategy, irrespective the uncertainty of the future cost of </w:t>
      </w:r>
      <w:proofErr w:type="spellStart"/>
      <w:r w:rsidR="00C33053" w:rsidRPr="00A35CEC">
        <w:rPr>
          <w:rFonts w:ascii="Book Antiqua" w:eastAsia="Calibri" w:hAnsi="Book Antiqua" w:cs="Arial"/>
        </w:rPr>
        <w:t>DAAs</w:t>
      </w:r>
      <w:proofErr w:type="spellEnd"/>
      <w:r w:rsidR="00C33053" w:rsidRPr="00A35CEC">
        <w:rPr>
          <w:rFonts w:ascii="Book Antiqua" w:eastAsia="Calibri" w:hAnsi="Book Antiqua" w:cs="Arial"/>
        </w:rPr>
        <w:t xml:space="preserve"> in Greece.</w:t>
      </w:r>
    </w:p>
    <w:p w14:paraId="3264BE8E" w14:textId="77777777" w:rsidR="00D1509D" w:rsidRPr="00A35CEC" w:rsidRDefault="00D1509D">
      <w:pPr>
        <w:adjustRightInd w:val="0"/>
        <w:snapToGrid w:val="0"/>
        <w:spacing w:line="360" w:lineRule="auto"/>
        <w:jc w:val="both"/>
        <w:rPr>
          <w:rFonts w:ascii="Book Antiqua" w:hAnsi="Book Antiqua"/>
          <w:b/>
        </w:rPr>
      </w:pPr>
    </w:p>
    <w:p w14:paraId="3B078F6D" w14:textId="1A9AE08B" w:rsidR="004F6D51" w:rsidRPr="00A35CEC" w:rsidRDefault="009C1436">
      <w:pPr>
        <w:pStyle w:val="1"/>
        <w:adjustRightInd w:val="0"/>
        <w:snapToGrid w:val="0"/>
        <w:spacing w:before="0" w:beforeAutospacing="0" w:after="0" w:afterAutospacing="0" w:line="360" w:lineRule="auto"/>
        <w:jc w:val="both"/>
        <w:rPr>
          <w:rFonts w:ascii="Book Antiqua" w:hAnsi="Book Antiqua"/>
          <w:bCs w:val="0"/>
          <w:kern w:val="0"/>
          <w:sz w:val="24"/>
          <w:szCs w:val="24"/>
          <w:lang w:val="en-US" w:eastAsia="el-GR"/>
        </w:rPr>
      </w:pPr>
      <w:bookmarkStart w:id="84" w:name="OLE_LINK151"/>
      <w:bookmarkStart w:id="85" w:name="OLE_LINK259"/>
      <w:bookmarkStart w:id="86" w:name="OLE_LINK158"/>
      <w:bookmarkStart w:id="87" w:name="OLE_LINK159"/>
      <w:bookmarkStart w:id="88" w:name="OLE_LINK205"/>
      <w:bookmarkStart w:id="89" w:name="OLE_LINK206"/>
      <w:bookmarkStart w:id="90" w:name="OLE_LINK244"/>
      <w:bookmarkStart w:id="91" w:name="OLE_LINK245"/>
      <w:bookmarkStart w:id="92" w:name="OLE_LINK11"/>
      <w:bookmarkStart w:id="93" w:name="OLE_LINK12"/>
      <w:bookmarkStart w:id="94" w:name="OLE_LINK23"/>
      <w:bookmarkStart w:id="95" w:name="OLE_LINK24"/>
      <w:bookmarkStart w:id="96" w:name="OLE_LINK316"/>
      <w:bookmarkStart w:id="97" w:name="OLE_LINK332"/>
      <w:bookmarkStart w:id="98" w:name="OLE_LINK521"/>
      <w:r w:rsidRPr="00A35CEC">
        <w:rPr>
          <w:rFonts w:ascii="Book Antiqua" w:hAnsi="Book Antiqua"/>
          <w:bCs w:val="0"/>
          <w:kern w:val="0"/>
          <w:sz w:val="24"/>
          <w:szCs w:val="24"/>
          <w:lang w:val="en-US" w:eastAsia="el-GR"/>
        </w:rPr>
        <w:t xml:space="preserve">ARTICLE HIGHLIGHTS  </w:t>
      </w:r>
    </w:p>
    <w:p w14:paraId="2C16140D" w14:textId="1E9EBF5B" w:rsidR="004F6D51" w:rsidRPr="00A35CEC" w:rsidRDefault="004F6D51">
      <w:pPr>
        <w:pStyle w:val="1"/>
        <w:adjustRightInd w:val="0"/>
        <w:snapToGrid w:val="0"/>
        <w:spacing w:before="0" w:beforeAutospacing="0" w:after="0" w:afterAutospacing="0" w:line="360" w:lineRule="auto"/>
        <w:jc w:val="both"/>
        <w:rPr>
          <w:rFonts w:ascii="Book Antiqua" w:hAnsi="Book Antiqua"/>
          <w:bCs w:val="0"/>
          <w:i/>
          <w:kern w:val="0"/>
          <w:sz w:val="24"/>
          <w:szCs w:val="24"/>
          <w:lang w:val="en-US" w:eastAsia="el-GR"/>
        </w:rPr>
      </w:pPr>
      <w:r w:rsidRPr="00A35CEC">
        <w:rPr>
          <w:rFonts w:ascii="Book Antiqua" w:hAnsi="Book Antiqua"/>
          <w:bCs w:val="0"/>
          <w:i/>
          <w:kern w:val="0"/>
          <w:sz w:val="24"/>
          <w:szCs w:val="24"/>
          <w:lang w:val="en-US" w:eastAsia="el-GR"/>
        </w:rPr>
        <w:t>Research background</w:t>
      </w:r>
    </w:p>
    <w:p w14:paraId="1D53D4F7" w14:textId="3F4AAA7B" w:rsidR="009C1436" w:rsidRPr="00A35CEC" w:rsidRDefault="00094E46">
      <w:pPr>
        <w:adjustRightInd w:val="0"/>
        <w:snapToGrid w:val="0"/>
        <w:spacing w:line="360" w:lineRule="auto"/>
        <w:jc w:val="both"/>
        <w:rPr>
          <w:rFonts w:ascii="Book Antiqua" w:hAnsi="Book Antiqua"/>
        </w:rPr>
      </w:pPr>
      <w:r w:rsidRPr="00A35CEC">
        <w:rPr>
          <w:rFonts w:ascii="Book Antiqua" w:hAnsi="Book Antiqua"/>
        </w:rPr>
        <w:t xml:space="preserve">Hepatitis C </w:t>
      </w:r>
      <w:r w:rsidR="009C1436" w:rsidRPr="00A35CEC">
        <w:rPr>
          <w:rFonts w:ascii="Book Antiqua" w:hAnsi="Book Antiqua"/>
        </w:rPr>
        <w:t xml:space="preserve">virus </w:t>
      </w:r>
      <w:r w:rsidRPr="00A35CEC">
        <w:rPr>
          <w:rFonts w:ascii="Book Antiqua" w:hAnsi="Book Antiqua"/>
        </w:rPr>
        <w:t>(</w:t>
      </w:r>
      <w:proofErr w:type="spellStart"/>
      <w:r w:rsidRPr="00A35CEC">
        <w:rPr>
          <w:rFonts w:ascii="Book Antiqua" w:hAnsi="Book Antiqua"/>
        </w:rPr>
        <w:t>HCV</w:t>
      </w:r>
      <w:proofErr w:type="spellEnd"/>
      <w:r w:rsidRPr="00A35CEC">
        <w:rPr>
          <w:rFonts w:ascii="Book Antiqua" w:hAnsi="Book Antiqua"/>
        </w:rPr>
        <w:t xml:space="preserve">) infection is a major </w:t>
      </w:r>
      <w:r w:rsidR="00364AD3" w:rsidRPr="00A35CEC">
        <w:rPr>
          <w:rFonts w:ascii="Book Antiqua" w:hAnsi="Book Antiqua"/>
        </w:rPr>
        <w:t xml:space="preserve">global </w:t>
      </w:r>
      <w:r w:rsidRPr="00A35CEC">
        <w:rPr>
          <w:rFonts w:ascii="Book Antiqua" w:hAnsi="Book Antiqua"/>
        </w:rPr>
        <w:t xml:space="preserve">public health problem. </w:t>
      </w:r>
      <w:r w:rsidR="00A6201D" w:rsidRPr="00A35CEC">
        <w:rPr>
          <w:rFonts w:ascii="Book Antiqua" w:hAnsi="Book Antiqua"/>
        </w:rPr>
        <w:t xml:space="preserve">Greece has one of the highest rates of chronic </w:t>
      </w:r>
      <w:proofErr w:type="spellStart"/>
      <w:r w:rsidR="00A6201D" w:rsidRPr="00A35CEC">
        <w:rPr>
          <w:rFonts w:ascii="Book Antiqua" w:hAnsi="Book Antiqua"/>
        </w:rPr>
        <w:t>HCV</w:t>
      </w:r>
      <w:proofErr w:type="spellEnd"/>
      <w:r w:rsidR="00A6201D" w:rsidRPr="00A35CEC">
        <w:rPr>
          <w:rFonts w:ascii="Book Antiqua" w:hAnsi="Book Antiqua"/>
        </w:rPr>
        <w:t xml:space="preserve"> (</w:t>
      </w:r>
      <w:proofErr w:type="spellStart"/>
      <w:r w:rsidR="00A6201D" w:rsidRPr="00A35CEC">
        <w:rPr>
          <w:rFonts w:ascii="Book Antiqua" w:hAnsi="Book Antiqua"/>
        </w:rPr>
        <w:t>CHC</w:t>
      </w:r>
      <w:proofErr w:type="spellEnd"/>
      <w:r w:rsidR="00A6201D" w:rsidRPr="00A35CEC">
        <w:rPr>
          <w:rFonts w:ascii="Book Antiqua" w:hAnsi="Book Antiqua"/>
        </w:rPr>
        <w:t>) infection in Europe</w:t>
      </w:r>
      <w:r w:rsidR="00364AD3" w:rsidRPr="00A35CEC">
        <w:rPr>
          <w:rFonts w:ascii="Book Antiqua" w:hAnsi="Book Antiqua"/>
        </w:rPr>
        <w:t>,</w:t>
      </w:r>
      <w:r w:rsidR="00A6201D" w:rsidRPr="00A35CEC">
        <w:rPr>
          <w:rFonts w:ascii="Book Antiqua" w:hAnsi="Book Antiqua"/>
        </w:rPr>
        <w:t xml:space="preserve"> and approximately </w:t>
      </w:r>
      <w:r w:rsidR="00B61E6C" w:rsidRPr="00A35CEC">
        <w:rPr>
          <w:rFonts w:ascii="Book Antiqua" w:hAnsi="Book Antiqua"/>
        </w:rPr>
        <w:t>33%</w:t>
      </w:r>
      <w:r w:rsidR="00F67A68" w:rsidRPr="00A35CEC">
        <w:rPr>
          <w:rFonts w:ascii="Book Antiqua" w:hAnsi="Book Antiqua"/>
        </w:rPr>
        <w:t xml:space="preserve"> </w:t>
      </w:r>
      <w:r w:rsidR="00A6201D" w:rsidRPr="00A35CEC">
        <w:rPr>
          <w:rFonts w:ascii="Book Antiqua" w:hAnsi="Book Antiqua"/>
        </w:rPr>
        <w:t>of the chronically infected patients are at advanced fibrosis stages</w:t>
      </w:r>
      <w:r w:rsidR="00F67A68" w:rsidRPr="00A35CEC">
        <w:rPr>
          <w:rFonts w:ascii="Book Antiqua" w:hAnsi="Book Antiqua"/>
        </w:rPr>
        <w:t xml:space="preserve"> (</w:t>
      </w:r>
      <w:r w:rsidR="00F67A68" w:rsidRPr="00A35CEC">
        <w:rPr>
          <w:rFonts w:ascii="Book Antiqua" w:hAnsi="Book Antiqua" w:hint="eastAsia"/>
        </w:rPr>
        <w:t>≥</w:t>
      </w:r>
      <w:r w:rsidR="009C1436" w:rsidRPr="00A35CEC">
        <w:rPr>
          <w:rFonts w:ascii="Book Antiqua" w:hAnsi="Book Antiqua"/>
        </w:rPr>
        <w:t xml:space="preserve"> </w:t>
      </w:r>
      <w:r w:rsidR="00F67A68" w:rsidRPr="00A35CEC">
        <w:rPr>
          <w:rFonts w:ascii="Book Antiqua" w:hAnsi="Book Antiqua"/>
        </w:rPr>
        <w:t>F3)</w:t>
      </w:r>
      <w:r w:rsidR="00A6201D" w:rsidRPr="00A35CEC">
        <w:rPr>
          <w:rFonts w:ascii="Book Antiqua" w:hAnsi="Book Antiqua"/>
        </w:rPr>
        <w:t xml:space="preserve">. </w:t>
      </w:r>
    </w:p>
    <w:p w14:paraId="78639B38" w14:textId="77777777" w:rsidR="009C1436" w:rsidRPr="00A35CEC" w:rsidRDefault="009C1436">
      <w:pPr>
        <w:adjustRightInd w:val="0"/>
        <w:snapToGrid w:val="0"/>
        <w:spacing w:line="360" w:lineRule="auto"/>
        <w:jc w:val="both"/>
        <w:rPr>
          <w:rFonts w:ascii="Book Antiqua" w:hAnsi="Book Antiqua"/>
        </w:rPr>
      </w:pPr>
    </w:p>
    <w:p w14:paraId="2046A23D" w14:textId="50CAD168" w:rsidR="009C1436" w:rsidRPr="00A35CEC" w:rsidRDefault="009C1436">
      <w:pPr>
        <w:adjustRightInd w:val="0"/>
        <w:snapToGrid w:val="0"/>
        <w:spacing w:line="360" w:lineRule="auto"/>
        <w:jc w:val="both"/>
        <w:rPr>
          <w:rFonts w:ascii="Book Antiqua" w:hAnsi="Book Antiqua"/>
          <w:b/>
          <w:i/>
        </w:rPr>
      </w:pPr>
      <w:r w:rsidRPr="00A35CEC">
        <w:rPr>
          <w:rFonts w:ascii="Book Antiqua" w:hAnsi="Book Antiqua"/>
          <w:b/>
          <w:bCs/>
          <w:i/>
          <w:lang w:eastAsia="el-GR"/>
        </w:rPr>
        <w:t>Research motivation</w:t>
      </w:r>
    </w:p>
    <w:p w14:paraId="660C0D30" w14:textId="2E7AFA31" w:rsidR="00A6201D" w:rsidRPr="00A35CEC" w:rsidRDefault="00F67A68">
      <w:pPr>
        <w:adjustRightInd w:val="0"/>
        <w:snapToGrid w:val="0"/>
        <w:spacing w:line="360" w:lineRule="auto"/>
        <w:jc w:val="both"/>
        <w:rPr>
          <w:rFonts w:ascii="Book Antiqua" w:hAnsi="Book Antiqua"/>
        </w:rPr>
      </w:pPr>
      <w:r w:rsidRPr="00A35CEC">
        <w:rPr>
          <w:rFonts w:ascii="Book Antiqua" w:hAnsi="Book Antiqua"/>
        </w:rPr>
        <w:t>Greece</w:t>
      </w:r>
      <w:r w:rsidR="00A6201D" w:rsidRPr="00A35CEC">
        <w:rPr>
          <w:rFonts w:ascii="Book Antiqua" w:hAnsi="Book Antiqua"/>
        </w:rPr>
        <w:t xml:space="preserve"> faces a substantial economic crisis</w:t>
      </w:r>
      <w:r w:rsidRPr="00A35CEC">
        <w:rPr>
          <w:rFonts w:ascii="Book Antiqua" w:hAnsi="Book Antiqua"/>
        </w:rPr>
        <w:t>,</w:t>
      </w:r>
      <w:r w:rsidR="00A6201D" w:rsidRPr="00A35CEC">
        <w:rPr>
          <w:rFonts w:ascii="Book Antiqua" w:hAnsi="Book Antiqua"/>
        </w:rPr>
        <w:t xml:space="preserve"> which </w:t>
      </w:r>
      <w:r w:rsidR="00364AD3" w:rsidRPr="00A35CEC">
        <w:rPr>
          <w:rFonts w:ascii="Book Antiqua" w:hAnsi="Book Antiqua"/>
        </w:rPr>
        <w:t xml:space="preserve">has </w:t>
      </w:r>
      <w:r w:rsidR="00A6201D" w:rsidRPr="00A35CEC">
        <w:rPr>
          <w:rFonts w:ascii="Book Antiqua" w:hAnsi="Book Antiqua"/>
        </w:rPr>
        <w:t xml:space="preserve">resulted </w:t>
      </w:r>
      <w:r w:rsidR="00364AD3" w:rsidRPr="00A35CEC">
        <w:rPr>
          <w:rFonts w:ascii="Book Antiqua" w:hAnsi="Book Antiqua"/>
        </w:rPr>
        <w:t xml:space="preserve">in </w:t>
      </w:r>
      <w:r w:rsidR="00A6201D" w:rsidRPr="00A35CEC">
        <w:rPr>
          <w:rFonts w:ascii="Book Antiqua" w:hAnsi="Book Antiqua"/>
        </w:rPr>
        <w:t>more than 50% cut off in the public pharmaceutical expenditure.</w:t>
      </w:r>
      <w:r w:rsidRPr="00A35CEC">
        <w:rPr>
          <w:rFonts w:ascii="Book Antiqua" w:hAnsi="Book Antiqua"/>
        </w:rPr>
        <w:t xml:space="preserve"> </w:t>
      </w:r>
      <w:r w:rsidR="009C1436" w:rsidRPr="00A35CEC">
        <w:rPr>
          <w:rFonts w:ascii="Book Antiqua" w:hAnsi="Book Antiqua"/>
        </w:rPr>
        <w:t>Therefore,</w:t>
      </w:r>
      <w:r w:rsidR="00B90383" w:rsidRPr="00A35CEC">
        <w:rPr>
          <w:rFonts w:ascii="Book Antiqua" w:hAnsi="Book Antiqua"/>
        </w:rPr>
        <w:t xml:space="preserve"> it is important that every proposed healthcare intervention be accompanied by a cost-effectiveness analysis.</w:t>
      </w:r>
    </w:p>
    <w:p w14:paraId="7762DBCD" w14:textId="77777777" w:rsidR="00CC46CF" w:rsidRPr="00A35CEC" w:rsidRDefault="00CC46CF">
      <w:pPr>
        <w:adjustRightInd w:val="0"/>
        <w:snapToGrid w:val="0"/>
        <w:spacing w:line="360" w:lineRule="auto"/>
        <w:jc w:val="both"/>
        <w:rPr>
          <w:rFonts w:ascii="Book Antiqua" w:hAnsi="Book Antiqua"/>
        </w:rPr>
      </w:pPr>
    </w:p>
    <w:p w14:paraId="269740DC" w14:textId="77777777" w:rsidR="004F6D51" w:rsidRPr="00A35CEC" w:rsidRDefault="004F6D51">
      <w:pPr>
        <w:pStyle w:val="1"/>
        <w:adjustRightInd w:val="0"/>
        <w:snapToGrid w:val="0"/>
        <w:spacing w:before="0" w:beforeAutospacing="0" w:after="0" w:afterAutospacing="0" w:line="360" w:lineRule="auto"/>
        <w:jc w:val="both"/>
        <w:rPr>
          <w:rFonts w:ascii="Book Antiqua" w:hAnsi="Book Antiqua"/>
          <w:bCs w:val="0"/>
          <w:i/>
          <w:kern w:val="0"/>
          <w:sz w:val="24"/>
          <w:szCs w:val="24"/>
          <w:lang w:val="en-US" w:eastAsia="el-GR"/>
        </w:rPr>
      </w:pPr>
      <w:r w:rsidRPr="00A35CEC">
        <w:rPr>
          <w:rFonts w:ascii="Book Antiqua" w:hAnsi="Book Antiqua"/>
          <w:bCs w:val="0"/>
          <w:i/>
          <w:kern w:val="0"/>
          <w:sz w:val="24"/>
          <w:szCs w:val="24"/>
          <w:lang w:val="en-US" w:eastAsia="el-GR"/>
        </w:rPr>
        <w:t>Research objectives</w:t>
      </w:r>
    </w:p>
    <w:p w14:paraId="139FF54B" w14:textId="3B3891EC" w:rsidR="00845A1B" w:rsidRPr="00A35CEC" w:rsidRDefault="00845A1B">
      <w:pPr>
        <w:adjustRightInd w:val="0"/>
        <w:snapToGrid w:val="0"/>
        <w:spacing w:line="360" w:lineRule="auto"/>
        <w:jc w:val="both"/>
        <w:rPr>
          <w:rFonts w:ascii="Book Antiqua" w:hAnsi="Book Antiqua"/>
        </w:rPr>
      </w:pPr>
      <w:r w:rsidRPr="00A35CEC">
        <w:rPr>
          <w:rFonts w:ascii="Book Antiqua" w:hAnsi="Book Antiqua"/>
        </w:rPr>
        <w:t>The ma</w:t>
      </w:r>
      <w:r w:rsidR="009C1436" w:rsidRPr="00A35CEC">
        <w:rPr>
          <w:rFonts w:ascii="Book Antiqua" w:hAnsi="Book Antiqua"/>
        </w:rPr>
        <w:t>in objectives of the study are (1</w:t>
      </w:r>
      <w:r w:rsidRPr="00A35CEC">
        <w:rPr>
          <w:rFonts w:ascii="Book Antiqua" w:hAnsi="Book Antiqua"/>
        </w:rPr>
        <w:t>) to estimate the required interventions to achieve elimination using updated informatio</w:t>
      </w:r>
      <w:r w:rsidR="009C1436" w:rsidRPr="00A35CEC">
        <w:rPr>
          <w:rFonts w:ascii="Book Antiqua" w:hAnsi="Book Antiqua"/>
        </w:rPr>
        <w:t xml:space="preserve">n for </w:t>
      </w:r>
      <w:r w:rsidR="009C1436" w:rsidRPr="00A35CEC">
        <w:rPr>
          <w:rFonts w:ascii="Book Antiqua" w:hAnsi="Book Antiqua" w:cs="Arial"/>
        </w:rPr>
        <w:t xml:space="preserve">direct-acting antiviral </w:t>
      </w:r>
      <w:r w:rsidR="009C1436" w:rsidRPr="00A35CEC">
        <w:rPr>
          <w:rFonts w:ascii="Book Antiqua" w:hAnsi="Book Antiqua"/>
        </w:rPr>
        <w:t>treatment coverage, (2</w:t>
      </w:r>
      <w:r w:rsidRPr="00A35CEC">
        <w:rPr>
          <w:rFonts w:ascii="Book Antiqua" w:hAnsi="Book Antiqua"/>
        </w:rPr>
        <w:t>) to compute the total costs (including the indirect</w:t>
      </w:r>
      <w:r w:rsidR="00231BE7" w:rsidRPr="00A35CEC">
        <w:rPr>
          <w:rFonts w:ascii="Book Antiqua" w:hAnsi="Book Antiqua"/>
        </w:rPr>
        <w:t>/societal</w:t>
      </w:r>
      <w:r w:rsidRPr="00A35CEC">
        <w:rPr>
          <w:rFonts w:ascii="Book Antiqua" w:hAnsi="Book Antiqua"/>
        </w:rPr>
        <w:t xml:space="preserve"> costs</w:t>
      </w:r>
      <w:r w:rsidR="009C1436" w:rsidRPr="00A35CEC">
        <w:rPr>
          <w:rFonts w:ascii="Book Antiqua" w:hAnsi="Book Antiqua"/>
        </w:rPr>
        <w:t>) of the strategy</w:t>
      </w:r>
      <w:r w:rsidR="00AD58FA" w:rsidRPr="00A35CEC">
        <w:rPr>
          <w:rFonts w:ascii="Book Antiqua" w:hAnsi="Book Antiqua"/>
        </w:rPr>
        <w:t xml:space="preserve">, </w:t>
      </w:r>
      <w:r w:rsidR="009C1436" w:rsidRPr="00A35CEC">
        <w:rPr>
          <w:rFonts w:ascii="Book Antiqua" w:hAnsi="Book Antiqua"/>
        </w:rPr>
        <w:t>and (3</w:t>
      </w:r>
      <w:r w:rsidRPr="00A35CEC">
        <w:rPr>
          <w:rFonts w:ascii="Book Antiqua" w:hAnsi="Book Antiqua"/>
        </w:rPr>
        <w:t>)</w:t>
      </w:r>
      <w:r w:rsidR="0079531A" w:rsidRPr="00A35CEC">
        <w:rPr>
          <w:rFonts w:ascii="Book Antiqua" w:hAnsi="Book Antiqua"/>
        </w:rPr>
        <w:t xml:space="preserve"> to</w:t>
      </w:r>
      <w:r w:rsidRPr="00A35CEC">
        <w:rPr>
          <w:rFonts w:ascii="Book Antiqua" w:hAnsi="Book Antiqua"/>
        </w:rPr>
        <w:t xml:space="preserve"> identify whether the elimination strategy is cost-effective/cost-saving in Greece.</w:t>
      </w:r>
    </w:p>
    <w:p w14:paraId="7A91E8A7" w14:textId="77777777" w:rsidR="004F6D51" w:rsidRPr="00A35CEC" w:rsidRDefault="004F6D51">
      <w:pPr>
        <w:adjustRightInd w:val="0"/>
        <w:snapToGrid w:val="0"/>
        <w:spacing w:line="360" w:lineRule="auto"/>
        <w:jc w:val="both"/>
        <w:rPr>
          <w:rFonts w:ascii="Book Antiqua" w:hAnsi="Book Antiqua"/>
          <w:b/>
        </w:rPr>
      </w:pPr>
    </w:p>
    <w:p w14:paraId="4A974787" w14:textId="77777777" w:rsidR="004F6D51" w:rsidRPr="00A35CEC" w:rsidRDefault="004F6D51">
      <w:pPr>
        <w:pStyle w:val="1"/>
        <w:adjustRightInd w:val="0"/>
        <w:snapToGrid w:val="0"/>
        <w:spacing w:before="0" w:beforeAutospacing="0" w:after="0" w:afterAutospacing="0" w:line="360" w:lineRule="auto"/>
        <w:jc w:val="both"/>
        <w:rPr>
          <w:rFonts w:ascii="Book Antiqua" w:hAnsi="Book Antiqua"/>
          <w:bCs w:val="0"/>
          <w:i/>
          <w:kern w:val="0"/>
          <w:sz w:val="24"/>
          <w:szCs w:val="24"/>
          <w:lang w:val="en-US" w:eastAsia="el-GR"/>
        </w:rPr>
      </w:pPr>
      <w:r w:rsidRPr="00A35CEC">
        <w:rPr>
          <w:rFonts w:ascii="Book Antiqua" w:hAnsi="Book Antiqua"/>
          <w:bCs w:val="0"/>
          <w:i/>
          <w:kern w:val="0"/>
          <w:sz w:val="24"/>
          <w:szCs w:val="24"/>
          <w:lang w:val="en-US" w:eastAsia="el-GR"/>
        </w:rPr>
        <w:t>Research methods</w:t>
      </w:r>
    </w:p>
    <w:p w14:paraId="289FDF6F" w14:textId="12CC69A9" w:rsidR="00151C4D" w:rsidRPr="00A35CEC" w:rsidRDefault="00845A1B">
      <w:pPr>
        <w:adjustRightInd w:val="0"/>
        <w:snapToGrid w:val="0"/>
        <w:spacing w:line="360" w:lineRule="auto"/>
        <w:jc w:val="both"/>
        <w:rPr>
          <w:rFonts w:ascii="Book Antiqua" w:hAnsi="Book Antiqua"/>
        </w:rPr>
      </w:pPr>
      <w:r w:rsidRPr="00A35CEC">
        <w:rPr>
          <w:rFonts w:ascii="Book Antiqua" w:hAnsi="Book Antiqua"/>
        </w:rPr>
        <w:t>To project the future burden of disease and to estimate subsequent future costs</w:t>
      </w:r>
      <w:r w:rsidR="0079531A" w:rsidRPr="00A35CEC">
        <w:rPr>
          <w:rFonts w:ascii="Book Antiqua" w:hAnsi="Book Antiqua"/>
        </w:rPr>
        <w:t>,</w:t>
      </w:r>
      <w:r w:rsidRPr="00A35CEC">
        <w:rPr>
          <w:rFonts w:ascii="Book Antiqua" w:hAnsi="Book Antiqua"/>
        </w:rPr>
        <w:t xml:space="preserve"> we used </w:t>
      </w:r>
      <w:r w:rsidR="0079531A" w:rsidRPr="00A35CEC">
        <w:rPr>
          <w:rFonts w:ascii="Book Antiqua" w:hAnsi="Book Antiqua"/>
        </w:rPr>
        <w:t>a previously</w:t>
      </w:r>
      <w:r w:rsidR="00364AD3" w:rsidRPr="00A35CEC">
        <w:rPr>
          <w:rFonts w:ascii="Book Antiqua" w:hAnsi="Book Antiqua"/>
        </w:rPr>
        <w:t xml:space="preserve"> </w:t>
      </w:r>
      <w:r w:rsidR="0079531A" w:rsidRPr="00A35CEC">
        <w:rPr>
          <w:rFonts w:ascii="Book Antiqua" w:hAnsi="Book Antiqua"/>
        </w:rPr>
        <w:t>validated, Excel-based disease progression model</w:t>
      </w:r>
      <w:r w:rsidRPr="00A35CEC">
        <w:rPr>
          <w:rFonts w:ascii="Book Antiqua" w:hAnsi="Book Antiqua"/>
        </w:rPr>
        <w:t xml:space="preserve"> constructed by the Center for </w:t>
      </w:r>
      <w:r w:rsidRPr="00A35CEC">
        <w:rPr>
          <w:rFonts w:ascii="Book Antiqua" w:hAnsi="Book Antiqua"/>
        </w:rPr>
        <w:lastRenderedPageBreak/>
        <w:t xml:space="preserve">Disease Analysis. This model simulates the progression of </w:t>
      </w:r>
      <w:proofErr w:type="spellStart"/>
      <w:r w:rsidRPr="00A35CEC">
        <w:rPr>
          <w:rFonts w:ascii="Book Antiqua" w:hAnsi="Book Antiqua"/>
        </w:rPr>
        <w:t>HCV</w:t>
      </w:r>
      <w:proofErr w:type="spellEnd"/>
      <w:r w:rsidRPr="00A35CEC">
        <w:rPr>
          <w:rFonts w:ascii="Book Antiqua" w:hAnsi="Book Antiqua"/>
        </w:rPr>
        <w:t xml:space="preserve">-infected persons through the various stages of the disease, according to the </w:t>
      </w:r>
      <w:proofErr w:type="spellStart"/>
      <w:r w:rsidRPr="00A35CEC">
        <w:rPr>
          <w:rFonts w:ascii="Book Antiqua" w:hAnsi="Book Antiqua"/>
        </w:rPr>
        <w:t>METAVIR</w:t>
      </w:r>
      <w:proofErr w:type="spellEnd"/>
      <w:r w:rsidRPr="00A35CEC">
        <w:rPr>
          <w:rFonts w:ascii="Book Antiqua" w:hAnsi="Book Antiqua"/>
        </w:rPr>
        <w:t xml:space="preserve"> scoring system, with appropriate transition probabilities between stages. </w:t>
      </w:r>
    </w:p>
    <w:p w14:paraId="219CB3FA" w14:textId="37279572" w:rsidR="00151C4D" w:rsidRPr="00A35CEC" w:rsidRDefault="009C1436">
      <w:pPr>
        <w:adjustRightInd w:val="0"/>
        <w:snapToGrid w:val="0"/>
        <w:spacing w:line="360" w:lineRule="auto"/>
        <w:jc w:val="both"/>
        <w:rPr>
          <w:rFonts w:ascii="Book Antiqua" w:hAnsi="Book Antiqua"/>
        </w:rPr>
      </w:pPr>
      <w:r w:rsidRPr="00A35CEC">
        <w:rPr>
          <w:rFonts w:ascii="Book Antiqua" w:hAnsi="Book Antiqua"/>
        </w:rPr>
        <w:t xml:space="preserve">  </w:t>
      </w:r>
      <w:r w:rsidR="00151C4D" w:rsidRPr="00A35CEC">
        <w:rPr>
          <w:rFonts w:ascii="Book Antiqua" w:hAnsi="Book Antiqua"/>
        </w:rPr>
        <w:t xml:space="preserve">Progression was simulated by multiplying the total number of cases at a particular stage of disease by the appropriate progression rate to the next stage. Newly infected patients can enter the model at any </w:t>
      </w:r>
      <w:proofErr w:type="gramStart"/>
      <w:r w:rsidR="00151C4D" w:rsidRPr="00A35CEC">
        <w:rPr>
          <w:rFonts w:ascii="Book Antiqua" w:hAnsi="Book Antiqua"/>
        </w:rPr>
        <w:t>year,</w:t>
      </w:r>
      <w:proofErr w:type="gramEnd"/>
      <w:r w:rsidR="00151C4D" w:rsidRPr="00A35CEC">
        <w:rPr>
          <w:rFonts w:ascii="Book Antiqua" w:hAnsi="Book Antiqua"/>
        </w:rPr>
        <w:t xml:space="preserve"> progress through the disease stages based on progression </w:t>
      </w:r>
      <w:r w:rsidRPr="00A35CEC">
        <w:rPr>
          <w:rFonts w:ascii="Book Antiqua" w:hAnsi="Book Antiqua"/>
        </w:rPr>
        <w:t>rates, and exit the model on: (1</w:t>
      </w:r>
      <w:r w:rsidR="00151C4D" w:rsidRPr="00A35CEC">
        <w:rPr>
          <w:rFonts w:ascii="Book Antiqua" w:hAnsi="Book Antiqua"/>
        </w:rPr>
        <w:t>) s</w:t>
      </w:r>
      <w:r w:rsidRPr="00A35CEC">
        <w:rPr>
          <w:rFonts w:ascii="Book Antiqua" w:hAnsi="Book Antiqua"/>
        </w:rPr>
        <w:t xml:space="preserve">pontaneous clearance of </w:t>
      </w:r>
      <w:proofErr w:type="spellStart"/>
      <w:r w:rsidRPr="00A35CEC">
        <w:rPr>
          <w:rFonts w:ascii="Book Antiqua" w:hAnsi="Book Antiqua"/>
        </w:rPr>
        <w:t>HCV</w:t>
      </w:r>
      <w:proofErr w:type="spellEnd"/>
      <w:r w:rsidRPr="00A35CEC">
        <w:rPr>
          <w:rFonts w:ascii="Book Antiqua" w:hAnsi="Book Antiqua"/>
        </w:rPr>
        <w:t>; (2</w:t>
      </w:r>
      <w:r w:rsidR="00151C4D" w:rsidRPr="00A35CEC">
        <w:rPr>
          <w:rFonts w:ascii="Book Antiqua" w:hAnsi="Book Antiqua"/>
        </w:rPr>
        <w:t xml:space="preserve">) achieving </w:t>
      </w:r>
      <w:r w:rsidRPr="00A35CEC">
        <w:rPr>
          <w:rFonts w:ascii="Book Antiqua" w:hAnsi="Book Antiqua" w:cs="Arial"/>
        </w:rPr>
        <w:t xml:space="preserve">sustained </w:t>
      </w:r>
      <w:proofErr w:type="spellStart"/>
      <w:r w:rsidRPr="00A35CEC">
        <w:rPr>
          <w:rFonts w:ascii="Book Antiqua" w:hAnsi="Book Antiqua" w:cs="Arial"/>
        </w:rPr>
        <w:t>virological</w:t>
      </w:r>
      <w:proofErr w:type="spellEnd"/>
      <w:r w:rsidRPr="00A35CEC">
        <w:rPr>
          <w:rFonts w:ascii="Book Antiqua" w:hAnsi="Book Antiqua" w:cs="Arial"/>
        </w:rPr>
        <w:t xml:space="preserve"> response rates</w:t>
      </w:r>
      <w:r w:rsidR="008B44E9" w:rsidRPr="00A35CEC">
        <w:rPr>
          <w:rFonts w:ascii="Book Antiqua" w:hAnsi="Book Antiqua"/>
        </w:rPr>
        <w:t xml:space="preserve">; </w:t>
      </w:r>
      <w:r w:rsidR="00A0018E" w:rsidRPr="00A35CEC">
        <w:rPr>
          <w:rFonts w:ascii="Book Antiqua" w:hAnsi="Book Antiqua"/>
        </w:rPr>
        <w:t xml:space="preserve">and </w:t>
      </w:r>
      <w:r w:rsidR="008B44E9" w:rsidRPr="00A35CEC">
        <w:rPr>
          <w:rFonts w:ascii="Book Antiqua" w:hAnsi="Book Antiqua"/>
        </w:rPr>
        <w:t>(3</w:t>
      </w:r>
      <w:r w:rsidR="00151C4D" w:rsidRPr="00A35CEC">
        <w:rPr>
          <w:rFonts w:ascii="Book Antiqua" w:hAnsi="Book Antiqua"/>
        </w:rPr>
        <w:t xml:space="preserve">) death (all-cause or </w:t>
      </w:r>
      <w:proofErr w:type="spellStart"/>
      <w:r w:rsidR="00151C4D" w:rsidRPr="00A35CEC">
        <w:rPr>
          <w:rFonts w:ascii="Book Antiqua" w:hAnsi="Book Antiqua"/>
        </w:rPr>
        <w:t>HCV</w:t>
      </w:r>
      <w:proofErr w:type="spellEnd"/>
      <w:r w:rsidR="00151C4D" w:rsidRPr="00A35CEC">
        <w:rPr>
          <w:rFonts w:ascii="Book Antiqua" w:hAnsi="Book Antiqua"/>
        </w:rPr>
        <w:t>-related). Thirty-six</w:t>
      </w:r>
      <w:r w:rsidR="00364AD3" w:rsidRPr="00A35CEC">
        <w:rPr>
          <w:rFonts w:ascii="Book Antiqua" w:hAnsi="Book Antiqua"/>
        </w:rPr>
        <w:t xml:space="preserve"> cohorts every</w:t>
      </w:r>
      <w:r w:rsidR="00151C4D" w:rsidRPr="00A35CEC">
        <w:rPr>
          <w:rFonts w:ascii="Book Antiqua" w:hAnsi="Book Antiqua"/>
        </w:rPr>
        <w:t xml:space="preserve"> </w:t>
      </w:r>
      <w:r w:rsidR="00FA7F1A" w:rsidRPr="00A35CEC">
        <w:rPr>
          <w:rFonts w:ascii="Book Antiqua" w:hAnsi="Book Antiqua"/>
        </w:rPr>
        <w:t>5</w:t>
      </w:r>
      <w:r w:rsidR="00364AD3" w:rsidRPr="00A35CEC">
        <w:rPr>
          <w:rFonts w:ascii="Book Antiqua" w:hAnsi="Book Antiqua"/>
        </w:rPr>
        <w:t xml:space="preserve"> </w:t>
      </w:r>
      <w:proofErr w:type="spellStart"/>
      <w:r w:rsidR="00151C4D" w:rsidRPr="00A35CEC">
        <w:rPr>
          <w:rFonts w:ascii="Book Antiqua" w:hAnsi="Book Antiqua"/>
        </w:rPr>
        <w:t>yr</w:t>
      </w:r>
      <w:proofErr w:type="spellEnd"/>
      <w:r w:rsidR="00151C4D" w:rsidRPr="00A35CEC">
        <w:rPr>
          <w:rFonts w:ascii="Book Antiqua" w:hAnsi="Book Antiqua"/>
        </w:rPr>
        <w:t xml:space="preserve"> of age and gender were used through 84 </w:t>
      </w:r>
      <w:proofErr w:type="spellStart"/>
      <w:r w:rsidR="00151C4D" w:rsidRPr="00A35CEC">
        <w:rPr>
          <w:rFonts w:ascii="Book Antiqua" w:hAnsi="Book Antiqua"/>
        </w:rPr>
        <w:t>yr</w:t>
      </w:r>
      <w:proofErr w:type="spellEnd"/>
      <w:r w:rsidR="00151C4D" w:rsidRPr="00A35CEC">
        <w:rPr>
          <w:rFonts w:ascii="Book Antiqua" w:hAnsi="Book Antiqua"/>
        </w:rPr>
        <w:t xml:space="preserve"> of age. </w:t>
      </w:r>
      <w:proofErr w:type="gramStart"/>
      <w:r w:rsidR="00151C4D" w:rsidRPr="00A35CEC">
        <w:rPr>
          <w:rFonts w:ascii="Book Antiqua" w:hAnsi="Book Antiqua"/>
        </w:rPr>
        <w:t xml:space="preserve">Individuals </w:t>
      </w:r>
      <w:r w:rsidR="00364AD3" w:rsidRPr="00A35CEC">
        <w:rPr>
          <w:rFonts w:ascii="Book Antiqua" w:hAnsi="Book Antiqua"/>
        </w:rPr>
        <w:t>older</w:t>
      </w:r>
      <w:r w:rsidR="00151C4D" w:rsidRPr="00A35CEC">
        <w:rPr>
          <w:rFonts w:ascii="Book Antiqua" w:hAnsi="Book Antiqua"/>
        </w:rPr>
        <w:t xml:space="preserve"> than 85 were treated as one cohort.</w:t>
      </w:r>
      <w:proofErr w:type="gramEnd"/>
      <w:r w:rsidR="00151C4D" w:rsidRPr="00A35CEC">
        <w:rPr>
          <w:rFonts w:ascii="Book Antiqua" w:hAnsi="Book Antiqua"/>
        </w:rPr>
        <w:t xml:space="preserve"> Each year, one-fifth of the population in each age group, except for 85 and older, was moved to the next age cohort to simulate aging after taking into consideration mortality. Treated patients with </w:t>
      </w:r>
      <w:r w:rsidR="00364AD3" w:rsidRPr="00A35CEC">
        <w:rPr>
          <w:rFonts w:ascii="Book Antiqua" w:hAnsi="Book Antiqua"/>
        </w:rPr>
        <w:t xml:space="preserve">sustained </w:t>
      </w:r>
      <w:proofErr w:type="spellStart"/>
      <w:r w:rsidR="00364AD3" w:rsidRPr="00A35CEC">
        <w:rPr>
          <w:rFonts w:ascii="Book Antiqua" w:hAnsi="Book Antiqua"/>
        </w:rPr>
        <w:t>virological</w:t>
      </w:r>
      <w:proofErr w:type="spellEnd"/>
      <w:r w:rsidR="00364AD3" w:rsidRPr="00A35CEC">
        <w:rPr>
          <w:rFonts w:ascii="Book Antiqua" w:hAnsi="Book Antiqua"/>
        </w:rPr>
        <w:t xml:space="preserve"> response rates </w:t>
      </w:r>
      <w:r w:rsidR="00151C4D" w:rsidRPr="00A35CEC">
        <w:rPr>
          <w:rFonts w:ascii="Book Antiqua" w:hAnsi="Book Antiqua"/>
        </w:rPr>
        <w:t>were considered cured, and they had the same risk of</w:t>
      </w:r>
      <w:r w:rsidR="008B44E9" w:rsidRPr="00A35CEC">
        <w:rPr>
          <w:rFonts w:ascii="Book Antiqua" w:hAnsi="Book Antiqua"/>
        </w:rPr>
        <w:t xml:space="preserve"> hepatocellular carcinoma</w:t>
      </w:r>
      <w:r w:rsidR="00151C4D" w:rsidRPr="00A35CEC">
        <w:rPr>
          <w:rFonts w:ascii="Book Antiqua" w:hAnsi="Book Antiqua"/>
        </w:rPr>
        <w:t xml:space="preserve"> and similar mortality as the general population.</w:t>
      </w:r>
    </w:p>
    <w:p w14:paraId="13B149CD" w14:textId="77777777" w:rsidR="00845A1B" w:rsidRPr="00A35CEC" w:rsidRDefault="00845A1B">
      <w:pPr>
        <w:adjustRightInd w:val="0"/>
        <w:snapToGrid w:val="0"/>
        <w:spacing w:line="360" w:lineRule="auto"/>
        <w:jc w:val="both"/>
        <w:rPr>
          <w:rFonts w:ascii="Book Antiqua" w:hAnsi="Book Antiqua"/>
        </w:rPr>
      </w:pPr>
    </w:p>
    <w:p w14:paraId="3CFE9FCB" w14:textId="77777777" w:rsidR="004F6D51" w:rsidRPr="00A35CEC" w:rsidRDefault="004F6D51">
      <w:pPr>
        <w:pStyle w:val="1"/>
        <w:adjustRightInd w:val="0"/>
        <w:snapToGrid w:val="0"/>
        <w:spacing w:before="0" w:beforeAutospacing="0" w:after="0" w:afterAutospacing="0" w:line="360" w:lineRule="auto"/>
        <w:jc w:val="both"/>
        <w:rPr>
          <w:rFonts w:ascii="Book Antiqua" w:hAnsi="Book Antiqua"/>
          <w:bCs w:val="0"/>
          <w:i/>
          <w:kern w:val="0"/>
          <w:sz w:val="24"/>
          <w:szCs w:val="24"/>
          <w:lang w:val="en-US" w:eastAsia="el-GR"/>
        </w:rPr>
      </w:pPr>
      <w:r w:rsidRPr="00A35CEC">
        <w:rPr>
          <w:rFonts w:ascii="Book Antiqua" w:hAnsi="Book Antiqua"/>
          <w:bCs w:val="0"/>
          <w:i/>
          <w:kern w:val="0"/>
          <w:sz w:val="24"/>
          <w:szCs w:val="24"/>
          <w:lang w:val="en-US" w:eastAsia="el-GR"/>
        </w:rPr>
        <w:t>Research results</w:t>
      </w:r>
    </w:p>
    <w:p w14:paraId="0F450464" w14:textId="66D4029B" w:rsidR="00672BB4" w:rsidRPr="00A35CEC" w:rsidRDefault="00151C4D">
      <w:pPr>
        <w:adjustRightInd w:val="0"/>
        <w:snapToGrid w:val="0"/>
        <w:spacing w:line="360" w:lineRule="auto"/>
        <w:jc w:val="both"/>
        <w:rPr>
          <w:rFonts w:ascii="Book Antiqua" w:hAnsi="Book Antiqua"/>
        </w:rPr>
      </w:pPr>
      <w:r w:rsidRPr="00A35CEC">
        <w:rPr>
          <w:rFonts w:ascii="Book Antiqua" w:hAnsi="Book Antiqua"/>
        </w:rPr>
        <w:t>The analysis show</w:t>
      </w:r>
      <w:r w:rsidR="0079531A" w:rsidRPr="00A35CEC">
        <w:rPr>
          <w:rFonts w:ascii="Book Antiqua" w:hAnsi="Book Antiqua"/>
        </w:rPr>
        <w:t>ed</w:t>
      </w:r>
      <w:r w:rsidRPr="00A35CEC">
        <w:rPr>
          <w:rFonts w:ascii="Book Antiqua" w:hAnsi="Book Antiqua"/>
        </w:rPr>
        <w:t xml:space="preserve"> that while overall </w:t>
      </w:r>
      <w:proofErr w:type="spellStart"/>
      <w:r w:rsidRPr="00A35CEC">
        <w:rPr>
          <w:rFonts w:ascii="Book Antiqua" w:hAnsi="Book Antiqua"/>
        </w:rPr>
        <w:t>HCV</w:t>
      </w:r>
      <w:proofErr w:type="spellEnd"/>
      <w:r w:rsidRPr="00A35CEC">
        <w:rPr>
          <w:rFonts w:ascii="Book Antiqua" w:hAnsi="Book Antiqua"/>
        </w:rPr>
        <w:t xml:space="preserve"> prevalence in Greece would decline, disease burden related to </w:t>
      </w:r>
      <w:proofErr w:type="spellStart"/>
      <w:r w:rsidRPr="00A35CEC">
        <w:rPr>
          <w:rFonts w:ascii="Book Antiqua" w:hAnsi="Book Antiqua"/>
        </w:rPr>
        <w:t>HCV</w:t>
      </w:r>
      <w:proofErr w:type="spellEnd"/>
      <w:r w:rsidRPr="00A35CEC">
        <w:rPr>
          <w:rFonts w:ascii="Book Antiqua" w:hAnsi="Book Antiqua"/>
        </w:rPr>
        <w:t xml:space="preserve"> and associated costs would continue to grow. To achieve the elimination targets</w:t>
      </w:r>
      <w:r w:rsidR="0079531A" w:rsidRPr="00A35CEC">
        <w:rPr>
          <w:rFonts w:ascii="Book Antiqua" w:hAnsi="Book Antiqua"/>
        </w:rPr>
        <w:t>,</w:t>
      </w:r>
      <w:r w:rsidR="008B44E9" w:rsidRPr="00A35CEC">
        <w:rPr>
          <w:rFonts w:ascii="Book Antiqua" w:hAnsi="Book Antiqua"/>
        </w:rPr>
        <w:t xml:space="preserve"> 90</w:t>
      </w:r>
      <w:r w:rsidR="00364AD3" w:rsidRPr="00A35CEC">
        <w:rPr>
          <w:rFonts w:ascii="Book Antiqua" w:hAnsi="Book Antiqua"/>
        </w:rPr>
        <w:t>,</w:t>
      </w:r>
      <w:r w:rsidRPr="00A35CEC">
        <w:rPr>
          <w:rFonts w:ascii="Book Antiqua" w:hAnsi="Book Antiqua"/>
        </w:rPr>
        <w:t xml:space="preserve">000 patients need to be treated </w:t>
      </w:r>
      <w:r w:rsidR="0079531A" w:rsidRPr="00A35CEC">
        <w:rPr>
          <w:rFonts w:ascii="Book Antiqua" w:hAnsi="Book Antiqua"/>
        </w:rPr>
        <w:t xml:space="preserve">between </w:t>
      </w:r>
      <w:r w:rsidRPr="00A35CEC">
        <w:rPr>
          <w:rFonts w:ascii="Book Antiqua" w:hAnsi="Book Antiqua"/>
        </w:rPr>
        <w:t xml:space="preserve">2015-2030.  It was estimated that the investment (direct costs) of the intervention would range </w:t>
      </w:r>
      <w:r w:rsidR="0079531A" w:rsidRPr="00A35CEC">
        <w:rPr>
          <w:rFonts w:ascii="Book Antiqua" w:hAnsi="Book Antiqua"/>
        </w:rPr>
        <w:t>from</w:t>
      </w:r>
      <w:r w:rsidRPr="00A35CEC">
        <w:rPr>
          <w:rFonts w:ascii="Book Antiqua" w:hAnsi="Book Antiqua"/>
        </w:rPr>
        <w:t xml:space="preserve"> </w:t>
      </w:r>
      <w:r w:rsidR="00274B9D" w:rsidRPr="00A35CEC">
        <w:rPr>
          <w:rFonts w:ascii="Book Antiqua" w:eastAsia="Calibri" w:hAnsi="Book Antiqua" w:cs="Arial"/>
        </w:rPr>
        <w:t>€</w:t>
      </w:r>
      <w:r w:rsidRPr="00A35CEC">
        <w:rPr>
          <w:rFonts w:ascii="Book Antiqua" w:hAnsi="Book Antiqua"/>
        </w:rPr>
        <w:t>2.1-2.</w:t>
      </w:r>
      <w:r w:rsidR="00BD5000" w:rsidRPr="00A35CEC">
        <w:rPr>
          <w:rFonts w:ascii="Book Antiqua" w:hAnsi="Book Antiqua"/>
        </w:rPr>
        <w:t>3</w:t>
      </w:r>
      <w:r w:rsidRPr="00A35CEC">
        <w:rPr>
          <w:rFonts w:ascii="Book Antiqua" w:hAnsi="Book Antiqua"/>
        </w:rPr>
        <w:t xml:space="preserve"> billion by 2030</w:t>
      </w:r>
      <w:r w:rsidR="0079531A" w:rsidRPr="00A35CEC">
        <w:rPr>
          <w:rFonts w:ascii="Book Antiqua" w:hAnsi="Book Antiqua"/>
        </w:rPr>
        <w:t>, while</w:t>
      </w:r>
      <w:r w:rsidRPr="00A35CEC">
        <w:rPr>
          <w:rFonts w:ascii="Book Antiqua" w:hAnsi="Book Antiqua"/>
        </w:rPr>
        <w:t xml:space="preserve"> about </w:t>
      </w:r>
      <w:r w:rsidR="00274B9D" w:rsidRPr="00A35CEC">
        <w:rPr>
          <w:rFonts w:ascii="Book Antiqua" w:eastAsia="Calibri" w:hAnsi="Book Antiqua" w:cs="Arial"/>
        </w:rPr>
        <w:t>€</w:t>
      </w:r>
      <w:r w:rsidRPr="00A35CEC">
        <w:rPr>
          <w:rFonts w:ascii="Book Antiqua" w:hAnsi="Book Antiqua"/>
        </w:rPr>
        <w:t>1.1 billion would be lost due to premature deaths or decreased productivity</w:t>
      </w:r>
      <w:r w:rsidR="00CC08C5" w:rsidRPr="00A35CEC">
        <w:rPr>
          <w:rFonts w:ascii="Book Antiqua" w:hAnsi="Book Antiqua"/>
        </w:rPr>
        <w:t xml:space="preserve"> (indirect costs)</w:t>
      </w:r>
      <w:r w:rsidRPr="00A35CEC">
        <w:rPr>
          <w:rFonts w:ascii="Book Antiqua" w:hAnsi="Book Antiqua"/>
        </w:rPr>
        <w:t xml:space="preserve">. </w:t>
      </w:r>
      <w:r w:rsidR="00BD5000" w:rsidRPr="00A35CEC">
        <w:rPr>
          <w:rFonts w:ascii="Book Antiqua" w:hAnsi="Book Antiqua"/>
        </w:rPr>
        <w:t>T</w:t>
      </w:r>
      <w:r w:rsidRPr="00A35CEC">
        <w:rPr>
          <w:rFonts w:ascii="Book Antiqua" w:hAnsi="Book Antiqua"/>
        </w:rPr>
        <w:t xml:space="preserve">he overall cumulative cost of </w:t>
      </w:r>
      <w:proofErr w:type="spellStart"/>
      <w:r w:rsidRPr="00A35CEC">
        <w:rPr>
          <w:rFonts w:ascii="Book Antiqua" w:hAnsi="Book Antiqua"/>
        </w:rPr>
        <w:t>HCV</w:t>
      </w:r>
      <w:proofErr w:type="spellEnd"/>
      <w:r w:rsidRPr="00A35CEC">
        <w:rPr>
          <w:rFonts w:ascii="Book Antiqua" w:hAnsi="Book Antiqua"/>
        </w:rPr>
        <w:t xml:space="preserve"> elimination </w:t>
      </w:r>
      <w:r w:rsidR="00BD5000" w:rsidRPr="00A35CEC">
        <w:rPr>
          <w:rFonts w:ascii="Book Antiqua" w:hAnsi="Book Antiqua"/>
        </w:rPr>
        <w:t xml:space="preserve">in Greece </w:t>
      </w:r>
      <w:r w:rsidRPr="00A35CEC">
        <w:rPr>
          <w:rFonts w:ascii="Book Antiqua" w:hAnsi="Book Antiqua"/>
        </w:rPr>
        <w:t xml:space="preserve">would range </w:t>
      </w:r>
      <w:r w:rsidR="00BD5000" w:rsidRPr="00A35CEC">
        <w:rPr>
          <w:rFonts w:ascii="Book Antiqua" w:hAnsi="Book Antiqua"/>
        </w:rPr>
        <w:t>from</w:t>
      </w:r>
      <w:r w:rsidRPr="00A35CEC">
        <w:rPr>
          <w:rFonts w:ascii="Book Antiqua" w:hAnsi="Book Antiqua"/>
        </w:rPr>
        <w:t xml:space="preserve"> </w:t>
      </w:r>
      <w:r w:rsidR="00274B9D" w:rsidRPr="00A35CEC">
        <w:rPr>
          <w:rFonts w:ascii="Book Antiqua" w:eastAsia="Calibri" w:hAnsi="Book Antiqua" w:cs="Arial"/>
        </w:rPr>
        <w:t>€</w:t>
      </w:r>
      <w:r w:rsidRPr="00A35CEC">
        <w:rPr>
          <w:rFonts w:ascii="Book Antiqua" w:hAnsi="Book Antiqua"/>
        </w:rPr>
        <w:t xml:space="preserve">3.2 and 3.4 billion by 2030. The model showed that the cost per averted </w:t>
      </w:r>
      <w:r w:rsidR="008B44E9" w:rsidRPr="00A35CEC">
        <w:rPr>
          <w:rFonts w:ascii="Book Antiqua" w:eastAsia="Calibri" w:hAnsi="Book Antiqua"/>
        </w:rPr>
        <w:t>disability-adjusted life years</w:t>
      </w:r>
      <w:r w:rsidRPr="00A35CEC">
        <w:rPr>
          <w:rFonts w:ascii="Book Antiqua" w:hAnsi="Book Antiqua"/>
        </w:rPr>
        <w:t xml:space="preserve"> by 2030 would </w:t>
      </w:r>
      <w:r w:rsidR="00BD5000" w:rsidRPr="00A35CEC">
        <w:rPr>
          <w:rFonts w:ascii="Book Antiqua" w:hAnsi="Book Antiqua"/>
        </w:rPr>
        <w:t xml:space="preserve">be </w:t>
      </w:r>
      <w:proofErr w:type="gramStart"/>
      <w:r w:rsidR="00BD5000" w:rsidRPr="00A35CEC">
        <w:rPr>
          <w:rFonts w:ascii="Book Antiqua" w:hAnsi="Book Antiqua"/>
        </w:rPr>
        <w:t>between</w:t>
      </w:r>
      <w:r w:rsidRPr="00A35CEC">
        <w:rPr>
          <w:rFonts w:ascii="Book Antiqua" w:hAnsi="Book Antiqua"/>
        </w:rPr>
        <w:t xml:space="preserve"> </w:t>
      </w:r>
      <w:r w:rsidR="00364AD3" w:rsidRPr="00A35CEC">
        <w:rPr>
          <w:rFonts w:ascii="Book Antiqua" w:hAnsi="Book Antiqua"/>
        </w:rPr>
        <w:t>€</w:t>
      </w:r>
      <w:r w:rsidRPr="00A35CEC">
        <w:rPr>
          <w:rFonts w:ascii="Book Antiqua" w:hAnsi="Book Antiqua"/>
        </w:rPr>
        <w:t>8</w:t>
      </w:r>
      <w:r w:rsidR="00364AD3" w:rsidRPr="00A35CEC">
        <w:rPr>
          <w:rFonts w:ascii="Book Antiqua" w:hAnsi="Book Antiqua"/>
        </w:rPr>
        <w:t>,</w:t>
      </w:r>
      <w:r w:rsidR="008B44E9" w:rsidRPr="00A35CEC">
        <w:rPr>
          <w:rFonts w:ascii="Book Antiqua" w:hAnsi="Book Antiqua"/>
        </w:rPr>
        <w:t>330-</w:t>
      </w:r>
      <w:r w:rsidR="00364AD3" w:rsidRPr="00A35CEC">
        <w:rPr>
          <w:rFonts w:ascii="Book Antiqua" w:hAnsi="Book Antiqua"/>
        </w:rPr>
        <w:t>€</w:t>
      </w:r>
      <w:r w:rsidR="008B44E9" w:rsidRPr="00A35CEC">
        <w:rPr>
          <w:rFonts w:ascii="Book Antiqua" w:hAnsi="Book Antiqua"/>
        </w:rPr>
        <w:t>13</w:t>
      </w:r>
      <w:r w:rsidR="00364AD3" w:rsidRPr="00A35CEC">
        <w:rPr>
          <w:rFonts w:ascii="Book Antiqua" w:hAnsi="Book Antiqua"/>
        </w:rPr>
        <w:t>,</w:t>
      </w:r>
      <w:r w:rsidRPr="00A35CEC">
        <w:rPr>
          <w:rFonts w:ascii="Book Antiqua" w:hAnsi="Book Antiqua"/>
        </w:rPr>
        <w:t>380</w:t>
      </w:r>
      <w:proofErr w:type="gramEnd"/>
      <w:r w:rsidRPr="00A35CEC">
        <w:rPr>
          <w:rFonts w:ascii="Book Antiqua" w:hAnsi="Book Antiqua"/>
        </w:rPr>
        <w:t xml:space="preserve">. </w:t>
      </w:r>
      <w:r w:rsidR="00672BB4" w:rsidRPr="00A35CEC">
        <w:rPr>
          <w:rFonts w:ascii="Book Antiqua" w:hAnsi="Book Antiqua"/>
        </w:rPr>
        <w:t xml:space="preserve">Furthermore, </w:t>
      </w:r>
      <w:r w:rsidR="00364AD3" w:rsidRPr="00A35CEC">
        <w:rPr>
          <w:rFonts w:ascii="Book Antiqua" w:hAnsi="Book Antiqua"/>
        </w:rPr>
        <w:t xml:space="preserve">the </w:t>
      </w:r>
      <w:proofErr w:type="spellStart"/>
      <w:r w:rsidR="00672BB4" w:rsidRPr="00A35CEC">
        <w:rPr>
          <w:rFonts w:ascii="Book Antiqua" w:hAnsi="Book Antiqua"/>
        </w:rPr>
        <w:t>HCV</w:t>
      </w:r>
      <w:proofErr w:type="spellEnd"/>
      <w:r w:rsidR="00672BB4" w:rsidRPr="00A35CEC">
        <w:rPr>
          <w:rFonts w:ascii="Book Antiqua" w:hAnsi="Book Antiqua"/>
        </w:rPr>
        <w:t xml:space="preserve"> elimination strategy </w:t>
      </w:r>
      <w:r w:rsidR="00364AD3" w:rsidRPr="00A35CEC">
        <w:rPr>
          <w:rFonts w:ascii="Book Antiqua" w:hAnsi="Book Antiqua"/>
        </w:rPr>
        <w:t xml:space="preserve">is </w:t>
      </w:r>
      <w:r w:rsidR="00672BB4" w:rsidRPr="00A35CEC">
        <w:rPr>
          <w:rFonts w:ascii="Book Antiqua" w:hAnsi="Book Antiqua"/>
        </w:rPr>
        <w:t>cost-saving</w:t>
      </w:r>
      <w:r w:rsidR="00364AD3" w:rsidRPr="00A35CEC">
        <w:rPr>
          <w:rFonts w:ascii="Book Antiqua" w:hAnsi="Book Antiqua"/>
        </w:rPr>
        <w:t>,</w:t>
      </w:r>
      <w:r w:rsidR="00672BB4" w:rsidRPr="00A35CEC">
        <w:rPr>
          <w:rFonts w:ascii="Book Antiqua" w:hAnsi="Book Antiqua"/>
        </w:rPr>
        <w:t xml:space="preserve"> as </w:t>
      </w:r>
      <w:r w:rsidR="00364AD3" w:rsidRPr="00A35CEC">
        <w:rPr>
          <w:rFonts w:ascii="Book Antiqua" w:hAnsi="Book Antiqua"/>
        </w:rPr>
        <w:t>€</w:t>
      </w:r>
      <w:r w:rsidR="00672BB4" w:rsidRPr="00A35CEC">
        <w:rPr>
          <w:rFonts w:ascii="Book Antiqua" w:hAnsi="Book Antiqua"/>
        </w:rPr>
        <w:t>560-</w:t>
      </w:r>
      <w:r w:rsidR="00364AD3" w:rsidRPr="00A35CEC">
        <w:rPr>
          <w:rFonts w:ascii="Book Antiqua" w:hAnsi="Book Antiqua"/>
        </w:rPr>
        <w:t>€</w:t>
      </w:r>
      <w:r w:rsidR="00672BB4" w:rsidRPr="00A35CEC">
        <w:rPr>
          <w:rFonts w:ascii="Book Antiqua" w:hAnsi="Book Antiqua"/>
        </w:rPr>
        <w:t>895 million would be saved by 2035.</w:t>
      </w:r>
    </w:p>
    <w:p w14:paraId="65C63B67" w14:textId="77777777" w:rsidR="00672BB4" w:rsidRPr="00A35CEC" w:rsidRDefault="00672BB4">
      <w:pPr>
        <w:adjustRightInd w:val="0"/>
        <w:snapToGrid w:val="0"/>
        <w:spacing w:line="360" w:lineRule="auto"/>
        <w:jc w:val="both"/>
        <w:rPr>
          <w:rFonts w:ascii="Book Antiqua" w:hAnsi="Book Antiqua"/>
        </w:rPr>
      </w:pPr>
    </w:p>
    <w:p w14:paraId="742C0B2C" w14:textId="77777777" w:rsidR="004F6D51" w:rsidRPr="00A35CEC" w:rsidRDefault="004F6D51">
      <w:pPr>
        <w:pStyle w:val="1"/>
        <w:adjustRightInd w:val="0"/>
        <w:snapToGrid w:val="0"/>
        <w:spacing w:before="0" w:beforeAutospacing="0" w:after="0" w:afterAutospacing="0" w:line="360" w:lineRule="auto"/>
        <w:jc w:val="both"/>
        <w:rPr>
          <w:rFonts w:ascii="Book Antiqua" w:hAnsi="Book Antiqua"/>
          <w:bCs w:val="0"/>
          <w:i/>
          <w:kern w:val="0"/>
          <w:sz w:val="24"/>
          <w:szCs w:val="24"/>
          <w:lang w:val="en-US" w:eastAsia="el-GR"/>
        </w:rPr>
      </w:pPr>
      <w:r w:rsidRPr="00A35CEC">
        <w:rPr>
          <w:rFonts w:ascii="Book Antiqua" w:hAnsi="Book Antiqua"/>
          <w:bCs w:val="0"/>
          <w:i/>
          <w:kern w:val="0"/>
          <w:sz w:val="24"/>
          <w:szCs w:val="24"/>
          <w:lang w:val="en-US" w:eastAsia="el-GR"/>
        </w:rPr>
        <w:t>Research conclusions</w:t>
      </w:r>
    </w:p>
    <w:p w14:paraId="58B58E7F" w14:textId="13ECC445" w:rsidR="00A74EAD" w:rsidRPr="00A35CEC" w:rsidRDefault="00900D88">
      <w:pPr>
        <w:adjustRightInd w:val="0"/>
        <w:snapToGrid w:val="0"/>
        <w:spacing w:line="360" w:lineRule="auto"/>
        <w:jc w:val="both"/>
        <w:rPr>
          <w:rFonts w:ascii="Book Antiqua" w:hAnsi="Book Antiqua"/>
        </w:rPr>
      </w:pPr>
      <w:r w:rsidRPr="00A35CEC">
        <w:rPr>
          <w:rFonts w:ascii="Book Antiqua" w:hAnsi="Book Antiqua"/>
        </w:rPr>
        <w:t>Our study highlight</w:t>
      </w:r>
      <w:r w:rsidR="000E0CAB" w:rsidRPr="00A35CEC">
        <w:rPr>
          <w:rFonts w:ascii="Book Antiqua" w:hAnsi="Book Antiqua"/>
        </w:rPr>
        <w:t>ed</w:t>
      </w:r>
      <w:r w:rsidRPr="00A35CEC">
        <w:rPr>
          <w:rFonts w:ascii="Book Antiqua" w:hAnsi="Book Antiqua"/>
        </w:rPr>
        <w:t xml:space="preserve"> that without the implementation of large awareness </w:t>
      </w:r>
      <w:r w:rsidR="006B007B" w:rsidRPr="00A35CEC">
        <w:rPr>
          <w:rFonts w:ascii="Book Antiqua" w:hAnsi="Book Antiqua"/>
        </w:rPr>
        <w:t>or</w:t>
      </w:r>
      <w:r w:rsidRPr="00A35CEC">
        <w:rPr>
          <w:rFonts w:ascii="Book Antiqua" w:hAnsi="Book Antiqua"/>
        </w:rPr>
        <w:t xml:space="preserve"> screening programs, </w:t>
      </w:r>
      <w:proofErr w:type="spellStart"/>
      <w:r w:rsidR="000E0CAB" w:rsidRPr="00A35CEC">
        <w:rPr>
          <w:rFonts w:ascii="Book Antiqua" w:hAnsi="Book Antiqua"/>
        </w:rPr>
        <w:t>HCV</w:t>
      </w:r>
      <w:proofErr w:type="spellEnd"/>
      <w:r w:rsidR="000E0CAB" w:rsidRPr="00A35CEC">
        <w:rPr>
          <w:rFonts w:ascii="Book Antiqua" w:hAnsi="Book Antiqua"/>
        </w:rPr>
        <w:t xml:space="preserve"> </w:t>
      </w:r>
      <w:r w:rsidRPr="00A35CEC">
        <w:rPr>
          <w:rFonts w:ascii="Book Antiqua" w:hAnsi="Book Antiqua"/>
        </w:rPr>
        <w:t>elimination cannot be achieved, due to suboptimal treatment coverage. To eliminate the disease</w:t>
      </w:r>
      <w:r w:rsidR="000E0CAB" w:rsidRPr="00A35CEC">
        <w:rPr>
          <w:rFonts w:ascii="Book Antiqua" w:hAnsi="Book Antiqua"/>
        </w:rPr>
        <w:t>,</w:t>
      </w:r>
      <w:r w:rsidRPr="00A35CEC">
        <w:rPr>
          <w:rFonts w:ascii="Book Antiqua" w:hAnsi="Book Antiqua"/>
        </w:rPr>
        <w:t xml:space="preserve"> significant public health reforms should be </w:t>
      </w:r>
      <w:r w:rsidR="000E0CAB" w:rsidRPr="00A35CEC">
        <w:rPr>
          <w:rFonts w:ascii="Book Antiqua" w:hAnsi="Book Antiqua"/>
        </w:rPr>
        <w:t>implemented</w:t>
      </w:r>
      <w:r w:rsidRPr="00A35CEC">
        <w:rPr>
          <w:rFonts w:ascii="Book Antiqua" w:hAnsi="Book Antiqua"/>
        </w:rPr>
        <w:t xml:space="preserve"> (</w:t>
      </w:r>
      <w:r w:rsidR="006B007B" w:rsidRPr="00A35CEC">
        <w:rPr>
          <w:rFonts w:ascii="Book Antiqua" w:hAnsi="Book Antiqua"/>
          <w:i/>
        </w:rPr>
        <w:t>e</w:t>
      </w:r>
      <w:r w:rsidRPr="00A35CEC">
        <w:rPr>
          <w:rFonts w:ascii="Book Antiqua" w:hAnsi="Book Antiqua"/>
          <w:i/>
        </w:rPr>
        <w:t>.g.</w:t>
      </w:r>
      <w:r w:rsidR="008B44E9" w:rsidRPr="00A35CEC">
        <w:rPr>
          <w:rFonts w:ascii="Book Antiqua" w:hAnsi="Book Antiqua"/>
        </w:rPr>
        <w:t>,</w:t>
      </w:r>
      <w:r w:rsidRPr="00A35CEC">
        <w:rPr>
          <w:rFonts w:ascii="Book Antiqua" w:hAnsi="Book Antiqua"/>
        </w:rPr>
        <w:t xml:space="preserve"> </w:t>
      </w:r>
      <w:r w:rsidRPr="00A35CEC">
        <w:rPr>
          <w:rFonts w:ascii="Book Antiqua" w:hAnsi="Book Antiqua"/>
        </w:rPr>
        <w:lastRenderedPageBreak/>
        <w:t xml:space="preserve">enhance harm reduction programs, implement case-finding, linkage to care interventions). </w:t>
      </w:r>
      <w:r w:rsidR="000E0CAB" w:rsidRPr="00A35CEC">
        <w:rPr>
          <w:rFonts w:ascii="Book Antiqua" w:hAnsi="Book Antiqua"/>
        </w:rPr>
        <w:t>Although the e</w:t>
      </w:r>
      <w:r w:rsidRPr="00A35CEC">
        <w:rPr>
          <w:rFonts w:ascii="Book Antiqua" w:hAnsi="Book Antiqua"/>
        </w:rPr>
        <w:t xml:space="preserve">limination of </w:t>
      </w:r>
      <w:proofErr w:type="spellStart"/>
      <w:r w:rsidRPr="00A35CEC">
        <w:rPr>
          <w:rFonts w:ascii="Book Antiqua" w:hAnsi="Book Antiqua"/>
        </w:rPr>
        <w:t>HCV</w:t>
      </w:r>
      <w:proofErr w:type="spellEnd"/>
      <w:r w:rsidRPr="00A35CEC">
        <w:rPr>
          <w:rFonts w:ascii="Book Antiqua" w:hAnsi="Book Antiqua"/>
        </w:rPr>
        <w:t xml:space="preserve"> is a costly investment</w:t>
      </w:r>
      <w:r w:rsidR="000E0CAB" w:rsidRPr="00A35CEC">
        <w:rPr>
          <w:rFonts w:ascii="Book Antiqua" w:hAnsi="Book Antiqua"/>
        </w:rPr>
        <w:t>,</w:t>
      </w:r>
      <w:r w:rsidRPr="00A35CEC">
        <w:rPr>
          <w:rFonts w:ascii="Book Antiqua" w:hAnsi="Book Antiqua"/>
        </w:rPr>
        <w:t xml:space="preserve"> </w:t>
      </w:r>
      <w:r w:rsidR="000E0CAB" w:rsidRPr="00A35CEC">
        <w:rPr>
          <w:rFonts w:ascii="Book Antiqua" w:hAnsi="Book Antiqua"/>
        </w:rPr>
        <w:t xml:space="preserve">our analysis showed that it is also a </w:t>
      </w:r>
      <w:r w:rsidRPr="00A35CEC">
        <w:rPr>
          <w:rFonts w:ascii="Book Antiqua" w:hAnsi="Book Antiqua"/>
        </w:rPr>
        <w:t>cost-saving intervention</w:t>
      </w:r>
      <w:r w:rsidR="006B007B" w:rsidRPr="00A35CEC">
        <w:rPr>
          <w:rFonts w:ascii="Book Antiqua" w:hAnsi="Book Antiqua"/>
        </w:rPr>
        <w:t>, irrespective</w:t>
      </w:r>
      <w:r w:rsidR="000E0CAB" w:rsidRPr="00A35CEC">
        <w:rPr>
          <w:rFonts w:ascii="Book Antiqua" w:hAnsi="Book Antiqua"/>
        </w:rPr>
        <w:t xml:space="preserve"> of</w:t>
      </w:r>
      <w:r w:rsidR="006B007B" w:rsidRPr="00A35CEC">
        <w:rPr>
          <w:rFonts w:ascii="Book Antiqua" w:hAnsi="Book Antiqua"/>
        </w:rPr>
        <w:t xml:space="preserve"> the uncertainty of the future </w:t>
      </w:r>
      <w:r w:rsidR="00364AD3" w:rsidRPr="00A35CEC">
        <w:rPr>
          <w:rFonts w:ascii="Book Antiqua" w:hAnsi="Book Antiqua" w:cs="Arial"/>
        </w:rPr>
        <w:t xml:space="preserve">direct-acting antiviral </w:t>
      </w:r>
      <w:r w:rsidR="006B007B" w:rsidRPr="00A35CEC">
        <w:rPr>
          <w:rFonts w:ascii="Book Antiqua" w:hAnsi="Book Antiqua"/>
        </w:rPr>
        <w:t>cost in Greece,</w:t>
      </w:r>
      <w:r w:rsidR="000E0CAB" w:rsidRPr="00A35CEC">
        <w:rPr>
          <w:rFonts w:ascii="Book Antiqua" w:hAnsi="Book Antiqua"/>
        </w:rPr>
        <w:t xml:space="preserve"> as </w:t>
      </w:r>
      <w:r w:rsidR="001C08B9" w:rsidRPr="00A35CEC">
        <w:rPr>
          <w:rFonts w:ascii="Book Antiqua" w:hAnsi="Book Antiqua"/>
        </w:rPr>
        <w:t>the proposed strategy</w:t>
      </w:r>
      <w:r w:rsidRPr="00A35CEC">
        <w:rPr>
          <w:rFonts w:ascii="Book Antiqua" w:hAnsi="Book Antiqua"/>
        </w:rPr>
        <w:t xml:space="preserve"> reduce</w:t>
      </w:r>
      <w:r w:rsidR="001C08B9" w:rsidRPr="00A35CEC">
        <w:rPr>
          <w:rFonts w:ascii="Book Antiqua" w:hAnsi="Book Antiqua"/>
        </w:rPr>
        <w:t>s</w:t>
      </w:r>
      <w:r w:rsidR="006B007B" w:rsidRPr="00A35CEC">
        <w:rPr>
          <w:rFonts w:ascii="Book Antiqua" w:hAnsi="Book Antiqua"/>
        </w:rPr>
        <w:t xml:space="preserve"> the disease</w:t>
      </w:r>
      <w:r w:rsidRPr="00A35CEC">
        <w:rPr>
          <w:rFonts w:ascii="Book Antiqua" w:hAnsi="Book Antiqua"/>
        </w:rPr>
        <w:t xml:space="preserve"> </w:t>
      </w:r>
      <w:r w:rsidR="006B007B" w:rsidRPr="00A35CEC">
        <w:rPr>
          <w:rFonts w:ascii="Book Antiqua" w:hAnsi="Book Antiqua"/>
        </w:rPr>
        <w:t xml:space="preserve">morbidity and mortality and restores productivity of the </w:t>
      </w:r>
      <w:proofErr w:type="spellStart"/>
      <w:r w:rsidR="006B007B" w:rsidRPr="00A35CEC">
        <w:rPr>
          <w:rFonts w:ascii="Book Antiqua" w:hAnsi="Book Antiqua"/>
        </w:rPr>
        <w:t>HCV</w:t>
      </w:r>
      <w:proofErr w:type="spellEnd"/>
      <w:r w:rsidR="0029711C" w:rsidRPr="00A35CEC">
        <w:rPr>
          <w:rFonts w:ascii="Book Antiqua" w:hAnsi="Book Antiqua"/>
        </w:rPr>
        <w:t>-</w:t>
      </w:r>
      <w:r w:rsidR="006B007B" w:rsidRPr="00A35CEC">
        <w:rPr>
          <w:rFonts w:ascii="Book Antiqua" w:hAnsi="Book Antiqua"/>
        </w:rPr>
        <w:t>infected population.</w:t>
      </w:r>
    </w:p>
    <w:p w14:paraId="482878BA" w14:textId="77777777" w:rsidR="00900D88" w:rsidRPr="00A35CEC" w:rsidRDefault="00900D88">
      <w:pPr>
        <w:adjustRightInd w:val="0"/>
        <w:snapToGrid w:val="0"/>
        <w:spacing w:line="360" w:lineRule="auto"/>
        <w:jc w:val="both"/>
        <w:rPr>
          <w:rFonts w:ascii="Book Antiqua" w:hAnsi="Book Antiqua"/>
        </w:rPr>
      </w:pPr>
    </w:p>
    <w:p w14:paraId="53AC4233" w14:textId="77777777" w:rsidR="004F6D51" w:rsidRPr="00A35CEC" w:rsidRDefault="004F6D51">
      <w:pPr>
        <w:pStyle w:val="1"/>
        <w:adjustRightInd w:val="0"/>
        <w:snapToGrid w:val="0"/>
        <w:spacing w:before="0" w:beforeAutospacing="0" w:after="0" w:afterAutospacing="0" w:line="360" w:lineRule="auto"/>
        <w:jc w:val="both"/>
        <w:rPr>
          <w:rFonts w:ascii="Book Antiqua" w:hAnsi="Book Antiqua"/>
          <w:bCs w:val="0"/>
          <w:i/>
          <w:kern w:val="0"/>
          <w:sz w:val="24"/>
          <w:szCs w:val="24"/>
          <w:lang w:val="en-US" w:eastAsia="el-GR"/>
        </w:rPr>
      </w:pPr>
      <w:r w:rsidRPr="00A35CEC">
        <w:rPr>
          <w:rFonts w:ascii="Book Antiqua" w:hAnsi="Book Antiqua"/>
          <w:bCs w:val="0"/>
          <w:i/>
          <w:kern w:val="0"/>
          <w:sz w:val="24"/>
          <w:szCs w:val="24"/>
          <w:lang w:val="en-US" w:eastAsia="el-GR"/>
        </w:rPr>
        <w:t>Research perspectives</w:t>
      </w:r>
    </w:p>
    <w:p w14:paraId="12747513" w14:textId="77777777" w:rsidR="004F6D51" w:rsidRPr="00A35CEC" w:rsidRDefault="00CC08C5">
      <w:pPr>
        <w:adjustRightInd w:val="0"/>
        <w:snapToGrid w:val="0"/>
        <w:spacing w:line="360" w:lineRule="auto"/>
        <w:jc w:val="both"/>
        <w:rPr>
          <w:rFonts w:ascii="Book Antiqua" w:hAnsi="Book Antiqua"/>
        </w:rPr>
      </w:pPr>
      <w:r w:rsidRPr="00A35CEC">
        <w:rPr>
          <w:rFonts w:ascii="Book Antiqua" w:hAnsi="Book Antiqua"/>
        </w:rPr>
        <w:t xml:space="preserve">Elimination of </w:t>
      </w:r>
      <w:proofErr w:type="spellStart"/>
      <w:r w:rsidRPr="00A35CEC">
        <w:rPr>
          <w:rFonts w:ascii="Book Antiqua" w:hAnsi="Book Antiqua"/>
        </w:rPr>
        <w:t>HCV</w:t>
      </w:r>
      <w:proofErr w:type="spellEnd"/>
      <w:r w:rsidRPr="00A35CEC">
        <w:rPr>
          <w:rFonts w:ascii="Book Antiqua" w:hAnsi="Book Antiqua"/>
        </w:rPr>
        <w:t xml:space="preserve"> is a demanding public health intervention, which poses significant challenges in the Greek health care system. Nevertheless, our analysis highlighted that </w:t>
      </w:r>
      <w:proofErr w:type="spellStart"/>
      <w:r w:rsidRPr="00A35CEC">
        <w:rPr>
          <w:rFonts w:ascii="Book Antiqua" w:hAnsi="Book Antiqua"/>
        </w:rPr>
        <w:t>HCV</w:t>
      </w:r>
      <w:proofErr w:type="spellEnd"/>
      <w:r w:rsidRPr="00A35CEC">
        <w:rPr>
          <w:rFonts w:ascii="Book Antiqua" w:hAnsi="Book Antiqua"/>
        </w:rPr>
        <w:t xml:space="preserve"> elimination is </w:t>
      </w:r>
      <w:r w:rsidR="00B90383" w:rsidRPr="00A35CEC">
        <w:rPr>
          <w:rFonts w:ascii="Book Antiqua" w:hAnsi="Book Antiqua"/>
        </w:rPr>
        <w:t>a cost</w:t>
      </w:r>
      <w:r w:rsidRPr="00A35CEC">
        <w:rPr>
          <w:rFonts w:ascii="Book Antiqua" w:hAnsi="Book Antiqua"/>
        </w:rPr>
        <w:t>-saving intervention.</w:t>
      </w:r>
      <w:bookmarkEnd w:id="84"/>
      <w:bookmarkEnd w:id="85"/>
    </w:p>
    <w:bookmarkEnd w:id="86"/>
    <w:bookmarkEnd w:id="87"/>
    <w:bookmarkEnd w:id="88"/>
    <w:bookmarkEnd w:id="89"/>
    <w:bookmarkEnd w:id="90"/>
    <w:bookmarkEnd w:id="91"/>
    <w:bookmarkEnd w:id="92"/>
    <w:bookmarkEnd w:id="93"/>
    <w:bookmarkEnd w:id="94"/>
    <w:bookmarkEnd w:id="95"/>
    <w:bookmarkEnd w:id="96"/>
    <w:bookmarkEnd w:id="97"/>
    <w:bookmarkEnd w:id="98"/>
    <w:p w14:paraId="0E71ECEA" w14:textId="552DC8C6" w:rsidR="00CA0B99" w:rsidRPr="00A35CEC" w:rsidRDefault="008B44E9">
      <w:pPr>
        <w:pStyle w:val="1"/>
        <w:adjustRightInd w:val="0"/>
        <w:snapToGrid w:val="0"/>
        <w:spacing w:before="0" w:beforeAutospacing="0" w:after="0" w:afterAutospacing="0" w:line="360" w:lineRule="auto"/>
        <w:jc w:val="both"/>
        <w:rPr>
          <w:rFonts w:ascii="Book Antiqua" w:hAnsi="Book Antiqua" w:cs="Arial"/>
          <w:sz w:val="24"/>
          <w:szCs w:val="24"/>
          <w:lang w:val="en-US"/>
        </w:rPr>
      </w:pPr>
      <w:r w:rsidRPr="00A35CEC">
        <w:rPr>
          <w:rFonts w:ascii="Book Antiqua" w:hAnsi="Book Antiqua"/>
          <w:bCs w:val="0"/>
          <w:kern w:val="0"/>
          <w:sz w:val="24"/>
          <w:szCs w:val="24"/>
          <w:lang w:val="en-US" w:eastAsia="el-GR"/>
        </w:rPr>
        <w:br w:type="page"/>
      </w:r>
      <w:r w:rsidR="001758DC" w:rsidRPr="00A35CEC">
        <w:rPr>
          <w:rFonts w:ascii="Book Antiqua" w:hAnsi="Book Antiqua" w:cs="Arial"/>
          <w:sz w:val="24"/>
          <w:szCs w:val="24"/>
          <w:lang w:val="en-US"/>
        </w:rPr>
        <w:lastRenderedPageBreak/>
        <w:t>R</w:t>
      </w:r>
      <w:r w:rsidR="00E80987" w:rsidRPr="00A35CEC">
        <w:rPr>
          <w:rFonts w:ascii="Book Antiqua" w:hAnsi="Book Antiqua" w:cs="Arial"/>
          <w:sz w:val="24"/>
          <w:szCs w:val="24"/>
          <w:lang w:val="en-US"/>
        </w:rPr>
        <w:t>EFERENCES</w:t>
      </w:r>
    </w:p>
    <w:p w14:paraId="6ADD9FCB" w14:textId="0EFCA01D" w:rsidR="00505538" w:rsidRPr="00A35CEC" w:rsidRDefault="00505538">
      <w:pPr>
        <w:pStyle w:val="EndNoteBibliography"/>
        <w:adjustRightInd w:val="0"/>
        <w:snapToGrid w:val="0"/>
        <w:spacing w:line="360" w:lineRule="auto"/>
        <w:jc w:val="both"/>
        <w:rPr>
          <w:rFonts w:ascii="Book Antiqua" w:hAnsi="Book Antiqua"/>
          <w:noProof w:val="0"/>
        </w:rPr>
      </w:pPr>
      <w:bookmarkStart w:id="99" w:name="_Hlk533084683"/>
      <w:proofErr w:type="gramStart"/>
      <w:r w:rsidRPr="00A35CEC">
        <w:rPr>
          <w:rFonts w:ascii="Book Antiqua" w:hAnsi="Book Antiqua"/>
          <w:noProof w:val="0"/>
        </w:rPr>
        <w:t>1 </w:t>
      </w:r>
      <w:r w:rsidRPr="00A35CEC">
        <w:rPr>
          <w:rFonts w:ascii="Book Antiqua" w:hAnsi="Book Antiqua"/>
          <w:b/>
          <w:bCs/>
          <w:noProof w:val="0"/>
        </w:rPr>
        <w:t xml:space="preserve">Polaris Observatory </w:t>
      </w:r>
      <w:proofErr w:type="spellStart"/>
      <w:r w:rsidRPr="00A35CEC">
        <w:rPr>
          <w:rFonts w:ascii="Book Antiqua" w:hAnsi="Book Antiqua"/>
          <w:b/>
          <w:bCs/>
          <w:noProof w:val="0"/>
        </w:rPr>
        <w:t>HCV</w:t>
      </w:r>
      <w:proofErr w:type="spellEnd"/>
      <w:r w:rsidRPr="00A35CEC">
        <w:rPr>
          <w:rFonts w:ascii="Book Antiqua" w:hAnsi="Book Antiqua"/>
          <w:b/>
          <w:bCs/>
          <w:noProof w:val="0"/>
        </w:rPr>
        <w:t xml:space="preserve"> Collaborators</w:t>
      </w:r>
      <w:r w:rsidRPr="00A35CEC">
        <w:rPr>
          <w:rFonts w:ascii="Book Antiqua" w:hAnsi="Book Antiqua"/>
          <w:noProof w:val="0"/>
        </w:rPr>
        <w:t>.</w:t>
      </w:r>
      <w:proofErr w:type="gramEnd"/>
      <w:r w:rsidRPr="00A35CEC">
        <w:rPr>
          <w:rFonts w:ascii="Book Antiqua" w:hAnsi="Book Antiqua"/>
          <w:noProof w:val="0"/>
        </w:rPr>
        <w:t xml:space="preserve"> Global prevalence and genotype distribution of hepatitis C virus infection in 2015: a modelling study. </w:t>
      </w:r>
      <w:r w:rsidRPr="00A35CEC">
        <w:rPr>
          <w:rFonts w:ascii="Book Antiqua" w:hAnsi="Book Antiqua"/>
          <w:i/>
          <w:iCs/>
          <w:noProof w:val="0"/>
        </w:rPr>
        <w:t xml:space="preserve">Lancet Gastroenterol Hepatol </w:t>
      </w:r>
      <w:r w:rsidRPr="00A35CEC">
        <w:rPr>
          <w:rFonts w:ascii="Book Antiqua" w:hAnsi="Book Antiqua"/>
          <w:noProof w:val="0"/>
        </w:rPr>
        <w:t>2017; </w:t>
      </w:r>
      <w:r w:rsidRPr="00A35CEC">
        <w:rPr>
          <w:rFonts w:ascii="Book Antiqua" w:hAnsi="Book Antiqua"/>
          <w:b/>
          <w:bCs/>
          <w:noProof w:val="0"/>
        </w:rPr>
        <w:t>2</w:t>
      </w:r>
      <w:r w:rsidRPr="00A35CEC">
        <w:rPr>
          <w:rFonts w:ascii="Book Antiqua" w:hAnsi="Book Antiqua"/>
          <w:noProof w:val="0"/>
        </w:rPr>
        <w:t>: 161-176 [PMID: 28404132 DΟI: 10.1016/S2468-1253(16)30181-9]</w:t>
      </w:r>
    </w:p>
    <w:p w14:paraId="5348115A" w14:textId="3EE5B343"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2 </w:t>
      </w:r>
      <w:r w:rsidRPr="00A35CEC">
        <w:rPr>
          <w:rFonts w:ascii="Book Antiqua" w:hAnsi="Book Antiqua"/>
          <w:b/>
          <w:bCs/>
          <w:noProof w:val="0"/>
        </w:rPr>
        <w:t>Lozano R</w:t>
      </w:r>
      <w:r w:rsidRPr="00A35CEC">
        <w:rPr>
          <w:rFonts w:ascii="Book Antiqua" w:hAnsi="Book Antiqua"/>
          <w:noProof w:val="0"/>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w:t>
      </w:r>
      <w:r w:rsidRPr="00A35CEC">
        <w:rPr>
          <w:rFonts w:ascii="Book Antiqua" w:hAnsi="Book Antiqua"/>
          <w:noProof w:val="0"/>
        </w:rPr>
        <w:lastRenderedPageBreak/>
        <w:t>regional mortality from 235 causes of death for 20 age groups in 1990 and 2010: a systematic analysis for the Global Burden of Disease Study 2010. </w:t>
      </w:r>
      <w:r w:rsidRPr="00A35CEC">
        <w:rPr>
          <w:rFonts w:ascii="Book Antiqua" w:hAnsi="Book Antiqua"/>
          <w:i/>
          <w:iCs/>
          <w:noProof w:val="0"/>
        </w:rPr>
        <w:t>Lancet</w:t>
      </w:r>
      <w:r w:rsidRPr="00A35CEC">
        <w:rPr>
          <w:rFonts w:ascii="Book Antiqua" w:hAnsi="Book Antiqua"/>
          <w:noProof w:val="0"/>
        </w:rPr>
        <w:t> 2012; </w:t>
      </w:r>
      <w:r w:rsidRPr="00A35CEC">
        <w:rPr>
          <w:rFonts w:ascii="Book Antiqua" w:hAnsi="Book Antiqua"/>
          <w:b/>
          <w:bCs/>
          <w:noProof w:val="0"/>
        </w:rPr>
        <w:t>380</w:t>
      </w:r>
      <w:r w:rsidRPr="00A35CEC">
        <w:rPr>
          <w:rFonts w:ascii="Book Antiqua" w:hAnsi="Book Antiqua"/>
          <w:noProof w:val="0"/>
        </w:rPr>
        <w:t>: 2095-2128 [PMID: 23245604 DΟI: 10.1016/S0140-6736(12)61728-0]</w:t>
      </w:r>
    </w:p>
    <w:p w14:paraId="0ECE8509" w14:textId="5DA96DB9"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3 </w:t>
      </w:r>
      <w:r w:rsidRPr="00A35CEC">
        <w:rPr>
          <w:rFonts w:ascii="Book Antiqua" w:hAnsi="Book Antiqua"/>
          <w:b/>
          <w:bCs/>
          <w:noProof w:val="0"/>
        </w:rPr>
        <w:t>Davis GL</w:t>
      </w:r>
      <w:r w:rsidRPr="00A35CEC">
        <w:rPr>
          <w:rFonts w:ascii="Book Antiqua" w:hAnsi="Book Antiqua"/>
          <w:noProof w:val="0"/>
        </w:rPr>
        <w:t>, Alter MJ, El-Serag H, Poynard T, Jennings LW. Aging of hepatitis C virus (HCV)-infected persons in the United States: a multiple cohort model of HCV prevalence and disease progression. </w:t>
      </w:r>
      <w:r w:rsidRPr="00A35CEC">
        <w:rPr>
          <w:rFonts w:ascii="Book Antiqua" w:hAnsi="Book Antiqua"/>
          <w:i/>
          <w:iCs/>
          <w:noProof w:val="0"/>
        </w:rPr>
        <w:t>Gastroenterology</w:t>
      </w:r>
      <w:r w:rsidRPr="00A35CEC">
        <w:rPr>
          <w:rFonts w:ascii="Book Antiqua" w:hAnsi="Book Antiqua"/>
          <w:noProof w:val="0"/>
        </w:rPr>
        <w:t> 2010; </w:t>
      </w:r>
      <w:r w:rsidRPr="00A35CEC">
        <w:rPr>
          <w:rFonts w:ascii="Book Antiqua" w:hAnsi="Book Antiqua"/>
          <w:b/>
          <w:bCs/>
          <w:noProof w:val="0"/>
        </w:rPr>
        <w:t>138</w:t>
      </w:r>
      <w:r w:rsidRPr="00A35CEC">
        <w:rPr>
          <w:rFonts w:ascii="Book Antiqua" w:hAnsi="Book Antiqua"/>
          <w:noProof w:val="0"/>
        </w:rPr>
        <w:t>: 513-521, 521.e1-521.e6 [PMID: 19861128 DΟI: 10.1053/j.gastro.2009.09.067]</w:t>
      </w:r>
    </w:p>
    <w:p w14:paraId="23D26DDB" w14:textId="48A39AD7"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4 </w:t>
      </w:r>
      <w:r w:rsidRPr="00A35CEC">
        <w:rPr>
          <w:rFonts w:ascii="Book Antiqua" w:hAnsi="Book Antiqua"/>
          <w:b/>
          <w:bCs/>
          <w:noProof w:val="0"/>
        </w:rPr>
        <w:t>Thein HH</w:t>
      </w:r>
      <w:r w:rsidRPr="00A35CEC">
        <w:rPr>
          <w:rFonts w:ascii="Book Antiqua" w:hAnsi="Book Antiqua"/>
          <w:noProof w:val="0"/>
        </w:rPr>
        <w:t>, Yi Q, Dore GJ, Krahn MD. Estimation of stage-specific fibrosis progression rates in chronic hepatitis C virus infection: a meta-analysis and meta-regression. </w:t>
      </w:r>
      <w:r w:rsidRPr="00A35CEC">
        <w:rPr>
          <w:rFonts w:ascii="Book Antiqua" w:hAnsi="Book Antiqua"/>
          <w:i/>
          <w:iCs/>
          <w:noProof w:val="0"/>
        </w:rPr>
        <w:t>Hepatology</w:t>
      </w:r>
      <w:r w:rsidRPr="00A35CEC">
        <w:rPr>
          <w:rFonts w:ascii="Book Antiqua" w:hAnsi="Book Antiqua"/>
          <w:noProof w:val="0"/>
        </w:rPr>
        <w:t> 2008; </w:t>
      </w:r>
      <w:r w:rsidRPr="00A35CEC">
        <w:rPr>
          <w:rFonts w:ascii="Book Antiqua" w:hAnsi="Book Antiqua"/>
          <w:b/>
          <w:bCs/>
          <w:noProof w:val="0"/>
        </w:rPr>
        <w:t>48</w:t>
      </w:r>
      <w:r w:rsidRPr="00A35CEC">
        <w:rPr>
          <w:rFonts w:ascii="Book Antiqua" w:hAnsi="Book Antiqua"/>
          <w:noProof w:val="0"/>
        </w:rPr>
        <w:t>: 418-431 [PMID: 18563841 DΟI: 10.1002/hep.22375]</w:t>
      </w:r>
    </w:p>
    <w:p w14:paraId="5ACD3E41" w14:textId="1E1DFEFB"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5 </w:t>
      </w:r>
      <w:r w:rsidRPr="00A35CEC">
        <w:rPr>
          <w:rFonts w:ascii="Book Antiqua" w:hAnsi="Book Antiqua"/>
          <w:b/>
          <w:bCs/>
          <w:noProof w:val="0"/>
        </w:rPr>
        <w:t>Feld JJ</w:t>
      </w:r>
      <w:r w:rsidRPr="00A35CEC">
        <w:rPr>
          <w:rFonts w:ascii="Book Antiqua" w:hAnsi="Book Antiqua"/>
          <w:noProof w:val="0"/>
        </w:rPr>
        <w:t>, Kowdley KV, Coakley E, Sigal S, Nelson DR, Crawford D, Weiland O, Aguilar H, Xiong J, Pilot-Matias T, DaSilva-Tillmann B, Larsen L, Podsadecki T, Bernstein B. Treatment of HCV with ABT-450/r-ombitasvir and dasabuvir with ribavirin. </w:t>
      </w:r>
      <w:r w:rsidRPr="00A35CEC">
        <w:rPr>
          <w:rFonts w:ascii="Book Antiqua" w:hAnsi="Book Antiqua"/>
          <w:i/>
          <w:iCs/>
          <w:noProof w:val="0"/>
        </w:rPr>
        <w:t>N Engl J Med</w:t>
      </w:r>
      <w:r w:rsidRPr="00A35CEC">
        <w:rPr>
          <w:rFonts w:ascii="Book Antiqua" w:hAnsi="Book Antiqua"/>
          <w:noProof w:val="0"/>
        </w:rPr>
        <w:t> 2014; </w:t>
      </w:r>
      <w:r w:rsidRPr="00A35CEC">
        <w:rPr>
          <w:rFonts w:ascii="Book Antiqua" w:hAnsi="Book Antiqua"/>
          <w:b/>
          <w:bCs/>
          <w:noProof w:val="0"/>
        </w:rPr>
        <w:t>370</w:t>
      </w:r>
      <w:r w:rsidRPr="00A35CEC">
        <w:rPr>
          <w:rFonts w:ascii="Book Antiqua" w:hAnsi="Book Antiqua"/>
          <w:noProof w:val="0"/>
        </w:rPr>
        <w:t>: 1594-1603 [PMID: 24720703 DΟI: 10.1056/NEJMoa1315722]</w:t>
      </w:r>
    </w:p>
    <w:p w14:paraId="0EDA1956" w14:textId="65B5FB21"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6 </w:t>
      </w:r>
      <w:r w:rsidRPr="00A35CEC">
        <w:rPr>
          <w:rFonts w:ascii="Book Antiqua" w:hAnsi="Book Antiqua"/>
          <w:b/>
          <w:bCs/>
          <w:noProof w:val="0"/>
        </w:rPr>
        <w:t>Sulkowski MS</w:t>
      </w:r>
      <w:r w:rsidRPr="00A35CEC">
        <w:rPr>
          <w:rFonts w:ascii="Book Antiqua" w:hAnsi="Book Antiqua"/>
          <w:noProof w:val="0"/>
        </w:rPr>
        <w:t>, Gardiner DF, Rodriguez-Torres M, Reddy KR, Hassanein T, Jacobson I, Lawitz E, Lok AS, Hinestrosa F, Thuluvath PJ, Schwartz H, Nelson DR, Everson GT, Eley T, Wind-Rotolo M, Huang SP, Gao M, Hernandez D, McPhee F, Sherman D, Hindes R, Symonds W, Pasquinelli C, Grasela DM; AI444040 Study Group. Daclatasvir plus sofosbuvir for previously treated or untreated chronic HCV infection. </w:t>
      </w:r>
      <w:r w:rsidRPr="00A35CEC">
        <w:rPr>
          <w:rFonts w:ascii="Book Antiqua" w:hAnsi="Book Antiqua"/>
          <w:i/>
          <w:iCs/>
          <w:noProof w:val="0"/>
        </w:rPr>
        <w:t>N Engl J Med</w:t>
      </w:r>
      <w:r w:rsidRPr="00A35CEC">
        <w:rPr>
          <w:rFonts w:ascii="Book Antiqua" w:hAnsi="Book Antiqua"/>
          <w:noProof w:val="0"/>
        </w:rPr>
        <w:t> 2014; </w:t>
      </w:r>
      <w:r w:rsidRPr="00A35CEC">
        <w:rPr>
          <w:rFonts w:ascii="Book Antiqua" w:hAnsi="Book Antiqua"/>
          <w:b/>
          <w:bCs/>
          <w:noProof w:val="0"/>
        </w:rPr>
        <w:t>370</w:t>
      </w:r>
      <w:r w:rsidRPr="00A35CEC">
        <w:rPr>
          <w:rFonts w:ascii="Book Antiqua" w:hAnsi="Book Antiqua"/>
          <w:noProof w:val="0"/>
        </w:rPr>
        <w:t>: 211-221 [PMID: 24428467 DΟI: 10.1056/NEJMoa1306218]</w:t>
      </w:r>
    </w:p>
    <w:p w14:paraId="600AA3EC" w14:textId="0C5C6494"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7 </w:t>
      </w:r>
      <w:r w:rsidRPr="00A35CEC">
        <w:rPr>
          <w:rFonts w:ascii="Book Antiqua" w:hAnsi="Book Antiqua"/>
          <w:b/>
          <w:bCs/>
          <w:noProof w:val="0"/>
        </w:rPr>
        <w:t>WHO</w:t>
      </w:r>
      <w:r w:rsidRPr="00A35CEC">
        <w:rPr>
          <w:rFonts w:ascii="Book Antiqua" w:hAnsi="Book Antiqua"/>
          <w:bCs/>
          <w:noProof w:val="0"/>
        </w:rPr>
        <w:t>. Global Health Sector Strategy on viral hepatitis,</w:t>
      </w:r>
      <w:r w:rsidRPr="00A35CEC">
        <w:rPr>
          <w:rFonts w:ascii="Book Antiqua" w:hAnsi="Book Antiqua"/>
          <w:noProof w:val="0"/>
        </w:rPr>
        <w:t> 2016-2021. 2015; 2015 Available from: https://www.who.int/hepatitis/strategy2016-2021/ghss-hep/en/</w:t>
      </w:r>
    </w:p>
    <w:p w14:paraId="133F90F8" w14:textId="675BF85B"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8 </w:t>
      </w:r>
      <w:r w:rsidRPr="00A35CEC">
        <w:rPr>
          <w:rFonts w:ascii="Book Antiqua" w:hAnsi="Book Antiqua"/>
          <w:b/>
          <w:bCs/>
          <w:noProof w:val="0"/>
        </w:rPr>
        <w:t>Aggarwal R</w:t>
      </w:r>
      <w:r w:rsidRPr="00A35CEC">
        <w:rPr>
          <w:rFonts w:ascii="Book Antiqua" w:hAnsi="Book Antiqua"/>
          <w:noProof w:val="0"/>
        </w:rPr>
        <w:t>, Chen Q, Goel A, Seguy N, Pendse R, Ayer T, Chhatwal J. Cost-effectiveness of hepatitis C treatment using generic direct-acting antivirals available in India. </w:t>
      </w:r>
      <w:r w:rsidRPr="00A35CEC">
        <w:rPr>
          <w:rFonts w:ascii="Book Antiqua" w:hAnsi="Book Antiqua"/>
          <w:i/>
          <w:iCs/>
          <w:noProof w:val="0"/>
        </w:rPr>
        <w:t>PLoS One</w:t>
      </w:r>
      <w:r w:rsidRPr="00A35CEC">
        <w:rPr>
          <w:rFonts w:ascii="Book Antiqua" w:hAnsi="Book Antiqua"/>
          <w:noProof w:val="0"/>
        </w:rPr>
        <w:t> 2017; </w:t>
      </w:r>
      <w:r w:rsidRPr="00A35CEC">
        <w:rPr>
          <w:rFonts w:ascii="Book Antiqua" w:hAnsi="Book Antiqua"/>
          <w:b/>
          <w:bCs/>
          <w:noProof w:val="0"/>
        </w:rPr>
        <w:t>12</w:t>
      </w:r>
      <w:r w:rsidRPr="00A35CEC">
        <w:rPr>
          <w:rFonts w:ascii="Book Antiqua" w:hAnsi="Book Antiqua"/>
          <w:noProof w:val="0"/>
        </w:rPr>
        <w:t>: e0176503 [PMID: 28520728</w:t>
      </w:r>
      <w:r w:rsidR="00EB4ACA" w:rsidRPr="00A35CEC">
        <w:rPr>
          <w:rFonts w:ascii="Book Antiqua" w:hAnsi="Book Antiqua"/>
          <w:noProof w:val="0"/>
        </w:rPr>
        <w:t xml:space="preserve"> DΟI: 10.1371/journal.pone.0176503</w:t>
      </w:r>
      <w:r w:rsidRPr="00A35CEC">
        <w:rPr>
          <w:rFonts w:ascii="Book Antiqua" w:hAnsi="Book Antiqua"/>
          <w:noProof w:val="0"/>
        </w:rPr>
        <w:t>]</w:t>
      </w:r>
    </w:p>
    <w:p w14:paraId="08A933B8" w14:textId="5DCDBF1D"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9 </w:t>
      </w:r>
      <w:r w:rsidRPr="00A35CEC">
        <w:rPr>
          <w:rFonts w:ascii="Book Antiqua" w:hAnsi="Book Antiqua"/>
          <w:b/>
          <w:bCs/>
          <w:noProof w:val="0"/>
        </w:rPr>
        <w:t>Chahal HS</w:t>
      </w:r>
      <w:r w:rsidRPr="00A35CEC">
        <w:rPr>
          <w:rFonts w:ascii="Book Antiqua" w:hAnsi="Book Antiqua"/>
          <w:noProof w:val="0"/>
        </w:rPr>
        <w:t>, Marseille EA, Tice JA, Pearson SD, Ollendorf DA, Fox RK, Kahn JG. Cost-effectiveness of Early Treatment of Hepatitis C Virus Genotype 1 by Stage of Liver Fibrosis in a US Treatment-Naive Population. </w:t>
      </w:r>
      <w:r w:rsidRPr="00A35CEC">
        <w:rPr>
          <w:rFonts w:ascii="Book Antiqua" w:hAnsi="Book Antiqua"/>
          <w:i/>
          <w:iCs/>
          <w:noProof w:val="0"/>
        </w:rPr>
        <w:t>JAMA Intern Med</w:t>
      </w:r>
      <w:r w:rsidRPr="00A35CEC">
        <w:rPr>
          <w:rFonts w:ascii="Book Antiqua" w:hAnsi="Book Antiqua"/>
          <w:noProof w:val="0"/>
        </w:rPr>
        <w:t> 2016; </w:t>
      </w:r>
      <w:r w:rsidRPr="00A35CEC">
        <w:rPr>
          <w:rFonts w:ascii="Book Antiqua" w:hAnsi="Book Antiqua"/>
          <w:b/>
          <w:bCs/>
          <w:noProof w:val="0"/>
        </w:rPr>
        <w:t>176</w:t>
      </w:r>
      <w:r w:rsidRPr="00A35CEC">
        <w:rPr>
          <w:rFonts w:ascii="Book Antiqua" w:hAnsi="Book Antiqua"/>
          <w:noProof w:val="0"/>
        </w:rPr>
        <w:t>: 65-73 [PMID: 26595724</w:t>
      </w:r>
      <w:r w:rsidR="00EB4ACA" w:rsidRPr="00A35CEC">
        <w:rPr>
          <w:rFonts w:ascii="Book Antiqua" w:hAnsi="Book Antiqua"/>
          <w:noProof w:val="0"/>
        </w:rPr>
        <w:t xml:space="preserve"> DΟI: 10.1001/jamainternmed.2015.6011</w:t>
      </w:r>
      <w:r w:rsidRPr="00A35CEC">
        <w:rPr>
          <w:rFonts w:ascii="Book Antiqua" w:hAnsi="Book Antiqua"/>
          <w:noProof w:val="0"/>
        </w:rPr>
        <w:t>]</w:t>
      </w:r>
    </w:p>
    <w:p w14:paraId="5E31C11B" w14:textId="36ADAF7E"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lastRenderedPageBreak/>
        <w:t>10 </w:t>
      </w:r>
      <w:r w:rsidRPr="00A35CEC">
        <w:rPr>
          <w:rFonts w:ascii="Book Antiqua" w:hAnsi="Book Antiqua"/>
          <w:b/>
          <w:bCs/>
          <w:noProof w:val="0"/>
        </w:rPr>
        <w:t>Younossi ZM</w:t>
      </w:r>
      <w:r w:rsidRPr="00A35CEC">
        <w:rPr>
          <w:rFonts w:ascii="Book Antiqua" w:hAnsi="Book Antiqua"/>
          <w:noProof w:val="0"/>
        </w:rPr>
        <w:t>, Tanaka A, Eguchi Y, Henry L, Beckerman R, Mizokami M. Treatment of hepatitis C virus leads to economic gains related to reduction in cases of hepatocellular carcinoma and decompensated cirrhosis in Japan. </w:t>
      </w:r>
      <w:r w:rsidRPr="00A35CEC">
        <w:rPr>
          <w:rFonts w:ascii="Book Antiqua" w:hAnsi="Book Antiqua"/>
          <w:i/>
          <w:iCs/>
          <w:noProof w:val="0"/>
        </w:rPr>
        <w:t>J Viral Hepat</w:t>
      </w:r>
      <w:r w:rsidRPr="00A35CEC">
        <w:rPr>
          <w:rFonts w:ascii="Book Antiqua" w:hAnsi="Book Antiqua"/>
          <w:noProof w:val="0"/>
        </w:rPr>
        <w:t> 2018; </w:t>
      </w:r>
      <w:r w:rsidRPr="00A35CEC">
        <w:rPr>
          <w:rFonts w:ascii="Book Antiqua" w:hAnsi="Book Antiqua"/>
          <w:b/>
          <w:bCs/>
          <w:noProof w:val="0"/>
        </w:rPr>
        <w:t>25</w:t>
      </w:r>
      <w:r w:rsidRPr="00A35CEC">
        <w:rPr>
          <w:rFonts w:ascii="Book Antiqua" w:hAnsi="Book Antiqua"/>
          <w:noProof w:val="0"/>
        </w:rPr>
        <w:t>: 945-951 [PMID: 29478258</w:t>
      </w:r>
      <w:r w:rsidR="00EB4ACA" w:rsidRPr="00A35CEC">
        <w:rPr>
          <w:rFonts w:ascii="Book Antiqua" w:hAnsi="Book Antiqua"/>
          <w:noProof w:val="0"/>
        </w:rPr>
        <w:t xml:space="preserve"> DΟI: 10.1111/jvh.12886</w:t>
      </w:r>
      <w:r w:rsidRPr="00A35CEC">
        <w:rPr>
          <w:rFonts w:ascii="Book Antiqua" w:hAnsi="Book Antiqua"/>
          <w:noProof w:val="0"/>
        </w:rPr>
        <w:t>]</w:t>
      </w:r>
    </w:p>
    <w:p w14:paraId="35CA098B" w14:textId="4CE8C70C"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11 </w:t>
      </w:r>
      <w:r w:rsidRPr="00A35CEC">
        <w:rPr>
          <w:rFonts w:ascii="Book Antiqua" w:hAnsi="Book Antiqua"/>
          <w:b/>
          <w:bCs/>
          <w:noProof w:val="0"/>
        </w:rPr>
        <w:t>He T</w:t>
      </w:r>
      <w:r w:rsidRPr="00A35CEC">
        <w:rPr>
          <w:rFonts w:ascii="Book Antiqua" w:hAnsi="Book Antiqua"/>
          <w:noProof w:val="0"/>
        </w:rPr>
        <w:t>, Lopez-Olivo MA, Hur C, Chhatwal J. Systematic review: cost-effectiveness of direct-acting antivirals for treatment of hepatitis C genotypes 2-6. </w:t>
      </w:r>
      <w:r w:rsidRPr="00A35CEC">
        <w:rPr>
          <w:rFonts w:ascii="Book Antiqua" w:hAnsi="Book Antiqua"/>
          <w:i/>
          <w:iCs/>
          <w:noProof w:val="0"/>
        </w:rPr>
        <w:t>Aliment Pharmacol Ther</w:t>
      </w:r>
      <w:r w:rsidR="00EB4ACA" w:rsidRPr="00A35CEC">
        <w:rPr>
          <w:rFonts w:ascii="Book Antiqua" w:hAnsi="Book Antiqua"/>
          <w:i/>
          <w:iCs/>
          <w:noProof w:val="0"/>
        </w:rPr>
        <w:t xml:space="preserve"> </w:t>
      </w:r>
      <w:r w:rsidRPr="00A35CEC">
        <w:rPr>
          <w:rFonts w:ascii="Book Antiqua" w:hAnsi="Book Antiqua"/>
          <w:noProof w:val="0"/>
        </w:rPr>
        <w:t>2017; </w:t>
      </w:r>
      <w:r w:rsidRPr="00A35CEC">
        <w:rPr>
          <w:rFonts w:ascii="Book Antiqua" w:hAnsi="Book Antiqua"/>
          <w:b/>
          <w:bCs/>
          <w:noProof w:val="0"/>
        </w:rPr>
        <w:t>46</w:t>
      </w:r>
      <w:r w:rsidRPr="00A35CEC">
        <w:rPr>
          <w:rFonts w:ascii="Book Antiqua" w:hAnsi="Book Antiqua"/>
          <w:noProof w:val="0"/>
        </w:rPr>
        <w:t>: 711-721 [PMID: 28836278</w:t>
      </w:r>
      <w:r w:rsidR="00EB4ACA" w:rsidRPr="00A35CEC">
        <w:rPr>
          <w:rFonts w:ascii="Book Antiqua" w:hAnsi="Book Antiqua"/>
          <w:noProof w:val="0"/>
        </w:rPr>
        <w:t xml:space="preserve"> DΟI: 10.1111/apt.14271</w:t>
      </w:r>
      <w:r w:rsidRPr="00A35CEC">
        <w:rPr>
          <w:rFonts w:ascii="Book Antiqua" w:hAnsi="Book Antiqua"/>
          <w:noProof w:val="0"/>
        </w:rPr>
        <w:t>]</w:t>
      </w:r>
    </w:p>
    <w:p w14:paraId="22DCE015" w14:textId="23D9941B"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12 </w:t>
      </w:r>
      <w:r w:rsidRPr="00A35CEC">
        <w:rPr>
          <w:rFonts w:ascii="Book Antiqua" w:hAnsi="Book Antiqua"/>
          <w:b/>
          <w:bCs/>
          <w:noProof w:val="0"/>
        </w:rPr>
        <w:t>Samur S</w:t>
      </w:r>
      <w:r w:rsidRPr="00A35CEC">
        <w:rPr>
          <w:rFonts w:ascii="Book Antiqua" w:hAnsi="Book Antiqua"/>
          <w:noProof w:val="0"/>
        </w:rPr>
        <w:t>, Kues B, Ayer T, Roberts MS, Kanwal F, Hur C, Donnell DMS, Chung RT, Chhatwal J. Cost Effectiveness of Pre- vs Post-Liver Transplant Hepatitis C Treatment With Direct-Acting Antivirals. </w:t>
      </w:r>
      <w:r w:rsidRPr="00A35CEC">
        <w:rPr>
          <w:rFonts w:ascii="Book Antiqua" w:hAnsi="Book Antiqua"/>
          <w:i/>
          <w:iCs/>
          <w:noProof w:val="0"/>
        </w:rPr>
        <w:t>Clin Gastroenterol Hepatol</w:t>
      </w:r>
      <w:r w:rsidRPr="00A35CEC">
        <w:rPr>
          <w:rFonts w:ascii="Book Antiqua" w:hAnsi="Book Antiqua"/>
          <w:noProof w:val="0"/>
        </w:rPr>
        <w:t> 2018; </w:t>
      </w:r>
      <w:r w:rsidRPr="00A35CEC">
        <w:rPr>
          <w:rFonts w:ascii="Book Antiqua" w:hAnsi="Book Antiqua"/>
          <w:b/>
          <w:bCs/>
          <w:noProof w:val="0"/>
        </w:rPr>
        <w:t>16</w:t>
      </w:r>
      <w:r w:rsidRPr="00A35CEC">
        <w:rPr>
          <w:rFonts w:ascii="Book Antiqua" w:hAnsi="Book Antiqua"/>
          <w:noProof w:val="0"/>
        </w:rPr>
        <w:t>: 115-122.e10 [PMID: 28634131</w:t>
      </w:r>
      <w:r w:rsidR="00EB4ACA" w:rsidRPr="00A35CEC">
        <w:rPr>
          <w:rFonts w:ascii="Book Antiqua" w:hAnsi="Book Antiqua"/>
          <w:noProof w:val="0"/>
        </w:rPr>
        <w:t xml:space="preserve"> DΟI: 10.1016/j.cgh.2017.06.024</w:t>
      </w:r>
      <w:r w:rsidRPr="00A35CEC">
        <w:rPr>
          <w:rFonts w:ascii="Book Antiqua" w:hAnsi="Book Antiqua"/>
          <w:noProof w:val="0"/>
        </w:rPr>
        <w:t>]</w:t>
      </w:r>
    </w:p>
    <w:p w14:paraId="0E8D3D27" w14:textId="3CBD19BE"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13 </w:t>
      </w:r>
      <w:r w:rsidRPr="00A35CEC">
        <w:rPr>
          <w:rFonts w:ascii="Book Antiqua" w:hAnsi="Book Antiqua"/>
          <w:b/>
          <w:bCs/>
          <w:noProof w:val="0"/>
        </w:rPr>
        <w:t>Saraswat V</w:t>
      </w:r>
      <w:r w:rsidRPr="00A35CEC">
        <w:rPr>
          <w:rFonts w:ascii="Book Antiqua" w:hAnsi="Book Antiqua"/>
          <w:noProof w:val="0"/>
        </w:rPr>
        <w:t>, Norris S, de Knegt RJ, Sanchez Avila JF, Sonderup M, Zuckerman E, Arkkila P, Stedman C, Acharya S, Aho I, Anand AC, Andersson MI, Arendt V, Baatarkhuu O, Barclay K, Ben-Ari Z, Bergin C, Bessone F, Blach S, Blokhina N, Brunton CR, Choudhuri G, Chulanov V, Cisneros L, Croes EA, Dahgwahdorj YA, Dalgard O, Daruich JR, Dashdorj NR, Davaadorj D, de Vree M, Estes C, Flisiak R, Gadano AC, Gane E, Halota W, Hatzakis A, Henderson C, Hoffmann P, Hornell J, Houlihan D, Hrusovsky S, Jarčuška P, Kershenobich D, Kostrzewska K, Kristian P, Leshno M, Lurie Y, Mahomed A, Mamonova N, Mendez-Sanchez N, Mossong J, Nurmukhametova E, Nymadawa P, Oltman M, Oyunbileg J, Oyunsuren Ts, Papatheodoridis G, Pimenov N, Prabdial-Sing N, Prins M, Puri P, Radke S, Rakhmanova A, Razavi H, Razavi-Shearer K, Reesink HW, Ridruejo E, Safadi R, Sagalova O, Sanduijav R, Schréter I, Seguin-Devaux C, Shah SR, Shestakova I, Shevaldin A, Shibolet O, Sokolov S, Souliotis K, Spearman CW, Staub T, Strebkova EA, Struck D, Tomasiewicz K, Undram L, van der Meer AJ, van Santen D, Veldhuijzen I, Villamil FG, Willemse S, Zuure FR, Silva MO, Sypsa V, Gower E. Historical epidemiology of hepatitis C virus (HCV) in select countries - volume 2. </w:t>
      </w:r>
      <w:r w:rsidRPr="00A35CEC">
        <w:rPr>
          <w:rFonts w:ascii="Book Antiqua" w:hAnsi="Book Antiqua"/>
          <w:i/>
          <w:iCs/>
          <w:noProof w:val="0"/>
        </w:rPr>
        <w:t>J Viral Hepat</w:t>
      </w:r>
      <w:r w:rsidRPr="00A35CEC">
        <w:rPr>
          <w:rFonts w:ascii="Book Antiqua" w:hAnsi="Book Antiqua"/>
          <w:noProof w:val="0"/>
        </w:rPr>
        <w:t> 2015; </w:t>
      </w:r>
      <w:r w:rsidRPr="00A35CEC">
        <w:rPr>
          <w:rFonts w:ascii="Book Antiqua" w:hAnsi="Book Antiqua"/>
          <w:b/>
          <w:bCs/>
          <w:noProof w:val="0"/>
        </w:rPr>
        <w:t xml:space="preserve">22 </w:t>
      </w:r>
      <w:r w:rsidRPr="00A35CEC">
        <w:rPr>
          <w:rFonts w:ascii="Book Antiqua" w:hAnsi="Book Antiqua"/>
          <w:bCs/>
          <w:noProof w:val="0"/>
        </w:rPr>
        <w:t>Suppl 1</w:t>
      </w:r>
      <w:r w:rsidRPr="00A35CEC">
        <w:rPr>
          <w:rFonts w:ascii="Book Antiqua" w:hAnsi="Book Antiqua"/>
          <w:noProof w:val="0"/>
        </w:rPr>
        <w:t>: 6-25 [PMID: 25560839</w:t>
      </w:r>
      <w:r w:rsidR="00EB4ACA" w:rsidRPr="00A35CEC">
        <w:rPr>
          <w:noProof w:val="0"/>
        </w:rPr>
        <w:t xml:space="preserve"> </w:t>
      </w:r>
      <w:r w:rsidR="00EB4ACA" w:rsidRPr="00A35CEC">
        <w:rPr>
          <w:rFonts w:ascii="Book Antiqua" w:hAnsi="Book Antiqua"/>
          <w:noProof w:val="0"/>
        </w:rPr>
        <w:t>DΟI: 10.1111/jvh.12350</w:t>
      </w:r>
      <w:r w:rsidRPr="00A35CEC">
        <w:rPr>
          <w:rFonts w:ascii="Book Antiqua" w:hAnsi="Book Antiqua"/>
          <w:noProof w:val="0"/>
        </w:rPr>
        <w:t>]</w:t>
      </w:r>
    </w:p>
    <w:p w14:paraId="5B6FCB7F" w14:textId="551DE8DD"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14 </w:t>
      </w:r>
      <w:r w:rsidRPr="00A35CEC">
        <w:rPr>
          <w:rFonts w:ascii="Book Antiqua" w:hAnsi="Book Antiqua"/>
          <w:b/>
          <w:bCs/>
          <w:noProof w:val="0"/>
        </w:rPr>
        <w:t>Gountas I</w:t>
      </w:r>
      <w:r w:rsidRPr="00A35CEC">
        <w:rPr>
          <w:rFonts w:ascii="Book Antiqua" w:hAnsi="Book Antiqua"/>
          <w:noProof w:val="0"/>
        </w:rPr>
        <w:t xml:space="preserve">, Sypsa V, Papatheodoridis G, Souliotis G, Razavi H, Hatzakis A. Is elimination of HCV possible in a country with low diagnostic rate and moderate HCV prevalence?: The </w:t>
      </w:r>
      <w:r w:rsidRPr="00A35CEC">
        <w:rPr>
          <w:rFonts w:ascii="Book Antiqua" w:hAnsi="Book Antiqua"/>
          <w:noProof w:val="0"/>
        </w:rPr>
        <w:lastRenderedPageBreak/>
        <w:t>case of Greece. </w:t>
      </w:r>
      <w:r w:rsidRPr="00A35CEC">
        <w:rPr>
          <w:rFonts w:ascii="Book Antiqua" w:hAnsi="Book Antiqua"/>
          <w:i/>
          <w:iCs/>
          <w:noProof w:val="0"/>
        </w:rPr>
        <w:t>J Gastroenterol Hepatol</w:t>
      </w:r>
      <w:r w:rsidRPr="00A35CEC">
        <w:rPr>
          <w:rFonts w:ascii="Book Antiqua" w:hAnsi="Book Antiqua"/>
          <w:noProof w:val="0"/>
        </w:rPr>
        <w:t> 2017; </w:t>
      </w:r>
      <w:r w:rsidRPr="00A35CEC">
        <w:rPr>
          <w:rFonts w:ascii="Book Antiqua" w:hAnsi="Book Antiqua"/>
          <w:b/>
          <w:bCs/>
          <w:noProof w:val="0"/>
        </w:rPr>
        <w:t>32</w:t>
      </w:r>
      <w:r w:rsidRPr="00A35CEC">
        <w:rPr>
          <w:rFonts w:ascii="Book Antiqua" w:hAnsi="Book Antiqua"/>
          <w:noProof w:val="0"/>
        </w:rPr>
        <w:t>: 466-472 [PMID: 27403912</w:t>
      </w:r>
      <w:r w:rsidR="00C75B8B" w:rsidRPr="00A35CEC">
        <w:rPr>
          <w:rFonts w:ascii="Book Antiqua" w:hAnsi="Book Antiqua"/>
          <w:noProof w:val="0"/>
        </w:rPr>
        <w:t xml:space="preserve"> DΟI: 10.1111/jgh.13485</w:t>
      </w:r>
      <w:r w:rsidRPr="00A35CEC">
        <w:rPr>
          <w:rFonts w:ascii="Book Antiqua" w:hAnsi="Book Antiqua"/>
          <w:noProof w:val="0"/>
        </w:rPr>
        <w:t>]</w:t>
      </w:r>
    </w:p>
    <w:p w14:paraId="6ADEA82B" w14:textId="535B2332"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15 </w:t>
      </w:r>
      <w:r w:rsidRPr="00A35CEC">
        <w:rPr>
          <w:rFonts w:ascii="Book Antiqua" w:hAnsi="Book Antiqua"/>
          <w:b/>
          <w:bCs/>
          <w:noProof w:val="0"/>
        </w:rPr>
        <w:t>Gane E</w:t>
      </w:r>
      <w:r w:rsidRPr="00A35CEC">
        <w:rPr>
          <w:rFonts w:ascii="Book Antiqua" w:hAnsi="Book Antiqua"/>
          <w:noProof w:val="0"/>
        </w:rPr>
        <w:t>, Kershenobich D, Seguin-Devaux C, Kristian P, Aho I, Dalgard O, Shestakova I, Nymadawa P, Blach S, Acharya S, Anand AC, Andersson MI, Arendt V, Arkkila P, Baatarkhuu O, Barclay K, Ben-Ari Z, Bergin C, Bessone F, Blokhina N, Brunton CR, Choudhuri G, Chulanov V, Cisneros L, Croes EA, Dahgwahdorj YA, Daruich JR, Dashdorj NR, Davaadorj D, de Knegt RJ, de Vree M, Gadano AC, Gower E, Halota W, Hatzakis A, Henderson C, Hoffmann P, Hornell J, Houlihan D, Hrusovsky S, Jarčuška P, Kostrzewska K, Leshno M, Lurie Y, Mahomed A, Mamonova N, Mendez-Sanchez N, Mossong J, Norris S, Nurmukhametova E, Oltman M, Oyunbileg J, Oyunsuren Ts, Papatheodoridis G, Pimenov N, Prins M, Puri P, Radke S, Rakhmanova A, Razavi H, Razavi-Shearer K, Reesink HW, Ridruejo E, Safadi R, Sagalova O, Sanchez Avila JF, Sanduijav R, Saraswat V, Schréter I, Shah SR, Shevaldin A, Shibolet O, Silva MO, Sokolov S, Sonderup M, Souliotis K, Spearman CW, Staub T, Stedman C, Strebkova EA, Struck D, Sypsa V, Tomasiewicz K, Undram L, van der Meer AJ, van Santen D, Veldhuijzen I, Villamil FG, Willemse S, Zuckerman E, Zuure FR, Prabdial-Sing N, Flisiak R, Estes C. Strategies to manage hepatitis C virus (HCV) infection disease burden - volume 2. </w:t>
      </w:r>
      <w:r w:rsidRPr="00A35CEC">
        <w:rPr>
          <w:rFonts w:ascii="Book Antiqua" w:hAnsi="Book Antiqua"/>
          <w:i/>
          <w:iCs/>
          <w:noProof w:val="0"/>
        </w:rPr>
        <w:t>J Viral Hepat</w:t>
      </w:r>
      <w:r w:rsidRPr="00A35CEC">
        <w:rPr>
          <w:rFonts w:ascii="Book Antiqua" w:hAnsi="Book Antiqua"/>
          <w:noProof w:val="0"/>
        </w:rPr>
        <w:t> 2015; </w:t>
      </w:r>
      <w:r w:rsidRPr="00A35CEC">
        <w:rPr>
          <w:rFonts w:ascii="Book Antiqua" w:hAnsi="Book Antiqua"/>
          <w:b/>
          <w:bCs/>
          <w:noProof w:val="0"/>
        </w:rPr>
        <w:t xml:space="preserve">22 </w:t>
      </w:r>
      <w:r w:rsidRPr="00A35CEC">
        <w:rPr>
          <w:rFonts w:ascii="Book Antiqua" w:hAnsi="Book Antiqua"/>
          <w:bCs/>
          <w:noProof w:val="0"/>
        </w:rPr>
        <w:t>Suppl 1</w:t>
      </w:r>
      <w:r w:rsidRPr="00A35CEC">
        <w:rPr>
          <w:rFonts w:ascii="Book Antiqua" w:hAnsi="Book Antiqua"/>
          <w:noProof w:val="0"/>
        </w:rPr>
        <w:t>: 46-73 [PMID: 25560841</w:t>
      </w:r>
      <w:r w:rsidR="00C75B8B" w:rsidRPr="00A35CEC">
        <w:rPr>
          <w:noProof w:val="0"/>
        </w:rPr>
        <w:t xml:space="preserve"> </w:t>
      </w:r>
      <w:r w:rsidR="00C75B8B" w:rsidRPr="00A35CEC">
        <w:rPr>
          <w:rFonts w:ascii="Book Antiqua" w:hAnsi="Book Antiqua"/>
          <w:noProof w:val="0"/>
        </w:rPr>
        <w:t>DΟI: 10.1111/jvh.12352</w:t>
      </w:r>
      <w:r w:rsidRPr="00A35CEC">
        <w:rPr>
          <w:rFonts w:ascii="Book Antiqua" w:hAnsi="Book Antiqua"/>
          <w:noProof w:val="0"/>
        </w:rPr>
        <w:t>]</w:t>
      </w:r>
    </w:p>
    <w:p w14:paraId="7AE65C13" w14:textId="0BE677F8"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16 </w:t>
      </w:r>
      <w:r w:rsidRPr="00A35CEC">
        <w:rPr>
          <w:rFonts w:ascii="Book Antiqua" w:hAnsi="Book Antiqua"/>
          <w:b/>
          <w:bCs/>
          <w:noProof w:val="0"/>
        </w:rPr>
        <w:t>Wedemeyer H</w:t>
      </w:r>
      <w:r w:rsidRPr="00A35CEC">
        <w:rPr>
          <w:rFonts w:ascii="Book Antiqua" w:hAnsi="Book Antiqua"/>
          <w:noProof w:val="0"/>
        </w:rPr>
        <w:t xml:space="preserve">, Duberg AS, Buti M, Rosenberg WM, Frankova S, Esmat G, Örmeci N, Van Vlierberghe H, Gschwantler M, Akarca U, Aleman S, Balık I, Berg T, Bihl F, Bilodeau M, Blasco AJ, Brandão Mello CE, Bruggmann P, Calinas F, Calleja JL, Cheinquer H, Christensen PB, Clausen M, Coelho HS, Cornberg M, Cramp ME, Dore GJ, Doss W, El-Sayed MH, Ergör G, Estes C, Falconer K, Félix J, Ferraz ML, Ferreira PR, García-Samaniego J, Gerstoft J, Giria JA, Gonçales FL Jr, Guimarães Pessôa M, Hézode C, Hindman SJ, Hofer H, Husa P, Idilman R, Kåberg M, Kaita KD, Kautz A, Kaymakoglu S, Krajden M, Krarup H, Laleman W, Lavanchy D, Lázaro P, Marinho RT, Marotta P, Mauss S, Mendes Correa MC, Moreno C, Müllhaupt B, Myers RP, Nemecek V, Øvrehus AL, Parkes J, Peltekian KM, Ramji A, Razavi H, Reis N, Roberts SK, Roudot-Thoraval F, Ryder SD, Sarmento-Castro R, Sarrazin C, Semela D, Sherman M, Shiha GE, Sperl J, Stärkel P, Stauber RE, Thompson AJ, Urbanek P, Van Damme P, van Thiel I, Vandijck D, Vogel W, Waked I, Weis N, Wiegand J, Yosry A, </w:t>
      </w:r>
      <w:r w:rsidRPr="00A35CEC">
        <w:rPr>
          <w:rFonts w:ascii="Book Antiqua" w:hAnsi="Book Antiqua"/>
          <w:noProof w:val="0"/>
        </w:rPr>
        <w:lastRenderedPageBreak/>
        <w:t>Zekry A, Negro F, Sievert W, Gower E. Strategies to manage hepatitis C virus (HCV) disease burden. </w:t>
      </w:r>
      <w:r w:rsidRPr="00A35CEC">
        <w:rPr>
          <w:rFonts w:ascii="Book Antiqua" w:hAnsi="Book Antiqua"/>
          <w:i/>
          <w:iCs/>
          <w:noProof w:val="0"/>
        </w:rPr>
        <w:t>J Viral Hepat</w:t>
      </w:r>
      <w:r w:rsidRPr="00A35CEC">
        <w:rPr>
          <w:rFonts w:ascii="Book Antiqua" w:hAnsi="Book Antiqua"/>
          <w:noProof w:val="0"/>
        </w:rPr>
        <w:t> 2014; </w:t>
      </w:r>
      <w:r w:rsidRPr="00A35CEC">
        <w:rPr>
          <w:rFonts w:ascii="Book Antiqua" w:hAnsi="Book Antiqua"/>
          <w:b/>
          <w:bCs/>
          <w:noProof w:val="0"/>
        </w:rPr>
        <w:t xml:space="preserve">21 </w:t>
      </w:r>
      <w:r w:rsidRPr="00A35CEC">
        <w:rPr>
          <w:rFonts w:ascii="Book Antiqua" w:hAnsi="Book Antiqua"/>
          <w:bCs/>
          <w:noProof w:val="0"/>
        </w:rPr>
        <w:t>Suppl 1</w:t>
      </w:r>
      <w:r w:rsidRPr="00A35CEC">
        <w:rPr>
          <w:rFonts w:ascii="Book Antiqua" w:hAnsi="Book Antiqua"/>
          <w:noProof w:val="0"/>
        </w:rPr>
        <w:t>: 60-89 [PMID: 24713006</w:t>
      </w:r>
      <w:r w:rsidR="00C75B8B" w:rsidRPr="00A35CEC">
        <w:rPr>
          <w:rFonts w:ascii="Book Antiqua" w:hAnsi="Book Antiqua"/>
          <w:noProof w:val="0"/>
        </w:rPr>
        <w:t xml:space="preserve"> DΟI: 10.1111/jvh.12249</w:t>
      </w:r>
      <w:r w:rsidRPr="00A35CEC">
        <w:rPr>
          <w:rFonts w:ascii="Book Antiqua" w:hAnsi="Book Antiqua"/>
          <w:noProof w:val="0"/>
        </w:rPr>
        <w:t>]</w:t>
      </w:r>
    </w:p>
    <w:p w14:paraId="726738D0" w14:textId="0E18DF4F"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17 </w:t>
      </w:r>
      <w:r w:rsidR="00C75B8B" w:rsidRPr="00A35CEC">
        <w:rPr>
          <w:rFonts w:ascii="Book Antiqua" w:hAnsi="Book Antiqua"/>
          <w:b/>
          <w:bCs/>
          <w:noProof w:val="0"/>
        </w:rPr>
        <w:t>Gountas I</w:t>
      </w:r>
      <w:r w:rsidRPr="00A35CEC">
        <w:rPr>
          <w:rFonts w:ascii="Book Antiqua" w:hAnsi="Book Antiqua"/>
          <w:b/>
          <w:bCs/>
          <w:noProof w:val="0"/>
        </w:rPr>
        <w:t>,</w:t>
      </w:r>
      <w:r w:rsidRPr="00A35CEC">
        <w:rPr>
          <w:rFonts w:ascii="Book Antiqua" w:hAnsi="Book Antiqua"/>
          <w:noProof w:val="0"/>
        </w:rPr>
        <w:t> </w:t>
      </w:r>
      <w:r w:rsidR="00C75B8B" w:rsidRPr="00A35CEC">
        <w:rPr>
          <w:rFonts w:ascii="Book Antiqua" w:hAnsi="Book Antiqua"/>
          <w:noProof w:val="0"/>
        </w:rPr>
        <w:t>Sypsa V, Delladetsima I, Tassopoulos N, Papatheodoridis G</w:t>
      </w:r>
      <w:r w:rsidRPr="00A35CEC">
        <w:rPr>
          <w:rFonts w:ascii="Book Antiqua" w:hAnsi="Book Antiqua"/>
          <w:noProof w:val="0"/>
        </w:rPr>
        <w:t xml:space="preserve">, Hatzakis A. The Impact of Age on Fibrosis Progression in Chronic Hepatitis C Patients. </w:t>
      </w:r>
      <w:r w:rsidRPr="00A35CEC">
        <w:rPr>
          <w:rFonts w:ascii="Book Antiqua" w:hAnsi="Book Antiqua"/>
          <w:i/>
          <w:noProof w:val="0"/>
        </w:rPr>
        <w:t>EASL Barcelona</w:t>
      </w:r>
      <w:r w:rsidR="00C75B8B" w:rsidRPr="00A35CEC">
        <w:rPr>
          <w:rFonts w:ascii="Book Antiqua" w:hAnsi="Book Antiqua"/>
          <w:noProof w:val="0"/>
        </w:rPr>
        <w:t xml:space="preserve"> 2016; </w:t>
      </w:r>
      <w:r w:rsidR="00C75B8B" w:rsidRPr="00A35CEC">
        <w:rPr>
          <w:rFonts w:ascii="Book Antiqua" w:hAnsi="Book Antiqua"/>
          <w:b/>
          <w:noProof w:val="0"/>
        </w:rPr>
        <w:t>64</w:t>
      </w:r>
      <w:r w:rsidR="00C75B8B" w:rsidRPr="00A35CEC">
        <w:rPr>
          <w:rFonts w:ascii="Book Antiqua" w:hAnsi="Book Antiqua"/>
          <w:noProof w:val="0"/>
        </w:rPr>
        <w:t>: S459-S460</w:t>
      </w:r>
      <w:r w:rsidRPr="00A35CEC">
        <w:rPr>
          <w:rFonts w:ascii="Book Antiqua" w:hAnsi="Book Antiqua"/>
          <w:noProof w:val="0"/>
        </w:rPr>
        <w:t xml:space="preserve"> [DOI: 10.1016/S0168-8278(16)00769-8]</w:t>
      </w:r>
    </w:p>
    <w:p w14:paraId="7CFB83C3" w14:textId="19A73BA7"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18 </w:t>
      </w:r>
      <w:r w:rsidRPr="00A35CEC">
        <w:rPr>
          <w:rFonts w:ascii="Book Antiqua" w:hAnsi="Book Antiqua"/>
          <w:b/>
          <w:bCs/>
          <w:noProof w:val="0"/>
        </w:rPr>
        <w:t>Hatzakis A</w:t>
      </w:r>
      <w:r w:rsidRPr="00A35CEC">
        <w:rPr>
          <w:rFonts w:ascii="Book Antiqua" w:hAnsi="Book Antiqua"/>
          <w:noProof w:val="0"/>
        </w:rPr>
        <w:t>, Chulanov V, Gadano AC, Bergin C, Ben-Ari Z, Mossong J, Schréter I, Baatarkhuu O, Acharya S, Aho I, Anand AC, Andersson MI, Arendt V, Arkkila P, Barclay K, Bessone F, Blach S, Blokhina N, Brunton CR, Choudhuri G, Cisneros L, Croes EA, Dahgwahdorj YA, Dalgard O, Daruich JR, Dashdorj NR, Davaadorj D, de Knegt RJ, de Vree M, Estes C, Flisiak R, Gane E, Gower E, Halota W, Henderson C, Hoffmann P, Hornell J, Houlihan D, Hrusovsky S, Jarčuška P, Kershenobich D, Kostrzewska K, Kristian P, Leshno M, Lurie Y, Mahomed A, Mamonova N, Mendez-Sanchez N, Norris S, Nurmukhametova E, Nymadawa P, Oltman M, Oyunbileg J, Oyunsuren Ts, Papatheodoridis G, Pimenov N, Prabdial-Sing N, Prins M, Radke S, Rakhmanova A, Razavi-Shearer K, Reesink HW, Ridruejo E, Safadi R, Sagalova O, Sanchez Avila JF, Sanduijav R, Saraswat V, Seguin-Devaux C, Shah SR, Shestakova I, Shevaldin A, Shibolet O, Silva MO, Sokolov S, Sonderup M, Souliotis K, Spearman CW, Staub T, Stedman C, Strebkova EA, Struck D, Sypsa V, Tomasiewicz K, Undram L, van der Meer AJ, van Santen D, Veldhuijzen I, Villamil FG, Willemse S, Zuckerman E, Zuure FR, Puri P, Razavi H. The present and future disease burden of hepatitis C virus (HCV) infections with today's treatment paradigm - volume 2. </w:t>
      </w:r>
      <w:r w:rsidRPr="00A35CEC">
        <w:rPr>
          <w:rFonts w:ascii="Book Antiqua" w:hAnsi="Book Antiqua"/>
          <w:i/>
          <w:iCs/>
          <w:noProof w:val="0"/>
        </w:rPr>
        <w:t>J Viral Hepat</w:t>
      </w:r>
      <w:r w:rsidRPr="00A35CEC">
        <w:rPr>
          <w:rFonts w:ascii="Book Antiqua" w:hAnsi="Book Antiqua"/>
          <w:noProof w:val="0"/>
        </w:rPr>
        <w:t> 2015; </w:t>
      </w:r>
      <w:r w:rsidRPr="00A35CEC">
        <w:rPr>
          <w:rFonts w:ascii="Book Antiqua" w:hAnsi="Book Antiqua"/>
          <w:b/>
          <w:bCs/>
          <w:noProof w:val="0"/>
        </w:rPr>
        <w:t xml:space="preserve">22 </w:t>
      </w:r>
      <w:r w:rsidRPr="00A35CEC">
        <w:rPr>
          <w:rFonts w:ascii="Book Antiqua" w:hAnsi="Book Antiqua"/>
          <w:bCs/>
          <w:noProof w:val="0"/>
        </w:rPr>
        <w:t>Suppl 1</w:t>
      </w:r>
      <w:r w:rsidRPr="00A35CEC">
        <w:rPr>
          <w:rFonts w:ascii="Book Antiqua" w:hAnsi="Book Antiqua"/>
          <w:noProof w:val="0"/>
        </w:rPr>
        <w:t>: 26-45 [PMID: 25560840</w:t>
      </w:r>
      <w:r w:rsidR="00C75B8B" w:rsidRPr="00A35CEC">
        <w:rPr>
          <w:noProof w:val="0"/>
        </w:rPr>
        <w:t xml:space="preserve"> </w:t>
      </w:r>
      <w:r w:rsidR="00C75B8B" w:rsidRPr="00A35CEC">
        <w:rPr>
          <w:rFonts w:ascii="Book Antiqua" w:hAnsi="Book Antiqua"/>
          <w:noProof w:val="0"/>
        </w:rPr>
        <w:t>DΟI: 10.1111/jvh.12351</w:t>
      </w:r>
      <w:r w:rsidRPr="00A35CEC">
        <w:rPr>
          <w:rFonts w:ascii="Book Antiqua" w:hAnsi="Book Antiqua"/>
          <w:noProof w:val="0"/>
        </w:rPr>
        <w:t>]</w:t>
      </w:r>
    </w:p>
    <w:p w14:paraId="57FAC7F3" w14:textId="60F2B468"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19 </w:t>
      </w:r>
      <w:r w:rsidRPr="00A35CEC">
        <w:rPr>
          <w:rFonts w:ascii="Book Antiqua" w:hAnsi="Book Antiqua"/>
          <w:b/>
          <w:bCs/>
          <w:noProof w:val="0"/>
        </w:rPr>
        <w:t>Souliotis K</w:t>
      </w:r>
      <w:r w:rsidRPr="00A35CEC">
        <w:rPr>
          <w:rFonts w:ascii="Book Antiqua" w:hAnsi="Book Antiqua"/>
          <w:noProof w:val="0"/>
        </w:rPr>
        <w:t>, Papageorgiou M, Politi A, Frangos N, Tountas Y. Estimating the Fiscal Effects of Public Pharmaceutical Expenditure Reduction in Greece. </w:t>
      </w:r>
      <w:r w:rsidRPr="00A35CEC">
        <w:rPr>
          <w:rFonts w:ascii="Book Antiqua" w:hAnsi="Book Antiqua"/>
          <w:i/>
          <w:iCs/>
          <w:noProof w:val="0"/>
        </w:rPr>
        <w:t>Front Public Health</w:t>
      </w:r>
      <w:r w:rsidRPr="00A35CEC">
        <w:rPr>
          <w:rFonts w:ascii="Book Antiqua" w:hAnsi="Book Antiqua"/>
          <w:noProof w:val="0"/>
        </w:rPr>
        <w:t> 2015; </w:t>
      </w:r>
      <w:r w:rsidRPr="00A35CEC">
        <w:rPr>
          <w:rFonts w:ascii="Book Antiqua" w:hAnsi="Book Antiqua"/>
          <w:b/>
          <w:bCs/>
          <w:noProof w:val="0"/>
        </w:rPr>
        <w:t>3</w:t>
      </w:r>
      <w:r w:rsidRPr="00A35CEC">
        <w:rPr>
          <w:rFonts w:ascii="Book Antiqua" w:hAnsi="Book Antiqua"/>
          <w:noProof w:val="0"/>
        </w:rPr>
        <w:t>: 203 [PMID: 26380249</w:t>
      </w:r>
      <w:r w:rsidR="00C75B8B" w:rsidRPr="00A35CEC">
        <w:rPr>
          <w:noProof w:val="0"/>
        </w:rPr>
        <w:t xml:space="preserve"> </w:t>
      </w:r>
      <w:r w:rsidR="00C75B8B" w:rsidRPr="00A35CEC">
        <w:rPr>
          <w:rFonts w:ascii="Book Antiqua" w:hAnsi="Book Antiqua"/>
          <w:noProof w:val="0"/>
        </w:rPr>
        <w:t>DΟI: 10.3389/fpubh.2015.00203</w:t>
      </w:r>
      <w:r w:rsidRPr="00A35CEC">
        <w:rPr>
          <w:rFonts w:ascii="Book Antiqua" w:hAnsi="Book Antiqua"/>
          <w:noProof w:val="0"/>
        </w:rPr>
        <w:t>]</w:t>
      </w:r>
    </w:p>
    <w:p w14:paraId="4AD595B6" w14:textId="063AD82E"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20 </w:t>
      </w:r>
      <w:r w:rsidRPr="00A35CEC">
        <w:rPr>
          <w:rFonts w:ascii="Book Antiqua" w:hAnsi="Book Antiqua"/>
          <w:b/>
          <w:bCs/>
          <w:noProof w:val="0"/>
        </w:rPr>
        <w:t>Razavi H</w:t>
      </w:r>
      <w:r w:rsidRPr="00A35CEC">
        <w:rPr>
          <w:rFonts w:ascii="Book Antiqua" w:hAnsi="Book Antiqua"/>
          <w:noProof w:val="0"/>
        </w:rPr>
        <w:t>, Elkhoury AC, Elbasha E, Estes C, Pasini K, Poynard T, Kumar R. Chronic hepatitis C virus (HCV) disease burden and cost in the United States. </w:t>
      </w:r>
      <w:r w:rsidRPr="00A35CEC">
        <w:rPr>
          <w:rFonts w:ascii="Book Antiqua" w:hAnsi="Book Antiqua"/>
          <w:i/>
          <w:iCs/>
          <w:noProof w:val="0"/>
        </w:rPr>
        <w:t>Hepatology</w:t>
      </w:r>
      <w:r w:rsidRPr="00A35CEC">
        <w:rPr>
          <w:rFonts w:ascii="Book Antiqua" w:hAnsi="Book Antiqua"/>
          <w:noProof w:val="0"/>
        </w:rPr>
        <w:t> 2013; </w:t>
      </w:r>
      <w:r w:rsidRPr="00A35CEC">
        <w:rPr>
          <w:rFonts w:ascii="Book Antiqua" w:hAnsi="Book Antiqua"/>
          <w:b/>
          <w:bCs/>
          <w:noProof w:val="0"/>
        </w:rPr>
        <w:t>57</w:t>
      </w:r>
      <w:r w:rsidRPr="00A35CEC">
        <w:rPr>
          <w:rFonts w:ascii="Book Antiqua" w:hAnsi="Book Antiqua"/>
          <w:noProof w:val="0"/>
        </w:rPr>
        <w:t>: 2164-2170 [PMID: 23280550</w:t>
      </w:r>
      <w:r w:rsidR="00C75B8B" w:rsidRPr="00A35CEC">
        <w:rPr>
          <w:noProof w:val="0"/>
        </w:rPr>
        <w:t xml:space="preserve"> </w:t>
      </w:r>
      <w:r w:rsidR="00C75B8B" w:rsidRPr="00A35CEC">
        <w:rPr>
          <w:rFonts w:ascii="Book Antiqua" w:hAnsi="Book Antiqua"/>
          <w:noProof w:val="0"/>
        </w:rPr>
        <w:t>DΟI: 10.1002/hep.26218</w:t>
      </w:r>
      <w:r w:rsidRPr="00A35CEC">
        <w:rPr>
          <w:rFonts w:ascii="Book Antiqua" w:hAnsi="Book Antiqua"/>
          <w:noProof w:val="0"/>
        </w:rPr>
        <w:t>]</w:t>
      </w:r>
    </w:p>
    <w:p w14:paraId="7EDD3830" w14:textId="521FC432" w:rsidR="00505538" w:rsidRPr="00A35CEC" w:rsidRDefault="00505538">
      <w:pPr>
        <w:adjustRightInd w:val="0"/>
        <w:snapToGrid w:val="0"/>
        <w:spacing w:line="360" w:lineRule="auto"/>
        <w:jc w:val="both"/>
        <w:rPr>
          <w:rFonts w:eastAsia="Times New Roman"/>
        </w:rPr>
      </w:pPr>
      <w:r w:rsidRPr="00A35CEC">
        <w:rPr>
          <w:rFonts w:ascii="Book Antiqua" w:hAnsi="Book Antiqua" w:cs="Calibri"/>
        </w:rPr>
        <w:lastRenderedPageBreak/>
        <w:t>21 </w:t>
      </w:r>
      <w:r w:rsidR="00C75B8B" w:rsidRPr="00A35CEC">
        <w:rPr>
          <w:rFonts w:ascii="Book Antiqua" w:hAnsi="Book Antiqua"/>
          <w:b/>
          <w:bCs/>
        </w:rPr>
        <w:t>Athanasakis K</w:t>
      </w:r>
      <w:r w:rsidRPr="00A35CEC">
        <w:rPr>
          <w:rFonts w:ascii="Book Antiqua" w:hAnsi="Book Antiqua" w:cs="Calibri"/>
          <w:bCs/>
        </w:rPr>
        <w:t>,</w:t>
      </w:r>
      <w:r w:rsidRPr="00A35CEC">
        <w:rPr>
          <w:rFonts w:ascii="Book Antiqua" w:hAnsi="Book Antiqua" w:cs="Calibri"/>
        </w:rPr>
        <w:t> </w:t>
      </w:r>
      <w:r w:rsidR="00C75B8B" w:rsidRPr="00A35CEC">
        <w:rPr>
          <w:rFonts w:ascii="Book Antiqua" w:eastAsia="微软雅黑" w:hAnsi="Book Antiqua"/>
          <w:shd w:val="clear" w:color="auto" w:fill="FFFFFF"/>
        </w:rPr>
        <w:t xml:space="preserve">Arzoumanidou D, </w:t>
      </w:r>
      <w:r w:rsidRPr="00A35CEC">
        <w:rPr>
          <w:rFonts w:ascii="Book Antiqua" w:hAnsi="Book Antiqua" w:cs="Calibri"/>
        </w:rPr>
        <w:t>Petrakis</w:t>
      </w:r>
      <w:r w:rsidR="00C75B8B" w:rsidRPr="00A35CEC">
        <w:rPr>
          <w:rFonts w:ascii="Book Antiqua" w:hAnsi="Book Antiqua"/>
        </w:rPr>
        <w:t xml:space="preserve"> I</w:t>
      </w:r>
      <w:r w:rsidRPr="00A35CEC">
        <w:rPr>
          <w:rFonts w:ascii="Book Antiqua" w:hAnsi="Book Antiqua" w:cs="Calibri"/>
        </w:rPr>
        <w:t>, Karampli</w:t>
      </w:r>
      <w:r w:rsidR="00C75B8B" w:rsidRPr="00A35CEC">
        <w:rPr>
          <w:rFonts w:ascii="Book Antiqua" w:hAnsi="Book Antiqua"/>
        </w:rPr>
        <w:t xml:space="preserve"> E</w:t>
      </w:r>
      <w:r w:rsidRPr="00A35CEC">
        <w:rPr>
          <w:rFonts w:ascii="Book Antiqua" w:hAnsi="Book Antiqua" w:cs="Calibri"/>
        </w:rPr>
        <w:t>, Theodoropoulou</w:t>
      </w:r>
      <w:r w:rsidR="00C75B8B" w:rsidRPr="00A35CEC">
        <w:rPr>
          <w:rFonts w:ascii="Book Antiqua" w:hAnsi="Book Antiqua"/>
        </w:rPr>
        <w:t xml:space="preserve"> T</w:t>
      </w:r>
      <w:r w:rsidRPr="00A35CEC">
        <w:rPr>
          <w:rFonts w:ascii="Book Antiqua" w:hAnsi="Book Antiqua" w:cs="Calibri"/>
        </w:rPr>
        <w:t>, Retsa</w:t>
      </w:r>
      <w:r w:rsidR="00C75B8B" w:rsidRPr="00A35CEC">
        <w:rPr>
          <w:rFonts w:ascii="Book Antiqua" w:hAnsi="Book Antiqua"/>
        </w:rPr>
        <w:t xml:space="preserve"> MP,</w:t>
      </w:r>
      <w:r w:rsidR="00FF77A3" w:rsidRPr="00A35CEC">
        <w:rPr>
          <w:rFonts w:ascii="Book Antiqua" w:hAnsi="Book Antiqua"/>
        </w:rPr>
        <w:t xml:space="preserve"> </w:t>
      </w:r>
      <w:r w:rsidRPr="00A35CEC">
        <w:rPr>
          <w:rFonts w:ascii="Book Antiqua" w:hAnsi="Book Antiqua" w:cs="Calibri"/>
        </w:rPr>
        <w:t>Kyriopoulos</w:t>
      </w:r>
      <w:r w:rsidR="00C75B8B" w:rsidRPr="00A35CEC">
        <w:rPr>
          <w:rFonts w:ascii="Book Antiqua" w:hAnsi="Book Antiqua"/>
        </w:rPr>
        <w:t xml:space="preserve"> J</w:t>
      </w:r>
      <w:r w:rsidRPr="00A35CEC">
        <w:rPr>
          <w:rFonts w:ascii="Book Antiqua" w:hAnsi="Book Antiqua" w:cs="Calibri"/>
        </w:rPr>
        <w:t xml:space="preserve">. A Cost-Of-Illness Analysis of Hepatitis C </w:t>
      </w:r>
      <w:r w:rsidR="00C75B8B" w:rsidRPr="00A35CEC">
        <w:rPr>
          <w:rFonts w:ascii="Book Antiqua" w:hAnsi="Book Antiqua"/>
        </w:rPr>
        <w:t xml:space="preserve">in Greece. </w:t>
      </w:r>
      <w:r w:rsidR="00C75B8B" w:rsidRPr="00A35CEC">
        <w:rPr>
          <w:rFonts w:ascii="Book Antiqua" w:hAnsi="Book Antiqua"/>
          <w:i/>
        </w:rPr>
        <w:t>Value in Health</w:t>
      </w:r>
      <w:r w:rsidR="00C75B8B" w:rsidRPr="00A35CEC">
        <w:rPr>
          <w:rFonts w:ascii="Book Antiqua" w:hAnsi="Book Antiqua"/>
        </w:rPr>
        <w:t xml:space="preserve"> 2013; </w:t>
      </w:r>
      <w:r w:rsidR="00C75B8B" w:rsidRPr="00A35CEC">
        <w:rPr>
          <w:rFonts w:ascii="Book Antiqua" w:hAnsi="Book Antiqua"/>
          <w:b/>
        </w:rPr>
        <w:t>16</w:t>
      </w:r>
      <w:r w:rsidR="00C75B8B" w:rsidRPr="00A35CEC">
        <w:rPr>
          <w:rFonts w:ascii="Book Antiqua" w:hAnsi="Book Antiqua"/>
        </w:rPr>
        <w:t xml:space="preserve">: A496 </w:t>
      </w:r>
      <w:r w:rsidRPr="00A35CEC">
        <w:rPr>
          <w:rFonts w:ascii="Book Antiqua" w:hAnsi="Book Antiqua" w:cs="Calibri"/>
        </w:rPr>
        <w:t>[DΟI: 10.1016/j.jval.2013.08.1108]</w:t>
      </w:r>
    </w:p>
    <w:p w14:paraId="07C177D0" w14:textId="6B3B0AD7"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22 </w:t>
      </w:r>
      <w:r w:rsidRPr="00A35CEC">
        <w:rPr>
          <w:rFonts w:ascii="Book Antiqua" w:hAnsi="Book Antiqua"/>
          <w:b/>
          <w:bCs/>
          <w:noProof w:val="0"/>
        </w:rPr>
        <w:t>Chounta A</w:t>
      </w:r>
      <w:r w:rsidRPr="00A35CEC">
        <w:rPr>
          <w:rFonts w:ascii="Book Antiqua" w:hAnsi="Book Antiqua"/>
          <w:noProof w:val="0"/>
        </w:rPr>
        <w:t>, Ellinas C, Tzanetakou V, Pliarhopoulou F, Mplani V, Oikonomou A, Leventogiannis K, Giamarellos-Bourboulis EJ. Serum soluble urokinase plasminogen activator receptor as a screening test for the early diagnosis of hepatocellular carcinoma. </w:t>
      </w:r>
      <w:r w:rsidRPr="00A35CEC">
        <w:rPr>
          <w:rFonts w:ascii="Book Antiqua" w:hAnsi="Book Antiqua"/>
          <w:i/>
          <w:iCs/>
          <w:noProof w:val="0"/>
        </w:rPr>
        <w:t>Liver Int</w:t>
      </w:r>
      <w:r w:rsidRPr="00A35CEC">
        <w:rPr>
          <w:rFonts w:ascii="Book Antiqua" w:hAnsi="Book Antiqua"/>
          <w:noProof w:val="0"/>
        </w:rPr>
        <w:t> 2015; </w:t>
      </w:r>
      <w:r w:rsidRPr="00A35CEC">
        <w:rPr>
          <w:rFonts w:ascii="Book Antiqua" w:hAnsi="Book Antiqua"/>
          <w:b/>
          <w:bCs/>
          <w:noProof w:val="0"/>
        </w:rPr>
        <w:t>35</w:t>
      </w:r>
      <w:r w:rsidRPr="00A35CEC">
        <w:rPr>
          <w:rFonts w:ascii="Book Antiqua" w:hAnsi="Book Antiqua"/>
          <w:noProof w:val="0"/>
        </w:rPr>
        <w:t>: 601-607 [PMID: 25348952</w:t>
      </w:r>
      <w:r w:rsidR="00C75B8B" w:rsidRPr="00A35CEC">
        <w:rPr>
          <w:rFonts w:ascii="Book Antiqua" w:hAnsi="Book Antiqua"/>
          <w:noProof w:val="0"/>
        </w:rPr>
        <w:t>DΟI: 10.1111/liv.12705</w:t>
      </w:r>
      <w:r w:rsidRPr="00A35CEC">
        <w:rPr>
          <w:rFonts w:ascii="Book Antiqua" w:hAnsi="Book Antiqua"/>
          <w:noProof w:val="0"/>
        </w:rPr>
        <w:t>]</w:t>
      </w:r>
    </w:p>
    <w:p w14:paraId="241E091B" w14:textId="04CED603"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23 </w:t>
      </w:r>
      <w:r w:rsidRPr="00A35CEC">
        <w:rPr>
          <w:rFonts w:ascii="Book Antiqua" w:hAnsi="Book Antiqua"/>
          <w:b/>
          <w:bCs/>
          <w:noProof w:val="0"/>
        </w:rPr>
        <w:t xml:space="preserve">Papatheodoridis G. </w:t>
      </w:r>
      <w:r w:rsidRPr="00A35CEC">
        <w:rPr>
          <w:rFonts w:ascii="Book Antiqua" w:hAnsi="Book Antiqua"/>
          <w:bCs/>
          <w:noProof w:val="0"/>
        </w:rPr>
        <w:t>The use of the new antivirals for hepatitis C in the Greek clinical practice - Cost of the therapeutic intervention. Oral presentation in: AIDS Pa</w:t>
      </w:r>
      <w:r w:rsidR="00C75B8B" w:rsidRPr="00A35CEC">
        <w:rPr>
          <w:rFonts w:ascii="Book Antiqua" w:hAnsi="Book Antiqua"/>
          <w:bCs/>
          <w:noProof w:val="0"/>
        </w:rPr>
        <w:t>nhellenic AIDS Conference 2016</w:t>
      </w:r>
    </w:p>
    <w:p w14:paraId="2F502089" w14:textId="2BBFFA60" w:rsidR="00505538" w:rsidRPr="00A35CEC" w:rsidRDefault="00C75B8B">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24</w:t>
      </w:r>
      <w:r w:rsidR="00505538" w:rsidRPr="00A35CEC">
        <w:rPr>
          <w:rFonts w:ascii="Book Antiqua" w:hAnsi="Book Antiqua"/>
          <w:noProof w:val="0"/>
        </w:rPr>
        <w:t xml:space="preserve"> N</w:t>
      </w:r>
      <w:r w:rsidRPr="00A35CEC">
        <w:rPr>
          <w:rFonts w:ascii="Book Antiqua" w:hAnsi="Book Antiqua"/>
          <w:noProof w:val="0"/>
        </w:rPr>
        <w:t>ewspaper of the government of the hellenic republic</w:t>
      </w:r>
      <w:r w:rsidR="00505538" w:rsidRPr="00A35CEC">
        <w:rPr>
          <w:rFonts w:ascii="Book Antiqua" w:hAnsi="Book Antiqua"/>
          <w:noProof w:val="0"/>
        </w:rPr>
        <w:t xml:space="preserve"> (in Greek). In: Health Mo 2017</w:t>
      </w:r>
    </w:p>
    <w:p w14:paraId="2FFCE570" w14:textId="1AB54EFB" w:rsidR="00505538" w:rsidRPr="00A35CEC" w:rsidRDefault="00C75B8B">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25</w:t>
      </w:r>
      <w:r w:rsidR="00505538" w:rsidRPr="00A35CEC">
        <w:rPr>
          <w:rFonts w:ascii="Book Antiqua" w:hAnsi="Book Antiqua"/>
          <w:noProof w:val="0"/>
        </w:rPr>
        <w:t xml:space="preserve"> Available from: http://healthmag.gr/. Συμφωνία - σταθμός για την πρόσβαση των ασθενών με ηπατίτιδα C σε καινοτόμες θεραπείες υψηλού κόστους</w:t>
      </w:r>
    </w:p>
    <w:p w14:paraId="13FABFF9" w14:textId="7D3CC506" w:rsidR="00505538" w:rsidRPr="00A35CEC" w:rsidRDefault="00C75B8B">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 xml:space="preserve">26 </w:t>
      </w:r>
      <w:r w:rsidR="00505538" w:rsidRPr="00A35CEC">
        <w:rPr>
          <w:rFonts w:ascii="Book Antiqua" w:hAnsi="Book Antiqua"/>
          <w:noProof w:val="0"/>
        </w:rPr>
        <w:t>Available from: http://healthmag.gr/. Έκπτωση 68% για την ηπατίτιδα C - Καλύπτονται πενταπλάσιοι ασθενείς</w:t>
      </w:r>
    </w:p>
    <w:p w14:paraId="15A37579" w14:textId="2AFE0D2A" w:rsidR="00505538" w:rsidRPr="00A35CEC" w:rsidRDefault="00C75B8B">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 xml:space="preserve">27 </w:t>
      </w:r>
      <w:r w:rsidR="00505538" w:rsidRPr="00A35CEC">
        <w:rPr>
          <w:rFonts w:ascii="Book Antiqua" w:hAnsi="Book Antiqua"/>
          <w:noProof w:val="0"/>
        </w:rPr>
        <w:t>Available from: https://virus.com.gr/. Ο κλειστός προϋπολογισμός της Ηπατίτιδας</w:t>
      </w:r>
    </w:p>
    <w:p w14:paraId="3ADE5768" w14:textId="77777777"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28 </w:t>
      </w:r>
      <w:r w:rsidRPr="00A35CEC">
        <w:rPr>
          <w:rFonts w:ascii="Book Antiqua" w:hAnsi="Book Antiqua"/>
          <w:b/>
          <w:bCs/>
          <w:noProof w:val="0"/>
        </w:rPr>
        <w:t>Murray CJ</w:t>
      </w:r>
      <w:r w:rsidRPr="00A35CEC">
        <w:rPr>
          <w:rFonts w:ascii="Book Antiqua" w:hAnsi="Book Antiqua"/>
          <w:noProof w:val="0"/>
        </w:rPr>
        <w:t>, Lopez AD. Evidence-based health policy--lessons from the Global Burden of Disease Study. </w:t>
      </w:r>
      <w:r w:rsidRPr="00A35CEC">
        <w:rPr>
          <w:rFonts w:ascii="Book Antiqua" w:hAnsi="Book Antiqua"/>
          <w:i/>
          <w:iCs/>
          <w:noProof w:val="0"/>
        </w:rPr>
        <w:t>Science</w:t>
      </w:r>
      <w:r w:rsidRPr="00A35CEC">
        <w:rPr>
          <w:rFonts w:ascii="Book Antiqua" w:hAnsi="Book Antiqua"/>
          <w:noProof w:val="0"/>
        </w:rPr>
        <w:t> 1996; </w:t>
      </w:r>
      <w:r w:rsidRPr="00A35CEC">
        <w:rPr>
          <w:rFonts w:ascii="Book Antiqua" w:hAnsi="Book Antiqua"/>
          <w:b/>
          <w:bCs/>
          <w:noProof w:val="0"/>
        </w:rPr>
        <w:t>274</w:t>
      </w:r>
      <w:r w:rsidRPr="00A35CEC">
        <w:rPr>
          <w:rFonts w:ascii="Book Antiqua" w:hAnsi="Book Antiqua"/>
          <w:noProof w:val="0"/>
        </w:rPr>
        <w:t>: 740-743 [PMID: 8966556]</w:t>
      </w:r>
    </w:p>
    <w:p w14:paraId="7ECC1050" w14:textId="3310932D"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29 </w:t>
      </w:r>
      <w:r w:rsidRPr="00A35CEC">
        <w:rPr>
          <w:rFonts w:ascii="Book Antiqua" w:hAnsi="Book Antiqua"/>
          <w:b/>
          <w:bCs/>
          <w:noProof w:val="0"/>
        </w:rPr>
        <w:t>WHO</w:t>
      </w:r>
      <w:r w:rsidRPr="00A35CEC">
        <w:rPr>
          <w:rFonts w:ascii="Book Antiqua" w:hAnsi="Book Antiqua"/>
          <w:bCs/>
          <w:noProof w:val="0"/>
        </w:rPr>
        <w:t>. Health statistics and information systems,</w:t>
      </w:r>
      <w:r w:rsidRPr="00A35CEC">
        <w:rPr>
          <w:rFonts w:ascii="Book Antiqua" w:hAnsi="Book Antiqua"/>
          <w:noProof w:val="0"/>
        </w:rPr>
        <w:t> 2016</w:t>
      </w:r>
      <w:r w:rsidR="00C75B8B" w:rsidRPr="00A35CEC">
        <w:rPr>
          <w:rFonts w:ascii="Book Antiqua" w:hAnsi="Book Antiqua"/>
          <w:noProof w:val="0"/>
        </w:rPr>
        <w:t xml:space="preserve"> Available from: https://www.who.int/healthinfo/en/</w:t>
      </w:r>
    </w:p>
    <w:p w14:paraId="759ABD9A" w14:textId="09E03ED3"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30 </w:t>
      </w:r>
      <w:r w:rsidRPr="00A35CEC">
        <w:rPr>
          <w:rFonts w:ascii="Book Antiqua" w:hAnsi="Book Antiqua"/>
          <w:b/>
          <w:bCs/>
          <w:noProof w:val="0"/>
        </w:rPr>
        <w:t>Marseille E</w:t>
      </w:r>
      <w:r w:rsidRPr="00A35CEC">
        <w:rPr>
          <w:rFonts w:ascii="Book Antiqua" w:hAnsi="Book Antiqua"/>
          <w:noProof w:val="0"/>
        </w:rPr>
        <w:t>, Larson B, Kazi DS, Kahn JG, Rosen S. Thresholds for the cost-effectiveness of interventions: alternative approaches. </w:t>
      </w:r>
      <w:r w:rsidRPr="00A35CEC">
        <w:rPr>
          <w:rFonts w:ascii="Book Antiqua" w:hAnsi="Book Antiqua"/>
          <w:i/>
          <w:iCs/>
          <w:noProof w:val="0"/>
        </w:rPr>
        <w:t>Bull World Health Organ</w:t>
      </w:r>
      <w:r w:rsidRPr="00A35CEC">
        <w:rPr>
          <w:rFonts w:ascii="Book Antiqua" w:hAnsi="Book Antiqua"/>
          <w:noProof w:val="0"/>
        </w:rPr>
        <w:t> 2015; </w:t>
      </w:r>
      <w:r w:rsidRPr="00A35CEC">
        <w:rPr>
          <w:rFonts w:ascii="Book Antiqua" w:hAnsi="Book Antiqua"/>
          <w:b/>
          <w:bCs/>
          <w:noProof w:val="0"/>
        </w:rPr>
        <w:t>93</w:t>
      </w:r>
      <w:r w:rsidRPr="00A35CEC">
        <w:rPr>
          <w:rFonts w:ascii="Book Antiqua" w:hAnsi="Book Antiqua"/>
          <w:noProof w:val="0"/>
        </w:rPr>
        <w:t>: 118-124 [PMID: 25883405</w:t>
      </w:r>
      <w:r w:rsidR="00C75B8B" w:rsidRPr="00A35CEC">
        <w:rPr>
          <w:noProof w:val="0"/>
        </w:rPr>
        <w:t xml:space="preserve"> </w:t>
      </w:r>
      <w:r w:rsidR="00C75B8B" w:rsidRPr="00A35CEC">
        <w:rPr>
          <w:rFonts w:ascii="Book Antiqua" w:hAnsi="Book Antiqua"/>
          <w:noProof w:val="0"/>
        </w:rPr>
        <w:t>DΟI: 10.2471/BLT.14.138206</w:t>
      </w:r>
      <w:r w:rsidRPr="00A35CEC">
        <w:rPr>
          <w:rFonts w:ascii="Book Antiqua" w:hAnsi="Book Antiqua"/>
          <w:noProof w:val="0"/>
        </w:rPr>
        <w:t>]</w:t>
      </w:r>
    </w:p>
    <w:p w14:paraId="4C68B68E" w14:textId="289F1EBE"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31 </w:t>
      </w:r>
      <w:r w:rsidRPr="00A35CEC">
        <w:rPr>
          <w:rFonts w:ascii="Book Antiqua" w:hAnsi="Book Antiqua"/>
          <w:b/>
          <w:bCs/>
          <w:noProof w:val="0"/>
        </w:rPr>
        <w:t>Razavi H</w:t>
      </w:r>
      <w:r w:rsidRPr="00A35CEC">
        <w:rPr>
          <w:rFonts w:ascii="Book Antiqua" w:hAnsi="Book Antiqua"/>
          <w:noProof w:val="0"/>
        </w:rPr>
        <w:t xml:space="preserve">, Waked I, Sarrazin C, Myers RP, Idilman R, Calinas F, Vogel W, Mendes Correa MC, Hézode C, Lázaro P, Akarca U, Aleman S, Balık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Jr, Gower E, Gschwantler M, Guimarães Pessôa M, Hindman SJ, Hofer H, Husa P, Kåberg M, Kaita KD, Kautz A, Kaymakoglu S, Krajden M, </w:t>
      </w:r>
      <w:r w:rsidRPr="00A35CEC">
        <w:rPr>
          <w:rFonts w:ascii="Book Antiqua" w:hAnsi="Book Antiqua"/>
          <w:noProof w:val="0"/>
        </w:rPr>
        <w:lastRenderedPageBreak/>
        <w:t>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The present and future disease burden of hepatitis C virus (HCV) infection with today's treatment paradigm. </w:t>
      </w:r>
      <w:r w:rsidRPr="00A35CEC">
        <w:rPr>
          <w:rFonts w:ascii="Book Antiqua" w:hAnsi="Book Antiqua"/>
          <w:i/>
          <w:iCs/>
          <w:noProof w:val="0"/>
        </w:rPr>
        <w:t>J Viral Hepat</w:t>
      </w:r>
      <w:r w:rsidRPr="00A35CEC">
        <w:rPr>
          <w:rFonts w:ascii="Book Antiqua" w:hAnsi="Book Antiqua"/>
          <w:noProof w:val="0"/>
        </w:rPr>
        <w:t> 2014; </w:t>
      </w:r>
      <w:r w:rsidRPr="00A35CEC">
        <w:rPr>
          <w:rFonts w:ascii="Book Antiqua" w:hAnsi="Book Antiqua"/>
          <w:b/>
          <w:bCs/>
          <w:noProof w:val="0"/>
        </w:rPr>
        <w:t xml:space="preserve">21 </w:t>
      </w:r>
      <w:r w:rsidRPr="00A35CEC">
        <w:rPr>
          <w:rFonts w:ascii="Book Antiqua" w:hAnsi="Book Antiqua"/>
          <w:bCs/>
          <w:noProof w:val="0"/>
        </w:rPr>
        <w:t>Suppl 1</w:t>
      </w:r>
      <w:r w:rsidRPr="00A35CEC">
        <w:rPr>
          <w:rFonts w:ascii="Book Antiqua" w:hAnsi="Book Antiqua"/>
          <w:noProof w:val="0"/>
        </w:rPr>
        <w:t>: 34-59 [PMID: 24713005</w:t>
      </w:r>
      <w:r w:rsidR="00C75B8B" w:rsidRPr="00A35CEC">
        <w:rPr>
          <w:noProof w:val="0"/>
        </w:rPr>
        <w:t xml:space="preserve"> </w:t>
      </w:r>
      <w:r w:rsidR="00C75B8B" w:rsidRPr="00A35CEC">
        <w:rPr>
          <w:rFonts w:ascii="Book Antiqua" w:hAnsi="Book Antiqua"/>
          <w:noProof w:val="0"/>
        </w:rPr>
        <w:t>DΟI: 10.1111/jvh.12248</w:t>
      </w:r>
      <w:r w:rsidRPr="00A35CEC">
        <w:rPr>
          <w:rFonts w:ascii="Book Antiqua" w:hAnsi="Book Antiqua"/>
          <w:noProof w:val="0"/>
        </w:rPr>
        <w:t>]</w:t>
      </w:r>
    </w:p>
    <w:p w14:paraId="683037EE" w14:textId="2FBDC09E"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32 </w:t>
      </w:r>
      <w:r w:rsidRPr="00A35CEC">
        <w:rPr>
          <w:rFonts w:ascii="Book Antiqua" w:hAnsi="Book Antiqua"/>
          <w:b/>
          <w:bCs/>
          <w:noProof w:val="0"/>
        </w:rPr>
        <w:t>El Khoury AC</w:t>
      </w:r>
      <w:r w:rsidRPr="00A35CEC">
        <w:rPr>
          <w:rFonts w:ascii="Book Antiqua" w:hAnsi="Book Antiqua"/>
          <w:noProof w:val="0"/>
        </w:rPr>
        <w:t>, Klimack WK, Wallace C, Razavi H. Economic burden of hepatitis C-associated diseases in the United States. </w:t>
      </w:r>
      <w:r w:rsidRPr="00A35CEC">
        <w:rPr>
          <w:rFonts w:ascii="Book Antiqua" w:hAnsi="Book Antiqua"/>
          <w:i/>
          <w:iCs/>
          <w:noProof w:val="0"/>
        </w:rPr>
        <w:t>J Viral Hepat</w:t>
      </w:r>
      <w:r w:rsidRPr="00A35CEC">
        <w:rPr>
          <w:rFonts w:ascii="Book Antiqua" w:hAnsi="Book Antiqua"/>
          <w:noProof w:val="0"/>
        </w:rPr>
        <w:t> 2012; </w:t>
      </w:r>
      <w:r w:rsidRPr="00A35CEC">
        <w:rPr>
          <w:rFonts w:ascii="Book Antiqua" w:hAnsi="Book Antiqua"/>
          <w:b/>
          <w:bCs/>
          <w:noProof w:val="0"/>
        </w:rPr>
        <w:t>19</w:t>
      </w:r>
      <w:r w:rsidRPr="00A35CEC">
        <w:rPr>
          <w:rFonts w:ascii="Book Antiqua" w:hAnsi="Book Antiqua"/>
          <w:noProof w:val="0"/>
        </w:rPr>
        <w:t>: 153-160 [PMID: 22329369</w:t>
      </w:r>
      <w:r w:rsidR="00C75B8B" w:rsidRPr="00A35CEC">
        <w:rPr>
          <w:rFonts w:ascii="Book Antiqua" w:hAnsi="Book Antiqua"/>
          <w:noProof w:val="0"/>
        </w:rPr>
        <w:t xml:space="preserve"> DΟI: 10.1111/j.1365-2893.2011.01563.x</w:t>
      </w:r>
      <w:r w:rsidRPr="00A35CEC">
        <w:rPr>
          <w:rFonts w:ascii="Book Antiqua" w:hAnsi="Book Antiqua"/>
          <w:noProof w:val="0"/>
        </w:rPr>
        <w:t>]</w:t>
      </w:r>
    </w:p>
    <w:p w14:paraId="1CDE9734" w14:textId="150090AE"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33 </w:t>
      </w:r>
      <w:r w:rsidRPr="00A35CEC">
        <w:rPr>
          <w:rFonts w:ascii="Book Antiqua" w:hAnsi="Book Antiqua"/>
          <w:b/>
          <w:bCs/>
          <w:noProof w:val="0"/>
        </w:rPr>
        <w:t>Estes C</w:t>
      </w:r>
      <w:r w:rsidRPr="00A35CEC">
        <w:rPr>
          <w:rFonts w:ascii="Book Antiqua" w:hAnsi="Book Antiqua"/>
          <w:noProof w:val="0"/>
        </w:rPr>
        <w:t>, Abdel-Kareem M, Abdel-Razek W, Abdel-Sameea E, Abuzeid M, Gomaa A, Osman W, Razavi H, Zaghla H, Waked I. Economic burden of hepatitis C in Egypt: the future impact of highly effective therapies. </w:t>
      </w:r>
      <w:r w:rsidRPr="00A35CEC">
        <w:rPr>
          <w:rFonts w:ascii="Book Antiqua" w:hAnsi="Book Antiqua"/>
          <w:i/>
          <w:iCs/>
          <w:noProof w:val="0"/>
        </w:rPr>
        <w:t>Aliment Pharmacol Ther</w:t>
      </w:r>
      <w:r w:rsidRPr="00A35CEC">
        <w:rPr>
          <w:rFonts w:ascii="Book Antiqua" w:hAnsi="Book Antiqua"/>
          <w:noProof w:val="0"/>
        </w:rPr>
        <w:t> 2015; </w:t>
      </w:r>
      <w:r w:rsidRPr="00A35CEC">
        <w:rPr>
          <w:rFonts w:ascii="Book Antiqua" w:hAnsi="Book Antiqua"/>
          <w:b/>
          <w:bCs/>
          <w:noProof w:val="0"/>
        </w:rPr>
        <w:t>42</w:t>
      </w:r>
      <w:r w:rsidRPr="00A35CEC">
        <w:rPr>
          <w:rFonts w:ascii="Book Antiqua" w:hAnsi="Book Antiqua"/>
          <w:noProof w:val="0"/>
        </w:rPr>
        <w:t>: 696-706 [PMID: 26202593</w:t>
      </w:r>
      <w:r w:rsidR="00C75B8B" w:rsidRPr="00A35CEC">
        <w:rPr>
          <w:rFonts w:ascii="Book Antiqua" w:hAnsi="Book Antiqua"/>
          <w:noProof w:val="0"/>
        </w:rPr>
        <w:t xml:space="preserve"> DΟI: 10.1111/apt.13316</w:t>
      </w:r>
      <w:r w:rsidRPr="00A35CEC">
        <w:rPr>
          <w:rFonts w:ascii="Book Antiqua" w:hAnsi="Book Antiqua"/>
          <w:noProof w:val="0"/>
        </w:rPr>
        <w:t>]</w:t>
      </w:r>
    </w:p>
    <w:p w14:paraId="225B7564" w14:textId="3085D72D"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34 </w:t>
      </w:r>
      <w:r w:rsidRPr="00A35CEC">
        <w:rPr>
          <w:rFonts w:ascii="Book Antiqua" w:hAnsi="Book Antiqua"/>
          <w:b/>
          <w:bCs/>
          <w:noProof w:val="0"/>
        </w:rPr>
        <w:t>Younossi ZM</w:t>
      </w:r>
      <w:r w:rsidRPr="00A35CEC">
        <w:rPr>
          <w:rFonts w:ascii="Book Antiqua" w:hAnsi="Book Antiqua"/>
          <w:noProof w:val="0"/>
        </w:rPr>
        <w:t>, Park H, Dieterich D, Saab S, Ahmed A, Gordon SC. Assessment of cost of innovation versus the value of health gains associated with treatment of chronic hepatitis C in the United States: The quality-adjusted cost of care. </w:t>
      </w:r>
      <w:r w:rsidRPr="00A35CEC">
        <w:rPr>
          <w:rFonts w:ascii="Book Antiqua" w:hAnsi="Book Antiqua"/>
          <w:i/>
          <w:iCs/>
          <w:noProof w:val="0"/>
        </w:rPr>
        <w:t>Medicine (Baltimore)</w:t>
      </w:r>
      <w:r w:rsidRPr="00A35CEC">
        <w:rPr>
          <w:rFonts w:ascii="Book Antiqua" w:hAnsi="Book Antiqua"/>
          <w:noProof w:val="0"/>
        </w:rPr>
        <w:t> 2016; </w:t>
      </w:r>
      <w:r w:rsidRPr="00A35CEC">
        <w:rPr>
          <w:rFonts w:ascii="Book Antiqua" w:hAnsi="Book Antiqua"/>
          <w:b/>
          <w:bCs/>
          <w:noProof w:val="0"/>
        </w:rPr>
        <w:t>95</w:t>
      </w:r>
      <w:r w:rsidRPr="00A35CEC">
        <w:rPr>
          <w:rFonts w:ascii="Book Antiqua" w:hAnsi="Book Antiqua"/>
          <w:noProof w:val="0"/>
        </w:rPr>
        <w:t>: e5048 [PMID: 27741116</w:t>
      </w:r>
      <w:r w:rsidR="00C75B8B" w:rsidRPr="00A35CEC">
        <w:rPr>
          <w:rFonts w:ascii="Book Antiqua" w:hAnsi="Book Antiqua"/>
          <w:noProof w:val="0"/>
        </w:rPr>
        <w:t xml:space="preserve"> DΟI: 10.1097/MD.0000000000005048</w:t>
      </w:r>
      <w:r w:rsidRPr="00A35CEC">
        <w:rPr>
          <w:rFonts w:ascii="Book Antiqua" w:hAnsi="Book Antiqua"/>
          <w:noProof w:val="0"/>
        </w:rPr>
        <w:t>]</w:t>
      </w:r>
    </w:p>
    <w:p w14:paraId="29B34C74" w14:textId="7B591FFF"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35 </w:t>
      </w:r>
      <w:r w:rsidRPr="00A35CEC">
        <w:rPr>
          <w:rFonts w:ascii="Book Antiqua" w:hAnsi="Book Antiqua"/>
          <w:b/>
          <w:bCs/>
          <w:noProof w:val="0"/>
        </w:rPr>
        <w:t>Younossi ZM</w:t>
      </w:r>
      <w:r w:rsidRPr="00A35CEC">
        <w:rPr>
          <w:rFonts w:ascii="Book Antiqua" w:hAnsi="Book Antiqua"/>
          <w:noProof w:val="0"/>
        </w:rPr>
        <w:t>, Stepanova M, Henry L, Younossi I, Weinstein A, Nader F, Hunt S. Association of work productivity with clinical and patient-reported factors in patients infected with hepatitis C virus. </w:t>
      </w:r>
      <w:r w:rsidRPr="00A35CEC">
        <w:rPr>
          <w:rFonts w:ascii="Book Antiqua" w:hAnsi="Book Antiqua"/>
          <w:i/>
          <w:iCs/>
          <w:noProof w:val="0"/>
        </w:rPr>
        <w:t>J Viral Hepat</w:t>
      </w:r>
      <w:r w:rsidRPr="00A35CEC">
        <w:rPr>
          <w:rFonts w:ascii="Book Antiqua" w:hAnsi="Book Antiqua"/>
          <w:noProof w:val="0"/>
        </w:rPr>
        <w:t> 2016; </w:t>
      </w:r>
      <w:r w:rsidRPr="00A35CEC">
        <w:rPr>
          <w:rFonts w:ascii="Book Antiqua" w:hAnsi="Book Antiqua"/>
          <w:b/>
          <w:bCs/>
          <w:noProof w:val="0"/>
        </w:rPr>
        <w:t>23</w:t>
      </w:r>
      <w:r w:rsidRPr="00A35CEC">
        <w:rPr>
          <w:rFonts w:ascii="Book Antiqua" w:hAnsi="Book Antiqua"/>
          <w:noProof w:val="0"/>
        </w:rPr>
        <w:t>: 623-630 [PMID: 26988765</w:t>
      </w:r>
      <w:r w:rsidR="00C75B8B" w:rsidRPr="00A35CEC">
        <w:rPr>
          <w:rFonts w:ascii="Book Antiqua" w:hAnsi="Book Antiqua"/>
          <w:noProof w:val="0"/>
        </w:rPr>
        <w:t xml:space="preserve"> DΟI: 10.1111/jvh.12528</w:t>
      </w:r>
      <w:r w:rsidRPr="00A35CEC">
        <w:rPr>
          <w:rFonts w:ascii="Book Antiqua" w:hAnsi="Book Antiqua"/>
          <w:noProof w:val="0"/>
        </w:rPr>
        <w:t>]</w:t>
      </w:r>
    </w:p>
    <w:p w14:paraId="5E88D0C9" w14:textId="78B5F68A"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36 </w:t>
      </w:r>
      <w:r w:rsidRPr="00A35CEC">
        <w:rPr>
          <w:rFonts w:ascii="Book Antiqua" w:hAnsi="Book Antiqua"/>
          <w:b/>
          <w:bCs/>
          <w:noProof w:val="0"/>
        </w:rPr>
        <w:t>Younossi I</w:t>
      </w:r>
      <w:r w:rsidRPr="00A35CEC">
        <w:rPr>
          <w:rFonts w:ascii="Book Antiqua" w:hAnsi="Book Antiqua"/>
          <w:noProof w:val="0"/>
        </w:rPr>
        <w:t>, Weinstein A, Stepanova M, Hunt S, Younossi ZM. Mental and Emotional Impairment in Patients With Hepatitis C is Related to Lower Work Productivity. </w:t>
      </w:r>
      <w:r w:rsidRPr="00A35CEC">
        <w:rPr>
          <w:rFonts w:ascii="Book Antiqua" w:hAnsi="Book Antiqua"/>
          <w:i/>
          <w:iCs/>
          <w:noProof w:val="0"/>
        </w:rPr>
        <w:t>Psychosomatics</w:t>
      </w:r>
      <w:r w:rsidRPr="00A35CEC">
        <w:rPr>
          <w:rFonts w:ascii="Book Antiqua" w:hAnsi="Book Antiqua"/>
          <w:noProof w:val="0"/>
        </w:rPr>
        <w:t> 2016; </w:t>
      </w:r>
      <w:r w:rsidRPr="00A35CEC">
        <w:rPr>
          <w:rFonts w:ascii="Book Antiqua" w:hAnsi="Book Antiqua"/>
          <w:b/>
          <w:bCs/>
          <w:noProof w:val="0"/>
        </w:rPr>
        <w:t>57</w:t>
      </w:r>
      <w:r w:rsidRPr="00A35CEC">
        <w:rPr>
          <w:rFonts w:ascii="Book Antiqua" w:hAnsi="Book Antiqua"/>
          <w:noProof w:val="0"/>
        </w:rPr>
        <w:t>: 82-88 [PMID: 26791515</w:t>
      </w:r>
      <w:r w:rsidR="00C75B8B" w:rsidRPr="00A35CEC">
        <w:rPr>
          <w:rFonts w:ascii="Book Antiqua" w:hAnsi="Book Antiqua"/>
          <w:noProof w:val="0"/>
        </w:rPr>
        <w:t xml:space="preserve"> DΟI: 10.1016/j.psym.2015.10.005</w:t>
      </w:r>
      <w:r w:rsidRPr="00A35CEC">
        <w:rPr>
          <w:rFonts w:ascii="Book Antiqua" w:hAnsi="Book Antiqua"/>
          <w:noProof w:val="0"/>
        </w:rPr>
        <w:t>]</w:t>
      </w:r>
    </w:p>
    <w:p w14:paraId="41BE9645" w14:textId="13493A14"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t>37 </w:t>
      </w:r>
      <w:r w:rsidRPr="00A35CEC">
        <w:rPr>
          <w:rFonts w:ascii="Book Antiqua" w:hAnsi="Book Antiqua"/>
          <w:b/>
          <w:bCs/>
          <w:noProof w:val="0"/>
        </w:rPr>
        <w:t>Cacoub P</w:t>
      </w:r>
      <w:r w:rsidRPr="00A35CEC">
        <w:rPr>
          <w:rFonts w:ascii="Book Antiqua" w:hAnsi="Book Antiqua"/>
          <w:noProof w:val="0"/>
        </w:rPr>
        <w:t>, Vautier M, Desbois AC, Saadoun D, Younossi Z. Direct medical costs associated with the extrahepatic manifestations of hepatitis C virus infection in France. </w:t>
      </w:r>
      <w:r w:rsidRPr="00A35CEC">
        <w:rPr>
          <w:rFonts w:ascii="Book Antiqua" w:hAnsi="Book Antiqua"/>
          <w:i/>
          <w:iCs/>
          <w:noProof w:val="0"/>
        </w:rPr>
        <w:t>Aliment Pharmacol Ther</w:t>
      </w:r>
      <w:r w:rsidRPr="00A35CEC">
        <w:rPr>
          <w:rFonts w:ascii="Book Antiqua" w:hAnsi="Book Antiqua"/>
          <w:noProof w:val="0"/>
        </w:rPr>
        <w:t> 2018; </w:t>
      </w:r>
      <w:r w:rsidRPr="00A35CEC">
        <w:rPr>
          <w:rFonts w:ascii="Book Antiqua" w:hAnsi="Book Antiqua"/>
          <w:b/>
          <w:bCs/>
          <w:noProof w:val="0"/>
        </w:rPr>
        <w:t>47</w:t>
      </w:r>
      <w:r w:rsidRPr="00A35CEC">
        <w:rPr>
          <w:rFonts w:ascii="Book Antiqua" w:hAnsi="Book Antiqua"/>
          <w:noProof w:val="0"/>
        </w:rPr>
        <w:t>: 123-128 [PMID: 29044584</w:t>
      </w:r>
      <w:r w:rsidR="00C75B8B" w:rsidRPr="00A35CEC">
        <w:rPr>
          <w:rFonts w:ascii="Book Antiqua" w:hAnsi="Book Antiqua"/>
          <w:noProof w:val="0"/>
        </w:rPr>
        <w:t xml:space="preserve"> DΟI: 10.1111/apt.14382</w:t>
      </w:r>
      <w:r w:rsidRPr="00A35CEC">
        <w:rPr>
          <w:rFonts w:ascii="Book Antiqua" w:hAnsi="Book Antiqua"/>
          <w:noProof w:val="0"/>
        </w:rPr>
        <w:t>]</w:t>
      </w:r>
    </w:p>
    <w:p w14:paraId="4797BA72" w14:textId="4880EB60" w:rsidR="00505538" w:rsidRPr="00A35CEC" w:rsidRDefault="00505538">
      <w:pPr>
        <w:pStyle w:val="EndNoteBibliography"/>
        <w:adjustRightInd w:val="0"/>
        <w:snapToGrid w:val="0"/>
        <w:spacing w:line="360" w:lineRule="auto"/>
        <w:jc w:val="both"/>
        <w:rPr>
          <w:rFonts w:ascii="Book Antiqua" w:hAnsi="Book Antiqua"/>
          <w:noProof w:val="0"/>
        </w:rPr>
      </w:pPr>
      <w:r w:rsidRPr="00A35CEC">
        <w:rPr>
          <w:rFonts w:ascii="Book Antiqua" w:hAnsi="Book Antiqua"/>
          <w:noProof w:val="0"/>
        </w:rPr>
        <w:lastRenderedPageBreak/>
        <w:t>38 </w:t>
      </w:r>
      <w:r w:rsidRPr="00A35CEC">
        <w:rPr>
          <w:rFonts w:ascii="Book Antiqua" w:hAnsi="Book Antiqua"/>
          <w:b/>
          <w:bCs/>
          <w:noProof w:val="0"/>
        </w:rPr>
        <w:t>Younossi Z</w:t>
      </w:r>
      <w:r w:rsidRPr="00A35CEC">
        <w:rPr>
          <w:rFonts w:ascii="Book Antiqua" w:hAnsi="Book Antiqua"/>
          <w:noProof w:val="0"/>
        </w:rPr>
        <w:t>, Park H, Henry L, Adeyemi A, Stepanova M. Extrahepatic Manifestations of Hepatitis C: A Meta-analysis of Prevalence, Quality of Life, and Economic Burden.</w:t>
      </w:r>
      <w:r w:rsidR="00D31AF5" w:rsidRPr="00A35CEC">
        <w:rPr>
          <w:rFonts w:ascii="Book Antiqua" w:hAnsi="Book Antiqua"/>
          <w:noProof w:val="0"/>
        </w:rPr>
        <w:t xml:space="preserve"> </w:t>
      </w:r>
      <w:r w:rsidRPr="00A35CEC">
        <w:rPr>
          <w:rFonts w:ascii="Book Antiqua" w:hAnsi="Book Antiqua"/>
          <w:i/>
          <w:iCs/>
          <w:noProof w:val="0"/>
        </w:rPr>
        <w:t>Gastroenterology</w:t>
      </w:r>
      <w:r w:rsidRPr="00A35CEC">
        <w:rPr>
          <w:rFonts w:ascii="Book Antiqua" w:hAnsi="Book Antiqua"/>
          <w:noProof w:val="0"/>
        </w:rPr>
        <w:t> 2016; </w:t>
      </w:r>
      <w:r w:rsidRPr="00A35CEC">
        <w:rPr>
          <w:rFonts w:ascii="Book Antiqua" w:hAnsi="Book Antiqua"/>
          <w:b/>
          <w:bCs/>
          <w:noProof w:val="0"/>
        </w:rPr>
        <w:t>150</w:t>
      </w:r>
      <w:r w:rsidRPr="00A35CEC">
        <w:rPr>
          <w:rFonts w:ascii="Book Antiqua" w:hAnsi="Book Antiqua"/>
          <w:noProof w:val="0"/>
        </w:rPr>
        <w:t>: 1599-1608 [PMID: 26924097</w:t>
      </w:r>
      <w:r w:rsidR="00C75B8B" w:rsidRPr="00A35CEC">
        <w:rPr>
          <w:rFonts w:ascii="Book Antiqua" w:hAnsi="Book Antiqua"/>
          <w:noProof w:val="0"/>
        </w:rPr>
        <w:t xml:space="preserve"> DΟI: 10.1053/j.gastro.2016.02.039</w:t>
      </w:r>
      <w:r w:rsidRPr="00A35CEC">
        <w:rPr>
          <w:rFonts w:ascii="Book Antiqua" w:hAnsi="Book Antiqua"/>
          <w:noProof w:val="0"/>
        </w:rPr>
        <w:t>]</w:t>
      </w:r>
    </w:p>
    <w:p w14:paraId="3D418DB3" w14:textId="6F4D993D" w:rsidR="00FC5554" w:rsidRPr="00A35CEC" w:rsidRDefault="00FC5554" w:rsidP="00A35CEC">
      <w:pPr>
        <w:snapToGrid w:val="0"/>
        <w:spacing w:line="360" w:lineRule="auto"/>
        <w:jc w:val="right"/>
        <w:rPr>
          <w:rFonts w:ascii="Book Antiqua" w:hAnsi="Book Antiqua"/>
          <w:b/>
          <w:bCs/>
        </w:rPr>
      </w:pPr>
      <w:bookmarkStart w:id="100" w:name="OLE_LINK148"/>
      <w:bookmarkStart w:id="101" w:name="OLE_LINK320"/>
      <w:bookmarkStart w:id="102" w:name="OLE_LINK387"/>
      <w:bookmarkStart w:id="103" w:name="OLE_LINK254"/>
      <w:bookmarkStart w:id="104" w:name="OLE_LINK149"/>
      <w:bookmarkStart w:id="105" w:name="OLE_LINK225"/>
      <w:bookmarkStart w:id="106" w:name="OLE_LINK207"/>
      <w:bookmarkStart w:id="107" w:name="OLE_LINK226"/>
      <w:bookmarkStart w:id="108" w:name="OLE_LINK212"/>
      <w:bookmarkStart w:id="109" w:name="OLE_LINK250"/>
      <w:bookmarkStart w:id="110" w:name="OLE_LINK281"/>
      <w:bookmarkStart w:id="111" w:name="OLE_LINK282"/>
      <w:bookmarkStart w:id="112" w:name="OLE_LINK313"/>
      <w:bookmarkStart w:id="113" w:name="OLE_LINK304"/>
      <w:bookmarkStart w:id="114" w:name="OLE_LINK321"/>
      <w:bookmarkStart w:id="115" w:name="OLE_LINK385"/>
      <w:bookmarkStart w:id="116" w:name="OLE_LINK400"/>
      <w:bookmarkStart w:id="117" w:name="OLE_LINK346"/>
      <w:bookmarkStart w:id="118" w:name="OLE_LINK371"/>
      <w:bookmarkStart w:id="119" w:name="OLE_LINK334"/>
      <w:bookmarkStart w:id="120" w:name="OLE_LINK1830"/>
      <w:bookmarkStart w:id="121" w:name="OLE_LINK457"/>
      <w:bookmarkStart w:id="122" w:name="OLE_LINK288"/>
      <w:bookmarkStart w:id="123" w:name="OLE_LINK384"/>
      <w:bookmarkStart w:id="124" w:name="OLE_LINK379"/>
      <w:bookmarkStart w:id="125" w:name="OLE_LINK303"/>
      <w:bookmarkStart w:id="126" w:name="OLE_LINK450"/>
      <w:bookmarkStart w:id="127" w:name="OLE_LINK489"/>
      <w:bookmarkStart w:id="128" w:name="OLE_LINK535"/>
      <w:bookmarkStart w:id="129" w:name="OLE_LINK648"/>
      <w:bookmarkStart w:id="130" w:name="OLE_LINK686"/>
      <w:bookmarkStart w:id="131" w:name="OLE_LINK471"/>
      <w:bookmarkStart w:id="132" w:name="OLE_LINK462"/>
      <w:bookmarkStart w:id="133" w:name="OLE_LINK519"/>
      <w:bookmarkStart w:id="134" w:name="OLE_LINK575"/>
      <w:bookmarkStart w:id="135" w:name="OLE_LINK491"/>
      <w:bookmarkStart w:id="136" w:name="OLE_LINK532"/>
      <w:bookmarkStart w:id="137" w:name="OLE_LINK572"/>
      <w:bookmarkStart w:id="138" w:name="OLE_LINK574"/>
      <w:bookmarkStart w:id="139" w:name="OLE_LINK480"/>
      <w:bookmarkStart w:id="140" w:name="OLE_LINK567"/>
      <w:bookmarkStart w:id="141" w:name="OLE_LINK2700"/>
      <w:bookmarkStart w:id="142" w:name="OLE_LINK581"/>
      <w:bookmarkStart w:id="143" w:name="OLE_LINK639"/>
      <w:bookmarkStart w:id="144" w:name="OLE_LINK688"/>
      <w:bookmarkStart w:id="145" w:name="OLE_LINK722"/>
      <w:bookmarkStart w:id="146" w:name="OLE_LINK542"/>
      <w:bookmarkStart w:id="147" w:name="OLE_LINK589"/>
      <w:bookmarkStart w:id="148" w:name="OLE_LINK582"/>
      <w:bookmarkStart w:id="149" w:name="OLE_LINK640"/>
      <w:bookmarkStart w:id="150" w:name="OLE_LINK714"/>
      <w:bookmarkStart w:id="151" w:name="OLE_LINK593"/>
      <w:bookmarkStart w:id="152" w:name="OLE_LINK716"/>
      <w:bookmarkStart w:id="153" w:name="OLE_LINK770"/>
      <w:bookmarkStart w:id="154" w:name="OLE_LINK801"/>
      <w:bookmarkStart w:id="155" w:name="OLE_LINK660"/>
      <w:bookmarkStart w:id="156" w:name="OLE_LINK781"/>
      <w:bookmarkStart w:id="157" w:name="OLE_LINK833"/>
      <w:bookmarkStart w:id="158" w:name="OLE_LINK642"/>
      <w:bookmarkStart w:id="159" w:name="OLE_LINK700"/>
      <w:bookmarkStart w:id="160" w:name="OLE_LINK792"/>
      <w:bookmarkStart w:id="161" w:name="OLE_LINK2882"/>
      <w:bookmarkStart w:id="162" w:name="OLE_LINK836"/>
      <w:bookmarkStart w:id="163" w:name="OLE_LINK889"/>
      <w:bookmarkStart w:id="164" w:name="OLE_LINK782"/>
      <w:bookmarkStart w:id="165" w:name="OLE_LINK826"/>
      <w:bookmarkStart w:id="166" w:name="OLE_LINK865"/>
      <w:bookmarkStart w:id="167" w:name="OLE_LINK856"/>
      <w:bookmarkStart w:id="168" w:name="OLE_LINK908"/>
      <w:bookmarkStart w:id="169" w:name="OLE_LINK980"/>
      <w:bookmarkStart w:id="170" w:name="OLE_LINK1018"/>
      <w:bookmarkStart w:id="171" w:name="OLE_LINK1049"/>
      <w:bookmarkStart w:id="172" w:name="OLE_LINK1076"/>
      <w:bookmarkStart w:id="173" w:name="OLE_LINK1106"/>
      <w:bookmarkStart w:id="174" w:name="OLE_LINK891"/>
      <w:bookmarkStart w:id="175" w:name="OLE_LINK943"/>
      <w:bookmarkStart w:id="176" w:name="OLE_LINK981"/>
      <w:bookmarkStart w:id="177" w:name="OLE_LINK1030"/>
      <w:bookmarkStart w:id="178" w:name="OLE_LINK847"/>
      <w:bookmarkStart w:id="179" w:name="OLE_LINK909"/>
      <w:bookmarkStart w:id="180" w:name="OLE_LINK906"/>
      <w:bookmarkStart w:id="181" w:name="OLE_LINK992"/>
      <w:bookmarkStart w:id="182" w:name="OLE_LINK993"/>
      <w:bookmarkStart w:id="183" w:name="OLE_LINK1052"/>
      <w:bookmarkStart w:id="184" w:name="OLE_LINK946"/>
      <w:bookmarkStart w:id="185" w:name="OLE_LINK911"/>
      <w:bookmarkStart w:id="186" w:name="OLE_LINK930"/>
      <w:bookmarkStart w:id="187" w:name="OLE_LINK1059"/>
      <w:bookmarkStart w:id="188" w:name="OLE_LINK1174"/>
      <w:bookmarkStart w:id="189" w:name="OLE_LINK1137"/>
      <w:bookmarkStart w:id="190" w:name="OLE_LINK1167"/>
      <w:bookmarkStart w:id="191" w:name="OLE_LINK1200"/>
      <w:bookmarkStart w:id="192" w:name="OLE_LINK1241"/>
      <w:bookmarkStart w:id="193" w:name="OLE_LINK1288"/>
      <w:bookmarkStart w:id="194" w:name="OLE_LINK1056"/>
      <w:bookmarkStart w:id="195" w:name="OLE_LINK1158"/>
      <w:bookmarkStart w:id="196" w:name="OLE_LINK1175"/>
      <w:bookmarkStart w:id="197" w:name="OLE_LINK1074"/>
      <w:bookmarkStart w:id="198" w:name="OLE_LINK1169"/>
      <w:bookmarkStart w:id="199" w:name="OLE_LINK386"/>
      <w:bookmarkStart w:id="200" w:name="OLE_LINK105"/>
      <w:bookmarkStart w:id="201" w:name="OLE_LINK261"/>
      <w:bookmarkStart w:id="202" w:name="OLE_LINK91"/>
      <w:bookmarkStart w:id="203" w:name="OLE_LINK103"/>
      <w:bookmarkStart w:id="204" w:name="OLE_LINK104"/>
      <w:bookmarkStart w:id="205" w:name="OLE_LINK455"/>
      <w:bookmarkStart w:id="206" w:name="OLE_LINK498"/>
      <w:bookmarkStart w:id="207" w:name="OLE_LINK33"/>
      <w:bookmarkStart w:id="208" w:name="OLE_LINK34"/>
      <w:bookmarkEnd w:id="99"/>
      <w:r w:rsidRPr="00A35CEC">
        <w:rPr>
          <w:rFonts w:ascii="Book Antiqua" w:hAnsi="Book Antiqua"/>
          <w:b/>
          <w:bCs/>
        </w:rPr>
        <w:t xml:space="preserve"> P-Reviewer: </w:t>
      </w:r>
      <w:r w:rsidRPr="00A35CEC">
        <w:rPr>
          <w:rFonts w:ascii="Book Antiqua" w:hAnsi="Book Antiqua"/>
          <w:bCs/>
        </w:rPr>
        <w:t>El-</w:t>
      </w:r>
      <w:proofErr w:type="spellStart"/>
      <w:r w:rsidRPr="00A35CEC">
        <w:rPr>
          <w:rFonts w:ascii="Book Antiqua" w:hAnsi="Book Antiqua"/>
          <w:bCs/>
        </w:rPr>
        <w:t>Shabrawi</w:t>
      </w:r>
      <w:proofErr w:type="spellEnd"/>
      <w:r w:rsidRPr="00A35CEC">
        <w:rPr>
          <w:rFonts w:ascii="Book Antiqua" w:hAnsi="Book Antiqua"/>
          <w:bCs/>
        </w:rPr>
        <w:t xml:space="preserve"> </w:t>
      </w:r>
      <w:proofErr w:type="spellStart"/>
      <w:r w:rsidRPr="00A35CEC">
        <w:rPr>
          <w:rFonts w:ascii="Book Antiqua" w:hAnsi="Book Antiqua"/>
          <w:bCs/>
        </w:rPr>
        <w:t>MHF</w:t>
      </w:r>
      <w:proofErr w:type="spellEnd"/>
      <w:r w:rsidRPr="00A35CEC">
        <w:rPr>
          <w:rFonts w:ascii="Book Antiqua" w:hAnsi="Book Antiqua"/>
          <w:bCs/>
        </w:rPr>
        <w:t xml:space="preserve">, </w:t>
      </w:r>
      <w:proofErr w:type="spellStart"/>
      <w:r w:rsidRPr="00A35CEC">
        <w:rPr>
          <w:rFonts w:ascii="Book Antiqua" w:hAnsi="Book Antiqua"/>
          <w:bCs/>
        </w:rPr>
        <w:t>Gencdal</w:t>
      </w:r>
      <w:proofErr w:type="spellEnd"/>
      <w:r w:rsidRPr="00A35CEC">
        <w:rPr>
          <w:rFonts w:ascii="Book Antiqua" w:hAnsi="Book Antiqua"/>
          <w:bCs/>
        </w:rPr>
        <w:t xml:space="preserve"> G</w:t>
      </w:r>
    </w:p>
    <w:p w14:paraId="16E5DB14" w14:textId="3EDC190E" w:rsidR="00FC5554" w:rsidRPr="001C18C3" w:rsidRDefault="00FC5554" w:rsidP="001C18C3">
      <w:pPr>
        <w:wordWrap w:val="0"/>
        <w:snapToGrid w:val="0"/>
        <w:spacing w:line="360" w:lineRule="auto"/>
        <w:jc w:val="right"/>
        <w:rPr>
          <w:rFonts w:ascii="Book Antiqua" w:eastAsia="宋体" w:hAnsi="Book Antiqua" w:hint="eastAsia"/>
        </w:rPr>
      </w:pPr>
      <w:r w:rsidRPr="00A35CEC">
        <w:rPr>
          <w:rFonts w:ascii="Book Antiqua" w:hAnsi="Book Antiqua"/>
          <w:b/>
          <w:bCs/>
        </w:rPr>
        <w:t>S-Editor:</w:t>
      </w:r>
      <w:r w:rsidRPr="00A35CEC">
        <w:rPr>
          <w:rFonts w:ascii="Book Antiqua" w:hAnsi="Book Antiqua"/>
        </w:rPr>
        <w:t xml:space="preserve"> Ma </w:t>
      </w:r>
      <w:proofErr w:type="spellStart"/>
      <w:r w:rsidRPr="00A35CEC">
        <w:rPr>
          <w:rFonts w:ascii="Book Antiqua" w:hAnsi="Book Antiqua"/>
        </w:rPr>
        <w:t>RY</w:t>
      </w:r>
      <w:proofErr w:type="spellEnd"/>
      <w:r w:rsidRPr="00A35CEC">
        <w:rPr>
          <w:rFonts w:ascii="Book Antiqua" w:hAnsi="Book Antiqua"/>
        </w:rPr>
        <w:t xml:space="preserve"> </w:t>
      </w:r>
      <w:r w:rsidRPr="00A35CEC">
        <w:rPr>
          <w:rFonts w:ascii="Book Antiqua" w:hAnsi="Book Antiqua"/>
          <w:b/>
          <w:bCs/>
        </w:rPr>
        <w:t>L-Editor:</w:t>
      </w:r>
      <w:r w:rsidRPr="00A35CEC">
        <w:rPr>
          <w:rFonts w:ascii="Book Antiqua" w:hAnsi="Book Antiqua"/>
        </w:rPr>
        <w:t xml:space="preserve"> </w:t>
      </w:r>
      <w:proofErr w:type="spellStart"/>
      <w:r w:rsidR="005948D9" w:rsidRPr="00A35CEC">
        <w:rPr>
          <w:rFonts w:ascii="Book Antiqua" w:hAnsi="Book Antiqua"/>
        </w:rPr>
        <w:t>Filipodia</w:t>
      </w:r>
      <w:proofErr w:type="spellEnd"/>
      <w:r w:rsidR="005948D9" w:rsidRPr="00A35CEC">
        <w:rPr>
          <w:rFonts w:ascii="Book Antiqua" w:hAnsi="Book Antiqua"/>
        </w:rPr>
        <w:t xml:space="preserve"> </w:t>
      </w:r>
      <w:r w:rsidRPr="00A35CEC">
        <w:rPr>
          <w:rFonts w:ascii="Book Antiqua" w:hAnsi="Book Antiqua"/>
          <w:b/>
          <w:bCs/>
        </w:rPr>
        <w:t>E-Editor:</w:t>
      </w:r>
      <w:r w:rsidR="001C18C3">
        <w:rPr>
          <w:rFonts w:ascii="Book Antiqua" w:eastAsia="宋体" w:hAnsi="Book Antiqua" w:hint="eastAsia"/>
          <w:b/>
          <w:bCs/>
        </w:rPr>
        <w:t xml:space="preserve"> </w:t>
      </w:r>
      <w:bookmarkStart w:id="209" w:name="_GoBack"/>
      <w:r w:rsidR="001C18C3" w:rsidRPr="001C18C3">
        <w:rPr>
          <w:rFonts w:ascii="Book Antiqua" w:eastAsia="宋体" w:hAnsi="Book Antiqua" w:hint="eastAsia"/>
          <w:bCs/>
        </w:rPr>
        <w:t>Huang Y</w:t>
      </w:r>
      <w:bookmarkEnd w:id="209"/>
    </w:p>
    <w:p w14:paraId="5B706E1A" w14:textId="77777777" w:rsidR="0029711C" w:rsidRPr="00A35CEC" w:rsidRDefault="0029711C">
      <w:pPr>
        <w:shd w:val="clear" w:color="auto" w:fill="FFFFFF"/>
        <w:snapToGrid w:val="0"/>
        <w:spacing w:line="360" w:lineRule="auto"/>
        <w:jc w:val="both"/>
        <w:rPr>
          <w:rFonts w:ascii="Book Antiqua" w:hAnsi="Book Antiqua" w:cs="Helvetica"/>
          <w:b/>
        </w:rPr>
      </w:pPr>
      <w:bookmarkStart w:id="210" w:name="OLE_LINK880"/>
      <w:bookmarkStart w:id="211" w:name="OLE_LINK88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E229F3D" w14:textId="77777777" w:rsidR="0029711C" w:rsidRPr="00A35CEC" w:rsidRDefault="0029711C">
      <w:pPr>
        <w:shd w:val="clear" w:color="auto" w:fill="FFFFFF"/>
        <w:snapToGrid w:val="0"/>
        <w:spacing w:line="360" w:lineRule="auto"/>
        <w:jc w:val="both"/>
        <w:rPr>
          <w:rFonts w:ascii="Book Antiqua" w:hAnsi="Book Antiqua" w:cs="Helvetica"/>
          <w:b/>
        </w:rPr>
      </w:pPr>
    </w:p>
    <w:p w14:paraId="0B1259F2" w14:textId="033CCA1E" w:rsidR="00FC5554" w:rsidRPr="00A35CEC" w:rsidRDefault="00FC5554">
      <w:pPr>
        <w:shd w:val="clear" w:color="auto" w:fill="FFFFFF"/>
        <w:snapToGrid w:val="0"/>
        <w:spacing w:line="360" w:lineRule="auto"/>
        <w:jc w:val="both"/>
        <w:rPr>
          <w:rFonts w:ascii="Book Antiqua" w:hAnsi="Book Antiqua" w:cs="Helvetica"/>
          <w:b/>
        </w:rPr>
      </w:pPr>
      <w:r w:rsidRPr="00A35CEC">
        <w:rPr>
          <w:rFonts w:ascii="Book Antiqua" w:hAnsi="Book Antiqua" w:cs="Helvetica"/>
          <w:b/>
        </w:rPr>
        <w:t xml:space="preserve">Specialty type: </w:t>
      </w:r>
      <w:r w:rsidRPr="00A35CEC">
        <w:rPr>
          <w:rFonts w:ascii="Book Antiqua" w:hAnsi="Book Antiqua" w:cs="Helvetica"/>
        </w:rPr>
        <w:t xml:space="preserve">Gastroenterology and </w:t>
      </w:r>
      <w:proofErr w:type="spellStart"/>
      <w:r w:rsidRPr="00A35CEC">
        <w:rPr>
          <w:rFonts w:ascii="Book Antiqua" w:hAnsi="Book Antiqua" w:cs="Helvetica"/>
        </w:rPr>
        <w:t>hepatology</w:t>
      </w:r>
      <w:proofErr w:type="spellEnd"/>
    </w:p>
    <w:p w14:paraId="5A115DEC" w14:textId="168FB56B" w:rsidR="00FC5554" w:rsidRPr="00A35CEC" w:rsidRDefault="00FC5554">
      <w:pPr>
        <w:shd w:val="clear" w:color="auto" w:fill="FFFFFF"/>
        <w:snapToGrid w:val="0"/>
        <w:spacing w:line="360" w:lineRule="auto"/>
        <w:jc w:val="both"/>
        <w:rPr>
          <w:rFonts w:ascii="Book Antiqua" w:hAnsi="Book Antiqua" w:cs="Helvetica"/>
          <w:b/>
        </w:rPr>
      </w:pPr>
      <w:r w:rsidRPr="00A35CEC">
        <w:rPr>
          <w:rFonts w:ascii="Book Antiqua" w:hAnsi="Book Antiqua" w:cs="Helvetica"/>
          <w:b/>
        </w:rPr>
        <w:t xml:space="preserve">Country of origin: </w:t>
      </w:r>
      <w:r w:rsidRPr="00A35CEC">
        <w:rPr>
          <w:rFonts w:ascii="Book Antiqua" w:hAnsi="Book Antiqua" w:cs="Helvetica"/>
        </w:rPr>
        <w:t>Greece</w:t>
      </w:r>
    </w:p>
    <w:p w14:paraId="674D0BBC" w14:textId="77777777" w:rsidR="00FC5554" w:rsidRPr="00A35CEC" w:rsidRDefault="00FC5554">
      <w:pPr>
        <w:shd w:val="clear" w:color="auto" w:fill="FFFFFF"/>
        <w:snapToGrid w:val="0"/>
        <w:spacing w:line="360" w:lineRule="auto"/>
        <w:jc w:val="both"/>
        <w:rPr>
          <w:rFonts w:ascii="Book Antiqua" w:hAnsi="Book Antiqua" w:cs="Helvetica"/>
          <w:b/>
        </w:rPr>
      </w:pPr>
      <w:r w:rsidRPr="00A35CEC">
        <w:rPr>
          <w:rFonts w:ascii="Book Antiqua" w:hAnsi="Book Antiqua" w:cs="Helvetica"/>
          <w:b/>
        </w:rPr>
        <w:t>Peer-review report classification</w:t>
      </w:r>
    </w:p>
    <w:p w14:paraId="11C825CF" w14:textId="4E3419F8" w:rsidR="00FC5554" w:rsidRPr="00A35CEC" w:rsidRDefault="00FC5554">
      <w:pPr>
        <w:shd w:val="clear" w:color="auto" w:fill="FFFFFF"/>
        <w:snapToGrid w:val="0"/>
        <w:spacing w:line="360" w:lineRule="auto"/>
        <w:jc w:val="both"/>
        <w:rPr>
          <w:rFonts w:ascii="Book Antiqua" w:hAnsi="Book Antiqua" w:cs="Helvetica"/>
        </w:rPr>
      </w:pPr>
      <w:r w:rsidRPr="00A35CEC">
        <w:rPr>
          <w:rFonts w:ascii="Book Antiqua" w:hAnsi="Book Antiqua" w:cs="Helvetica"/>
        </w:rPr>
        <w:t>Grade A (Excellent): A</w:t>
      </w:r>
    </w:p>
    <w:p w14:paraId="465F2900" w14:textId="77777777" w:rsidR="00FC5554" w:rsidRPr="00A35CEC" w:rsidRDefault="00FC5554">
      <w:pPr>
        <w:shd w:val="clear" w:color="auto" w:fill="FFFFFF"/>
        <w:snapToGrid w:val="0"/>
        <w:spacing w:line="360" w:lineRule="auto"/>
        <w:jc w:val="both"/>
        <w:rPr>
          <w:rFonts w:ascii="Book Antiqua" w:hAnsi="Book Antiqua" w:cs="Helvetica"/>
        </w:rPr>
      </w:pPr>
      <w:r w:rsidRPr="00A35CEC">
        <w:rPr>
          <w:rFonts w:ascii="Book Antiqua" w:hAnsi="Book Antiqua" w:cs="Helvetica"/>
        </w:rPr>
        <w:t>Grade B (Very good): B</w:t>
      </w:r>
    </w:p>
    <w:p w14:paraId="4BB4C4AF" w14:textId="123938E5" w:rsidR="00FC5554" w:rsidRPr="00A35CEC" w:rsidRDefault="00FC5554">
      <w:pPr>
        <w:shd w:val="clear" w:color="auto" w:fill="FFFFFF"/>
        <w:snapToGrid w:val="0"/>
        <w:spacing w:line="360" w:lineRule="auto"/>
        <w:jc w:val="both"/>
        <w:rPr>
          <w:rFonts w:ascii="Book Antiqua" w:hAnsi="Book Antiqua" w:cs="Helvetica"/>
        </w:rPr>
      </w:pPr>
      <w:r w:rsidRPr="00A35CEC">
        <w:rPr>
          <w:rFonts w:ascii="Book Antiqua" w:hAnsi="Book Antiqua" w:cs="Helvetica"/>
        </w:rPr>
        <w:t>Grade C (Good): 0</w:t>
      </w:r>
    </w:p>
    <w:p w14:paraId="70EA45B0" w14:textId="77777777" w:rsidR="00FC5554" w:rsidRPr="00A35CEC" w:rsidRDefault="00FC5554">
      <w:pPr>
        <w:shd w:val="clear" w:color="auto" w:fill="FFFFFF"/>
        <w:snapToGrid w:val="0"/>
        <w:spacing w:line="360" w:lineRule="auto"/>
        <w:jc w:val="both"/>
        <w:rPr>
          <w:rFonts w:ascii="Book Antiqua" w:hAnsi="Book Antiqua" w:cs="Helvetica"/>
        </w:rPr>
      </w:pPr>
      <w:r w:rsidRPr="00A35CEC">
        <w:rPr>
          <w:rFonts w:ascii="Book Antiqua" w:hAnsi="Book Antiqua" w:cs="Helvetica"/>
        </w:rPr>
        <w:t>Grade D (Fair): 0</w:t>
      </w:r>
    </w:p>
    <w:p w14:paraId="66806227" w14:textId="77777777" w:rsidR="00FC5554" w:rsidRPr="00A35CEC" w:rsidRDefault="00FC5554">
      <w:pPr>
        <w:snapToGrid w:val="0"/>
        <w:spacing w:line="360" w:lineRule="auto"/>
        <w:jc w:val="both"/>
        <w:rPr>
          <w:rFonts w:ascii="Book Antiqua" w:hAnsi="Book Antiqua"/>
          <w:b/>
          <w:iCs/>
        </w:rPr>
      </w:pPr>
      <w:r w:rsidRPr="00A35CEC">
        <w:rPr>
          <w:rFonts w:ascii="Book Antiqua" w:hAnsi="Book Antiqua" w:cs="Helvetica"/>
        </w:rPr>
        <w:t>Grade E (Poor): 0</w:t>
      </w:r>
      <w:bookmarkEnd w:id="199"/>
      <w:bookmarkEnd w:id="210"/>
      <w:bookmarkEnd w:id="211"/>
    </w:p>
    <w:bookmarkEnd w:id="200"/>
    <w:bookmarkEnd w:id="201"/>
    <w:bookmarkEnd w:id="202"/>
    <w:bookmarkEnd w:id="203"/>
    <w:bookmarkEnd w:id="204"/>
    <w:bookmarkEnd w:id="205"/>
    <w:bookmarkEnd w:id="206"/>
    <w:bookmarkEnd w:id="207"/>
    <w:bookmarkEnd w:id="208"/>
    <w:p w14:paraId="3CFF27B2" w14:textId="77777777" w:rsidR="00F031F7" w:rsidRPr="00A35CEC" w:rsidRDefault="00F031F7">
      <w:pPr>
        <w:adjustRightInd w:val="0"/>
        <w:snapToGrid w:val="0"/>
        <w:spacing w:line="360" w:lineRule="auto"/>
        <w:jc w:val="both"/>
        <w:rPr>
          <w:rFonts w:ascii="Book Antiqua" w:hAnsi="Book Antiqua"/>
          <w:b/>
        </w:rPr>
      </w:pPr>
    </w:p>
    <w:p w14:paraId="23A29D80" w14:textId="3C09470D" w:rsidR="00F031F7" w:rsidRPr="00A35CEC" w:rsidRDefault="00FC5554">
      <w:pPr>
        <w:adjustRightInd w:val="0"/>
        <w:snapToGrid w:val="0"/>
        <w:spacing w:line="360" w:lineRule="auto"/>
        <w:jc w:val="both"/>
        <w:rPr>
          <w:rFonts w:ascii="Book Antiqua" w:hAnsi="Book Antiqua"/>
          <w:b/>
        </w:rPr>
      </w:pPr>
      <w:bookmarkStart w:id="212" w:name="_Hlk489275824"/>
      <w:r w:rsidRPr="00A35CEC">
        <w:rPr>
          <w:rFonts w:ascii="Book Antiqua" w:hAnsi="Book Antiqua"/>
          <w:b/>
        </w:rPr>
        <w:br w:type="page"/>
      </w:r>
      <w:r w:rsidR="00F031F7" w:rsidRPr="00A35CEC">
        <w:rPr>
          <w:rFonts w:ascii="Book Antiqua" w:hAnsi="Book Antiqua"/>
          <w:b/>
        </w:rPr>
        <w:lastRenderedPageBreak/>
        <w:t>Table 1</w:t>
      </w:r>
      <w:r w:rsidR="006F3065" w:rsidRPr="00A35CEC">
        <w:rPr>
          <w:rFonts w:ascii="Book Antiqua" w:hAnsi="Book Antiqua"/>
          <w:b/>
        </w:rPr>
        <w:t xml:space="preserve"> </w:t>
      </w:r>
      <w:r w:rsidR="00F031F7" w:rsidRPr="00A35CEC">
        <w:rPr>
          <w:rFonts w:ascii="Book Antiqua" w:hAnsi="Book Antiqua"/>
          <w:b/>
        </w:rPr>
        <w:t xml:space="preserve">Evaluated scenarios for projections of the future burden of </w:t>
      </w:r>
      <w:r w:rsidR="006F3065" w:rsidRPr="00A35CEC">
        <w:rPr>
          <w:rFonts w:ascii="Book Antiqua" w:hAnsi="Book Antiqua"/>
          <w:b/>
        </w:rPr>
        <w:t>h</w:t>
      </w:r>
      <w:r w:rsidR="006968E3" w:rsidRPr="00A35CEC">
        <w:rPr>
          <w:rFonts w:ascii="Book Antiqua" w:hAnsi="Book Antiqua"/>
          <w:b/>
        </w:rPr>
        <w:t xml:space="preserve">epatitis C </w:t>
      </w:r>
      <w:r w:rsidR="00F031F7" w:rsidRPr="00A35CEC">
        <w:rPr>
          <w:rFonts w:ascii="Book Antiqua" w:hAnsi="Book Antiqua"/>
          <w:b/>
        </w:rPr>
        <w:t>infection in Greece</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1482"/>
        <w:gridCol w:w="1483"/>
        <w:gridCol w:w="1483"/>
        <w:gridCol w:w="1476"/>
        <w:gridCol w:w="1490"/>
        <w:gridCol w:w="1483"/>
      </w:tblGrid>
      <w:tr w:rsidR="00342141" w:rsidRPr="00A35CEC" w14:paraId="14BCCA4E" w14:textId="77777777" w:rsidTr="00C6436F">
        <w:trPr>
          <w:tblHeader/>
        </w:trPr>
        <w:tc>
          <w:tcPr>
            <w:tcW w:w="1482" w:type="dxa"/>
            <w:tcBorders>
              <w:top w:val="single" w:sz="4" w:space="0" w:color="auto"/>
              <w:bottom w:val="single" w:sz="4" w:space="0" w:color="auto"/>
            </w:tcBorders>
          </w:tcPr>
          <w:p w14:paraId="0916929D" w14:textId="6C866BF0" w:rsidR="00F031F7" w:rsidRPr="00A35CEC" w:rsidRDefault="006F3065">
            <w:pPr>
              <w:adjustRightInd w:val="0"/>
              <w:snapToGrid w:val="0"/>
              <w:spacing w:line="360" w:lineRule="auto"/>
              <w:jc w:val="both"/>
              <w:rPr>
                <w:rFonts w:ascii="Book Antiqua" w:hAnsi="Book Antiqua"/>
                <w:b/>
              </w:rPr>
            </w:pPr>
            <w:r w:rsidRPr="00A35CEC">
              <w:rPr>
                <w:rFonts w:ascii="Book Antiqua" w:hAnsi="Book Antiqua"/>
                <w:b/>
              </w:rPr>
              <w:t>Scenario</w:t>
            </w:r>
          </w:p>
        </w:tc>
        <w:tc>
          <w:tcPr>
            <w:tcW w:w="1483" w:type="dxa"/>
            <w:tcBorders>
              <w:top w:val="single" w:sz="4" w:space="0" w:color="auto"/>
              <w:bottom w:val="single" w:sz="4" w:space="0" w:color="auto"/>
            </w:tcBorders>
          </w:tcPr>
          <w:p w14:paraId="4203359A"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b/>
              </w:rPr>
              <w:t>Year</w:t>
            </w:r>
          </w:p>
        </w:tc>
        <w:tc>
          <w:tcPr>
            <w:tcW w:w="1483" w:type="dxa"/>
            <w:tcBorders>
              <w:top w:val="single" w:sz="4" w:space="0" w:color="auto"/>
              <w:bottom w:val="single" w:sz="4" w:space="0" w:color="auto"/>
            </w:tcBorders>
          </w:tcPr>
          <w:p w14:paraId="102C2100" w14:textId="66710576" w:rsidR="00F031F7" w:rsidRPr="00A35CEC" w:rsidRDefault="00F031F7">
            <w:pPr>
              <w:adjustRightInd w:val="0"/>
              <w:snapToGrid w:val="0"/>
              <w:spacing w:line="360" w:lineRule="auto"/>
              <w:jc w:val="center"/>
              <w:rPr>
                <w:rFonts w:ascii="Book Antiqua" w:hAnsi="Book Antiqua"/>
              </w:rPr>
            </w:pPr>
            <w:proofErr w:type="spellStart"/>
            <w:r w:rsidRPr="00A35CEC">
              <w:rPr>
                <w:rFonts w:ascii="Book Antiqua" w:hAnsi="Book Antiqua"/>
                <w:b/>
              </w:rPr>
              <w:t>SVR</w:t>
            </w:r>
            <w:proofErr w:type="spellEnd"/>
          </w:p>
        </w:tc>
        <w:tc>
          <w:tcPr>
            <w:tcW w:w="1476" w:type="dxa"/>
            <w:tcBorders>
              <w:top w:val="single" w:sz="4" w:space="0" w:color="auto"/>
              <w:bottom w:val="single" w:sz="4" w:space="0" w:color="auto"/>
            </w:tcBorders>
          </w:tcPr>
          <w:p w14:paraId="07FABE7E" w14:textId="629E4967" w:rsidR="00F031F7" w:rsidRPr="00A35CEC" w:rsidRDefault="00C6436F">
            <w:pPr>
              <w:autoSpaceDE w:val="0"/>
              <w:autoSpaceDN w:val="0"/>
              <w:adjustRightInd w:val="0"/>
              <w:snapToGrid w:val="0"/>
              <w:spacing w:line="360" w:lineRule="auto"/>
              <w:jc w:val="center"/>
              <w:rPr>
                <w:rFonts w:ascii="Book Antiqua" w:hAnsi="Book Antiqua"/>
                <w:b/>
              </w:rPr>
            </w:pPr>
            <w:r w:rsidRPr="00A35CEC">
              <w:rPr>
                <w:rFonts w:ascii="Book Antiqua" w:hAnsi="Book Antiqua"/>
                <w:b/>
              </w:rPr>
              <w:t xml:space="preserve">Treatment coverage/ </w:t>
            </w:r>
            <w:proofErr w:type="spellStart"/>
            <w:r w:rsidRPr="00A35CEC">
              <w:rPr>
                <w:rFonts w:ascii="Book Antiqua" w:hAnsi="Book Antiqua"/>
                <w:b/>
              </w:rPr>
              <w:t>y</w:t>
            </w:r>
            <w:r w:rsidR="00F031F7" w:rsidRPr="00A35CEC">
              <w:rPr>
                <w:rFonts w:ascii="Book Antiqua" w:hAnsi="Book Antiqua"/>
                <w:b/>
              </w:rPr>
              <w:t>r</w:t>
            </w:r>
            <w:proofErr w:type="spellEnd"/>
          </w:p>
        </w:tc>
        <w:tc>
          <w:tcPr>
            <w:tcW w:w="1490" w:type="dxa"/>
            <w:tcBorders>
              <w:top w:val="single" w:sz="4" w:space="0" w:color="auto"/>
              <w:bottom w:val="single" w:sz="4" w:space="0" w:color="auto"/>
            </w:tcBorders>
          </w:tcPr>
          <w:p w14:paraId="396A91CF" w14:textId="77777777" w:rsidR="00F031F7" w:rsidRPr="00A35CEC" w:rsidRDefault="00F031F7">
            <w:pPr>
              <w:autoSpaceDE w:val="0"/>
              <w:autoSpaceDN w:val="0"/>
              <w:adjustRightInd w:val="0"/>
              <w:snapToGrid w:val="0"/>
              <w:spacing w:line="360" w:lineRule="auto"/>
              <w:jc w:val="center"/>
              <w:rPr>
                <w:rFonts w:ascii="Book Antiqua" w:hAnsi="Book Antiqua"/>
                <w:b/>
              </w:rPr>
            </w:pPr>
            <w:r w:rsidRPr="00A35CEC">
              <w:rPr>
                <w:rFonts w:ascii="Book Antiqua" w:hAnsi="Book Antiqua"/>
                <w:b/>
              </w:rPr>
              <w:t>Fibrosis stage</w:t>
            </w:r>
          </w:p>
        </w:tc>
        <w:tc>
          <w:tcPr>
            <w:tcW w:w="1483" w:type="dxa"/>
            <w:tcBorders>
              <w:top w:val="single" w:sz="4" w:space="0" w:color="auto"/>
              <w:bottom w:val="single" w:sz="4" w:space="0" w:color="auto"/>
            </w:tcBorders>
          </w:tcPr>
          <w:p w14:paraId="48688837" w14:textId="77777777" w:rsidR="00F031F7" w:rsidRPr="00A35CEC" w:rsidRDefault="00F031F7">
            <w:pPr>
              <w:autoSpaceDE w:val="0"/>
              <w:autoSpaceDN w:val="0"/>
              <w:adjustRightInd w:val="0"/>
              <w:snapToGrid w:val="0"/>
              <w:spacing w:line="360" w:lineRule="auto"/>
              <w:jc w:val="center"/>
              <w:rPr>
                <w:rFonts w:ascii="Book Antiqua" w:hAnsi="Book Antiqua"/>
                <w:b/>
              </w:rPr>
            </w:pPr>
            <w:r w:rsidRPr="00A35CEC">
              <w:rPr>
                <w:rFonts w:ascii="Book Antiqua" w:hAnsi="Book Antiqua"/>
                <w:b/>
              </w:rPr>
              <w:t>Diagnosed patients/</w:t>
            </w:r>
          </w:p>
          <w:p w14:paraId="6D3E93E6" w14:textId="6C5EDD9B" w:rsidR="00F031F7" w:rsidRPr="00A35CEC" w:rsidRDefault="00C6436F">
            <w:pPr>
              <w:autoSpaceDE w:val="0"/>
              <w:autoSpaceDN w:val="0"/>
              <w:adjustRightInd w:val="0"/>
              <w:snapToGrid w:val="0"/>
              <w:spacing w:line="360" w:lineRule="auto"/>
              <w:jc w:val="center"/>
              <w:rPr>
                <w:rFonts w:ascii="Book Antiqua" w:hAnsi="Book Antiqua"/>
                <w:b/>
              </w:rPr>
            </w:pPr>
            <w:proofErr w:type="spellStart"/>
            <w:r w:rsidRPr="00A35CEC">
              <w:rPr>
                <w:rFonts w:ascii="Book Antiqua" w:hAnsi="Book Antiqua"/>
                <w:b/>
              </w:rPr>
              <w:t>y</w:t>
            </w:r>
            <w:r w:rsidR="00F031F7" w:rsidRPr="00A35CEC">
              <w:rPr>
                <w:rFonts w:ascii="Book Antiqua" w:hAnsi="Book Antiqua"/>
                <w:b/>
              </w:rPr>
              <w:t>r</w:t>
            </w:r>
            <w:proofErr w:type="spellEnd"/>
          </w:p>
        </w:tc>
      </w:tr>
      <w:tr w:rsidR="00342141" w:rsidRPr="00A35CEC" w14:paraId="7575B2B5" w14:textId="77777777" w:rsidTr="00C6436F">
        <w:trPr>
          <w:tblHeader/>
        </w:trPr>
        <w:tc>
          <w:tcPr>
            <w:tcW w:w="1482" w:type="dxa"/>
            <w:vMerge w:val="restart"/>
            <w:tcBorders>
              <w:top w:val="single" w:sz="4" w:space="0" w:color="auto"/>
            </w:tcBorders>
          </w:tcPr>
          <w:p w14:paraId="45DFDBC2" w14:textId="5FA99389" w:rsidR="00F031F7" w:rsidRPr="00A35CEC" w:rsidRDefault="00C6436F" w:rsidP="0099395B">
            <w:pPr>
              <w:adjustRightInd w:val="0"/>
              <w:snapToGrid w:val="0"/>
              <w:spacing w:line="360" w:lineRule="auto"/>
              <w:jc w:val="both"/>
              <w:rPr>
                <w:rFonts w:ascii="Book Antiqua" w:hAnsi="Book Antiqua"/>
              </w:rPr>
            </w:pPr>
            <w:r w:rsidRPr="00A35CEC">
              <w:rPr>
                <w:rFonts w:ascii="Book Antiqua" w:hAnsi="Book Antiqua"/>
              </w:rPr>
              <w:t>Base case</w:t>
            </w:r>
          </w:p>
        </w:tc>
        <w:tc>
          <w:tcPr>
            <w:tcW w:w="1483" w:type="dxa"/>
            <w:tcBorders>
              <w:top w:val="single" w:sz="4" w:space="0" w:color="auto"/>
            </w:tcBorders>
          </w:tcPr>
          <w:p w14:paraId="37FE6EBA" w14:textId="4F9AFEB3"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2015-</w:t>
            </w:r>
            <w:r w:rsidR="00C6436F" w:rsidRPr="00A35CEC">
              <w:rPr>
                <w:rFonts w:ascii="Book Antiqua" w:hAnsi="Book Antiqua"/>
              </w:rPr>
              <w:t>20</w:t>
            </w:r>
            <w:r w:rsidRPr="00A35CEC">
              <w:rPr>
                <w:rFonts w:ascii="Book Antiqua" w:hAnsi="Book Antiqua"/>
              </w:rPr>
              <w:t>16</w:t>
            </w:r>
          </w:p>
        </w:tc>
        <w:tc>
          <w:tcPr>
            <w:tcW w:w="1483" w:type="dxa"/>
            <w:tcBorders>
              <w:top w:val="single" w:sz="4" w:space="0" w:color="auto"/>
            </w:tcBorders>
          </w:tcPr>
          <w:p w14:paraId="36EAB9D3" w14:textId="0829F1BF"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90</w:t>
            </w:r>
            <w:r w:rsidR="006F3065" w:rsidRPr="00A35CEC">
              <w:rPr>
                <w:rFonts w:ascii="Book Antiqua" w:hAnsi="Book Antiqua"/>
              </w:rPr>
              <w:t>%</w:t>
            </w:r>
            <w:r w:rsidRPr="00A35CEC">
              <w:rPr>
                <w:rFonts w:ascii="Book Antiqua" w:hAnsi="Book Antiqua"/>
              </w:rPr>
              <w:t>-95%</w:t>
            </w:r>
          </w:p>
        </w:tc>
        <w:tc>
          <w:tcPr>
            <w:tcW w:w="1476" w:type="dxa"/>
            <w:tcBorders>
              <w:top w:val="single" w:sz="4" w:space="0" w:color="auto"/>
            </w:tcBorders>
          </w:tcPr>
          <w:p w14:paraId="65E7AED7" w14:textId="7D324CC6"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1000</w:t>
            </w:r>
          </w:p>
        </w:tc>
        <w:tc>
          <w:tcPr>
            <w:tcW w:w="1490" w:type="dxa"/>
            <w:tcBorders>
              <w:top w:val="single" w:sz="4" w:space="0" w:color="auto"/>
            </w:tcBorders>
          </w:tcPr>
          <w:p w14:paraId="042B4A1F" w14:textId="4A93EED1"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F3</w:t>
            </w:r>
          </w:p>
        </w:tc>
        <w:tc>
          <w:tcPr>
            <w:tcW w:w="1483" w:type="dxa"/>
            <w:tcBorders>
              <w:top w:val="single" w:sz="4" w:space="0" w:color="auto"/>
            </w:tcBorders>
          </w:tcPr>
          <w:p w14:paraId="0BC73CD7"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4000</w:t>
            </w:r>
          </w:p>
        </w:tc>
      </w:tr>
      <w:tr w:rsidR="00342141" w:rsidRPr="00A35CEC" w14:paraId="312A9289" w14:textId="77777777" w:rsidTr="00C6436F">
        <w:trPr>
          <w:tblHeader/>
        </w:trPr>
        <w:tc>
          <w:tcPr>
            <w:tcW w:w="1482" w:type="dxa"/>
            <w:vMerge/>
          </w:tcPr>
          <w:p w14:paraId="3F55C935"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5914CF0B" w14:textId="249DAA4C"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2017-</w:t>
            </w:r>
            <w:r w:rsidR="00C6436F" w:rsidRPr="00A35CEC">
              <w:rPr>
                <w:rFonts w:ascii="Book Antiqua" w:hAnsi="Book Antiqua"/>
              </w:rPr>
              <w:t>20</w:t>
            </w:r>
            <w:r w:rsidRPr="00A35CEC">
              <w:rPr>
                <w:rFonts w:ascii="Book Antiqua" w:hAnsi="Book Antiqua"/>
              </w:rPr>
              <w:t>19</w:t>
            </w:r>
          </w:p>
        </w:tc>
        <w:tc>
          <w:tcPr>
            <w:tcW w:w="1483" w:type="dxa"/>
          </w:tcPr>
          <w:p w14:paraId="0E57BC34"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56DBDD3F" w14:textId="0DB85399"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2000</w:t>
            </w:r>
          </w:p>
        </w:tc>
        <w:tc>
          <w:tcPr>
            <w:tcW w:w="1490" w:type="dxa"/>
          </w:tcPr>
          <w:p w14:paraId="4BC3A93B" w14:textId="7BF3B4A9"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F2</w:t>
            </w:r>
          </w:p>
        </w:tc>
        <w:tc>
          <w:tcPr>
            <w:tcW w:w="1483" w:type="dxa"/>
          </w:tcPr>
          <w:p w14:paraId="2C401321"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3200</w:t>
            </w:r>
          </w:p>
        </w:tc>
      </w:tr>
      <w:tr w:rsidR="00342141" w:rsidRPr="00A35CEC" w14:paraId="0E3F02D0" w14:textId="77777777" w:rsidTr="00C6436F">
        <w:trPr>
          <w:trHeight w:val="492"/>
          <w:tblHeader/>
        </w:trPr>
        <w:tc>
          <w:tcPr>
            <w:tcW w:w="1482" w:type="dxa"/>
            <w:vMerge/>
          </w:tcPr>
          <w:p w14:paraId="4944586D"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5E013273"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2020-2021</w:t>
            </w:r>
          </w:p>
        </w:tc>
        <w:tc>
          <w:tcPr>
            <w:tcW w:w="1483" w:type="dxa"/>
          </w:tcPr>
          <w:p w14:paraId="6EF95259"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6DD901BD" w14:textId="736BDE3C"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1300</w:t>
            </w:r>
          </w:p>
        </w:tc>
        <w:tc>
          <w:tcPr>
            <w:tcW w:w="1490" w:type="dxa"/>
          </w:tcPr>
          <w:p w14:paraId="39248E98" w14:textId="335911D9"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F2</w:t>
            </w:r>
          </w:p>
        </w:tc>
        <w:tc>
          <w:tcPr>
            <w:tcW w:w="1483" w:type="dxa"/>
          </w:tcPr>
          <w:p w14:paraId="4A7F3C74"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2000</w:t>
            </w:r>
          </w:p>
        </w:tc>
      </w:tr>
      <w:tr w:rsidR="00342141" w:rsidRPr="00A35CEC" w14:paraId="6DD8AE4D" w14:textId="77777777" w:rsidTr="00C6436F">
        <w:trPr>
          <w:tblHeader/>
        </w:trPr>
        <w:tc>
          <w:tcPr>
            <w:tcW w:w="1482" w:type="dxa"/>
            <w:vMerge/>
          </w:tcPr>
          <w:p w14:paraId="225BA2C8"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3080957E"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2022-2023</w:t>
            </w:r>
          </w:p>
        </w:tc>
        <w:tc>
          <w:tcPr>
            <w:tcW w:w="1483" w:type="dxa"/>
          </w:tcPr>
          <w:p w14:paraId="4FF3DD83"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5985C327" w14:textId="0C3992D8"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1000</w:t>
            </w:r>
          </w:p>
        </w:tc>
        <w:tc>
          <w:tcPr>
            <w:tcW w:w="1490" w:type="dxa"/>
          </w:tcPr>
          <w:p w14:paraId="7B9CA3D4" w14:textId="7819B6C4"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F2</w:t>
            </w:r>
          </w:p>
        </w:tc>
        <w:tc>
          <w:tcPr>
            <w:tcW w:w="1483" w:type="dxa"/>
          </w:tcPr>
          <w:p w14:paraId="4345F51A"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1400</w:t>
            </w:r>
          </w:p>
        </w:tc>
      </w:tr>
      <w:tr w:rsidR="00342141" w:rsidRPr="00A35CEC" w14:paraId="47A8E2A9" w14:textId="77777777" w:rsidTr="00C6436F">
        <w:trPr>
          <w:tblHeader/>
        </w:trPr>
        <w:tc>
          <w:tcPr>
            <w:tcW w:w="1482" w:type="dxa"/>
            <w:vMerge/>
          </w:tcPr>
          <w:p w14:paraId="2CA3A13B"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1C6D2595"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2024-2035</w:t>
            </w:r>
          </w:p>
        </w:tc>
        <w:tc>
          <w:tcPr>
            <w:tcW w:w="1483" w:type="dxa"/>
          </w:tcPr>
          <w:p w14:paraId="2247941B"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2F099485" w14:textId="17C3234A"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1000</w:t>
            </w:r>
          </w:p>
        </w:tc>
        <w:tc>
          <w:tcPr>
            <w:tcW w:w="1490" w:type="dxa"/>
          </w:tcPr>
          <w:p w14:paraId="1D937B73" w14:textId="53402683"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F2</w:t>
            </w:r>
          </w:p>
        </w:tc>
        <w:tc>
          <w:tcPr>
            <w:tcW w:w="1483" w:type="dxa"/>
          </w:tcPr>
          <w:p w14:paraId="3DF3A90B"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1000</w:t>
            </w:r>
          </w:p>
        </w:tc>
      </w:tr>
      <w:tr w:rsidR="00342141" w:rsidRPr="00A35CEC" w14:paraId="6FD4B54B" w14:textId="77777777" w:rsidTr="00C6436F">
        <w:tc>
          <w:tcPr>
            <w:tcW w:w="1482" w:type="dxa"/>
            <w:vMerge w:val="restart"/>
          </w:tcPr>
          <w:p w14:paraId="68A362FC" w14:textId="538CE7E8" w:rsidR="00F031F7" w:rsidRPr="00A35CEC" w:rsidRDefault="00C6436F" w:rsidP="0099395B">
            <w:pPr>
              <w:adjustRightInd w:val="0"/>
              <w:snapToGrid w:val="0"/>
              <w:spacing w:line="360" w:lineRule="auto"/>
              <w:jc w:val="both"/>
              <w:rPr>
                <w:rFonts w:ascii="Book Antiqua" w:hAnsi="Book Antiqua"/>
              </w:rPr>
            </w:pPr>
            <w:r w:rsidRPr="00A35CEC">
              <w:rPr>
                <w:rFonts w:ascii="Book Antiqua" w:hAnsi="Book Antiqua"/>
              </w:rPr>
              <w:t>WHO Global Hepatitis Strategy</w:t>
            </w:r>
          </w:p>
        </w:tc>
        <w:tc>
          <w:tcPr>
            <w:tcW w:w="1483" w:type="dxa"/>
          </w:tcPr>
          <w:p w14:paraId="5F193C7B" w14:textId="65899804"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2015-</w:t>
            </w:r>
            <w:r w:rsidR="00C6436F" w:rsidRPr="00A35CEC">
              <w:rPr>
                <w:rFonts w:ascii="Book Antiqua" w:hAnsi="Book Antiqua"/>
              </w:rPr>
              <w:t>20</w:t>
            </w:r>
            <w:r w:rsidRPr="00A35CEC">
              <w:rPr>
                <w:rFonts w:ascii="Book Antiqua" w:hAnsi="Book Antiqua"/>
              </w:rPr>
              <w:t>16</w:t>
            </w:r>
          </w:p>
        </w:tc>
        <w:tc>
          <w:tcPr>
            <w:tcW w:w="1483" w:type="dxa"/>
          </w:tcPr>
          <w:p w14:paraId="663219D7" w14:textId="4C2BE242"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90</w:t>
            </w:r>
            <w:r w:rsidR="00C6436F" w:rsidRPr="00A35CEC">
              <w:rPr>
                <w:rFonts w:ascii="Book Antiqua" w:hAnsi="Book Antiqua"/>
              </w:rPr>
              <w:t>%</w:t>
            </w:r>
            <w:r w:rsidRPr="00A35CEC">
              <w:rPr>
                <w:rFonts w:ascii="Book Antiqua" w:hAnsi="Book Antiqua"/>
              </w:rPr>
              <w:t>-95%</w:t>
            </w:r>
          </w:p>
        </w:tc>
        <w:tc>
          <w:tcPr>
            <w:tcW w:w="1476" w:type="dxa"/>
          </w:tcPr>
          <w:p w14:paraId="2B16412C" w14:textId="342D97EA"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1000</w:t>
            </w:r>
          </w:p>
        </w:tc>
        <w:tc>
          <w:tcPr>
            <w:tcW w:w="1490" w:type="dxa"/>
          </w:tcPr>
          <w:p w14:paraId="0FCEF653" w14:textId="5E13160D"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F3</w:t>
            </w:r>
          </w:p>
        </w:tc>
        <w:tc>
          <w:tcPr>
            <w:tcW w:w="1483" w:type="dxa"/>
          </w:tcPr>
          <w:p w14:paraId="11CC909E"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4000</w:t>
            </w:r>
          </w:p>
        </w:tc>
      </w:tr>
      <w:tr w:rsidR="00342141" w:rsidRPr="00A35CEC" w14:paraId="0DFAF89E" w14:textId="77777777" w:rsidTr="00C6436F">
        <w:tc>
          <w:tcPr>
            <w:tcW w:w="1482" w:type="dxa"/>
            <w:vMerge/>
          </w:tcPr>
          <w:p w14:paraId="4E3BEB6B"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6BC3345F" w14:textId="6A99AD63"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2017-</w:t>
            </w:r>
            <w:r w:rsidR="00C6436F" w:rsidRPr="00A35CEC">
              <w:rPr>
                <w:rFonts w:ascii="Book Antiqua" w:hAnsi="Book Antiqua"/>
              </w:rPr>
              <w:t>20</w:t>
            </w:r>
            <w:r w:rsidRPr="00A35CEC">
              <w:rPr>
                <w:rFonts w:ascii="Book Antiqua" w:hAnsi="Book Antiqua"/>
              </w:rPr>
              <w:t>19</w:t>
            </w:r>
          </w:p>
        </w:tc>
        <w:tc>
          <w:tcPr>
            <w:tcW w:w="1483" w:type="dxa"/>
          </w:tcPr>
          <w:p w14:paraId="3ABD0BCF"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017AE23D" w14:textId="5429B12A"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4700</w:t>
            </w:r>
          </w:p>
        </w:tc>
        <w:tc>
          <w:tcPr>
            <w:tcW w:w="1490" w:type="dxa"/>
          </w:tcPr>
          <w:p w14:paraId="6245F010" w14:textId="0171D790"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F2</w:t>
            </w:r>
          </w:p>
        </w:tc>
        <w:tc>
          <w:tcPr>
            <w:tcW w:w="1483" w:type="dxa"/>
          </w:tcPr>
          <w:p w14:paraId="30176E9B"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4800</w:t>
            </w:r>
          </w:p>
        </w:tc>
      </w:tr>
      <w:tr w:rsidR="00342141" w:rsidRPr="00A35CEC" w14:paraId="0AF683E4" w14:textId="77777777" w:rsidTr="00C6436F">
        <w:tc>
          <w:tcPr>
            <w:tcW w:w="1482" w:type="dxa"/>
            <w:vMerge/>
          </w:tcPr>
          <w:p w14:paraId="702083BC"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2A6AC84C"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2020-2021</w:t>
            </w:r>
          </w:p>
        </w:tc>
        <w:tc>
          <w:tcPr>
            <w:tcW w:w="1483" w:type="dxa"/>
          </w:tcPr>
          <w:p w14:paraId="5D92CEF8"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641AE53F" w14:textId="5E7E8B32"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6800</w:t>
            </w:r>
          </w:p>
        </w:tc>
        <w:tc>
          <w:tcPr>
            <w:tcW w:w="1490" w:type="dxa"/>
          </w:tcPr>
          <w:p w14:paraId="76D983F7" w14:textId="26427A2B"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F0</w:t>
            </w:r>
          </w:p>
        </w:tc>
        <w:tc>
          <w:tcPr>
            <w:tcW w:w="1483" w:type="dxa"/>
          </w:tcPr>
          <w:p w14:paraId="11A89205"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6820</w:t>
            </w:r>
          </w:p>
        </w:tc>
      </w:tr>
      <w:tr w:rsidR="00342141" w:rsidRPr="00A35CEC" w14:paraId="46B60ACB" w14:textId="77777777" w:rsidTr="00C6436F">
        <w:tc>
          <w:tcPr>
            <w:tcW w:w="1482" w:type="dxa"/>
            <w:vMerge/>
          </w:tcPr>
          <w:p w14:paraId="2E2E6C8A"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4606B224"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2022-2023</w:t>
            </w:r>
          </w:p>
        </w:tc>
        <w:tc>
          <w:tcPr>
            <w:tcW w:w="1483" w:type="dxa"/>
          </w:tcPr>
          <w:p w14:paraId="09ECD7E9"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5E23CE66" w14:textId="37AEEF6E"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6800</w:t>
            </w:r>
          </w:p>
        </w:tc>
        <w:tc>
          <w:tcPr>
            <w:tcW w:w="1490" w:type="dxa"/>
          </w:tcPr>
          <w:p w14:paraId="1EB20735" w14:textId="6E5AA995"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F0</w:t>
            </w:r>
          </w:p>
        </w:tc>
        <w:tc>
          <w:tcPr>
            <w:tcW w:w="1483" w:type="dxa"/>
          </w:tcPr>
          <w:p w14:paraId="2ECB422A"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6130</w:t>
            </w:r>
          </w:p>
        </w:tc>
      </w:tr>
      <w:tr w:rsidR="00342141" w:rsidRPr="00A35CEC" w14:paraId="7261634B" w14:textId="77777777" w:rsidTr="00C6436F">
        <w:tc>
          <w:tcPr>
            <w:tcW w:w="1482" w:type="dxa"/>
            <w:vMerge/>
          </w:tcPr>
          <w:p w14:paraId="50C8D6CD" w14:textId="77777777" w:rsidR="00F031F7" w:rsidRPr="00A35CEC" w:rsidRDefault="00F031F7">
            <w:pPr>
              <w:adjustRightInd w:val="0"/>
              <w:snapToGrid w:val="0"/>
              <w:spacing w:line="360" w:lineRule="auto"/>
              <w:jc w:val="both"/>
              <w:rPr>
                <w:rFonts w:ascii="Book Antiqua" w:hAnsi="Book Antiqua"/>
              </w:rPr>
            </w:pPr>
          </w:p>
        </w:tc>
        <w:tc>
          <w:tcPr>
            <w:tcW w:w="1483" w:type="dxa"/>
          </w:tcPr>
          <w:p w14:paraId="43E55422"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2024-2035</w:t>
            </w:r>
          </w:p>
        </w:tc>
        <w:tc>
          <w:tcPr>
            <w:tcW w:w="1483" w:type="dxa"/>
          </w:tcPr>
          <w:p w14:paraId="4FD97823"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95%</w:t>
            </w:r>
          </w:p>
        </w:tc>
        <w:tc>
          <w:tcPr>
            <w:tcW w:w="1476" w:type="dxa"/>
          </w:tcPr>
          <w:p w14:paraId="64E2C41C" w14:textId="4D2428E0" w:rsidR="00F031F7" w:rsidRPr="00A35CEC" w:rsidRDefault="0029711C">
            <w:pPr>
              <w:adjustRightInd w:val="0"/>
              <w:snapToGrid w:val="0"/>
              <w:spacing w:line="360" w:lineRule="auto"/>
              <w:jc w:val="center"/>
              <w:rPr>
                <w:rFonts w:ascii="Book Antiqua" w:hAnsi="Book Antiqua"/>
              </w:rPr>
            </w:pPr>
            <w:r w:rsidRPr="00A35CEC">
              <w:rPr>
                <w:rFonts w:ascii="Book Antiqua" w:hAnsi="Book Antiqua"/>
              </w:rPr>
              <w:t>~</w:t>
            </w:r>
            <w:r w:rsidR="00F031F7" w:rsidRPr="00A35CEC">
              <w:rPr>
                <w:rFonts w:ascii="Book Antiqua" w:hAnsi="Book Antiqua"/>
              </w:rPr>
              <w:t>7000</w:t>
            </w:r>
          </w:p>
        </w:tc>
        <w:tc>
          <w:tcPr>
            <w:tcW w:w="1490" w:type="dxa"/>
          </w:tcPr>
          <w:p w14:paraId="6A8A4780" w14:textId="5CE28BA9" w:rsidR="00F031F7" w:rsidRPr="00A35CEC" w:rsidRDefault="00C6436F">
            <w:pPr>
              <w:adjustRightInd w:val="0"/>
              <w:snapToGrid w:val="0"/>
              <w:spacing w:line="360" w:lineRule="auto"/>
              <w:jc w:val="center"/>
              <w:rPr>
                <w:rFonts w:ascii="Book Antiqua" w:hAnsi="Book Antiqua"/>
              </w:rPr>
            </w:pPr>
            <w:r w:rsidRPr="00A35CEC">
              <w:rPr>
                <w:rFonts w:ascii="Book Antiqua" w:hAnsi="Book Antiqua" w:hint="eastAsia"/>
              </w:rPr>
              <w:t>≥</w:t>
            </w:r>
            <w:r w:rsidRPr="00A35CEC">
              <w:rPr>
                <w:rFonts w:ascii="Book Antiqua" w:hAnsi="Book Antiqua"/>
              </w:rPr>
              <w:t xml:space="preserve"> </w:t>
            </w:r>
            <w:r w:rsidR="00F031F7" w:rsidRPr="00A35CEC">
              <w:rPr>
                <w:rFonts w:ascii="Book Antiqua" w:hAnsi="Book Antiqua"/>
              </w:rPr>
              <w:t>F0</w:t>
            </w:r>
          </w:p>
        </w:tc>
        <w:tc>
          <w:tcPr>
            <w:tcW w:w="1483" w:type="dxa"/>
          </w:tcPr>
          <w:p w14:paraId="55E5F7D4"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6130</w:t>
            </w:r>
          </w:p>
        </w:tc>
      </w:tr>
    </w:tbl>
    <w:p w14:paraId="1D2B27F0" w14:textId="451325D0" w:rsidR="00F031F7" w:rsidRPr="00A35CEC" w:rsidRDefault="00501A6F" w:rsidP="0099395B">
      <w:pPr>
        <w:adjustRightInd w:val="0"/>
        <w:snapToGrid w:val="0"/>
        <w:spacing w:line="360" w:lineRule="auto"/>
        <w:jc w:val="both"/>
        <w:rPr>
          <w:rFonts w:ascii="Book Antiqua" w:hAnsi="Book Antiqua"/>
        </w:rPr>
      </w:pPr>
      <w:proofErr w:type="spellStart"/>
      <w:r w:rsidRPr="00A35CEC">
        <w:rPr>
          <w:rFonts w:ascii="Book Antiqua" w:hAnsi="Book Antiqua"/>
        </w:rPr>
        <w:t>SVR</w:t>
      </w:r>
      <w:proofErr w:type="spellEnd"/>
      <w:r w:rsidRPr="00A35CEC">
        <w:rPr>
          <w:rFonts w:ascii="Book Antiqua" w:hAnsi="Book Antiqua"/>
        </w:rPr>
        <w:t xml:space="preserve">: Sustained </w:t>
      </w:r>
      <w:proofErr w:type="spellStart"/>
      <w:r w:rsidR="00E82443" w:rsidRPr="00A35CEC">
        <w:rPr>
          <w:rFonts w:ascii="Book Antiqua" w:hAnsi="Book Antiqua"/>
        </w:rPr>
        <w:t>virologic</w:t>
      </w:r>
      <w:proofErr w:type="spellEnd"/>
      <w:r w:rsidR="00E82443" w:rsidRPr="00A35CEC">
        <w:rPr>
          <w:rFonts w:ascii="Book Antiqua" w:hAnsi="Book Antiqua"/>
        </w:rPr>
        <w:t xml:space="preserve"> response rates; WHO: World Health Organization.</w:t>
      </w:r>
    </w:p>
    <w:p w14:paraId="0FA7E6F7" w14:textId="7F40F203" w:rsidR="00F031F7" w:rsidRPr="00A35CEC" w:rsidRDefault="00E82443">
      <w:pPr>
        <w:adjustRightInd w:val="0"/>
        <w:snapToGrid w:val="0"/>
        <w:spacing w:line="360" w:lineRule="auto"/>
        <w:jc w:val="both"/>
        <w:outlineLvl w:val="0"/>
        <w:rPr>
          <w:rFonts w:ascii="Book Antiqua" w:hAnsi="Book Antiqua"/>
          <w:b/>
        </w:rPr>
      </w:pPr>
      <w:bookmarkStart w:id="213" w:name="_Hlk489275999"/>
      <w:bookmarkEnd w:id="212"/>
      <w:r w:rsidRPr="00A35CEC">
        <w:rPr>
          <w:rFonts w:ascii="Book Antiqua" w:hAnsi="Book Antiqua"/>
        </w:rPr>
        <w:br w:type="page"/>
      </w:r>
      <w:r w:rsidR="00F031F7" w:rsidRPr="00A35CEC">
        <w:rPr>
          <w:rFonts w:ascii="Book Antiqua" w:hAnsi="Book Antiqua"/>
          <w:b/>
        </w:rPr>
        <w:lastRenderedPageBreak/>
        <w:t>Table 2</w:t>
      </w:r>
      <w:r w:rsidRPr="00A35CEC">
        <w:rPr>
          <w:rFonts w:ascii="Book Antiqua" w:hAnsi="Book Antiqua"/>
          <w:b/>
        </w:rPr>
        <w:t xml:space="preserve"> </w:t>
      </w:r>
      <w:r w:rsidR="00F031F7" w:rsidRPr="00A35CEC">
        <w:rPr>
          <w:rFonts w:ascii="Book Antiqua" w:hAnsi="Book Antiqua"/>
          <w:b/>
        </w:rPr>
        <w:t xml:space="preserve">Annual direct costs per patients in Euros </w:t>
      </w:r>
    </w:p>
    <w:tbl>
      <w:tblPr>
        <w:tblW w:w="7941" w:type="dxa"/>
        <w:tblInd w:w="-36" w:type="dxa"/>
        <w:tblBorders>
          <w:top w:val="single" w:sz="4" w:space="0" w:color="auto"/>
          <w:bottom w:val="single" w:sz="4" w:space="0" w:color="auto"/>
        </w:tblBorders>
        <w:shd w:val="clear" w:color="auto" w:fill="FFFFFF"/>
        <w:tblLook w:val="04A0" w:firstRow="1" w:lastRow="0" w:firstColumn="1" w:lastColumn="0" w:noHBand="0" w:noVBand="1"/>
      </w:tblPr>
      <w:tblGrid>
        <w:gridCol w:w="4835"/>
        <w:gridCol w:w="3106"/>
      </w:tblGrid>
      <w:tr w:rsidR="00342141" w:rsidRPr="00A35CEC" w14:paraId="40F129AE" w14:textId="77777777" w:rsidTr="00E82443">
        <w:trPr>
          <w:trHeight w:val="539"/>
          <w:tblHeader/>
        </w:trPr>
        <w:tc>
          <w:tcPr>
            <w:tcW w:w="4835" w:type="dxa"/>
            <w:tcBorders>
              <w:top w:val="single" w:sz="4" w:space="0" w:color="auto"/>
              <w:bottom w:val="single" w:sz="4" w:space="0" w:color="auto"/>
            </w:tcBorders>
            <w:shd w:val="clear" w:color="auto" w:fill="FFFFFF"/>
            <w:noWrap/>
            <w:vAlign w:val="bottom"/>
            <w:hideMark/>
          </w:tcPr>
          <w:p w14:paraId="37545218" w14:textId="77777777" w:rsidR="00F031F7" w:rsidRPr="00A35CEC" w:rsidRDefault="00F031F7">
            <w:pPr>
              <w:adjustRightInd w:val="0"/>
              <w:snapToGrid w:val="0"/>
              <w:spacing w:line="360" w:lineRule="auto"/>
              <w:jc w:val="both"/>
              <w:rPr>
                <w:rFonts w:ascii="Book Antiqua" w:hAnsi="Book Antiqua"/>
              </w:rPr>
            </w:pPr>
          </w:p>
        </w:tc>
        <w:tc>
          <w:tcPr>
            <w:tcW w:w="3106" w:type="dxa"/>
            <w:tcBorders>
              <w:top w:val="single" w:sz="4" w:space="0" w:color="auto"/>
              <w:bottom w:val="single" w:sz="4" w:space="0" w:color="auto"/>
            </w:tcBorders>
            <w:shd w:val="clear" w:color="auto" w:fill="FFFFFF"/>
            <w:noWrap/>
            <w:vAlign w:val="bottom"/>
            <w:hideMark/>
          </w:tcPr>
          <w:p w14:paraId="38DE3DAF" w14:textId="58057FCE" w:rsidR="00F031F7" w:rsidRPr="00A35CEC" w:rsidRDefault="00E82443">
            <w:pPr>
              <w:adjustRightInd w:val="0"/>
              <w:snapToGrid w:val="0"/>
              <w:spacing w:line="360" w:lineRule="auto"/>
              <w:jc w:val="center"/>
              <w:rPr>
                <w:rFonts w:ascii="Book Antiqua" w:hAnsi="Book Antiqua"/>
                <w:b/>
              </w:rPr>
            </w:pPr>
            <w:r w:rsidRPr="00A35CEC">
              <w:rPr>
                <w:rFonts w:ascii="Book Antiqua" w:hAnsi="Book Antiqua"/>
                <w:b/>
              </w:rPr>
              <w:t>Annual c</w:t>
            </w:r>
            <w:r w:rsidR="00F031F7" w:rsidRPr="00A35CEC">
              <w:rPr>
                <w:rFonts w:ascii="Book Antiqua" w:hAnsi="Book Antiqua"/>
                <w:b/>
              </w:rPr>
              <w:t>osts</w:t>
            </w:r>
            <w:r w:rsidR="00FB2B31" w:rsidRPr="00A35CEC">
              <w:rPr>
                <w:rFonts w:ascii="Book Antiqua" w:hAnsi="Book Antiqua"/>
                <w:b/>
              </w:rPr>
              <w:t>,</w:t>
            </w:r>
            <w:r w:rsidR="00F031F7" w:rsidRPr="00A35CEC">
              <w:rPr>
                <w:rFonts w:ascii="Book Antiqua" w:hAnsi="Book Antiqua"/>
                <w:b/>
              </w:rPr>
              <w:t xml:space="preserve"> €</w:t>
            </w:r>
          </w:p>
        </w:tc>
      </w:tr>
      <w:tr w:rsidR="00342141" w:rsidRPr="00A35CEC" w14:paraId="1CEDE70E" w14:textId="77777777" w:rsidTr="00E82443">
        <w:trPr>
          <w:trHeight w:val="225"/>
        </w:trPr>
        <w:tc>
          <w:tcPr>
            <w:tcW w:w="4835" w:type="dxa"/>
            <w:tcBorders>
              <w:top w:val="single" w:sz="4" w:space="0" w:color="auto"/>
            </w:tcBorders>
            <w:shd w:val="clear" w:color="auto" w:fill="FFFFFF"/>
            <w:noWrap/>
            <w:vAlign w:val="bottom"/>
            <w:hideMark/>
          </w:tcPr>
          <w:p w14:paraId="7ED8E082" w14:textId="668B6991"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 xml:space="preserve">Lab </w:t>
            </w:r>
            <w:r w:rsidR="00E82443" w:rsidRPr="00A35CEC">
              <w:rPr>
                <w:rFonts w:ascii="Book Antiqua" w:hAnsi="Book Antiqua"/>
              </w:rPr>
              <w:t>costs</w:t>
            </w:r>
            <w:r w:rsidR="00FB2B31" w:rsidRPr="00A35CEC">
              <w:rPr>
                <w:rFonts w:ascii="Book Antiqua" w:hAnsi="Book Antiqua"/>
              </w:rPr>
              <w:t xml:space="preserve"> for</w:t>
            </w:r>
            <w:r w:rsidR="00E82443" w:rsidRPr="00A35CEC">
              <w:rPr>
                <w:rFonts w:ascii="Book Antiqua" w:hAnsi="Book Antiqua"/>
              </w:rPr>
              <w:t xml:space="preserve"> anti-</w:t>
            </w:r>
            <w:proofErr w:type="spellStart"/>
            <w:r w:rsidR="00E82443" w:rsidRPr="00A35CEC">
              <w:rPr>
                <w:rFonts w:ascii="Book Antiqua" w:hAnsi="Book Antiqua"/>
              </w:rPr>
              <w:t>HCV</w:t>
            </w:r>
            <w:proofErr w:type="spellEnd"/>
            <w:r w:rsidR="00E82443" w:rsidRPr="00A35CEC">
              <w:rPr>
                <w:rFonts w:ascii="Book Antiqua" w:hAnsi="Book Antiqua"/>
              </w:rPr>
              <w:t>, RNA test, genotyping exam and liver biopsy/</w:t>
            </w:r>
            <w:proofErr w:type="spellStart"/>
            <w:r w:rsidR="00E82443" w:rsidRPr="00A35CEC">
              <w:rPr>
                <w:rFonts w:ascii="Book Antiqua" w:hAnsi="Book Antiqua"/>
              </w:rPr>
              <w:t>e</w:t>
            </w:r>
            <w:r w:rsidRPr="00A35CEC">
              <w:rPr>
                <w:rFonts w:ascii="Book Antiqua" w:hAnsi="Book Antiqua"/>
              </w:rPr>
              <w:t>lastography</w:t>
            </w:r>
            <w:proofErr w:type="spellEnd"/>
          </w:p>
        </w:tc>
        <w:tc>
          <w:tcPr>
            <w:tcW w:w="3106" w:type="dxa"/>
            <w:tcBorders>
              <w:top w:val="single" w:sz="4" w:space="0" w:color="auto"/>
            </w:tcBorders>
            <w:shd w:val="clear" w:color="auto" w:fill="FFFFFF"/>
            <w:noWrap/>
            <w:vAlign w:val="bottom"/>
            <w:hideMark/>
          </w:tcPr>
          <w:p w14:paraId="6129D56F"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350</w:t>
            </w:r>
          </w:p>
        </w:tc>
      </w:tr>
      <w:tr w:rsidR="00342141" w:rsidRPr="00A35CEC" w14:paraId="3092B843" w14:textId="77777777" w:rsidTr="00E82443">
        <w:trPr>
          <w:trHeight w:val="225"/>
        </w:trPr>
        <w:tc>
          <w:tcPr>
            <w:tcW w:w="4835" w:type="dxa"/>
            <w:shd w:val="clear" w:color="auto" w:fill="FFFFFF"/>
            <w:noWrap/>
            <w:vAlign w:val="bottom"/>
            <w:hideMark/>
          </w:tcPr>
          <w:p w14:paraId="6DC5D4DB" w14:textId="68F035E8"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 xml:space="preserve">Screening </w:t>
            </w:r>
            <w:r w:rsidR="00E82443" w:rsidRPr="00A35CEC">
              <w:rPr>
                <w:rFonts w:ascii="Book Antiqua" w:hAnsi="Book Antiqua"/>
              </w:rPr>
              <w:t xml:space="preserve">cost per screen </w:t>
            </w:r>
          </w:p>
        </w:tc>
        <w:tc>
          <w:tcPr>
            <w:tcW w:w="3106" w:type="dxa"/>
            <w:shd w:val="clear" w:color="auto" w:fill="FFFFFF"/>
            <w:noWrap/>
            <w:vAlign w:val="bottom"/>
            <w:hideMark/>
          </w:tcPr>
          <w:p w14:paraId="5983CE6B"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10</w:t>
            </w:r>
            <w:r w:rsidR="000158FF" w:rsidRPr="00A35CEC">
              <w:rPr>
                <w:rFonts w:ascii="Book Antiqua" w:hAnsi="Book Antiqua"/>
                <w:vertAlign w:val="superscript"/>
              </w:rPr>
              <w:t>1</w:t>
            </w:r>
          </w:p>
        </w:tc>
      </w:tr>
      <w:tr w:rsidR="00342141" w:rsidRPr="00A35CEC" w14:paraId="1B9125F1" w14:textId="77777777" w:rsidTr="00E82443">
        <w:trPr>
          <w:trHeight w:val="225"/>
        </w:trPr>
        <w:tc>
          <w:tcPr>
            <w:tcW w:w="4835" w:type="dxa"/>
            <w:shd w:val="clear" w:color="auto" w:fill="FFFFFF"/>
            <w:noWrap/>
            <w:vAlign w:val="bottom"/>
            <w:hideMark/>
          </w:tcPr>
          <w:p w14:paraId="07B3B092" w14:textId="54D42B31"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 xml:space="preserve">Cost per </w:t>
            </w:r>
            <w:r w:rsidR="00E82443" w:rsidRPr="00A35CEC">
              <w:rPr>
                <w:rFonts w:ascii="Book Antiqua" w:hAnsi="Book Antiqua"/>
              </w:rPr>
              <w:t>diagnosed patient without antiviral treatment</w:t>
            </w:r>
          </w:p>
        </w:tc>
        <w:tc>
          <w:tcPr>
            <w:tcW w:w="3106" w:type="dxa"/>
            <w:shd w:val="clear" w:color="auto" w:fill="FFFFFF"/>
            <w:noWrap/>
            <w:vAlign w:val="bottom"/>
            <w:hideMark/>
          </w:tcPr>
          <w:p w14:paraId="1389766E" w14:textId="77777777" w:rsidR="00F031F7" w:rsidRPr="00A35CEC" w:rsidRDefault="00F031F7">
            <w:pPr>
              <w:adjustRightInd w:val="0"/>
              <w:snapToGrid w:val="0"/>
              <w:spacing w:line="360" w:lineRule="auto"/>
              <w:jc w:val="center"/>
              <w:rPr>
                <w:rFonts w:ascii="Book Antiqua" w:hAnsi="Book Antiqua"/>
              </w:rPr>
            </w:pPr>
          </w:p>
        </w:tc>
      </w:tr>
      <w:tr w:rsidR="00342141" w:rsidRPr="00A35CEC" w14:paraId="3C4C7118" w14:textId="77777777" w:rsidTr="00E82443">
        <w:trPr>
          <w:trHeight w:val="225"/>
        </w:trPr>
        <w:tc>
          <w:tcPr>
            <w:tcW w:w="4835" w:type="dxa"/>
            <w:shd w:val="clear" w:color="auto" w:fill="FFFFFF"/>
            <w:noWrap/>
            <w:vAlign w:val="bottom"/>
            <w:hideMark/>
          </w:tcPr>
          <w:p w14:paraId="2A694912"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F0-F3</w:t>
            </w:r>
          </w:p>
        </w:tc>
        <w:tc>
          <w:tcPr>
            <w:tcW w:w="3106" w:type="dxa"/>
            <w:shd w:val="clear" w:color="auto" w:fill="FFFFFF"/>
            <w:noWrap/>
            <w:vAlign w:val="bottom"/>
            <w:hideMark/>
          </w:tcPr>
          <w:p w14:paraId="24250C0F"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230</w:t>
            </w:r>
          </w:p>
        </w:tc>
      </w:tr>
      <w:tr w:rsidR="00342141" w:rsidRPr="00A35CEC" w14:paraId="2A99CAB1" w14:textId="77777777" w:rsidTr="00E82443">
        <w:trPr>
          <w:trHeight w:val="492"/>
        </w:trPr>
        <w:tc>
          <w:tcPr>
            <w:tcW w:w="4835" w:type="dxa"/>
            <w:shd w:val="clear" w:color="auto" w:fill="FFFFFF"/>
            <w:noWrap/>
            <w:vAlign w:val="bottom"/>
            <w:hideMark/>
          </w:tcPr>
          <w:p w14:paraId="5B9B70CC" w14:textId="605AC659" w:rsidR="00F031F7"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Compensated cirrhosis</w:t>
            </w:r>
            <w:r w:rsidR="00FB2B31" w:rsidRPr="00A35CEC">
              <w:rPr>
                <w:rFonts w:ascii="Book Antiqua" w:hAnsi="Book Antiqua"/>
              </w:rPr>
              <w:t>,</w:t>
            </w:r>
            <w:r w:rsidRPr="00A35CEC">
              <w:rPr>
                <w:rFonts w:ascii="Book Antiqua" w:hAnsi="Book Antiqua"/>
              </w:rPr>
              <w:t xml:space="preserve"> F4</w:t>
            </w:r>
          </w:p>
        </w:tc>
        <w:tc>
          <w:tcPr>
            <w:tcW w:w="3106" w:type="dxa"/>
            <w:shd w:val="clear" w:color="auto" w:fill="FFFFFF"/>
            <w:noWrap/>
            <w:vAlign w:val="bottom"/>
            <w:hideMark/>
          </w:tcPr>
          <w:p w14:paraId="75431C18" w14:textId="1AECF89D"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1</w:t>
            </w:r>
            <w:r w:rsidR="0029711C" w:rsidRPr="00A35CEC">
              <w:rPr>
                <w:rFonts w:ascii="Book Antiqua" w:hAnsi="Book Antiqua"/>
              </w:rPr>
              <w:t>,</w:t>
            </w:r>
            <w:r w:rsidR="00F031F7" w:rsidRPr="00A35CEC">
              <w:rPr>
                <w:rFonts w:ascii="Book Antiqua" w:hAnsi="Book Antiqua"/>
              </w:rPr>
              <w:t>340</w:t>
            </w:r>
          </w:p>
        </w:tc>
      </w:tr>
      <w:tr w:rsidR="00342141" w:rsidRPr="00A35CEC" w14:paraId="297E93D3" w14:textId="77777777" w:rsidTr="00E82443">
        <w:trPr>
          <w:trHeight w:val="225"/>
        </w:trPr>
        <w:tc>
          <w:tcPr>
            <w:tcW w:w="4835" w:type="dxa"/>
            <w:shd w:val="clear" w:color="auto" w:fill="FFFFFF"/>
            <w:noWrap/>
            <w:vAlign w:val="bottom"/>
            <w:hideMark/>
          </w:tcPr>
          <w:p w14:paraId="6901B972" w14:textId="3B1E99D5" w:rsidR="00F031F7"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Decompensated cirrho</w:t>
            </w:r>
            <w:r w:rsidR="00F031F7" w:rsidRPr="00A35CEC">
              <w:rPr>
                <w:rFonts w:ascii="Book Antiqua" w:hAnsi="Book Antiqua"/>
              </w:rPr>
              <w:t>sis</w:t>
            </w:r>
          </w:p>
        </w:tc>
        <w:tc>
          <w:tcPr>
            <w:tcW w:w="3106" w:type="dxa"/>
            <w:shd w:val="clear" w:color="auto" w:fill="FFFFFF"/>
            <w:noWrap/>
            <w:vAlign w:val="bottom"/>
            <w:hideMark/>
          </w:tcPr>
          <w:p w14:paraId="02343FC2" w14:textId="100A6027"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4</w:t>
            </w:r>
            <w:r w:rsidR="0029711C" w:rsidRPr="00A35CEC">
              <w:rPr>
                <w:rFonts w:ascii="Book Antiqua" w:hAnsi="Book Antiqua"/>
              </w:rPr>
              <w:t>,</w:t>
            </w:r>
            <w:r w:rsidR="00F031F7" w:rsidRPr="00A35CEC">
              <w:rPr>
                <w:rFonts w:ascii="Book Antiqua" w:hAnsi="Book Antiqua"/>
              </w:rPr>
              <w:t>460</w:t>
            </w:r>
          </w:p>
        </w:tc>
      </w:tr>
      <w:tr w:rsidR="00342141" w:rsidRPr="00A35CEC" w14:paraId="2C2347A2" w14:textId="77777777" w:rsidTr="00E82443">
        <w:trPr>
          <w:trHeight w:val="225"/>
        </w:trPr>
        <w:tc>
          <w:tcPr>
            <w:tcW w:w="4835" w:type="dxa"/>
            <w:shd w:val="clear" w:color="auto" w:fill="FFFFFF"/>
            <w:noWrap/>
            <w:vAlign w:val="bottom"/>
            <w:hideMark/>
          </w:tcPr>
          <w:p w14:paraId="77F9CEC8" w14:textId="45224F97" w:rsidR="00F031F7"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Hepatocellular carcinoma</w:t>
            </w:r>
          </w:p>
        </w:tc>
        <w:tc>
          <w:tcPr>
            <w:tcW w:w="3106" w:type="dxa"/>
            <w:shd w:val="clear" w:color="auto" w:fill="FFFFFF"/>
            <w:noWrap/>
            <w:vAlign w:val="bottom"/>
            <w:hideMark/>
          </w:tcPr>
          <w:p w14:paraId="457ECA4A" w14:textId="791765B9"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33</w:t>
            </w:r>
            <w:r w:rsidR="0029711C" w:rsidRPr="00A35CEC">
              <w:rPr>
                <w:rFonts w:ascii="Book Antiqua" w:hAnsi="Book Antiqua"/>
              </w:rPr>
              <w:t>,</w:t>
            </w:r>
            <w:r w:rsidR="00F031F7" w:rsidRPr="00A35CEC">
              <w:rPr>
                <w:rFonts w:ascii="Book Antiqua" w:hAnsi="Book Antiqua"/>
              </w:rPr>
              <w:t>000</w:t>
            </w:r>
          </w:p>
        </w:tc>
      </w:tr>
      <w:tr w:rsidR="00342141" w:rsidRPr="00A35CEC" w14:paraId="3DDB0334" w14:textId="77777777" w:rsidTr="00E82443">
        <w:trPr>
          <w:trHeight w:val="225"/>
        </w:trPr>
        <w:tc>
          <w:tcPr>
            <w:tcW w:w="4835" w:type="dxa"/>
            <w:shd w:val="clear" w:color="auto" w:fill="FFFFFF"/>
            <w:noWrap/>
            <w:vAlign w:val="bottom"/>
            <w:hideMark/>
          </w:tcPr>
          <w:p w14:paraId="607FE804" w14:textId="479AE0A6" w:rsidR="00F031F7"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Liver transplantation</w:t>
            </w:r>
          </w:p>
        </w:tc>
        <w:tc>
          <w:tcPr>
            <w:tcW w:w="3106" w:type="dxa"/>
            <w:shd w:val="clear" w:color="auto" w:fill="FFFFFF"/>
            <w:noWrap/>
            <w:vAlign w:val="bottom"/>
            <w:hideMark/>
          </w:tcPr>
          <w:p w14:paraId="25F4DD50" w14:textId="11A654D5"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134</w:t>
            </w:r>
            <w:r w:rsidR="0029711C" w:rsidRPr="00A35CEC">
              <w:rPr>
                <w:rFonts w:ascii="Book Antiqua" w:hAnsi="Book Antiqua"/>
              </w:rPr>
              <w:t>,</w:t>
            </w:r>
            <w:r w:rsidR="00F031F7" w:rsidRPr="00A35CEC">
              <w:rPr>
                <w:rFonts w:ascii="Book Antiqua" w:hAnsi="Book Antiqua"/>
              </w:rPr>
              <w:t>600</w:t>
            </w:r>
            <w:r w:rsidR="00887586" w:rsidRPr="00A35CEC">
              <w:rPr>
                <w:rFonts w:ascii="Book Antiqua" w:hAnsi="Book Antiqua"/>
                <w:vertAlign w:val="superscript"/>
              </w:rPr>
              <w:t>2</w:t>
            </w:r>
          </w:p>
        </w:tc>
      </w:tr>
      <w:tr w:rsidR="00342141" w:rsidRPr="00A35CEC" w14:paraId="6C9A5573" w14:textId="77777777" w:rsidTr="00E82443">
        <w:trPr>
          <w:trHeight w:val="225"/>
        </w:trPr>
        <w:tc>
          <w:tcPr>
            <w:tcW w:w="4835" w:type="dxa"/>
            <w:shd w:val="clear" w:color="auto" w:fill="FFFFFF"/>
            <w:noWrap/>
            <w:vAlign w:val="bottom"/>
            <w:hideMark/>
          </w:tcPr>
          <w:p w14:paraId="1616C420" w14:textId="15782285"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 xml:space="preserve">Liver </w:t>
            </w:r>
            <w:r w:rsidR="00E82443" w:rsidRPr="00A35CEC">
              <w:rPr>
                <w:rFonts w:ascii="Book Antiqua" w:hAnsi="Book Antiqua"/>
              </w:rPr>
              <w:t>transplant - subsequen</w:t>
            </w:r>
            <w:r w:rsidR="0029711C" w:rsidRPr="00A35CEC">
              <w:rPr>
                <w:rFonts w:ascii="Book Antiqua" w:hAnsi="Book Antiqua"/>
              </w:rPr>
              <w:t>t</w:t>
            </w:r>
            <w:r w:rsidR="00E82443" w:rsidRPr="00A35CEC">
              <w:rPr>
                <w:rFonts w:ascii="Book Antiqua" w:hAnsi="Book Antiqua"/>
              </w:rPr>
              <w:t xml:space="preserve"> years</w:t>
            </w:r>
          </w:p>
        </w:tc>
        <w:tc>
          <w:tcPr>
            <w:tcW w:w="3106" w:type="dxa"/>
            <w:shd w:val="clear" w:color="auto" w:fill="FFFFFF"/>
            <w:noWrap/>
            <w:vAlign w:val="bottom"/>
            <w:hideMark/>
          </w:tcPr>
          <w:p w14:paraId="026EB820" w14:textId="35113523"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4</w:t>
            </w:r>
            <w:r w:rsidR="0029711C" w:rsidRPr="00A35CEC">
              <w:rPr>
                <w:rFonts w:ascii="Book Antiqua" w:hAnsi="Book Antiqua"/>
              </w:rPr>
              <w:t>,</w:t>
            </w:r>
            <w:r w:rsidR="00F031F7" w:rsidRPr="00A35CEC">
              <w:rPr>
                <w:rFonts w:ascii="Book Antiqua" w:hAnsi="Book Antiqua"/>
              </w:rPr>
              <w:t>600</w:t>
            </w:r>
          </w:p>
        </w:tc>
      </w:tr>
      <w:tr w:rsidR="00342141" w:rsidRPr="00A35CEC" w14:paraId="4691B2E4" w14:textId="77777777" w:rsidTr="00E82443">
        <w:trPr>
          <w:trHeight w:val="225"/>
        </w:trPr>
        <w:tc>
          <w:tcPr>
            <w:tcW w:w="4835" w:type="dxa"/>
            <w:shd w:val="clear" w:color="auto" w:fill="FFFFFF"/>
            <w:noWrap/>
            <w:vAlign w:val="bottom"/>
          </w:tcPr>
          <w:p w14:paraId="77CD14F6" w14:textId="42620F08"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Antiviral t</w:t>
            </w:r>
            <w:r w:rsidR="00E82443" w:rsidRPr="00A35CEC">
              <w:rPr>
                <w:rFonts w:ascii="Book Antiqua" w:hAnsi="Book Antiqua"/>
              </w:rPr>
              <w:t xml:space="preserve">reatment costs of </w:t>
            </w:r>
            <w:proofErr w:type="spellStart"/>
            <w:r w:rsidR="00E82443" w:rsidRPr="00A35CEC">
              <w:rPr>
                <w:rFonts w:ascii="Book Antiqua" w:hAnsi="Book Antiqua"/>
              </w:rPr>
              <w:t>DAAs</w:t>
            </w:r>
            <w:proofErr w:type="spellEnd"/>
          </w:p>
        </w:tc>
        <w:tc>
          <w:tcPr>
            <w:tcW w:w="3106" w:type="dxa"/>
            <w:shd w:val="clear" w:color="auto" w:fill="FFFFFF"/>
            <w:noWrap/>
            <w:vAlign w:val="bottom"/>
          </w:tcPr>
          <w:p w14:paraId="11AA1FC6" w14:textId="77777777" w:rsidR="00F031F7" w:rsidRPr="00A35CEC" w:rsidRDefault="00F031F7">
            <w:pPr>
              <w:adjustRightInd w:val="0"/>
              <w:snapToGrid w:val="0"/>
              <w:spacing w:line="360" w:lineRule="auto"/>
              <w:jc w:val="center"/>
              <w:rPr>
                <w:rFonts w:ascii="Book Antiqua" w:hAnsi="Book Antiqua"/>
              </w:rPr>
            </w:pPr>
          </w:p>
        </w:tc>
      </w:tr>
      <w:tr w:rsidR="00342141" w:rsidRPr="00A35CEC" w14:paraId="0F33943E" w14:textId="77777777" w:rsidTr="00E82443">
        <w:trPr>
          <w:trHeight w:val="225"/>
        </w:trPr>
        <w:tc>
          <w:tcPr>
            <w:tcW w:w="4835" w:type="dxa"/>
            <w:shd w:val="clear" w:color="auto" w:fill="FFFFFF"/>
            <w:noWrap/>
            <w:vAlign w:val="bottom"/>
          </w:tcPr>
          <w:p w14:paraId="5E88A500"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2015-2016</w:t>
            </w:r>
          </w:p>
        </w:tc>
        <w:tc>
          <w:tcPr>
            <w:tcW w:w="3106" w:type="dxa"/>
            <w:shd w:val="clear" w:color="auto" w:fill="FFFFFF"/>
            <w:noWrap/>
            <w:vAlign w:val="bottom"/>
          </w:tcPr>
          <w:p w14:paraId="3B2ED87A" w14:textId="0A868726"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42</w:t>
            </w:r>
            <w:r w:rsidR="0029711C" w:rsidRPr="00A35CEC">
              <w:rPr>
                <w:rFonts w:ascii="Book Antiqua" w:hAnsi="Book Antiqua"/>
              </w:rPr>
              <w:t>,</w:t>
            </w:r>
            <w:r w:rsidR="00F031F7" w:rsidRPr="00A35CEC">
              <w:rPr>
                <w:rFonts w:ascii="Book Antiqua" w:hAnsi="Book Antiqua"/>
              </w:rPr>
              <w:t>000</w:t>
            </w:r>
          </w:p>
        </w:tc>
      </w:tr>
      <w:tr w:rsidR="00342141" w:rsidRPr="00A35CEC" w14:paraId="69DD8661" w14:textId="77777777" w:rsidTr="00E82443">
        <w:trPr>
          <w:trHeight w:val="225"/>
        </w:trPr>
        <w:tc>
          <w:tcPr>
            <w:tcW w:w="4835" w:type="dxa"/>
            <w:shd w:val="clear" w:color="auto" w:fill="FFFFFF"/>
            <w:noWrap/>
            <w:vAlign w:val="bottom"/>
          </w:tcPr>
          <w:p w14:paraId="48CAD2C8"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2017-2023</w:t>
            </w:r>
          </w:p>
        </w:tc>
        <w:tc>
          <w:tcPr>
            <w:tcW w:w="3106" w:type="dxa"/>
            <w:shd w:val="clear" w:color="auto" w:fill="FFFFFF"/>
            <w:noWrap/>
            <w:vAlign w:val="bottom"/>
          </w:tcPr>
          <w:p w14:paraId="28052EB4" w14:textId="65FB736D"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13</w:t>
            </w:r>
            <w:r w:rsidR="0029711C" w:rsidRPr="00A35CEC">
              <w:rPr>
                <w:rFonts w:ascii="Book Antiqua" w:hAnsi="Book Antiqua"/>
              </w:rPr>
              <w:t>,</w:t>
            </w:r>
            <w:r w:rsidR="00F031F7" w:rsidRPr="00A35CEC">
              <w:rPr>
                <w:rFonts w:ascii="Book Antiqua" w:hAnsi="Book Antiqua"/>
              </w:rPr>
              <w:t>000</w:t>
            </w:r>
          </w:p>
        </w:tc>
      </w:tr>
      <w:tr w:rsidR="00342141" w:rsidRPr="00A35CEC" w14:paraId="5D041A1F" w14:textId="77777777" w:rsidTr="00E82443">
        <w:trPr>
          <w:trHeight w:val="225"/>
        </w:trPr>
        <w:tc>
          <w:tcPr>
            <w:tcW w:w="4835" w:type="dxa"/>
            <w:shd w:val="clear" w:color="auto" w:fill="FFFFFF"/>
            <w:noWrap/>
            <w:vAlign w:val="bottom"/>
          </w:tcPr>
          <w:p w14:paraId="72793304"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2024-2035</w:t>
            </w:r>
          </w:p>
        </w:tc>
        <w:tc>
          <w:tcPr>
            <w:tcW w:w="3106" w:type="dxa"/>
            <w:shd w:val="clear" w:color="auto" w:fill="FFFFFF"/>
            <w:noWrap/>
            <w:vAlign w:val="bottom"/>
          </w:tcPr>
          <w:p w14:paraId="2EA7235B" w14:textId="3CD10828" w:rsidR="00F031F7" w:rsidRPr="00A35CEC" w:rsidRDefault="00E82443" w:rsidP="00FB2B31">
            <w:pPr>
              <w:adjustRightInd w:val="0"/>
              <w:snapToGrid w:val="0"/>
              <w:spacing w:line="360" w:lineRule="auto"/>
              <w:jc w:val="center"/>
              <w:rPr>
                <w:rFonts w:ascii="Book Antiqua" w:hAnsi="Book Antiqua"/>
              </w:rPr>
            </w:pPr>
            <w:r w:rsidRPr="00A35CEC">
              <w:rPr>
                <w:rFonts w:ascii="Book Antiqua" w:hAnsi="Book Antiqua"/>
              </w:rPr>
              <w:t>13</w:t>
            </w:r>
            <w:r w:rsidR="0029711C" w:rsidRPr="00A35CEC">
              <w:rPr>
                <w:rFonts w:ascii="Book Antiqua" w:hAnsi="Book Antiqua"/>
              </w:rPr>
              <w:t>,</w:t>
            </w:r>
            <w:r w:rsidR="00F031F7" w:rsidRPr="00A35CEC">
              <w:rPr>
                <w:rFonts w:ascii="Book Antiqua" w:hAnsi="Book Antiqua"/>
              </w:rPr>
              <w:t>000/8</w:t>
            </w:r>
            <w:r w:rsidR="0029711C" w:rsidRPr="00A35CEC">
              <w:rPr>
                <w:rFonts w:ascii="Book Antiqua" w:hAnsi="Book Antiqua"/>
              </w:rPr>
              <w:t>,</w:t>
            </w:r>
            <w:r w:rsidR="00F031F7" w:rsidRPr="00A35CEC">
              <w:rPr>
                <w:rFonts w:ascii="Book Antiqua" w:hAnsi="Book Antiqua"/>
              </w:rPr>
              <w:t>500</w:t>
            </w:r>
            <w:r w:rsidRPr="00A35CEC">
              <w:rPr>
                <w:rFonts w:ascii="Book Antiqua" w:hAnsi="Book Antiqua"/>
                <w:vertAlign w:val="superscript"/>
              </w:rPr>
              <w:t>3</w:t>
            </w:r>
          </w:p>
        </w:tc>
      </w:tr>
    </w:tbl>
    <w:p w14:paraId="7E187865" w14:textId="46A65E38" w:rsidR="00F031F7" w:rsidRPr="00A35CEC" w:rsidRDefault="00887586" w:rsidP="0099395B">
      <w:pPr>
        <w:adjustRightInd w:val="0"/>
        <w:snapToGrid w:val="0"/>
        <w:spacing w:line="360" w:lineRule="auto"/>
        <w:jc w:val="both"/>
        <w:rPr>
          <w:rFonts w:ascii="Book Antiqua" w:hAnsi="Book Antiqua"/>
        </w:rPr>
      </w:pPr>
      <w:proofErr w:type="gramStart"/>
      <w:r w:rsidRPr="00A35CEC">
        <w:rPr>
          <w:rFonts w:ascii="Book Antiqua" w:hAnsi="Book Antiqua"/>
          <w:vertAlign w:val="superscript"/>
        </w:rPr>
        <w:t>1</w:t>
      </w:r>
      <w:r w:rsidR="00F031F7" w:rsidRPr="00A35CEC">
        <w:rPr>
          <w:rFonts w:ascii="Book Antiqua" w:hAnsi="Book Antiqua"/>
        </w:rPr>
        <w:t>Cost per screen</w:t>
      </w:r>
      <w:r w:rsidR="00FB2B31" w:rsidRPr="00A35CEC">
        <w:rPr>
          <w:rFonts w:ascii="Book Antiqua" w:hAnsi="Book Antiqua"/>
        </w:rPr>
        <w:t>;</w:t>
      </w:r>
      <w:r w:rsidR="00E82443" w:rsidRPr="00A35CEC">
        <w:rPr>
          <w:rFonts w:ascii="Book Antiqua" w:hAnsi="Book Antiqua"/>
        </w:rPr>
        <w:t xml:space="preserve"> </w:t>
      </w:r>
      <w:r w:rsidRPr="00A35CEC">
        <w:rPr>
          <w:rFonts w:ascii="Book Antiqua" w:hAnsi="Book Antiqua"/>
          <w:vertAlign w:val="superscript"/>
        </w:rPr>
        <w:t>2</w:t>
      </w:r>
      <w:r w:rsidR="00F031F7" w:rsidRPr="00A35CEC">
        <w:rPr>
          <w:rFonts w:ascii="Book Antiqua" w:hAnsi="Book Antiqua"/>
        </w:rPr>
        <w:t>Cost per patient for one time</w:t>
      </w:r>
      <w:r w:rsidR="00642601" w:rsidRPr="00A35CEC">
        <w:rPr>
          <w:rFonts w:ascii="Book Antiqua" w:hAnsi="Book Antiqua"/>
        </w:rPr>
        <w:t xml:space="preserve"> (includes all pre</w:t>
      </w:r>
      <w:r w:rsidR="00002F4C" w:rsidRPr="00A35CEC">
        <w:rPr>
          <w:rFonts w:ascii="Book Antiqua" w:hAnsi="Book Antiqua"/>
        </w:rPr>
        <w:t>-</w:t>
      </w:r>
      <w:r w:rsidR="00642601" w:rsidRPr="00A35CEC">
        <w:rPr>
          <w:rFonts w:ascii="Book Antiqua" w:hAnsi="Book Antiqua"/>
        </w:rPr>
        <w:t>transplantation, transplantation and</w:t>
      </w:r>
      <w:r w:rsidR="00E82443" w:rsidRPr="00A35CEC">
        <w:rPr>
          <w:rFonts w:ascii="Book Antiqua" w:hAnsi="Book Antiqua"/>
        </w:rPr>
        <w:t xml:space="preserve"> </w:t>
      </w:r>
      <w:r w:rsidR="00642601" w:rsidRPr="00A35CEC">
        <w:rPr>
          <w:rFonts w:ascii="Book Antiqua" w:hAnsi="Book Antiqua"/>
        </w:rPr>
        <w:t>post</w:t>
      </w:r>
      <w:r w:rsidR="00E82443" w:rsidRPr="00A35CEC">
        <w:rPr>
          <w:rFonts w:ascii="Book Antiqua" w:hAnsi="Book Antiqua"/>
        </w:rPr>
        <w:t>-</w:t>
      </w:r>
      <w:r w:rsidR="00642601" w:rsidRPr="00A35CEC">
        <w:rPr>
          <w:rFonts w:ascii="Book Antiqua" w:hAnsi="Book Antiqua"/>
        </w:rPr>
        <w:t>transplantation courses)</w:t>
      </w:r>
      <w:r w:rsidR="00FB2B31" w:rsidRPr="00A35CEC">
        <w:rPr>
          <w:rFonts w:ascii="Book Antiqua" w:hAnsi="Book Antiqua"/>
        </w:rPr>
        <w:t>;</w:t>
      </w:r>
      <w:r w:rsidR="00E82443" w:rsidRPr="00A35CEC">
        <w:rPr>
          <w:rFonts w:ascii="Book Antiqua" w:hAnsi="Book Antiqua"/>
        </w:rPr>
        <w:t xml:space="preserve"> </w:t>
      </w:r>
      <w:r w:rsidR="00E82443" w:rsidRPr="00A35CEC">
        <w:rPr>
          <w:rFonts w:ascii="Book Antiqua" w:hAnsi="Book Antiqua"/>
          <w:vertAlign w:val="superscript"/>
        </w:rPr>
        <w:t>3</w:t>
      </w:r>
      <w:r w:rsidR="00E82443" w:rsidRPr="00A35CEC">
        <w:rPr>
          <w:rFonts w:ascii="Book Antiqua" w:hAnsi="Book Antiqua"/>
        </w:rPr>
        <w:t>Under optimistic price reduction scenario.</w:t>
      </w:r>
      <w:proofErr w:type="gramEnd"/>
      <w:r w:rsidR="00E82443" w:rsidRPr="00A35CEC">
        <w:rPr>
          <w:rFonts w:ascii="Book Antiqua" w:hAnsi="Book Antiqua"/>
        </w:rPr>
        <w:t xml:space="preserve"> </w:t>
      </w:r>
      <w:proofErr w:type="spellStart"/>
      <w:r w:rsidR="004C2BF6" w:rsidRPr="00A35CEC">
        <w:rPr>
          <w:rFonts w:ascii="Book Antiqua" w:hAnsi="Book Antiqua"/>
        </w:rPr>
        <w:t>DAAs</w:t>
      </w:r>
      <w:proofErr w:type="spellEnd"/>
      <w:r w:rsidR="004C2BF6" w:rsidRPr="00A35CEC">
        <w:rPr>
          <w:rFonts w:ascii="Book Antiqua" w:hAnsi="Book Antiqua"/>
        </w:rPr>
        <w:t>: Direct-</w:t>
      </w:r>
      <w:r w:rsidR="00E82443" w:rsidRPr="00A35CEC">
        <w:rPr>
          <w:rFonts w:ascii="Book Antiqua" w:hAnsi="Book Antiqua"/>
        </w:rPr>
        <w:t xml:space="preserve">acting antivirals; </w:t>
      </w:r>
      <w:proofErr w:type="spellStart"/>
      <w:r w:rsidR="00E82443" w:rsidRPr="00A35CEC">
        <w:rPr>
          <w:rFonts w:ascii="Book Antiqua" w:hAnsi="Book Antiqua"/>
        </w:rPr>
        <w:t>HCV</w:t>
      </w:r>
      <w:proofErr w:type="spellEnd"/>
      <w:r w:rsidR="00E82443" w:rsidRPr="00A35CEC">
        <w:rPr>
          <w:rFonts w:ascii="Book Antiqua" w:hAnsi="Book Antiqua"/>
        </w:rPr>
        <w:t>: Hepatitis C virus.</w:t>
      </w:r>
      <w:bookmarkEnd w:id="213"/>
    </w:p>
    <w:p w14:paraId="0BCFB32E" w14:textId="39ABD599" w:rsidR="00F031F7" w:rsidRPr="00A35CEC" w:rsidRDefault="00E82443">
      <w:pPr>
        <w:adjustRightInd w:val="0"/>
        <w:snapToGrid w:val="0"/>
        <w:spacing w:line="360" w:lineRule="auto"/>
        <w:jc w:val="both"/>
        <w:rPr>
          <w:rFonts w:ascii="Book Antiqua" w:hAnsi="Book Antiqua"/>
        </w:rPr>
      </w:pPr>
      <w:r w:rsidRPr="00A35CEC">
        <w:rPr>
          <w:rFonts w:ascii="Book Antiqua" w:hAnsi="Book Antiqua"/>
          <w:b/>
        </w:rPr>
        <w:br w:type="page"/>
      </w:r>
      <w:r w:rsidR="00F031F7" w:rsidRPr="00A35CEC">
        <w:rPr>
          <w:rFonts w:ascii="Book Antiqua" w:hAnsi="Book Antiqua"/>
          <w:b/>
        </w:rPr>
        <w:lastRenderedPageBreak/>
        <w:t>Table 3</w:t>
      </w:r>
      <w:r w:rsidRPr="00A35CEC">
        <w:rPr>
          <w:rFonts w:ascii="Book Antiqua" w:hAnsi="Book Antiqua"/>
          <w:b/>
        </w:rPr>
        <w:t xml:space="preserve"> </w:t>
      </w:r>
      <w:r w:rsidR="00F031F7" w:rsidRPr="00A35CEC">
        <w:rPr>
          <w:rFonts w:ascii="Book Antiqua" w:hAnsi="Book Antiqua"/>
          <w:b/>
        </w:rPr>
        <w:t xml:space="preserve">Estimated number of total </w:t>
      </w:r>
      <w:r w:rsidRPr="00A35CEC">
        <w:rPr>
          <w:rFonts w:ascii="Book Antiqua" w:hAnsi="Book Antiqua"/>
          <w:b/>
        </w:rPr>
        <w:t>h</w:t>
      </w:r>
      <w:r w:rsidR="006968E3" w:rsidRPr="00A35CEC">
        <w:rPr>
          <w:rFonts w:ascii="Book Antiqua" w:hAnsi="Book Antiqua"/>
          <w:b/>
        </w:rPr>
        <w:t>epatitis C</w:t>
      </w:r>
      <w:r w:rsidRPr="00A35CEC">
        <w:rPr>
          <w:rFonts w:ascii="Book Antiqua" w:hAnsi="Book Antiqua"/>
          <w:b/>
        </w:rPr>
        <w:t xml:space="preserve"> virus</w:t>
      </w:r>
      <w:r w:rsidR="006968E3" w:rsidRPr="00A35CEC">
        <w:rPr>
          <w:rFonts w:ascii="Book Antiqua" w:hAnsi="Book Antiqua"/>
          <w:b/>
        </w:rPr>
        <w:t xml:space="preserve"> </w:t>
      </w:r>
      <w:r w:rsidR="00F031F7" w:rsidRPr="00A35CEC">
        <w:rPr>
          <w:rFonts w:ascii="Book Antiqua" w:hAnsi="Book Antiqua"/>
          <w:b/>
        </w:rPr>
        <w:t>infected (</w:t>
      </w:r>
      <w:proofErr w:type="spellStart"/>
      <w:r w:rsidR="00F031F7" w:rsidRPr="00A35CEC">
        <w:rPr>
          <w:rFonts w:ascii="Book Antiqua" w:hAnsi="Book Antiqua"/>
          <w:b/>
        </w:rPr>
        <w:t>viremic</w:t>
      </w:r>
      <w:proofErr w:type="spellEnd"/>
      <w:r w:rsidR="00F031F7" w:rsidRPr="00A35CEC">
        <w:rPr>
          <w:rFonts w:ascii="Book Antiqua" w:hAnsi="Book Antiqua"/>
          <w:b/>
        </w:rPr>
        <w:t xml:space="preserve"> cases), compensated cirrhosis, decompensated cirrhosis and </w:t>
      </w:r>
      <w:bookmarkStart w:id="214" w:name="_Hlk532162405"/>
      <w:r w:rsidR="00F031F7" w:rsidRPr="00A35CEC">
        <w:rPr>
          <w:rFonts w:ascii="Book Antiqua" w:hAnsi="Book Antiqua"/>
          <w:b/>
        </w:rPr>
        <w:t>hepatocellular carcinoma</w:t>
      </w:r>
      <w:bookmarkEnd w:id="214"/>
      <w:r w:rsidR="00F031F7" w:rsidRPr="00A35CEC">
        <w:rPr>
          <w:rFonts w:ascii="Book Antiqua" w:hAnsi="Book Antiqua"/>
          <w:b/>
        </w:rPr>
        <w:t xml:space="preserve"> cases in 2030 and 2035 under base and </w:t>
      </w:r>
      <w:r w:rsidRPr="00A35CEC">
        <w:rPr>
          <w:rFonts w:ascii="Book Antiqua" w:hAnsi="Book Antiqua"/>
          <w:b/>
        </w:rPr>
        <w:t>hepatitis C virus</w:t>
      </w:r>
      <w:r w:rsidR="00F031F7" w:rsidRPr="00A35CEC">
        <w:rPr>
          <w:rFonts w:ascii="Book Antiqua" w:hAnsi="Book Antiqua"/>
          <w:b/>
        </w:rPr>
        <w:t xml:space="preserve"> elimination scenario</w:t>
      </w:r>
      <w:r w:rsidR="0029711C" w:rsidRPr="00A35CEC">
        <w:rPr>
          <w:rFonts w:ascii="Book Antiqua" w:hAnsi="Book Antiqua"/>
          <w:b/>
        </w:rPr>
        <w:t>s</w:t>
      </w:r>
    </w:p>
    <w:tbl>
      <w:tblPr>
        <w:tblW w:w="5000" w:type="pct"/>
        <w:jc w:val="center"/>
        <w:tblBorders>
          <w:top w:val="single" w:sz="4" w:space="0" w:color="auto"/>
          <w:bottom w:val="single" w:sz="4" w:space="0" w:color="auto"/>
        </w:tblBorders>
        <w:tblLook w:val="00A0" w:firstRow="1" w:lastRow="0" w:firstColumn="1" w:lastColumn="0" w:noHBand="0" w:noVBand="0"/>
      </w:tblPr>
      <w:tblGrid>
        <w:gridCol w:w="1929"/>
        <w:gridCol w:w="1859"/>
        <w:gridCol w:w="1859"/>
        <w:gridCol w:w="1859"/>
        <w:gridCol w:w="2502"/>
      </w:tblGrid>
      <w:tr w:rsidR="00342141" w:rsidRPr="00A35CEC" w14:paraId="040029AA" w14:textId="77777777" w:rsidTr="00E82443">
        <w:trPr>
          <w:tblHeader/>
          <w:jc w:val="center"/>
        </w:trPr>
        <w:tc>
          <w:tcPr>
            <w:tcW w:w="963" w:type="pct"/>
            <w:tcBorders>
              <w:top w:val="single" w:sz="4" w:space="0" w:color="auto"/>
              <w:bottom w:val="single" w:sz="4" w:space="0" w:color="auto"/>
            </w:tcBorders>
          </w:tcPr>
          <w:p w14:paraId="3A19A22F" w14:textId="77777777" w:rsidR="00F031F7" w:rsidRPr="00A35CEC" w:rsidRDefault="00F031F7">
            <w:pPr>
              <w:adjustRightInd w:val="0"/>
              <w:snapToGrid w:val="0"/>
              <w:spacing w:line="360" w:lineRule="auto"/>
              <w:jc w:val="both"/>
              <w:rPr>
                <w:rFonts w:ascii="Book Antiqua" w:hAnsi="Book Antiqua"/>
                <w:b/>
              </w:rPr>
            </w:pPr>
            <w:bookmarkStart w:id="215" w:name="_Hlk512470641"/>
          </w:p>
        </w:tc>
        <w:tc>
          <w:tcPr>
            <w:tcW w:w="929" w:type="pct"/>
            <w:tcBorders>
              <w:top w:val="single" w:sz="4" w:space="0" w:color="auto"/>
              <w:bottom w:val="single" w:sz="4" w:space="0" w:color="auto"/>
            </w:tcBorders>
          </w:tcPr>
          <w:p w14:paraId="046FC0F1"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2015</w:t>
            </w:r>
          </w:p>
          <w:p w14:paraId="656D3BA5" w14:textId="4E1BB339" w:rsidR="00F031F7" w:rsidRPr="00A35CEC" w:rsidRDefault="00E82443">
            <w:pPr>
              <w:adjustRightInd w:val="0"/>
              <w:snapToGrid w:val="0"/>
              <w:spacing w:line="360" w:lineRule="auto"/>
              <w:jc w:val="center"/>
              <w:rPr>
                <w:rFonts w:ascii="Book Antiqua" w:hAnsi="Book Antiqua"/>
                <w:b/>
              </w:rPr>
            </w:pPr>
            <w:r w:rsidRPr="00A35CEC">
              <w:rPr>
                <w:rFonts w:ascii="Book Antiqua" w:hAnsi="Book Antiqua"/>
                <w:b/>
              </w:rPr>
              <w:t xml:space="preserve">Base </w:t>
            </w:r>
            <w:r w:rsidRPr="00A35CEC">
              <w:rPr>
                <w:rFonts w:ascii="Book Antiqua" w:hAnsi="Book Antiqua"/>
                <w:b/>
                <w:i/>
              </w:rPr>
              <w:t>n</w:t>
            </w:r>
          </w:p>
        </w:tc>
        <w:tc>
          <w:tcPr>
            <w:tcW w:w="929" w:type="pct"/>
            <w:tcBorders>
              <w:top w:val="single" w:sz="4" w:space="0" w:color="auto"/>
              <w:bottom w:val="single" w:sz="4" w:space="0" w:color="auto"/>
            </w:tcBorders>
          </w:tcPr>
          <w:p w14:paraId="2A9608C7"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2020</w:t>
            </w:r>
          </w:p>
          <w:p w14:paraId="58DB79FB" w14:textId="42A68CE5" w:rsidR="00F031F7" w:rsidRPr="00A35CEC" w:rsidRDefault="00E82443">
            <w:pPr>
              <w:adjustRightInd w:val="0"/>
              <w:snapToGrid w:val="0"/>
              <w:spacing w:line="360" w:lineRule="auto"/>
              <w:jc w:val="center"/>
              <w:rPr>
                <w:rFonts w:ascii="Book Antiqua" w:hAnsi="Book Antiqua"/>
                <w:b/>
              </w:rPr>
            </w:pPr>
            <w:r w:rsidRPr="00A35CEC">
              <w:rPr>
                <w:rFonts w:ascii="Book Antiqua" w:hAnsi="Book Antiqua"/>
                <w:b/>
                <w:i/>
              </w:rPr>
              <w:t>n</w:t>
            </w:r>
            <w:r w:rsidR="00F031F7" w:rsidRPr="00A35CEC">
              <w:rPr>
                <w:rFonts w:ascii="Book Antiqua" w:hAnsi="Book Antiqua"/>
                <w:b/>
              </w:rPr>
              <w:t xml:space="preserve"> (% change compared to 2015)</w:t>
            </w:r>
          </w:p>
        </w:tc>
        <w:tc>
          <w:tcPr>
            <w:tcW w:w="929" w:type="pct"/>
            <w:tcBorders>
              <w:top w:val="single" w:sz="4" w:space="0" w:color="auto"/>
              <w:bottom w:val="single" w:sz="4" w:space="0" w:color="auto"/>
            </w:tcBorders>
          </w:tcPr>
          <w:p w14:paraId="76E37B28"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2030</w:t>
            </w:r>
          </w:p>
          <w:p w14:paraId="0FF899BB" w14:textId="37CCC56F" w:rsidR="00F031F7" w:rsidRPr="00A35CEC" w:rsidRDefault="00E82443">
            <w:pPr>
              <w:adjustRightInd w:val="0"/>
              <w:snapToGrid w:val="0"/>
              <w:spacing w:line="360" w:lineRule="auto"/>
              <w:jc w:val="center"/>
              <w:rPr>
                <w:rFonts w:ascii="Book Antiqua" w:hAnsi="Book Antiqua"/>
                <w:b/>
              </w:rPr>
            </w:pPr>
            <w:r w:rsidRPr="00A35CEC">
              <w:rPr>
                <w:rFonts w:ascii="Book Antiqua" w:hAnsi="Book Antiqua"/>
                <w:b/>
                <w:i/>
              </w:rPr>
              <w:t>n</w:t>
            </w:r>
            <w:r w:rsidR="00F031F7" w:rsidRPr="00A35CEC">
              <w:rPr>
                <w:rFonts w:ascii="Book Antiqua" w:hAnsi="Book Antiqua"/>
                <w:b/>
              </w:rPr>
              <w:t xml:space="preserve"> (% change compared to 2015)</w:t>
            </w:r>
          </w:p>
        </w:tc>
        <w:tc>
          <w:tcPr>
            <w:tcW w:w="1250" w:type="pct"/>
            <w:tcBorders>
              <w:top w:val="single" w:sz="4" w:space="0" w:color="auto"/>
              <w:bottom w:val="single" w:sz="4" w:space="0" w:color="auto"/>
            </w:tcBorders>
          </w:tcPr>
          <w:p w14:paraId="4F2E5980"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2035</w:t>
            </w:r>
          </w:p>
          <w:p w14:paraId="402C50AD" w14:textId="4E3AAC7D" w:rsidR="00F031F7" w:rsidRPr="00A35CEC" w:rsidRDefault="00E82443">
            <w:pPr>
              <w:adjustRightInd w:val="0"/>
              <w:snapToGrid w:val="0"/>
              <w:spacing w:line="360" w:lineRule="auto"/>
              <w:jc w:val="center"/>
              <w:rPr>
                <w:rFonts w:ascii="Book Antiqua" w:hAnsi="Book Antiqua"/>
                <w:b/>
              </w:rPr>
            </w:pPr>
            <w:r w:rsidRPr="00A35CEC">
              <w:rPr>
                <w:rFonts w:ascii="Book Antiqua" w:hAnsi="Book Antiqua"/>
                <w:b/>
                <w:i/>
              </w:rPr>
              <w:t>n</w:t>
            </w:r>
            <w:r w:rsidR="00F031F7" w:rsidRPr="00A35CEC">
              <w:rPr>
                <w:rFonts w:ascii="Book Antiqua" w:hAnsi="Book Antiqua"/>
                <w:b/>
              </w:rPr>
              <w:t xml:space="preserve"> (% change</w:t>
            </w:r>
          </w:p>
          <w:p w14:paraId="7F1FDA21"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compared to base case in 2015)</w:t>
            </w:r>
          </w:p>
        </w:tc>
      </w:tr>
      <w:tr w:rsidR="00342141" w:rsidRPr="00A35CEC" w14:paraId="179A175D" w14:textId="77777777" w:rsidTr="00E82443">
        <w:trPr>
          <w:jc w:val="center"/>
        </w:trPr>
        <w:tc>
          <w:tcPr>
            <w:tcW w:w="963" w:type="pct"/>
            <w:tcBorders>
              <w:top w:val="single" w:sz="4" w:space="0" w:color="auto"/>
            </w:tcBorders>
          </w:tcPr>
          <w:p w14:paraId="154B1409" w14:textId="77777777" w:rsidR="00F031F7" w:rsidRPr="00A35CEC" w:rsidRDefault="00F031F7" w:rsidP="0099395B">
            <w:pPr>
              <w:adjustRightInd w:val="0"/>
              <w:snapToGrid w:val="0"/>
              <w:spacing w:line="360" w:lineRule="auto"/>
              <w:jc w:val="both"/>
              <w:rPr>
                <w:rFonts w:ascii="Book Antiqua" w:hAnsi="Book Antiqua"/>
                <w:b/>
              </w:rPr>
            </w:pPr>
          </w:p>
        </w:tc>
        <w:tc>
          <w:tcPr>
            <w:tcW w:w="4037" w:type="pct"/>
            <w:gridSpan w:val="4"/>
            <w:tcBorders>
              <w:top w:val="single" w:sz="4" w:space="0" w:color="auto"/>
            </w:tcBorders>
          </w:tcPr>
          <w:p w14:paraId="7C4C565D" w14:textId="37922C39" w:rsidR="00F031F7" w:rsidRPr="00A35CEC" w:rsidRDefault="00E82443">
            <w:pPr>
              <w:adjustRightInd w:val="0"/>
              <w:snapToGrid w:val="0"/>
              <w:spacing w:line="360" w:lineRule="auto"/>
              <w:jc w:val="center"/>
              <w:rPr>
                <w:rFonts w:ascii="Book Antiqua" w:hAnsi="Book Antiqua"/>
              </w:rPr>
            </w:pPr>
            <w:r w:rsidRPr="00A35CEC">
              <w:rPr>
                <w:rFonts w:ascii="Book Antiqua" w:hAnsi="Book Antiqua"/>
              </w:rPr>
              <w:t>Base c</w:t>
            </w:r>
            <w:r w:rsidR="00F031F7" w:rsidRPr="00A35CEC">
              <w:rPr>
                <w:rFonts w:ascii="Book Antiqua" w:hAnsi="Book Antiqua"/>
              </w:rPr>
              <w:t>ase</w:t>
            </w:r>
          </w:p>
        </w:tc>
      </w:tr>
      <w:tr w:rsidR="00342141" w:rsidRPr="00A35CEC" w14:paraId="559BAA36" w14:textId="77777777" w:rsidTr="00E82443">
        <w:trPr>
          <w:jc w:val="center"/>
        </w:trPr>
        <w:tc>
          <w:tcPr>
            <w:tcW w:w="963" w:type="pct"/>
          </w:tcPr>
          <w:p w14:paraId="0D7EFBB7"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Total infected</w:t>
            </w:r>
          </w:p>
        </w:tc>
        <w:tc>
          <w:tcPr>
            <w:tcW w:w="929" w:type="pct"/>
          </w:tcPr>
          <w:p w14:paraId="5B8B6668" w14:textId="102E26DA"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132</w:t>
            </w:r>
            <w:r w:rsidR="0029711C" w:rsidRPr="00A35CEC">
              <w:rPr>
                <w:rFonts w:ascii="Book Antiqua" w:eastAsia="Calibri" w:hAnsi="Book Antiqua"/>
              </w:rPr>
              <w:t>,</w:t>
            </w:r>
            <w:r w:rsidRPr="00A35CEC">
              <w:rPr>
                <w:rFonts w:ascii="Book Antiqua" w:eastAsia="Calibri" w:hAnsi="Book Antiqua"/>
              </w:rPr>
              <w:t>500</w:t>
            </w:r>
          </w:p>
        </w:tc>
        <w:tc>
          <w:tcPr>
            <w:tcW w:w="929" w:type="pct"/>
          </w:tcPr>
          <w:p w14:paraId="0DE49633" w14:textId="55952B9F"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127</w:t>
            </w:r>
            <w:r w:rsidR="0029711C" w:rsidRPr="00A35CEC">
              <w:rPr>
                <w:rFonts w:ascii="Book Antiqua" w:eastAsia="Calibri" w:hAnsi="Book Antiqua"/>
              </w:rPr>
              <w:t>,</w:t>
            </w:r>
            <w:r w:rsidRPr="00A35CEC">
              <w:rPr>
                <w:rFonts w:ascii="Book Antiqua" w:eastAsia="Calibri" w:hAnsi="Book Antiqua"/>
              </w:rPr>
              <w:t>940 (-3.4)</w:t>
            </w:r>
          </w:p>
        </w:tc>
        <w:tc>
          <w:tcPr>
            <w:tcW w:w="929" w:type="pct"/>
          </w:tcPr>
          <w:p w14:paraId="1562E405" w14:textId="56B755F7"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121</w:t>
            </w:r>
            <w:r w:rsidR="0029711C" w:rsidRPr="00A35CEC">
              <w:rPr>
                <w:rFonts w:ascii="Book Antiqua" w:eastAsia="Calibri" w:hAnsi="Book Antiqua"/>
              </w:rPr>
              <w:t>,</w:t>
            </w:r>
            <w:r w:rsidRPr="00A35CEC">
              <w:rPr>
                <w:rFonts w:ascii="Book Antiqua" w:eastAsia="Calibri" w:hAnsi="Book Antiqua"/>
              </w:rPr>
              <w:t>460 (-8.3)</w:t>
            </w:r>
          </w:p>
        </w:tc>
        <w:tc>
          <w:tcPr>
            <w:tcW w:w="1250" w:type="pct"/>
          </w:tcPr>
          <w:p w14:paraId="0DD23DDB" w14:textId="5269D173"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117</w:t>
            </w:r>
            <w:r w:rsidR="0029711C" w:rsidRPr="00A35CEC">
              <w:rPr>
                <w:rFonts w:ascii="Book Antiqua" w:hAnsi="Book Antiqua"/>
              </w:rPr>
              <w:t>,</w:t>
            </w:r>
            <w:r w:rsidRPr="00A35CEC">
              <w:rPr>
                <w:rFonts w:ascii="Book Antiqua" w:hAnsi="Book Antiqua"/>
              </w:rPr>
              <w:t>750 (-11.1)</w:t>
            </w:r>
          </w:p>
        </w:tc>
      </w:tr>
      <w:tr w:rsidR="00342141" w:rsidRPr="00A35CEC" w14:paraId="16F90F53" w14:textId="77777777" w:rsidTr="00E82443">
        <w:trPr>
          <w:jc w:val="center"/>
        </w:trPr>
        <w:tc>
          <w:tcPr>
            <w:tcW w:w="963" w:type="pct"/>
          </w:tcPr>
          <w:p w14:paraId="4FDDC789" w14:textId="3E27672F" w:rsidR="00F031F7"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Compensated</w:t>
            </w:r>
            <w:r w:rsidR="00F031F7" w:rsidRPr="00A35CEC">
              <w:rPr>
                <w:rFonts w:ascii="Book Antiqua" w:hAnsi="Book Antiqua"/>
              </w:rPr>
              <w:t xml:space="preserve"> cirrhosis</w:t>
            </w:r>
          </w:p>
        </w:tc>
        <w:tc>
          <w:tcPr>
            <w:tcW w:w="929" w:type="pct"/>
          </w:tcPr>
          <w:p w14:paraId="0A3CBE85" w14:textId="4095181F"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17</w:t>
            </w:r>
            <w:r w:rsidR="0029711C" w:rsidRPr="00A35CEC">
              <w:rPr>
                <w:rFonts w:ascii="Book Antiqua" w:eastAsia="Calibri" w:hAnsi="Book Antiqua"/>
              </w:rPr>
              <w:t>,</w:t>
            </w:r>
            <w:r w:rsidRPr="00A35CEC">
              <w:rPr>
                <w:rFonts w:ascii="Book Antiqua" w:eastAsia="Calibri" w:hAnsi="Book Antiqua"/>
              </w:rPr>
              <w:t>700</w:t>
            </w:r>
          </w:p>
        </w:tc>
        <w:tc>
          <w:tcPr>
            <w:tcW w:w="929" w:type="pct"/>
          </w:tcPr>
          <w:p w14:paraId="5765AF6F" w14:textId="32CB33F4"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18</w:t>
            </w:r>
            <w:r w:rsidR="0029711C" w:rsidRPr="00A35CEC">
              <w:rPr>
                <w:rFonts w:ascii="Book Antiqua" w:hAnsi="Book Antiqua"/>
              </w:rPr>
              <w:t>,</w:t>
            </w:r>
            <w:r w:rsidRPr="00A35CEC">
              <w:rPr>
                <w:rFonts w:ascii="Book Antiqua" w:hAnsi="Book Antiqua"/>
              </w:rPr>
              <w:t>584 (+4.9)</w:t>
            </w:r>
          </w:p>
        </w:tc>
        <w:tc>
          <w:tcPr>
            <w:tcW w:w="929" w:type="pct"/>
          </w:tcPr>
          <w:p w14:paraId="73081B39" w14:textId="3894F78D" w:rsidR="00F031F7" w:rsidRPr="00A35CEC" w:rsidRDefault="00F031F7">
            <w:pPr>
              <w:adjustRightInd w:val="0"/>
              <w:snapToGrid w:val="0"/>
              <w:spacing w:line="360" w:lineRule="auto"/>
              <w:jc w:val="center"/>
              <w:rPr>
                <w:rFonts w:ascii="Book Antiqua" w:eastAsia="Calibri" w:hAnsi="Book Antiqua"/>
              </w:rPr>
            </w:pPr>
            <w:r w:rsidRPr="00A35CEC">
              <w:rPr>
                <w:rFonts w:ascii="Book Antiqua" w:hAnsi="Book Antiqua"/>
              </w:rPr>
              <w:t>21</w:t>
            </w:r>
            <w:r w:rsidR="0029711C" w:rsidRPr="00A35CEC">
              <w:rPr>
                <w:rFonts w:ascii="Book Antiqua" w:hAnsi="Book Antiqua"/>
              </w:rPr>
              <w:t>,</w:t>
            </w:r>
            <w:r w:rsidRPr="00A35CEC">
              <w:rPr>
                <w:rFonts w:ascii="Book Antiqua" w:hAnsi="Book Antiqua"/>
              </w:rPr>
              <w:t>100 (+19.2)</w:t>
            </w:r>
          </w:p>
        </w:tc>
        <w:tc>
          <w:tcPr>
            <w:tcW w:w="1250" w:type="pct"/>
          </w:tcPr>
          <w:p w14:paraId="19095B1C" w14:textId="45E9A2E1"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21</w:t>
            </w:r>
            <w:r w:rsidR="0029711C" w:rsidRPr="00A35CEC">
              <w:rPr>
                <w:rFonts w:ascii="Book Antiqua" w:hAnsi="Book Antiqua"/>
              </w:rPr>
              <w:t>,</w:t>
            </w:r>
            <w:r w:rsidRPr="00A35CEC">
              <w:rPr>
                <w:rFonts w:ascii="Book Antiqua" w:hAnsi="Book Antiqua"/>
              </w:rPr>
              <w:t>280 (+20.2)</w:t>
            </w:r>
          </w:p>
        </w:tc>
      </w:tr>
      <w:tr w:rsidR="00342141" w:rsidRPr="00A35CEC" w14:paraId="3F4F53A5" w14:textId="77777777" w:rsidTr="00E82443">
        <w:trPr>
          <w:jc w:val="center"/>
        </w:trPr>
        <w:tc>
          <w:tcPr>
            <w:tcW w:w="963" w:type="pct"/>
          </w:tcPr>
          <w:p w14:paraId="6BCDA7EF" w14:textId="7EA8C2DB" w:rsidR="00F031F7"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Decompensated</w:t>
            </w:r>
            <w:r w:rsidR="00F031F7" w:rsidRPr="00A35CEC">
              <w:rPr>
                <w:rFonts w:ascii="Book Antiqua" w:hAnsi="Book Antiqua"/>
              </w:rPr>
              <w:t xml:space="preserve"> cirrhosis</w:t>
            </w:r>
          </w:p>
        </w:tc>
        <w:tc>
          <w:tcPr>
            <w:tcW w:w="929" w:type="pct"/>
          </w:tcPr>
          <w:p w14:paraId="4BB07249" w14:textId="2F1A7698"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1</w:t>
            </w:r>
            <w:r w:rsidR="0029711C" w:rsidRPr="00A35CEC">
              <w:rPr>
                <w:rFonts w:ascii="Book Antiqua" w:eastAsia="Calibri" w:hAnsi="Book Antiqua"/>
              </w:rPr>
              <w:t>,</w:t>
            </w:r>
            <w:r w:rsidRPr="00A35CEC">
              <w:rPr>
                <w:rFonts w:ascii="Book Antiqua" w:eastAsia="Calibri" w:hAnsi="Book Antiqua"/>
              </w:rPr>
              <w:t>830</w:t>
            </w:r>
          </w:p>
        </w:tc>
        <w:tc>
          <w:tcPr>
            <w:tcW w:w="929" w:type="pct"/>
          </w:tcPr>
          <w:p w14:paraId="4B1D3B1A" w14:textId="25446B6E"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w:t>
            </w:r>
            <w:r w:rsidR="0029711C" w:rsidRPr="00A35CEC">
              <w:rPr>
                <w:rFonts w:ascii="Book Antiqua" w:hAnsi="Book Antiqua"/>
              </w:rPr>
              <w:t>,</w:t>
            </w:r>
            <w:r w:rsidRPr="00A35CEC">
              <w:rPr>
                <w:rFonts w:ascii="Book Antiqua" w:hAnsi="Book Antiqua"/>
              </w:rPr>
              <w:t>885 (+3.0)</w:t>
            </w:r>
          </w:p>
        </w:tc>
        <w:tc>
          <w:tcPr>
            <w:tcW w:w="929" w:type="pct"/>
          </w:tcPr>
          <w:p w14:paraId="3B713374" w14:textId="4CDA1601" w:rsidR="00F031F7" w:rsidRPr="00A35CEC" w:rsidRDefault="00E82443">
            <w:pPr>
              <w:adjustRightInd w:val="0"/>
              <w:snapToGrid w:val="0"/>
              <w:spacing w:line="360" w:lineRule="auto"/>
              <w:jc w:val="center"/>
              <w:rPr>
                <w:rFonts w:ascii="Book Antiqua" w:eastAsia="Calibri" w:hAnsi="Book Antiqua"/>
              </w:rPr>
            </w:pPr>
            <w:r w:rsidRPr="00A35CEC">
              <w:rPr>
                <w:rFonts w:ascii="Book Antiqua" w:hAnsi="Book Antiqua"/>
              </w:rPr>
              <w:t>2</w:t>
            </w:r>
            <w:r w:rsidR="0029711C" w:rsidRPr="00A35CEC">
              <w:rPr>
                <w:rFonts w:ascii="Book Antiqua" w:hAnsi="Book Antiqua"/>
              </w:rPr>
              <w:t>,</w:t>
            </w:r>
            <w:r w:rsidRPr="00A35CEC">
              <w:rPr>
                <w:rFonts w:ascii="Book Antiqua" w:hAnsi="Book Antiqua"/>
              </w:rPr>
              <w:t xml:space="preserve">160 </w:t>
            </w:r>
            <w:r w:rsidR="00F031F7" w:rsidRPr="00A35CEC">
              <w:rPr>
                <w:rFonts w:ascii="Book Antiqua" w:hAnsi="Book Antiqua"/>
              </w:rPr>
              <w:t>(+18.3)</w:t>
            </w:r>
          </w:p>
        </w:tc>
        <w:tc>
          <w:tcPr>
            <w:tcW w:w="1250" w:type="pct"/>
          </w:tcPr>
          <w:p w14:paraId="00CFCF46" w14:textId="658B034C"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w:t>
            </w:r>
            <w:r w:rsidR="0029711C" w:rsidRPr="00A35CEC">
              <w:rPr>
                <w:rFonts w:ascii="Book Antiqua" w:hAnsi="Book Antiqua"/>
              </w:rPr>
              <w:t>,</w:t>
            </w:r>
            <w:r w:rsidRPr="00A35CEC">
              <w:rPr>
                <w:rFonts w:ascii="Book Antiqua" w:hAnsi="Book Antiqua"/>
              </w:rPr>
              <w:t>200 (+20.2)</w:t>
            </w:r>
          </w:p>
        </w:tc>
      </w:tr>
      <w:tr w:rsidR="00342141" w:rsidRPr="00A35CEC" w14:paraId="44D21FD7" w14:textId="77777777" w:rsidTr="00E82443">
        <w:trPr>
          <w:jc w:val="center"/>
        </w:trPr>
        <w:tc>
          <w:tcPr>
            <w:tcW w:w="963" w:type="pct"/>
          </w:tcPr>
          <w:p w14:paraId="6148C904" w14:textId="41E85726" w:rsidR="00F031F7" w:rsidRPr="00A35CEC" w:rsidRDefault="00F031F7" w:rsidP="0099395B">
            <w:pPr>
              <w:adjustRightInd w:val="0"/>
              <w:snapToGrid w:val="0"/>
              <w:spacing w:line="360" w:lineRule="auto"/>
              <w:jc w:val="both"/>
              <w:rPr>
                <w:rFonts w:ascii="Book Antiqua" w:hAnsi="Book Antiqua"/>
              </w:rPr>
            </w:pPr>
            <w:proofErr w:type="spellStart"/>
            <w:r w:rsidRPr="00A35CEC">
              <w:rPr>
                <w:rFonts w:ascii="Book Antiqua" w:hAnsi="Book Antiqua"/>
              </w:rPr>
              <w:t>HCC</w:t>
            </w:r>
            <w:proofErr w:type="spellEnd"/>
          </w:p>
        </w:tc>
        <w:tc>
          <w:tcPr>
            <w:tcW w:w="929" w:type="pct"/>
          </w:tcPr>
          <w:p w14:paraId="40548F38" w14:textId="77777777"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590</w:t>
            </w:r>
          </w:p>
        </w:tc>
        <w:tc>
          <w:tcPr>
            <w:tcW w:w="929" w:type="pct"/>
          </w:tcPr>
          <w:p w14:paraId="07073F59"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605 (+2.5)</w:t>
            </w:r>
          </w:p>
        </w:tc>
        <w:tc>
          <w:tcPr>
            <w:tcW w:w="929" w:type="pct"/>
          </w:tcPr>
          <w:p w14:paraId="3C15F14E" w14:textId="77777777" w:rsidR="00F031F7" w:rsidRPr="00A35CEC" w:rsidRDefault="00F031F7">
            <w:pPr>
              <w:adjustRightInd w:val="0"/>
              <w:snapToGrid w:val="0"/>
              <w:spacing w:line="360" w:lineRule="auto"/>
              <w:jc w:val="center"/>
              <w:rPr>
                <w:rFonts w:ascii="Book Antiqua" w:eastAsia="Calibri" w:hAnsi="Book Antiqua"/>
              </w:rPr>
            </w:pPr>
            <w:r w:rsidRPr="00A35CEC">
              <w:rPr>
                <w:rFonts w:ascii="Book Antiqua" w:hAnsi="Book Antiqua"/>
              </w:rPr>
              <w:t>705 (+19.4)</w:t>
            </w:r>
          </w:p>
        </w:tc>
        <w:tc>
          <w:tcPr>
            <w:tcW w:w="1250" w:type="pct"/>
          </w:tcPr>
          <w:p w14:paraId="30D70B1D"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710 (+20.3)</w:t>
            </w:r>
          </w:p>
        </w:tc>
      </w:tr>
      <w:tr w:rsidR="00342141" w:rsidRPr="00A35CEC" w14:paraId="2EED0A43" w14:textId="77777777" w:rsidTr="00E82443">
        <w:trPr>
          <w:jc w:val="center"/>
        </w:trPr>
        <w:tc>
          <w:tcPr>
            <w:tcW w:w="963" w:type="pct"/>
          </w:tcPr>
          <w:p w14:paraId="4C1C5FCF"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Liver related deaths</w:t>
            </w:r>
          </w:p>
        </w:tc>
        <w:tc>
          <w:tcPr>
            <w:tcW w:w="929" w:type="pct"/>
          </w:tcPr>
          <w:p w14:paraId="779466D5" w14:textId="77777777" w:rsidR="00F031F7" w:rsidRPr="00A35CEC" w:rsidRDefault="00F031F7">
            <w:pPr>
              <w:adjustRightInd w:val="0"/>
              <w:snapToGrid w:val="0"/>
              <w:spacing w:line="360" w:lineRule="auto"/>
              <w:jc w:val="center"/>
              <w:rPr>
                <w:rFonts w:ascii="Book Antiqua" w:eastAsia="Calibri" w:hAnsi="Book Antiqua"/>
              </w:rPr>
            </w:pPr>
            <w:r w:rsidRPr="00A35CEC">
              <w:rPr>
                <w:rFonts w:ascii="Book Antiqua" w:eastAsia="Calibri" w:hAnsi="Book Antiqua"/>
              </w:rPr>
              <w:t>660</w:t>
            </w:r>
          </w:p>
        </w:tc>
        <w:tc>
          <w:tcPr>
            <w:tcW w:w="929" w:type="pct"/>
          </w:tcPr>
          <w:p w14:paraId="1339E308"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686 (+3.9)</w:t>
            </w:r>
          </w:p>
        </w:tc>
        <w:tc>
          <w:tcPr>
            <w:tcW w:w="929" w:type="pct"/>
          </w:tcPr>
          <w:p w14:paraId="2EC761E1" w14:textId="77777777" w:rsidR="00F031F7" w:rsidRPr="00A35CEC" w:rsidRDefault="00F031F7">
            <w:pPr>
              <w:adjustRightInd w:val="0"/>
              <w:snapToGrid w:val="0"/>
              <w:spacing w:line="360" w:lineRule="auto"/>
              <w:jc w:val="center"/>
              <w:rPr>
                <w:rFonts w:ascii="Book Antiqua" w:eastAsia="Calibri" w:hAnsi="Book Antiqua"/>
              </w:rPr>
            </w:pPr>
            <w:r w:rsidRPr="00A35CEC">
              <w:rPr>
                <w:rFonts w:ascii="Book Antiqua" w:hAnsi="Book Antiqua"/>
              </w:rPr>
              <w:t>790 (+19.6)</w:t>
            </w:r>
          </w:p>
        </w:tc>
        <w:tc>
          <w:tcPr>
            <w:tcW w:w="1250" w:type="pct"/>
          </w:tcPr>
          <w:p w14:paraId="3202C284"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805 (+21.9)</w:t>
            </w:r>
          </w:p>
        </w:tc>
      </w:tr>
      <w:tr w:rsidR="00342141" w:rsidRPr="00A35CEC" w14:paraId="67150F1E" w14:textId="77777777" w:rsidTr="00E82443">
        <w:trPr>
          <w:jc w:val="center"/>
        </w:trPr>
        <w:tc>
          <w:tcPr>
            <w:tcW w:w="963" w:type="pct"/>
          </w:tcPr>
          <w:p w14:paraId="56AF6AAE" w14:textId="77777777" w:rsidR="00F031F7" w:rsidRPr="00A35CEC" w:rsidRDefault="00F031F7" w:rsidP="0099395B">
            <w:pPr>
              <w:tabs>
                <w:tab w:val="left" w:pos="2844"/>
                <w:tab w:val="center" w:pos="5022"/>
              </w:tabs>
              <w:adjustRightInd w:val="0"/>
              <w:snapToGrid w:val="0"/>
              <w:spacing w:line="360" w:lineRule="auto"/>
              <w:jc w:val="both"/>
              <w:rPr>
                <w:rFonts w:ascii="Book Antiqua" w:hAnsi="Book Antiqua"/>
              </w:rPr>
            </w:pPr>
          </w:p>
        </w:tc>
        <w:tc>
          <w:tcPr>
            <w:tcW w:w="4037" w:type="pct"/>
            <w:gridSpan w:val="4"/>
          </w:tcPr>
          <w:p w14:paraId="229C73D9" w14:textId="77777777" w:rsidR="00F031F7" w:rsidRPr="00A35CEC" w:rsidRDefault="00F031F7">
            <w:pPr>
              <w:tabs>
                <w:tab w:val="left" w:pos="2844"/>
                <w:tab w:val="center" w:pos="5022"/>
              </w:tabs>
              <w:adjustRightInd w:val="0"/>
              <w:snapToGrid w:val="0"/>
              <w:spacing w:line="360" w:lineRule="auto"/>
              <w:jc w:val="center"/>
              <w:rPr>
                <w:rFonts w:ascii="Book Antiqua" w:hAnsi="Book Antiqua"/>
              </w:rPr>
            </w:pPr>
            <w:r w:rsidRPr="00A35CEC">
              <w:rPr>
                <w:rFonts w:ascii="Book Antiqua" w:hAnsi="Book Antiqua"/>
              </w:rPr>
              <w:t>WHO Global Hepatitis Strategy</w:t>
            </w:r>
          </w:p>
        </w:tc>
      </w:tr>
      <w:tr w:rsidR="00342141" w:rsidRPr="00A35CEC" w14:paraId="5675878D" w14:textId="77777777" w:rsidTr="00E82443">
        <w:trPr>
          <w:jc w:val="center"/>
        </w:trPr>
        <w:tc>
          <w:tcPr>
            <w:tcW w:w="963" w:type="pct"/>
          </w:tcPr>
          <w:p w14:paraId="2DF1D016"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Total infected</w:t>
            </w:r>
          </w:p>
        </w:tc>
        <w:tc>
          <w:tcPr>
            <w:tcW w:w="929" w:type="pct"/>
          </w:tcPr>
          <w:p w14:paraId="30C89BD5" w14:textId="77777777" w:rsidR="00F031F7" w:rsidRPr="00A35CEC" w:rsidRDefault="00F031F7">
            <w:pPr>
              <w:adjustRightInd w:val="0"/>
              <w:snapToGrid w:val="0"/>
              <w:spacing w:line="360" w:lineRule="auto"/>
              <w:jc w:val="center"/>
              <w:rPr>
                <w:rFonts w:ascii="Book Antiqua" w:hAnsi="Book Antiqua"/>
              </w:rPr>
            </w:pPr>
          </w:p>
        </w:tc>
        <w:tc>
          <w:tcPr>
            <w:tcW w:w="929" w:type="pct"/>
          </w:tcPr>
          <w:p w14:paraId="1B0F0AEE" w14:textId="210A59C5"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107</w:t>
            </w:r>
            <w:r w:rsidR="0029711C" w:rsidRPr="00A35CEC">
              <w:rPr>
                <w:rFonts w:ascii="Book Antiqua" w:hAnsi="Book Antiqua"/>
              </w:rPr>
              <w:t>,</w:t>
            </w:r>
            <w:r w:rsidRPr="00A35CEC">
              <w:rPr>
                <w:rFonts w:ascii="Book Antiqua" w:hAnsi="Book Antiqua"/>
              </w:rPr>
              <w:t>910 (-18.5)</w:t>
            </w:r>
          </w:p>
        </w:tc>
        <w:tc>
          <w:tcPr>
            <w:tcW w:w="929" w:type="pct"/>
          </w:tcPr>
          <w:p w14:paraId="2B230A0E" w14:textId="2522A845"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28</w:t>
            </w:r>
            <w:r w:rsidR="0029711C" w:rsidRPr="00A35CEC">
              <w:rPr>
                <w:rFonts w:ascii="Book Antiqua" w:hAnsi="Book Antiqua"/>
              </w:rPr>
              <w:t>,</w:t>
            </w:r>
            <w:r w:rsidRPr="00A35CEC">
              <w:rPr>
                <w:rFonts w:ascii="Book Antiqua" w:hAnsi="Book Antiqua"/>
              </w:rPr>
              <w:t>000 (-78.8)</w:t>
            </w:r>
          </w:p>
        </w:tc>
        <w:tc>
          <w:tcPr>
            <w:tcW w:w="1250" w:type="pct"/>
          </w:tcPr>
          <w:p w14:paraId="7A457A66" w14:textId="3D9E2068"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w:t>
            </w:r>
            <w:r w:rsidR="0029711C" w:rsidRPr="00A35CEC">
              <w:rPr>
                <w:rFonts w:ascii="Book Antiqua" w:hAnsi="Book Antiqua"/>
              </w:rPr>
              <w:t>,</w:t>
            </w:r>
            <w:r w:rsidRPr="00A35CEC">
              <w:rPr>
                <w:rFonts w:ascii="Book Antiqua" w:hAnsi="Book Antiqua"/>
              </w:rPr>
              <w:t>100 (-98.4)</w:t>
            </w:r>
          </w:p>
        </w:tc>
      </w:tr>
      <w:tr w:rsidR="00342141" w:rsidRPr="00A35CEC" w14:paraId="0106098E" w14:textId="77777777" w:rsidTr="00E82443">
        <w:trPr>
          <w:jc w:val="center"/>
        </w:trPr>
        <w:tc>
          <w:tcPr>
            <w:tcW w:w="963" w:type="pct"/>
          </w:tcPr>
          <w:p w14:paraId="75DE06A8" w14:textId="6DD2E652" w:rsidR="00E82443"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Compensated cirrhosis</w:t>
            </w:r>
          </w:p>
        </w:tc>
        <w:tc>
          <w:tcPr>
            <w:tcW w:w="929" w:type="pct"/>
          </w:tcPr>
          <w:p w14:paraId="61B26473" w14:textId="77777777" w:rsidR="00E82443" w:rsidRPr="00A35CEC" w:rsidRDefault="00E82443">
            <w:pPr>
              <w:adjustRightInd w:val="0"/>
              <w:snapToGrid w:val="0"/>
              <w:spacing w:line="360" w:lineRule="auto"/>
              <w:jc w:val="center"/>
              <w:rPr>
                <w:rFonts w:ascii="Book Antiqua" w:hAnsi="Book Antiqua"/>
              </w:rPr>
            </w:pPr>
          </w:p>
        </w:tc>
        <w:tc>
          <w:tcPr>
            <w:tcW w:w="929" w:type="pct"/>
          </w:tcPr>
          <w:p w14:paraId="13C46EB7" w14:textId="764DF83D" w:rsidR="00E82443" w:rsidRPr="00A35CEC" w:rsidRDefault="00E82443">
            <w:pPr>
              <w:adjustRightInd w:val="0"/>
              <w:snapToGrid w:val="0"/>
              <w:spacing w:line="360" w:lineRule="auto"/>
              <w:jc w:val="center"/>
              <w:rPr>
                <w:rFonts w:ascii="Book Antiqua" w:hAnsi="Book Antiqua"/>
              </w:rPr>
            </w:pPr>
            <w:r w:rsidRPr="00A35CEC">
              <w:rPr>
                <w:rFonts w:ascii="Book Antiqua" w:hAnsi="Book Antiqua"/>
              </w:rPr>
              <w:t>13</w:t>
            </w:r>
            <w:r w:rsidR="0029711C" w:rsidRPr="00A35CEC">
              <w:rPr>
                <w:rFonts w:ascii="Book Antiqua" w:hAnsi="Book Antiqua"/>
              </w:rPr>
              <w:t>,</w:t>
            </w:r>
            <w:r w:rsidRPr="00A35CEC">
              <w:rPr>
                <w:rFonts w:ascii="Book Antiqua" w:hAnsi="Book Antiqua"/>
              </w:rPr>
              <w:t>584 (-23.2)</w:t>
            </w:r>
          </w:p>
        </w:tc>
        <w:tc>
          <w:tcPr>
            <w:tcW w:w="929" w:type="pct"/>
          </w:tcPr>
          <w:p w14:paraId="71D81B46" w14:textId="283940C9" w:rsidR="00E82443" w:rsidRPr="00A35CEC" w:rsidRDefault="00E82443">
            <w:pPr>
              <w:adjustRightInd w:val="0"/>
              <w:snapToGrid w:val="0"/>
              <w:spacing w:line="360" w:lineRule="auto"/>
              <w:jc w:val="center"/>
              <w:rPr>
                <w:rFonts w:ascii="Book Antiqua" w:hAnsi="Book Antiqua"/>
              </w:rPr>
            </w:pPr>
            <w:r w:rsidRPr="00A35CEC">
              <w:rPr>
                <w:rFonts w:ascii="Book Antiqua" w:hAnsi="Book Antiqua"/>
              </w:rPr>
              <w:t>6</w:t>
            </w:r>
            <w:r w:rsidR="0029711C" w:rsidRPr="00A35CEC">
              <w:rPr>
                <w:rFonts w:ascii="Book Antiqua" w:hAnsi="Book Antiqua"/>
              </w:rPr>
              <w:t>,</w:t>
            </w:r>
            <w:r w:rsidRPr="00A35CEC">
              <w:rPr>
                <w:rFonts w:ascii="Book Antiqua" w:hAnsi="Book Antiqua"/>
              </w:rPr>
              <w:t>480 (-63.3)</w:t>
            </w:r>
          </w:p>
        </w:tc>
        <w:tc>
          <w:tcPr>
            <w:tcW w:w="1250" w:type="pct"/>
          </w:tcPr>
          <w:p w14:paraId="0A9B407F" w14:textId="377725FA" w:rsidR="00E82443" w:rsidRPr="00A35CEC" w:rsidRDefault="00E82443">
            <w:pPr>
              <w:adjustRightInd w:val="0"/>
              <w:snapToGrid w:val="0"/>
              <w:spacing w:line="360" w:lineRule="auto"/>
              <w:jc w:val="center"/>
              <w:rPr>
                <w:rFonts w:ascii="Book Antiqua" w:hAnsi="Book Antiqua"/>
              </w:rPr>
            </w:pPr>
            <w:r w:rsidRPr="00A35CEC">
              <w:rPr>
                <w:rFonts w:ascii="Book Antiqua" w:hAnsi="Book Antiqua"/>
              </w:rPr>
              <w:t>1</w:t>
            </w:r>
            <w:r w:rsidR="0029711C" w:rsidRPr="00A35CEC">
              <w:rPr>
                <w:rFonts w:ascii="Book Antiqua" w:hAnsi="Book Antiqua"/>
              </w:rPr>
              <w:t>,</w:t>
            </w:r>
            <w:r w:rsidRPr="00A35CEC">
              <w:rPr>
                <w:rFonts w:ascii="Book Antiqua" w:hAnsi="Book Antiqua"/>
              </w:rPr>
              <w:t>084 (-93.9)</w:t>
            </w:r>
          </w:p>
        </w:tc>
      </w:tr>
      <w:tr w:rsidR="00342141" w:rsidRPr="00A35CEC" w14:paraId="4A5F2038" w14:textId="77777777" w:rsidTr="00E82443">
        <w:trPr>
          <w:trHeight w:val="949"/>
          <w:jc w:val="center"/>
        </w:trPr>
        <w:tc>
          <w:tcPr>
            <w:tcW w:w="963" w:type="pct"/>
          </w:tcPr>
          <w:p w14:paraId="5FA92FA7" w14:textId="3852EE6C" w:rsidR="00E82443" w:rsidRPr="00A35CEC" w:rsidRDefault="00E82443" w:rsidP="0099395B">
            <w:pPr>
              <w:adjustRightInd w:val="0"/>
              <w:snapToGrid w:val="0"/>
              <w:spacing w:line="360" w:lineRule="auto"/>
              <w:jc w:val="both"/>
              <w:rPr>
                <w:rFonts w:ascii="Book Antiqua" w:hAnsi="Book Antiqua"/>
              </w:rPr>
            </w:pPr>
            <w:r w:rsidRPr="00A35CEC">
              <w:rPr>
                <w:rFonts w:ascii="Book Antiqua" w:hAnsi="Book Antiqua"/>
              </w:rPr>
              <w:t>Compensated cirrhosis</w:t>
            </w:r>
          </w:p>
        </w:tc>
        <w:tc>
          <w:tcPr>
            <w:tcW w:w="929" w:type="pct"/>
          </w:tcPr>
          <w:p w14:paraId="7895F3CE" w14:textId="77777777" w:rsidR="00E82443" w:rsidRPr="00A35CEC" w:rsidRDefault="00E82443">
            <w:pPr>
              <w:adjustRightInd w:val="0"/>
              <w:snapToGrid w:val="0"/>
              <w:spacing w:line="360" w:lineRule="auto"/>
              <w:jc w:val="center"/>
              <w:rPr>
                <w:rFonts w:ascii="Book Antiqua" w:hAnsi="Book Antiqua"/>
              </w:rPr>
            </w:pPr>
          </w:p>
        </w:tc>
        <w:tc>
          <w:tcPr>
            <w:tcW w:w="929" w:type="pct"/>
          </w:tcPr>
          <w:p w14:paraId="2BB71ED9" w14:textId="70F8C22E" w:rsidR="00E82443" w:rsidRPr="00A35CEC" w:rsidRDefault="00E82443">
            <w:pPr>
              <w:adjustRightInd w:val="0"/>
              <w:snapToGrid w:val="0"/>
              <w:spacing w:line="360" w:lineRule="auto"/>
              <w:jc w:val="center"/>
              <w:rPr>
                <w:rFonts w:ascii="Book Antiqua" w:hAnsi="Book Antiqua"/>
              </w:rPr>
            </w:pPr>
            <w:r w:rsidRPr="00A35CEC">
              <w:rPr>
                <w:rFonts w:ascii="Book Antiqua" w:hAnsi="Book Antiqua"/>
              </w:rPr>
              <w:t>1</w:t>
            </w:r>
            <w:r w:rsidR="0029711C" w:rsidRPr="00A35CEC">
              <w:rPr>
                <w:rFonts w:ascii="Book Antiqua" w:hAnsi="Book Antiqua"/>
              </w:rPr>
              <w:t>,</w:t>
            </w:r>
            <w:r w:rsidRPr="00A35CEC">
              <w:rPr>
                <w:rFonts w:ascii="Book Antiqua" w:hAnsi="Book Antiqua"/>
              </w:rPr>
              <w:t>155 (-36.9)</w:t>
            </w:r>
          </w:p>
        </w:tc>
        <w:tc>
          <w:tcPr>
            <w:tcW w:w="929" w:type="pct"/>
          </w:tcPr>
          <w:p w14:paraId="2B272BCC" w14:textId="77777777" w:rsidR="00E82443" w:rsidRPr="00A35CEC" w:rsidRDefault="00E82443">
            <w:pPr>
              <w:adjustRightInd w:val="0"/>
              <w:snapToGrid w:val="0"/>
              <w:spacing w:line="360" w:lineRule="auto"/>
              <w:jc w:val="center"/>
              <w:rPr>
                <w:rFonts w:ascii="Book Antiqua" w:hAnsi="Book Antiqua"/>
              </w:rPr>
            </w:pPr>
            <w:r w:rsidRPr="00A35CEC">
              <w:rPr>
                <w:rFonts w:ascii="Book Antiqua" w:hAnsi="Book Antiqua"/>
              </w:rPr>
              <w:t>610 (-66.7)</w:t>
            </w:r>
          </w:p>
        </w:tc>
        <w:tc>
          <w:tcPr>
            <w:tcW w:w="1250" w:type="pct"/>
          </w:tcPr>
          <w:p w14:paraId="18C7F718" w14:textId="77777777" w:rsidR="00E82443" w:rsidRPr="00A35CEC" w:rsidRDefault="00E82443">
            <w:pPr>
              <w:adjustRightInd w:val="0"/>
              <w:snapToGrid w:val="0"/>
              <w:spacing w:line="360" w:lineRule="auto"/>
              <w:jc w:val="center"/>
              <w:rPr>
                <w:rFonts w:ascii="Book Antiqua" w:hAnsi="Book Antiqua"/>
              </w:rPr>
            </w:pPr>
            <w:r w:rsidRPr="00A35CEC">
              <w:rPr>
                <w:rFonts w:ascii="Book Antiqua" w:hAnsi="Book Antiqua"/>
              </w:rPr>
              <w:t>160 (-91.2)</w:t>
            </w:r>
          </w:p>
        </w:tc>
      </w:tr>
      <w:tr w:rsidR="00342141" w:rsidRPr="00A35CEC" w14:paraId="4F000FB7" w14:textId="77777777" w:rsidTr="00E82443">
        <w:trPr>
          <w:jc w:val="center"/>
        </w:trPr>
        <w:tc>
          <w:tcPr>
            <w:tcW w:w="963" w:type="pct"/>
          </w:tcPr>
          <w:p w14:paraId="3E63EFA4" w14:textId="3D780F1B" w:rsidR="00F031F7" w:rsidRPr="00A35CEC" w:rsidRDefault="00F031F7" w:rsidP="0099395B">
            <w:pPr>
              <w:adjustRightInd w:val="0"/>
              <w:snapToGrid w:val="0"/>
              <w:spacing w:line="360" w:lineRule="auto"/>
              <w:jc w:val="both"/>
              <w:rPr>
                <w:rFonts w:ascii="Book Antiqua" w:hAnsi="Book Antiqua"/>
              </w:rPr>
            </w:pPr>
            <w:proofErr w:type="spellStart"/>
            <w:r w:rsidRPr="00A35CEC">
              <w:rPr>
                <w:rFonts w:ascii="Book Antiqua" w:hAnsi="Book Antiqua"/>
              </w:rPr>
              <w:t>HCC</w:t>
            </w:r>
            <w:proofErr w:type="spellEnd"/>
          </w:p>
        </w:tc>
        <w:tc>
          <w:tcPr>
            <w:tcW w:w="929" w:type="pct"/>
          </w:tcPr>
          <w:p w14:paraId="1AED449E" w14:textId="77777777" w:rsidR="00F031F7" w:rsidRPr="00A35CEC" w:rsidRDefault="00F031F7">
            <w:pPr>
              <w:adjustRightInd w:val="0"/>
              <w:snapToGrid w:val="0"/>
              <w:spacing w:line="360" w:lineRule="auto"/>
              <w:jc w:val="center"/>
              <w:rPr>
                <w:rFonts w:ascii="Book Antiqua" w:hAnsi="Book Antiqua"/>
              </w:rPr>
            </w:pPr>
          </w:p>
        </w:tc>
        <w:tc>
          <w:tcPr>
            <w:tcW w:w="929" w:type="pct"/>
          </w:tcPr>
          <w:p w14:paraId="1B6E134E"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395 (-33.0)</w:t>
            </w:r>
          </w:p>
        </w:tc>
        <w:tc>
          <w:tcPr>
            <w:tcW w:w="929" w:type="pct"/>
          </w:tcPr>
          <w:p w14:paraId="68E749C3"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195 (-66.9)</w:t>
            </w:r>
          </w:p>
        </w:tc>
        <w:tc>
          <w:tcPr>
            <w:tcW w:w="1250" w:type="pct"/>
          </w:tcPr>
          <w:p w14:paraId="0C05A10C"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30 (-94.9)</w:t>
            </w:r>
          </w:p>
        </w:tc>
      </w:tr>
      <w:tr w:rsidR="00342141" w:rsidRPr="00A35CEC" w14:paraId="6BDBC011" w14:textId="77777777" w:rsidTr="00E82443">
        <w:trPr>
          <w:jc w:val="center"/>
        </w:trPr>
        <w:tc>
          <w:tcPr>
            <w:tcW w:w="963" w:type="pct"/>
          </w:tcPr>
          <w:p w14:paraId="5067CED3"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Liver related deaths</w:t>
            </w:r>
          </w:p>
        </w:tc>
        <w:tc>
          <w:tcPr>
            <w:tcW w:w="929" w:type="pct"/>
          </w:tcPr>
          <w:p w14:paraId="39764B58" w14:textId="77777777" w:rsidR="00F031F7" w:rsidRPr="00A35CEC" w:rsidRDefault="00F031F7">
            <w:pPr>
              <w:adjustRightInd w:val="0"/>
              <w:snapToGrid w:val="0"/>
              <w:spacing w:line="360" w:lineRule="auto"/>
              <w:jc w:val="center"/>
              <w:rPr>
                <w:rFonts w:ascii="Book Antiqua" w:hAnsi="Book Antiqua"/>
              </w:rPr>
            </w:pPr>
          </w:p>
        </w:tc>
        <w:tc>
          <w:tcPr>
            <w:tcW w:w="929" w:type="pct"/>
          </w:tcPr>
          <w:p w14:paraId="0A354EE1"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415 (-37.2)</w:t>
            </w:r>
          </w:p>
        </w:tc>
        <w:tc>
          <w:tcPr>
            <w:tcW w:w="929" w:type="pct"/>
          </w:tcPr>
          <w:p w14:paraId="3A1FD465"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226 ( -65.7)</w:t>
            </w:r>
          </w:p>
        </w:tc>
        <w:tc>
          <w:tcPr>
            <w:tcW w:w="1250" w:type="pct"/>
          </w:tcPr>
          <w:p w14:paraId="72240B8B"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57 (-91.4)</w:t>
            </w:r>
          </w:p>
        </w:tc>
      </w:tr>
    </w:tbl>
    <w:bookmarkEnd w:id="215"/>
    <w:p w14:paraId="68642DA8" w14:textId="3BD462CA" w:rsidR="00F031F7" w:rsidRPr="00A35CEC" w:rsidRDefault="00E82443" w:rsidP="0099395B">
      <w:pPr>
        <w:adjustRightInd w:val="0"/>
        <w:snapToGrid w:val="0"/>
        <w:spacing w:line="360" w:lineRule="auto"/>
        <w:jc w:val="both"/>
        <w:rPr>
          <w:rFonts w:ascii="Book Antiqua" w:hAnsi="Book Antiqua"/>
        </w:rPr>
      </w:pPr>
      <w:proofErr w:type="spellStart"/>
      <w:r w:rsidRPr="00A35CEC">
        <w:rPr>
          <w:rFonts w:ascii="Book Antiqua" w:hAnsi="Book Antiqua"/>
        </w:rPr>
        <w:t>HCC</w:t>
      </w:r>
      <w:proofErr w:type="spellEnd"/>
      <w:r w:rsidRPr="00A35CEC">
        <w:rPr>
          <w:rFonts w:ascii="Book Antiqua" w:hAnsi="Book Antiqua"/>
        </w:rPr>
        <w:t>: Hepatocellular c</w:t>
      </w:r>
      <w:r w:rsidR="000158FF" w:rsidRPr="00A35CEC">
        <w:rPr>
          <w:rFonts w:ascii="Book Antiqua" w:hAnsi="Book Antiqua"/>
        </w:rPr>
        <w:t>arcinoma</w:t>
      </w:r>
      <w:r w:rsidRPr="00A35CEC">
        <w:rPr>
          <w:rFonts w:ascii="Book Antiqua" w:hAnsi="Book Antiqua"/>
        </w:rPr>
        <w:t>; WHO: World Health Organization.</w:t>
      </w:r>
    </w:p>
    <w:p w14:paraId="6F4513CD" w14:textId="4E17B775" w:rsidR="00F031F7" w:rsidRPr="00A35CEC" w:rsidRDefault="000020B9">
      <w:pPr>
        <w:adjustRightInd w:val="0"/>
        <w:snapToGrid w:val="0"/>
        <w:spacing w:line="360" w:lineRule="auto"/>
        <w:jc w:val="both"/>
        <w:rPr>
          <w:rFonts w:ascii="Book Antiqua" w:hAnsi="Book Antiqua"/>
          <w:b/>
        </w:rPr>
      </w:pPr>
      <w:r w:rsidRPr="00A35CEC">
        <w:rPr>
          <w:rFonts w:ascii="Book Antiqua" w:hAnsi="Book Antiqua"/>
          <w:b/>
        </w:rPr>
        <w:br w:type="page"/>
      </w:r>
      <w:r w:rsidR="00F031F7" w:rsidRPr="00A35CEC">
        <w:rPr>
          <w:rFonts w:ascii="Book Antiqua" w:hAnsi="Book Antiqua"/>
          <w:b/>
        </w:rPr>
        <w:lastRenderedPageBreak/>
        <w:t>Table 4</w:t>
      </w:r>
      <w:r w:rsidRPr="00A35CEC">
        <w:rPr>
          <w:rFonts w:ascii="Book Antiqua" w:hAnsi="Book Antiqua"/>
          <w:b/>
        </w:rPr>
        <w:t xml:space="preserve"> </w:t>
      </w:r>
      <w:r w:rsidR="00F031F7" w:rsidRPr="00A35CEC">
        <w:rPr>
          <w:rFonts w:ascii="Book Antiqua" w:hAnsi="Book Antiqua"/>
          <w:b/>
        </w:rPr>
        <w:t>Direct costs by price reduction scen</w:t>
      </w:r>
      <w:r w:rsidRPr="00A35CEC">
        <w:rPr>
          <w:rFonts w:ascii="Book Antiqua" w:hAnsi="Book Antiqua"/>
          <w:b/>
        </w:rPr>
        <w:t xml:space="preserve">ario in billions of euros, </w:t>
      </w:r>
      <w:r w:rsidRPr="00A35CEC">
        <w:rPr>
          <w:rFonts w:ascii="Book Antiqua" w:eastAsia="Calibri" w:hAnsi="Book Antiqua"/>
          <w:b/>
        </w:rPr>
        <w:t>disability-adjusted life years</w:t>
      </w:r>
      <w:r w:rsidRPr="00A35CEC">
        <w:rPr>
          <w:rFonts w:ascii="Book Antiqua" w:hAnsi="Book Antiqua"/>
          <w:b/>
        </w:rPr>
        <w:t xml:space="preserve"> and incremental cost-effectiveness ratios</w:t>
      </w:r>
      <w:r w:rsidRPr="00A35CEC" w:rsidDel="00887586">
        <w:rPr>
          <w:rFonts w:ascii="Book Antiqua" w:hAnsi="Book Antiqua"/>
          <w:b/>
        </w:rPr>
        <w:t xml:space="preserve"> </w:t>
      </w:r>
    </w:p>
    <w:tbl>
      <w:tblPr>
        <w:tblW w:w="10435" w:type="dxa"/>
        <w:tblBorders>
          <w:top w:val="single" w:sz="4" w:space="0" w:color="auto"/>
          <w:bottom w:val="single" w:sz="4" w:space="0" w:color="auto"/>
        </w:tblBorders>
        <w:tblLook w:val="04A0" w:firstRow="1" w:lastRow="0" w:firstColumn="1" w:lastColumn="0" w:noHBand="0" w:noVBand="1"/>
      </w:tblPr>
      <w:tblGrid>
        <w:gridCol w:w="1017"/>
        <w:gridCol w:w="1172"/>
        <w:gridCol w:w="1054"/>
        <w:gridCol w:w="1135"/>
        <w:gridCol w:w="1085"/>
        <w:gridCol w:w="1366"/>
        <w:gridCol w:w="1145"/>
        <w:gridCol w:w="1095"/>
        <w:gridCol w:w="1366"/>
      </w:tblGrid>
      <w:tr w:rsidR="00342141" w:rsidRPr="00A35CEC" w14:paraId="36D7B322" w14:textId="77777777" w:rsidTr="00D573AA">
        <w:trPr>
          <w:trHeight w:val="773"/>
        </w:trPr>
        <w:tc>
          <w:tcPr>
            <w:tcW w:w="1017" w:type="dxa"/>
            <w:tcBorders>
              <w:top w:val="single" w:sz="4" w:space="0" w:color="auto"/>
              <w:bottom w:val="nil"/>
            </w:tcBorders>
          </w:tcPr>
          <w:p w14:paraId="48159689" w14:textId="77777777" w:rsidR="00F031F7" w:rsidRPr="00A35CEC" w:rsidRDefault="00F031F7">
            <w:pPr>
              <w:adjustRightInd w:val="0"/>
              <w:snapToGrid w:val="0"/>
              <w:spacing w:line="360" w:lineRule="auto"/>
              <w:jc w:val="both"/>
              <w:rPr>
                <w:rFonts w:ascii="Book Antiqua" w:hAnsi="Book Antiqua"/>
                <w:b/>
              </w:rPr>
            </w:pPr>
          </w:p>
        </w:tc>
        <w:tc>
          <w:tcPr>
            <w:tcW w:w="2226" w:type="dxa"/>
            <w:gridSpan w:val="2"/>
            <w:tcBorders>
              <w:top w:val="single" w:sz="4" w:space="0" w:color="auto"/>
              <w:bottom w:val="nil"/>
            </w:tcBorders>
          </w:tcPr>
          <w:p w14:paraId="7F3CD15E"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Base case</w:t>
            </w:r>
          </w:p>
        </w:tc>
        <w:tc>
          <w:tcPr>
            <w:tcW w:w="7192" w:type="dxa"/>
            <w:gridSpan w:val="6"/>
            <w:tcBorders>
              <w:top w:val="single" w:sz="4" w:space="0" w:color="auto"/>
              <w:bottom w:val="nil"/>
            </w:tcBorders>
          </w:tcPr>
          <w:p w14:paraId="5B390DEA" w14:textId="665DAD97" w:rsidR="00F031F7" w:rsidRPr="00A35CEC" w:rsidRDefault="00F031F7">
            <w:pPr>
              <w:adjustRightInd w:val="0"/>
              <w:snapToGrid w:val="0"/>
              <w:spacing w:line="360" w:lineRule="auto"/>
              <w:jc w:val="center"/>
              <w:rPr>
                <w:rFonts w:ascii="Book Antiqua" w:hAnsi="Book Antiqua"/>
                <w:b/>
              </w:rPr>
            </w:pPr>
            <w:proofErr w:type="spellStart"/>
            <w:r w:rsidRPr="00A35CEC">
              <w:rPr>
                <w:rFonts w:ascii="Book Antiqua" w:hAnsi="Book Antiqua"/>
                <w:b/>
              </w:rPr>
              <w:t>HCV</w:t>
            </w:r>
            <w:proofErr w:type="spellEnd"/>
            <w:r w:rsidRPr="00A35CEC">
              <w:rPr>
                <w:rFonts w:ascii="Book Antiqua" w:hAnsi="Book Antiqua"/>
                <w:b/>
              </w:rPr>
              <w:t xml:space="preserve"> elimination strategy</w:t>
            </w:r>
          </w:p>
        </w:tc>
      </w:tr>
      <w:tr w:rsidR="00342141" w:rsidRPr="00A35CEC" w14:paraId="274D51D1" w14:textId="77777777" w:rsidTr="00D573AA">
        <w:trPr>
          <w:trHeight w:val="714"/>
        </w:trPr>
        <w:tc>
          <w:tcPr>
            <w:tcW w:w="1017" w:type="dxa"/>
            <w:tcBorders>
              <w:top w:val="nil"/>
              <w:bottom w:val="single" w:sz="4" w:space="0" w:color="auto"/>
            </w:tcBorders>
          </w:tcPr>
          <w:p w14:paraId="0BFFF320" w14:textId="77777777" w:rsidR="00F031F7" w:rsidRPr="00A35CEC" w:rsidRDefault="00F031F7" w:rsidP="0099395B">
            <w:pPr>
              <w:adjustRightInd w:val="0"/>
              <w:snapToGrid w:val="0"/>
              <w:spacing w:line="360" w:lineRule="auto"/>
              <w:jc w:val="both"/>
              <w:rPr>
                <w:rFonts w:ascii="Book Antiqua" w:hAnsi="Book Antiqua"/>
                <w:b/>
              </w:rPr>
            </w:pPr>
          </w:p>
        </w:tc>
        <w:tc>
          <w:tcPr>
            <w:tcW w:w="2226" w:type="dxa"/>
            <w:gridSpan w:val="2"/>
            <w:tcBorders>
              <w:top w:val="nil"/>
              <w:bottom w:val="single" w:sz="4" w:space="0" w:color="auto"/>
            </w:tcBorders>
          </w:tcPr>
          <w:p w14:paraId="751EC8F2" w14:textId="77777777" w:rsidR="00F031F7" w:rsidRPr="00A35CEC" w:rsidRDefault="00F031F7">
            <w:pPr>
              <w:adjustRightInd w:val="0"/>
              <w:snapToGrid w:val="0"/>
              <w:spacing w:line="360" w:lineRule="auto"/>
              <w:jc w:val="center"/>
              <w:rPr>
                <w:rFonts w:ascii="Book Antiqua" w:hAnsi="Book Antiqua"/>
                <w:b/>
              </w:rPr>
            </w:pPr>
          </w:p>
        </w:tc>
        <w:tc>
          <w:tcPr>
            <w:tcW w:w="3586" w:type="dxa"/>
            <w:gridSpan w:val="3"/>
            <w:tcBorders>
              <w:top w:val="nil"/>
              <w:bottom w:val="single" w:sz="4" w:space="0" w:color="auto"/>
            </w:tcBorders>
          </w:tcPr>
          <w:p w14:paraId="390FE034"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Optimistic</w:t>
            </w:r>
          </w:p>
        </w:tc>
        <w:tc>
          <w:tcPr>
            <w:tcW w:w="3606" w:type="dxa"/>
            <w:gridSpan w:val="3"/>
            <w:tcBorders>
              <w:top w:val="nil"/>
              <w:bottom w:val="single" w:sz="4" w:space="0" w:color="auto"/>
            </w:tcBorders>
          </w:tcPr>
          <w:p w14:paraId="31190122" w14:textId="77777777" w:rsidR="00F031F7" w:rsidRPr="00A35CEC" w:rsidRDefault="00F031F7">
            <w:pPr>
              <w:adjustRightInd w:val="0"/>
              <w:snapToGrid w:val="0"/>
              <w:spacing w:line="360" w:lineRule="auto"/>
              <w:jc w:val="center"/>
              <w:rPr>
                <w:rFonts w:ascii="Book Antiqua" w:hAnsi="Book Antiqua"/>
                <w:b/>
              </w:rPr>
            </w:pPr>
            <w:r w:rsidRPr="00A35CEC">
              <w:rPr>
                <w:rFonts w:ascii="Book Antiqua" w:hAnsi="Book Antiqua"/>
                <w:b/>
              </w:rPr>
              <w:t>Conservative</w:t>
            </w:r>
          </w:p>
        </w:tc>
      </w:tr>
      <w:tr w:rsidR="00342141" w:rsidRPr="00A35CEC" w14:paraId="45A17426" w14:textId="77777777" w:rsidTr="00D573AA">
        <w:trPr>
          <w:trHeight w:val="714"/>
        </w:trPr>
        <w:tc>
          <w:tcPr>
            <w:tcW w:w="1017" w:type="dxa"/>
            <w:tcBorders>
              <w:top w:val="single" w:sz="4" w:space="0" w:color="auto"/>
            </w:tcBorders>
          </w:tcPr>
          <w:p w14:paraId="5C4877F2" w14:textId="745537AF" w:rsidR="00F031F7" w:rsidRPr="00A35CEC" w:rsidRDefault="000020B9" w:rsidP="0099395B">
            <w:pPr>
              <w:adjustRightInd w:val="0"/>
              <w:snapToGrid w:val="0"/>
              <w:spacing w:line="360" w:lineRule="auto"/>
              <w:jc w:val="both"/>
              <w:rPr>
                <w:rFonts w:ascii="Book Antiqua" w:hAnsi="Book Antiqua"/>
                <w:b/>
              </w:rPr>
            </w:pPr>
            <w:r w:rsidRPr="00A35CEC">
              <w:rPr>
                <w:rFonts w:ascii="Book Antiqua" w:hAnsi="Book Antiqua"/>
              </w:rPr>
              <w:t>Years</w:t>
            </w:r>
          </w:p>
        </w:tc>
        <w:tc>
          <w:tcPr>
            <w:tcW w:w="1172" w:type="dxa"/>
            <w:tcBorders>
              <w:top w:val="single" w:sz="4" w:space="0" w:color="auto"/>
            </w:tcBorders>
          </w:tcPr>
          <w:p w14:paraId="632E6185" w14:textId="2FC4A49D"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 xml:space="preserve">Direct </w:t>
            </w:r>
            <w:r w:rsidR="000020B9" w:rsidRPr="00A35CEC">
              <w:rPr>
                <w:rFonts w:ascii="Book Antiqua" w:hAnsi="Book Antiqua"/>
              </w:rPr>
              <w:t>cost (billion euros)</w:t>
            </w:r>
          </w:p>
        </w:tc>
        <w:tc>
          <w:tcPr>
            <w:tcW w:w="1054" w:type="dxa"/>
            <w:tcBorders>
              <w:top w:val="single" w:sz="4" w:space="0" w:color="auto"/>
            </w:tcBorders>
          </w:tcPr>
          <w:p w14:paraId="056006A8" w14:textId="32D967A0" w:rsidR="00F031F7" w:rsidRPr="00A35CEC" w:rsidRDefault="00F031F7">
            <w:pPr>
              <w:adjustRightInd w:val="0"/>
              <w:snapToGrid w:val="0"/>
              <w:spacing w:line="360" w:lineRule="auto"/>
              <w:jc w:val="center"/>
              <w:rPr>
                <w:rFonts w:ascii="Book Antiqua" w:hAnsi="Book Antiqua"/>
              </w:rPr>
            </w:pPr>
            <w:proofErr w:type="spellStart"/>
            <w:r w:rsidRPr="00A35CEC">
              <w:rPr>
                <w:rFonts w:ascii="Book Antiqua" w:hAnsi="Book Antiqua"/>
              </w:rPr>
              <w:t>DALYS</w:t>
            </w:r>
            <w:proofErr w:type="spellEnd"/>
          </w:p>
        </w:tc>
        <w:tc>
          <w:tcPr>
            <w:tcW w:w="1135" w:type="dxa"/>
            <w:tcBorders>
              <w:top w:val="single" w:sz="4" w:space="0" w:color="auto"/>
            </w:tcBorders>
          </w:tcPr>
          <w:p w14:paraId="4FEC1E9E" w14:textId="642A3491"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 xml:space="preserve">Direct </w:t>
            </w:r>
            <w:r w:rsidR="000020B9" w:rsidRPr="00A35CEC">
              <w:rPr>
                <w:rFonts w:ascii="Book Antiqua" w:hAnsi="Book Antiqua"/>
              </w:rPr>
              <w:t>cost (billion euros)</w:t>
            </w:r>
          </w:p>
        </w:tc>
        <w:tc>
          <w:tcPr>
            <w:tcW w:w="1085" w:type="dxa"/>
            <w:tcBorders>
              <w:top w:val="single" w:sz="4" w:space="0" w:color="auto"/>
            </w:tcBorders>
          </w:tcPr>
          <w:p w14:paraId="305F6718" w14:textId="596942EF" w:rsidR="00F031F7" w:rsidRPr="00A35CEC" w:rsidRDefault="00F031F7">
            <w:pPr>
              <w:adjustRightInd w:val="0"/>
              <w:snapToGrid w:val="0"/>
              <w:spacing w:line="360" w:lineRule="auto"/>
              <w:jc w:val="center"/>
              <w:rPr>
                <w:rFonts w:ascii="Book Antiqua" w:hAnsi="Book Antiqua"/>
              </w:rPr>
            </w:pPr>
            <w:proofErr w:type="spellStart"/>
            <w:r w:rsidRPr="00A35CEC">
              <w:rPr>
                <w:rFonts w:ascii="Book Antiqua" w:hAnsi="Book Antiqua"/>
              </w:rPr>
              <w:t>DALYS</w:t>
            </w:r>
            <w:proofErr w:type="spellEnd"/>
          </w:p>
        </w:tc>
        <w:tc>
          <w:tcPr>
            <w:tcW w:w="1366" w:type="dxa"/>
            <w:tcBorders>
              <w:top w:val="single" w:sz="4" w:space="0" w:color="auto"/>
            </w:tcBorders>
          </w:tcPr>
          <w:p w14:paraId="5702D970" w14:textId="3EBF5DBE" w:rsidR="00F031F7" w:rsidRPr="00A35CEC" w:rsidRDefault="00F031F7">
            <w:pPr>
              <w:adjustRightInd w:val="0"/>
              <w:snapToGrid w:val="0"/>
              <w:spacing w:line="360" w:lineRule="auto"/>
              <w:jc w:val="center"/>
              <w:rPr>
                <w:rFonts w:ascii="Book Antiqua" w:hAnsi="Book Antiqua"/>
              </w:rPr>
            </w:pPr>
            <w:proofErr w:type="spellStart"/>
            <w:r w:rsidRPr="00A35CEC">
              <w:rPr>
                <w:rFonts w:ascii="Book Antiqua" w:hAnsi="Book Antiqua"/>
              </w:rPr>
              <w:t>ICER</w:t>
            </w:r>
            <w:proofErr w:type="spellEnd"/>
            <w:r w:rsidR="000020B9" w:rsidRPr="00A35CEC">
              <w:rPr>
                <w:rFonts w:ascii="Book Antiqua" w:hAnsi="Book Antiqua"/>
                <w:vertAlign w:val="superscript"/>
              </w:rPr>
              <w:t xml:space="preserve"> </w:t>
            </w:r>
            <w:r w:rsidRPr="00A35CEC">
              <w:rPr>
                <w:rFonts w:ascii="Book Antiqua" w:hAnsi="Book Antiqua"/>
              </w:rPr>
              <w:t>(compared to base case)</w:t>
            </w:r>
          </w:p>
        </w:tc>
        <w:tc>
          <w:tcPr>
            <w:tcW w:w="1145" w:type="dxa"/>
            <w:tcBorders>
              <w:top w:val="single" w:sz="4" w:space="0" w:color="auto"/>
            </w:tcBorders>
          </w:tcPr>
          <w:p w14:paraId="235C6FBC" w14:textId="67F39858" w:rsidR="00F031F7" w:rsidRPr="00A35CEC" w:rsidRDefault="000020B9">
            <w:pPr>
              <w:adjustRightInd w:val="0"/>
              <w:snapToGrid w:val="0"/>
              <w:spacing w:line="360" w:lineRule="auto"/>
              <w:jc w:val="center"/>
              <w:rPr>
                <w:rFonts w:ascii="Book Antiqua" w:hAnsi="Book Antiqua"/>
              </w:rPr>
            </w:pPr>
            <w:r w:rsidRPr="00A35CEC">
              <w:rPr>
                <w:rFonts w:ascii="Book Antiqua" w:hAnsi="Book Antiqua"/>
              </w:rPr>
              <w:t>Direct c</w:t>
            </w:r>
            <w:r w:rsidR="00F031F7" w:rsidRPr="00A35CEC">
              <w:rPr>
                <w:rFonts w:ascii="Book Antiqua" w:hAnsi="Book Antiqua"/>
              </w:rPr>
              <w:t>ost (</w:t>
            </w:r>
            <w:r w:rsidRPr="00A35CEC">
              <w:rPr>
                <w:rFonts w:ascii="Book Antiqua" w:hAnsi="Book Antiqua"/>
              </w:rPr>
              <w:t>billion euros)</w:t>
            </w:r>
          </w:p>
        </w:tc>
        <w:tc>
          <w:tcPr>
            <w:tcW w:w="1095" w:type="dxa"/>
            <w:tcBorders>
              <w:top w:val="single" w:sz="4" w:space="0" w:color="auto"/>
            </w:tcBorders>
          </w:tcPr>
          <w:p w14:paraId="2C37552B" w14:textId="5ED04403" w:rsidR="00F031F7" w:rsidRPr="00A35CEC" w:rsidRDefault="00F031F7">
            <w:pPr>
              <w:adjustRightInd w:val="0"/>
              <w:snapToGrid w:val="0"/>
              <w:spacing w:line="360" w:lineRule="auto"/>
              <w:jc w:val="center"/>
              <w:rPr>
                <w:rFonts w:ascii="Book Antiqua" w:hAnsi="Book Antiqua"/>
              </w:rPr>
            </w:pPr>
            <w:proofErr w:type="spellStart"/>
            <w:r w:rsidRPr="00A35CEC">
              <w:rPr>
                <w:rFonts w:ascii="Book Antiqua" w:hAnsi="Book Antiqua"/>
              </w:rPr>
              <w:t>DALYS</w:t>
            </w:r>
            <w:proofErr w:type="spellEnd"/>
          </w:p>
        </w:tc>
        <w:tc>
          <w:tcPr>
            <w:tcW w:w="1366" w:type="dxa"/>
            <w:tcBorders>
              <w:top w:val="single" w:sz="4" w:space="0" w:color="auto"/>
            </w:tcBorders>
          </w:tcPr>
          <w:p w14:paraId="61CB0C3D" w14:textId="6E167DB6" w:rsidR="00F031F7" w:rsidRPr="00A35CEC" w:rsidRDefault="00F031F7">
            <w:pPr>
              <w:adjustRightInd w:val="0"/>
              <w:snapToGrid w:val="0"/>
              <w:spacing w:line="360" w:lineRule="auto"/>
              <w:jc w:val="center"/>
              <w:rPr>
                <w:rFonts w:ascii="Book Antiqua" w:hAnsi="Book Antiqua"/>
              </w:rPr>
            </w:pPr>
            <w:proofErr w:type="spellStart"/>
            <w:r w:rsidRPr="00A35CEC">
              <w:rPr>
                <w:rFonts w:ascii="Book Antiqua" w:hAnsi="Book Antiqua"/>
              </w:rPr>
              <w:t>ICER</w:t>
            </w:r>
            <w:proofErr w:type="spellEnd"/>
            <w:r w:rsidR="000020B9" w:rsidRPr="00A35CEC">
              <w:rPr>
                <w:rFonts w:ascii="Book Antiqua" w:hAnsi="Book Antiqua"/>
                <w:vertAlign w:val="superscript"/>
              </w:rPr>
              <w:t xml:space="preserve"> </w:t>
            </w:r>
            <w:r w:rsidRPr="00A35CEC">
              <w:rPr>
                <w:rFonts w:ascii="Book Antiqua" w:hAnsi="Book Antiqua"/>
              </w:rPr>
              <w:t>(compared to base case)</w:t>
            </w:r>
          </w:p>
        </w:tc>
      </w:tr>
      <w:tr w:rsidR="00342141" w:rsidRPr="00A35CEC" w14:paraId="3CEA4E4D" w14:textId="77777777" w:rsidTr="00D573AA">
        <w:trPr>
          <w:trHeight w:val="714"/>
        </w:trPr>
        <w:tc>
          <w:tcPr>
            <w:tcW w:w="1017" w:type="dxa"/>
          </w:tcPr>
          <w:p w14:paraId="21E9F114"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2015-2030</w:t>
            </w:r>
          </w:p>
        </w:tc>
        <w:tc>
          <w:tcPr>
            <w:tcW w:w="1172" w:type="dxa"/>
          </w:tcPr>
          <w:p w14:paraId="26D25E77"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1.46</w:t>
            </w:r>
          </w:p>
        </w:tc>
        <w:tc>
          <w:tcPr>
            <w:tcW w:w="1054" w:type="dxa"/>
          </w:tcPr>
          <w:p w14:paraId="6F7EB8AB"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145.920</w:t>
            </w:r>
          </w:p>
        </w:tc>
        <w:tc>
          <w:tcPr>
            <w:tcW w:w="1135" w:type="dxa"/>
          </w:tcPr>
          <w:p w14:paraId="6B7F7639" w14:textId="5382E05B"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hAnsi="Book Antiqua"/>
              </w:rPr>
              <w:t>2.12</w:t>
            </w:r>
          </w:p>
        </w:tc>
        <w:tc>
          <w:tcPr>
            <w:tcW w:w="1085" w:type="dxa"/>
          </w:tcPr>
          <w:p w14:paraId="13E75D86" w14:textId="77777777"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80.920</w:t>
            </w:r>
          </w:p>
        </w:tc>
        <w:tc>
          <w:tcPr>
            <w:tcW w:w="1366" w:type="dxa"/>
          </w:tcPr>
          <w:p w14:paraId="2DFB980D" w14:textId="21DAA97B"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10.100</w:t>
            </w:r>
            <w:r w:rsidR="00D573AA" w:rsidRPr="00A35CEC">
              <w:rPr>
                <w:rFonts w:ascii="Book Antiqua" w:eastAsia="Calibri" w:hAnsi="Book Antiqua" w:cs="GoudyOldStyle"/>
              </w:rPr>
              <w:t xml:space="preserve"> </w:t>
            </w:r>
            <w:r w:rsidRPr="00A35CEC">
              <w:rPr>
                <w:rFonts w:ascii="Book Antiqua" w:eastAsia="Calibri" w:hAnsi="Book Antiqua" w:cs="GoudyOldStyle"/>
              </w:rPr>
              <w:t>€</w:t>
            </w:r>
          </w:p>
        </w:tc>
        <w:tc>
          <w:tcPr>
            <w:tcW w:w="1145" w:type="dxa"/>
          </w:tcPr>
          <w:p w14:paraId="2804F14F" w14:textId="77777777" w:rsidR="00F031F7" w:rsidRPr="00A35CEC" w:rsidRDefault="00F031F7">
            <w:pPr>
              <w:adjustRightInd w:val="0"/>
              <w:snapToGrid w:val="0"/>
              <w:spacing w:line="360" w:lineRule="auto"/>
              <w:jc w:val="center"/>
              <w:rPr>
                <w:rFonts w:ascii="Book Antiqua" w:hAnsi="Book Antiqua"/>
              </w:rPr>
            </w:pPr>
            <w:r w:rsidRPr="00A35CEC">
              <w:rPr>
                <w:rFonts w:ascii="Book Antiqua" w:eastAsia="Calibri" w:hAnsi="Book Antiqua" w:cs="GoudyOldStyle"/>
              </w:rPr>
              <w:t>2.33</w:t>
            </w:r>
          </w:p>
        </w:tc>
        <w:tc>
          <w:tcPr>
            <w:tcW w:w="1095" w:type="dxa"/>
          </w:tcPr>
          <w:p w14:paraId="60AA1B38" w14:textId="77777777"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80.920</w:t>
            </w:r>
          </w:p>
        </w:tc>
        <w:tc>
          <w:tcPr>
            <w:tcW w:w="1366" w:type="dxa"/>
          </w:tcPr>
          <w:p w14:paraId="78E32408" w14:textId="33824C49"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13.400</w:t>
            </w:r>
            <w:r w:rsidR="00D573AA" w:rsidRPr="00A35CEC">
              <w:rPr>
                <w:rFonts w:ascii="Book Antiqua" w:eastAsia="Calibri" w:hAnsi="Book Antiqua" w:cs="GoudyOldStyle"/>
              </w:rPr>
              <w:t xml:space="preserve"> </w:t>
            </w:r>
            <w:r w:rsidRPr="00A35CEC">
              <w:rPr>
                <w:rFonts w:ascii="Book Antiqua" w:eastAsia="Calibri" w:hAnsi="Book Antiqua" w:cs="GoudyOldStyle"/>
              </w:rPr>
              <w:t>€</w:t>
            </w:r>
          </w:p>
        </w:tc>
      </w:tr>
      <w:tr w:rsidR="00342141" w:rsidRPr="00A35CEC" w14:paraId="548FD6DE" w14:textId="77777777" w:rsidTr="00D573AA">
        <w:trPr>
          <w:trHeight w:val="714"/>
        </w:trPr>
        <w:tc>
          <w:tcPr>
            <w:tcW w:w="1017" w:type="dxa"/>
          </w:tcPr>
          <w:p w14:paraId="03CAC282" w14:textId="77777777" w:rsidR="00F031F7" w:rsidRPr="00A35CEC" w:rsidRDefault="00F031F7" w:rsidP="0099395B">
            <w:pPr>
              <w:adjustRightInd w:val="0"/>
              <w:snapToGrid w:val="0"/>
              <w:spacing w:line="360" w:lineRule="auto"/>
              <w:jc w:val="both"/>
              <w:rPr>
                <w:rFonts w:ascii="Book Antiqua" w:hAnsi="Book Antiqua"/>
              </w:rPr>
            </w:pPr>
            <w:r w:rsidRPr="00A35CEC">
              <w:rPr>
                <w:rFonts w:ascii="Book Antiqua" w:hAnsi="Book Antiqua"/>
              </w:rPr>
              <w:t>2015-2035</w:t>
            </w:r>
          </w:p>
        </w:tc>
        <w:tc>
          <w:tcPr>
            <w:tcW w:w="1172" w:type="dxa"/>
          </w:tcPr>
          <w:p w14:paraId="1494A33C" w14:textId="77777777"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1.88</w:t>
            </w:r>
          </w:p>
        </w:tc>
        <w:tc>
          <w:tcPr>
            <w:tcW w:w="1054" w:type="dxa"/>
          </w:tcPr>
          <w:p w14:paraId="2546FC81" w14:textId="77777777"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187.470</w:t>
            </w:r>
          </w:p>
        </w:tc>
        <w:tc>
          <w:tcPr>
            <w:tcW w:w="1135" w:type="dxa"/>
          </w:tcPr>
          <w:p w14:paraId="2F51B42F" w14:textId="77777777" w:rsidR="00F031F7" w:rsidRPr="00A35CEC" w:rsidRDefault="00F031F7">
            <w:pPr>
              <w:adjustRightInd w:val="0"/>
              <w:snapToGrid w:val="0"/>
              <w:spacing w:line="360" w:lineRule="auto"/>
              <w:jc w:val="center"/>
              <w:rPr>
                <w:rFonts w:ascii="Book Antiqua" w:eastAsia="Calibri" w:hAnsi="Book Antiqua" w:cs="GoudyOldStyle"/>
              </w:rPr>
            </w:pPr>
            <w:r w:rsidRPr="00A35CEC">
              <w:rPr>
                <w:rFonts w:ascii="Book Antiqua" w:eastAsia="Calibri" w:hAnsi="Book Antiqua" w:cs="GoudyOldStyle"/>
              </w:rPr>
              <w:t>2.41</w:t>
            </w:r>
          </w:p>
        </w:tc>
        <w:tc>
          <w:tcPr>
            <w:tcW w:w="1085" w:type="dxa"/>
          </w:tcPr>
          <w:p w14:paraId="6C7A4850"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84.250</w:t>
            </w:r>
          </w:p>
        </w:tc>
        <w:tc>
          <w:tcPr>
            <w:tcW w:w="1366" w:type="dxa"/>
          </w:tcPr>
          <w:p w14:paraId="2A350BB7" w14:textId="5CA4A607" w:rsidR="00F031F7" w:rsidRPr="00A35CEC" w:rsidRDefault="00F031F7">
            <w:pPr>
              <w:adjustRightInd w:val="0"/>
              <w:snapToGrid w:val="0"/>
              <w:spacing w:line="360" w:lineRule="auto"/>
              <w:jc w:val="center"/>
              <w:rPr>
                <w:rFonts w:ascii="Book Antiqua" w:hAnsi="Book Antiqua"/>
              </w:rPr>
            </w:pPr>
            <w:r w:rsidRPr="00A35CEC">
              <w:rPr>
                <w:rFonts w:ascii="Book Antiqua" w:eastAsia="Calibri" w:hAnsi="Book Antiqua" w:cs="GoudyOldStyle"/>
              </w:rPr>
              <w:t>5.100</w:t>
            </w:r>
            <w:r w:rsidR="00D573AA" w:rsidRPr="00A35CEC">
              <w:rPr>
                <w:rFonts w:ascii="Book Antiqua" w:eastAsia="Calibri" w:hAnsi="Book Antiqua" w:cs="GoudyOldStyle"/>
              </w:rPr>
              <w:t xml:space="preserve"> </w:t>
            </w:r>
            <w:r w:rsidRPr="00A35CEC">
              <w:rPr>
                <w:rFonts w:ascii="Book Antiqua" w:eastAsia="Calibri" w:hAnsi="Book Antiqua" w:cs="GoudyOldStyle"/>
              </w:rPr>
              <w:t>€</w:t>
            </w:r>
          </w:p>
        </w:tc>
        <w:tc>
          <w:tcPr>
            <w:tcW w:w="1145" w:type="dxa"/>
          </w:tcPr>
          <w:p w14:paraId="500F3FA0"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2.74</w:t>
            </w:r>
          </w:p>
        </w:tc>
        <w:tc>
          <w:tcPr>
            <w:tcW w:w="1095" w:type="dxa"/>
          </w:tcPr>
          <w:p w14:paraId="7408B649" w14:textId="77777777" w:rsidR="00F031F7" w:rsidRPr="00A35CEC" w:rsidRDefault="00F031F7">
            <w:pPr>
              <w:adjustRightInd w:val="0"/>
              <w:snapToGrid w:val="0"/>
              <w:spacing w:line="360" w:lineRule="auto"/>
              <w:jc w:val="center"/>
              <w:rPr>
                <w:rFonts w:ascii="Book Antiqua" w:hAnsi="Book Antiqua"/>
              </w:rPr>
            </w:pPr>
            <w:r w:rsidRPr="00A35CEC">
              <w:rPr>
                <w:rFonts w:ascii="Book Antiqua" w:hAnsi="Book Antiqua"/>
              </w:rPr>
              <w:t>84.250</w:t>
            </w:r>
          </w:p>
        </w:tc>
        <w:tc>
          <w:tcPr>
            <w:tcW w:w="1366" w:type="dxa"/>
          </w:tcPr>
          <w:p w14:paraId="0D461492" w14:textId="28B55C05" w:rsidR="00F031F7" w:rsidRPr="00A35CEC" w:rsidRDefault="00F031F7">
            <w:pPr>
              <w:adjustRightInd w:val="0"/>
              <w:snapToGrid w:val="0"/>
              <w:spacing w:line="360" w:lineRule="auto"/>
              <w:jc w:val="center"/>
              <w:rPr>
                <w:rFonts w:ascii="Book Antiqua" w:hAnsi="Book Antiqua"/>
              </w:rPr>
            </w:pPr>
            <w:r w:rsidRPr="00A35CEC">
              <w:rPr>
                <w:rFonts w:ascii="Book Antiqua" w:eastAsia="Calibri" w:hAnsi="Book Antiqua" w:cs="GoudyOldStyle"/>
              </w:rPr>
              <w:t>8.300</w:t>
            </w:r>
            <w:r w:rsidR="00D573AA" w:rsidRPr="00A35CEC">
              <w:rPr>
                <w:rFonts w:ascii="Book Antiqua" w:eastAsia="Calibri" w:hAnsi="Book Antiqua" w:cs="GoudyOldStyle"/>
              </w:rPr>
              <w:t xml:space="preserve"> </w:t>
            </w:r>
            <w:r w:rsidRPr="00A35CEC">
              <w:rPr>
                <w:rFonts w:ascii="Book Antiqua" w:eastAsia="Calibri" w:hAnsi="Book Antiqua" w:cs="GoudyOldStyle"/>
              </w:rPr>
              <w:t>€</w:t>
            </w:r>
          </w:p>
        </w:tc>
      </w:tr>
    </w:tbl>
    <w:p w14:paraId="2D32D479" w14:textId="17F47E4D" w:rsidR="00F031F7" w:rsidRPr="00A35CEC" w:rsidRDefault="00C122BE" w:rsidP="0099395B">
      <w:pPr>
        <w:adjustRightInd w:val="0"/>
        <w:snapToGrid w:val="0"/>
        <w:spacing w:line="360" w:lineRule="auto"/>
        <w:jc w:val="both"/>
        <w:rPr>
          <w:rFonts w:ascii="Book Antiqua" w:hAnsi="Book Antiqua"/>
        </w:rPr>
      </w:pPr>
      <w:proofErr w:type="spellStart"/>
      <w:r w:rsidRPr="00A35CEC">
        <w:rPr>
          <w:rFonts w:ascii="Book Antiqua" w:hAnsi="Book Antiqua"/>
        </w:rPr>
        <w:t>HCV</w:t>
      </w:r>
      <w:proofErr w:type="spellEnd"/>
      <w:r w:rsidRPr="00A35CEC">
        <w:rPr>
          <w:rFonts w:ascii="Book Antiqua" w:hAnsi="Book Antiqua"/>
        </w:rPr>
        <w:t>: Hepatitis C virus</w:t>
      </w:r>
      <w:r w:rsidR="00D573AA" w:rsidRPr="00A35CEC">
        <w:rPr>
          <w:rFonts w:ascii="Book Antiqua" w:hAnsi="Book Antiqua"/>
        </w:rPr>
        <w:t xml:space="preserve">; </w:t>
      </w:r>
      <w:proofErr w:type="spellStart"/>
      <w:r w:rsidR="006A443C" w:rsidRPr="00A35CEC">
        <w:rPr>
          <w:rFonts w:ascii="Book Antiqua" w:hAnsi="Book Antiqua"/>
        </w:rPr>
        <w:t>DALYs</w:t>
      </w:r>
      <w:proofErr w:type="spellEnd"/>
      <w:r w:rsidR="006A443C" w:rsidRPr="00A35CEC">
        <w:rPr>
          <w:rFonts w:ascii="Book Antiqua" w:hAnsi="Book Antiqua"/>
        </w:rPr>
        <w:t>:</w:t>
      </w:r>
      <w:r w:rsidR="006A443C" w:rsidRPr="00A35CEC">
        <w:rPr>
          <w:rFonts w:ascii="Book Antiqua" w:hAnsi="Book Antiqua"/>
          <w:vertAlign w:val="superscript"/>
        </w:rPr>
        <w:t xml:space="preserve"> </w:t>
      </w:r>
      <w:r w:rsidR="006A443C" w:rsidRPr="00A35CEC">
        <w:rPr>
          <w:rFonts w:ascii="Book Antiqua" w:eastAsia="Calibri" w:hAnsi="Book Antiqua"/>
        </w:rPr>
        <w:t>Di</w:t>
      </w:r>
      <w:r w:rsidR="00D573AA" w:rsidRPr="00A35CEC">
        <w:rPr>
          <w:rFonts w:ascii="Book Antiqua" w:eastAsia="Calibri" w:hAnsi="Book Antiqua"/>
        </w:rPr>
        <w:t>sability-adjusted life years</w:t>
      </w:r>
      <w:r w:rsidR="00D573AA" w:rsidRPr="00A35CEC">
        <w:rPr>
          <w:rFonts w:ascii="Book Antiqua" w:hAnsi="Book Antiqua"/>
        </w:rPr>
        <w:t>;</w:t>
      </w:r>
      <w:r w:rsidR="000158FF" w:rsidRPr="00A35CEC">
        <w:rPr>
          <w:rFonts w:ascii="Book Antiqua" w:hAnsi="Book Antiqua"/>
        </w:rPr>
        <w:t xml:space="preserve"> </w:t>
      </w:r>
      <w:proofErr w:type="spellStart"/>
      <w:r w:rsidR="000158FF" w:rsidRPr="00A35CEC">
        <w:rPr>
          <w:rFonts w:ascii="Book Antiqua" w:hAnsi="Book Antiqua"/>
        </w:rPr>
        <w:t>ICER</w:t>
      </w:r>
      <w:proofErr w:type="spellEnd"/>
      <w:r w:rsidR="000158FF" w:rsidRPr="00A35CEC">
        <w:rPr>
          <w:rFonts w:ascii="Book Antiqua" w:hAnsi="Book Antiqua"/>
        </w:rPr>
        <w:t>: Inc</w:t>
      </w:r>
      <w:r w:rsidR="00D573AA" w:rsidRPr="00A35CEC">
        <w:rPr>
          <w:rFonts w:ascii="Book Antiqua" w:hAnsi="Book Antiqua"/>
        </w:rPr>
        <w:t>remental cost-effectiveness ratio.</w:t>
      </w:r>
    </w:p>
    <w:p w14:paraId="73C7BA0F" w14:textId="0C493DD4" w:rsidR="00F031F7" w:rsidRPr="00A35CEC" w:rsidRDefault="00002F4C">
      <w:pPr>
        <w:adjustRightInd w:val="0"/>
        <w:snapToGrid w:val="0"/>
        <w:spacing w:line="360" w:lineRule="auto"/>
        <w:jc w:val="both"/>
        <w:rPr>
          <w:rFonts w:ascii="Book Antiqua" w:hAnsi="Book Antiqua"/>
        </w:rPr>
      </w:pPr>
      <w:r w:rsidRPr="00A35CEC">
        <w:rPr>
          <w:rFonts w:ascii="Book Antiqua" w:hAnsi="Book Antiqua"/>
          <w:b/>
        </w:rPr>
        <w:br w:type="page"/>
      </w:r>
      <w:r w:rsidR="00F031F7" w:rsidRPr="00A35CEC">
        <w:rPr>
          <w:rFonts w:ascii="Book Antiqua" w:hAnsi="Book Antiqua"/>
        </w:rPr>
        <w:lastRenderedPageBreak/>
        <w:t>A</w:t>
      </w:r>
    </w:p>
    <w:p w14:paraId="5039D519" w14:textId="78BEA879" w:rsidR="000070EB" w:rsidRPr="00A35CEC" w:rsidRDefault="009D0E45">
      <w:pPr>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12541CA3" wp14:editId="729FD516">
            <wp:extent cx="4305300" cy="3152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3152775"/>
                    </a:xfrm>
                    <a:prstGeom prst="rect">
                      <a:avLst/>
                    </a:prstGeom>
                    <a:noFill/>
                    <a:ln>
                      <a:noFill/>
                    </a:ln>
                  </pic:spPr>
                </pic:pic>
              </a:graphicData>
            </a:graphic>
          </wp:inline>
        </w:drawing>
      </w:r>
    </w:p>
    <w:p w14:paraId="55B0FF77" w14:textId="422F2052" w:rsidR="00F031F7" w:rsidRPr="00A35CEC" w:rsidRDefault="00DD1D62">
      <w:pPr>
        <w:adjustRightInd w:val="0"/>
        <w:snapToGrid w:val="0"/>
        <w:spacing w:line="360" w:lineRule="auto"/>
        <w:jc w:val="both"/>
        <w:outlineLvl w:val="0"/>
        <w:rPr>
          <w:rFonts w:ascii="Book Antiqua" w:hAnsi="Book Antiqua"/>
        </w:rPr>
      </w:pPr>
      <w:r w:rsidRPr="00A35CEC">
        <w:rPr>
          <w:rFonts w:ascii="Book Antiqua" w:hAnsi="Book Antiqua"/>
        </w:rPr>
        <w:t>B</w:t>
      </w:r>
    </w:p>
    <w:p w14:paraId="02455AD7" w14:textId="5264277C" w:rsidR="000070EB" w:rsidRPr="00A35CEC" w:rsidRDefault="009D0E45">
      <w:pPr>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752EA23B" wp14:editId="184962E8">
            <wp:extent cx="4648200" cy="3400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3400425"/>
                    </a:xfrm>
                    <a:prstGeom prst="rect">
                      <a:avLst/>
                    </a:prstGeom>
                    <a:noFill/>
                    <a:ln>
                      <a:noFill/>
                    </a:ln>
                  </pic:spPr>
                </pic:pic>
              </a:graphicData>
            </a:graphic>
          </wp:inline>
        </w:drawing>
      </w:r>
    </w:p>
    <w:p w14:paraId="39BA9F15" w14:textId="5772D772" w:rsidR="00F031F7" w:rsidRPr="00A35CEC" w:rsidRDefault="00F031F7">
      <w:pPr>
        <w:adjustRightInd w:val="0"/>
        <w:snapToGrid w:val="0"/>
        <w:spacing w:line="360" w:lineRule="auto"/>
        <w:jc w:val="both"/>
        <w:outlineLvl w:val="0"/>
        <w:rPr>
          <w:rFonts w:ascii="Book Antiqua" w:hAnsi="Book Antiqua"/>
        </w:rPr>
      </w:pPr>
      <w:r w:rsidRPr="00A35CEC">
        <w:rPr>
          <w:rFonts w:ascii="Book Antiqua" w:hAnsi="Book Antiqua"/>
        </w:rPr>
        <w:t>C</w:t>
      </w:r>
    </w:p>
    <w:p w14:paraId="4775AC37" w14:textId="57D9641E" w:rsidR="000070EB" w:rsidRPr="00A35CEC" w:rsidRDefault="009D0E45">
      <w:pPr>
        <w:adjustRightInd w:val="0"/>
        <w:snapToGrid w:val="0"/>
        <w:spacing w:line="360" w:lineRule="auto"/>
        <w:jc w:val="both"/>
        <w:rPr>
          <w:rFonts w:ascii="Book Antiqua" w:hAnsi="Book Antiqua"/>
        </w:rPr>
      </w:pPr>
      <w:r w:rsidRPr="00A35CEC">
        <w:rPr>
          <w:rFonts w:ascii="Book Antiqua" w:hAnsi="Book Antiqua"/>
          <w:noProof/>
        </w:rPr>
        <w:lastRenderedPageBreak/>
        <w:drawing>
          <wp:inline distT="0" distB="0" distL="0" distR="0" wp14:anchorId="4D4AFAC5" wp14:editId="5CFFAE95">
            <wp:extent cx="4419600" cy="322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3228975"/>
                    </a:xfrm>
                    <a:prstGeom prst="rect">
                      <a:avLst/>
                    </a:prstGeom>
                    <a:noFill/>
                    <a:ln>
                      <a:noFill/>
                    </a:ln>
                  </pic:spPr>
                </pic:pic>
              </a:graphicData>
            </a:graphic>
          </wp:inline>
        </w:drawing>
      </w:r>
    </w:p>
    <w:p w14:paraId="085CA4AF" w14:textId="17F04D47" w:rsidR="00F031F7" w:rsidRPr="00A35CEC" w:rsidRDefault="00F031F7">
      <w:pPr>
        <w:adjustRightInd w:val="0"/>
        <w:snapToGrid w:val="0"/>
        <w:spacing w:line="360" w:lineRule="auto"/>
        <w:jc w:val="both"/>
        <w:outlineLvl w:val="0"/>
        <w:rPr>
          <w:rFonts w:ascii="Book Antiqua" w:hAnsi="Book Antiqua"/>
        </w:rPr>
      </w:pPr>
      <w:r w:rsidRPr="00A35CEC">
        <w:rPr>
          <w:rFonts w:ascii="Book Antiqua" w:hAnsi="Book Antiqua"/>
        </w:rPr>
        <w:t>D</w:t>
      </w:r>
    </w:p>
    <w:p w14:paraId="652673DC" w14:textId="19A8926A" w:rsidR="000070EB" w:rsidRPr="00A35CEC" w:rsidRDefault="009D0E45">
      <w:pPr>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4809F58A" wp14:editId="09F1BB3C">
            <wp:extent cx="4991100" cy="364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3648075"/>
                    </a:xfrm>
                    <a:prstGeom prst="rect">
                      <a:avLst/>
                    </a:prstGeom>
                    <a:noFill/>
                    <a:ln>
                      <a:noFill/>
                    </a:ln>
                  </pic:spPr>
                </pic:pic>
              </a:graphicData>
            </a:graphic>
          </wp:inline>
        </w:drawing>
      </w:r>
    </w:p>
    <w:p w14:paraId="0F37B829" w14:textId="4C7B8310" w:rsidR="00F031F7" w:rsidRPr="00A35CEC" w:rsidRDefault="00F031F7">
      <w:pPr>
        <w:adjustRightInd w:val="0"/>
        <w:snapToGrid w:val="0"/>
        <w:spacing w:line="360" w:lineRule="auto"/>
        <w:jc w:val="both"/>
        <w:outlineLvl w:val="0"/>
        <w:rPr>
          <w:rFonts w:ascii="Book Antiqua" w:hAnsi="Book Antiqua"/>
        </w:rPr>
      </w:pPr>
      <w:r w:rsidRPr="00A35CEC">
        <w:rPr>
          <w:rFonts w:ascii="Book Antiqua" w:hAnsi="Book Antiqua"/>
        </w:rPr>
        <w:t>E</w:t>
      </w:r>
    </w:p>
    <w:p w14:paraId="67A0AC52" w14:textId="5622AD25" w:rsidR="000070EB" w:rsidRPr="00A35CEC" w:rsidRDefault="009D0E45">
      <w:pPr>
        <w:adjustRightInd w:val="0"/>
        <w:snapToGrid w:val="0"/>
        <w:spacing w:line="360" w:lineRule="auto"/>
        <w:jc w:val="both"/>
        <w:rPr>
          <w:rFonts w:ascii="Book Antiqua" w:hAnsi="Book Antiqua"/>
        </w:rPr>
      </w:pPr>
      <w:r w:rsidRPr="00A35CEC">
        <w:rPr>
          <w:rFonts w:ascii="Book Antiqua" w:hAnsi="Book Antiqua"/>
          <w:noProof/>
        </w:rPr>
        <w:lastRenderedPageBreak/>
        <w:drawing>
          <wp:inline distT="0" distB="0" distL="0" distR="0" wp14:anchorId="4BB650D8" wp14:editId="6CFD8D4D">
            <wp:extent cx="4762500" cy="3476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14:paraId="70D59F17" w14:textId="51A7688E" w:rsidR="00002F4C" w:rsidRPr="00A35CEC" w:rsidRDefault="00002F4C">
      <w:pPr>
        <w:adjustRightInd w:val="0"/>
        <w:snapToGrid w:val="0"/>
        <w:spacing w:line="360" w:lineRule="auto"/>
        <w:jc w:val="both"/>
        <w:rPr>
          <w:rFonts w:ascii="Book Antiqua" w:hAnsi="Book Antiqua"/>
        </w:rPr>
      </w:pPr>
      <w:r w:rsidRPr="00A35CEC">
        <w:rPr>
          <w:rFonts w:ascii="Book Antiqua" w:hAnsi="Book Antiqua"/>
          <w:b/>
        </w:rPr>
        <w:t xml:space="preserve">Figure 1 Projections of future chronic </w:t>
      </w:r>
      <w:r w:rsidR="00DD1D62" w:rsidRPr="00A35CEC">
        <w:rPr>
          <w:rFonts w:ascii="Book Antiqua" w:hAnsi="Book Antiqua"/>
          <w:b/>
        </w:rPr>
        <w:t>h</w:t>
      </w:r>
      <w:r w:rsidRPr="00A35CEC">
        <w:rPr>
          <w:rFonts w:ascii="Book Antiqua" w:hAnsi="Book Antiqua"/>
          <w:b/>
        </w:rPr>
        <w:t>epatitis C virus infection and complications under different treatment strategies.</w:t>
      </w:r>
      <w:r w:rsidR="00DD1D62" w:rsidRPr="00A35CEC">
        <w:rPr>
          <w:rFonts w:ascii="Book Antiqua" w:hAnsi="Book Antiqua"/>
          <w:b/>
        </w:rPr>
        <w:t xml:space="preserve"> </w:t>
      </w:r>
      <w:r w:rsidR="00DD1D62" w:rsidRPr="00A35CEC">
        <w:rPr>
          <w:rFonts w:ascii="Book Antiqua" w:hAnsi="Book Antiqua"/>
        </w:rPr>
        <w:t xml:space="preserve">A: Total number of </w:t>
      </w:r>
      <w:proofErr w:type="spellStart"/>
      <w:r w:rsidR="00DD1D62" w:rsidRPr="00A35CEC">
        <w:rPr>
          <w:rFonts w:ascii="Book Antiqua" w:hAnsi="Book Antiqua"/>
        </w:rPr>
        <w:t>viremic</w:t>
      </w:r>
      <w:proofErr w:type="spellEnd"/>
      <w:r w:rsidR="00DD1D62" w:rsidRPr="00A35CEC">
        <w:rPr>
          <w:rFonts w:ascii="Book Antiqua" w:hAnsi="Book Antiqua"/>
        </w:rPr>
        <w:t xml:space="preserve"> cases</w:t>
      </w:r>
      <w:r w:rsidR="0029711C" w:rsidRPr="00A35CEC">
        <w:rPr>
          <w:rFonts w:ascii="Book Antiqua" w:hAnsi="Book Antiqua"/>
        </w:rPr>
        <w:t>;</w:t>
      </w:r>
      <w:r w:rsidR="00DD1D62" w:rsidRPr="00A35CEC">
        <w:rPr>
          <w:rFonts w:ascii="Book Antiqua" w:hAnsi="Book Antiqua"/>
        </w:rPr>
        <w:t xml:space="preserve"> B: Cirrhosis</w:t>
      </w:r>
      <w:r w:rsidR="0029711C" w:rsidRPr="00A35CEC">
        <w:rPr>
          <w:rFonts w:ascii="Book Antiqua" w:hAnsi="Book Antiqua"/>
        </w:rPr>
        <w:t>;</w:t>
      </w:r>
      <w:r w:rsidR="00DD1D62" w:rsidRPr="00A35CEC">
        <w:rPr>
          <w:rFonts w:ascii="Book Antiqua" w:hAnsi="Book Antiqua"/>
        </w:rPr>
        <w:t xml:space="preserve"> C: Decompensated cirrhosis</w:t>
      </w:r>
      <w:r w:rsidR="0029711C" w:rsidRPr="00A35CEC">
        <w:rPr>
          <w:rFonts w:ascii="Book Antiqua" w:hAnsi="Book Antiqua"/>
        </w:rPr>
        <w:t>;</w:t>
      </w:r>
      <w:r w:rsidR="00DD1D62" w:rsidRPr="00A35CEC">
        <w:rPr>
          <w:rFonts w:ascii="Book Antiqua" w:hAnsi="Book Antiqua"/>
        </w:rPr>
        <w:t xml:space="preserve"> D: Hepatocellular carcinoma</w:t>
      </w:r>
      <w:r w:rsidR="0029711C" w:rsidRPr="00A35CEC">
        <w:rPr>
          <w:rFonts w:ascii="Book Antiqua" w:hAnsi="Book Antiqua"/>
        </w:rPr>
        <w:t>;</w:t>
      </w:r>
      <w:r w:rsidR="00DD1D62" w:rsidRPr="00A35CEC">
        <w:rPr>
          <w:rFonts w:ascii="Book Antiqua" w:hAnsi="Book Antiqua"/>
        </w:rPr>
        <w:t xml:space="preserve"> E: Liver deaths. WHO: World Health Organization.</w:t>
      </w:r>
    </w:p>
    <w:p w14:paraId="1EED1755" w14:textId="6D203767" w:rsidR="00F031F7" w:rsidRPr="00A35CEC" w:rsidRDefault="00DD1D62">
      <w:pPr>
        <w:adjustRightInd w:val="0"/>
        <w:snapToGrid w:val="0"/>
        <w:spacing w:line="360" w:lineRule="auto"/>
        <w:jc w:val="both"/>
        <w:rPr>
          <w:rFonts w:ascii="Book Antiqua" w:hAnsi="Book Antiqua"/>
          <w:b/>
        </w:rPr>
      </w:pPr>
      <w:r w:rsidRPr="00A35CEC">
        <w:rPr>
          <w:rFonts w:ascii="Book Antiqua" w:hAnsi="Book Antiqua"/>
        </w:rPr>
        <w:br w:type="page"/>
      </w:r>
      <w:r w:rsidR="00F031F7" w:rsidRPr="00A35CEC">
        <w:rPr>
          <w:rFonts w:ascii="Book Antiqua" w:hAnsi="Book Antiqua"/>
        </w:rPr>
        <w:lastRenderedPageBreak/>
        <w:t>A</w:t>
      </w:r>
    </w:p>
    <w:p w14:paraId="08A4E402" w14:textId="5D4DD1E1"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14AA6CF1" wp14:editId="5FB5D233">
            <wp:extent cx="4305300"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3152775"/>
                    </a:xfrm>
                    <a:prstGeom prst="rect">
                      <a:avLst/>
                    </a:prstGeom>
                    <a:noFill/>
                    <a:ln>
                      <a:noFill/>
                    </a:ln>
                  </pic:spPr>
                </pic:pic>
              </a:graphicData>
            </a:graphic>
          </wp:inline>
        </w:drawing>
      </w:r>
    </w:p>
    <w:p w14:paraId="38CBE92F" w14:textId="1F362C7A" w:rsidR="00F031F7" w:rsidRPr="00A35CEC" w:rsidRDefault="00F031F7">
      <w:pPr>
        <w:autoSpaceDE w:val="0"/>
        <w:autoSpaceDN w:val="0"/>
        <w:adjustRightInd w:val="0"/>
        <w:snapToGrid w:val="0"/>
        <w:spacing w:line="360" w:lineRule="auto"/>
        <w:jc w:val="both"/>
        <w:outlineLvl w:val="0"/>
        <w:rPr>
          <w:rFonts w:ascii="Book Antiqua" w:hAnsi="Book Antiqua"/>
        </w:rPr>
      </w:pPr>
      <w:r w:rsidRPr="00A35CEC">
        <w:rPr>
          <w:rFonts w:ascii="Book Antiqua" w:hAnsi="Book Antiqua"/>
        </w:rPr>
        <w:t>B</w:t>
      </w:r>
    </w:p>
    <w:p w14:paraId="01BD7C5B" w14:textId="7D228E82"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4A5CC32E" wp14:editId="0084AE62">
            <wp:extent cx="4419600" cy="322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3228975"/>
                    </a:xfrm>
                    <a:prstGeom prst="rect">
                      <a:avLst/>
                    </a:prstGeom>
                    <a:noFill/>
                    <a:ln>
                      <a:noFill/>
                    </a:ln>
                  </pic:spPr>
                </pic:pic>
              </a:graphicData>
            </a:graphic>
          </wp:inline>
        </w:drawing>
      </w:r>
    </w:p>
    <w:p w14:paraId="5D585F16" w14:textId="538B4F61" w:rsidR="00F031F7" w:rsidRPr="00A35CEC" w:rsidRDefault="00F031F7">
      <w:pPr>
        <w:autoSpaceDE w:val="0"/>
        <w:autoSpaceDN w:val="0"/>
        <w:adjustRightInd w:val="0"/>
        <w:snapToGrid w:val="0"/>
        <w:spacing w:line="360" w:lineRule="auto"/>
        <w:jc w:val="both"/>
        <w:outlineLvl w:val="0"/>
        <w:rPr>
          <w:rFonts w:ascii="Book Antiqua" w:hAnsi="Book Antiqua"/>
        </w:rPr>
      </w:pPr>
      <w:r w:rsidRPr="00A35CEC">
        <w:rPr>
          <w:rFonts w:ascii="Book Antiqua" w:hAnsi="Book Antiqua"/>
        </w:rPr>
        <w:t>C</w:t>
      </w:r>
    </w:p>
    <w:p w14:paraId="2244B965" w14:textId="2CBA8666"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lastRenderedPageBreak/>
        <w:drawing>
          <wp:inline distT="0" distB="0" distL="0" distR="0" wp14:anchorId="13E624D2" wp14:editId="0CF84D4F">
            <wp:extent cx="4533900" cy="331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3314700"/>
                    </a:xfrm>
                    <a:prstGeom prst="rect">
                      <a:avLst/>
                    </a:prstGeom>
                    <a:noFill/>
                    <a:ln>
                      <a:noFill/>
                    </a:ln>
                  </pic:spPr>
                </pic:pic>
              </a:graphicData>
            </a:graphic>
          </wp:inline>
        </w:drawing>
      </w:r>
    </w:p>
    <w:p w14:paraId="41891F79" w14:textId="6728CBB0" w:rsidR="00F031F7" w:rsidRPr="00A35CEC" w:rsidRDefault="00F031F7">
      <w:pPr>
        <w:autoSpaceDE w:val="0"/>
        <w:autoSpaceDN w:val="0"/>
        <w:adjustRightInd w:val="0"/>
        <w:snapToGrid w:val="0"/>
        <w:spacing w:line="360" w:lineRule="auto"/>
        <w:jc w:val="both"/>
        <w:outlineLvl w:val="0"/>
        <w:rPr>
          <w:rFonts w:ascii="Book Antiqua" w:hAnsi="Book Antiqua"/>
        </w:rPr>
      </w:pPr>
      <w:r w:rsidRPr="00A35CEC">
        <w:rPr>
          <w:rFonts w:ascii="Book Antiqua" w:hAnsi="Book Antiqua"/>
        </w:rPr>
        <w:t>D</w:t>
      </w:r>
    </w:p>
    <w:p w14:paraId="44893F3F" w14:textId="683740D2"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1DDCEDD2" wp14:editId="08E5854B">
            <wp:extent cx="4305300" cy="3152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152775"/>
                    </a:xfrm>
                    <a:prstGeom prst="rect">
                      <a:avLst/>
                    </a:prstGeom>
                    <a:noFill/>
                    <a:ln>
                      <a:noFill/>
                    </a:ln>
                  </pic:spPr>
                </pic:pic>
              </a:graphicData>
            </a:graphic>
          </wp:inline>
        </w:drawing>
      </w:r>
    </w:p>
    <w:p w14:paraId="604C2901" w14:textId="558814DA" w:rsidR="00F031F7" w:rsidRPr="00A35CEC" w:rsidRDefault="00B02FD6">
      <w:pPr>
        <w:autoSpaceDE w:val="0"/>
        <w:autoSpaceDN w:val="0"/>
        <w:adjustRightInd w:val="0"/>
        <w:snapToGrid w:val="0"/>
        <w:spacing w:line="360" w:lineRule="auto"/>
        <w:jc w:val="both"/>
        <w:outlineLvl w:val="0"/>
        <w:rPr>
          <w:rFonts w:ascii="Book Antiqua" w:hAnsi="Book Antiqua"/>
        </w:rPr>
      </w:pPr>
      <w:r w:rsidRPr="00A35CEC">
        <w:rPr>
          <w:rFonts w:ascii="Book Antiqua" w:hAnsi="Book Antiqua"/>
        </w:rPr>
        <w:t>E</w:t>
      </w:r>
    </w:p>
    <w:p w14:paraId="64CDF263" w14:textId="03ADD8D7"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lastRenderedPageBreak/>
        <w:drawing>
          <wp:inline distT="0" distB="0" distL="0" distR="0" wp14:anchorId="299074C6" wp14:editId="6515781D">
            <wp:extent cx="4533900" cy="331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3314700"/>
                    </a:xfrm>
                    <a:prstGeom prst="rect">
                      <a:avLst/>
                    </a:prstGeom>
                    <a:noFill/>
                    <a:ln>
                      <a:noFill/>
                    </a:ln>
                  </pic:spPr>
                </pic:pic>
              </a:graphicData>
            </a:graphic>
          </wp:inline>
        </w:drawing>
      </w:r>
    </w:p>
    <w:p w14:paraId="75E0398F" w14:textId="4A4457C8" w:rsidR="00DD1D62" w:rsidRPr="00A35CEC" w:rsidRDefault="00DD1D62">
      <w:pPr>
        <w:adjustRightInd w:val="0"/>
        <w:snapToGrid w:val="0"/>
        <w:spacing w:line="360" w:lineRule="auto"/>
        <w:jc w:val="both"/>
        <w:rPr>
          <w:rFonts w:ascii="Book Antiqua" w:hAnsi="Book Antiqua"/>
        </w:rPr>
      </w:pPr>
      <w:r w:rsidRPr="00A35CEC">
        <w:rPr>
          <w:rFonts w:ascii="Book Antiqua" w:hAnsi="Book Antiqua"/>
          <w:b/>
        </w:rPr>
        <w:t>Figure 2 Projections of future costs of hepatitis C virus infection under different treatment strategies.</w:t>
      </w:r>
      <w:r w:rsidRPr="00A35CEC">
        <w:rPr>
          <w:rFonts w:ascii="Book Antiqua" w:hAnsi="Book Antiqua"/>
        </w:rPr>
        <w:t xml:space="preserve"> A: Direct costs; B: Indirect costs; C: Annual total direct and indirect costs; D: Total cumulative direct and indirect costs; E: Total cumulative direct and indirect costs. WHO: World Health Organization.</w:t>
      </w:r>
    </w:p>
    <w:p w14:paraId="4796794D" w14:textId="40EE4E16" w:rsidR="00F031F7" w:rsidRPr="00A35CEC" w:rsidRDefault="00B02FD6">
      <w:pPr>
        <w:autoSpaceDE w:val="0"/>
        <w:autoSpaceDN w:val="0"/>
        <w:adjustRightInd w:val="0"/>
        <w:snapToGrid w:val="0"/>
        <w:spacing w:line="360" w:lineRule="auto"/>
        <w:jc w:val="both"/>
        <w:rPr>
          <w:rFonts w:ascii="Book Antiqua" w:hAnsi="Book Antiqua"/>
        </w:rPr>
      </w:pPr>
      <w:r w:rsidRPr="00A35CEC">
        <w:rPr>
          <w:rFonts w:ascii="Book Antiqua" w:hAnsi="Book Antiqua"/>
        </w:rPr>
        <w:br w:type="page"/>
      </w:r>
      <w:r w:rsidR="00F031F7" w:rsidRPr="00A35CEC">
        <w:rPr>
          <w:rFonts w:ascii="Book Antiqua" w:hAnsi="Book Antiqua"/>
        </w:rPr>
        <w:lastRenderedPageBreak/>
        <w:t>A</w:t>
      </w:r>
    </w:p>
    <w:p w14:paraId="72B86B17" w14:textId="6310EA3B"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7D3FBAF3" wp14:editId="1EACB7B9">
            <wp:extent cx="4076700" cy="2695575"/>
            <wp:effectExtent l="0" t="0" r="0" b="0"/>
            <wp:docPr id="1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F155AE" w14:textId="6B265419" w:rsidR="00F031F7" w:rsidRPr="00A35CEC" w:rsidRDefault="00F031F7">
      <w:pPr>
        <w:autoSpaceDE w:val="0"/>
        <w:autoSpaceDN w:val="0"/>
        <w:adjustRightInd w:val="0"/>
        <w:snapToGrid w:val="0"/>
        <w:spacing w:line="360" w:lineRule="auto"/>
        <w:jc w:val="both"/>
        <w:outlineLvl w:val="0"/>
        <w:rPr>
          <w:rFonts w:ascii="Book Antiqua" w:hAnsi="Book Antiqua"/>
        </w:rPr>
      </w:pPr>
      <w:r w:rsidRPr="00A35CEC">
        <w:rPr>
          <w:rFonts w:ascii="Book Antiqua" w:hAnsi="Book Antiqua"/>
        </w:rPr>
        <w:t>B</w:t>
      </w:r>
    </w:p>
    <w:p w14:paraId="7070C5A8" w14:textId="4DA41887"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266A1B74" wp14:editId="07150D18">
            <wp:extent cx="3619500" cy="22574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5BA8E1" w14:textId="7B6829B1" w:rsidR="00F031F7" w:rsidRPr="00A35CEC" w:rsidRDefault="00F031F7">
      <w:pPr>
        <w:autoSpaceDE w:val="0"/>
        <w:autoSpaceDN w:val="0"/>
        <w:adjustRightInd w:val="0"/>
        <w:snapToGrid w:val="0"/>
        <w:spacing w:line="360" w:lineRule="auto"/>
        <w:jc w:val="both"/>
        <w:outlineLvl w:val="0"/>
        <w:rPr>
          <w:rFonts w:ascii="Book Antiqua" w:hAnsi="Book Antiqua"/>
        </w:rPr>
      </w:pPr>
      <w:bookmarkStart w:id="216" w:name="OLE_LINK61"/>
      <w:r w:rsidRPr="00A35CEC">
        <w:rPr>
          <w:rFonts w:ascii="Book Antiqua" w:hAnsi="Book Antiqua"/>
        </w:rPr>
        <w:t>C</w:t>
      </w:r>
      <w:bookmarkEnd w:id="216"/>
    </w:p>
    <w:p w14:paraId="246A9A7A" w14:textId="08AE73E5" w:rsidR="000070EB"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lastRenderedPageBreak/>
        <w:drawing>
          <wp:inline distT="0" distB="0" distL="0" distR="0" wp14:anchorId="218C7D45" wp14:editId="4263C5F7">
            <wp:extent cx="4191000" cy="26289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B512E3" w14:textId="545F83BC" w:rsidR="00F031F7" w:rsidRPr="00A35CEC" w:rsidRDefault="00691E7C">
      <w:pPr>
        <w:autoSpaceDE w:val="0"/>
        <w:autoSpaceDN w:val="0"/>
        <w:adjustRightInd w:val="0"/>
        <w:snapToGrid w:val="0"/>
        <w:spacing w:line="360" w:lineRule="auto"/>
        <w:jc w:val="both"/>
        <w:rPr>
          <w:rFonts w:ascii="Book Antiqua" w:hAnsi="Book Antiqua"/>
        </w:rPr>
      </w:pPr>
      <w:r w:rsidRPr="00A35CEC">
        <w:rPr>
          <w:rFonts w:ascii="Book Antiqua" w:hAnsi="Book Antiqua"/>
          <w:b/>
        </w:rPr>
        <w:t xml:space="preserve">Figure 3 Distribution of direct costs by direct-acting antiviral price scenario (conservative or optimistic). </w:t>
      </w:r>
      <w:r w:rsidRPr="00A35CEC">
        <w:rPr>
          <w:rFonts w:ascii="Book Antiqua" w:hAnsi="Book Antiqua"/>
        </w:rPr>
        <w:t>A: Base case scenario; B: Hepatitis C virus (</w:t>
      </w:r>
      <w:proofErr w:type="spellStart"/>
      <w:r w:rsidRPr="00A35CEC">
        <w:rPr>
          <w:rFonts w:ascii="Book Antiqua" w:hAnsi="Book Antiqua"/>
        </w:rPr>
        <w:t>HCV</w:t>
      </w:r>
      <w:proofErr w:type="spellEnd"/>
      <w:r w:rsidRPr="00A35CEC">
        <w:rPr>
          <w:rFonts w:ascii="Book Antiqua" w:hAnsi="Book Antiqua"/>
        </w:rPr>
        <w:t>) elimination con</w:t>
      </w:r>
      <w:r w:rsidR="0029711C" w:rsidRPr="00A35CEC">
        <w:rPr>
          <w:rFonts w:ascii="Book Antiqua" w:hAnsi="Book Antiqua"/>
        </w:rPr>
        <w:t>s</w:t>
      </w:r>
      <w:r w:rsidRPr="00A35CEC">
        <w:rPr>
          <w:rFonts w:ascii="Book Antiqua" w:hAnsi="Book Antiqua"/>
        </w:rPr>
        <w:t xml:space="preserve">ervative scenario; C: </w:t>
      </w:r>
      <w:proofErr w:type="spellStart"/>
      <w:r w:rsidRPr="00A35CEC">
        <w:rPr>
          <w:rFonts w:ascii="Book Antiqua" w:hAnsi="Book Antiqua"/>
        </w:rPr>
        <w:t>HCV</w:t>
      </w:r>
      <w:proofErr w:type="spellEnd"/>
      <w:r w:rsidRPr="00A35CEC">
        <w:rPr>
          <w:rFonts w:ascii="Book Antiqua" w:hAnsi="Book Antiqua"/>
        </w:rPr>
        <w:t xml:space="preserve"> elimination optimistic scenario. </w:t>
      </w:r>
    </w:p>
    <w:p w14:paraId="3B2A29AB" w14:textId="5B7F91B8" w:rsidR="000070EB" w:rsidRPr="00A35CEC" w:rsidRDefault="00C0713F">
      <w:pPr>
        <w:adjustRightInd w:val="0"/>
        <w:snapToGrid w:val="0"/>
        <w:spacing w:line="360" w:lineRule="auto"/>
        <w:jc w:val="both"/>
        <w:rPr>
          <w:rFonts w:ascii="Book Antiqua" w:hAnsi="Book Antiqua"/>
        </w:rPr>
      </w:pPr>
      <w:r w:rsidRPr="00A35CEC">
        <w:rPr>
          <w:rFonts w:ascii="Book Antiqua" w:hAnsi="Book Antiqua"/>
          <w:b/>
        </w:rPr>
        <w:br w:type="page"/>
      </w:r>
      <w:r w:rsidR="00F031F7" w:rsidRPr="00A35CEC">
        <w:rPr>
          <w:rFonts w:ascii="Book Antiqua" w:hAnsi="Book Antiqua"/>
        </w:rPr>
        <w:lastRenderedPageBreak/>
        <w:t>A</w:t>
      </w:r>
    </w:p>
    <w:p w14:paraId="5B8D6BEC" w14:textId="1400009D" w:rsidR="00642601" w:rsidRPr="00A35CEC" w:rsidRDefault="009D0E45">
      <w:pPr>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6ED5C37D" wp14:editId="45421A84">
            <wp:extent cx="4419600" cy="32289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0" cy="3228975"/>
                    </a:xfrm>
                    <a:prstGeom prst="rect">
                      <a:avLst/>
                    </a:prstGeom>
                    <a:noFill/>
                    <a:ln>
                      <a:noFill/>
                    </a:ln>
                  </pic:spPr>
                </pic:pic>
              </a:graphicData>
            </a:graphic>
          </wp:inline>
        </w:drawing>
      </w:r>
    </w:p>
    <w:p w14:paraId="5B721EAA" w14:textId="24DAFCBD" w:rsidR="000070EB" w:rsidRPr="00A35CEC" w:rsidRDefault="00F031F7">
      <w:pPr>
        <w:adjustRightInd w:val="0"/>
        <w:snapToGrid w:val="0"/>
        <w:spacing w:line="360" w:lineRule="auto"/>
        <w:jc w:val="both"/>
        <w:outlineLvl w:val="0"/>
        <w:rPr>
          <w:rFonts w:ascii="Book Antiqua" w:hAnsi="Book Antiqua"/>
        </w:rPr>
      </w:pPr>
      <w:r w:rsidRPr="00A35CEC">
        <w:rPr>
          <w:rFonts w:ascii="Book Antiqua" w:hAnsi="Book Antiqua"/>
        </w:rPr>
        <w:t>B</w:t>
      </w:r>
    </w:p>
    <w:p w14:paraId="440F491B" w14:textId="67BF2F6A" w:rsidR="000070EB" w:rsidRPr="00A35CEC" w:rsidRDefault="009D0E45">
      <w:pPr>
        <w:adjustRightInd w:val="0"/>
        <w:snapToGrid w:val="0"/>
        <w:spacing w:line="360" w:lineRule="auto"/>
        <w:jc w:val="both"/>
        <w:rPr>
          <w:rFonts w:ascii="Book Antiqua" w:hAnsi="Book Antiqua"/>
        </w:rPr>
      </w:pPr>
      <w:r w:rsidRPr="00A35CEC">
        <w:rPr>
          <w:rFonts w:ascii="Book Antiqua" w:hAnsi="Book Antiqua"/>
          <w:noProof/>
        </w:rPr>
        <w:drawing>
          <wp:inline distT="0" distB="0" distL="0" distR="0" wp14:anchorId="098D6B0D" wp14:editId="00F8E6E9">
            <wp:extent cx="4076700" cy="2981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2981325"/>
                    </a:xfrm>
                    <a:prstGeom prst="rect">
                      <a:avLst/>
                    </a:prstGeom>
                    <a:noFill/>
                    <a:ln>
                      <a:noFill/>
                    </a:ln>
                  </pic:spPr>
                </pic:pic>
              </a:graphicData>
            </a:graphic>
          </wp:inline>
        </w:drawing>
      </w:r>
    </w:p>
    <w:p w14:paraId="24655A5F" w14:textId="6469D7EF" w:rsidR="00F031F7" w:rsidRPr="00A35CEC" w:rsidRDefault="00F031F7">
      <w:pPr>
        <w:adjustRightInd w:val="0"/>
        <w:snapToGrid w:val="0"/>
        <w:spacing w:line="360" w:lineRule="auto"/>
        <w:jc w:val="both"/>
        <w:outlineLvl w:val="0"/>
        <w:rPr>
          <w:rFonts w:ascii="Book Antiqua" w:hAnsi="Book Antiqua"/>
        </w:rPr>
      </w:pPr>
      <w:r w:rsidRPr="00A35CEC">
        <w:rPr>
          <w:rFonts w:ascii="Book Antiqua" w:hAnsi="Book Antiqua"/>
        </w:rPr>
        <w:t>C</w:t>
      </w:r>
    </w:p>
    <w:p w14:paraId="5F48BD8F" w14:textId="203CE2F6" w:rsidR="00CA6D2A" w:rsidRPr="00A35CEC" w:rsidRDefault="009D0E45">
      <w:pPr>
        <w:autoSpaceDE w:val="0"/>
        <w:autoSpaceDN w:val="0"/>
        <w:adjustRightInd w:val="0"/>
        <w:snapToGrid w:val="0"/>
        <w:spacing w:line="360" w:lineRule="auto"/>
        <w:jc w:val="both"/>
        <w:rPr>
          <w:rFonts w:ascii="Book Antiqua" w:hAnsi="Book Antiqua"/>
        </w:rPr>
      </w:pPr>
      <w:r w:rsidRPr="00A35CEC">
        <w:rPr>
          <w:rFonts w:ascii="Book Antiqua" w:hAnsi="Book Antiqua"/>
          <w:noProof/>
        </w:rPr>
        <w:lastRenderedPageBreak/>
        <w:drawing>
          <wp:inline distT="0" distB="0" distL="0" distR="0" wp14:anchorId="7FF2D579" wp14:editId="6E1B168C">
            <wp:extent cx="3619500" cy="2638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0" cy="2638425"/>
                    </a:xfrm>
                    <a:prstGeom prst="rect">
                      <a:avLst/>
                    </a:prstGeom>
                    <a:noFill/>
                    <a:ln>
                      <a:noFill/>
                    </a:ln>
                  </pic:spPr>
                </pic:pic>
              </a:graphicData>
            </a:graphic>
          </wp:inline>
        </w:drawing>
      </w:r>
    </w:p>
    <w:p w14:paraId="04C29234" w14:textId="2AD00462" w:rsidR="00C0713F" w:rsidRPr="00A35CEC" w:rsidRDefault="00C0713F">
      <w:pPr>
        <w:autoSpaceDE w:val="0"/>
        <w:autoSpaceDN w:val="0"/>
        <w:adjustRightInd w:val="0"/>
        <w:snapToGrid w:val="0"/>
        <w:spacing w:line="360" w:lineRule="auto"/>
        <w:jc w:val="both"/>
        <w:rPr>
          <w:rFonts w:ascii="Book Antiqua" w:hAnsi="Book Antiqua"/>
          <w:b/>
        </w:rPr>
      </w:pPr>
      <w:r w:rsidRPr="00A35CEC">
        <w:rPr>
          <w:rFonts w:ascii="Book Antiqua" w:hAnsi="Book Antiqua"/>
          <w:b/>
        </w:rPr>
        <w:t>Figure 4 Estimated cumulative costs of base case and hepatitis C virus elimination scenario</w:t>
      </w:r>
      <w:r w:rsidR="0029711C" w:rsidRPr="00A35CEC">
        <w:rPr>
          <w:rFonts w:ascii="Book Antiqua" w:hAnsi="Book Antiqua"/>
          <w:b/>
        </w:rPr>
        <w:t>s</w:t>
      </w:r>
      <w:r w:rsidRPr="00A35CEC">
        <w:rPr>
          <w:rFonts w:ascii="Book Antiqua" w:hAnsi="Book Antiqua"/>
          <w:b/>
        </w:rPr>
        <w:t xml:space="preserve"> in 2030 and 2035. </w:t>
      </w:r>
      <w:r w:rsidRPr="00A35CEC">
        <w:rPr>
          <w:rFonts w:ascii="Book Antiqua" w:hAnsi="Book Antiqua"/>
        </w:rPr>
        <w:t xml:space="preserve">A: Direct costs; B: Indirect/societal costs; C: Total costs. </w:t>
      </w:r>
      <w:proofErr w:type="spellStart"/>
      <w:r w:rsidRPr="00A35CEC">
        <w:rPr>
          <w:rFonts w:ascii="Book Antiqua" w:hAnsi="Book Antiqua"/>
        </w:rPr>
        <w:t>HCV</w:t>
      </w:r>
      <w:proofErr w:type="spellEnd"/>
      <w:r w:rsidRPr="00A35CEC">
        <w:rPr>
          <w:rFonts w:ascii="Book Antiqua" w:hAnsi="Book Antiqua"/>
        </w:rPr>
        <w:t>: Hepatitis C virus.</w:t>
      </w:r>
    </w:p>
    <w:sectPr w:rsidR="00C0713F" w:rsidRPr="00A35CEC" w:rsidSect="002E3FC8">
      <w:footerReference w:type="even" r:id="rId26"/>
      <w:footerReference w:type="default" r:id="rId27"/>
      <w:pgSz w:w="12240" w:h="15840"/>
      <w:pgMar w:top="1440" w:right="1224" w:bottom="806"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A841" w14:textId="77777777" w:rsidR="007827F5" w:rsidRDefault="007827F5" w:rsidP="00522973">
      <w:r>
        <w:separator/>
      </w:r>
    </w:p>
  </w:endnote>
  <w:endnote w:type="continuationSeparator" w:id="0">
    <w:p w14:paraId="11AA234E" w14:textId="77777777" w:rsidR="007827F5" w:rsidRDefault="007827F5" w:rsidP="005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Meiryo"/>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GoudyOldStyle">
    <w:altName w:val="Times New Roman"/>
    <w:panose1 w:val="00000000000000000000"/>
    <w:charset w:val="00"/>
    <w:family w:val="roman"/>
    <w:notTrueType/>
    <w:pitch w:val="default"/>
    <w:sig w:usb0="00000003" w:usb1="00000000" w:usb2="00000000" w:usb3="00000000" w:csb0="0000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10845012"/>
      <w:docPartObj>
        <w:docPartGallery w:val="Page Numbers (Bottom of Page)"/>
        <w:docPartUnique/>
      </w:docPartObj>
    </w:sdtPr>
    <w:sdtEndPr>
      <w:rPr>
        <w:rStyle w:val="ac"/>
      </w:rPr>
    </w:sdtEndPr>
    <w:sdtContent>
      <w:p w14:paraId="4526E79C" w14:textId="350483E0" w:rsidR="000F5B31" w:rsidRDefault="000F5B31" w:rsidP="000F5B31">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2450A717" w14:textId="77777777" w:rsidR="000F5B31" w:rsidRDefault="000F5B3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rPr>
      <w:id w:val="-576511496"/>
      <w:docPartObj>
        <w:docPartGallery w:val="Page Numbers (Bottom of Page)"/>
        <w:docPartUnique/>
      </w:docPartObj>
    </w:sdtPr>
    <w:sdtEndPr>
      <w:rPr>
        <w:rStyle w:val="ac"/>
      </w:rPr>
    </w:sdtEndPr>
    <w:sdtContent>
      <w:p w14:paraId="64F079A9" w14:textId="2E71CF8C" w:rsidR="000F5B31" w:rsidRPr="00A35CEC" w:rsidRDefault="000F5B31" w:rsidP="000F5B31">
        <w:pPr>
          <w:pStyle w:val="ab"/>
          <w:framePr w:wrap="none" w:vAnchor="text" w:hAnchor="margin" w:xAlign="center" w:y="1"/>
          <w:rPr>
            <w:rStyle w:val="ac"/>
            <w:rFonts w:ascii="Book Antiqua" w:hAnsi="Book Antiqua"/>
          </w:rPr>
        </w:pPr>
        <w:r w:rsidRPr="00A35CEC">
          <w:rPr>
            <w:rStyle w:val="ac"/>
            <w:rFonts w:ascii="Book Antiqua" w:hAnsi="Book Antiqua"/>
          </w:rPr>
          <w:fldChar w:fldCharType="begin"/>
        </w:r>
        <w:r w:rsidRPr="00A35CEC">
          <w:rPr>
            <w:rStyle w:val="ac"/>
            <w:rFonts w:ascii="Book Antiqua" w:hAnsi="Book Antiqua"/>
          </w:rPr>
          <w:instrText xml:space="preserve"> PAGE </w:instrText>
        </w:r>
        <w:r w:rsidRPr="00A35CEC">
          <w:rPr>
            <w:rStyle w:val="ac"/>
            <w:rFonts w:ascii="Book Antiqua" w:hAnsi="Book Antiqua"/>
          </w:rPr>
          <w:fldChar w:fldCharType="separate"/>
        </w:r>
        <w:r w:rsidR="001C18C3">
          <w:rPr>
            <w:rStyle w:val="ac"/>
            <w:rFonts w:ascii="Book Antiqua" w:hAnsi="Book Antiqua"/>
            <w:noProof/>
          </w:rPr>
          <w:t>24</w:t>
        </w:r>
        <w:r w:rsidRPr="00A35CEC">
          <w:rPr>
            <w:rStyle w:val="ac"/>
            <w:rFonts w:ascii="Book Antiqua" w:hAnsi="Book Antiqua"/>
          </w:rPr>
          <w:fldChar w:fldCharType="end"/>
        </w:r>
      </w:p>
    </w:sdtContent>
  </w:sdt>
  <w:p w14:paraId="78D02A37" w14:textId="77777777" w:rsidR="000F5B31" w:rsidRDefault="000F5B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A8A78" w14:textId="77777777" w:rsidR="007827F5" w:rsidRDefault="007827F5" w:rsidP="00522973">
      <w:r>
        <w:separator/>
      </w:r>
    </w:p>
  </w:footnote>
  <w:footnote w:type="continuationSeparator" w:id="0">
    <w:p w14:paraId="234EEC8F" w14:textId="77777777" w:rsidR="007827F5" w:rsidRDefault="007827F5" w:rsidP="0052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FA4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D36F1F"/>
    <w:multiLevelType w:val="hybridMultilevel"/>
    <w:tmpl w:val="9C025F40"/>
    <w:lvl w:ilvl="0" w:tplc="8C1EBD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24242"/>
    <w:multiLevelType w:val="hybridMultilevel"/>
    <w:tmpl w:val="7E4A78EA"/>
    <w:lvl w:ilvl="0" w:tplc="6BC047C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87DEF"/>
    <w:multiLevelType w:val="hybridMultilevel"/>
    <w:tmpl w:val="22684242"/>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nsid w:val="693D25A3"/>
    <w:multiLevelType w:val="hybridMultilevel"/>
    <w:tmpl w:val="498297F4"/>
    <w:lvl w:ilvl="0" w:tplc="AA809E2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46BF8"/>
    <w:multiLevelType w:val="hybridMultilevel"/>
    <w:tmpl w:val="E918BCAA"/>
    <w:lvl w:ilvl="0" w:tplc="EB70E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A61D40"/>
    <w:multiLevelType w:val="hybridMultilevel"/>
    <w:tmpl w:val="89BEC57C"/>
    <w:lvl w:ilvl="0" w:tplc="16341F70">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_alex&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va99etofd9f3ewa52vzztvwsweesasedrp&quot;&gt;My EndNote Library&lt;record-ids&gt;&lt;item&gt;1&lt;/item&gt;&lt;item&gt;3&lt;/item&gt;&lt;item&gt;8&lt;/item&gt;&lt;item&gt;21&lt;/item&gt;&lt;item&gt;22&lt;/item&gt;&lt;item&gt;44&lt;/item&gt;&lt;item&gt;95&lt;/item&gt;&lt;item&gt;96&lt;/item&gt;&lt;item&gt;97&lt;/item&gt;&lt;item&gt;98&lt;/item&gt;&lt;item&gt;100&lt;/item&gt;&lt;item&gt;101&lt;/item&gt;&lt;item&gt;102&lt;/item&gt;&lt;item&gt;103&lt;/item&gt;&lt;item&gt;104&lt;/item&gt;&lt;item&gt;113&lt;/item&gt;&lt;item&gt;114&lt;/item&gt;&lt;item&gt;116&lt;/item&gt;&lt;item&gt;117&lt;/item&gt;&lt;item&gt;118&lt;/item&gt;&lt;item&gt;119&lt;/item&gt;&lt;item&gt;125&lt;/item&gt;&lt;/record-ids&gt;&lt;/item&gt;&lt;/Libraries&gt;"/>
  </w:docVars>
  <w:rsids>
    <w:rsidRoot w:val="000C0693"/>
    <w:rsid w:val="000020B9"/>
    <w:rsid w:val="00002F4C"/>
    <w:rsid w:val="00005BAA"/>
    <w:rsid w:val="000065D5"/>
    <w:rsid w:val="0000674F"/>
    <w:rsid w:val="000070EB"/>
    <w:rsid w:val="00007560"/>
    <w:rsid w:val="000121FE"/>
    <w:rsid w:val="00013283"/>
    <w:rsid w:val="000158FF"/>
    <w:rsid w:val="00021A2C"/>
    <w:rsid w:val="00021A3B"/>
    <w:rsid w:val="000253F3"/>
    <w:rsid w:val="0002577D"/>
    <w:rsid w:val="00026E01"/>
    <w:rsid w:val="00030D61"/>
    <w:rsid w:val="000352ED"/>
    <w:rsid w:val="0003697B"/>
    <w:rsid w:val="0004258A"/>
    <w:rsid w:val="00044DBB"/>
    <w:rsid w:val="00046603"/>
    <w:rsid w:val="00051468"/>
    <w:rsid w:val="00052AE1"/>
    <w:rsid w:val="000539E5"/>
    <w:rsid w:val="0006055C"/>
    <w:rsid w:val="000614E3"/>
    <w:rsid w:val="0006398F"/>
    <w:rsid w:val="00063A87"/>
    <w:rsid w:val="00065077"/>
    <w:rsid w:val="000656F7"/>
    <w:rsid w:val="00070DA3"/>
    <w:rsid w:val="00080178"/>
    <w:rsid w:val="00082315"/>
    <w:rsid w:val="00082A8B"/>
    <w:rsid w:val="00083E17"/>
    <w:rsid w:val="000853AB"/>
    <w:rsid w:val="00090F88"/>
    <w:rsid w:val="00094E46"/>
    <w:rsid w:val="000A0792"/>
    <w:rsid w:val="000A3EF1"/>
    <w:rsid w:val="000A650A"/>
    <w:rsid w:val="000A7413"/>
    <w:rsid w:val="000A7F97"/>
    <w:rsid w:val="000B0660"/>
    <w:rsid w:val="000B1FEC"/>
    <w:rsid w:val="000B596D"/>
    <w:rsid w:val="000B7F6B"/>
    <w:rsid w:val="000C0693"/>
    <w:rsid w:val="000C2473"/>
    <w:rsid w:val="000C5570"/>
    <w:rsid w:val="000D22AC"/>
    <w:rsid w:val="000D3876"/>
    <w:rsid w:val="000D39D9"/>
    <w:rsid w:val="000D48B5"/>
    <w:rsid w:val="000E0CAB"/>
    <w:rsid w:val="000E2D86"/>
    <w:rsid w:val="000E3128"/>
    <w:rsid w:val="000E35A7"/>
    <w:rsid w:val="000F0623"/>
    <w:rsid w:val="000F0C66"/>
    <w:rsid w:val="000F19A9"/>
    <w:rsid w:val="000F2BF8"/>
    <w:rsid w:val="000F337E"/>
    <w:rsid w:val="000F3F49"/>
    <w:rsid w:val="000F43F9"/>
    <w:rsid w:val="000F465D"/>
    <w:rsid w:val="000F5B31"/>
    <w:rsid w:val="000F6A9B"/>
    <w:rsid w:val="00100931"/>
    <w:rsid w:val="00103362"/>
    <w:rsid w:val="00104637"/>
    <w:rsid w:val="00106220"/>
    <w:rsid w:val="00111D0D"/>
    <w:rsid w:val="001125B5"/>
    <w:rsid w:val="00113BAB"/>
    <w:rsid w:val="00114F72"/>
    <w:rsid w:val="00115379"/>
    <w:rsid w:val="00115953"/>
    <w:rsid w:val="00117C5E"/>
    <w:rsid w:val="00122862"/>
    <w:rsid w:val="00123DFA"/>
    <w:rsid w:val="00124FCA"/>
    <w:rsid w:val="001277F1"/>
    <w:rsid w:val="0013046F"/>
    <w:rsid w:val="00136664"/>
    <w:rsid w:val="001421B6"/>
    <w:rsid w:val="00146262"/>
    <w:rsid w:val="0015005F"/>
    <w:rsid w:val="00151314"/>
    <w:rsid w:val="00151C4D"/>
    <w:rsid w:val="00154BC7"/>
    <w:rsid w:val="00157486"/>
    <w:rsid w:val="00164402"/>
    <w:rsid w:val="001676D5"/>
    <w:rsid w:val="00167DE0"/>
    <w:rsid w:val="00170D71"/>
    <w:rsid w:val="00172A3C"/>
    <w:rsid w:val="0017432E"/>
    <w:rsid w:val="001758DC"/>
    <w:rsid w:val="001830BE"/>
    <w:rsid w:val="00185004"/>
    <w:rsid w:val="00185CE1"/>
    <w:rsid w:val="00187C87"/>
    <w:rsid w:val="00187F99"/>
    <w:rsid w:val="001901DB"/>
    <w:rsid w:val="001910C2"/>
    <w:rsid w:val="001918E5"/>
    <w:rsid w:val="00192BF6"/>
    <w:rsid w:val="001A0E67"/>
    <w:rsid w:val="001A4227"/>
    <w:rsid w:val="001A436B"/>
    <w:rsid w:val="001A6A2C"/>
    <w:rsid w:val="001A76FF"/>
    <w:rsid w:val="001B0540"/>
    <w:rsid w:val="001B27A0"/>
    <w:rsid w:val="001B4A58"/>
    <w:rsid w:val="001C0643"/>
    <w:rsid w:val="001C08B9"/>
    <w:rsid w:val="001C18C3"/>
    <w:rsid w:val="001C2417"/>
    <w:rsid w:val="001C5D11"/>
    <w:rsid w:val="001C713B"/>
    <w:rsid w:val="001D11C6"/>
    <w:rsid w:val="001D188D"/>
    <w:rsid w:val="001D1D5C"/>
    <w:rsid w:val="001D2BE7"/>
    <w:rsid w:val="001D329E"/>
    <w:rsid w:val="001D72B9"/>
    <w:rsid w:val="001E2537"/>
    <w:rsid w:val="001E4AF5"/>
    <w:rsid w:val="001E534B"/>
    <w:rsid w:val="001E53C7"/>
    <w:rsid w:val="001E5823"/>
    <w:rsid w:val="001E5CA6"/>
    <w:rsid w:val="001E6315"/>
    <w:rsid w:val="001E645C"/>
    <w:rsid w:val="001E7072"/>
    <w:rsid w:val="002026D6"/>
    <w:rsid w:val="00205004"/>
    <w:rsid w:val="00206607"/>
    <w:rsid w:val="0021029F"/>
    <w:rsid w:val="002107E0"/>
    <w:rsid w:val="00213811"/>
    <w:rsid w:val="00213B0B"/>
    <w:rsid w:val="0021418F"/>
    <w:rsid w:val="002172BF"/>
    <w:rsid w:val="00217CDE"/>
    <w:rsid w:val="002207C4"/>
    <w:rsid w:val="00221933"/>
    <w:rsid w:val="00221A14"/>
    <w:rsid w:val="00221CDE"/>
    <w:rsid w:val="00222C8F"/>
    <w:rsid w:val="00225575"/>
    <w:rsid w:val="002301A6"/>
    <w:rsid w:val="002302D7"/>
    <w:rsid w:val="00231BE7"/>
    <w:rsid w:val="002410DB"/>
    <w:rsid w:val="002422AC"/>
    <w:rsid w:val="00246DEE"/>
    <w:rsid w:val="002473A6"/>
    <w:rsid w:val="002503E8"/>
    <w:rsid w:val="00253C30"/>
    <w:rsid w:val="0025459E"/>
    <w:rsid w:val="00256E13"/>
    <w:rsid w:val="0025764E"/>
    <w:rsid w:val="0026125E"/>
    <w:rsid w:val="00261E41"/>
    <w:rsid w:val="002639FD"/>
    <w:rsid w:val="002718D0"/>
    <w:rsid w:val="002744F4"/>
    <w:rsid w:val="00274B9D"/>
    <w:rsid w:val="00275CB1"/>
    <w:rsid w:val="00277DAA"/>
    <w:rsid w:val="00281722"/>
    <w:rsid w:val="00282088"/>
    <w:rsid w:val="002837FE"/>
    <w:rsid w:val="002840FF"/>
    <w:rsid w:val="002864B6"/>
    <w:rsid w:val="00287CF1"/>
    <w:rsid w:val="00293491"/>
    <w:rsid w:val="00296CCE"/>
    <w:rsid w:val="0029711C"/>
    <w:rsid w:val="002977DD"/>
    <w:rsid w:val="002A1E5D"/>
    <w:rsid w:val="002A20D8"/>
    <w:rsid w:val="002A2298"/>
    <w:rsid w:val="002B43CF"/>
    <w:rsid w:val="002C7501"/>
    <w:rsid w:val="002D2B62"/>
    <w:rsid w:val="002D3C4F"/>
    <w:rsid w:val="002D4A99"/>
    <w:rsid w:val="002D4BCE"/>
    <w:rsid w:val="002D5241"/>
    <w:rsid w:val="002D58CF"/>
    <w:rsid w:val="002E0A9D"/>
    <w:rsid w:val="002E1BAD"/>
    <w:rsid w:val="002E2273"/>
    <w:rsid w:val="002E29CF"/>
    <w:rsid w:val="002E2C3D"/>
    <w:rsid w:val="002E398B"/>
    <w:rsid w:val="002E3FC8"/>
    <w:rsid w:val="002E4E9D"/>
    <w:rsid w:val="002E58BD"/>
    <w:rsid w:val="002E5D07"/>
    <w:rsid w:val="002F0A2D"/>
    <w:rsid w:val="002F131F"/>
    <w:rsid w:val="002F6801"/>
    <w:rsid w:val="002F6F0D"/>
    <w:rsid w:val="002F77A1"/>
    <w:rsid w:val="00301D38"/>
    <w:rsid w:val="00302248"/>
    <w:rsid w:val="00302709"/>
    <w:rsid w:val="003029BC"/>
    <w:rsid w:val="00303479"/>
    <w:rsid w:val="00307BF3"/>
    <w:rsid w:val="00310A92"/>
    <w:rsid w:val="00316A16"/>
    <w:rsid w:val="003227F0"/>
    <w:rsid w:val="0032365B"/>
    <w:rsid w:val="003267DE"/>
    <w:rsid w:val="0033010E"/>
    <w:rsid w:val="003332CF"/>
    <w:rsid w:val="00333EDF"/>
    <w:rsid w:val="003342A9"/>
    <w:rsid w:val="003364B2"/>
    <w:rsid w:val="00337B98"/>
    <w:rsid w:val="00340B4D"/>
    <w:rsid w:val="00341E83"/>
    <w:rsid w:val="00342141"/>
    <w:rsid w:val="00344B5B"/>
    <w:rsid w:val="00354230"/>
    <w:rsid w:val="00355B19"/>
    <w:rsid w:val="003610A3"/>
    <w:rsid w:val="00362B77"/>
    <w:rsid w:val="00364AD3"/>
    <w:rsid w:val="003654EA"/>
    <w:rsid w:val="00365DB0"/>
    <w:rsid w:val="00366EFD"/>
    <w:rsid w:val="0037092F"/>
    <w:rsid w:val="00371325"/>
    <w:rsid w:val="00371F32"/>
    <w:rsid w:val="00375D41"/>
    <w:rsid w:val="00384102"/>
    <w:rsid w:val="00386CD7"/>
    <w:rsid w:val="00387E31"/>
    <w:rsid w:val="003901CC"/>
    <w:rsid w:val="003906BF"/>
    <w:rsid w:val="00391785"/>
    <w:rsid w:val="003945EB"/>
    <w:rsid w:val="003965ED"/>
    <w:rsid w:val="00397AA3"/>
    <w:rsid w:val="003A0BA3"/>
    <w:rsid w:val="003A2BE4"/>
    <w:rsid w:val="003A3485"/>
    <w:rsid w:val="003A42DC"/>
    <w:rsid w:val="003A4FC1"/>
    <w:rsid w:val="003A529C"/>
    <w:rsid w:val="003B22E0"/>
    <w:rsid w:val="003C02F9"/>
    <w:rsid w:val="003C230B"/>
    <w:rsid w:val="003C2938"/>
    <w:rsid w:val="003C39EA"/>
    <w:rsid w:val="003C5132"/>
    <w:rsid w:val="003C5C64"/>
    <w:rsid w:val="003C730F"/>
    <w:rsid w:val="003D19B5"/>
    <w:rsid w:val="003D2070"/>
    <w:rsid w:val="003D4180"/>
    <w:rsid w:val="003D43E2"/>
    <w:rsid w:val="003D7FDF"/>
    <w:rsid w:val="003E0B36"/>
    <w:rsid w:val="003E1C87"/>
    <w:rsid w:val="003E2EE7"/>
    <w:rsid w:val="003E3CF0"/>
    <w:rsid w:val="003E6114"/>
    <w:rsid w:val="003E6E74"/>
    <w:rsid w:val="003E7872"/>
    <w:rsid w:val="003F0C27"/>
    <w:rsid w:val="003F0C90"/>
    <w:rsid w:val="003F2022"/>
    <w:rsid w:val="003F4AD7"/>
    <w:rsid w:val="003F4F8A"/>
    <w:rsid w:val="003F6C3D"/>
    <w:rsid w:val="00400079"/>
    <w:rsid w:val="00405700"/>
    <w:rsid w:val="004059E8"/>
    <w:rsid w:val="004104A4"/>
    <w:rsid w:val="00410BE2"/>
    <w:rsid w:val="00422CDE"/>
    <w:rsid w:val="004303C6"/>
    <w:rsid w:val="00430453"/>
    <w:rsid w:val="00433A51"/>
    <w:rsid w:val="00433B0A"/>
    <w:rsid w:val="0043448D"/>
    <w:rsid w:val="00440D38"/>
    <w:rsid w:val="004454EA"/>
    <w:rsid w:val="00450101"/>
    <w:rsid w:val="004549D5"/>
    <w:rsid w:val="0045500F"/>
    <w:rsid w:val="00455149"/>
    <w:rsid w:val="004558DA"/>
    <w:rsid w:val="00457C4C"/>
    <w:rsid w:val="00460525"/>
    <w:rsid w:val="00463B66"/>
    <w:rsid w:val="00464A15"/>
    <w:rsid w:val="0047080B"/>
    <w:rsid w:val="004749DC"/>
    <w:rsid w:val="00475960"/>
    <w:rsid w:val="00482E06"/>
    <w:rsid w:val="004838F3"/>
    <w:rsid w:val="00485947"/>
    <w:rsid w:val="00485C84"/>
    <w:rsid w:val="00486865"/>
    <w:rsid w:val="00490733"/>
    <w:rsid w:val="004923D6"/>
    <w:rsid w:val="004936E3"/>
    <w:rsid w:val="00494D61"/>
    <w:rsid w:val="00497552"/>
    <w:rsid w:val="004B0324"/>
    <w:rsid w:val="004B7444"/>
    <w:rsid w:val="004C1510"/>
    <w:rsid w:val="004C27B3"/>
    <w:rsid w:val="004C2BF6"/>
    <w:rsid w:val="004D0075"/>
    <w:rsid w:val="004D0749"/>
    <w:rsid w:val="004D1BDB"/>
    <w:rsid w:val="004D4D20"/>
    <w:rsid w:val="004E26E5"/>
    <w:rsid w:val="004E37CB"/>
    <w:rsid w:val="004E58C6"/>
    <w:rsid w:val="004E6091"/>
    <w:rsid w:val="004F10F9"/>
    <w:rsid w:val="004F483F"/>
    <w:rsid w:val="004F6D51"/>
    <w:rsid w:val="00501A6F"/>
    <w:rsid w:val="005028F4"/>
    <w:rsid w:val="00505538"/>
    <w:rsid w:val="005058CA"/>
    <w:rsid w:val="00505EC0"/>
    <w:rsid w:val="0051050A"/>
    <w:rsid w:val="00510F2F"/>
    <w:rsid w:val="00511551"/>
    <w:rsid w:val="00513BB7"/>
    <w:rsid w:val="005158FF"/>
    <w:rsid w:val="00517909"/>
    <w:rsid w:val="0052028F"/>
    <w:rsid w:val="00522973"/>
    <w:rsid w:val="00523BC6"/>
    <w:rsid w:val="005262A6"/>
    <w:rsid w:val="00526740"/>
    <w:rsid w:val="00526D2E"/>
    <w:rsid w:val="005276C3"/>
    <w:rsid w:val="00536919"/>
    <w:rsid w:val="00536A7B"/>
    <w:rsid w:val="00537A6A"/>
    <w:rsid w:val="00537CE6"/>
    <w:rsid w:val="00546DA6"/>
    <w:rsid w:val="00552347"/>
    <w:rsid w:val="005524E2"/>
    <w:rsid w:val="00555B54"/>
    <w:rsid w:val="00561E3E"/>
    <w:rsid w:val="005624D7"/>
    <w:rsid w:val="00565AA7"/>
    <w:rsid w:val="005667B5"/>
    <w:rsid w:val="00571713"/>
    <w:rsid w:val="0057349E"/>
    <w:rsid w:val="00573CE7"/>
    <w:rsid w:val="0058143F"/>
    <w:rsid w:val="00582F90"/>
    <w:rsid w:val="00582FFA"/>
    <w:rsid w:val="0058443A"/>
    <w:rsid w:val="00586E03"/>
    <w:rsid w:val="00587BDA"/>
    <w:rsid w:val="00590D2A"/>
    <w:rsid w:val="00594649"/>
    <w:rsid w:val="005946E5"/>
    <w:rsid w:val="005948D9"/>
    <w:rsid w:val="00594A38"/>
    <w:rsid w:val="0059500A"/>
    <w:rsid w:val="00596B97"/>
    <w:rsid w:val="005A0494"/>
    <w:rsid w:val="005A0BED"/>
    <w:rsid w:val="005A2BF1"/>
    <w:rsid w:val="005A2E5C"/>
    <w:rsid w:val="005A3A0A"/>
    <w:rsid w:val="005B4422"/>
    <w:rsid w:val="005B52E6"/>
    <w:rsid w:val="005B6429"/>
    <w:rsid w:val="005C0E14"/>
    <w:rsid w:val="005C171C"/>
    <w:rsid w:val="005C3DB5"/>
    <w:rsid w:val="005C4E07"/>
    <w:rsid w:val="005C6086"/>
    <w:rsid w:val="005C765C"/>
    <w:rsid w:val="005D038A"/>
    <w:rsid w:val="005D15FE"/>
    <w:rsid w:val="005D4F3B"/>
    <w:rsid w:val="005D5B11"/>
    <w:rsid w:val="005D5CC8"/>
    <w:rsid w:val="005D6188"/>
    <w:rsid w:val="005D66DA"/>
    <w:rsid w:val="005E077C"/>
    <w:rsid w:val="005E298A"/>
    <w:rsid w:val="005E52A6"/>
    <w:rsid w:val="005E6C71"/>
    <w:rsid w:val="005E73FD"/>
    <w:rsid w:val="005E7ADA"/>
    <w:rsid w:val="005F0C25"/>
    <w:rsid w:val="005F1A93"/>
    <w:rsid w:val="005F7CEC"/>
    <w:rsid w:val="00607CC6"/>
    <w:rsid w:val="0061103E"/>
    <w:rsid w:val="00612AC1"/>
    <w:rsid w:val="00616C7E"/>
    <w:rsid w:val="0062006F"/>
    <w:rsid w:val="00621A33"/>
    <w:rsid w:val="006242CA"/>
    <w:rsid w:val="0062470F"/>
    <w:rsid w:val="00626D56"/>
    <w:rsid w:val="006303C7"/>
    <w:rsid w:val="00630F39"/>
    <w:rsid w:val="00631603"/>
    <w:rsid w:val="00632AE6"/>
    <w:rsid w:val="006421F9"/>
    <w:rsid w:val="00642601"/>
    <w:rsid w:val="006428C8"/>
    <w:rsid w:val="00644384"/>
    <w:rsid w:val="00644618"/>
    <w:rsid w:val="00646D91"/>
    <w:rsid w:val="006516DA"/>
    <w:rsid w:val="006527FC"/>
    <w:rsid w:val="0065372F"/>
    <w:rsid w:val="006602FC"/>
    <w:rsid w:val="00661166"/>
    <w:rsid w:val="0066282F"/>
    <w:rsid w:val="0066335C"/>
    <w:rsid w:val="00663738"/>
    <w:rsid w:val="00663A97"/>
    <w:rsid w:val="006678AD"/>
    <w:rsid w:val="00672BB4"/>
    <w:rsid w:val="00672F53"/>
    <w:rsid w:val="00673BE6"/>
    <w:rsid w:val="00680E76"/>
    <w:rsid w:val="00684166"/>
    <w:rsid w:val="00687698"/>
    <w:rsid w:val="00691E7C"/>
    <w:rsid w:val="00692D46"/>
    <w:rsid w:val="006936E1"/>
    <w:rsid w:val="00694F38"/>
    <w:rsid w:val="0069550E"/>
    <w:rsid w:val="006968E3"/>
    <w:rsid w:val="00696AB3"/>
    <w:rsid w:val="006A1434"/>
    <w:rsid w:val="006A4036"/>
    <w:rsid w:val="006A443C"/>
    <w:rsid w:val="006A4D07"/>
    <w:rsid w:val="006A5CE8"/>
    <w:rsid w:val="006A5DE9"/>
    <w:rsid w:val="006A7D52"/>
    <w:rsid w:val="006B007B"/>
    <w:rsid w:val="006B240F"/>
    <w:rsid w:val="006C0A92"/>
    <w:rsid w:val="006C6BDA"/>
    <w:rsid w:val="006C768F"/>
    <w:rsid w:val="006D48E6"/>
    <w:rsid w:val="006D5945"/>
    <w:rsid w:val="006E16A3"/>
    <w:rsid w:val="006E1B69"/>
    <w:rsid w:val="006E33C3"/>
    <w:rsid w:val="006E3D36"/>
    <w:rsid w:val="006E3E17"/>
    <w:rsid w:val="006E495E"/>
    <w:rsid w:val="006F049F"/>
    <w:rsid w:val="006F23F9"/>
    <w:rsid w:val="006F2B7B"/>
    <w:rsid w:val="006F2EBD"/>
    <w:rsid w:val="006F3065"/>
    <w:rsid w:val="006F42A9"/>
    <w:rsid w:val="006F79AF"/>
    <w:rsid w:val="00700B99"/>
    <w:rsid w:val="0070121B"/>
    <w:rsid w:val="00701847"/>
    <w:rsid w:val="00701A0C"/>
    <w:rsid w:val="00702400"/>
    <w:rsid w:val="0070263C"/>
    <w:rsid w:val="00703854"/>
    <w:rsid w:val="0070459E"/>
    <w:rsid w:val="00704DA5"/>
    <w:rsid w:val="00705491"/>
    <w:rsid w:val="00705872"/>
    <w:rsid w:val="00710380"/>
    <w:rsid w:val="00712FB3"/>
    <w:rsid w:val="0071784F"/>
    <w:rsid w:val="00720E2B"/>
    <w:rsid w:val="00721041"/>
    <w:rsid w:val="00723008"/>
    <w:rsid w:val="007240BE"/>
    <w:rsid w:val="0072734F"/>
    <w:rsid w:val="00740723"/>
    <w:rsid w:val="007409FD"/>
    <w:rsid w:val="00741744"/>
    <w:rsid w:val="007423F2"/>
    <w:rsid w:val="00742BFC"/>
    <w:rsid w:val="00745420"/>
    <w:rsid w:val="00746F81"/>
    <w:rsid w:val="00750282"/>
    <w:rsid w:val="007504CE"/>
    <w:rsid w:val="00751F5B"/>
    <w:rsid w:val="00753D26"/>
    <w:rsid w:val="007548EE"/>
    <w:rsid w:val="00755E15"/>
    <w:rsid w:val="007579BB"/>
    <w:rsid w:val="00763007"/>
    <w:rsid w:val="00766DFB"/>
    <w:rsid w:val="007704E6"/>
    <w:rsid w:val="00773F1B"/>
    <w:rsid w:val="0077453E"/>
    <w:rsid w:val="00776B8D"/>
    <w:rsid w:val="00776C51"/>
    <w:rsid w:val="007771E4"/>
    <w:rsid w:val="007827F5"/>
    <w:rsid w:val="00784739"/>
    <w:rsid w:val="00786F9B"/>
    <w:rsid w:val="00790209"/>
    <w:rsid w:val="00791D0F"/>
    <w:rsid w:val="00793A63"/>
    <w:rsid w:val="00794E5E"/>
    <w:rsid w:val="0079531A"/>
    <w:rsid w:val="00796495"/>
    <w:rsid w:val="007A1F28"/>
    <w:rsid w:val="007A2AB7"/>
    <w:rsid w:val="007A348C"/>
    <w:rsid w:val="007A6350"/>
    <w:rsid w:val="007B2EAE"/>
    <w:rsid w:val="007B59EF"/>
    <w:rsid w:val="007C1D5D"/>
    <w:rsid w:val="007C22E6"/>
    <w:rsid w:val="007C7032"/>
    <w:rsid w:val="007C7114"/>
    <w:rsid w:val="007C7140"/>
    <w:rsid w:val="007C7FE8"/>
    <w:rsid w:val="007D0F0C"/>
    <w:rsid w:val="007D35A0"/>
    <w:rsid w:val="007D3823"/>
    <w:rsid w:val="007D4254"/>
    <w:rsid w:val="007D5ACB"/>
    <w:rsid w:val="007D5B0C"/>
    <w:rsid w:val="007D6123"/>
    <w:rsid w:val="007E42DD"/>
    <w:rsid w:val="007F045D"/>
    <w:rsid w:val="007F4D6C"/>
    <w:rsid w:val="007F5A45"/>
    <w:rsid w:val="007F6391"/>
    <w:rsid w:val="007F67CE"/>
    <w:rsid w:val="007F6CCF"/>
    <w:rsid w:val="00800C65"/>
    <w:rsid w:val="00806A88"/>
    <w:rsid w:val="00806AB6"/>
    <w:rsid w:val="0081274A"/>
    <w:rsid w:val="00814822"/>
    <w:rsid w:val="00814DB7"/>
    <w:rsid w:val="00817599"/>
    <w:rsid w:val="0082003D"/>
    <w:rsid w:val="00820316"/>
    <w:rsid w:val="00820559"/>
    <w:rsid w:val="0082069E"/>
    <w:rsid w:val="00821D4E"/>
    <w:rsid w:val="008226C1"/>
    <w:rsid w:val="00823781"/>
    <w:rsid w:val="008246B9"/>
    <w:rsid w:val="00827360"/>
    <w:rsid w:val="0083049D"/>
    <w:rsid w:val="00835859"/>
    <w:rsid w:val="008358DD"/>
    <w:rsid w:val="00835A8B"/>
    <w:rsid w:val="00836780"/>
    <w:rsid w:val="008371DB"/>
    <w:rsid w:val="00841631"/>
    <w:rsid w:val="00843F13"/>
    <w:rsid w:val="00844E47"/>
    <w:rsid w:val="00845A1B"/>
    <w:rsid w:val="00850A60"/>
    <w:rsid w:val="00851E3B"/>
    <w:rsid w:val="00854113"/>
    <w:rsid w:val="00855055"/>
    <w:rsid w:val="00855409"/>
    <w:rsid w:val="00860224"/>
    <w:rsid w:val="00861191"/>
    <w:rsid w:val="00862468"/>
    <w:rsid w:val="00863A35"/>
    <w:rsid w:val="00863C86"/>
    <w:rsid w:val="00864A4A"/>
    <w:rsid w:val="0086526B"/>
    <w:rsid w:val="00866D05"/>
    <w:rsid w:val="00867C88"/>
    <w:rsid w:val="008717E2"/>
    <w:rsid w:val="00873FB5"/>
    <w:rsid w:val="00876F13"/>
    <w:rsid w:val="00877E8D"/>
    <w:rsid w:val="00881DD7"/>
    <w:rsid w:val="00882716"/>
    <w:rsid w:val="00882D23"/>
    <w:rsid w:val="00885770"/>
    <w:rsid w:val="008868C1"/>
    <w:rsid w:val="00887586"/>
    <w:rsid w:val="008900A0"/>
    <w:rsid w:val="008910FB"/>
    <w:rsid w:val="008972CD"/>
    <w:rsid w:val="008A1389"/>
    <w:rsid w:val="008A225E"/>
    <w:rsid w:val="008A2C8E"/>
    <w:rsid w:val="008A42D4"/>
    <w:rsid w:val="008A4F3E"/>
    <w:rsid w:val="008B356C"/>
    <w:rsid w:val="008B44E9"/>
    <w:rsid w:val="008B572F"/>
    <w:rsid w:val="008B738F"/>
    <w:rsid w:val="008C2A42"/>
    <w:rsid w:val="008C404A"/>
    <w:rsid w:val="008C4BA5"/>
    <w:rsid w:val="008C51B5"/>
    <w:rsid w:val="008C52B1"/>
    <w:rsid w:val="008C7672"/>
    <w:rsid w:val="008D1E23"/>
    <w:rsid w:val="008D2C32"/>
    <w:rsid w:val="008D42E2"/>
    <w:rsid w:val="008E27AC"/>
    <w:rsid w:val="008E52E5"/>
    <w:rsid w:val="008F0AE6"/>
    <w:rsid w:val="008F1BA4"/>
    <w:rsid w:val="008F1F44"/>
    <w:rsid w:val="008F24C0"/>
    <w:rsid w:val="008F2D88"/>
    <w:rsid w:val="008F4B33"/>
    <w:rsid w:val="008F5FD4"/>
    <w:rsid w:val="008F7491"/>
    <w:rsid w:val="00900D88"/>
    <w:rsid w:val="0090110A"/>
    <w:rsid w:val="00903F17"/>
    <w:rsid w:val="00905FFC"/>
    <w:rsid w:val="009142BA"/>
    <w:rsid w:val="00914E20"/>
    <w:rsid w:val="00922BE5"/>
    <w:rsid w:val="0092407F"/>
    <w:rsid w:val="00925218"/>
    <w:rsid w:val="009252B0"/>
    <w:rsid w:val="009257D3"/>
    <w:rsid w:val="00930372"/>
    <w:rsid w:val="00932505"/>
    <w:rsid w:val="00933761"/>
    <w:rsid w:val="00935348"/>
    <w:rsid w:val="00941CE6"/>
    <w:rsid w:val="00945672"/>
    <w:rsid w:val="009477FF"/>
    <w:rsid w:val="00951275"/>
    <w:rsid w:val="00951D3B"/>
    <w:rsid w:val="00953AA5"/>
    <w:rsid w:val="00961141"/>
    <w:rsid w:val="00961697"/>
    <w:rsid w:val="00961E78"/>
    <w:rsid w:val="009637E7"/>
    <w:rsid w:val="009648EA"/>
    <w:rsid w:val="00964A42"/>
    <w:rsid w:val="00966C76"/>
    <w:rsid w:val="009705BD"/>
    <w:rsid w:val="00970633"/>
    <w:rsid w:val="0097687D"/>
    <w:rsid w:val="00983524"/>
    <w:rsid w:val="00991686"/>
    <w:rsid w:val="0099395B"/>
    <w:rsid w:val="009A158F"/>
    <w:rsid w:val="009A1F75"/>
    <w:rsid w:val="009A4A89"/>
    <w:rsid w:val="009A5F4E"/>
    <w:rsid w:val="009B10B8"/>
    <w:rsid w:val="009B1929"/>
    <w:rsid w:val="009B27F3"/>
    <w:rsid w:val="009B445B"/>
    <w:rsid w:val="009B4ED7"/>
    <w:rsid w:val="009B5AC3"/>
    <w:rsid w:val="009C1436"/>
    <w:rsid w:val="009C228C"/>
    <w:rsid w:val="009C2AA3"/>
    <w:rsid w:val="009C73F6"/>
    <w:rsid w:val="009D0E45"/>
    <w:rsid w:val="009D1F23"/>
    <w:rsid w:val="009D707E"/>
    <w:rsid w:val="009E0CC3"/>
    <w:rsid w:val="009E1226"/>
    <w:rsid w:val="009E20E8"/>
    <w:rsid w:val="009E63D1"/>
    <w:rsid w:val="009F101E"/>
    <w:rsid w:val="009F10CB"/>
    <w:rsid w:val="00A0018E"/>
    <w:rsid w:val="00A016C3"/>
    <w:rsid w:val="00A021B8"/>
    <w:rsid w:val="00A0240A"/>
    <w:rsid w:val="00A03AE7"/>
    <w:rsid w:val="00A053BE"/>
    <w:rsid w:val="00A05604"/>
    <w:rsid w:val="00A104D8"/>
    <w:rsid w:val="00A116E3"/>
    <w:rsid w:val="00A12C7A"/>
    <w:rsid w:val="00A1405A"/>
    <w:rsid w:val="00A15F1A"/>
    <w:rsid w:val="00A225CD"/>
    <w:rsid w:val="00A250EF"/>
    <w:rsid w:val="00A31668"/>
    <w:rsid w:val="00A336EF"/>
    <w:rsid w:val="00A338D7"/>
    <w:rsid w:val="00A35CEC"/>
    <w:rsid w:val="00A36BCE"/>
    <w:rsid w:val="00A40DA1"/>
    <w:rsid w:val="00A40FD1"/>
    <w:rsid w:val="00A44229"/>
    <w:rsid w:val="00A51CB7"/>
    <w:rsid w:val="00A523E5"/>
    <w:rsid w:val="00A54214"/>
    <w:rsid w:val="00A552B4"/>
    <w:rsid w:val="00A556A3"/>
    <w:rsid w:val="00A575E8"/>
    <w:rsid w:val="00A57F5B"/>
    <w:rsid w:val="00A61477"/>
    <w:rsid w:val="00A6201D"/>
    <w:rsid w:val="00A62141"/>
    <w:rsid w:val="00A62F28"/>
    <w:rsid w:val="00A64635"/>
    <w:rsid w:val="00A648E6"/>
    <w:rsid w:val="00A657F9"/>
    <w:rsid w:val="00A66623"/>
    <w:rsid w:val="00A675AB"/>
    <w:rsid w:val="00A74EAD"/>
    <w:rsid w:val="00A77F62"/>
    <w:rsid w:val="00A803D2"/>
    <w:rsid w:val="00A8078A"/>
    <w:rsid w:val="00A80CAC"/>
    <w:rsid w:val="00A810F5"/>
    <w:rsid w:val="00A812C9"/>
    <w:rsid w:val="00A835F9"/>
    <w:rsid w:val="00A85EEC"/>
    <w:rsid w:val="00A865F3"/>
    <w:rsid w:val="00A87006"/>
    <w:rsid w:val="00A872E0"/>
    <w:rsid w:val="00A8741C"/>
    <w:rsid w:val="00A87AA9"/>
    <w:rsid w:val="00A918F5"/>
    <w:rsid w:val="00A932F3"/>
    <w:rsid w:val="00A96124"/>
    <w:rsid w:val="00AA3620"/>
    <w:rsid w:val="00AA39C6"/>
    <w:rsid w:val="00AA64ED"/>
    <w:rsid w:val="00AA73E7"/>
    <w:rsid w:val="00AB206F"/>
    <w:rsid w:val="00AB2190"/>
    <w:rsid w:val="00AC35A3"/>
    <w:rsid w:val="00AC4B9C"/>
    <w:rsid w:val="00AC6D4C"/>
    <w:rsid w:val="00AC7836"/>
    <w:rsid w:val="00AD0E6A"/>
    <w:rsid w:val="00AD1CE7"/>
    <w:rsid w:val="00AD3047"/>
    <w:rsid w:val="00AD58FA"/>
    <w:rsid w:val="00AD5D56"/>
    <w:rsid w:val="00AD6401"/>
    <w:rsid w:val="00AD7C12"/>
    <w:rsid w:val="00AE0A1E"/>
    <w:rsid w:val="00AE14EA"/>
    <w:rsid w:val="00AF0D50"/>
    <w:rsid w:val="00AF3CE3"/>
    <w:rsid w:val="00B02FD6"/>
    <w:rsid w:val="00B04D45"/>
    <w:rsid w:val="00B05A8B"/>
    <w:rsid w:val="00B05C7F"/>
    <w:rsid w:val="00B123E3"/>
    <w:rsid w:val="00B12D7F"/>
    <w:rsid w:val="00B15B55"/>
    <w:rsid w:val="00B1617A"/>
    <w:rsid w:val="00B174C5"/>
    <w:rsid w:val="00B17F1F"/>
    <w:rsid w:val="00B2209A"/>
    <w:rsid w:val="00B23A0C"/>
    <w:rsid w:val="00B23E1E"/>
    <w:rsid w:val="00B24266"/>
    <w:rsid w:val="00B245E8"/>
    <w:rsid w:val="00B26201"/>
    <w:rsid w:val="00B27D9C"/>
    <w:rsid w:val="00B30F0A"/>
    <w:rsid w:val="00B33BBA"/>
    <w:rsid w:val="00B371D2"/>
    <w:rsid w:val="00B414BE"/>
    <w:rsid w:val="00B416F9"/>
    <w:rsid w:val="00B45480"/>
    <w:rsid w:val="00B462A6"/>
    <w:rsid w:val="00B46428"/>
    <w:rsid w:val="00B520A4"/>
    <w:rsid w:val="00B52923"/>
    <w:rsid w:val="00B541A2"/>
    <w:rsid w:val="00B560AD"/>
    <w:rsid w:val="00B604EB"/>
    <w:rsid w:val="00B61E6C"/>
    <w:rsid w:val="00B62370"/>
    <w:rsid w:val="00B63F62"/>
    <w:rsid w:val="00B6668C"/>
    <w:rsid w:val="00B66D78"/>
    <w:rsid w:val="00B70057"/>
    <w:rsid w:val="00B700EB"/>
    <w:rsid w:val="00B70DB0"/>
    <w:rsid w:val="00B723D4"/>
    <w:rsid w:val="00B7369C"/>
    <w:rsid w:val="00B74B8E"/>
    <w:rsid w:val="00B77500"/>
    <w:rsid w:val="00B77A3C"/>
    <w:rsid w:val="00B818E6"/>
    <w:rsid w:val="00B86D22"/>
    <w:rsid w:val="00B870BD"/>
    <w:rsid w:val="00B87735"/>
    <w:rsid w:val="00B90280"/>
    <w:rsid w:val="00B90383"/>
    <w:rsid w:val="00B92611"/>
    <w:rsid w:val="00B92786"/>
    <w:rsid w:val="00B95802"/>
    <w:rsid w:val="00B959D2"/>
    <w:rsid w:val="00B9651B"/>
    <w:rsid w:val="00BA6367"/>
    <w:rsid w:val="00BB116C"/>
    <w:rsid w:val="00BB19D2"/>
    <w:rsid w:val="00BB24F7"/>
    <w:rsid w:val="00BB56EA"/>
    <w:rsid w:val="00BB5942"/>
    <w:rsid w:val="00BB6362"/>
    <w:rsid w:val="00BC0DA7"/>
    <w:rsid w:val="00BC46E5"/>
    <w:rsid w:val="00BD12EC"/>
    <w:rsid w:val="00BD44F6"/>
    <w:rsid w:val="00BD4A4F"/>
    <w:rsid w:val="00BD5000"/>
    <w:rsid w:val="00BE508E"/>
    <w:rsid w:val="00BE7C7C"/>
    <w:rsid w:val="00BF0942"/>
    <w:rsid w:val="00BF1253"/>
    <w:rsid w:val="00BF1F6E"/>
    <w:rsid w:val="00BF5620"/>
    <w:rsid w:val="00C039A7"/>
    <w:rsid w:val="00C05FDD"/>
    <w:rsid w:val="00C07110"/>
    <w:rsid w:val="00C0713F"/>
    <w:rsid w:val="00C11246"/>
    <w:rsid w:val="00C122BE"/>
    <w:rsid w:val="00C14064"/>
    <w:rsid w:val="00C1598E"/>
    <w:rsid w:val="00C16709"/>
    <w:rsid w:val="00C20AA5"/>
    <w:rsid w:val="00C219F8"/>
    <w:rsid w:val="00C30625"/>
    <w:rsid w:val="00C33053"/>
    <w:rsid w:val="00C33B02"/>
    <w:rsid w:val="00C354FD"/>
    <w:rsid w:val="00C35900"/>
    <w:rsid w:val="00C36998"/>
    <w:rsid w:val="00C43BC6"/>
    <w:rsid w:val="00C4402E"/>
    <w:rsid w:val="00C507A9"/>
    <w:rsid w:val="00C521A8"/>
    <w:rsid w:val="00C523C2"/>
    <w:rsid w:val="00C52A2A"/>
    <w:rsid w:val="00C5736B"/>
    <w:rsid w:val="00C61F72"/>
    <w:rsid w:val="00C630B2"/>
    <w:rsid w:val="00C6436F"/>
    <w:rsid w:val="00C65E62"/>
    <w:rsid w:val="00C70556"/>
    <w:rsid w:val="00C70646"/>
    <w:rsid w:val="00C742F4"/>
    <w:rsid w:val="00C75B8B"/>
    <w:rsid w:val="00C82572"/>
    <w:rsid w:val="00C8272A"/>
    <w:rsid w:val="00C83640"/>
    <w:rsid w:val="00C84D8E"/>
    <w:rsid w:val="00C86602"/>
    <w:rsid w:val="00C92E7C"/>
    <w:rsid w:val="00C93676"/>
    <w:rsid w:val="00C95118"/>
    <w:rsid w:val="00C952FC"/>
    <w:rsid w:val="00CA0B99"/>
    <w:rsid w:val="00CA133F"/>
    <w:rsid w:val="00CA33E3"/>
    <w:rsid w:val="00CA3BE9"/>
    <w:rsid w:val="00CA465F"/>
    <w:rsid w:val="00CA62A5"/>
    <w:rsid w:val="00CA6D2A"/>
    <w:rsid w:val="00CB2C3A"/>
    <w:rsid w:val="00CB393E"/>
    <w:rsid w:val="00CB4FF5"/>
    <w:rsid w:val="00CB51F4"/>
    <w:rsid w:val="00CB6678"/>
    <w:rsid w:val="00CB6B2B"/>
    <w:rsid w:val="00CC08C5"/>
    <w:rsid w:val="00CC10BA"/>
    <w:rsid w:val="00CC1313"/>
    <w:rsid w:val="00CC362D"/>
    <w:rsid w:val="00CC46CF"/>
    <w:rsid w:val="00CC4D89"/>
    <w:rsid w:val="00CC5391"/>
    <w:rsid w:val="00CC54DF"/>
    <w:rsid w:val="00CC6AD6"/>
    <w:rsid w:val="00CD699A"/>
    <w:rsid w:val="00CE37CA"/>
    <w:rsid w:val="00CE40D0"/>
    <w:rsid w:val="00CE5042"/>
    <w:rsid w:val="00CE5C0C"/>
    <w:rsid w:val="00CF0954"/>
    <w:rsid w:val="00CF7110"/>
    <w:rsid w:val="00D0164D"/>
    <w:rsid w:val="00D0343C"/>
    <w:rsid w:val="00D041A0"/>
    <w:rsid w:val="00D05297"/>
    <w:rsid w:val="00D0534A"/>
    <w:rsid w:val="00D05DCC"/>
    <w:rsid w:val="00D07468"/>
    <w:rsid w:val="00D11329"/>
    <w:rsid w:val="00D11E41"/>
    <w:rsid w:val="00D1326A"/>
    <w:rsid w:val="00D14C78"/>
    <w:rsid w:val="00D1509D"/>
    <w:rsid w:val="00D21770"/>
    <w:rsid w:val="00D23BE3"/>
    <w:rsid w:val="00D2623B"/>
    <w:rsid w:val="00D27328"/>
    <w:rsid w:val="00D3052E"/>
    <w:rsid w:val="00D31AF5"/>
    <w:rsid w:val="00D35AED"/>
    <w:rsid w:val="00D378EE"/>
    <w:rsid w:val="00D434F7"/>
    <w:rsid w:val="00D45E5A"/>
    <w:rsid w:val="00D4699C"/>
    <w:rsid w:val="00D47546"/>
    <w:rsid w:val="00D524EE"/>
    <w:rsid w:val="00D5458B"/>
    <w:rsid w:val="00D55212"/>
    <w:rsid w:val="00D56918"/>
    <w:rsid w:val="00D573AA"/>
    <w:rsid w:val="00D57478"/>
    <w:rsid w:val="00D57808"/>
    <w:rsid w:val="00D57EB6"/>
    <w:rsid w:val="00D60257"/>
    <w:rsid w:val="00D6175A"/>
    <w:rsid w:val="00D65D22"/>
    <w:rsid w:val="00D758C3"/>
    <w:rsid w:val="00D778EB"/>
    <w:rsid w:val="00D809A1"/>
    <w:rsid w:val="00D81BB2"/>
    <w:rsid w:val="00D85D15"/>
    <w:rsid w:val="00D9228D"/>
    <w:rsid w:val="00D9462F"/>
    <w:rsid w:val="00DA272A"/>
    <w:rsid w:val="00DA7BBB"/>
    <w:rsid w:val="00DB0019"/>
    <w:rsid w:val="00DB41C9"/>
    <w:rsid w:val="00DB76B2"/>
    <w:rsid w:val="00DC022B"/>
    <w:rsid w:val="00DC14F0"/>
    <w:rsid w:val="00DC45B1"/>
    <w:rsid w:val="00DC528E"/>
    <w:rsid w:val="00DC5C57"/>
    <w:rsid w:val="00DC7B6C"/>
    <w:rsid w:val="00DD05CC"/>
    <w:rsid w:val="00DD15B8"/>
    <w:rsid w:val="00DD1D62"/>
    <w:rsid w:val="00DD3139"/>
    <w:rsid w:val="00DD688B"/>
    <w:rsid w:val="00DD7565"/>
    <w:rsid w:val="00DE48E8"/>
    <w:rsid w:val="00DE6B04"/>
    <w:rsid w:val="00DF236C"/>
    <w:rsid w:val="00DF3714"/>
    <w:rsid w:val="00DF4D0C"/>
    <w:rsid w:val="00DF4F37"/>
    <w:rsid w:val="00DF568B"/>
    <w:rsid w:val="00E00980"/>
    <w:rsid w:val="00E026DA"/>
    <w:rsid w:val="00E10AB1"/>
    <w:rsid w:val="00E11515"/>
    <w:rsid w:val="00E123AD"/>
    <w:rsid w:val="00E138EC"/>
    <w:rsid w:val="00E14170"/>
    <w:rsid w:val="00E20377"/>
    <w:rsid w:val="00E216FC"/>
    <w:rsid w:val="00E26C3F"/>
    <w:rsid w:val="00E313A9"/>
    <w:rsid w:val="00E318B5"/>
    <w:rsid w:val="00E319ED"/>
    <w:rsid w:val="00E323BC"/>
    <w:rsid w:val="00E329BD"/>
    <w:rsid w:val="00E35991"/>
    <w:rsid w:val="00E36086"/>
    <w:rsid w:val="00E40444"/>
    <w:rsid w:val="00E513D0"/>
    <w:rsid w:val="00E51CAF"/>
    <w:rsid w:val="00E560FA"/>
    <w:rsid w:val="00E572DB"/>
    <w:rsid w:val="00E57A5C"/>
    <w:rsid w:val="00E600C0"/>
    <w:rsid w:val="00E67C3E"/>
    <w:rsid w:val="00E70941"/>
    <w:rsid w:val="00E7187B"/>
    <w:rsid w:val="00E74EF2"/>
    <w:rsid w:val="00E74EF4"/>
    <w:rsid w:val="00E80987"/>
    <w:rsid w:val="00E82443"/>
    <w:rsid w:val="00E844A1"/>
    <w:rsid w:val="00E87979"/>
    <w:rsid w:val="00E90A69"/>
    <w:rsid w:val="00E910C9"/>
    <w:rsid w:val="00E9135A"/>
    <w:rsid w:val="00E92B94"/>
    <w:rsid w:val="00E9373F"/>
    <w:rsid w:val="00E94889"/>
    <w:rsid w:val="00E94A60"/>
    <w:rsid w:val="00E95CAE"/>
    <w:rsid w:val="00E97C35"/>
    <w:rsid w:val="00E97EBC"/>
    <w:rsid w:val="00EB0D2B"/>
    <w:rsid w:val="00EB4ACA"/>
    <w:rsid w:val="00EB5AE8"/>
    <w:rsid w:val="00EC1A66"/>
    <w:rsid w:val="00EC1F6E"/>
    <w:rsid w:val="00EC54AC"/>
    <w:rsid w:val="00EC7FE1"/>
    <w:rsid w:val="00ED0A12"/>
    <w:rsid w:val="00ED249B"/>
    <w:rsid w:val="00ED27B9"/>
    <w:rsid w:val="00ED3248"/>
    <w:rsid w:val="00ED3576"/>
    <w:rsid w:val="00ED77A2"/>
    <w:rsid w:val="00EE06ED"/>
    <w:rsid w:val="00EE0D61"/>
    <w:rsid w:val="00EE1A64"/>
    <w:rsid w:val="00EE1EEE"/>
    <w:rsid w:val="00EE431C"/>
    <w:rsid w:val="00EE54D1"/>
    <w:rsid w:val="00EF00EF"/>
    <w:rsid w:val="00EF47EB"/>
    <w:rsid w:val="00EF6046"/>
    <w:rsid w:val="00F00005"/>
    <w:rsid w:val="00F01C15"/>
    <w:rsid w:val="00F02474"/>
    <w:rsid w:val="00F02A9B"/>
    <w:rsid w:val="00F031F7"/>
    <w:rsid w:val="00F05F9D"/>
    <w:rsid w:val="00F06648"/>
    <w:rsid w:val="00F06E3F"/>
    <w:rsid w:val="00F1050C"/>
    <w:rsid w:val="00F22DF1"/>
    <w:rsid w:val="00F24570"/>
    <w:rsid w:val="00F24BDF"/>
    <w:rsid w:val="00F26481"/>
    <w:rsid w:val="00F3154D"/>
    <w:rsid w:val="00F32F4A"/>
    <w:rsid w:val="00F34553"/>
    <w:rsid w:val="00F34880"/>
    <w:rsid w:val="00F35D24"/>
    <w:rsid w:val="00F36085"/>
    <w:rsid w:val="00F374AD"/>
    <w:rsid w:val="00F400E9"/>
    <w:rsid w:val="00F40103"/>
    <w:rsid w:val="00F441CF"/>
    <w:rsid w:val="00F56D0B"/>
    <w:rsid w:val="00F579C1"/>
    <w:rsid w:val="00F6144F"/>
    <w:rsid w:val="00F67A68"/>
    <w:rsid w:val="00F67E09"/>
    <w:rsid w:val="00F67F14"/>
    <w:rsid w:val="00F80A64"/>
    <w:rsid w:val="00F82146"/>
    <w:rsid w:val="00F8357F"/>
    <w:rsid w:val="00F83D0B"/>
    <w:rsid w:val="00F8528C"/>
    <w:rsid w:val="00F92A5D"/>
    <w:rsid w:val="00FA1B9A"/>
    <w:rsid w:val="00FA477F"/>
    <w:rsid w:val="00FA5C11"/>
    <w:rsid w:val="00FA6DB5"/>
    <w:rsid w:val="00FA7F1A"/>
    <w:rsid w:val="00FB0224"/>
    <w:rsid w:val="00FB2B31"/>
    <w:rsid w:val="00FB3AC4"/>
    <w:rsid w:val="00FB55A5"/>
    <w:rsid w:val="00FB7677"/>
    <w:rsid w:val="00FC44E6"/>
    <w:rsid w:val="00FC5554"/>
    <w:rsid w:val="00FD2B4F"/>
    <w:rsid w:val="00FD4167"/>
    <w:rsid w:val="00FD4E2E"/>
    <w:rsid w:val="00FD61AD"/>
    <w:rsid w:val="00FD629C"/>
    <w:rsid w:val="00FD6EA0"/>
    <w:rsid w:val="00FD7A63"/>
    <w:rsid w:val="00FE052F"/>
    <w:rsid w:val="00FE312F"/>
    <w:rsid w:val="00FE7B4A"/>
    <w:rsid w:val="00FF0D53"/>
    <w:rsid w:val="00FF1808"/>
    <w:rsid w:val="00FF2698"/>
    <w:rsid w:val="00FF29B7"/>
    <w:rsid w:val="00FF4070"/>
    <w:rsid w:val="00FF77A3"/>
    <w:rsid w:val="00FF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0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75B8B"/>
    <w:rPr>
      <w:rFonts w:ascii="Times New Roman" w:hAnsi="Times New Roman"/>
      <w:sz w:val="24"/>
      <w:szCs w:val="24"/>
    </w:rPr>
  </w:style>
  <w:style w:type="paragraph" w:styleId="1">
    <w:name w:val="heading 1"/>
    <w:basedOn w:val="a"/>
    <w:link w:val="1Char"/>
    <w:uiPriority w:val="9"/>
    <w:qFormat/>
    <w:rsid w:val="00CB51F4"/>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Char"/>
    <w:uiPriority w:val="9"/>
    <w:unhideWhenUsed/>
    <w:qFormat/>
    <w:rsid w:val="00E80987"/>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Char"/>
    <w:uiPriority w:val="9"/>
    <w:unhideWhenUsed/>
    <w:qFormat/>
    <w:rsid w:val="00E80987"/>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110"/>
  </w:style>
  <w:style w:type="character" w:customStyle="1" w:styleId="highlight">
    <w:name w:val="highlight"/>
    <w:basedOn w:val="a0"/>
    <w:rsid w:val="00CF7110"/>
  </w:style>
  <w:style w:type="paragraph" w:styleId="HTML">
    <w:name w:val="HTML Preformatted"/>
    <w:basedOn w:val="a"/>
    <w:link w:val="HTMLChar"/>
    <w:uiPriority w:val="99"/>
    <w:unhideWhenUsed/>
    <w:rsid w:val="0071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HTML 预设格式 Char"/>
    <w:link w:val="HTML"/>
    <w:uiPriority w:val="99"/>
    <w:rsid w:val="00710380"/>
    <w:rPr>
      <w:rFonts w:ascii="Courier New" w:eastAsia="Times New Roman" w:hAnsi="Courier New" w:cs="Courier New"/>
      <w:sz w:val="20"/>
      <w:szCs w:val="20"/>
    </w:rPr>
  </w:style>
  <w:style w:type="character" w:customStyle="1" w:styleId="1Char">
    <w:name w:val="标题 1 Char"/>
    <w:link w:val="1"/>
    <w:uiPriority w:val="9"/>
    <w:rsid w:val="00CB51F4"/>
    <w:rPr>
      <w:rFonts w:ascii="Times New Roman" w:eastAsia="Times New Roman" w:hAnsi="Times New Roman" w:cs="Times New Roman"/>
      <w:b/>
      <w:bCs/>
      <w:kern w:val="36"/>
      <w:sz w:val="48"/>
      <w:szCs w:val="48"/>
    </w:rPr>
  </w:style>
  <w:style w:type="character" w:customStyle="1" w:styleId="MediumGrid11">
    <w:name w:val="Medium Grid 11"/>
    <w:uiPriority w:val="99"/>
    <w:semiHidden/>
    <w:rsid w:val="002B43CF"/>
    <w:rPr>
      <w:color w:val="808080"/>
    </w:rPr>
  </w:style>
  <w:style w:type="paragraph" w:styleId="a3">
    <w:name w:val="Balloon Text"/>
    <w:basedOn w:val="a"/>
    <w:link w:val="Char"/>
    <w:uiPriority w:val="99"/>
    <w:semiHidden/>
    <w:unhideWhenUsed/>
    <w:rsid w:val="002B43CF"/>
    <w:rPr>
      <w:rFonts w:ascii="Tahoma" w:hAnsi="Tahoma"/>
      <w:sz w:val="16"/>
      <w:szCs w:val="16"/>
      <w:lang w:val="x-none" w:eastAsia="x-none"/>
    </w:rPr>
  </w:style>
  <w:style w:type="character" w:customStyle="1" w:styleId="Char">
    <w:name w:val="批注框文本 Char"/>
    <w:link w:val="a3"/>
    <w:uiPriority w:val="99"/>
    <w:semiHidden/>
    <w:rsid w:val="002B43CF"/>
    <w:rPr>
      <w:rFonts w:ascii="Tahoma" w:hAnsi="Tahoma" w:cs="Tahoma"/>
      <w:sz w:val="16"/>
      <w:szCs w:val="16"/>
    </w:rPr>
  </w:style>
  <w:style w:type="character" w:styleId="a4">
    <w:name w:val="annotation reference"/>
    <w:uiPriority w:val="99"/>
    <w:semiHidden/>
    <w:unhideWhenUsed/>
    <w:rsid w:val="00103362"/>
    <w:rPr>
      <w:sz w:val="16"/>
      <w:szCs w:val="16"/>
    </w:rPr>
  </w:style>
  <w:style w:type="paragraph" w:styleId="a5">
    <w:name w:val="annotation text"/>
    <w:basedOn w:val="a"/>
    <w:link w:val="Char0"/>
    <w:uiPriority w:val="99"/>
    <w:unhideWhenUsed/>
    <w:rsid w:val="00103362"/>
    <w:rPr>
      <w:sz w:val="20"/>
      <w:szCs w:val="20"/>
      <w:lang w:val="x-none" w:eastAsia="x-none"/>
    </w:rPr>
  </w:style>
  <w:style w:type="character" w:customStyle="1" w:styleId="Char0">
    <w:name w:val="批注文字 Char"/>
    <w:link w:val="a5"/>
    <w:uiPriority w:val="99"/>
    <w:rsid w:val="00103362"/>
    <w:rPr>
      <w:sz w:val="20"/>
      <w:szCs w:val="20"/>
    </w:rPr>
  </w:style>
  <w:style w:type="paragraph" w:styleId="a6">
    <w:name w:val="annotation subject"/>
    <w:basedOn w:val="a5"/>
    <w:next w:val="a5"/>
    <w:link w:val="Char1"/>
    <w:uiPriority w:val="99"/>
    <w:semiHidden/>
    <w:unhideWhenUsed/>
    <w:rsid w:val="00103362"/>
    <w:rPr>
      <w:b/>
      <w:bCs/>
    </w:rPr>
  </w:style>
  <w:style w:type="character" w:customStyle="1" w:styleId="Char1">
    <w:name w:val="批注主题 Char"/>
    <w:link w:val="a6"/>
    <w:uiPriority w:val="99"/>
    <w:semiHidden/>
    <w:rsid w:val="00103362"/>
    <w:rPr>
      <w:b/>
      <w:bCs/>
      <w:sz w:val="20"/>
      <w:szCs w:val="20"/>
    </w:rPr>
  </w:style>
  <w:style w:type="paragraph" w:customStyle="1" w:styleId="EndNoteBibliographyTitle">
    <w:name w:val="EndNote Bibliography Title"/>
    <w:basedOn w:val="a"/>
    <w:link w:val="EndNoteBibliographyTitleChar"/>
    <w:rsid w:val="00CA0B99"/>
    <w:pPr>
      <w:jc w:val="center"/>
    </w:pPr>
    <w:rPr>
      <w:rFonts w:cs="Calibri"/>
      <w:noProof/>
    </w:rPr>
  </w:style>
  <w:style w:type="character" w:customStyle="1" w:styleId="EndNoteBibliographyTitleChar">
    <w:name w:val="EndNote Bibliography Title Char"/>
    <w:link w:val="EndNoteBibliographyTitle"/>
    <w:rsid w:val="00CA0B99"/>
    <w:rPr>
      <w:rFonts w:cs="Calibri"/>
      <w:noProof/>
      <w:sz w:val="22"/>
      <w:szCs w:val="22"/>
      <w:lang w:val="el-GR" w:eastAsia="el-GR"/>
    </w:rPr>
  </w:style>
  <w:style w:type="paragraph" w:customStyle="1" w:styleId="EndNoteBibliography">
    <w:name w:val="EndNote Bibliography"/>
    <w:basedOn w:val="a"/>
    <w:link w:val="EndNoteBibliographyChar"/>
    <w:rsid w:val="00CA0B99"/>
    <w:rPr>
      <w:rFonts w:cs="Calibri"/>
      <w:noProof/>
    </w:rPr>
  </w:style>
  <w:style w:type="character" w:customStyle="1" w:styleId="EndNoteBibliographyChar">
    <w:name w:val="EndNote Bibliography Char"/>
    <w:link w:val="EndNoteBibliography"/>
    <w:rsid w:val="00CA0B99"/>
    <w:rPr>
      <w:rFonts w:cs="Calibri"/>
      <w:noProof/>
      <w:sz w:val="22"/>
      <w:szCs w:val="22"/>
      <w:lang w:val="el-GR" w:eastAsia="el-GR"/>
    </w:rPr>
  </w:style>
  <w:style w:type="character" w:styleId="a7">
    <w:name w:val="Hyperlink"/>
    <w:uiPriority w:val="99"/>
    <w:unhideWhenUsed/>
    <w:rsid w:val="001758DC"/>
    <w:rPr>
      <w:color w:val="0000FF"/>
      <w:u w:val="single"/>
    </w:rPr>
  </w:style>
  <w:style w:type="table" w:styleId="a8">
    <w:name w:val="Table Grid"/>
    <w:basedOn w:val="a1"/>
    <w:uiPriority w:val="39"/>
    <w:rsid w:val="0039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强调文字颜色 21"/>
    <w:basedOn w:val="a"/>
    <w:uiPriority w:val="34"/>
    <w:qFormat/>
    <w:rsid w:val="00820316"/>
    <w:pPr>
      <w:ind w:left="720"/>
      <w:contextualSpacing/>
    </w:pPr>
  </w:style>
  <w:style w:type="paragraph" w:customStyle="1" w:styleId="10">
    <w:name w:val="Παράγραφος λίστας1"/>
    <w:basedOn w:val="a"/>
    <w:rsid w:val="006C0A92"/>
    <w:pPr>
      <w:ind w:left="720"/>
      <w:contextualSpacing/>
    </w:pPr>
    <w:rPr>
      <w:rFonts w:eastAsia="Calibri"/>
    </w:rPr>
  </w:style>
  <w:style w:type="character" w:customStyle="1" w:styleId="Mention1">
    <w:name w:val="Mention1"/>
    <w:uiPriority w:val="99"/>
    <w:semiHidden/>
    <w:unhideWhenUsed/>
    <w:rsid w:val="00951275"/>
    <w:rPr>
      <w:color w:val="2B579A"/>
      <w:shd w:val="clear" w:color="auto" w:fill="E6E6E6"/>
    </w:rPr>
  </w:style>
  <w:style w:type="character" w:customStyle="1" w:styleId="UnresolvedMention1">
    <w:name w:val="Unresolved Mention1"/>
    <w:uiPriority w:val="99"/>
    <w:semiHidden/>
    <w:unhideWhenUsed/>
    <w:rsid w:val="005276C3"/>
    <w:rPr>
      <w:color w:val="808080"/>
      <w:shd w:val="clear" w:color="auto" w:fill="E6E6E6"/>
    </w:rPr>
  </w:style>
  <w:style w:type="paragraph" w:styleId="a9">
    <w:name w:val="Normal (Web)"/>
    <w:basedOn w:val="a"/>
    <w:uiPriority w:val="99"/>
    <w:semiHidden/>
    <w:unhideWhenUsed/>
    <w:rsid w:val="00E319ED"/>
    <w:pPr>
      <w:spacing w:before="100" w:beforeAutospacing="1" w:after="100" w:afterAutospacing="1"/>
    </w:pPr>
  </w:style>
  <w:style w:type="character" w:customStyle="1" w:styleId="UnresolvedMention2">
    <w:name w:val="Unresolved Mention2"/>
    <w:uiPriority w:val="99"/>
    <w:semiHidden/>
    <w:unhideWhenUsed/>
    <w:rsid w:val="006A5CE8"/>
    <w:rPr>
      <w:color w:val="808080"/>
      <w:shd w:val="clear" w:color="auto" w:fill="E6E6E6"/>
    </w:rPr>
  </w:style>
  <w:style w:type="paragraph" w:styleId="aa">
    <w:name w:val="header"/>
    <w:basedOn w:val="a"/>
    <w:link w:val="Char2"/>
    <w:uiPriority w:val="99"/>
    <w:unhideWhenUsed/>
    <w:rsid w:val="00522973"/>
    <w:pPr>
      <w:tabs>
        <w:tab w:val="center" w:pos="4153"/>
        <w:tab w:val="right" w:pos="8306"/>
      </w:tabs>
    </w:pPr>
    <w:rPr>
      <w:lang w:val="x-none" w:eastAsia="x-none"/>
    </w:rPr>
  </w:style>
  <w:style w:type="character" w:customStyle="1" w:styleId="Char2">
    <w:name w:val="页眉 Char"/>
    <w:link w:val="aa"/>
    <w:uiPriority w:val="99"/>
    <w:rsid w:val="00522973"/>
    <w:rPr>
      <w:sz w:val="22"/>
      <w:szCs w:val="22"/>
    </w:rPr>
  </w:style>
  <w:style w:type="paragraph" w:styleId="ab">
    <w:name w:val="footer"/>
    <w:basedOn w:val="a"/>
    <w:link w:val="Char3"/>
    <w:uiPriority w:val="99"/>
    <w:unhideWhenUsed/>
    <w:rsid w:val="00522973"/>
    <w:pPr>
      <w:tabs>
        <w:tab w:val="center" w:pos="4153"/>
        <w:tab w:val="right" w:pos="8306"/>
      </w:tabs>
    </w:pPr>
    <w:rPr>
      <w:lang w:val="x-none" w:eastAsia="x-none"/>
    </w:rPr>
  </w:style>
  <w:style w:type="character" w:customStyle="1" w:styleId="Char3">
    <w:name w:val="页脚 Char"/>
    <w:link w:val="ab"/>
    <w:uiPriority w:val="99"/>
    <w:rsid w:val="00522973"/>
    <w:rPr>
      <w:sz w:val="22"/>
      <w:szCs w:val="22"/>
    </w:rPr>
  </w:style>
  <w:style w:type="paragraph" w:customStyle="1" w:styleId="-11">
    <w:name w:val="彩色底纹 - 强调文字颜色 11"/>
    <w:hidden/>
    <w:uiPriority w:val="99"/>
    <w:semiHidden/>
    <w:rsid w:val="009257D3"/>
    <w:rPr>
      <w:sz w:val="22"/>
      <w:szCs w:val="22"/>
      <w:lang w:val="el-GR" w:eastAsia="el-GR"/>
    </w:rPr>
  </w:style>
  <w:style w:type="paragraph" w:customStyle="1" w:styleId="11">
    <w:name w:val="正文1"/>
    <w:uiPriority w:val="99"/>
    <w:rsid w:val="004F6D51"/>
    <w:pPr>
      <w:spacing w:line="276" w:lineRule="auto"/>
    </w:pPr>
    <w:rPr>
      <w:rFonts w:ascii="Arial" w:eastAsia="宋体" w:hAnsi="Arial" w:cs="Arial"/>
      <w:color w:val="000000"/>
      <w:sz w:val="22"/>
      <w:lang w:val="pl-PL" w:eastAsia="pl-PL"/>
    </w:rPr>
  </w:style>
  <w:style w:type="paragraph" w:customStyle="1" w:styleId="p1">
    <w:name w:val="p1"/>
    <w:basedOn w:val="a"/>
    <w:rsid w:val="004F6D51"/>
    <w:rPr>
      <w:rFonts w:ascii="Helvetica" w:hAnsi="Helvetica"/>
      <w:sz w:val="18"/>
      <w:szCs w:val="18"/>
    </w:rPr>
  </w:style>
  <w:style w:type="character" w:customStyle="1" w:styleId="2Char">
    <w:name w:val="标题 2 Char"/>
    <w:link w:val="2"/>
    <w:uiPriority w:val="9"/>
    <w:rsid w:val="00E80987"/>
    <w:rPr>
      <w:rFonts w:ascii="Calibri Light" w:eastAsia="Times New Roman" w:hAnsi="Calibri Light" w:cs="Times New Roman"/>
      <w:b/>
      <w:bCs/>
      <w:i/>
      <w:iCs/>
      <w:sz w:val="28"/>
      <w:szCs w:val="28"/>
      <w:lang w:val="el-GR" w:eastAsia="el-GR"/>
    </w:rPr>
  </w:style>
  <w:style w:type="character" w:customStyle="1" w:styleId="3Char">
    <w:name w:val="标题 3 Char"/>
    <w:link w:val="3"/>
    <w:uiPriority w:val="9"/>
    <w:rsid w:val="00E80987"/>
    <w:rPr>
      <w:rFonts w:ascii="Calibri Light" w:eastAsia="Times New Roman" w:hAnsi="Calibri Light" w:cs="Times New Roman"/>
      <w:b/>
      <w:bCs/>
      <w:sz w:val="26"/>
      <w:szCs w:val="26"/>
      <w:lang w:val="el-GR" w:eastAsia="el-GR"/>
    </w:rPr>
  </w:style>
  <w:style w:type="character" w:customStyle="1" w:styleId="UnresolvedMention3">
    <w:name w:val="Unresolved Mention3"/>
    <w:uiPriority w:val="47"/>
    <w:rsid w:val="000A0792"/>
    <w:rPr>
      <w:color w:val="605E5C"/>
      <w:shd w:val="clear" w:color="auto" w:fill="E1DFDD"/>
    </w:rPr>
  </w:style>
  <w:style w:type="character" w:styleId="ac">
    <w:name w:val="page number"/>
    <w:basedOn w:val="a0"/>
    <w:uiPriority w:val="99"/>
    <w:semiHidden/>
    <w:unhideWhenUsed/>
    <w:rsid w:val="000E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75B8B"/>
    <w:rPr>
      <w:rFonts w:ascii="Times New Roman" w:hAnsi="Times New Roman"/>
      <w:sz w:val="24"/>
      <w:szCs w:val="24"/>
    </w:rPr>
  </w:style>
  <w:style w:type="paragraph" w:styleId="1">
    <w:name w:val="heading 1"/>
    <w:basedOn w:val="a"/>
    <w:link w:val="1Char"/>
    <w:uiPriority w:val="9"/>
    <w:qFormat/>
    <w:rsid w:val="00CB51F4"/>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Char"/>
    <w:uiPriority w:val="9"/>
    <w:unhideWhenUsed/>
    <w:qFormat/>
    <w:rsid w:val="00E80987"/>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Char"/>
    <w:uiPriority w:val="9"/>
    <w:unhideWhenUsed/>
    <w:qFormat/>
    <w:rsid w:val="00E80987"/>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7110"/>
  </w:style>
  <w:style w:type="character" w:customStyle="1" w:styleId="highlight">
    <w:name w:val="highlight"/>
    <w:basedOn w:val="a0"/>
    <w:rsid w:val="00CF7110"/>
  </w:style>
  <w:style w:type="paragraph" w:styleId="HTML">
    <w:name w:val="HTML Preformatted"/>
    <w:basedOn w:val="a"/>
    <w:link w:val="HTMLChar"/>
    <w:uiPriority w:val="99"/>
    <w:unhideWhenUsed/>
    <w:rsid w:val="0071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HTML 预设格式 Char"/>
    <w:link w:val="HTML"/>
    <w:uiPriority w:val="99"/>
    <w:rsid w:val="00710380"/>
    <w:rPr>
      <w:rFonts w:ascii="Courier New" w:eastAsia="Times New Roman" w:hAnsi="Courier New" w:cs="Courier New"/>
      <w:sz w:val="20"/>
      <w:szCs w:val="20"/>
    </w:rPr>
  </w:style>
  <w:style w:type="character" w:customStyle="1" w:styleId="1Char">
    <w:name w:val="标题 1 Char"/>
    <w:link w:val="1"/>
    <w:uiPriority w:val="9"/>
    <w:rsid w:val="00CB51F4"/>
    <w:rPr>
      <w:rFonts w:ascii="Times New Roman" w:eastAsia="Times New Roman" w:hAnsi="Times New Roman" w:cs="Times New Roman"/>
      <w:b/>
      <w:bCs/>
      <w:kern w:val="36"/>
      <w:sz w:val="48"/>
      <w:szCs w:val="48"/>
    </w:rPr>
  </w:style>
  <w:style w:type="character" w:customStyle="1" w:styleId="MediumGrid11">
    <w:name w:val="Medium Grid 11"/>
    <w:uiPriority w:val="99"/>
    <w:semiHidden/>
    <w:rsid w:val="002B43CF"/>
    <w:rPr>
      <w:color w:val="808080"/>
    </w:rPr>
  </w:style>
  <w:style w:type="paragraph" w:styleId="a3">
    <w:name w:val="Balloon Text"/>
    <w:basedOn w:val="a"/>
    <w:link w:val="Char"/>
    <w:uiPriority w:val="99"/>
    <w:semiHidden/>
    <w:unhideWhenUsed/>
    <w:rsid w:val="002B43CF"/>
    <w:rPr>
      <w:rFonts w:ascii="Tahoma" w:hAnsi="Tahoma"/>
      <w:sz w:val="16"/>
      <w:szCs w:val="16"/>
      <w:lang w:val="x-none" w:eastAsia="x-none"/>
    </w:rPr>
  </w:style>
  <w:style w:type="character" w:customStyle="1" w:styleId="Char">
    <w:name w:val="批注框文本 Char"/>
    <w:link w:val="a3"/>
    <w:uiPriority w:val="99"/>
    <w:semiHidden/>
    <w:rsid w:val="002B43CF"/>
    <w:rPr>
      <w:rFonts w:ascii="Tahoma" w:hAnsi="Tahoma" w:cs="Tahoma"/>
      <w:sz w:val="16"/>
      <w:szCs w:val="16"/>
    </w:rPr>
  </w:style>
  <w:style w:type="character" w:styleId="a4">
    <w:name w:val="annotation reference"/>
    <w:uiPriority w:val="99"/>
    <w:semiHidden/>
    <w:unhideWhenUsed/>
    <w:rsid w:val="00103362"/>
    <w:rPr>
      <w:sz w:val="16"/>
      <w:szCs w:val="16"/>
    </w:rPr>
  </w:style>
  <w:style w:type="paragraph" w:styleId="a5">
    <w:name w:val="annotation text"/>
    <w:basedOn w:val="a"/>
    <w:link w:val="Char0"/>
    <w:uiPriority w:val="99"/>
    <w:unhideWhenUsed/>
    <w:rsid w:val="00103362"/>
    <w:rPr>
      <w:sz w:val="20"/>
      <w:szCs w:val="20"/>
      <w:lang w:val="x-none" w:eastAsia="x-none"/>
    </w:rPr>
  </w:style>
  <w:style w:type="character" w:customStyle="1" w:styleId="Char0">
    <w:name w:val="批注文字 Char"/>
    <w:link w:val="a5"/>
    <w:uiPriority w:val="99"/>
    <w:rsid w:val="00103362"/>
    <w:rPr>
      <w:sz w:val="20"/>
      <w:szCs w:val="20"/>
    </w:rPr>
  </w:style>
  <w:style w:type="paragraph" w:styleId="a6">
    <w:name w:val="annotation subject"/>
    <w:basedOn w:val="a5"/>
    <w:next w:val="a5"/>
    <w:link w:val="Char1"/>
    <w:uiPriority w:val="99"/>
    <w:semiHidden/>
    <w:unhideWhenUsed/>
    <w:rsid w:val="00103362"/>
    <w:rPr>
      <w:b/>
      <w:bCs/>
    </w:rPr>
  </w:style>
  <w:style w:type="character" w:customStyle="1" w:styleId="Char1">
    <w:name w:val="批注主题 Char"/>
    <w:link w:val="a6"/>
    <w:uiPriority w:val="99"/>
    <w:semiHidden/>
    <w:rsid w:val="00103362"/>
    <w:rPr>
      <w:b/>
      <w:bCs/>
      <w:sz w:val="20"/>
      <w:szCs w:val="20"/>
    </w:rPr>
  </w:style>
  <w:style w:type="paragraph" w:customStyle="1" w:styleId="EndNoteBibliographyTitle">
    <w:name w:val="EndNote Bibliography Title"/>
    <w:basedOn w:val="a"/>
    <w:link w:val="EndNoteBibliographyTitleChar"/>
    <w:rsid w:val="00CA0B99"/>
    <w:pPr>
      <w:jc w:val="center"/>
    </w:pPr>
    <w:rPr>
      <w:rFonts w:cs="Calibri"/>
      <w:noProof/>
    </w:rPr>
  </w:style>
  <w:style w:type="character" w:customStyle="1" w:styleId="EndNoteBibliographyTitleChar">
    <w:name w:val="EndNote Bibliography Title Char"/>
    <w:link w:val="EndNoteBibliographyTitle"/>
    <w:rsid w:val="00CA0B99"/>
    <w:rPr>
      <w:rFonts w:cs="Calibri"/>
      <w:noProof/>
      <w:sz w:val="22"/>
      <w:szCs w:val="22"/>
      <w:lang w:val="el-GR" w:eastAsia="el-GR"/>
    </w:rPr>
  </w:style>
  <w:style w:type="paragraph" w:customStyle="1" w:styleId="EndNoteBibliography">
    <w:name w:val="EndNote Bibliography"/>
    <w:basedOn w:val="a"/>
    <w:link w:val="EndNoteBibliographyChar"/>
    <w:rsid w:val="00CA0B99"/>
    <w:rPr>
      <w:rFonts w:cs="Calibri"/>
      <w:noProof/>
    </w:rPr>
  </w:style>
  <w:style w:type="character" w:customStyle="1" w:styleId="EndNoteBibliographyChar">
    <w:name w:val="EndNote Bibliography Char"/>
    <w:link w:val="EndNoteBibliography"/>
    <w:rsid w:val="00CA0B99"/>
    <w:rPr>
      <w:rFonts w:cs="Calibri"/>
      <w:noProof/>
      <w:sz w:val="22"/>
      <w:szCs w:val="22"/>
      <w:lang w:val="el-GR" w:eastAsia="el-GR"/>
    </w:rPr>
  </w:style>
  <w:style w:type="character" w:styleId="a7">
    <w:name w:val="Hyperlink"/>
    <w:uiPriority w:val="99"/>
    <w:unhideWhenUsed/>
    <w:rsid w:val="001758DC"/>
    <w:rPr>
      <w:color w:val="0000FF"/>
      <w:u w:val="single"/>
    </w:rPr>
  </w:style>
  <w:style w:type="table" w:styleId="a8">
    <w:name w:val="Table Grid"/>
    <w:basedOn w:val="a1"/>
    <w:uiPriority w:val="39"/>
    <w:rsid w:val="0039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强调文字颜色 21"/>
    <w:basedOn w:val="a"/>
    <w:uiPriority w:val="34"/>
    <w:qFormat/>
    <w:rsid w:val="00820316"/>
    <w:pPr>
      <w:ind w:left="720"/>
      <w:contextualSpacing/>
    </w:pPr>
  </w:style>
  <w:style w:type="paragraph" w:customStyle="1" w:styleId="10">
    <w:name w:val="Παράγραφος λίστας1"/>
    <w:basedOn w:val="a"/>
    <w:rsid w:val="006C0A92"/>
    <w:pPr>
      <w:ind w:left="720"/>
      <w:contextualSpacing/>
    </w:pPr>
    <w:rPr>
      <w:rFonts w:eastAsia="Calibri"/>
    </w:rPr>
  </w:style>
  <w:style w:type="character" w:customStyle="1" w:styleId="Mention1">
    <w:name w:val="Mention1"/>
    <w:uiPriority w:val="99"/>
    <w:semiHidden/>
    <w:unhideWhenUsed/>
    <w:rsid w:val="00951275"/>
    <w:rPr>
      <w:color w:val="2B579A"/>
      <w:shd w:val="clear" w:color="auto" w:fill="E6E6E6"/>
    </w:rPr>
  </w:style>
  <w:style w:type="character" w:customStyle="1" w:styleId="UnresolvedMention1">
    <w:name w:val="Unresolved Mention1"/>
    <w:uiPriority w:val="99"/>
    <w:semiHidden/>
    <w:unhideWhenUsed/>
    <w:rsid w:val="005276C3"/>
    <w:rPr>
      <w:color w:val="808080"/>
      <w:shd w:val="clear" w:color="auto" w:fill="E6E6E6"/>
    </w:rPr>
  </w:style>
  <w:style w:type="paragraph" w:styleId="a9">
    <w:name w:val="Normal (Web)"/>
    <w:basedOn w:val="a"/>
    <w:uiPriority w:val="99"/>
    <w:semiHidden/>
    <w:unhideWhenUsed/>
    <w:rsid w:val="00E319ED"/>
    <w:pPr>
      <w:spacing w:before="100" w:beforeAutospacing="1" w:after="100" w:afterAutospacing="1"/>
    </w:pPr>
  </w:style>
  <w:style w:type="character" w:customStyle="1" w:styleId="UnresolvedMention2">
    <w:name w:val="Unresolved Mention2"/>
    <w:uiPriority w:val="99"/>
    <w:semiHidden/>
    <w:unhideWhenUsed/>
    <w:rsid w:val="006A5CE8"/>
    <w:rPr>
      <w:color w:val="808080"/>
      <w:shd w:val="clear" w:color="auto" w:fill="E6E6E6"/>
    </w:rPr>
  </w:style>
  <w:style w:type="paragraph" w:styleId="aa">
    <w:name w:val="header"/>
    <w:basedOn w:val="a"/>
    <w:link w:val="Char2"/>
    <w:uiPriority w:val="99"/>
    <w:unhideWhenUsed/>
    <w:rsid w:val="00522973"/>
    <w:pPr>
      <w:tabs>
        <w:tab w:val="center" w:pos="4153"/>
        <w:tab w:val="right" w:pos="8306"/>
      </w:tabs>
    </w:pPr>
    <w:rPr>
      <w:lang w:val="x-none" w:eastAsia="x-none"/>
    </w:rPr>
  </w:style>
  <w:style w:type="character" w:customStyle="1" w:styleId="Char2">
    <w:name w:val="页眉 Char"/>
    <w:link w:val="aa"/>
    <w:uiPriority w:val="99"/>
    <w:rsid w:val="00522973"/>
    <w:rPr>
      <w:sz w:val="22"/>
      <w:szCs w:val="22"/>
    </w:rPr>
  </w:style>
  <w:style w:type="paragraph" w:styleId="ab">
    <w:name w:val="footer"/>
    <w:basedOn w:val="a"/>
    <w:link w:val="Char3"/>
    <w:uiPriority w:val="99"/>
    <w:unhideWhenUsed/>
    <w:rsid w:val="00522973"/>
    <w:pPr>
      <w:tabs>
        <w:tab w:val="center" w:pos="4153"/>
        <w:tab w:val="right" w:pos="8306"/>
      </w:tabs>
    </w:pPr>
    <w:rPr>
      <w:lang w:val="x-none" w:eastAsia="x-none"/>
    </w:rPr>
  </w:style>
  <w:style w:type="character" w:customStyle="1" w:styleId="Char3">
    <w:name w:val="页脚 Char"/>
    <w:link w:val="ab"/>
    <w:uiPriority w:val="99"/>
    <w:rsid w:val="00522973"/>
    <w:rPr>
      <w:sz w:val="22"/>
      <w:szCs w:val="22"/>
    </w:rPr>
  </w:style>
  <w:style w:type="paragraph" w:customStyle="1" w:styleId="-11">
    <w:name w:val="彩色底纹 - 强调文字颜色 11"/>
    <w:hidden/>
    <w:uiPriority w:val="99"/>
    <w:semiHidden/>
    <w:rsid w:val="009257D3"/>
    <w:rPr>
      <w:sz w:val="22"/>
      <w:szCs w:val="22"/>
      <w:lang w:val="el-GR" w:eastAsia="el-GR"/>
    </w:rPr>
  </w:style>
  <w:style w:type="paragraph" w:customStyle="1" w:styleId="11">
    <w:name w:val="正文1"/>
    <w:uiPriority w:val="99"/>
    <w:rsid w:val="004F6D51"/>
    <w:pPr>
      <w:spacing w:line="276" w:lineRule="auto"/>
    </w:pPr>
    <w:rPr>
      <w:rFonts w:ascii="Arial" w:eastAsia="宋体" w:hAnsi="Arial" w:cs="Arial"/>
      <w:color w:val="000000"/>
      <w:sz w:val="22"/>
      <w:lang w:val="pl-PL" w:eastAsia="pl-PL"/>
    </w:rPr>
  </w:style>
  <w:style w:type="paragraph" w:customStyle="1" w:styleId="p1">
    <w:name w:val="p1"/>
    <w:basedOn w:val="a"/>
    <w:rsid w:val="004F6D51"/>
    <w:rPr>
      <w:rFonts w:ascii="Helvetica" w:hAnsi="Helvetica"/>
      <w:sz w:val="18"/>
      <w:szCs w:val="18"/>
    </w:rPr>
  </w:style>
  <w:style w:type="character" w:customStyle="1" w:styleId="2Char">
    <w:name w:val="标题 2 Char"/>
    <w:link w:val="2"/>
    <w:uiPriority w:val="9"/>
    <w:rsid w:val="00E80987"/>
    <w:rPr>
      <w:rFonts w:ascii="Calibri Light" w:eastAsia="Times New Roman" w:hAnsi="Calibri Light" w:cs="Times New Roman"/>
      <w:b/>
      <w:bCs/>
      <w:i/>
      <w:iCs/>
      <w:sz w:val="28"/>
      <w:szCs w:val="28"/>
      <w:lang w:val="el-GR" w:eastAsia="el-GR"/>
    </w:rPr>
  </w:style>
  <w:style w:type="character" w:customStyle="1" w:styleId="3Char">
    <w:name w:val="标题 3 Char"/>
    <w:link w:val="3"/>
    <w:uiPriority w:val="9"/>
    <w:rsid w:val="00E80987"/>
    <w:rPr>
      <w:rFonts w:ascii="Calibri Light" w:eastAsia="Times New Roman" w:hAnsi="Calibri Light" w:cs="Times New Roman"/>
      <w:b/>
      <w:bCs/>
      <w:sz w:val="26"/>
      <w:szCs w:val="26"/>
      <w:lang w:val="el-GR" w:eastAsia="el-GR"/>
    </w:rPr>
  </w:style>
  <w:style w:type="character" w:customStyle="1" w:styleId="UnresolvedMention3">
    <w:name w:val="Unresolved Mention3"/>
    <w:uiPriority w:val="47"/>
    <w:rsid w:val="000A0792"/>
    <w:rPr>
      <w:color w:val="605E5C"/>
      <w:shd w:val="clear" w:color="auto" w:fill="E1DFDD"/>
    </w:rPr>
  </w:style>
  <w:style w:type="character" w:styleId="ac">
    <w:name w:val="page number"/>
    <w:basedOn w:val="a0"/>
    <w:uiPriority w:val="99"/>
    <w:semiHidden/>
    <w:unhideWhenUsed/>
    <w:rsid w:val="000E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0903">
      <w:bodyDiv w:val="1"/>
      <w:marLeft w:val="0"/>
      <w:marRight w:val="0"/>
      <w:marTop w:val="0"/>
      <w:marBottom w:val="0"/>
      <w:divBdr>
        <w:top w:val="none" w:sz="0" w:space="0" w:color="auto"/>
        <w:left w:val="none" w:sz="0" w:space="0" w:color="auto"/>
        <w:bottom w:val="none" w:sz="0" w:space="0" w:color="auto"/>
        <w:right w:val="none" w:sz="0" w:space="0" w:color="auto"/>
      </w:divBdr>
    </w:div>
    <w:div w:id="158271729">
      <w:bodyDiv w:val="1"/>
      <w:marLeft w:val="0"/>
      <w:marRight w:val="0"/>
      <w:marTop w:val="0"/>
      <w:marBottom w:val="0"/>
      <w:divBdr>
        <w:top w:val="none" w:sz="0" w:space="0" w:color="auto"/>
        <w:left w:val="none" w:sz="0" w:space="0" w:color="auto"/>
        <w:bottom w:val="none" w:sz="0" w:space="0" w:color="auto"/>
        <w:right w:val="none" w:sz="0" w:space="0" w:color="auto"/>
      </w:divBdr>
      <w:divsChild>
        <w:div w:id="31350727">
          <w:marLeft w:val="806"/>
          <w:marRight w:val="0"/>
          <w:marTop w:val="110"/>
          <w:marBottom w:val="0"/>
          <w:divBdr>
            <w:top w:val="none" w:sz="0" w:space="0" w:color="auto"/>
            <w:left w:val="none" w:sz="0" w:space="0" w:color="auto"/>
            <w:bottom w:val="none" w:sz="0" w:space="0" w:color="auto"/>
            <w:right w:val="none" w:sz="0" w:space="0" w:color="auto"/>
          </w:divBdr>
        </w:div>
      </w:divsChild>
    </w:div>
    <w:div w:id="188875384">
      <w:bodyDiv w:val="1"/>
      <w:marLeft w:val="0"/>
      <w:marRight w:val="0"/>
      <w:marTop w:val="0"/>
      <w:marBottom w:val="0"/>
      <w:divBdr>
        <w:top w:val="none" w:sz="0" w:space="0" w:color="auto"/>
        <w:left w:val="none" w:sz="0" w:space="0" w:color="auto"/>
        <w:bottom w:val="none" w:sz="0" w:space="0" w:color="auto"/>
        <w:right w:val="none" w:sz="0" w:space="0" w:color="auto"/>
      </w:divBdr>
    </w:div>
    <w:div w:id="348141410">
      <w:bodyDiv w:val="1"/>
      <w:marLeft w:val="0"/>
      <w:marRight w:val="0"/>
      <w:marTop w:val="0"/>
      <w:marBottom w:val="0"/>
      <w:divBdr>
        <w:top w:val="none" w:sz="0" w:space="0" w:color="auto"/>
        <w:left w:val="none" w:sz="0" w:space="0" w:color="auto"/>
        <w:bottom w:val="none" w:sz="0" w:space="0" w:color="auto"/>
        <w:right w:val="none" w:sz="0" w:space="0" w:color="auto"/>
      </w:divBdr>
    </w:div>
    <w:div w:id="356195095">
      <w:bodyDiv w:val="1"/>
      <w:marLeft w:val="0"/>
      <w:marRight w:val="0"/>
      <w:marTop w:val="0"/>
      <w:marBottom w:val="0"/>
      <w:divBdr>
        <w:top w:val="none" w:sz="0" w:space="0" w:color="auto"/>
        <w:left w:val="none" w:sz="0" w:space="0" w:color="auto"/>
        <w:bottom w:val="none" w:sz="0" w:space="0" w:color="auto"/>
        <w:right w:val="none" w:sz="0" w:space="0" w:color="auto"/>
      </w:divBdr>
    </w:div>
    <w:div w:id="360593601">
      <w:bodyDiv w:val="1"/>
      <w:marLeft w:val="0"/>
      <w:marRight w:val="0"/>
      <w:marTop w:val="0"/>
      <w:marBottom w:val="0"/>
      <w:divBdr>
        <w:top w:val="none" w:sz="0" w:space="0" w:color="auto"/>
        <w:left w:val="none" w:sz="0" w:space="0" w:color="auto"/>
        <w:bottom w:val="none" w:sz="0" w:space="0" w:color="auto"/>
        <w:right w:val="none" w:sz="0" w:space="0" w:color="auto"/>
      </w:divBdr>
    </w:div>
    <w:div w:id="363139005">
      <w:bodyDiv w:val="1"/>
      <w:marLeft w:val="0"/>
      <w:marRight w:val="0"/>
      <w:marTop w:val="0"/>
      <w:marBottom w:val="0"/>
      <w:divBdr>
        <w:top w:val="none" w:sz="0" w:space="0" w:color="auto"/>
        <w:left w:val="none" w:sz="0" w:space="0" w:color="auto"/>
        <w:bottom w:val="none" w:sz="0" w:space="0" w:color="auto"/>
        <w:right w:val="none" w:sz="0" w:space="0" w:color="auto"/>
      </w:divBdr>
    </w:div>
    <w:div w:id="427039688">
      <w:bodyDiv w:val="1"/>
      <w:marLeft w:val="0"/>
      <w:marRight w:val="0"/>
      <w:marTop w:val="0"/>
      <w:marBottom w:val="0"/>
      <w:divBdr>
        <w:top w:val="none" w:sz="0" w:space="0" w:color="auto"/>
        <w:left w:val="none" w:sz="0" w:space="0" w:color="auto"/>
        <w:bottom w:val="none" w:sz="0" w:space="0" w:color="auto"/>
        <w:right w:val="none" w:sz="0" w:space="0" w:color="auto"/>
      </w:divBdr>
    </w:div>
    <w:div w:id="433013058">
      <w:bodyDiv w:val="1"/>
      <w:marLeft w:val="0"/>
      <w:marRight w:val="0"/>
      <w:marTop w:val="0"/>
      <w:marBottom w:val="0"/>
      <w:divBdr>
        <w:top w:val="none" w:sz="0" w:space="0" w:color="auto"/>
        <w:left w:val="none" w:sz="0" w:space="0" w:color="auto"/>
        <w:bottom w:val="none" w:sz="0" w:space="0" w:color="auto"/>
        <w:right w:val="none" w:sz="0" w:space="0" w:color="auto"/>
      </w:divBdr>
    </w:div>
    <w:div w:id="850217644">
      <w:bodyDiv w:val="1"/>
      <w:marLeft w:val="0"/>
      <w:marRight w:val="0"/>
      <w:marTop w:val="0"/>
      <w:marBottom w:val="0"/>
      <w:divBdr>
        <w:top w:val="none" w:sz="0" w:space="0" w:color="auto"/>
        <w:left w:val="none" w:sz="0" w:space="0" w:color="auto"/>
        <w:bottom w:val="none" w:sz="0" w:space="0" w:color="auto"/>
        <w:right w:val="none" w:sz="0" w:space="0" w:color="auto"/>
      </w:divBdr>
      <w:divsChild>
        <w:div w:id="1080983282">
          <w:marLeft w:val="0"/>
          <w:marRight w:val="0"/>
          <w:marTop w:val="0"/>
          <w:marBottom w:val="0"/>
          <w:divBdr>
            <w:top w:val="none" w:sz="0" w:space="0" w:color="auto"/>
            <w:left w:val="none" w:sz="0" w:space="0" w:color="auto"/>
            <w:bottom w:val="none" w:sz="0" w:space="0" w:color="auto"/>
            <w:right w:val="none" w:sz="0" w:space="0" w:color="auto"/>
          </w:divBdr>
        </w:div>
        <w:div w:id="1675456475">
          <w:marLeft w:val="0"/>
          <w:marRight w:val="0"/>
          <w:marTop w:val="0"/>
          <w:marBottom w:val="0"/>
          <w:divBdr>
            <w:top w:val="none" w:sz="0" w:space="0" w:color="auto"/>
            <w:left w:val="none" w:sz="0" w:space="0" w:color="auto"/>
            <w:bottom w:val="none" w:sz="0" w:space="0" w:color="auto"/>
            <w:right w:val="none" w:sz="0" w:space="0" w:color="auto"/>
          </w:divBdr>
        </w:div>
      </w:divsChild>
    </w:div>
    <w:div w:id="913784815">
      <w:bodyDiv w:val="1"/>
      <w:marLeft w:val="0"/>
      <w:marRight w:val="0"/>
      <w:marTop w:val="0"/>
      <w:marBottom w:val="0"/>
      <w:divBdr>
        <w:top w:val="none" w:sz="0" w:space="0" w:color="auto"/>
        <w:left w:val="none" w:sz="0" w:space="0" w:color="auto"/>
        <w:bottom w:val="none" w:sz="0" w:space="0" w:color="auto"/>
        <w:right w:val="none" w:sz="0" w:space="0" w:color="auto"/>
      </w:divBdr>
      <w:divsChild>
        <w:div w:id="1038312425">
          <w:marLeft w:val="0"/>
          <w:marRight w:val="0"/>
          <w:marTop w:val="0"/>
          <w:marBottom w:val="0"/>
          <w:divBdr>
            <w:top w:val="none" w:sz="0" w:space="0" w:color="auto"/>
            <w:left w:val="none" w:sz="0" w:space="0" w:color="auto"/>
            <w:bottom w:val="none" w:sz="0" w:space="0" w:color="auto"/>
            <w:right w:val="none" w:sz="0" w:space="0" w:color="auto"/>
          </w:divBdr>
        </w:div>
        <w:div w:id="1524905864">
          <w:marLeft w:val="0"/>
          <w:marRight w:val="0"/>
          <w:marTop w:val="0"/>
          <w:marBottom w:val="0"/>
          <w:divBdr>
            <w:top w:val="none" w:sz="0" w:space="0" w:color="auto"/>
            <w:left w:val="none" w:sz="0" w:space="0" w:color="auto"/>
            <w:bottom w:val="none" w:sz="0" w:space="0" w:color="auto"/>
            <w:right w:val="none" w:sz="0" w:space="0" w:color="auto"/>
          </w:divBdr>
        </w:div>
        <w:div w:id="2053387175">
          <w:marLeft w:val="0"/>
          <w:marRight w:val="0"/>
          <w:marTop w:val="0"/>
          <w:marBottom w:val="0"/>
          <w:divBdr>
            <w:top w:val="none" w:sz="0" w:space="0" w:color="auto"/>
            <w:left w:val="none" w:sz="0" w:space="0" w:color="auto"/>
            <w:bottom w:val="none" w:sz="0" w:space="0" w:color="auto"/>
            <w:right w:val="none" w:sz="0" w:space="0" w:color="auto"/>
          </w:divBdr>
        </w:div>
        <w:div w:id="2061517103">
          <w:marLeft w:val="0"/>
          <w:marRight w:val="0"/>
          <w:marTop w:val="0"/>
          <w:marBottom w:val="0"/>
          <w:divBdr>
            <w:top w:val="none" w:sz="0" w:space="0" w:color="auto"/>
            <w:left w:val="none" w:sz="0" w:space="0" w:color="auto"/>
            <w:bottom w:val="none" w:sz="0" w:space="0" w:color="auto"/>
            <w:right w:val="none" w:sz="0" w:space="0" w:color="auto"/>
          </w:divBdr>
        </w:div>
      </w:divsChild>
    </w:div>
    <w:div w:id="979849419">
      <w:bodyDiv w:val="1"/>
      <w:marLeft w:val="0"/>
      <w:marRight w:val="0"/>
      <w:marTop w:val="0"/>
      <w:marBottom w:val="0"/>
      <w:divBdr>
        <w:top w:val="none" w:sz="0" w:space="0" w:color="auto"/>
        <w:left w:val="none" w:sz="0" w:space="0" w:color="auto"/>
        <w:bottom w:val="none" w:sz="0" w:space="0" w:color="auto"/>
        <w:right w:val="none" w:sz="0" w:space="0" w:color="auto"/>
      </w:divBdr>
    </w:div>
    <w:div w:id="1029068113">
      <w:bodyDiv w:val="1"/>
      <w:marLeft w:val="0"/>
      <w:marRight w:val="0"/>
      <w:marTop w:val="0"/>
      <w:marBottom w:val="0"/>
      <w:divBdr>
        <w:top w:val="none" w:sz="0" w:space="0" w:color="auto"/>
        <w:left w:val="none" w:sz="0" w:space="0" w:color="auto"/>
        <w:bottom w:val="none" w:sz="0" w:space="0" w:color="auto"/>
        <w:right w:val="none" w:sz="0" w:space="0" w:color="auto"/>
      </w:divBdr>
      <w:divsChild>
        <w:div w:id="198670121">
          <w:marLeft w:val="0"/>
          <w:marRight w:val="0"/>
          <w:marTop w:val="0"/>
          <w:marBottom w:val="0"/>
          <w:divBdr>
            <w:top w:val="none" w:sz="0" w:space="0" w:color="auto"/>
            <w:left w:val="none" w:sz="0" w:space="0" w:color="auto"/>
            <w:bottom w:val="none" w:sz="0" w:space="0" w:color="auto"/>
            <w:right w:val="none" w:sz="0" w:space="0" w:color="auto"/>
          </w:divBdr>
        </w:div>
        <w:div w:id="289753717">
          <w:marLeft w:val="0"/>
          <w:marRight w:val="0"/>
          <w:marTop w:val="0"/>
          <w:marBottom w:val="0"/>
          <w:divBdr>
            <w:top w:val="none" w:sz="0" w:space="0" w:color="auto"/>
            <w:left w:val="none" w:sz="0" w:space="0" w:color="auto"/>
            <w:bottom w:val="none" w:sz="0" w:space="0" w:color="auto"/>
            <w:right w:val="none" w:sz="0" w:space="0" w:color="auto"/>
          </w:divBdr>
        </w:div>
        <w:div w:id="364717991">
          <w:marLeft w:val="0"/>
          <w:marRight w:val="0"/>
          <w:marTop w:val="0"/>
          <w:marBottom w:val="0"/>
          <w:divBdr>
            <w:top w:val="none" w:sz="0" w:space="0" w:color="auto"/>
            <w:left w:val="none" w:sz="0" w:space="0" w:color="auto"/>
            <w:bottom w:val="none" w:sz="0" w:space="0" w:color="auto"/>
            <w:right w:val="none" w:sz="0" w:space="0" w:color="auto"/>
          </w:divBdr>
        </w:div>
        <w:div w:id="1351377744">
          <w:marLeft w:val="0"/>
          <w:marRight w:val="0"/>
          <w:marTop w:val="0"/>
          <w:marBottom w:val="0"/>
          <w:divBdr>
            <w:top w:val="none" w:sz="0" w:space="0" w:color="auto"/>
            <w:left w:val="none" w:sz="0" w:space="0" w:color="auto"/>
            <w:bottom w:val="none" w:sz="0" w:space="0" w:color="auto"/>
            <w:right w:val="none" w:sz="0" w:space="0" w:color="auto"/>
          </w:divBdr>
        </w:div>
        <w:div w:id="1983197855">
          <w:marLeft w:val="0"/>
          <w:marRight w:val="0"/>
          <w:marTop w:val="0"/>
          <w:marBottom w:val="0"/>
          <w:divBdr>
            <w:top w:val="none" w:sz="0" w:space="0" w:color="auto"/>
            <w:left w:val="none" w:sz="0" w:space="0" w:color="auto"/>
            <w:bottom w:val="none" w:sz="0" w:space="0" w:color="auto"/>
            <w:right w:val="none" w:sz="0" w:space="0" w:color="auto"/>
          </w:divBdr>
        </w:div>
      </w:divsChild>
    </w:div>
    <w:div w:id="1190099637">
      <w:bodyDiv w:val="1"/>
      <w:marLeft w:val="0"/>
      <w:marRight w:val="0"/>
      <w:marTop w:val="0"/>
      <w:marBottom w:val="0"/>
      <w:divBdr>
        <w:top w:val="none" w:sz="0" w:space="0" w:color="auto"/>
        <w:left w:val="none" w:sz="0" w:space="0" w:color="auto"/>
        <w:bottom w:val="none" w:sz="0" w:space="0" w:color="auto"/>
        <w:right w:val="none" w:sz="0" w:space="0" w:color="auto"/>
      </w:divBdr>
      <w:divsChild>
        <w:div w:id="722290484">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sChild>
    </w:div>
    <w:div w:id="1200816966">
      <w:bodyDiv w:val="1"/>
      <w:marLeft w:val="0"/>
      <w:marRight w:val="0"/>
      <w:marTop w:val="0"/>
      <w:marBottom w:val="0"/>
      <w:divBdr>
        <w:top w:val="none" w:sz="0" w:space="0" w:color="auto"/>
        <w:left w:val="none" w:sz="0" w:space="0" w:color="auto"/>
        <w:bottom w:val="none" w:sz="0" w:space="0" w:color="auto"/>
        <w:right w:val="none" w:sz="0" w:space="0" w:color="auto"/>
      </w:divBdr>
    </w:div>
    <w:div w:id="1308047844">
      <w:bodyDiv w:val="1"/>
      <w:marLeft w:val="0"/>
      <w:marRight w:val="0"/>
      <w:marTop w:val="0"/>
      <w:marBottom w:val="0"/>
      <w:divBdr>
        <w:top w:val="none" w:sz="0" w:space="0" w:color="auto"/>
        <w:left w:val="none" w:sz="0" w:space="0" w:color="auto"/>
        <w:bottom w:val="none" w:sz="0" w:space="0" w:color="auto"/>
        <w:right w:val="none" w:sz="0" w:space="0" w:color="auto"/>
      </w:divBdr>
    </w:div>
    <w:div w:id="1309095916">
      <w:bodyDiv w:val="1"/>
      <w:marLeft w:val="0"/>
      <w:marRight w:val="0"/>
      <w:marTop w:val="0"/>
      <w:marBottom w:val="0"/>
      <w:divBdr>
        <w:top w:val="none" w:sz="0" w:space="0" w:color="auto"/>
        <w:left w:val="none" w:sz="0" w:space="0" w:color="auto"/>
        <w:bottom w:val="none" w:sz="0" w:space="0" w:color="auto"/>
        <w:right w:val="none" w:sz="0" w:space="0" w:color="auto"/>
      </w:divBdr>
      <w:divsChild>
        <w:div w:id="662051003">
          <w:marLeft w:val="0"/>
          <w:marRight w:val="0"/>
          <w:marTop w:val="0"/>
          <w:marBottom w:val="0"/>
          <w:divBdr>
            <w:top w:val="none" w:sz="0" w:space="0" w:color="auto"/>
            <w:left w:val="none" w:sz="0" w:space="0" w:color="auto"/>
            <w:bottom w:val="none" w:sz="0" w:space="0" w:color="auto"/>
            <w:right w:val="none" w:sz="0" w:space="0" w:color="auto"/>
          </w:divBdr>
        </w:div>
        <w:div w:id="930087677">
          <w:marLeft w:val="0"/>
          <w:marRight w:val="0"/>
          <w:marTop w:val="0"/>
          <w:marBottom w:val="0"/>
          <w:divBdr>
            <w:top w:val="none" w:sz="0" w:space="0" w:color="auto"/>
            <w:left w:val="none" w:sz="0" w:space="0" w:color="auto"/>
            <w:bottom w:val="none" w:sz="0" w:space="0" w:color="auto"/>
            <w:right w:val="none" w:sz="0" w:space="0" w:color="auto"/>
          </w:divBdr>
        </w:div>
      </w:divsChild>
    </w:div>
    <w:div w:id="1335450184">
      <w:bodyDiv w:val="1"/>
      <w:marLeft w:val="0"/>
      <w:marRight w:val="0"/>
      <w:marTop w:val="0"/>
      <w:marBottom w:val="0"/>
      <w:divBdr>
        <w:top w:val="none" w:sz="0" w:space="0" w:color="auto"/>
        <w:left w:val="none" w:sz="0" w:space="0" w:color="auto"/>
        <w:bottom w:val="none" w:sz="0" w:space="0" w:color="auto"/>
        <w:right w:val="none" w:sz="0" w:space="0" w:color="auto"/>
      </w:divBdr>
    </w:div>
    <w:div w:id="1336106590">
      <w:bodyDiv w:val="1"/>
      <w:marLeft w:val="0"/>
      <w:marRight w:val="0"/>
      <w:marTop w:val="0"/>
      <w:marBottom w:val="0"/>
      <w:divBdr>
        <w:top w:val="none" w:sz="0" w:space="0" w:color="auto"/>
        <w:left w:val="none" w:sz="0" w:space="0" w:color="auto"/>
        <w:bottom w:val="none" w:sz="0" w:space="0" w:color="auto"/>
        <w:right w:val="none" w:sz="0" w:space="0" w:color="auto"/>
      </w:divBdr>
    </w:div>
    <w:div w:id="1471360071">
      <w:bodyDiv w:val="1"/>
      <w:marLeft w:val="0"/>
      <w:marRight w:val="0"/>
      <w:marTop w:val="0"/>
      <w:marBottom w:val="0"/>
      <w:divBdr>
        <w:top w:val="none" w:sz="0" w:space="0" w:color="auto"/>
        <w:left w:val="none" w:sz="0" w:space="0" w:color="auto"/>
        <w:bottom w:val="none" w:sz="0" w:space="0" w:color="auto"/>
        <w:right w:val="none" w:sz="0" w:space="0" w:color="auto"/>
      </w:divBdr>
    </w:div>
    <w:div w:id="1577477956">
      <w:bodyDiv w:val="1"/>
      <w:marLeft w:val="0"/>
      <w:marRight w:val="0"/>
      <w:marTop w:val="0"/>
      <w:marBottom w:val="0"/>
      <w:divBdr>
        <w:top w:val="none" w:sz="0" w:space="0" w:color="auto"/>
        <w:left w:val="none" w:sz="0" w:space="0" w:color="auto"/>
        <w:bottom w:val="none" w:sz="0" w:space="0" w:color="auto"/>
        <w:right w:val="none" w:sz="0" w:space="0" w:color="auto"/>
      </w:divBdr>
    </w:div>
    <w:div w:id="1686982643">
      <w:bodyDiv w:val="1"/>
      <w:marLeft w:val="0"/>
      <w:marRight w:val="0"/>
      <w:marTop w:val="0"/>
      <w:marBottom w:val="0"/>
      <w:divBdr>
        <w:top w:val="none" w:sz="0" w:space="0" w:color="auto"/>
        <w:left w:val="none" w:sz="0" w:space="0" w:color="auto"/>
        <w:bottom w:val="none" w:sz="0" w:space="0" w:color="auto"/>
        <w:right w:val="none" w:sz="0" w:space="0" w:color="auto"/>
      </w:divBdr>
    </w:div>
    <w:div w:id="1695185930">
      <w:bodyDiv w:val="1"/>
      <w:marLeft w:val="0"/>
      <w:marRight w:val="0"/>
      <w:marTop w:val="0"/>
      <w:marBottom w:val="0"/>
      <w:divBdr>
        <w:top w:val="none" w:sz="0" w:space="0" w:color="auto"/>
        <w:left w:val="none" w:sz="0" w:space="0" w:color="auto"/>
        <w:bottom w:val="none" w:sz="0" w:space="0" w:color="auto"/>
        <w:right w:val="none" w:sz="0" w:space="0" w:color="auto"/>
      </w:divBdr>
    </w:div>
    <w:div w:id="1720593366">
      <w:bodyDiv w:val="1"/>
      <w:marLeft w:val="0"/>
      <w:marRight w:val="0"/>
      <w:marTop w:val="0"/>
      <w:marBottom w:val="0"/>
      <w:divBdr>
        <w:top w:val="none" w:sz="0" w:space="0" w:color="auto"/>
        <w:left w:val="none" w:sz="0" w:space="0" w:color="auto"/>
        <w:bottom w:val="none" w:sz="0" w:space="0" w:color="auto"/>
        <w:right w:val="none" w:sz="0" w:space="0" w:color="auto"/>
      </w:divBdr>
    </w:div>
    <w:div w:id="1812139299">
      <w:bodyDiv w:val="1"/>
      <w:marLeft w:val="0"/>
      <w:marRight w:val="0"/>
      <w:marTop w:val="0"/>
      <w:marBottom w:val="0"/>
      <w:divBdr>
        <w:top w:val="none" w:sz="0" w:space="0" w:color="auto"/>
        <w:left w:val="none" w:sz="0" w:space="0" w:color="auto"/>
        <w:bottom w:val="none" w:sz="0" w:space="0" w:color="auto"/>
        <w:right w:val="none" w:sz="0" w:space="0" w:color="auto"/>
      </w:divBdr>
    </w:div>
    <w:div w:id="1910269968">
      <w:bodyDiv w:val="1"/>
      <w:marLeft w:val="0"/>
      <w:marRight w:val="0"/>
      <w:marTop w:val="0"/>
      <w:marBottom w:val="0"/>
      <w:divBdr>
        <w:top w:val="none" w:sz="0" w:space="0" w:color="auto"/>
        <w:left w:val="none" w:sz="0" w:space="0" w:color="auto"/>
        <w:bottom w:val="none" w:sz="0" w:space="0" w:color="auto"/>
        <w:right w:val="none" w:sz="0" w:space="0" w:color="auto"/>
      </w:divBdr>
    </w:div>
    <w:div w:id="1919703857">
      <w:bodyDiv w:val="1"/>
      <w:marLeft w:val="0"/>
      <w:marRight w:val="0"/>
      <w:marTop w:val="0"/>
      <w:marBottom w:val="0"/>
      <w:divBdr>
        <w:top w:val="none" w:sz="0" w:space="0" w:color="auto"/>
        <w:left w:val="none" w:sz="0" w:space="0" w:color="auto"/>
        <w:bottom w:val="none" w:sz="0" w:space="0" w:color="auto"/>
        <w:right w:val="none" w:sz="0" w:space="0" w:color="auto"/>
      </w:divBdr>
    </w:div>
    <w:div w:id="1937013360">
      <w:bodyDiv w:val="1"/>
      <w:marLeft w:val="0"/>
      <w:marRight w:val="0"/>
      <w:marTop w:val="0"/>
      <w:marBottom w:val="0"/>
      <w:divBdr>
        <w:top w:val="none" w:sz="0" w:space="0" w:color="auto"/>
        <w:left w:val="none" w:sz="0" w:space="0" w:color="auto"/>
        <w:bottom w:val="none" w:sz="0" w:space="0" w:color="auto"/>
        <w:right w:val="none" w:sz="0" w:space="0" w:color="auto"/>
      </w:divBdr>
    </w:div>
    <w:div w:id="1941180555">
      <w:bodyDiv w:val="1"/>
      <w:marLeft w:val="0"/>
      <w:marRight w:val="0"/>
      <w:marTop w:val="0"/>
      <w:marBottom w:val="0"/>
      <w:divBdr>
        <w:top w:val="none" w:sz="0" w:space="0" w:color="auto"/>
        <w:left w:val="none" w:sz="0" w:space="0" w:color="auto"/>
        <w:bottom w:val="none" w:sz="0" w:space="0" w:color="auto"/>
        <w:right w:val="none" w:sz="0" w:space="0" w:color="auto"/>
      </w:divBdr>
    </w:div>
    <w:div w:id="1945531345">
      <w:bodyDiv w:val="1"/>
      <w:marLeft w:val="0"/>
      <w:marRight w:val="0"/>
      <w:marTop w:val="0"/>
      <w:marBottom w:val="0"/>
      <w:divBdr>
        <w:top w:val="none" w:sz="0" w:space="0" w:color="auto"/>
        <w:left w:val="none" w:sz="0" w:space="0" w:color="auto"/>
        <w:bottom w:val="none" w:sz="0" w:space="0" w:color="auto"/>
        <w:right w:val="none" w:sz="0" w:space="0" w:color="auto"/>
      </w:divBdr>
    </w:div>
    <w:div w:id="2076005634">
      <w:bodyDiv w:val="1"/>
      <w:marLeft w:val="0"/>
      <w:marRight w:val="0"/>
      <w:marTop w:val="0"/>
      <w:marBottom w:val="0"/>
      <w:divBdr>
        <w:top w:val="none" w:sz="0" w:space="0" w:color="auto"/>
        <w:left w:val="none" w:sz="0" w:space="0" w:color="auto"/>
        <w:bottom w:val="none" w:sz="0" w:space="0" w:color="auto"/>
        <w:right w:val="none" w:sz="0" w:space="0" w:color="auto"/>
      </w:divBdr>
    </w:div>
    <w:div w:id="2122456586">
      <w:bodyDiv w:val="1"/>
      <w:marLeft w:val="0"/>
      <w:marRight w:val="0"/>
      <w:marTop w:val="0"/>
      <w:marBottom w:val="0"/>
      <w:divBdr>
        <w:top w:val="none" w:sz="0" w:space="0" w:color="auto"/>
        <w:left w:val="none" w:sz="0" w:space="0" w:color="auto"/>
        <w:bottom w:val="none" w:sz="0" w:space="0" w:color="auto"/>
        <w:right w:val="none" w:sz="0" w:space="0" w:color="auto"/>
      </w:divBdr>
      <w:divsChild>
        <w:div w:id="1525900088">
          <w:marLeft w:val="0"/>
          <w:marRight w:val="0"/>
          <w:marTop w:val="0"/>
          <w:marBottom w:val="0"/>
          <w:divBdr>
            <w:top w:val="none" w:sz="0" w:space="0" w:color="auto"/>
            <w:left w:val="none" w:sz="0" w:space="0" w:color="auto"/>
            <w:bottom w:val="none" w:sz="0" w:space="0" w:color="auto"/>
            <w:right w:val="none" w:sz="0" w:space="0" w:color="auto"/>
          </w:divBdr>
        </w:div>
        <w:div w:id="1710758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E:\CDA\oikonomiko_montelo\HCV%20HPT%20v20aX%20EIM%202R%20-%20Greece%20151005b%20WHO.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CDA\oikonomiko_montelo\HCV%20HPT%20v20aX%20EIM%202R%20-%20Greece%20151005b%20WHO.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CDA\oikonomiko_montelo\HCV%20HPT%20v20aX%20EIM%202R%20-%20Greece%20151005b%20WHO.xlsm"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'Economic Impact'!$D$3913</c:f>
              <c:strCache>
                <c:ptCount val="1"/>
                <c:pt idx="0">
                  <c:v>Healthcare Costs</c:v>
                </c:pt>
              </c:strCache>
            </c:strRef>
          </c:tx>
          <c:spPr>
            <a:solidFill>
              <a:srgbClr val="0000FF"/>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Impact'!$E$3913:$AO$3913</c:f>
              <c:numCache>
                <c:formatCode>#,##0</c:formatCode>
                <c:ptCount val="37"/>
                <c:pt idx="0">
                  <c:v>57.68742476297956</c:v>
                </c:pt>
                <c:pt idx="1">
                  <c:v>60.204906585630347</c:v>
                </c:pt>
                <c:pt idx="2">
                  <c:v>61.940559380058097</c:v>
                </c:pt>
                <c:pt idx="3">
                  <c:v>61.948005580580443</c:v>
                </c:pt>
                <c:pt idx="4">
                  <c:v>62.074029894359029</c:v>
                </c:pt>
                <c:pt idx="5">
                  <c:v>62.894062443109043</c:v>
                </c:pt>
                <c:pt idx="6">
                  <c:v>63.6992305034724</c:v>
                </c:pt>
                <c:pt idx="7">
                  <c:v>64.477360383654315</c:v>
                </c:pt>
                <c:pt idx="8">
                  <c:v>65.46301435698804</c:v>
                </c:pt>
                <c:pt idx="9">
                  <c:v>66.384482001027749</c:v>
                </c:pt>
                <c:pt idx="10">
                  <c:v>67.156754679280454</c:v>
                </c:pt>
                <c:pt idx="11">
                  <c:v>67.852855919407332</c:v>
                </c:pt>
                <c:pt idx="12">
                  <c:v>68.46878668809687</c:v>
                </c:pt>
                <c:pt idx="13">
                  <c:v>69.003440608385063</c:v>
                </c:pt>
                <c:pt idx="14">
                  <c:v>69.459001767813334</c:v>
                </c:pt>
                <c:pt idx="15">
                  <c:v>69.830855543723388</c:v>
                </c:pt>
                <c:pt idx="16">
                  <c:v>70.115685342745238</c:v>
                </c:pt>
                <c:pt idx="17">
                  <c:v>70.278323574883402</c:v>
                </c:pt>
                <c:pt idx="18">
                  <c:v>70.317322565987666</c:v>
                </c:pt>
                <c:pt idx="19">
                  <c:v>70.231877089322523</c:v>
                </c:pt>
                <c:pt idx="20">
                  <c:v>70.021360758251191</c:v>
                </c:pt>
                <c:pt idx="21">
                  <c:v>69.687355126924217</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0-E69F-49EA-981E-EB3F6E4DC0FE}"/>
            </c:ext>
          </c:extLst>
        </c:ser>
        <c:ser>
          <c:idx val="2"/>
          <c:order val="1"/>
          <c:tx>
            <c:strRef>
              <c:f>'Economic Impact'!$D$3914</c:f>
              <c:strCache>
                <c:ptCount val="1"/>
                <c:pt idx="0">
                  <c:v>Screening Costs</c:v>
                </c:pt>
              </c:strCache>
            </c:strRef>
          </c:tx>
          <c:spPr>
            <a:solidFill>
              <a:sysClr val="windowText" lastClr="0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Impact'!$E$3914:$AO$3914</c:f>
              <c:numCache>
                <c:formatCode>#,##0</c:formatCode>
                <c:ptCount val="37"/>
                <c:pt idx="0">
                  <c:v>4.73402558541102</c:v>
                </c:pt>
                <c:pt idx="1">
                  <c:v>4.8571012752731466</c:v>
                </c:pt>
                <c:pt idx="2">
                  <c:v>4.9809425355098069</c:v>
                </c:pt>
                <c:pt idx="3">
                  <c:v>4.047150356209845</c:v>
                </c:pt>
                <c:pt idx="4">
                  <c:v>4.1140248229453977</c:v>
                </c:pt>
                <c:pt idx="5">
                  <c:v>2.6022955990671548</c:v>
                </c:pt>
                <c:pt idx="6">
                  <c:v>2.6131272454034962</c:v>
                </c:pt>
                <c:pt idx="7">
                  <c:v>2.6245895518172722</c:v>
                </c:pt>
                <c:pt idx="8">
                  <c:v>1.8333776932998369</c:v>
                </c:pt>
                <c:pt idx="9">
                  <c:v>1.829927175811352</c:v>
                </c:pt>
                <c:pt idx="10">
                  <c:v>1.2727266320792581</c:v>
                </c:pt>
                <c:pt idx="11">
                  <c:v>1.264934117465881</c:v>
                </c:pt>
                <c:pt idx="12">
                  <c:v>1.2575785011184071</c:v>
                </c:pt>
                <c:pt idx="13">
                  <c:v>1.250612133776513</c:v>
                </c:pt>
                <c:pt idx="14">
                  <c:v>1.244013317350354</c:v>
                </c:pt>
                <c:pt idx="15">
                  <c:v>1.2377653217687601</c:v>
                </c:pt>
                <c:pt idx="16">
                  <c:v>1.2318526507945591</c:v>
                </c:pt>
                <c:pt idx="17">
                  <c:v>1.226420065900683</c:v>
                </c:pt>
                <c:pt idx="18">
                  <c:v>1.2214415617209771</c:v>
                </c:pt>
                <c:pt idx="19">
                  <c:v>1.2168951874180789</c:v>
                </c:pt>
                <c:pt idx="20">
                  <c:v>1.212758834243808</c:v>
                </c:pt>
                <c:pt idx="21">
                  <c:v>1.209010130237518</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1-E69F-49EA-981E-EB3F6E4DC0FE}"/>
            </c:ext>
          </c:extLst>
        </c:ser>
        <c:ser>
          <c:idx val="1"/>
          <c:order val="2"/>
          <c:tx>
            <c:strRef>
              <c:f>'Economic Impact'!$D$3915</c:f>
              <c:strCache>
                <c:ptCount val="1"/>
                <c:pt idx="0">
                  <c:v>Tx &amp; Lab Costs</c:v>
                </c:pt>
              </c:strCache>
            </c:strRef>
          </c:tx>
          <c:spPr>
            <a:solidFill>
              <a:srgbClr val="C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Impact'!$E$3915:$AO$3915</c:f>
              <c:numCache>
                <c:formatCode>#,##0</c:formatCode>
                <c:ptCount val="37"/>
                <c:pt idx="0">
                  <c:v>10.59224439858491</c:v>
                </c:pt>
                <c:pt idx="1">
                  <c:v>38.168361928071</c:v>
                </c:pt>
                <c:pt idx="2">
                  <c:v>38.168361928071</c:v>
                </c:pt>
                <c:pt idx="3">
                  <c:v>26.501830270440731</c:v>
                </c:pt>
                <c:pt idx="4">
                  <c:v>26.501830270440731</c:v>
                </c:pt>
                <c:pt idx="5">
                  <c:v>17.39676993732531</c:v>
                </c:pt>
                <c:pt idx="6">
                  <c:v>17.39676993732531</c:v>
                </c:pt>
                <c:pt idx="7">
                  <c:v>17.39676993732532</c:v>
                </c:pt>
                <c:pt idx="8">
                  <c:v>13.360724811935819</c:v>
                </c:pt>
                <c:pt idx="9">
                  <c:v>13.360724811935819</c:v>
                </c:pt>
                <c:pt idx="10">
                  <c:v>13.360724811935819</c:v>
                </c:pt>
                <c:pt idx="11">
                  <c:v>13.360724811935819</c:v>
                </c:pt>
                <c:pt idx="12">
                  <c:v>13.360724811935819</c:v>
                </c:pt>
                <c:pt idx="13">
                  <c:v>13.360724811935819</c:v>
                </c:pt>
                <c:pt idx="14">
                  <c:v>13.360724811935819</c:v>
                </c:pt>
                <c:pt idx="15">
                  <c:v>13.360724811935819</c:v>
                </c:pt>
                <c:pt idx="16">
                  <c:v>13.360724811935819</c:v>
                </c:pt>
                <c:pt idx="17">
                  <c:v>13.360724811935819</c:v>
                </c:pt>
                <c:pt idx="18">
                  <c:v>13.360724811935819</c:v>
                </c:pt>
                <c:pt idx="19">
                  <c:v>13.360724811935819</c:v>
                </c:pt>
                <c:pt idx="20">
                  <c:v>13.360724811935819</c:v>
                </c:pt>
                <c:pt idx="21">
                  <c:v>13.360724811935819</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2-E69F-49EA-981E-EB3F6E4DC0FE}"/>
            </c:ext>
          </c:extLst>
        </c:ser>
        <c:dLbls>
          <c:showLegendKey val="0"/>
          <c:showVal val="0"/>
          <c:showCatName val="0"/>
          <c:showSerName val="0"/>
          <c:showPercent val="0"/>
          <c:showBubbleSize val="0"/>
        </c:dLbls>
        <c:gapWidth val="150"/>
        <c:overlap val="100"/>
        <c:axId val="293951744"/>
        <c:axId val="293953536"/>
      </c:barChart>
      <c:dateAx>
        <c:axId val="293951744"/>
        <c:scaling>
          <c:orientation val="minMax"/>
        </c:scaling>
        <c:delete val="0"/>
        <c:axPos val="b"/>
        <c:numFmt formatCode="General" sourceLinked="1"/>
        <c:majorTickMark val="out"/>
        <c:minorTickMark val="none"/>
        <c:tickLblPos val="nextTo"/>
        <c:txPr>
          <a:bodyPr rot="-2700000"/>
          <a:lstStyle/>
          <a:p>
            <a:pPr>
              <a:defRPr sz="1200"/>
            </a:pPr>
            <a:endParaRPr lang="zh-CN"/>
          </a:p>
        </c:txPr>
        <c:crossAx val="293953536"/>
        <c:crosses val="autoZero"/>
        <c:auto val="0"/>
        <c:lblOffset val="100"/>
        <c:baseTimeUnit val="days"/>
        <c:minorUnit val="1"/>
      </c:dateAx>
      <c:valAx>
        <c:axId val="293953536"/>
        <c:scaling>
          <c:orientation val="minMax"/>
          <c:max val="200"/>
        </c:scaling>
        <c:delete val="0"/>
        <c:axPos val="l"/>
        <c:majorGridlines>
          <c:spPr>
            <a:ln>
              <a:solidFill>
                <a:prstClr val="white">
                  <a:lumMod val="75000"/>
                </a:prstClr>
              </a:solidFill>
            </a:ln>
          </c:spPr>
        </c:majorGridlines>
        <c:title>
          <c:tx>
            <c:rich>
              <a:bodyPr rot="-5400000" vert="horz"/>
              <a:lstStyle/>
              <a:p>
                <a:pPr>
                  <a:defRPr sz="1400"/>
                </a:pPr>
                <a:r>
                  <a:rPr lang="en-US" altLang="zh-CN" dirty="0"/>
                  <a:t>Annual cost (euro millions)</a:t>
                </a:r>
              </a:p>
            </c:rich>
          </c:tx>
          <c:overlay val="0"/>
        </c:title>
        <c:numFmt formatCode="#,##0" sourceLinked="1"/>
        <c:majorTickMark val="out"/>
        <c:minorTickMark val="none"/>
        <c:tickLblPos val="nextTo"/>
        <c:spPr>
          <a:ln>
            <a:noFill/>
          </a:ln>
        </c:spPr>
        <c:txPr>
          <a:bodyPr/>
          <a:lstStyle/>
          <a:p>
            <a:pPr>
              <a:defRPr sz="1400"/>
            </a:pPr>
            <a:endParaRPr lang="zh-CN"/>
          </a:p>
        </c:txPr>
        <c:crossAx val="293951744"/>
        <c:crosses val="autoZero"/>
        <c:crossBetween val="between"/>
      </c:valAx>
      <c:spPr>
        <a:noFill/>
      </c:spPr>
    </c:plotArea>
    <c:legend>
      <c:legendPos val="b"/>
      <c:overlay val="0"/>
      <c:spPr>
        <a:noFill/>
      </c:spPr>
      <c:txPr>
        <a:bodyPr/>
        <a:lstStyle/>
        <a:p>
          <a:pPr>
            <a:defRPr sz="1400"/>
          </a:pPr>
          <a:endParaRPr lang="zh-CN"/>
        </a:p>
      </c:txPr>
    </c:legend>
    <c:plotVisOnly val="1"/>
    <c:dispBlanksAs val="gap"/>
    <c:showDLblsOverMax val="0"/>
  </c:chart>
  <c:spPr>
    <a:noFill/>
    <a:ln>
      <a:noFill/>
    </a:ln>
    <a:scene3d>
      <a:camera prst="orthographicFront"/>
      <a:lightRig rig="threePt" dir="t"/>
    </a:scene3d>
    <a:sp3d>
      <a:bevelT/>
    </a:sp3d>
  </c:spPr>
  <c:txPr>
    <a:bodyPr/>
    <a:lstStyle/>
    <a:p>
      <a:pPr>
        <a:defRPr sz="900">
          <a:latin typeface="Arial" pitchFamily="34" charset="0"/>
          <a:cs typeface="Arial" pitchFamily="34"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'Economic Impact'!$D$3913</c:f>
              <c:strCache>
                <c:ptCount val="1"/>
                <c:pt idx="0">
                  <c:v>Healthcare Costs</c:v>
                </c:pt>
              </c:strCache>
            </c:strRef>
          </c:tx>
          <c:spPr>
            <a:solidFill>
              <a:srgbClr val="0000FF"/>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Impact'!$E$3913:$AO$3913</c:f>
              <c:numCache>
                <c:formatCode>#,##0</c:formatCode>
                <c:ptCount val="37"/>
                <c:pt idx="0">
                  <c:v>57.68742476297956</c:v>
                </c:pt>
                <c:pt idx="1">
                  <c:v>60.204906585630347</c:v>
                </c:pt>
                <c:pt idx="2">
                  <c:v>61.939690386314503</c:v>
                </c:pt>
                <c:pt idx="3">
                  <c:v>58.512527900869813</c:v>
                </c:pt>
                <c:pt idx="4">
                  <c:v>55.622011635249322</c:v>
                </c:pt>
                <c:pt idx="5">
                  <c:v>53.123467302342142</c:v>
                </c:pt>
                <c:pt idx="6">
                  <c:v>48.827054071583518</c:v>
                </c:pt>
                <c:pt idx="7">
                  <c:v>48.56975385809487</c:v>
                </c:pt>
                <c:pt idx="8">
                  <c:v>47.898152783517141</c:v>
                </c:pt>
                <c:pt idx="9">
                  <c:v>46.904499215613257</c:v>
                </c:pt>
                <c:pt idx="10">
                  <c:v>45.421922997062573</c:v>
                </c:pt>
                <c:pt idx="11">
                  <c:v>43.580889438344727</c:v>
                </c:pt>
                <c:pt idx="12">
                  <c:v>41.387900945718343</c:v>
                </c:pt>
                <c:pt idx="13">
                  <c:v>38.827872412530731</c:v>
                </c:pt>
                <c:pt idx="14">
                  <c:v>35.923584544459302</c:v>
                </c:pt>
                <c:pt idx="15">
                  <c:v>32.696484255375047</c:v>
                </c:pt>
                <c:pt idx="16">
                  <c:v>29.197674498601899</c:v>
                </c:pt>
                <c:pt idx="17">
                  <c:v>25.469358943453621</c:v>
                </c:pt>
                <c:pt idx="18">
                  <c:v>20.621627922900899</c:v>
                </c:pt>
                <c:pt idx="19">
                  <c:v>15.330819426268381</c:v>
                </c:pt>
                <c:pt idx="20">
                  <c:v>11.31902063776035</c:v>
                </c:pt>
                <c:pt idx="21">
                  <c:v>10.127189092802681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0-244C-4E2D-92AE-2FBDAEBA5D14}"/>
            </c:ext>
          </c:extLst>
        </c:ser>
        <c:ser>
          <c:idx val="2"/>
          <c:order val="1"/>
          <c:tx>
            <c:strRef>
              <c:f>'Economic Impact'!$D$3914</c:f>
              <c:strCache>
                <c:ptCount val="1"/>
                <c:pt idx="0">
                  <c:v>Screening Costs</c:v>
                </c:pt>
              </c:strCache>
            </c:strRef>
          </c:tx>
          <c:spPr>
            <a:solidFill>
              <a:sysClr val="windowText" lastClr="0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Impact'!$E$3914:$AO$3914</c:f>
              <c:numCache>
                <c:formatCode>#,##0</c:formatCode>
                <c:ptCount val="37"/>
                <c:pt idx="0">
                  <c:v>4.73402558541102</c:v>
                </c:pt>
                <c:pt idx="1">
                  <c:v>4.8855595020118496</c:v>
                </c:pt>
                <c:pt idx="2">
                  <c:v>5.0410150829667666</c:v>
                </c:pt>
                <c:pt idx="3">
                  <c:v>6.3294885175888842</c:v>
                </c:pt>
                <c:pt idx="4">
                  <c:v>6.6484882478029377</c:v>
                </c:pt>
                <c:pt idx="5">
                  <c:v>7.0015982328382984</c:v>
                </c:pt>
                <c:pt idx="6">
                  <c:v>10.87416378763483</c:v>
                </c:pt>
                <c:pt idx="7">
                  <c:v>12.050677204377299</c:v>
                </c:pt>
                <c:pt idx="8">
                  <c:v>12.059967330028959</c:v>
                </c:pt>
                <c:pt idx="9">
                  <c:v>13.56185801118793</c:v>
                </c:pt>
                <c:pt idx="10">
                  <c:v>15.514892103810441</c:v>
                </c:pt>
                <c:pt idx="11">
                  <c:v>18.095156490867531</c:v>
                </c:pt>
                <c:pt idx="12">
                  <c:v>21.66764059384105</c:v>
                </c:pt>
                <c:pt idx="13">
                  <c:v>26.951825740521169</c:v>
                </c:pt>
                <c:pt idx="14">
                  <c:v>35.610883023266858</c:v>
                </c:pt>
                <c:pt idx="15">
                  <c:v>31.333800545844031</c:v>
                </c:pt>
                <c:pt idx="16">
                  <c:v>6.7360000000000003E-2</c:v>
                </c:pt>
                <c:pt idx="17">
                  <c:v>6.9180000000000005E-2</c:v>
                </c:pt>
                <c:pt idx="18">
                  <c:v>7.1819999999999995E-2</c:v>
                </c:pt>
                <c:pt idx="19">
                  <c:v>7.5219999999999995E-2</c:v>
                </c:pt>
                <c:pt idx="20">
                  <c:v>7.8839999999999993E-2</c:v>
                </c:pt>
                <c:pt idx="21">
                  <c:v>8.2159999999999997E-2</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1-244C-4E2D-92AE-2FBDAEBA5D14}"/>
            </c:ext>
          </c:extLst>
        </c:ser>
        <c:ser>
          <c:idx val="1"/>
          <c:order val="2"/>
          <c:tx>
            <c:strRef>
              <c:f>'Economic Impact'!$D$3915</c:f>
              <c:strCache>
                <c:ptCount val="1"/>
                <c:pt idx="0">
                  <c:v>Tx &amp; Lab Costs</c:v>
                </c:pt>
              </c:strCache>
            </c:strRef>
          </c:tx>
          <c:spPr>
            <a:solidFill>
              <a:srgbClr val="C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Impact'!$E$3915:$AO$3915</c:f>
              <c:numCache>
                <c:formatCode>#,##0</c:formatCode>
                <c:ptCount val="37"/>
                <c:pt idx="0">
                  <c:v>10.59224439858491</c:v>
                </c:pt>
                <c:pt idx="1">
                  <c:v>38.168361928071</c:v>
                </c:pt>
                <c:pt idx="2">
                  <c:v>38.168361928071</c:v>
                </c:pt>
                <c:pt idx="3">
                  <c:v>70.532609315013772</c:v>
                </c:pt>
                <c:pt idx="4">
                  <c:v>70.532609315013772</c:v>
                </c:pt>
                <c:pt idx="5">
                  <c:v>70.532609315013772</c:v>
                </c:pt>
                <c:pt idx="6">
                  <c:v>102.2722835067699</c:v>
                </c:pt>
                <c:pt idx="7">
                  <c:v>102.2722835067699</c:v>
                </c:pt>
                <c:pt idx="8">
                  <c:v>102.2722835067699</c:v>
                </c:pt>
                <c:pt idx="9">
                  <c:v>102.2722835067699</c:v>
                </c:pt>
                <c:pt idx="10">
                  <c:v>106.493424487873</c:v>
                </c:pt>
                <c:pt idx="11">
                  <c:v>106.493424487873</c:v>
                </c:pt>
                <c:pt idx="12">
                  <c:v>106.493424487873</c:v>
                </c:pt>
                <c:pt idx="13">
                  <c:v>106.493424487873</c:v>
                </c:pt>
                <c:pt idx="14">
                  <c:v>106.493424487873</c:v>
                </c:pt>
                <c:pt idx="15">
                  <c:v>106.493424487873</c:v>
                </c:pt>
                <c:pt idx="16">
                  <c:v>106.493424487873</c:v>
                </c:pt>
                <c:pt idx="17">
                  <c:v>106.493424487873</c:v>
                </c:pt>
                <c:pt idx="18">
                  <c:v>106.493424487873</c:v>
                </c:pt>
                <c:pt idx="19">
                  <c:v>106.493424487873</c:v>
                </c:pt>
                <c:pt idx="20">
                  <c:v>51.11915641189357</c:v>
                </c:pt>
                <c:pt idx="21">
                  <c:v>3.3612498896361549</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2-244C-4E2D-92AE-2FBDAEBA5D14}"/>
            </c:ext>
          </c:extLst>
        </c:ser>
        <c:dLbls>
          <c:showLegendKey val="0"/>
          <c:showVal val="0"/>
          <c:showCatName val="0"/>
          <c:showSerName val="0"/>
          <c:showPercent val="0"/>
          <c:showBubbleSize val="0"/>
        </c:dLbls>
        <c:gapWidth val="150"/>
        <c:overlap val="100"/>
        <c:axId val="293968896"/>
        <c:axId val="293982976"/>
      </c:barChart>
      <c:dateAx>
        <c:axId val="293968896"/>
        <c:scaling>
          <c:orientation val="minMax"/>
        </c:scaling>
        <c:delete val="0"/>
        <c:axPos val="b"/>
        <c:numFmt formatCode="General" sourceLinked="1"/>
        <c:majorTickMark val="out"/>
        <c:minorTickMark val="none"/>
        <c:tickLblPos val="nextTo"/>
        <c:txPr>
          <a:bodyPr rot="-2700000"/>
          <a:lstStyle/>
          <a:p>
            <a:pPr>
              <a:defRPr sz="1050"/>
            </a:pPr>
            <a:endParaRPr lang="zh-CN"/>
          </a:p>
        </c:txPr>
        <c:crossAx val="293982976"/>
        <c:crosses val="autoZero"/>
        <c:auto val="0"/>
        <c:lblOffset val="100"/>
        <c:baseTimeUnit val="days"/>
        <c:minorUnit val="1"/>
      </c:dateAx>
      <c:valAx>
        <c:axId val="293982976"/>
        <c:scaling>
          <c:orientation val="minMax"/>
          <c:max val="200"/>
        </c:scaling>
        <c:delete val="0"/>
        <c:axPos val="l"/>
        <c:majorGridlines>
          <c:spPr>
            <a:ln>
              <a:solidFill>
                <a:prstClr val="white">
                  <a:lumMod val="75000"/>
                </a:prstClr>
              </a:solidFill>
            </a:ln>
          </c:spPr>
        </c:majorGridlines>
        <c:title>
          <c:tx>
            <c:rich>
              <a:bodyPr rot="-5400000" vert="horz"/>
              <a:lstStyle/>
              <a:p>
                <a:pPr>
                  <a:defRPr sz="1400"/>
                </a:pPr>
                <a:r>
                  <a:rPr lang="en-US" altLang="zh-CN" dirty="0"/>
                  <a:t>Annual cost (euro millions)</a:t>
                </a:r>
              </a:p>
            </c:rich>
          </c:tx>
          <c:overlay val="0"/>
        </c:title>
        <c:numFmt formatCode="#,##0" sourceLinked="1"/>
        <c:majorTickMark val="out"/>
        <c:minorTickMark val="none"/>
        <c:tickLblPos val="nextTo"/>
        <c:spPr>
          <a:ln>
            <a:noFill/>
          </a:ln>
        </c:spPr>
        <c:txPr>
          <a:bodyPr/>
          <a:lstStyle/>
          <a:p>
            <a:pPr>
              <a:defRPr sz="1100"/>
            </a:pPr>
            <a:endParaRPr lang="zh-CN"/>
          </a:p>
        </c:txPr>
        <c:crossAx val="293968896"/>
        <c:crosses val="autoZero"/>
        <c:crossBetween val="between"/>
      </c:valAx>
      <c:spPr>
        <a:noFill/>
      </c:spPr>
    </c:plotArea>
    <c:legend>
      <c:legendPos val="b"/>
      <c:overlay val="0"/>
      <c:spPr>
        <a:noFill/>
      </c:spPr>
      <c:txPr>
        <a:bodyPr/>
        <a:lstStyle/>
        <a:p>
          <a:pPr>
            <a:defRPr sz="1400"/>
          </a:pPr>
          <a:endParaRPr lang="zh-CN"/>
        </a:p>
      </c:txPr>
    </c:legend>
    <c:plotVisOnly val="1"/>
    <c:dispBlanksAs val="gap"/>
    <c:showDLblsOverMax val="0"/>
  </c:chart>
  <c:spPr>
    <a:noFill/>
    <a:ln>
      <a:noFill/>
    </a:ln>
    <a:scene3d>
      <a:camera prst="orthographicFront"/>
      <a:lightRig rig="threePt" dir="t"/>
    </a:scene3d>
    <a:sp3d>
      <a:bevelT/>
    </a:sp3d>
  </c:spPr>
  <c:txPr>
    <a:bodyPr/>
    <a:lstStyle/>
    <a:p>
      <a:pPr>
        <a:defRPr sz="900">
          <a:latin typeface="Arial" pitchFamily="34" charset="0"/>
          <a:cs typeface="Arial" pitchFamily="34" charset="0"/>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'Economic Impact'!$D$3913</c:f>
              <c:strCache>
                <c:ptCount val="1"/>
                <c:pt idx="0">
                  <c:v>Healthcare Costs</c:v>
                </c:pt>
              </c:strCache>
            </c:strRef>
          </c:tx>
          <c:spPr>
            <a:solidFill>
              <a:srgbClr val="0000FF"/>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Impact'!$E$3913:$AO$3913</c:f>
              <c:numCache>
                <c:formatCode>#,##0</c:formatCode>
                <c:ptCount val="37"/>
                <c:pt idx="0">
                  <c:v>57.68742476297956</c:v>
                </c:pt>
                <c:pt idx="1">
                  <c:v>60.204906585630347</c:v>
                </c:pt>
                <c:pt idx="2">
                  <c:v>61.939690386314503</c:v>
                </c:pt>
                <c:pt idx="3">
                  <c:v>58.512527900869813</c:v>
                </c:pt>
                <c:pt idx="4">
                  <c:v>55.622011635249322</c:v>
                </c:pt>
                <c:pt idx="5">
                  <c:v>53.123467302342142</c:v>
                </c:pt>
                <c:pt idx="6">
                  <c:v>48.827054071583518</c:v>
                </c:pt>
                <c:pt idx="7">
                  <c:v>48.56975385809487</c:v>
                </c:pt>
                <c:pt idx="8">
                  <c:v>47.898152783517141</c:v>
                </c:pt>
                <c:pt idx="9">
                  <c:v>46.904499215613257</c:v>
                </c:pt>
                <c:pt idx="10">
                  <c:v>45.421922997062573</c:v>
                </c:pt>
                <c:pt idx="11">
                  <c:v>43.580889438344727</c:v>
                </c:pt>
                <c:pt idx="12">
                  <c:v>41.387900945718343</c:v>
                </c:pt>
                <c:pt idx="13">
                  <c:v>38.827872412530731</c:v>
                </c:pt>
                <c:pt idx="14">
                  <c:v>35.923584544459302</c:v>
                </c:pt>
                <c:pt idx="15">
                  <c:v>32.696484255375047</c:v>
                </c:pt>
                <c:pt idx="16">
                  <c:v>29.197674498601899</c:v>
                </c:pt>
                <c:pt idx="17">
                  <c:v>25.469358943453621</c:v>
                </c:pt>
                <c:pt idx="18">
                  <c:v>20.621627922900899</c:v>
                </c:pt>
                <c:pt idx="19">
                  <c:v>15.330819426268381</c:v>
                </c:pt>
                <c:pt idx="20">
                  <c:v>11.31902063776035</c:v>
                </c:pt>
                <c:pt idx="21">
                  <c:v>10.127189092802681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0-24CA-4027-B308-3BB7BE6F2F5E}"/>
            </c:ext>
          </c:extLst>
        </c:ser>
        <c:ser>
          <c:idx val="2"/>
          <c:order val="1"/>
          <c:tx>
            <c:strRef>
              <c:f>'Economic Impact'!$D$3914</c:f>
              <c:strCache>
                <c:ptCount val="1"/>
                <c:pt idx="0">
                  <c:v>Screening Costs</c:v>
                </c:pt>
              </c:strCache>
            </c:strRef>
          </c:tx>
          <c:spPr>
            <a:solidFill>
              <a:sysClr val="windowText" lastClr="0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Impact'!$E$3914:$AO$3914</c:f>
              <c:numCache>
                <c:formatCode>#,##0</c:formatCode>
                <c:ptCount val="37"/>
                <c:pt idx="0">
                  <c:v>4.73402558541102</c:v>
                </c:pt>
                <c:pt idx="1">
                  <c:v>4.8855595020118496</c:v>
                </c:pt>
                <c:pt idx="2">
                  <c:v>5.0410150829667666</c:v>
                </c:pt>
                <c:pt idx="3">
                  <c:v>6.3294885175888842</c:v>
                </c:pt>
                <c:pt idx="4">
                  <c:v>6.6484882478029377</c:v>
                </c:pt>
                <c:pt idx="5">
                  <c:v>7.0015982328382984</c:v>
                </c:pt>
                <c:pt idx="6">
                  <c:v>10.87416378763483</c:v>
                </c:pt>
                <c:pt idx="7">
                  <c:v>12.050677204377299</c:v>
                </c:pt>
                <c:pt idx="8">
                  <c:v>12.059967330028959</c:v>
                </c:pt>
                <c:pt idx="9">
                  <c:v>13.56185801118793</c:v>
                </c:pt>
                <c:pt idx="10">
                  <c:v>15.514892103810441</c:v>
                </c:pt>
                <c:pt idx="11">
                  <c:v>18.095156490867531</c:v>
                </c:pt>
                <c:pt idx="12">
                  <c:v>21.66764059384105</c:v>
                </c:pt>
                <c:pt idx="13">
                  <c:v>26.951825740521169</c:v>
                </c:pt>
                <c:pt idx="14">
                  <c:v>35.610883023266858</c:v>
                </c:pt>
                <c:pt idx="15">
                  <c:v>31.333800545844031</c:v>
                </c:pt>
                <c:pt idx="16">
                  <c:v>6.7360000000000003E-2</c:v>
                </c:pt>
                <c:pt idx="17">
                  <c:v>6.9180000000000005E-2</c:v>
                </c:pt>
                <c:pt idx="18">
                  <c:v>7.1819999999999995E-2</c:v>
                </c:pt>
                <c:pt idx="19">
                  <c:v>7.5219999999999995E-2</c:v>
                </c:pt>
                <c:pt idx="20">
                  <c:v>7.8839999999999993E-2</c:v>
                </c:pt>
                <c:pt idx="21">
                  <c:v>8.2159999999999997E-2</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1-24CA-4027-B308-3BB7BE6F2F5E}"/>
            </c:ext>
          </c:extLst>
        </c:ser>
        <c:ser>
          <c:idx val="1"/>
          <c:order val="2"/>
          <c:tx>
            <c:strRef>
              <c:f>'Economic Impact'!$D$3915</c:f>
              <c:strCache>
                <c:ptCount val="1"/>
                <c:pt idx="0">
                  <c:v>Tx &amp; Lab Costs</c:v>
                </c:pt>
              </c:strCache>
            </c:strRef>
          </c:tx>
          <c:spPr>
            <a:solidFill>
              <a:srgbClr val="C00000"/>
            </a:solidFill>
            <a:ln>
              <a:noFill/>
            </a:ln>
          </c:spPr>
          <c:invertIfNegative val="0"/>
          <c:cat>
            <c:numRef>
              <c:f>'Economic Impact'!$E$3634:$AO$3634</c:f>
              <c:numCache>
                <c:formatCode>General</c:formatCode>
                <c:ptCount val="3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numCache>
            </c:numRef>
          </c:cat>
          <c:val>
            <c:numRef>
              <c:f>'Economic Impact'!$E$3915:$AO$3915</c:f>
              <c:numCache>
                <c:formatCode>#,##0</c:formatCode>
                <c:ptCount val="37"/>
                <c:pt idx="0">
                  <c:v>10.59224439858491</c:v>
                </c:pt>
                <c:pt idx="1">
                  <c:v>38.168361928071</c:v>
                </c:pt>
                <c:pt idx="2">
                  <c:v>38.168361928071</c:v>
                </c:pt>
                <c:pt idx="3">
                  <c:v>64.674419172570595</c:v>
                </c:pt>
                <c:pt idx="4">
                  <c:v>64.674419172570595</c:v>
                </c:pt>
                <c:pt idx="5">
                  <c:v>64.674419172570595</c:v>
                </c:pt>
                <c:pt idx="6">
                  <c:v>93.777907800227581</c:v>
                </c:pt>
                <c:pt idx="7">
                  <c:v>93.777907800227581</c:v>
                </c:pt>
                <c:pt idx="8">
                  <c:v>93.777907800227581</c:v>
                </c:pt>
                <c:pt idx="9">
                  <c:v>93.777907800227581</c:v>
                </c:pt>
                <c:pt idx="10">
                  <c:v>62.622379183898751</c:v>
                </c:pt>
                <c:pt idx="11">
                  <c:v>62.622379183898751</c:v>
                </c:pt>
                <c:pt idx="12">
                  <c:v>62.622379183898751</c:v>
                </c:pt>
                <c:pt idx="13">
                  <c:v>62.62237918389873</c:v>
                </c:pt>
                <c:pt idx="14">
                  <c:v>62.622379183898751</c:v>
                </c:pt>
                <c:pt idx="15">
                  <c:v>62.622379183898751</c:v>
                </c:pt>
                <c:pt idx="16">
                  <c:v>62.62237918389873</c:v>
                </c:pt>
                <c:pt idx="17">
                  <c:v>62.622379183898751</c:v>
                </c:pt>
                <c:pt idx="18">
                  <c:v>62.622379183898751</c:v>
                </c:pt>
                <c:pt idx="19">
                  <c:v>62.62237918389873</c:v>
                </c:pt>
                <c:pt idx="20">
                  <c:v>30.060101943206579</c:v>
                </c:pt>
                <c:pt idx="21">
                  <c:v>1.9765489384239201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xmlns:c16r2="http://schemas.microsoft.com/office/drawing/2015/06/chart">
            <c:ext xmlns:c16="http://schemas.microsoft.com/office/drawing/2014/chart" uri="{C3380CC4-5D6E-409C-BE32-E72D297353CC}">
              <c16:uniqueId val="{00000002-24CA-4027-B308-3BB7BE6F2F5E}"/>
            </c:ext>
          </c:extLst>
        </c:ser>
        <c:dLbls>
          <c:showLegendKey val="0"/>
          <c:showVal val="0"/>
          <c:showCatName val="0"/>
          <c:showSerName val="0"/>
          <c:showPercent val="0"/>
          <c:showBubbleSize val="0"/>
        </c:dLbls>
        <c:gapWidth val="150"/>
        <c:overlap val="100"/>
        <c:axId val="116411776"/>
        <c:axId val="116421760"/>
      </c:barChart>
      <c:dateAx>
        <c:axId val="116411776"/>
        <c:scaling>
          <c:orientation val="minMax"/>
        </c:scaling>
        <c:delete val="0"/>
        <c:axPos val="b"/>
        <c:numFmt formatCode="General" sourceLinked="1"/>
        <c:majorTickMark val="out"/>
        <c:minorTickMark val="none"/>
        <c:tickLblPos val="nextTo"/>
        <c:txPr>
          <a:bodyPr rot="-2700000"/>
          <a:lstStyle/>
          <a:p>
            <a:pPr>
              <a:defRPr sz="1050"/>
            </a:pPr>
            <a:endParaRPr lang="zh-CN"/>
          </a:p>
        </c:txPr>
        <c:crossAx val="116421760"/>
        <c:crosses val="autoZero"/>
        <c:auto val="0"/>
        <c:lblOffset val="100"/>
        <c:baseTimeUnit val="days"/>
        <c:minorUnit val="1"/>
      </c:dateAx>
      <c:valAx>
        <c:axId val="116421760"/>
        <c:scaling>
          <c:orientation val="minMax"/>
          <c:max val="200"/>
        </c:scaling>
        <c:delete val="0"/>
        <c:axPos val="l"/>
        <c:majorGridlines>
          <c:spPr>
            <a:ln>
              <a:solidFill>
                <a:prstClr val="white">
                  <a:lumMod val="75000"/>
                </a:prstClr>
              </a:solidFill>
            </a:ln>
          </c:spPr>
        </c:majorGridlines>
        <c:title>
          <c:tx>
            <c:rich>
              <a:bodyPr rot="-5400000" vert="horz"/>
              <a:lstStyle/>
              <a:p>
                <a:pPr>
                  <a:defRPr sz="1400"/>
                </a:pPr>
                <a:r>
                  <a:rPr lang="en-US" altLang="zh-CN" dirty="0"/>
                  <a:t>Annual cost (euro millions)</a:t>
                </a:r>
              </a:p>
            </c:rich>
          </c:tx>
          <c:overlay val="0"/>
        </c:title>
        <c:numFmt formatCode="#,##0" sourceLinked="1"/>
        <c:majorTickMark val="out"/>
        <c:minorTickMark val="none"/>
        <c:tickLblPos val="nextTo"/>
        <c:spPr>
          <a:ln>
            <a:noFill/>
          </a:ln>
        </c:spPr>
        <c:txPr>
          <a:bodyPr/>
          <a:lstStyle/>
          <a:p>
            <a:pPr>
              <a:defRPr sz="1100"/>
            </a:pPr>
            <a:endParaRPr lang="zh-CN"/>
          </a:p>
        </c:txPr>
        <c:crossAx val="116411776"/>
        <c:crosses val="autoZero"/>
        <c:crossBetween val="between"/>
      </c:valAx>
      <c:spPr>
        <a:noFill/>
      </c:spPr>
    </c:plotArea>
    <c:legend>
      <c:legendPos val="b"/>
      <c:overlay val="0"/>
      <c:spPr>
        <a:noFill/>
      </c:spPr>
      <c:txPr>
        <a:bodyPr/>
        <a:lstStyle/>
        <a:p>
          <a:pPr>
            <a:defRPr sz="1400"/>
          </a:pPr>
          <a:endParaRPr lang="zh-CN"/>
        </a:p>
      </c:txPr>
    </c:legend>
    <c:plotVisOnly val="1"/>
    <c:dispBlanksAs val="gap"/>
    <c:showDLblsOverMax val="0"/>
  </c:chart>
  <c:spPr>
    <a:noFill/>
    <a:ln>
      <a:noFill/>
    </a:ln>
    <a:scene3d>
      <a:camera prst="orthographicFront"/>
      <a:lightRig rig="threePt" dir="t"/>
    </a:scene3d>
    <a:sp3d>
      <a:bevelT/>
    </a:sp3d>
  </c:spPr>
  <c:txPr>
    <a:bodyPr/>
    <a:lstStyle/>
    <a:p>
      <a:pPr>
        <a:defRPr sz="900">
          <a:latin typeface="Arial" pitchFamily="34" charset="0"/>
          <a:cs typeface="Arial" pitchFamily="34"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40A7A-CDB0-462E-BAC1-03DDB484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7458</Words>
  <Characters>42517</Characters>
  <Application>Microsoft Office Word</Application>
  <DocSecurity>0</DocSecurity>
  <Lines>354</Lines>
  <Paragraphs>99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49876</CharactersWithSpaces>
  <SharedDoc>false</SharedDoc>
  <HLinks>
    <vt:vector size="12" baseType="variant">
      <vt:variant>
        <vt:i4>1310805</vt:i4>
      </vt:variant>
      <vt:variant>
        <vt:i4>117</vt:i4>
      </vt:variant>
      <vt:variant>
        <vt:i4>0</vt:i4>
      </vt:variant>
      <vt:variant>
        <vt:i4>5</vt:i4>
      </vt:variant>
      <vt:variant>
        <vt:lpwstr>http://healthmag.gr/</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dc:creator>
  <cp:keywords/>
  <cp:lastModifiedBy>Shuai Ma</cp:lastModifiedBy>
  <cp:revision>22</cp:revision>
  <cp:lastPrinted>2018-05-08T03:41:00Z</cp:lastPrinted>
  <dcterms:created xsi:type="dcterms:W3CDTF">2019-02-26T21:05:00Z</dcterms:created>
  <dcterms:modified xsi:type="dcterms:W3CDTF">2019-03-19T06:05:00Z</dcterms:modified>
</cp:coreProperties>
</file>