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6F00C" w14:textId="77777777" w:rsidR="00342C41" w:rsidRPr="00E10230" w:rsidRDefault="00342C41" w:rsidP="00E10230">
      <w:pPr>
        <w:spacing w:after="0" w:line="360" w:lineRule="auto"/>
        <w:jc w:val="both"/>
        <w:rPr>
          <w:rFonts w:ascii="Book Antiqua" w:hAnsi="Book Antiqua" w:cs="Arial"/>
          <w:b/>
          <w:i/>
          <w:sz w:val="24"/>
          <w:szCs w:val="24"/>
        </w:rPr>
      </w:pPr>
      <w:bookmarkStart w:id="0" w:name="_Hlk508302457"/>
      <w:r w:rsidRPr="00E10230">
        <w:rPr>
          <w:rFonts w:ascii="Book Antiqua" w:hAnsi="Book Antiqua" w:cs="Arial"/>
          <w:b/>
          <w:sz w:val="24"/>
          <w:szCs w:val="24"/>
        </w:rPr>
        <w:t>Name of Journal</w:t>
      </w:r>
      <w:r w:rsidRPr="00E10230">
        <w:rPr>
          <w:rFonts w:ascii="Book Antiqua" w:hAnsi="Book Antiqua" w:cs="Arial"/>
          <w:sz w:val="24"/>
          <w:szCs w:val="24"/>
        </w:rPr>
        <w:t xml:space="preserve">: </w:t>
      </w:r>
      <w:r w:rsidRPr="00E10230">
        <w:rPr>
          <w:rFonts w:ascii="Book Antiqua" w:hAnsi="Book Antiqua" w:cs="Arial"/>
          <w:i/>
          <w:sz w:val="24"/>
          <w:szCs w:val="24"/>
        </w:rPr>
        <w:t>World Journal of Hepatology</w:t>
      </w:r>
    </w:p>
    <w:p w14:paraId="2A13B322" w14:textId="77777777" w:rsidR="00141D23" w:rsidRPr="00E10230" w:rsidRDefault="0065173A" w:rsidP="00E10230">
      <w:pPr>
        <w:spacing w:after="0" w:line="360" w:lineRule="auto"/>
        <w:jc w:val="both"/>
        <w:rPr>
          <w:rFonts w:ascii="Book Antiqua" w:eastAsiaTheme="minorEastAsia" w:hAnsi="Book Antiqua" w:cs="Arial"/>
          <w:b/>
          <w:sz w:val="24"/>
          <w:szCs w:val="24"/>
          <w:lang w:eastAsia="zh-CN"/>
        </w:rPr>
      </w:pPr>
      <w:r w:rsidRPr="00E10230">
        <w:rPr>
          <w:rFonts w:ascii="Book Antiqua" w:hAnsi="Book Antiqua" w:cs="Arial"/>
          <w:b/>
          <w:sz w:val="24"/>
          <w:szCs w:val="24"/>
        </w:rPr>
        <w:t>Manuscript</w:t>
      </w:r>
      <w:r w:rsidRPr="00E10230">
        <w:rPr>
          <w:rFonts w:ascii="Book Antiqua" w:eastAsiaTheme="minorEastAsia" w:hAnsi="Book Antiqua" w:cs="Arial"/>
          <w:b/>
          <w:sz w:val="24"/>
          <w:szCs w:val="24"/>
          <w:lang w:eastAsia="zh-CN"/>
        </w:rPr>
        <w:t xml:space="preserve"> NO: </w:t>
      </w:r>
      <w:r w:rsidRPr="00E10230">
        <w:rPr>
          <w:rFonts w:ascii="Book Antiqua" w:eastAsiaTheme="minorEastAsia" w:hAnsi="Book Antiqua" w:cs="Arial"/>
          <w:sz w:val="24"/>
          <w:szCs w:val="24"/>
          <w:lang w:eastAsia="zh-CN"/>
        </w:rPr>
        <w:t>42713</w:t>
      </w:r>
    </w:p>
    <w:p w14:paraId="1A801F16" w14:textId="27076FB5" w:rsidR="00BF55B0" w:rsidRPr="00E10230" w:rsidRDefault="00342C41" w:rsidP="00E10230">
      <w:pPr>
        <w:spacing w:after="0" w:line="360" w:lineRule="auto"/>
        <w:jc w:val="both"/>
        <w:rPr>
          <w:rFonts w:ascii="Book Antiqua" w:eastAsiaTheme="minorEastAsia" w:hAnsi="Book Antiqua" w:cs="Arial"/>
          <w:sz w:val="24"/>
          <w:szCs w:val="24"/>
          <w:lang w:eastAsia="zh-CN"/>
        </w:rPr>
      </w:pPr>
      <w:r w:rsidRPr="00E10230">
        <w:rPr>
          <w:rFonts w:ascii="Book Antiqua" w:hAnsi="Book Antiqua" w:cs="Arial"/>
          <w:b/>
          <w:sz w:val="24"/>
          <w:szCs w:val="24"/>
        </w:rPr>
        <w:t>Manuscript Type</w:t>
      </w:r>
      <w:r w:rsidRPr="00E10230">
        <w:rPr>
          <w:rFonts w:ascii="Book Antiqua" w:hAnsi="Book Antiqua" w:cs="Arial"/>
          <w:sz w:val="24"/>
          <w:szCs w:val="24"/>
        </w:rPr>
        <w:t xml:space="preserve">: </w:t>
      </w:r>
      <w:r w:rsidR="00BF55B0" w:rsidRPr="00E10230">
        <w:rPr>
          <w:rFonts w:ascii="Book Antiqua" w:eastAsiaTheme="minorEastAsia" w:hAnsi="Book Antiqua" w:cs="Arial"/>
          <w:sz w:val="24"/>
          <w:szCs w:val="24"/>
          <w:lang w:eastAsia="zh-CN"/>
        </w:rPr>
        <w:t>ORGINAL ARTICLE</w:t>
      </w:r>
    </w:p>
    <w:p w14:paraId="595A43B3" w14:textId="77777777" w:rsidR="00BF55B0" w:rsidRPr="00E10230" w:rsidRDefault="00BF55B0" w:rsidP="00E10230">
      <w:pPr>
        <w:spacing w:after="0" w:line="360" w:lineRule="auto"/>
        <w:jc w:val="both"/>
        <w:rPr>
          <w:rFonts w:ascii="Book Antiqua" w:eastAsiaTheme="minorEastAsia" w:hAnsi="Book Antiqua" w:cs="Arial"/>
          <w:sz w:val="24"/>
          <w:szCs w:val="24"/>
          <w:lang w:eastAsia="zh-CN"/>
        </w:rPr>
      </w:pPr>
    </w:p>
    <w:p w14:paraId="3ADECD16" w14:textId="40355713" w:rsidR="005C394F" w:rsidRPr="005A1552" w:rsidRDefault="00342C41" w:rsidP="00E10230">
      <w:pPr>
        <w:spacing w:after="0" w:line="360" w:lineRule="auto"/>
        <w:jc w:val="both"/>
        <w:rPr>
          <w:rFonts w:ascii="Book Antiqua" w:eastAsiaTheme="minorEastAsia" w:hAnsi="Book Antiqua" w:cs="Arial"/>
          <w:b/>
          <w:i/>
          <w:sz w:val="24"/>
          <w:szCs w:val="24"/>
          <w:lang w:eastAsia="zh-CN"/>
        </w:rPr>
      </w:pPr>
      <w:r w:rsidRPr="005A1552">
        <w:rPr>
          <w:rFonts w:ascii="Book Antiqua" w:hAnsi="Book Antiqua" w:cs="Arial"/>
          <w:b/>
          <w:i/>
          <w:sz w:val="24"/>
          <w:szCs w:val="24"/>
        </w:rPr>
        <w:t>Basic Study</w:t>
      </w:r>
      <w:bookmarkStart w:id="1" w:name="_Hlk526361941"/>
    </w:p>
    <w:p w14:paraId="1A0BCE74" w14:textId="34E5C6A4" w:rsidR="001156B1" w:rsidRPr="00E10230" w:rsidRDefault="00BF55B0" w:rsidP="00E10230">
      <w:pPr>
        <w:spacing w:after="0" w:line="360" w:lineRule="auto"/>
        <w:jc w:val="both"/>
        <w:rPr>
          <w:rFonts w:ascii="Book Antiqua" w:eastAsiaTheme="minorEastAsia" w:hAnsi="Book Antiqua" w:cs="Arial"/>
          <w:b/>
          <w:sz w:val="24"/>
          <w:szCs w:val="24"/>
          <w:lang w:eastAsia="zh-CN"/>
        </w:rPr>
      </w:pPr>
      <w:r w:rsidRPr="00E10230">
        <w:rPr>
          <w:rFonts w:ascii="Book Antiqua" w:hAnsi="Book Antiqua" w:cs="Arial"/>
          <w:b/>
          <w:sz w:val="24"/>
          <w:szCs w:val="24"/>
        </w:rPr>
        <w:t>Temporal trends of cirrhosis associated conditions</w:t>
      </w:r>
    </w:p>
    <w:p w14:paraId="6E026322" w14:textId="77777777" w:rsidR="00BF55B0" w:rsidRPr="00E10230" w:rsidRDefault="00BF55B0" w:rsidP="00E10230">
      <w:pPr>
        <w:spacing w:after="0" w:line="360" w:lineRule="auto"/>
        <w:jc w:val="both"/>
        <w:rPr>
          <w:rFonts w:ascii="Book Antiqua" w:eastAsiaTheme="minorEastAsia" w:hAnsi="Book Antiqua" w:cs="Arial"/>
          <w:b/>
          <w:sz w:val="24"/>
          <w:szCs w:val="24"/>
          <w:lang w:eastAsia="zh-CN"/>
        </w:rPr>
      </w:pPr>
    </w:p>
    <w:bookmarkEnd w:id="1"/>
    <w:p w14:paraId="7F8AFAA4" w14:textId="26D1A570" w:rsidR="005C394F" w:rsidRPr="00E10230" w:rsidRDefault="00BF55B0" w:rsidP="00E10230">
      <w:pPr>
        <w:spacing w:after="0" w:line="360" w:lineRule="auto"/>
        <w:jc w:val="both"/>
        <w:rPr>
          <w:rFonts w:ascii="Book Antiqua" w:eastAsiaTheme="minorEastAsia" w:hAnsi="Book Antiqua" w:cs="Arial"/>
          <w:sz w:val="24"/>
          <w:szCs w:val="24"/>
          <w:lang w:eastAsia="zh-CN"/>
        </w:rPr>
      </w:pPr>
      <w:r w:rsidRPr="00E10230">
        <w:rPr>
          <w:rFonts w:ascii="Book Antiqua" w:hAnsi="Book Antiqua" w:cs="Arial"/>
          <w:sz w:val="24"/>
          <w:szCs w:val="24"/>
        </w:rPr>
        <w:t>Sempokuya</w:t>
      </w:r>
      <w:r w:rsidRPr="00E10230">
        <w:rPr>
          <w:rFonts w:ascii="Book Antiqua" w:eastAsiaTheme="minorEastAsia" w:hAnsi="Book Antiqua" w:cs="Arial"/>
          <w:sz w:val="24"/>
          <w:szCs w:val="24"/>
          <w:lang w:eastAsia="zh-CN"/>
        </w:rPr>
        <w:t xml:space="preserve"> T </w:t>
      </w:r>
      <w:r w:rsidRPr="00E10230">
        <w:rPr>
          <w:rFonts w:ascii="Book Antiqua" w:eastAsiaTheme="minorEastAsia" w:hAnsi="Book Antiqua" w:cs="Arial"/>
          <w:i/>
          <w:sz w:val="24"/>
          <w:szCs w:val="24"/>
          <w:lang w:eastAsia="zh-CN"/>
        </w:rPr>
        <w:t>et al</w:t>
      </w:r>
      <w:r w:rsidRPr="00E10230">
        <w:rPr>
          <w:rFonts w:ascii="Book Antiqua" w:eastAsiaTheme="minorEastAsia" w:hAnsi="Book Antiqua" w:cs="Arial"/>
          <w:sz w:val="24"/>
          <w:szCs w:val="24"/>
          <w:lang w:eastAsia="zh-CN"/>
        </w:rPr>
        <w:t>.</w:t>
      </w:r>
      <w:r w:rsidR="00F87273" w:rsidRPr="00E10230">
        <w:rPr>
          <w:rFonts w:ascii="Book Antiqua" w:hAnsi="Book Antiqua" w:cs="Arial"/>
          <w:sz w:val="24"/>
          <w:szCs w:val="24"/>
        </w:rPr>
        <w:t xml:space="preserve"> Trends of </w:t>
      </w:r>
      <w:r w:rsidRPr="00E10230">
        <w:rPr>
          <w:rFonts w:ascii="Book Antiqua" w:hAnsi="Book Antiqua" w:cs="Arial"/>
          <w:sz w:val="24"/>
          <w:szCs w:val="24"/>
        </w:rPr>
        <w:t>cirrhosis associated conditions</w:t>
      </w:r>
    </w:p>
    <w:p w14:paraId="26E8EED3" w14:textId="77777777" w:rsidR="00BF55B0" w:rsidRPr="00E10230" w:rsidRDefault="00BF55B0" w:rsidP="00E10230">
      <w:pPr>
        <w:spacing w:after="0" w:line="360" w:lineRule="auto"/>
        <w:jc w:val="both"/>
        <w:rPr>
          <w:rFonts w:ascii="Book Antiqua" w:eastAsiaTheme="minorEastAsia" w:hAnsi="Book Antiqua" w:cs="Arial"/>
          <w:b/>
          <w:sz w:val="24"/>
          <w:szCs w:val="24"/>
          <w:lang w:eastAsia="zh-CN"/>
        </w:rPr>
      </w:pPr>
    </w:p>
    <w:p w14:paraId="11BE6602" w14:textId="1D2878CC" w:rsidR="00FB1910" w:rsidRPr="00222F37" w:rsidRDefault="00FB1910" w:rsidP="00E10230">
      <w:pPr>
        <w:spacing w:after="0" w:line="360" w:lineRule="auto"/>
        <w:jc w:val="both"/>
        <w:rPr>
          <w:rFonts w:ascii="Book Antiqua" w:hAnsi="Book Antiqua" w:cs="Arial"/>
          <w:sz w:val="24"/>
          <w:szCs w:val="24"/>
        </w:rPr>
      </w:pPr>
      <w:bookmarkStart w:id="2" w:name="_Hlk529180726"/>
      <w:bookmarkEnd w:id="0"/>
      <w:r w:rsidRPr="00222F37">
        <w:rPr>
          <w:rFonts w:ascii="Book Antiqua" w:hAnsi="Book Antiqua" w:cs="Arial"/>
          <w:sz w:val="24"/>
          <w:szCs w:val="24"/>
        </w:rPr>
        <w:t>Tomoki Sempokuya, Guangxiang Zhang, Kazuma Nakagawa</w:t>
      </w:r>
    </w:p>
    <w:bookmarkEnd w:id="2"/>
    <w:p w14:paraId="505C1B17" w14:textId="77777777" w:rsidR="00A000CA" w:rsidRPr="00E10230" w:rsidRDefault="00A000CA" w:rsidP="00E10230">
      <w:pPr>
        <w:spacing w:after="0" w:line="360" w:lineRule="auto"/>
        <w:jc w:val="both"/>
        <w:rPr>
          <w:rFonts w:ascii="Book Antiqua" w:hAnsi="Book Antiqua" w:cs="Arial"/>
          <w:b/>
          <w:sz w:val="24"/>
          <w:szCs w:val="24"/>
        </w:rPr>
      </w:pPr>
    </w:p>
    <w:p w14:paraId="78881C51" w14:textId="1E1A850F" w:rsidR="00FB1910" w:rsidRPr="00E10230" w:rsidRDefault="00BF55B0" w:rsidP="00E10230">
      <w:pPr>
        <w:spacing w:after="0" w:line="360" w:lineRule="auto"/>
        <w:jc w:val="both"/>
        <w:rPr>
          <w:rFonts w:ascii="Book Antiqua" w:eastAsiaTheme="minorEastAsia" w:hAnsi="Book Antiqua" w:cs="Arial"/>
          <w:b/>
          <w:sz w:val="24"/>
          <w:szCs w:val="24"/>
          <w:lang w:eastAsia="zh-CN"/>
        </w:rPr>
      </w:pPr>
      <w:r w:rsidRPr="00E10230">
        <w:rPr>
          <w:rFonts w:ascii="Book Antiqua" w:hAnsi="Book Antiqua" w:cs="Arial"/>
          <w:b/>
          <w:sz w:val="24"/>
          <w:szCs w:val="24"/>
        </w:rPr>
        <w:t>Tomoki Sempokuya, Guangxiang Zhang, Kazuma Nakagawa</w:t>
      </w:r>
      <w:r w:rsidRPr="00E10230">
        <w:rPr>
          <w:rFonts w:ascii="Book Antiqua" w:eastAsiaTheme="minorEastAsia" w:hAnsi="Book Antiqua" w:cs="Arial"/>
          <w:b/>
          <w:sz w:val="24"/>
          <w:szCs w:val="24"/>
          <w:lang w:eastAsia="zh-CN"/>
        </w:rPr>
        <w:t xml:space="preserve">, </w:t>
      </w:r>
      <w:r w:rsidR="00AB0446" w:rsidRPr="00E10230">
        <w:rPr>
          <w:rFonts w:ascii="Book Antiqua" w:hAnsi="Book Antiqua" w:cs="Arial"/>
          <w:sz w:val="24"/>
          <w:szCs w:val="24"/>
        </w:rPr>
        <w:t>Department of Internal Medicine, t</w:t>
      </w:r>
      <w:r w:rsidR="00FB1910" w:rsidRPr="00E10230">
        <w:rPr>
          <w:rFonts w:ascii="Book Antiqua" w:hAnsi="Book Antiqua" w:cs="Arial"/>
          <w:sz w:val="24"/>
          <w:szCs w:val="24"/>
        </w:rPr>
        <w:t>he Queen’s Medical Center, Honolulu, HI</w:t>
      </w:r>
      <w:r w:rsidRPr="00E10230">
        <w:rPr>
          <w:rFonts w:ascii="Book Antiqua" w:eastAsiaTheme="minorEastAsia" w:hAnsi="Book Antiqua" w:cs="Arial"/>
          <w:sz w:val="24"/>
          <w:szCs w:val="24"/>
          <w:lang w:eastAsia="zh-CN"/>
        </w:rPr>
        <w:t xml:space="preserve"> 968132</w:t>
      </w:r>
      <w:r w:rsidR="00BA52BE" w:rsidRPr="00E10230">
        <w:rPr>
          <w:rFonts w:ascii="Book Antiqua" w:hAnsi="Book Antiqua" w:cs="Arial"/>
          <w:sz w:val="24"/>
          <w:szCs w:val="24"/>
        </w:rPr>
        <w:t xml:space="preserve">, </w:t>
      </w:r>
      <w:r w:rsidRPr="00E10230">
        <w:rPr>
          <w:rFonts w:ascii="Book Antiqua" w:eastAsiaTheme="minorEastAsia" w:hAnsi="Book Antiqua" w:cs="Arial"/>
          <w:sz w:val="24"/>
          <w:szCs w:val="24"/>
          <w:lang w:eastAsia="zh-CN"/>
        </w:rPr>
        <w:t>United States</w:t>
      </w:r>
    </w:p>
    <w:p w14:paraId="18B33CE6" w14:textId="77777777" w:rsidR="005C394F" w:rsidRPr="00E10230" w:rsidRDefault="005C394F" w:rsidP="00E10230">
      <w:pPr>
        <w:spacing w:after="0" w:line="360" w:lineRule="auto"/>
        <w:jc w:val="both"/>
        <w:rPr>
          <w:rFonts w:ascii="Book Antiqua" w:hAnsi="Book Antiqua" w:cs="Arial"/>
          <w:b/>
          <w:sz w:val="24"/>
          <w:szCs w:val="24"/>
        </w:rPr>
      </w:pPr>
    </w:p>
    <w:p w14:paraId="2F340591" w14:textId="1D7BBF82" w:rsidR="0054466E" w:rsidRPr="00E10230" w:rsidRDefault="00342C41" w:rsidP="00E10230">
      <w:pPr>
        <w:spacing w:after="0" w:line="360" w:lineRule="auto"/>
        <w:jc w:val="both"/>
        <w:rPr>
          <w:rFonts w:ascii="Book Antiqua" w:hAnsi="Book Antiqua" w:cs="Arial"/>
          <w:sz w:val="24"/>
          <w:szCs w:val="24"/>
        </w:rPr>
      </w:pPr>
      <w:r w:rsidRPr="00E10230">
        <w:rPr>
          <w:rFonts w:ascii="Book Antiqua" w:hAnsi="Book Antiqua" w:cs="Arial"/>
          <w:b/>
          <w:sz w:val="24"/>
          <w:szCs w:val="24"/>
        </w:rPr>
        <w:t>ORCID number</w:t>
      </w:r>
      <w:r w:rsidRPr="00E10230">
        <w:rPr>
          <w:rFonts w:ascii="Book Antiqua" w:hAnsi="Book Antiqua" w:cs="Arial"/>
          <w:sz w:val="24"/>
          <w:szCs w:val="24"/>
        </w:rPr>
        <w:t>: Tomoki Sempokuya (0000-0002-7334-3528</w:t>
      </w:r>
      <w:r w:rsidR="00422A61" w:rsidRPr="00E10230">
        <w:rPr>
          <w:rFonts w:ascii="Book Antiqua" w:hAnsi="Book Antiqua" w:cs="Arial"/>
          <w:sz w:val="24"/>
          <w:szCs w:val="24"/>
        </w:rPr>
        <w:t>); Guangx</w:t>
      </w:r>
      <w:r w:rsidR="00B05716" w:rsidRPr="00E10230">
        <w:rPr>
          <w:rFonts w:ascii="Book Antiqua" w:hAnsi="Book Antiqua" w:cs="Arial"/>
          <w:sz w:val="24"/>
          <w:szCs w:val="24"/>
        </w:rPr>
        <w:t>i</w:t>
      </w:r>
      <w:r w:rsidR="00422A61" w:rsidRPr="00E10230">
        <w:rPr>
          <w:rFonts w:ascii="Book Antiqua" w:hAnsi="Book Antiqua" w:cs="Arial"/>
          <w:sz w:val="24"/>
          <w:szCs w:val="24"/>
        </w:rPr>
        <w:t>ang Zhang (</w:t>
      </w:r>
      <w:r w:rsidR="006D7196" w:rsidRPr="00E10230">
        <w:rPr>
          <w:rFonts w:ascii="Book Antiqua" w:hAnsi="Book Antiqua" w:cs="Arial"/>
          <w:sz w:val="24"/>
          <w:szCs w:val="24"/>
        </w:rPr>
        <w:t>0000-0002-4788-5542</w:t>
      </w:r>
      <w:r w:rsidR="00422A61" w:rsidRPr="00E10230">
        <w:rPr>
          <w:rFonts w:ascii="Book Antiqua" w:hAnsi="Book Antiqua" w:cs="Arial"/>
          <w:sz w:val="24"/>
          <w:szCs w:val="24"/>
        </w:rPr>
        <w:t>)</w:t>
      </w:r>
      <w:r w:rsidR="00BF55B0" w:rsidRPr="00E10230">
        <w:rPr>
          <w:rFonts w:ascii="Book Antiqua" w:eastAsiaTheme="minorEastAsia" w:hAnsi="Book Antiqua" w:cs="Arial"/>
          <w:sz w:val="24"/>
          <w:szCs w:val="24"/>
          <w:lang w:eastAsia="zh-CN"/>
        </w:rPr>
        <w:t>;</w:t>
      </w:r>
      <w:r w:rsidR="00422A61" w:rsidRPr="00E10230">
        <w:rPr>
          <w:rFonts w:ascii="Book Antiqua" w:hAnsi="Book Antiqua" w:cs="Arial"/>
          <w:sz w:val="24"/>
          <w:szCs w:val="24"/>
        </w:rPr>
        <w:t xml:space="preserve"> Kazuma Nakagawa (</w:t>
      </w:r>
      <w:r w:rsidR="006D7196" w:rsidRPr="00E10230">
        <w:rPr>
          <w:rFonts w:ascii="Book Antiqua" w:hAnsi="Book Antiqua" w:cs="Arial"/>
          <w:sz w:val="24"/>
          <w:szCs w:val="24"/>
        </w:rPr>
        <w:t>0000-0002-8744-8531</w:t>
      </w:r>
      <w:r w:rsidR="00422A61" w:rsidRPr="00E10230">
        <w:rPr>
          <w:rFonts w:ascii="Book Antiqua" w:hAnsi="Book Antiqua" w:cs="Arial"/>
          <w:sz w:val="24"/>
          <w:szCs w:val="24"/>
        </w:rPr>
        <w:t>).</w:t>
      </w:r>
    </w:p>
    <w:p w14:paraId="79C6667C" w14:textId="77777777" w:rsidR="005C394F" w:rsidRPr="00E10230" w:rsidRDefault="005C394F" w:rsidP="00E10230">
      <w:pPr>
        <w:spacing w:after="0" w:line="360" w:lineRule="auto"/>
        <w:jc w:val="both"/>
        <w:rPr>
          <w:rFonts w:ascii="Book Antiqua" w:hAnsi="Book Antiqua" w:cs="Arial"/>
          <w:b/>
          <w:sz w:val="24"/>
          <w:szCs w:val="24"/>
        </w:rPr>
      </w:pPr>
    </w:p>
    <w:p w14:paraId="4B56A8F2" w14:textId="10BEE5CD" w:rsidR="00422A61" w:rsidRPr="00E10230" w:rsidRDefault="005A1552" w:rsidP="00E10230">
      <w:pPr>
        <w:spacing w:after="0" w:line="360" w:lineRule="auto"/>
        <w:jc w:val="both"/>
        <w:rPr>
          <w:rFonts w:ascii="Book Antiqua" w:hAnsi="Book Antiqua" w:cs="Arial"/>
          <w:sz w:val="24"/>
          <w:szCs w:val="24"/>
        </w:rPr>
      </w:pPr>
      <w:r w:rsidRPr="009F19CA">
        <w:rPr>
          <w:rFonts w:ascii="Book Antiqua" w:hAnsi="Book Antiqua"/>
          <w:b/>
          <w:color w:val="000000"/>
          <w:sz w:val="24"/>
          <w:szCs w:val="24"/>
          <w:lang w:val="en-GB"/>
        </w:rPr>
        <w:t>Author contributions:</w:t>
      </w:r>
      <w:r w:rsidR="00422A61" w:rsidRPr="00E10230">
        <w:rPr>
          <w:rFonts w:ascii="Book Antiqua" w:hAnsi="Book Antiqua" w:cs="Arial"/>
          <w:sz w:val="24"/>
          <w:szCs w:val="24"/>
        </w:rPr>
        <w:t xml:space="preserve"> Sempokuya T </w:t>
      </w:r>
      <w:r w:rsidR="005C394F" w:rsidRPr="00E10230">
        <w:rPr>
          <w:rFonts w:ascii="Book Antiqua" w:hAnsi="Book Antiqua" w:cs="Arial"/>
          <w:sz w:val="24"/>
          <w:szCs w:val="24"/>
        </w:rPr>
        <w:t xml:space="preserve">conception and designed the study, </w:t>
      </w:r>
      <w:r w:rsidR="00422A61" w:rsidRPr="00E10230">
        <w:rPr>
          <w:rFonts w:ascii="Book Antiqua" w:hAnsi="Book Antiqua" w:cs="Arial"/>
          <w:sz w:val="24"/>
          <w:szCs w:val="24"/>
        </w:rPr>
        <w:t>acquired data, drafted and edited this manuscript, Zhang G performed statistical analysis</w:t>
      </w:r>
      <w:r w:rsidR="005C394F" w:rsidRPr="00E10230">
        <w:rPr>
          <w:rFonts w:ascii="Book Antiqua" w:hAnsi="Book Antiqua" w:cs="Arial"/>
          <w:sz w:val="24"/>
          <w:szCs w:val="24"/>
        </w:rPr>
        <w:t xml:space="preserve"> and interpretation of data</w:t>
      </w:r>
      <w:r w:rsidR="00422A61" w:rsidRPr="00E10230">
        <w:rPr>
          <w:rFonts w:ascii="Book Antiqua" w:hAnsi="Book Antiqua" w:cs="Arial"/>
          <w:sz w:val="24"/>
          <w:szCs w:val="24"/>
        </w:rPr>
        <w:t>, drafted and edited the manuscript and Nakagawa K supervised the study and edited the manuscript.</w:t>
      </w:r>
    </w:p>
    <w:p w14:paraId="7516A526" w14:textId="77777777" w:rsidR="005C394F" w:rsidRPr="00E10230" w:rsidRDefault="005C394F" w:rsidP="00E10230">
      <w:pPr>
        <w:spacing w:after="0" w:line="360" w:lineRule="auto"/>
        <w:jc w:val="both"/>
        <w:rPr>
          <w:rFonts w:ascii="Book Antiqua" w:hAnsi="Book Antiqua" w:cs="Arial"/>
          <w:b/>
          <w:sz w:val="24"/>
          <w:szCs w:val="24"/>
        </w:rPr>
      </w:pPr>
    </w:p>
    <w:p w14:paraId="00CA9633" w14:textId="6939587F" w:rsidR="00422A61" w:rsidRPr="00E10230" w:rsidRDefault="005A1552" w:rsidP="00E10230">
      <w:pPr>
        <w:spacing w:after="0" w:line="360" w:lineRule="auto"/>
        <w:jc w:val="both"/>
        <w:rPr>
          <w:rFonts w:ascii="Book Antiqua" w:hAnsi="Book Antiqua" w:cs="Arial"/>
          <w:sz w:val="24"/>
          <w:szCs w:val="24"/>
        </w:rPr>
      </w:pPr>
      <w:r w:rsidRPr="006B06F1">
        <w:rPr>
          <w:rFonts w:ascii="Book Antiqua" w:hAnsi="Book Antiqua"/>
          <w:b/>
          <w:color w:val="000000"/>
          <w:sz w:val="24"/>
          <w:szCs w:val="24"/>
        </w:rPr>
        <w:t>Institutional review board statement:</w:t>
      </w:r>
      <w:r w:rsidR="00422A61" w:rsidRPr="00E10230">
        <w:rPr>
          <w:rFonts w:ascii="Book Antiqua" w:hAnsi="Book Antiqua" w:cs="Arial"/>
          <w:sz w:val="24"/>
          <w:szCs w:val="24"/>
        </w:rPr>
        <w:t xml:space="preserve"> This study utilized publicly-accessible, de-identified administrative </w:t>
      </w:r>
      <w:r w:rsidRPr="00E10230">
        <w:rPr>
          <w:rFonts w:ascii="Book Antiqua" w:hAnsi="Book Antiqua" w:cs="Arial"/>
          <w:sz w:val="24"/>
          <w:szCs w:val="24"/>
        </w:rPr>
        <w:t>level;</w:t>
      </w:r>
      <w:r w:rsidR="00422A61" w:rsidRPr="00E10230">
        <w:rPr>
          <w:rFonts w:ascii="Book Antiqua" w:hAnsi="Book Antiqua" w:cs="Arial"/>
          <w:sz w:val="24"/>
          <w:szCs w:val="24"/>
        </w:rPr>
        <w:t xml:space="preserve"> aggregate data, rather than patient-specific data, approval from the institutional review board was not required to conduct the study.</w:t>
      </w:r>
    </w:p>
    <w:p w14:paraId="76F0CB83" w14:textId="77777777" w:rsidR="005C394F" w:rsidRPr="005A1552" w:rsidRDefault="005C394F" w:rsidP="00E10230">
      <w:pPr>
        <w:spacing w:after="0" w:line="360" w:lineRule="auto"/>
        <w:jc w:val="both"/>
        <w:rPr>
          <w:rFonts w:ascii="Book Antiqua" w:hAnsi="Book Antiqua" w:cs="Arial"/>
          <w:b/>
          <w:sz w:val="24"/>
          <w:szCs w:val="24"/>
        </w:rPr>
      </w:pPr>
    </w:p>
    <w:p w14:paraId="6A257242" w14:textId="5F5D73F4" w:rsidR="005A1552" w:rsidRDefault="005A1552" w:rsidP="005A1552">
      <w:pPr>
        <w:spacing w:after="0" w:line="360" w:lineRule="auto"/>
        <w:jc w:val="both"/>
        <w:rPr>
          <w:rFonts w:ascii="Book Antiqua" w:eastAsiaTheme="minorEastAsia" w:hAnsi="Book Antiqua" w:cs="Arial"/>
          <w:b/>
          <w:sz w:val="24"/>
          <w:szCs w:val="24"/>
          <w:lang w:eastAsia="zh-CN"/>
        </w:rPr>
      </w:pPr>
      <w:r w:rsidRPr="008743FE">
        <w:rPr>
          <w:rFonts w:ascii="Book Antiqua" w:hAnsi="Book Antiqua"/>
          <w:b/>
          <w:color w:val="000000"/>
          <w:sz w:val="24"/>
          <w:szCs w:val="24"/>
        </w:rPr>
        <w:t>Institutional animal care and use committee statement:</w:t>
      </w:r>
      <w:r w:rsidR="00422A61" w:rsidRPr="00E10230">
        <w:rPr>
          <w:rFonts w:ascii="Book Antiqua" w:hAnsi="Book Antiqua" w:cs="Arial"/>
          <w:b/>
          <w:sz w:val="24"/>
          <w:szCs w:val="24"/>
        </w:rPr>
        <w:t xml:space="preserve"> </w:t>
      </w:r>
      <w:r w:rsidR="00422A61" w:rsidRPr="00E10230">
        <w:rPr>
          <w:rFonts w:ascii="Book Antiqua" w:hAnsi="Book Antiqua" w:cs="Arial"/>
          <w:sz w:val="24"/>
          <w:szCs w:val="24"/>
        </w:rPr>
        <w:t>No animal subjects were utilized in this study, so involvement was not needed.</w:t>
      </w:r>
      <w:r w:rsidRPr="005A1552">
        <w:rPr>
          <w:rFonts w:ascii="Book Antiqua" w:hAnsi="Book Antiqua" w:cs="Arial"/>
          <w:b/>
          <w:sz w:val="24"/>
          <w:szCs w:val="24"/>
        </w:rPr>
        <w:t xml:space="preserve"> </w:t>
      </w:r>
    </w:p>
    <w:p w14:paraId="1F365273" w14:textId="77777777" w:rsidR="005A1552" w:rsidRPr="005A1552" w:rsidRDefault="005A1552" w:rsidP="005A1552">
      <w:pPr>
        <w:spacing w:after="0" w:line="360" w:lineRule="auto"/>
        <w:jc w:val="both"/>
        <w:rPr>
          <w:rFonts w:ascii="Book Antiqua" w:eastAsiaTheme="minorEastAsia" w:hAnsi="Book Antiqua" w:cs="Arial"/>
          <w:b/>
          <w:sz w:val="24"/>
          <w:szCs w:val="24"/>
          <w:lang w:eastAsia="zh-CN"/>
        </w:rPr>
      </w:pPr>
    </w:p>
    <w:p w14:paraId="399D3740" w14:textId="77777777" w:rsidR="005A1552" w:rsidRDefault="005A1552" w:rsidP="005A1552">
      <w:pPr>
        <w:spacing w:after="0" w:line="360" w:lineRule="auto"/>
        <w:jc w:val="both"/>
        <w:rPr>
          <w:rFonts w:ascii="Book Antiqua" w:eastAsiaTheme="minorEastAsia" w:hAnsi="Book Antiqua" w:cs="Arial"/>
          <w:sz w:val="24"/>
          <w:szCs w:val="24"/>
          <w:lang w:eastAsia="zh-CN"/>
        </w:rPr>
      </w:pPr>
      <w:r w:rsidRPr="008743FE">
        <w:rPr>
          <w:rFonts w:ascii="Book Antiqua" w:hAnsi="Book Antiqua"/>
          <w:b/>
          <w:color w:val="000000"/>
          <w:sz w:val="24"/>
          <w:szCs w:val="24"/>
        </w:rPr>
        <w:lastRenderedPageBreak/>
        <w:t>Conflict-of-interest statement:</w:t>
      </w:r>
      <w:r w:rsidRPr="00E10230">
        <w:rPr>
          <w:rFonts w:ascii="Book Antiqua" w:hAnsi="Book Antiqua" w:cs="Arial"/>
          <w:sz w:val="24"/>
          <w:szCs w:val="24"/>
        </w:rPr>
        <w:t xml:space="preserve"> All authors disclose no conflict of interest</w:t>
      </w:r>
      <w:r>
        <w:rPr>
          <w:rFonts w:ascii="Book Antiqua" w:eastAsiaTheme="minorEastAsia" w:hAnsi="Book Antiqua" w:cs="Arial" w:hint="eastAsia"/>
          <w:sz w:val="24"/>
          <w:szCs w:val="24"/>
          <w:lang w:eastAsia="zh-CN"/>
        </w:rPr>
        <w:t>.</w:t>
      </w:r>
    </w:p>
    <w:p w14:paraId="0C546221" w14:textId="77777777" w:rsidR="005A1552" w:rsidRPr="005A1552" w:rsidRDefault="005A1552" w:rsidP="005A1552">
      <w:pPr>
        <w:spacing w:after="0" w:line="360" w:lineRule="auto"/>
        <w:jc w:val="both"/>
        <w:rPr>
          <w:rFonts w:ascii="Book Antiqua" w:eastAsiaTheme="minorEastAsia" w:hAnsi="Book Antiqua" w:cs="Arial"/>
          <w:sz w:val="24"/>
          <w:szCs w:val="24"/>
          <w:lang w:eastAsia="zh-CN"/>
        </w:rPr>
      </w:pPr>
    </w:p>
    <w:p w14:paraId="4354191E" w14:textId="77777777" w:rsidR="005A1552" w:rsidRPr="005A1552" w:rsidRDefault="005A1552" w:rsidP="005A1552">
      <w:pPr>
        <w:adjustRightInd w:val="0"/>
        <w:snapToGrid w:val="0"/>
        <w:spacing w:after="0" w:line="360" w:lineRule="auto"/>
        <w:jc w:val="both"/>
        <w:rPr>
          <w:rFonts w:ascii="Book Antiqua" w:hAnsi="Book Antiqua"/>
          <w:b/>
          <w:color w:val="000000"/>
          <w:sz w:val="24"/>
          <w:szCs w:val="24"/>
        </w:rPr>
      </w:pPr>
      <w:r>
        <w:rPr>
          <w:rFonts w:ascii="Book Antiqua" w:hAnsi="Book Antiqua"/>
          <w:b/>
          <w:color w:val="000000"/>
          <w:sz w:val="24"/>
          <w:szCs w:val="24"/>
        </w:rPr>
        <w:t>Data sharing statement:</w:t>
      </w:r>
      <w:r w:rsidRPr="00E10230">
        <w:rPr>
          <w:rFonts w:ascii="Book Antiqua" w:hAnsi="Book Antiqua" w:cs="Arial"/>
          <w:b/>
          <w:sz w:val="24"/>
          <w:szCs w:val="24"/>
        </w:rPr>
        <w:t xml:space="preserve"> </w:t>
      </w:r>
      <w:r w:rsidRPr="00E10230">
        <w:rPr>
          <w:rFonts w:ascii="Book Antiqua" w:hAnsi="Book Antiqua" w:cs="Arial"/>
          <w:sz w:val="24"/>
          <w:szCs w:val="24"/>
        </w:rPr>
        <w:t xml:space="preserve">No additional data are available. </w:t>
      </w:r>
    </w:p>
    <w:p w14:paraId="68287381" w14:textId="77777777" w:rsidR="005C394F" w:rsidRPr="005A1552" w:rsidRDefault="005C394F" w:rsidP="00E10230">
      <w:pPr>
        <w:spacing w:after="0" w:line="360" w:lineRule="auto"/>
        <w:jc w:val="both"/>
        <w:rPr>
          <w:rFonts w:ascii="Book Antiqua" w:eastAsiaTheme="minorEastAsia" w:hAnsi="Book Antiqua" w:cs="Arial"/>
          <w:b/>
          <w:sz w:val="24"/>
          <w:szCs w:val="24"/>
          <w:lang w:eastAsia="zh-CN"/>
        </w:rPr>
      </w:pPr>
    </w:p>
    <w:p w14:paraId="72E40150" w14:textId="74268ACD" w:rsidR="00252406" w:rsidRPr="005A1552" w:rsidRDefault="005A1552" w:rsidP="005A1552">
      <w:pPr>
        <w:autoSpaceDE w:val="0"/>
        <w:autoSpaceDN w:val="0"/>
        <w:adjustRightInd w:val="0"/>
        <w:spacing w:line="360" w:lineRule="auto"/>
        <w:rPr>
          <w:rFonts w:ascii="Book Antiqua" w:hAnsi="Book Antiqua"/>
          <w:b/>
          <w:color w:val="000000"/>
          <w:sz w:val="24"/>
        </w:rPr>
      </w:pPr>
      <w:r w:rsidRPr="00377D8E">
        <w:rPr>
          <w:rFonts w:ascii="Book Antiqua" w:hAnsi="Book Antiqua"/>
          <w:b/>
          <w:color w:val="000000"/>
          <w:sz w:val="24"/>
        </w:rPr>
        <w:t>ARRIVE guidelines statement:</w:t>
      </w:r>
      <w:r w:rsidR="00C36AD0" w:rsidRPr="00E10230">
        <w:rPr>
          <w:rFonts w:ascii="Book Antiqua" w:hAnsi="Book Antiqua" w:cs="Arial"/>
          <w:sz w:val="24"/>
          <w:szCs w:val="24"/>
        </w:rPr>
        <w:t xml:space="preserve"> </w:t>
      </w:r>
      <w:r w:rsidR="00081DB0" w:rsidRPr="00E10230">
        <w:rPr>
          <w:rFonts w:ascii="Book Antiqua" w:hAnsi="Book Antiqua" w:cs="Arial"/>
          <w:sz w:val="24"/>
          <w:szCs w:val="24"/>
        </w:rPr>
        <w:t>The authors have carefully reviewed the ARRIVE guidelines, and the manuscript was prepared and edited in accordance to the ARRIVE guidelines.</w:t>
      </w:r>
    </w:p>
    <w:p w14:paraId="2FAC9D9B" w14:textId="0C26FEF4" w:rsidR="0061554C" w:rsidRPr="005A1552" w:rsidRDefault="0061554C" w:rsidP="00E10230">
      <w:pPr>
        <w:spacing w:after="0" w:line="360" w:lineRule="auto"/>
        <w:jc w:val="both"/>
        <w:rPr>
          <w:rFonts w:ascii="Book Antiqua" w:eastAsiaTheme="minorEastAsia" w:hAnsi="Book Antiqua" w:cs="Arial"/>
          <w:sz w:val="24"/>
          <w:szCs w:val="24"/>
          <w:lang w:eastAsia="zh-CN"/>
        </w:rPr>
      </w:pPr>
    </w:p>
    <w:p w14:paraId="23778784" w14:textId="77777777" w:rsidR="005A1552" w:rsidRPr="008743FE" w:rsidRDefault="005A1552" w:rsidP="005A1552">
      <w:pPr>
        <w:adjustRightInd w:val="0"/>
        <w:snapToGrid w:val="0"/>
        <w:spacing w:after="0" w:line="360" w:lineRule="auto"/>
        <w:jc w:val="both"/>
        <w:rPr>
          <w:rFonts w:ascii="Book Antiqua" w:hAnsi="Book Antiqua"/>
          <w:color w:val="000000"/>
          <w:sz w:val="24"/>
          <w:szCs w:val="24"/>
        </w:rPr>
      </w:pPr>
      <w:r w:rsidRPr="008743FE">
        <w:rPr>
          <w:rFonts w:ascii="Book Antiqua" w:hAnsi="Book Antiqua"/>
          <w:b/>
          <w:color w:val="000000"/>
          <w:sz w:val="24"/>
          <w:szCs w:val="24"/>
        </w:rPr>
        <w:t>Open-Access:</w:t>
      </w:r>
      <w:r w:rsidRPr="008743FE">
        <w:rPr>
          <w:rFonts w:ascii="Book Antiqua" w:hAnsi="Book Antiqua"/>
          <w:color w:val="000000"/>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B96A47A" w14:textId="77777777" w:rsidR="005A1552" w:rsidRPr="008743FE" w:rsidRDefault="005A1552" w:rsidP="005A1552">
      <w:pPr>
        <w:adjustRightInd w:val="0"/>
        <w:snapToGrid w:val="0"/>
        <w:spacing w:after="0" w:line="360" w:lineRule="auto"/>
        <w:jc w:val="both"/>
        <w:rPr>
          <w:rFonts w:ascii="Book Antiqua" w:hAnsi="Book Antiqua"/>
          <w:color w:val="000000"/>
          <w:sz w:val="24"/>
          <w:szCs w:val="24"/>
        </w:rPr>
      </w:pPr>
    </w:p>
    <w:p w14:paraId="1D30A7C7" w14:textId="4764DE32" w:rsidR="005A1552" w:rsidRPr="0080205B" w:rsidRDefault="005A1552" w:rsidP="005A1552">
      <w:pPr>
        <w:pStyle w:val="1"/>
        <w:snapToGrid w:val="0"/>
        <w:spacing w:line="360" w:lineRule="auto"/>
        <w:jc w:val="both"/>
        <w:rPr>
          <w:rFonts w:ascii="Book Antiqua" w:hAnsi="Book Antiqua" w:cs="Times New Roman"/>
          <w:b/>
          <w:bCs/>
          <w:sz w:val="24"/>
          <w:szCs w:val="24"/>
          <w:highlight w:val="white"/>
          <w:lang w:val="en-US" w:eastAsia="zh-CN"/>
        </w:rPr>
      </w:pPr>
      <w:r w:rsidRPr="0080205B">
        <w:rPr>
          <w:rFonts w:ascii="Book Antiqua" w:hAnsi="Book Antiqua" w:cs="Times New Roman"/>
          <w:b/>
          <w:bCs/>
          <w:sz w:val="24"/>
          <w:szCs w:val="24"/>
          <w:highlight w:val="white"/>
          <w:lang w:val="en-US"/>
        </w:rPr>
        <w:t>Manuscript</w:t>
      </w:r>
      <w:r>
        <w:rPr>
          <w:rFonts w:ascii="Book Antiqua" w:hAnsi="Book Antiqua" w:cs="Times New Roman" w:hint="eastAsia"/>
          <w:b/>
          <w:bCs/>
          <w:sz w:val="24"/>
          <w:szCs w:val="24"/>
          <w:highlight w:val="white"/>
          <w:lang w:val="en-US" w:eastAsia="zh-CN"/>
        </w:rPr>
        <w:t xml:space="preserve"> </w:t>
      </w:r>
      <w:r w:rsidRPr="0080205B">
        <w:rPr>
          <w:rFonts w:ascii="Book Antiqua" w:hAnsi="Book Antiqua" w:cs="Times New Roman"/>
          <w:b/>
          <w:bCs/>
          <w:sz w:val="24"/>
          <w:szCs w:val="24"/>
          <w:highlight w:val="white"/>
          <w:lang w:val="en-US"/>
        </w:rPr>
        <w:t>source:</w:t>
      </w:r>
      <w:r w:rsidRPr="0080205B">
        <w:rPr>
          <w:rFonts w:ascii="Book Antiqua" w:hAnsi="Book Antiqua" w:cs="Times New Roman"/>
          <w:b/>
          <w:bCs/>
          <w:sz w:val="24"/>
          <w:szCs w:val="24"/>
          <w:highlight w:val="white"/>
          <w:lang w:val="en-US" w:eastAsia="zh-CN"/>
        </w:rPr>
        <w:t xml:space="preserve"> </w:t>
      </w:r>
      <w:r w:rsidRPr="0080205B">
        <w:rPr>
          <w:rFonts w:ascii="Book Antiqua" w:hAnsi="Book Antiqua" w:cs="Times New Roman"/>
          <w:bCs/>
          <w:sz w:val="24"/>
          <w:szCs w:val="24"/>
          <w:highlight w:val="white"/>
          <w:lang w:val="en-US"/>
        </w:rPr>
        <w:t>Unsolicited</w:t>
      </w:r>
      <w:r>
        <w:rPr>
          <w:rFonts w:ascii="Book Antiqua" w:hAnsi="Book Antiqua" w:cs="Times New Roman" w:hint="eastAsia"/>
          <w:bCs/>
          <w:sz w:val="24"/>
          <w:szCs w:val="24"/>
          <w:highlight w:val="white"/>
          <w:lang w:val="en-US" w:eastAsia="zh-CN"/>
        </w:rPr>
        <w:t xml:space="preserve"> </w:t>
      </w:r>
      <w:r w:rsidRPr="0080205B">
        <w:rPr>
          <w:rFonts w:ascii="Book Antiqua" w:hAnsi="Book Antiqua" w:cs="Times New Roman"/>
          <w:bCs/>
          <w:sz w:val="24"/>
          <w:szCs w:val="24"/>
          <w:highlight w:val="white"/>
          <w:lang w:val="en-US"/>
        </w:rPr>
        <w:t>manuscript</w:t>
      </w:r>
    </w:p>
    <w:p w14:paraId="1F29176B" w14:textId="77777777" w:rsidR="005C394F" w:rsidRPr="005A1552" w:rsidRDefault="005C394F" w:rsidP="00E10230">
      <w:pPr>
        <w:pStyle w:val="ac"/>
        <w:spacing w:line="360" w:lineRule="auto"/>
        <w:jc w:val="both"/>
        <w:rPr>
          <w:rFonts w:ascii="Book Antiqua" w:hAnsi="Book Antiqua" w:cs="Arial"/>
          <w:b/>
          <w:sz w:val="24"/>
          <w:szCs w:val="24"/>
        </w:rPr>
      </w:pPr>
    </w:p>
    <w:p w14:paraId="30656F59" w14:textId="4D190249" w:rsidR="00422A61" w:rsidRPr="00E10230" w:rsidRDefault="00422A61" w:rsidP="00E10230">
      <w:pPr>
        <w:pStyle w:val="ac"/>
        <w:spacing w:line="360" w:lineRule="auto"/>
        <w:jc w:val="both"/>
        <w:rPr>
          <w:rStyle w:val="a7"/>
          <w:rFonts w:ascii="Book Antiqua" w:eastAsiaTheme="minorEastAsia" w:hAnsi="Book Antiqua" w:cs="Arial"/>
          <w:color w:val="auto"/>
          <w:sz w:val="24"/>
          <w:szCs w:val="24"/>
          <w:u w:val="none"/>
          <w:lang w:eastAsia="zh-CN"/>
        </w:rPr>
      </w:pPr>
      <w:r w:rsidRPr="00E10230">
        <w:rPr>
          <w:rFonts w:ascii="Book Antiqua" w:hAnsi="Book Antiqua" w:cs="Arial"/>
          <w:b/>
          <w:sz w:val="24"/>
          <w:szCs w:val="24"/>
        </w:rPr>
        <w:t>Correspond</w:t>
      </w:r>
      <w:r w:rsidR="00BF55B0" w:rsidRPr="00E10230">
        <w:rPr>
          <w:rFonts w:ascii="Book Antiqua" w:eastAsiaTheme="minorEastAsia" w:hAnsi="Book Antiqua" w:cs="Arial"/>
          <w:b/>
          <w:sz w:val="24"/>
          <w:szCs w:val="24"/>
          <w:lang w:eastAsia="zh-CN"/>
        </w:rPr>
        <w:t>ing author</w:t>
      </w:r>
      <w:r w:rsidRPr="00E10230">
        <w:rPr>
          <w:rFonts w:ascii="Book Antiqua" w:hAnsi="Book Antiqua" w:cs="Arial"/>
          <w:sz w:val="24"/>
          <w:szCs w:val="24"/>
        </w:rPr>
        <w:t>:</w:t>
      </w:r>
      <w:r w:rsidR="00C36AD0" w:rsidRPr="00E10230">
        <w:rPr>
          <w:rFonts w:ascii="Book Antiqua" w:hAnsi="Book Antiqua" w:cs="Arial"/>
          <w:sz w:val="24"/>
          <w:szCs w:val="24"/>
        </w:rPr>
        <w:t xml:space="preserve"> </w:t>
      </w:r>
      <w:r w:rsidRPr="00E10230">
        <w:rPr>
          <w:rFonts w:ascii="Book Antiqua" w:hAnsi="Book Antiqua" w:cs="Arial"/>
          <w:b/>
          <w:sz w:val="24"/>
          <w:szCs w:val="24"/>
        </w:rPr>
        <w:t xml:space="preserve">Tomoki Sempokuya, </w:t>
      </w:r>
      <w:r w:rsidR="00737D14" w:rsidRPr="00737D14">
        <w:rPr>
          <w:rFonts w:ascii="Book Antiqua" w:hAnsi="Book Antiqua" w:cs="Arial"/>
          <w:b/>
          <w:sz w:val="24"/>
          <w:szCs w:val="24"/>
        </w:rPr>
        <w:t>MD, Doctor,</w:t>
      </w:r>
      <w:r w:rsidRPr="00E10230">
        <w:rPr>
          <w:rFonts w:ascii="Book Antiqua" w:hAnsi="Book Antiqua" w:cs="Arial"/>
          <w:b/>
          <w:sz w:val="24"/>
          <w:szCs w:val="24"/>
        </w:rPr>
        <w:t xml:space="preserve"> </w:t>
      </w:r>
      <w:r w:rsidR="001B6BC1" w:rsidRPr="00E10230">
        <w:rPr>
          <w:rFonts w:ascii="Book Antiqua" w:hAnsi="Book Antiqua" w:cs="Arial"/>
          <w:sz w:val="24"/>
          <w:szCs w:val="24"/>
        </w:rPr>
        <w:t>Department of Internal Medicine, the Queen’s Medical Center</w:t>
      </w:r>
      <w:r w:rsidR="00C36AD0" w:rsidRPr="00E10230">
        <w:rPr>
          <w:rFonts w:ascii="Book Antiqua" w:hAnsi="Book Antiqua" w:cs="Arial"/>
          <w:sz w:val="24"/>
          <w:szCs w:val="24"/>
        </w:rPr>
        <w:t xml:space="preserve">, </w:t>
      </w:r>
      <w:r w:rsidR="004C7BC9" w:rsidRPr="004C7BC9">
        <w:rPr>
          <w:rFonts w:ascii="Book Antiqua" w:hAnsi="Book Antiqua" w:cs="Arial"/>
          <w:sz w:val="24"/>
          <w:szCs w:val="24"/>
        </w:rPr>
        <w:t>1356 Lusitana Street, 7th Floor</w:t>
      </w:r>
      <w:r w:rsidRPr="00E10230">
        <w:rPr>
          <w:rFonts w:ascii="Book Antiqua" w:hAnsi="Book Antiqua" w:cs="Arial"/>
          <w:sz w:val="24"/>
          <w:szCs w:val="24"/>
        </w:rPr>
        <w:t>, 702, Honolulu, H</w:t>
      </w:r>
      <w:r w:rsidR="00BF55B0" w:rsidRPr="00E10230">
        <w:rPr>
          <w:rFonts w:ascii="Book Antiqua" w:eastAsiaTheme="minorEastAsia" w:hAnsi="Book Antiqua" w:cs="Arial"/>
          <w:sz w:val="24"/>
          <w:szCs w:val="24"/>
          <w:lang w:eastAsia="zh-CN"/>
        </w:rPr>
        <w:t>I 96813</w:t>
      </w:r>
      <w:r w:rsidRPr="00E10230">
        <w:rPr>
          <w:rFonts w:ascii="Book Antiqua" w:hAnsi="Book Antiqua" w:cs="Arial"/>
          <w:sz w:val="24"/>
          <w:szCs w:val="24"/>
        </w:rPr>
        <w:t xml:space="preserve">, </w:t>
      </w:r>
      <w:r w:rsidR="00BF55B0" w:rsidRPr="00E10230">
        <w:rPr>
          <w:rFonts w:ascii="Book Antiqua" w:eastAsiaTheme="minorEastAsia" w:hAnsi="Book Antiqua" w:cs="Arial"/>
          <w:sz w:val="24"/>
          <w:szCs w:val="24"/>
          <w:lang w:eastAsia="zh-CN"/>
        </w:rPr>
        <w:t xml:space="preserve">United States. </w:t>
      </w:r>
      <w:hyperlink r:id="rId9" w:history="1">
        <w:r w:rsidRPr="00490603">
          <w:rPr>
            <w:rStyle w:val="a7"/>
            <w:rFonts w:ascii="Book Antiqua" w:hAnsi="Book Antiqua" w:cs="Arial"/>
            <w:color w:val="auto"/>
            <w:sz w:val="24"/>
            <w:szCs w:val="24"/>
            <w:u w:val="none"/>
          </w:rPr>
          <w:t>tsempoku@hawaii.edu</w:t>
        </w:r>
      </w:hyperlink>
    </w:p>
    <w:p w14:paraId="3E6D7622" w14:textId="03AB6EE0" w:rsidR="006C4A72" w:rsidRPr="00E10230" w:rsidRDefault="0065173A" w:rsidP="00E10230">
      <w:pPr>
        <w:pStyle w:val="ac"/>
        <w:spacing w:line="360" w:lineRule="auto"/>
        <w:jc w:val="both"/>
        <w:rPr>
          <w:rFonts w:ascii="Book Antiqua" w:eastAsiaTheme="minorEastAsia" w:hAnsi="Book Antiqua" w:cs="Arial"/>
          <w:sz w:val="24"/>
          <w:szCs w:val="24"/>
          <w:lang w:eastAsia="zh-CN"/>
        </w:rPr>
      </w:pPr>
      <w:r w:rsidRPr="00E10230">
        <w:rPr>
          <w:rFonts w:ascii="Book Antiqua" w:eastAsiaTheme="minorEastAsia" w:hAnsi="Book Antiqua" w:cs="Arial"/>
          <w:b/>
          <w:sz w:val="24"/>
          <w:szCs w:val="24"/>
          <w:lang w:eastAsia="zh-CN"/>
        </w:rPr>
        <w:t>Telephone:</w:t>
      </w:r>
      <w:r w:rsidR="0044415C" w:rsidRPr="00E10230">
        <w:rPr>
          <w:rFonts w:ascii="Book Antiqua" w:eastAsiaTheme="minorEastAsia" w:hAnsi="Book Antiqua" w:cs="Arial"/>
          <w:sz w:val="24"/>
          <w:szCs w:val="24"/>
          <w:lang w:eastAsia="zh-CN"/>
        </w:rPr>
        <w:t xml:space="preserve"> </w:t>
      </w:r>
      <w:r w:rsidR="00BF55B0" w:rsidRPr="00E10230">
        <w:rPr>
          <w:rFonts w:ascii="Book Antiqua" w:eastAsiaTheme="minorEastAsia" w:hAnsi="Book Antiqua" w:cs="Arial"/>
          <w:sz w:val="24"/>
          <w:szCs w:val="24"/>
          <w:lang w:eastAsia="zh-CN"/>
        </w:rPr>
        <w:t>+1-</w:t>
      </w:r>
      <w:r w:rsidR="0044415C" w:rsidRPr="00E10230">
        <w:rPr>
          <w:rFonts w:ascii="Book Antiqua" w:eastAsiaTheme="minorEastAsia" w:hAnsi="Book Antiqua" w:cs="Arial"/>
          <w:sz w:val="24"/>
          <w:szCs w:val="24"/>
          <w:lang w:eastAsia="zh-CN"/>
        </w:rPr>
        <w:t>808</w:t>
      </w:r>
      <w:r w:rsidR="006137FE" w:rsidRPr="00E10230">
        <w:rPr>
          <w:rFonts w:ascii="Book Antiqua" w:eastAsiaTheme="minorEastAsia" w:hAnsi="Book Antiqua" w:cs="Arial"/>
          <w:sz w:val="24"/>
          <w:szCs w:val="24"/>
          <w:lang w:eastAsia="zh-CN"/>
        </w:rPr>
        <w:t>-</w:t>
      </w:r>
      <w:r w:rsidR="00BF55B0" w:rsidRPr="00E10230">
        <w:rPr>
          <w:rFonts w:ascii="Book Antiqua" w:eastAsiaTheme="minorEastAsia" w:hAnsi="Book Antiqua" w:cs="Arial"/>
          <w:sz w:val="24"/>
          <w:szCs w:val="24"/>
          <w:lang w:eastAsia="zh-CN"/>
        </w:rPr>
        <w:t>586</w:t>
      </w:r>
      <w:r w:rsidR="0044415C" w:rsidRPr="00E10230">
        <w:rPr>
          <w:rFonts w:ascii="Book Antiqua" w:eastAsiaTheme="minorEastAsia" w:hAnsi="Book Antiqua" w:cs="Arial"/>
          <w:sz w:val="24"/>
          <w:szCs w:val="24"/>
          <w:lang w:eastAsia="zh-CN"/>
        </w:rPr>
        <w:t>2910</w:t>
      </w:r>
    </w:p>
    <w:p w14:paraId="0859D72A" w14:textId="522C9121" w:rsidR="0065173A" w:rsidRPr="00E10230" w:rsidRDefault="0065173A" w:rsidP="00E10230">
      <w:pPr>
        <w:pStyle w:val="ac"/>
        <w:spacing w:line="360" w:lineRule="auto"/>
        <w:jc w:val="both"/>
        <w:rPr>
          <w:rFonts w:ascii="Book Antiqua" w:eastAsiaTheme="minorEastAsia" w:hAnsi="Book Antiqua" w:cs="Arial"/>
          <w:sz w:val="24"/>
          <w:szCs w:val="24"/>
          <w:lang w:eastAsia="zh-CN"/>
        </w:rPr>
      </w:pPr>
      <w:r w:rsidRPr="00E10230">
        <w:rPr>
          <w:rFonts w:ascii="Book Antiqua" w:eastAsiaTheme="minorEastAsia" w:hAnsi="Book Antiqua" w:cs="Arial"/>
          <w:b/>
          <w:sz w:val="24"/>
          <w:szCs w:val="24"/>
          <w:lang w:eastAsia="zh-CN"/>
        </w:rPr>
        <w:t>Fax:</w:t>
      </w:r>
      <w:r w:rsidR="0044415C" w:rsidRPr="00E10230">
        <w:rPr>
          <w:rFonts w:ascii="Book Antiqua" w:eastAsiaTheme="minorEastAsia" w:hAnsi="Book Antiqua" w:cs="Arial"/>
          <w:sz w:val="24"/>
          <w:szCs w:val="24"/>
          <w:lang w:eastAsia="zh-CN"/>
        </w:rPr>
        <w:t xml:space="preserve"> </w:t>
      </w:r>
      <w:r w:rsidR="00BF55B0" w:rsidRPr="00E10230">
        <w:rPr>
          <w:rFonts w:ascii="Book Antiqua" w:eastAsiaTheme="minorEastAsia" w:hAnsi="Book Antiqua" w:cs="Arial"/>
          <w:sz w:val="24"/>
          <w:szCs w:val="24"/>
          <w:lang w:eastAsia="zh-CN"/>
        </w:rPr>
        <w:t>+1-</w:t>
      </w:r>
      <w:r w:rsidR="0044415C" w:rsidRPr="00E10230">
        <w:rPr>
          <w:rFonts w:ascii="Book Antiqua" w:eastAsiaTheme="minorEastAsia" w:hAnsi="Book Antiqua" w:cs="Arial"/>
          <w:sz w:val="24"/>
          <w:szCs w:val="24"/>
          <w:lang w:eastAsia="zh-CN"/>
        </w:rPr>
        <w:t>808-5867486</w:t>
      </w:r>
    </w:p>
    <w:p w14:paraId="79A00D71" w14:textId="77777777" w:rsidR="006C4A72" w:rsidRPr="00E10230" w:rsidRDefault="006C4A72" w:rsidP="00E10230">
      <w:pPr>
        <w:pStyle w:val="ac"/>
        <w:spacing w:line="360" w:lineRule="auto"/>
        <w:jc w:val="both"/>
        <w:rPr>
          <w:rFonts w:ascii="Book Antiqua" w:hAnsi="Book Antiqua" w:cs="Arial"/>
          <w:sz w:val="24"/>
          <w:szCs w:val="24"/>
        </w:rPr>
      </w:pPr>
    </w:p>
    <w:p w14:paraId="397B7FEC" w14:textId="39030F88" w:rsidR="00CE1E8E" w:rsidRPr="00CE1E8E" w:rsidRDefault="00CE1E8E" w:rsidP="00CE1E8E">
      <w:pPr>
        <w:adjustRightInd w:val="0"/>
        <w:snapToGrid w:val="0"/>
        <w:spacing w:after="0" w:line="360" w:lineRule="auto"/>
        <w:jc w:val="both"/>
        <w:rPr>
          <w:rFonts w:ascii="Book Antiqua" w:eastAsiaTheme="minorEastAsia" w:hAnsi="Book Antiqua"/>
          <w:color w:val="000000"/>
          <w:sz w:val="24"/>
          <w:szCs w:val="24"/>
          <w:lang w:eastAsia="zh-CN"/>
        </w:rPr>
      </w:pPr>
      <w:r w:rsidRPr="008743FE">
        <w:rPr>
          <w:rFonts w:ascii="Book Antiqua" w:hAnsi="Book Antiqua"/>
          <w:b/>
          <w:color w:val="000000"/>
          <w:sz w:val="24"/>
          <w:szCs w:val="24"/>
        </w:rPr>
        <w:t>Received:</w:t>
      </w:r>
      <w:r w:rsidRPr="008743FE">
        <w:rPr>
          <w:rFonts w:ascii="Book Antiqua" w:hAnsi="Book Antiqua"/>
          <w:color w:val="000000"/>
          <w:sz w:val="24"/>
          <w:szCs w:val="24"/>
        </w:rPr>
        <w:t xml:space="preserve"> </w:t>
      </w:r>
      <w:r>
        <w:rPr>
          <w:rFonts w:ascii="Book Antiqua" w:eastAsiaTheme="minorEastAsia" w:hAnsi="Book Antiqua" w:hint="eastAsia"/>
          <w:color w:val="000000"/>
          <w:sz w:val="24"/>
          <w:szCs w:val="24"/>
          <w:lang w:eastAsia="zh-CN"/>
        </w:rPr>
        <w:t>October</w:t>
      </w:r>
      <w:r w:rsidRPr="008743FE">
        <w:rPr>
          <w:rFonts w:ascii="Book Antiqua" w:hAnsi="Book Antiqua"/>
          <w:color w:val="000000"/>
          <w:sz w:val="24"/>
          <w:szCs w:val="24"/>
        </w:rPr>
        <w:t xml:space="preserve"> </w:t>
      </w:r>
      <w:r>
        <w:rPr>
          <w:rFonts w:ascii="Book Antiqua" w:eastAsiaTheme="minorEastAsia" w:hAnsi="Book Antiqua" w:hint="eastAsia"/>
          <w:color w:val="000000"/>
          <w:sz w:val="24"/>
          <w:szCs w:val="24"/>
          <w:lang w:eastAsia="zh-CN"/>
        </w:rPr>
        <w:t>1</w:t>
      </w:r>
      <w:r>
        <w:rPr>
          <w:rFonts w:ascii="Book Antiqua" w:hAnsi="Book Antiqua"/>
          <w:color w:val="000000"/>
          <w:sz w:val="24"/>
          <w:szCs w:val="24"/>
        </w:rPr>
        <w:t>2, 201</w:t>
      </w:r>
      <w:r>
        <w:rPr>
          <w:rFonts w:ascii="Book Antiqua" w:eastAsiaTheme="minorEastAsia" w:hAnsi="Book Antiqua" w:hint="eastAsia"/>
          <w:color w:val="000000"/>
          <w:sz w:val="24"/>
          <w:szCs w:val="24"/>
          <w:lang w:eastAsia="zh-CN"/>
        </w:rPr>
        <w:t>8</w:t>
      </w:r>
    </w:p>
    <w:p w14:paraId="51E74452" w14:textId="7CBC1BE4" w:rsidR="00CE1E8E" w:rsidRPr="00CE1E8E" w:rsidRDefault="00CE1E8E" w:rsidP="00CE1E8E">
      <w:pPr>
        <w:adjustRightInd w:val="0"/>
        <w:snapToGrid w:val="0"/>
        <w:spacing w:after="0" w:line="360" w:lineRule="auto"/>
        <w:jc w:val="both"/>
        <w:rPr>
          <w:rFonts w:ascii="Book Antiqua" w:eastAsiaTheme="minorEastAsia" w:hAnsi="Book Antiqua"/>
          <w:color w:val="000000"/>
          <w:sz w:val="24"/>
          <w:szCs w:val="24"/>
          <w:lang w:eastAsia="zh-CN"/>
        </w:rPr>
      </w:pPr>
      <w:r w:rsidRPr="008743FE">
        <w:rPr>
          <w:rFonts w:ascii="Book Antiqua" w:hAnsi="Book Antiqua"/>
          <w:b/>
          <w:color w:val="000000"/>
          <w:sz w:val="24"/>
          <w:szCs w:val="24"/>
        </w:rPr>
        <w:t>Peer-review started:</w:t>
      </w:r>
      <w:r w:rsidRPr="008743FE">
        <w:rPr>
          <w:rFonts w:ascii="Book Antiqua" w:hAnsi="Book Antiqua"/>
          <w:color w:val="000000"/>
          <w:sz w:val="24"/>
          <w:szCs w:val="24"/>
        </w:rPr>
        <w:t xml:space="preserve"> </w:t>
      </w:r>
      <w:r>
        <w:rPr>
          <w:rFonts w:ascii="Book Antiqua" w:eastAsiaTheme="minorEastAsia" w:hAnsi="Book Antiqua" w:hint="eastAsia"/>
          <w:color w:val="000000"/>
          <w:sz w:val="24"/>
          <w:szCs w:val="24"/>
          <w:lang w:eastAsia="zh-CN"/>
        </w:rPr>
        <w:t>October</w:t>
      </w:r>
      <w:r w:rsidRPr="008743FE">
        <w:rPr>
          <w:rFonts w:ascii="Book Antiqua" w:hAnsi="Book Antiqua"/>
          <w:color w:val="000000"/>
          <w:sz w:val="24"/>
          <w:szCs w:val="24"/>
        </w:rPr>
        <w:t xml:space="preserve"> </w:t>
      </w:r>
      <w:r>
        <w:rPr>
          <w:rFonts w:ascii="Book Antiqua" w:eastAsiaTheme="minorEastAsia" w:hAnsi="Book Antiqua" w:hint="eastAsia"/>
          <w:color w:val="000000"/>
          <w:sz w:val="24"/>
          <w:szCs w:val="24"/>
          <w:lang w:eastAsia="zh-CN"/>
        </w:rPr>
        <w:t>15</w:t>
      </w:r>
      <w:r>
        <w:rPr>
          <w:rFonts w:ascii="Book Antiqua" w:hAnsi="Book Antiqua"/>
          <w:color w:val="000000"/>
          <w:sz w:val="24"/>
          <w:szCs w:val="24"/>
        </w:rPr>
        <w:t>, 201</w:t>
      </w:r>
      <w:r>
        <w:rPr>
          <w:rFonts w:ascii="Book Antiqua" w:eastAsiaTheme="minorEastAsia" w:hAnsi="Book Antiqua" w:hint="eastAsia"/>
          <w:color w:val="000000"/>
          <w:sz w:val="24"/>
          <w:szCs w:val="24"/>
          <w:lang w:eastAsia="zh-CN"/>
        </w:rPr>
        <w:t>8</w:t>
      </w:r>
    </w:p>
    <w:p w14:paraId="3034D17C" w14:textId="53D766EB" w:rsidR="00CE1E8E" w:rsidRPr="00CE1E8E" w:rsidRDefault="00CE1E8E" w:rsidP="00CE1E8E">
      <w:pPr>
        <w:adjustRightInd w:val="0"/>
        <w:snapToGrid w:val="0"/>
        <w:spacing w:after="0" w:line="360" w:lineRule="auto"/>
        <w:jc w:val="both"/>
        <w:rPr>
          <w:rFonts w:ascii="Book Antiqua" w:eastAsiaTheme="minorEastAsia" w:hAnsi="Book Antiqua"/>
          <w:color w:val="000000"/>
          <w:sz w:val="24"/>
          <w:szCs w:val="24"/>
          <w:lang w:eastAsia="zh-CN"/>
        </w:rPr>
      </w:pPr>
      <w:r w:rsidRPr="008743FE">
        <w:rPr>
          <w:rFonts w:ascii="Book Antiqua" w:hAnsi="Book Antiqua"/>
          <w:b/>
          <w:color w:val="000000"/>
          <w:sz w:val="24"/>
          <w:szCs w:val="24"/>
        </w:rPr>
        <w:t>First decision:</w:t>
      </w:r>
      <w:r w:rsidRPr="008743FE">
        <w:rPr>
          <w:rFonts w:ascii="Book Antiqua" w:hAnsi="Book Antiqua"/>
          <w:color w:val="000000"/>
          <w:sz w:val="24"/>
          <w:szCs w:val="24"/>
        </w:rPr>
        <w:t xml:space="preserve"> </w:t>
      </w:r>
      <w:r>
        <w:rPr>
          <w:rFonts w:ascii="Book Antiqua" w:eastAsiaTheme="minorEastAsia" w:hAnsi="Book Antiqua" w:hint="eastAsia"/>
          <w:color w:val="000000"/>
          <w:sz w:val="24"/>
          <w:szCs w:val="24"/>
          <w:lang w:eastAsia="zh-CN"/>
        </w:rPr>
        <w:t>November</w:t>
      </w:r>
      <w:r>
        <w:rPr>
          <w:rFonts w:ascii="Book Antiqua" w:hAnsi="Book Antiqua"/>
          <w:color w:val="000000"/>
          <w:sz w:val="24"/>
          <w:szCs w:val="24"/>
        </w:rPr>
        <w:t xml:space="preserve"> 1, 201</w:t>
      </w:r>
      <w:r>
        <w:rPr>
          <w:rFonts w:ascii="Book Antiqua" w:eastAsiaTheme="minorEastAsia" w:hAnsi="Book Antiqua" w:hint="eastAsia"/>
          <w:color w:val="000000"/>
          <w:sz w:val="24"/>
          <w:szCs w:val="24"/>
          <w:lang w:eastAsia="zh-CN"/>
        </w:rPr>
        <w:t>8</w:t>
      </w:r>
    </w:p>
    <w:p w14:paraId="755557C3" w14:textId="7FE907CE" w:rsidR="00CE1E8E" w:rsidRPr="008743FE" w:rsidRDefault="00CE1E8E" w:rsidP="00CE1E8E">
      <w:pPr>
        <w:adjustRightInd w:val="0"/>
        <w:snapToGrid w:val="0"/>
        <w:spacing w:after="0" w:line="360" w:lineRule="auto"/>
        <w:jc w:val="both"/>
        <w:rPr>
          <w:rFonts w:ascii="Book Antiqua" w:hAnsi="Book Antiqua"/>
          <w:color w:val="000000"/>
          <w:sz w:val="24"/>
          <w:szCs w:val="24"/>
        </w:rPr>
      </w:pPr>
      <w:r w:rsidRPr="008743FE">
        <w:rPr>
          <w:rFonts w:ascii="Book Antiqua" w:hAnsi="Book Antiqua"/>
          <w:b/>
          <w:color w:val="000000"/>
          <w:sz w:val="24"/>
          <w:szCs w:val="24"/>
        </w:rPr>
        <w:t>Revised:</w:t>
      </w:r>
      <w:r w:rsidRPr="008743FE">
        <w:rPr>
          <w:rFonts w:ascii="Book Antiqua" w:hAnsi="Book Antiqua"/>
          <w:color w:val="000000"/>
          <w:sz w:val="24"/>
          <w:szCs w:val="24"/>
        </w:rPr>
        <w:t xml:space="preserve"> </w:t>
      </w:r>
      <w:r>
        <w:rPr>
          <w:rFonts w:ascii="Book Antiqua" w:eastAsiaTheme="minorEastAsia" w:hAnsi="Book Antiqua" w:hint="eastAsia"/>
          <w:color w:val="000000"/>
          <w:sz w:val="24"/>
          <w:szCs w:val="24"/>
          <w:lang w:eastAsia="zh-CN"/>
        </w:rPr>
        <w:t>December</w:t>
      </w:r>
      <w:r>
        <w:rPr>
          <w:rFonts w:ascii="Book Antiqua" w:hAnsi="Book Antiqua"/>
          <w:color w:val="000000"/>
          <w:sz w:val="24"/>
          <w:szCs w:val="24"/>
        </w:rPr>
        <w:t xml:space="preserve"> 2</w:t>
      </w:r>
      <w:r>
        <w:rPr>
          <w:rFonts w:ascii="Book Antiqua" w:eastAsiaTheme="minorEastAsia" w:hAnsi="Book Antiqua" w:hint="eastAsia"/>
          <w:color w:val="000000"/>
          <w:sz w:val="24"/>
          <w:szCs w:val="24"/>
          <w:lang w:eastAsia="zh-CN"/>
        </w:rPr>
        <w:t>9</w:t>
      </w:r>
      <w:r w:rsidRPr="008743FE">
        <w:rPr>
          <w:rFonts w:ascii="Book Antiqua" w:hAnsi="Book Antiqua"/>
          <w:color w:val="000000"/>
          <w:sz w:val="24"/>
          <w:szCs w:val="24"/>
        </w:rPr>
        <w:t>, 2015</w:t>
      </w:r>
    </w:p>
    <w:p w14:paraId="6614CC3F" w14:textId="5D445EB4" w:rsidR="00CE1E8E" w:rsidRPr="008743FE" w:rsidRDefault="00CE1E8E" w:rsidP="00CE1E8E">
      <w:pPr>
        <w:adjustRightInd w:val="0"/>
        <w:snapToGrid w:val="0"/>
        <w:spacing w:after="0" w:line="360" w:lineRule="auto"/>
        <w:jc w:val="both"/>
        <w:rPr>
          <w:rFonts w:ascii="Book Antiqua" w:hAnsi="Book Antiqua"/>
          <w:color w:val="000000"/>
          <w:sz w:val="24"/>
          <w:szCs w:val="24"/>
        </w:rPr>
      </w:pPr>
      <w:r w:rsidRPr="008743FE">
        <w:rPr>
          <w:rFonts w:ascii="Book Antiqua" w:hAnsi="Book Antiqua"/>
          <w:b/>
          <w:color w:val="000000"/>
          <w:sz w:val="24"/>
          <w:szCs w:val="24"/>
        </w:rPr>
        <w:t>Accepted:</w:t>
      </w:r>
      <w:r w:rsidRPr="008743FE">
        <w:rPr>
          <w:rFonts w:ascii="Book Antiqua" w:hAnsi="Book Antiqua"/>
          <w:color w:val="000000"/>
          <w:sz w:val="24"/>
          <w:szCs w:val="24"/>
        </w:rPr>
        <w:t xml:space="preserve"> </w:t>
      </w:r>
      <w:r w:rsidR="00490603">
        <w:rPr>
          <w:rFonts w:ascii="Book Antiqua" w:hAnsi="Book Antiqua"/>
          <w:color w:val="000000"/>
          <w:sz w:val="24"/>
          <w:szCs w:val="24"/>
        </w:rPr>
        <w:t>January 9, 2019</w:t>
      </w:r>
    </w:p>
    <w:p w14:paraId="46EC8931" w14:textId="64DD8524" w:rsidR="00CE1E8E" w:rsidRPr="008743FE" w:rsidRDefault="00CE1E8E" w:rsidP="00CE1E8E">
      <w:pPr>
        <w:adjustRightInd w:val="0"/>
        <w:snapToGrid w:val="0"/>
        <w:spacing w:after="0" w:line="360" w:lineRule="auto"/>
        <w:jc w:val="both"/>
        <w:rPr>
          <w:rFonts w:ascii="Book Antiqua" w:hAnsi="Book Antiqua"/>
          <w:b/>
          <w:color w:val="000000"/>
          <w:sz w:val="24"/>
          <w:szCs w:val="24"/>
        </w:rPr>
      </w:pPr>
      <w:r w:rsidRPr="008743FE">
        <w:rPr>
          <w:rFonts w:ascii="Book Antiqua" w:hAnsi="Book Antiqua"/>
          <w:b/>
          <w:color w:val="000000"/>
          <w:sz w:val="24"/>
          <w:szCs w:val="24"/>
        </w:rPr>
        <w:lastRenderedPageBreak/>
        <w:t>Article in press:</w:t>
      </w:r>
      <w:r w:rsidR="002E77D0" w:rsidRPr="002E77D0">
        <w:rPr>
          <w:rFonts w:ascii="Book Antiqua" w:hAnsi="Book Antiqua"/>
          <w:color w:val="000000"/>
          <w:sz w:val="24"/>
          <w:szCs w:val="24"/>
        </w:rPr>
        <w:t xml:space="preserve"> </w:t>
      </w:r>
      <w:r w:rsidR="002E77D0">
        <w:rPr>
          <w:rFonts w:ascii="Book Antiqua" w:hAnsi="Book Antiqua"/>
          <w:color w:val="000000"/>
          <w:sz w:val="24"/>
          <w:szCs w:val="24"/>
        </w:rPr>
        <w:t>January 9, 2019</w:t>
      </w:r>
    </w:p>
    <w:p w14:paraId="41B0B791" w14:textId="568D703A" w:rsidR="00422A61" w:rsidRPr="00CE1E8E" w:rsidRDefault="00CE1E8E" w:rsidP="00CE1E8E">
      <w:pPr>
        <w:adjustRightInd w:val="0"/>
        <w:snapToGrid w:val="0"/>
        <w:spacing w:after="0" w:line="360" w:lineRule="auto"/>
        <w:jc w:val="both"/>
        <w:rPr>
          <w:rFonts w:ascii="Book Antiqua" w:eastAsiaTheme="minorEastAsia" w:hAnsi="Book Antiqua"/>
          <w:b/>
          <w:color w:val="000000"/>
          <w:sz w:val="24"/>
          <w:szCs w:val="24"/>
          <w:lang w:eastAsia="zh-CN"/>
        </w:rPr>
      </w:pPr>
      <w:r w:rsidRPr="008743FE">
        <w:rPr>
          <w:rFonts w:ascii="Book Antiqua" w:hAnsi="Book Antiqua"/>
          <w:b/>
          <w:color w:val="000000"/>
          <w:sz w:val="24"/>
          <w:szCs w:val="24"/>
        </w:rPr>
        <w:t>Published online:</w:t>
      </w:r>
      <w:r w:rsidR="002E77D0" w:rsidRPr="002E77D0">
        <w:rPr>
          <w:rFonts w:ascii="Book Antiqua" w:hAnsi="Book Antiqua"/>
          <w:color w:val="000000"/>
          <w:sz w:val="24"/>
          <w:szCs w:val="24"/>
        </w:rPr>
        <w:t xml:space="preserve"> </w:t>
      </w:r>
      <w:r w:rsidR="002E77D0">
        <w:rPr>
          <w:rFonts w:ascii="Book Antiqua" w:hAnsi="Book Antiqua"/>
          <w:color w:val="000000"/>
          <w:sz w:val="24"/>
          <w:szCs w:val="24"/>
        </w:rPr>
        <w:t xml:space="preserve">January </w:t>
      </w:r>
      <w:r w:rsidR="002E77D0">
        <w:rPr>
          <w:rFonts w:ascii="Book Antiqua" w:eastAsiaTheme="minorEastAsia" w:hAnsi="Book Antiqua" w:hint="eastAsia"/>
          <w:color w:val="000000"/>
          <w:sz w:val="24"/>
          <w:szCs w:val="24"/>
          <w:lang w:eastAsia="zh-CN"/>
        </w:rPr>
        <w:t>27</w:t>
      </w:r>
      <w:r w:rsidR="002E77D0">
        <w:rPr>
          <w:rFonts w:ascii="Book Antiqua" w:hAnsi="Book Antiqua"/>
          <w:color w:val="000000"/>
          <w:sz w:val="24"/>
          <w:szCs w:val="24"/>
        </w:rPr>
        <w:t>, 2019</w:t>
      </w:r>
    </w:p>
    <w:p w14:paraId="337EFAC3" w14:textId="77777777" w:rsidR="00FB1910" w:rsidRPr="00E10230" w:rsidRDefault="00FC7D4A" w:rsidP="00E10230">
      <w:pPr>
        <w:spacing w:after="0" w:line="360" w:lineRule="auto"/>
        <w:jc w:val="both"/>
        <w:rPr>
          <w:rFonts w:ascii="Book Antiqua" w:eastAsiaTheme="minorEastAsia" w:hAnsi="Book Antiqua" w:cs="Arial"/>
          <w:b/>
          <w:sz w:val="24"/>
          <w:szCs w:val="24"/>
          <w:lang w:eastAsia="zh-CN"/>
        </w:rPr>
      </w:pPr>
      <w:r w:rsidRPr="00E10230">
        <w:rPr>
          <w:rFonts w:ascii="Book Antiqua" w:hAnsi="Book Antiqua" w:cs="Arial"/>
          <w:b/>
          <w:sz w:val="24"/>
          <w:szCs w:val="24"/>
        </w:rPr>
        <w:br w:type="page"/>
      </w:r>
      <w:r w:rsidR="008B68C8" w:rsidRPr="00E10230">
        <w:rPr>
          <w:rFonts w:ascii="Book Antiqua" w:hAnsi="Book Antiqua" w:cs="Arial"/>
          <w:b/>
          <w:sz w:val="24"/>
          <w:szCs w:val="24"/>
        </w:rPr>
        <w:lastRenderedPageBreak/>
        <w:t>Abstract</w:t>
      </w:r>
    </w:p>
    <w:p w14:paraId="12C88FD5" w14:textId="1F0CEBC3" w:rsidR="00BF55B0" w:rsidRPr="00E10230" w:rsidRDefault="00BF55B0" w:rsidP="00E10230">
      <w:pPr>
        <w:spacing w:after="0" w:line="360" w:lineRule="auto"/>
        <w:jc w:val="both"/>
        <w:rPr>
          <w:rFonts w:ascii="Book Antiqua" w:eastAsiaTheme="minorEastAsia" w:hAnsi="Book Antiqua" w:cs="Arial"/>
          <w:b/>
          <w:i/>
          <w:sz w:val="24"/>
          <w:szCs w:val="24"/>
          <w:lang w:eastAsia="zh-CN"/>
        </w:rPr>
      </w:pPr>
      <w:r w:rsidRPr="00E10230">
        <w:rPr>
          <w:rFonts w:ascii="Book Antiqua" w:eastAsiaTheme="minorEastAsia" w:hAnsi="Book Antiqua" w:cs="Arial"/>
          <w:b/>
          <w:i/>
          <w:sz w:val="24"/>
          <w:szCs w:val="24"/>
          <w:lang w:eastAsia="zh-CN"/>
        </w:rPr>
        <w:t>BACKGROUND</w:t>
      </w:r>
    </w:p>
    <w:p w14:paraId="3342A6FC" w14:textId="71BC047D" w:rsidR="00BF55B0" w:rsidRPr="00E10230" w:rsidRDefault="00BF55B0" w:rsidP="00E10230">
      <w:pPr>
        <w:spacing w:after="0" w:line="360" w:lineRule="auto"/>
        <w:jc w:val="both"/>
        <w:rPr>
          <w:rFonts w:ascii="Book Antiqua" w:eastAsiaTheme="minorEastAsia" w:hAnsi="Book Antiqua" w:cs="Arial"/>
          <w:sz w:val="24"/>
          <w:szCs w:val="24"/>
          <w:lang w:eastAsia="zh-CN"/>
        </w:rPr>
      </w:pPr>
      <w:r w:rsidRPr="00E10230">
        <w:rPr>
          <w:rFonts w:ascii="Book Antiqua" w:hAnsi="Book Antiqua" w:cs="Arial"/>
          <w:sz w:val="24"/>
          <w:szCs w:val="24"/>
        </w:rPr>
        <w:t>Chronic liver disease and cirrhosis is the 12</w:t>
      </w:r>
      <w:r w:rsidRPr="00E10230">
        <w:rPr>
          <w:rFonts w:ascii="Book Antiqua" w:hAnsi="Book Antiqua" w:cs="Arial"/>
          <w:sz w:val="24"/>
          <w:szCs w:val="24"/>
          <w:vertAlign w:val="superscript"/>
        </w:rPr>
        <w:t>th</w:t>
      </w:r>
      <w:r w:rsidRPr="00E10230">
        <w:rPr>
          <w:rFonts w:ascii="Book Antiqua" w:hAnsi="Book Antiqua" w:cs="Arial"/>
          <w:sz w:val="24"/>
          <w:szCs w:val="24"/>
        </w:rPr>
        <w:t xml:space="preserve"> leading cause of death in the </w:t>
      </w:r>
      <w:r w:rsidRPr="00E10230">
        <w:rPr>
          <w:rFonts w:ascii="Book Antiqua" w:eastAsiaTheme="minorEastAsia" w:hAnsi="Book Antiqua" w:cs="Arial"/>
          <w:sz w:val="24"/>
          <w:szCs w:val="24"/>
          <w:lang w:eastAsia="zh-CN"/>
        </w:rPr>
        <w:t>United States.</w:t>
      </w:r>
      <w:r w:rsidRPr="00E10230">
        <w:rPr>
          <w:rFonts w:ascii="Book Antiqua" w:hAnsi="Book Antiqua" w:cs="Arial"/>
          <w:sz w:val="24"/>
          <w:szCs w:val="24"/>
        </w:rPr>
        <w:t xml:space="preserve"> Patients with decompensated-cirrhosis, especially with hepatic encephalopathy/coma</w:t>
      </w:r>
      <w:r w:rsidRPr="00E10230">
        <w:rPr>
          <w:rFonts w:ascii="Book Antiqua" w:eastAsiaTheme="minorEastAsia" w:hAnsi="Book Antiqua" w:cs="Arial"/>
          <w:sz w:val="24"/>
          <w:szCs w:val="24"/>
          <w:lang w:eastAsia="zh-CN"/>
        </w:rPr>
        <w:t xml:space="preserve"> (HC)</w:t>
      </w:r>
      <w:r w:rsidRPr="00E10230">
        <w:rPr>
          <w:rFonts w:ascii="Book Antiqua" w:hAnsi="Book Antiqua" w:cs="Arial"/>
          <w:sz w:val="24"/>
          <w:szCs w:val="24"/>
        </w:rPr>
        <w:t xml:space="preserve">, have a higher rate of early readmission and contribute to higher healthcare cost. </w:t>
      </w:r>
    </w:p>
    <w:p w14:paraId="5B2D00A3" w14:textId="77777777" w:rsidR="00BF55B0" w:rsidRPr="00E10230" w:rsidRDefault="00BF55B0" w:rsidP="00E10230">
      <w:pPr>
        <w:spacing w:after="0" w:line="360" w:lineRule="auto"/>
        <w:jc w:val="both"/>
        <w:rPr>
          <w:rFonts w:ascii="Book Antiqua" w:eastAsiaTheme="minorEastAsia" w:hAnsi="Book Antiqua" w:cs="Arial"/>
          <w:b/>
          <w:sz w:val="24"/>
          <w:szCs w:val="24"/>
          <w:lang w:eastAsia="zh-CN"/>
        </w:rPr>
      </w:pPr>
    </w:p>
    <w:p w14:paraId="2966D073" w14:textId="77777777" w:rsidR="00130C64" w:rsidRPr="00E10230" w:rsidRDefault="00130C64" w:rsidP="00E10230">
      <w:pPr>
        <w:spacing w:after="0" w:line="360" w:lineRule="auto"/>
        <w:jc w:val="both"/>
        <w:rPr>
          <w:rFonts w:ascii="Book Antiqua" w:hAnsi="Book Antiqua" w:cs="Arial"/>
          <w:b/>
          <w:i/>
          <w:sz w:val="24"/>
          <w:szCs w:val="24"/>
        </w:rPr>
      </w:pPr>
      <w:r w:rsidRPr="00E10230">
        <w:rPr>
          <w:rFonts w:ascii="Book Antiqua" w:hAnsi="Book Antiqua" w:cs="Arial"/>
          <w:b/>
          <w:i/>
          <w:sz w:val="24"/>
          <w:szCs w:val="24"/>
        </w:rPr>
        <w:t>AIM</w:t>
      </w:r>
    </w:p>
    <w:p w14:paraId="68579BCC" w14:textId="562D29F9" w:rsidR="00130C64" w:rsidRPr="00E10230" w:rsidRDefault="00130C64" w:rsidP="00E10230">
      <w:pPr>
        <w:spacing w:after="0" w:line="360" w:lineRule="auto"/>
        <w:jc w:val="both"/>
        <w:rPr>
          <w:rFonts w:ascii="Book Antiqua" w:eastAsiaTheme="minorEastAsia" w:hAnsi="Book Antiqua" w:cs="Arial"/>
          <w:sz w:val="24"/>
          <w:szCs w:val="24"/>
          <w:lang w:eastAsia="zh-CN"/>
        </w:rPr>
      </w:pPr>
      <w:r w:rsidRPr="00E10230">
        <w:rPr>
          <w:rFonts w:ascii="Book Antiqua" w:hAnsi="Book Antiqua" w:cs="Arial"/>
          <w:sz w:val="24"/>
          <w:szCs w:val="24"/>
        </w:rPr>
        <w:t>T</w:t>
      </w:r>
      <w:r w:rsidR="00BD3795" w:rsidRPr="00E10230">
        <w:rPr>
          <w:rFonts w:ascii="Book Antiqua" w:hAnsi="Book Antiqua" w:cs="Arial"/>
          <w:sz w:val="24"/>
          <w:szCs w:val="24"/>
        </w:rPr>
        <w:t xml:space="preserve">o evaluate the national </w:t>
      </w:r>
      <w:r w:rsidR="00850803" w:rsidRPr="00E10230">
        <w:rPr>
          <w:rFonts w:ascii="Book Antiqua" w:hAnsi="Book Antiqua" w:cs="Arial"/>
          <w:sz w:val="24"/>
          <w:szCs w:val="24"/>
        </w:rPr>
        <w:t xml:space="preserve">inpatient </w:t>
      </w:r>
      <w:r w:rsidR="00BD3795" w:rsidRPr="00E10230">
        <w:rPr>
          <w:rFonts w:ascii="Book Antiqua" w:hAnsi="Book Antiqua" w:cs="Arial"/>
          <w:sz w:val="24"/>
          <w:szCs w:val="24"/>
        </w:rPr>
        <w:t xml:space="preserve">trends of </w:t>
      </w:r>
      <w:r w:rsidR="005D7263" w:rsidRPr="00E10230">
        <w:rPr>
          <w:rFonts w:ascii="Book Antiqua" w:hAnsi="Book Antiqua" w:cs="Arial"/>
          <w:sz w:val="24"/>
          <w:szCs w:val="24"/>
        </w:rPr>
        <w:t>discharges</w:t>
      </w:r>
      <w:r w:rsidR="0001520C" w:rsidRPr="00E10230">
        <w:rPr>
          <w:rFonts w:ascii="Book Antiqua" w:hAnsi="Book Antiqua" w:cs="Arial"/>
          <w:sz w:val="24"/>
          <w:szCs w:val="24"/>
        </w:rPr>
        <w:t xml:space="preserve">, </w:t>
      </w:r>
      <w:r w:rsidR="00BD3795" w:rsidRPr="00E10230">
        <w:rPr>
          <w:rFonts w:ascii="Book Antiqua" w:hAnsi="Book Antiqua" w:cs="Arial"/>
          <w:sz w:val="24"/>
          <w:szCs w:val="24"/>
        </w:rPr>
        <w:t>mortalities</w:t>
      </w:r>
      <w:r w:rsidR="00850803" w:rsidRPr="00E10230">
        <w:rPr>
          <w:rFonts w:ascii="Book Antiqua" w:hAnsi="Book Antiqua" w:cs="Arial"/>
          <w:sz w:val="24"/>
          <w:szCs w:val="24"/>
        </w:rPr>
        <w:t xml:space="preserve"> </w:t>
      </w:r>
      <w:r w:rsidR="0001520C" w:rsidRPr="00E10230">
        <w:rPr>
          <w:rFonts w:ascii="Book Antiqua" w:hAnsi="Book Antiqua" w:cs="Arial"/>
          <w:sz w:val="24"/>
          <w:szCs w:val="24"/>
        </w:rPr>
        <w:t>and financial impact</w:t>
      </w:r>
      <w:r w:rsidR="009D430B" w:rsidRPr="00E10230">
        <w:rPr>
          <w:rFonts w:ascii="Book Antiqua" w:hAnsi="Book Antiqua" w:cs="Arial"/>
          <w:sz w:val="24"/>
          <w:szCs w:val="24"/>
        </w:rPr>
        <w:t>s</w:t>
      </w:r>
      <w:r w:rsidR="0001520C" w:rsidRPr="00E10230">
        <w:rPr>
          <w:rFonts w:ascii="Book Antiqua" w:hAnsi="Book Antiqua" w:cs="Arial"/>
          <w:sz w:val="24"/>
          <w:szCs w:val="24"/>
        </w:rPr>
        <w:t xml:space="preserve"> </w:t>
      </w:r>
      <w:r w:rsidR="00BD3795" w:rsidRPr="00E10230">
        <w:rPr>
          <w:rFonts w:ascii="Book Antiqua" w:hAnsi="Book Antiqua" w:cs="Arial"/>
          <w:sz w:val="24"/>
          <w:szCs w:val="24"/>
        </w:rPr>
        <w:t xml:space="preserve">associated with four common </w:t>
      </w:r>
      <w:r w:rsidR="00891D84" w:rsidRPr="00E10230">
        <w:rPr>
          <w:rFonts w:ascii="Book Antiqua" w:hAnsi="Book Antiqua" w:cs="Arial"/>
          <w:sz w:val="24"/>
          <w:szCs w:val="24"/>
        </w:rPr>
        <w:t xml:space="preserve">conditions </w:t>
      </w:r>
      <w:r w:rsidR="00BD3795" w:rsidRPr="00E10230">
        <w:rPr>
          <w:rFonts w:ascii="Book Antiqua" w:hAnsi="Book Antiqua" w:cs="Arial"/>
          <w:sz w:val="24"/>
          <w:szCs w:val="24"/>
        </w:rPr>
        <w:t>of cirrhosis</w:t>
      </w:r>
      <w:r w:rsidR="004B5FFD" w:rsidRPr="00E10230">
        <w:rPr>
          <w:rFonts w:ascii="Book Antiqua" w:hAnsi="Book Antiqua" w:cs="Arial"/>
          <w:sz w:val="24"/>
          <w:szCs w:val="24"/>
        </w:rPr>
        <w:t>.</w:t>
      </w:r>
    </w:p>
    <w:p w14:paraId="4DBD65FD" w14:textId="77777777" w:rsidR="00BF55B0" w:rsidRPr="00E10230" w:rsidRDefault="00BF55B0" w:rsidP="00E10230">
      <w:pPr>
        <w:spacing w:after="0" w:line="360" w:lineRule="auto"/>
        <w:jc w:val="both"/>
        <w:rPr>
          <w:rFonts w:ascii="Book Antiqua" w:eastAsiaTheme="minorEastAsia" w:hAnsi="Book Antiqua" w:cs="Arial"/>
          <w:sz w:val="24"/>
          <w:szCs w:val="24"/>
          <w:lang w:eastAsia="zh-CN"/>
        </w:rPr>
      </w:pPr>
    </w:p>
    <w:p w14:paraId="0400E104" w14:textId="77777777" w:rsidR="004B5FFD" w:rsidRPr="00E10230" w:rsidRDefault="004B5FFD" w:rsidP="00E10230">
      <w:pPr>
        <w:spacing w:after="0" w:line="360" w:lineRule="auto"/>
        <w:jc w:val="both"/>
        <w:rPr>
          <w:rFonts w:ascii="Book Antiqua" w:hAnsi="Book Antiqua" w:cs="Arial"/>
          <w:i/>
          <w:sz w:val="24"/>
          <w:szCs w:val="24"/>
        </w:rPr>
      </w:pPr>
      <w:r w:rsidRPr="00E10230">
        <w:rPr>
          <w:rFonts w:ascii="Book Antiqua" w:hAnsi="Book Antiqua" w:cs="Arial"/>
          <w:b/>
          <w:i/>
          <w:sz w:val="24"/>
          <w:szCs w:val="24"/>
        </w:rPr>
        <w:t>METHODS</w:t>
      </w:r>
    </w:p>
    <w:p w14:paraId="30C50C41" w14:textId="57AA81F6" w:rsidR="00130C64" w:rsidRPr="00E10230" w:rsidRDefault="004B5FFD" w:rsidP="00E10230">
      <w:pPr>
        <w:spacing w:after="0" w:line="360" w:lineRule="auto"/>
        <w:jc w:val="both"/>
        <w:rPr>
          <w:rFonts w:ascii="Book Antiqua" w:eastAsiaTheme="minorEastAsia" w:hAnsi="Book Antiqua" w:cs="Arial"/>
          <w:sz w:val="24"/>
          <w:szCs w:val="24"/>
          <w:lang w:eastAsia="zh-CN"/>
        </w:rPr>
      </w:pPr>
      <w:r w:rsidRPr="00E10230">
        <w:rPr>
          <w:rFonts w:ascii="Book Antiqua" w:hAnsi="Book Antiqua" w:cs="Arial"/>
          <w:sz w:val="24"/>
          <w:szCs w:val="24"/>
        </w:rPr>
        <w:t xml:space="preserve">The publicly available Healthcare Cost and Utilization Project </w:t>
      </w:r>
      <w:r w:rsidR="00BF55B0" w:rsidRPr="00E10230">
        <w:rPr>
          <w:rFonts w:ascii="Book Antiqua" w:hAnsi="Book Antiqua" w:cs="Arial"/>
          <w:sz w:val="24"/>
          <w:szCs w:val="24"/>
        </w:rPr>
        <w:t>National Inpatient Sample</w:t>
      </w:r>
      <w:r w:rsidRPr="00E10230">
        <w:rPr>
          <w:rFonts w:ascii="Book Antiqua" w:hAnsi="Book Antiqua" w:cs="Arial"/>
          <w:sz w:val="24"/>
          <w:szCs w:val="24"/>
        </w:rPr>
        <w:t xml:space="preserve"> database was utilized to examine the temporal trends of total number of discharges, mortalities and inpatient costs related to hospitalization with a primary diagnosis of </w:t>
      </w:r>
      <w:r w:rsidR="00BF55B0" w:rsidRPr="00E10230">
        <w:rPr>
          <w:rFonts w:ascii="Book Antiqua" w:hAnsi="Book Antiqua" w:cs="Arial"/>
          <w:sz w:val="24"/>
          <w:szCs w:val="24"/>
        </w:rPr>
        <w:t>HC</w:t>
      </w:r>
      <w:r w:rsidRPr="00E10230">
        <w:rPr>
          <w:rFonts w:ascii="Book Antiqua" w:hAnsi="Book Antiqua" w:cs="Arial"/>
          <w:sz w:val="24"/>
          <w:szCs w:val="24"/>
        </w:rPr>
        <w:t>, transjugular intrahepatic portosystemic shunt (TIPS), esophageal varices with bleeding (EV) and spontaneous bacterial peritonitis (SBP) from 2005 to 2014. The ten-year temporal trends were assessed using simple linear regressions and multiple regression analysis.</w:t>
      </w:r>
      <w:r w:rsidR="008C5BC9" w:rsidRPr="00E10230">
        <w:rPr>
          <w:rFonts w:ascii="Book Antiqua" w:hAnsi="Book Antiqua" w:cs="Arial"/>
          <w:sz w:val="24"/>
          <w:szCs w:val="24"/>
        </w:rPr>
        <w:t xml:space="preserve"> </w:t>
      </w:r>
      <w:r w:rsidR="006D7196" w:rsidRPr="00E10230">
        <w:rPr>
          <w:rFonts w:ascii="Book Antiqua" w:hAnsi="Book Antiqua" w:cs="Arial"/>
          <w:sz w:val="24"/>
          <w:szCs w:val="24"/>
        </w:rPr>
        <w:t>Two-sided</w:t>
      </w:r>
      <w:r w:rsidR="008C5BC9" w:rsidRPr="00E10230">
        <w:rPr>
          <w:rFonts w:ascii="Book Antiqua" w:hAnsi="Book Antiqua" w:cs="Arial"/>
          <w:sz w:val="24"/>
          <w:szCs w:val="24"/>
        </w:rPr>
        <w:t xml:space="preserve"> </w:t>
      </w:r>
      <w:r w:rsidR="00DE7E75" w:rsidRPr="00E10230">
        <w:rPr>
          <w:rFonts w:ascii="Book Antiqua" w:hAnsi="Book Antiqua" w:cs="Arial"/>
          <w:i/>
          <w:sz w:val="24"/>
          <w:szCs w:val="24"/>
        </w:rPr>
        <w:t>P</w:t>
      </w:r>
      <w:r w:rsidR="004C7441" w:rsidRPr="00E10230">
        <w:rPr>
          <w:rFonts w:ascii="Book Antiqua" w:eastAsiaTheme="minorEastAsia" w:hAnsi="Book Antiqua" w:cs="Arial"/>
          <w:i/>
          <w:sz w:val="24"/>
          <w:szCs w:val="24"/>
          <w:lang w:eastAsia="zh-CN"/>
        </w:rPr>
        <w:t xml:space="preserve"> </w:t>
      </w:r>
      <w:r w:rsidR="008C5BC9" w:rsidRPr="00E10230">
        <w:rPr>
          <w:rFonts w:ascii="Book Antiqua" w:hAnsi="Book Antiqua" w:cs="Arial"/>
          <w:sz w:val="24"/>
          <w:szCs w:val="24"/>
        </w:rPr>
        <w:t>&lt;</w:t>
      </w:r>
      <w:r w:rsidR="004C7441" w:rsidRPr="00E10230">
        <w:rPr>
          <w:rFonts w:ascii="Book Antiqua" w:eastAsiaTheme="minorEastAsia" w:hAnsi="Book Antiqua" w:cs="Arial"/>
          <w:sz w:val="24"/>
          <w:szCs w:val="24"/>
          <w:lang w:eastAsia="zh-CN"/>
        </w:rPr>
        <w:t xml:space="preserve"> </w:t>
      </w:r>
      <w:r w:rsidR="008C5BC9" w:rsidRPr="00E10230">
        <w:rPr>
          <w:rFonts w:ascii="Book Antiqua" w:hAnsi="Book Antiqua" w:cs="Arial"/>
          <w:sz w:val="24"/>
          <w:szCs w:val="24"/>
        </w:rPr>
        <w:t>0.05 was considered statistically significant.</w:t>
      </w:r>
    </w:p>
    <w:p w14:paraId="75FE860E" w14:textId="77777777" w:rsidR="00BF55B0" w:rsidRPr="00E10230" w:rsidRDefault="00BF55B0" w:rsidP="00E10230">
      <w:pPr>
        <w:spacing w:after="0" w:line="360" w:lineRule="auto"/>
        <w:jc w:val="both"/>
        <w:rPr>
          <w:rFonts w:ascii="Book Antiqua" w:eastAsiaTheme="minorEastAsia" w:hAnsi="Book Antiqua" w:cs="Arial"/>
          <w:sz w:val="24"/>
          <w:szCs w:val="24"/>
          <w:lang w:eastAsia="zh-CN"/>
        </w:rPr>
      </w:pPr>
    </w:p>
    <w:p w14:paraId="1273DD20" w14:textId="77777777" w:rsidR="00DE7E75" w:rsidRPr="00E10230" w:rsidRDefault="00DE7E75" w:rsidP="00E10230">
      <w:pPr>
        <w:spacing w:after="0" w:line="360" w:lineRule="auto"/>
        <w:jc w:val="both"/>
        <w:rPr>
          <w:rFonts w:ascii="Book Antiqua" w:hAnsi="Book Antiqua" w:cs="Arial"/>
          <w:i/>
          <w:sz w:val="24"/>
          <w:szCs w:val="24"/>
        </w:rPr>
      </w:pPr>
      <w:bookmarkStart w:id="3" w:name="_Hlk529182602"/>
      <w:r w:rsidRPr="00E10230">
        <w:rPr>
          <w:rFonts w:ascii="Book Antiqua" w:hAnsi="Book Antiqua" w:cs="Arial"/>
          <w:b/>
          <w:i/>
          <w:sz w:val="24"/>
          <w:szCs w:val="24"/>
        </w:rPr>
        <w:t>RESULTS</w:t>
      </w:r>
    </w:p>
    <w:p w14:paraId="01F6E15B" w14:textId="4C11660F" w:rsidR="00B03BE2" w:rsidRPr="00E10230" w:rsidRDefault="00BD3795" w:rsidP="00E10230">
      <w:pPr>
        <w:spacing w:after="0" w:line="360" w:lineRule="auto"/>
        <w:jc w:val="both"/>
        <w:rPr>
          <w:rFonts w:ascii="Book Antiqua" w:eastAsiaTheme="minorEastAsia" w:hAnsi="Book Antiqua" w:cs="Arial"/>
          <w:sz w:val="24"/>
          <w:szCs w:val="24"/>
          <w:lang w:eastAsia="zh-CN"/>
        </w:rPr>
      </w:pPr>
      <w:r w:rsidRPr="00E10230">
        <w:rPr>
          <w:rFonts w:ascii="Book Antiqua" w:hAnsi="Book Antiqua" w:cs="Arial"/>
          <w:sz w:val="24"/>
          <w:szCs w:val="24"/>
        </w:rPr>
        <w:t xml:space="preserve">From 2005 to 2014, the total number of discharges </w:t>
      </w:r>
      <w:r w:rsidR="0007514D" w:rsidRPr="00E10230">
        <w:rPr>
          <w:rFonts w:ascii="Book Antiqua" w:hAnsi="Book Antiqua" w:cs="Arial"/>
          <w:sz w:val="24"/>
          <w:szCs w:val="24"/>
        </w:rPr>
        <w:t xml:space="preserve">with </w:t>
      </w:r>
      <w:r w:rsidRPr="00E10230">
        <w:rPr>
          <w:rFonts w:ascii="Book Antiqua" w:hAnsi="Book Antiqua" w:cs="Arial"/>
          <w:sz w:val="24"/>
          <w:szCs w:val="24"/>
        </w:rPr>
        <w:t>cirrhosis</w:t>
      </w:r>
      <w:r w:rsidR="0007514D" w:rsidRPr="00E10230">
        <w:rPr>
          <w:rFonts w:ascii="Book Antiqua" w:hAnsi="Book Antiqua" w:cs="Arial"/>
          <w:sz w:val="24"/>
          <w:szCs w:val="24"/>
        </w:rPr>
        <w:t>-associated</w:t>
      </w:r>
      <w:r w:rsidRPr="00E10230">
        <w:rPr>
          <w:rFonts w:ascii="Book Antiqua" w:hAnsi="Book Antiqua" w:cs="Arial"/>
          <w:sz w:val="24"/>
          <w:szCs w:val="24"/>
        </w:rPr>
        <w:t xml:space="preserve"> </w:t>
      </w:r>
      <w:r w:rsidR="0007514D" w:rsidRPr="00E10230">
        <w:rPr>
          <w:rFonts w:ascii="Book Antiqua" w:hAnsi="Book Antiqua" w:cs="Arial"/>
          <w:sz w:val="24"/>
          <w:szCs w:val="24"/>
        </w:rPr>
        <w:t xml:space="preserve">complications </w:t>
      </w:r>
      <w:r w:rsidRPr="00E10230">
        <w:rPr>
          <w:rFonts w:ascii="Book Antiqua" w:hAnsi="Book Antiqua" w:cs="Arial"/>
          <w:sz w:val="24"/>
          <w:szCs w:val="24"/>
        </w:rPr>
        <w:t>trend</w:t>
      </w:r>
      <w:r w:rsidR="0007514D" w:rsidRPr="00E10230">
        <w:rPr>
          <w:rFonts w:ascii="Book Antiqua" w:hAnsi="Book Antiqua" w:cs="Arial"/>
          <w:sz w:val="24"/>
          <w:szCs w:val="24"/>
        </w:rPr>
        <w:t>ed</w:t>
      </w:r>
      <w:r w:rsidRPr="00E10230">
        <w:rPr>
          <w:rFonts w:ascii="Book Antiqua" w:hAnsi="Book Antiqua" w:cs="Arial"/>
          <w:sz w:val="24"/>
          <w:szCs w:val="24"/>
        </w:rPr>
        <w:t xml:space="preserve"> up</w:t>
      </w:r>
      <w:r w:rsidR="005D7263" w:rsidRPr="00E10230">
        <w:rPr>
          <w:rFonts w:ascii="Book Antiqua" w:hAnsi="Book Antiqua" w:cs="Arial"/>
          <w:sz w:val="24"/>
          <w:szCs w:val="24"/>
        </w:rPr>
        <w:t xml:space="preserve"> for HC, SBP and EV</w:t>
      </w:r>
      <w:r w:rsidRPr="00E10230">
        <w:rPr>
          <w:rFonts w:ascii="Book Antiqua" w:hAnsi="Book Antiqua" w:cs="Arial"/>
          <w:sz w:val="24"/>
          <w:szCs w:val="24"/>
        </w:rPr>
        <w:t xml:space="preserve"> (HC by </w:t>
      </w:r>
      <w:r w:rsidR="00D4373F" w:rsidRPr="00E10230">
        <w:rPr>
          <w:rFonts w:ascii="Book Antiqua" w:hAnsi="Book Antiqua" w:cs="Arial"/>
          <w:sz w:val="24"/>
          <w:szCs w:val="24"/>
        </w:rPr>
        <w:t>7</w:t>
      </w:r>
      <w:r w:rsidRPr="00E10230">
        <w:rPr>
          <w:rFonts w:ascii="Book Antiqua" w:hAnsi="Book Antiqua" w:cs="Arial"/>
          <w:sz w:val="24"/>
          <w:szCs w:val="24"/>
        </w:rPr>
        <w:t xml:space="preserve">0% increase, </w:t>
      </w:r>
      <w:r w:rsidR="003559C5" w:rsidRPr="00E10230">
        <w:rPr>
          <w:rFonts w:ascii="Book Antiqua" w:hAnsi="Book Antiqua" w:cs="Arial"/>
          <w:i/>
          <w:sz w:val="24"/>
          <w:szCs w:val="24"/>
        </w:rPr>
        <w:t>P</w:t>
      </w:r>
      <w:r w:rsidR="004C7441"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&lt;</w:t>
      </w:r>
      <w:r w:rsidR="004C7441" w:rsidRPr="00E10230">
        <w:rPr>
          <w:rFonts w:ascii="Book Antiqua" w:eastAsiaTheme="minorEastAsia" w:hAnsi="Book Antiqua" w:cs="Arial"/>
          <w:sz w:val="24"/>
          <w:szCs w:val="24"/>
          <w:lang w:eastAsia="zh-CN"/>
        </w:rPr>
        <w:t xml:space="preserve"> </w:t>
      </w:r>
      <w:r w:rsidRPr="00E10230">
        <w:rPr>
          <w:rFonts w:ascii="Book Antiqua" w:hAnsi="Book Antiqua" w:cs="Arial"/>
          <w:sz w:val="24"/>
          <w:szCs w:val="24"/>
        </w:rPr>
        <w:t xml:space="preserve">0.0001; SBP by 819% increase, </w:t>
      </w:r>
      <w:r w:rsidR="003559C5" w:rsidRPr="00E10230">
        <w:rPr>
          <w:rFonts w:ascii="Book Antiqua" w:hAnsi="Book Antiqua" w:cs="Arial"/>
          <w:i/>
          <w:sz w:val="24"/>
          <w:szCs w:val="24"/>
        </w:rPr>
        <w:t>P</w:t>
      </w:r>
      <w:r w:rsidR="004C7441"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w:t>
      </w:r>
      <w:r w:rsidR="004C7441" w:rsidRPr="00E10230">
        <w:rPr>
          <w:rFonts w:ascii="Book Antiqua" w:eastAsiaTheme="minorEastAsia" w:hAnsi="Book Antiqua" w:cs="Arial"/>
          <w:sz w:val="24"/>
          <w:szCs w:val="24"/>
          <w:lang w:eastAsia="zh-CN"/>
        </w:rPr>
        <w:t xml:space="preserve"> </w:t>
      </w:r>
      <w:r w:rsidRPr="00E10230">
        <w:rPr>
          <w:rFonts w:ascii="Book Antiqua" w:hAnsi="Book Antiqua" w:cs="Arial"/>
          <w:sz w:val="24"/>
          <w:szCs w:val="24"/>
        </w:rPr>
        <w:t xml:space="preserve">0.0002; EV by 9% increase, </w:t>
      </w:r>
      <w:r w:rsidR="003559C5" w:rsidRPr="00E10230">
        <w:rPr>
          <w:rFonts w:ascii="Book Antiqua" w:hAnsi="Book Antiqua" w:cs="Arial"/>
          <w:i/>
          <w:sz w:val="24"/>
          <w:szCs w:val="24"/>
        </w:rPr>
        <w:t>P</w:t>
      </w:r>
      <w:r w:rsidR="004C7441"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w:t>
      </w:r>
      <w:r w:rsidR="004C7441" w:rsidRPr="00E10230">
        <w:rPr>
          <w:rFonts w:ascii="Book Antiqua" w:eastAsiaTheme="minorEastAsia" w:hAnsi="Book Antiqua" w:cs="Arial"/>
          <w:sz w:val="24"/>
          <w:szCs w:val="24"/>
          <w:lang w:eastAsia="zh-CN"/>
        </w:rPr>
        <w:t xml:space="preserve"> </w:t>
      </w:r>
      <w:r w:rsidRPr="00E10230">
        <w:rPr>
          <w:rFonts w:ascii="Book Antiqua" w:hAnsi="Book Antiqua" w:cs="Arial"/>
          <w:sz w:val="24"/>
          <w:szCs w:val="24"/>
        </w:rPr>
        <w:t>0.016)</w:t>
      </w:r>
      <w:r w:rsidR="003C1D75" w:rsidRPr="00E10230">
        <w:rPr>
          <w:rFonts w:ascii="Book Antiqua" w:hAnsi="Book Antiqua" w:cs="Arial"/>
          <w:sz w:val="24"/>
          <w:szCs w:val="24"/>
        </w:rPr>
        <w:t>,</w:t>
      </w:r>
      <w:r w:rsidR="00283E17" w:rsidRPr="00E10230">
        <w:rPr>
          <w:rFonts w:ascii="Book Antiqua" w:hAnsi="Book Antiqua" w:cs="Arial"/>
          <w:sz w:val="24"/>
          <w:szCs w:val="24"/>
        </w:rPr>
        <w:t xml:space="preserve"> </w:t>
      </w:r>
      <w:r w:rsidR="005D7263" w:rsidRPr="00E10230">
        <w:rPr>
          <w:rFonts w:ascii="Book Antiqua" w:hAnsi="Book Antiqua" w:cs="Arial"/>
          <w:sz w:val="24"/>
          <w:szCs w:val="24"/>
        </w:rPr>
        <w:t>but not</w:t>
      </w:r>
      <w:r w:rsidR="00283E17" w:rsidRPr="00E10230">
        <w:rPr>
          <w:rFonts w:ascii="Book Antiqua" w:hAnsi="Book Antiqua" w:cs="Arial"/>
          <w:sz w:val="24"/>
          <w:szCs w:val="24"/>
        </w:rPr>
        <w:t xml:space="preserve"> </w:t>
      </w:r>
      <w:r w:rsidR="00481017" w:rsidRPr="00E10230">
        <w:rPr>
          <w:rFonts w:ascii="Book Antiqua" w:hAnsi="Book Antiqua" w:cs="Arial"/>
          <w:sz w:val="24"/>
          <w:szCs w:val="24"/>
        </w:rPr>
        <w:t xml:space="preserve">for </w:t>
      </w:r>
      <w:r w:rsidR="00283E17" w:rsidRPr="00E10230">
        <w:rPr>
          <w:rFonts w:ascii="Book Antiqua" w:hAnsi="Book Antiqua" w:cs="Arial"/>
          <w:sz w:val="24"/>
          <w:szCs w:val="24"/>
        </w:rPr>
        <w:t>TIPS</w:t>
      </w:r>
      <w:r w:rsidR="005D7263" w:rsidRPr="00E10230">
        <w:rPr>
          <w:rFonts w:ascii="Book Antiqua" w:hAnsi="Book Antiqua" w:cs="Arial"/>
          <w:sz w:val="24"/>
          <w:szCs w:val="24"/>
        </w:rPr>
        <w:t xml:space="preserve"> (</w:t>
      </w:r>
      <w:r w:rsidR="003559C5" w:rsidRPr="00E10230">
        <w:rPr>
          <w:rFonts w:ascii="Book Antiqua" w:hAnsi="Book Antiqua" w:cs="Arial"/>
          <w:i/>
          <w:sz w:val="24"/>
          <w:szCs w:val="24"/>
        </w:rPr>
        <w:t>P</w:t>
      </w:r>
      <w:r w:rsidR="004C7441" w:rsidRPr="00E10230">
        <w:rPr>
          <w:rFonts w:ascii="Book Antiqua" w:eastAsiaTheme="minorEastAsia" w:hAnsi="Book Antiqua" w:cs="Arial"/>
          <w:i/>
          <w:sz w:val="24"/>
          <w:szCs w:val="24"/>
          <w:lang w:eastAsia="zh-CN"/>
        </w:rPr>
        <w:t xml:space="preserve"> </w:t>
      </w:r>
      <w:r w:rsidR="003C1D75" w:rsidRPr="00E10230">
        <w:rPr>
          <w:rFonts w:ascii="Book Antiqua" w:hAnsi="Book Antiqua" w:cs="Arial"/>
          <w:sz w:val="24"/>
          <w:szCs w:val="24"/>
        </w:rPr>
        <w:t>=</w:t>
      </w:r>
      <w:r w:rsidR="004C7441" w:rsidRPr="00E10230">
        <w:rPr>
          <w:rFonts w:ascii="Book Antiqua" w:eastAsiaTheme="minorEastAsia" w:hAnsi="Book Antiqua" w:cs="Arial"/>
          <w:sz w:val="24"/>
          <w:szCs w:val="24"/>
          <w:lang w:eastAsia="zh-CN"/>
        </w:rPr>
        <w:t xml:space="preserve"> </w:t>
      </w:r>
      <w:r w:rsidR="003C1D75" w:rsidRPr="00E10230">
        <w:rPr>
          <w:rFonts w:ascii="Book Antiqua" w:hAnsi="Book Antiqua" w:cs="Arial"/>
          <w:sz w:val="24"/>
          <w:szCs w:val="24"/>
        </w:rPr>
        <w:t>0.90</w:t>
      </w:r>
      <w:r w:rsidR="005D7263" w:rsidRPr="00E10230">
        <w:rPr>
          <w:rFonts w:ascii="Book Antiqua" w:hAnsi="Book Antiqua" w:cs="Arial"/>
          <w:sz w:val="24"/>
          <w:szCs w:val="24"/>
        </w:rPr>
        <w:t>)</w:t>
      </w:r>
      <w:r w:rsidRPr="00E10230">
        <w:rPr>
          <w:rFonts w:ascii="Book Antiqua" w:hAnsi="Book Antiqua" w:cs="Arial"/>
          <w:sz w:val="24"/>
          <w:szCs w:val="24"/>
        </w:rPr>
        <w:t xml:space="preserve">. </w:t>
      </w:r>
      <w:r w:rsidR="002208F2" w:rsidRPr="00E10230">
        <w:rPr>
          <w:rFonts w:ascii="Book Antiqua" w:hAnsi="Book Antiqua" w:cs="Arial"/>
          <w:sz w:val="24"/>
          <w:szCs w:val="24"/>
        </w:rPr>
        <w:t xml:space="preserve">HC related to </w:t>
      </w:r>
      <w:r w:rsidR="00B03BE2" w:rsidRPr="00E10230">
        <w:rPr>
          <w:rFonts w:ascii="Book Antiqua" w:hAnsi="Book Antiqua" w:cs="Arial"/>
          <w:sz w:val="24"/>
          <w:szCs w:val="24"/>
        </w:rPr>
        <w:t>viral hepatitis showed faster increase by 357% (</w:t>
      </w:r>
      <w:r w:rsidR="00B03BE2" w:rsidRPr="00E10230">
        <w:rPr>
          <w:rFonts w:ascii="Book Antiqua" w:hAnsi="Book Antiqua" w:cs="Arial"/>
          <w:i/>
          <w:sz w:val="24"/>
          <w:szCs w:val="24"/>
        </w:rPr>
        <w:t>P</w:t>
      </w:r>
      <w:r w:rsidR="004C7441" w:rsidRPr="00E10230">
        <w:rPr>
          <w:rFonts w:ascii="Book Antiqua" w:eastAsiaTheme="minorEastAsia" w:hAnsi="Book Antiqua" w:cs="Arial"/>
          <w:i/>
          <w:sz w:val="24"/>
          <w:szCs w:val="24"/>
          <w:lang w:eastAsia="zh-CN"/>
        </w:rPr>
        <w:t xml:space="preserve"> </w:t>
      </w:r>
      <w:r w:rsidR="00B03BE2" w:rsidRPr="00E10230">
        <w:rPr>
          <w:rFonts w:ascii="Book Antiqua" w:hAnsi="Book Antiqua" w:cs="Arial"/>
          <w:sz w:val="24"/>
          <w:szCs w:val="24"/>
        </w:rPr>
        <w:t>&lt;</w:t>
      </w:r>
      <w:r w:rsidR="004C7441" w:rsidRPr="00E10230">
        <w:rPr>
          <w:rFonts w:ascii="Book Antiqua" w:eastAsiaTheme="minorEastAsia" w:hAnsi="Book Antiqua" w:cs="Arial"/>
          <w:sz w:val="24"/>
          <w:szCs w:val="24"/>
          <w:lang w:eastAsia="zh-CN"/>
        </w:rPr>
        <w:t xml:space="preserve"> </w:t>
      </w:r>
      <w:r w:rsidR="00B03BE2" w:rsidRPr="00E10230">
        <w:rPr>
          <w:rFonts w:ascii="Book Antiqua" w:hAnsi="Book Antiqua" w:cs="Arial"/>
          <w:sz w:val="24"/>
          <w:szCs w:val="24"/>
        </w:rPr>
        <w:t>0.0001) in comparison to HC not related to viral hepatitis by 33 % (</w:t>
      </w:r>
      <w:r w:rsidR="00B03BE2" w:rsidRPr="00E10230">
        <w:rPr>
          <w:rFonts w:ascii="Book Antiqua" w:hAnsi="Book Antiqua" w:cs="Arial"/>
          <w:i/>
          <w:sz w:val="24"/>
          <w:szCs w:val="24"/>
        </w:rPr>
        <w:t>P</w:t>
      </w:r>
      <w:r w:rsidR="004C7441" w:rsidRPr="00E10230">
        <w:rPr>
          <w:rFonts w:ascii="Book Antiqua" w:eastAsiaTheme="minorEastAsia" w:hAnsi="Book Antiqua" w:cs="Arial"/>
          <w:i/>
          <w:sz w:val="24"/>
          <w:szCs w:val="24"/>
          <w:lang w:eastAsia="zh-CN"/>
        </w:rPr>
        <w:t xml:space="preserve"> </w:t>
      </w:r>
      <w:r w:rsidR="00B03BE2" w:rsidRPr="00E10230">
        <w:rPr>
          <w:rFonts w:ascii="Book Antiqua" w:hAnsi="Book Antiqua" w:cs="Arial"/>
          <w:sz w:val="24"/>
          <w:szCs w:val="24"/>
        </w:rPr>
        <w:t>=</w:t>
      </w:r>
      <w:r w:rsidR="004C7441" w:rsidRPr="00E10230">
        <w:rPr>
          <w:rFonts w:ascii="Book Antiqua" w:eastAsiaTheme="minorEastAsia" w:hAnsi="Book Antiqua" w:cs="Arial"/>
          <w:sz w:val="24"/>
          <w:szCs w:val="24"/>
          <w:lang w:eastAsia="zh-CN"/>
        </w:rPr>
        <w:t xml:space="preserve"> </w:t>
      </w:r>
      <w:r w:rsidR="00B03BE2" w:rsidRPr="00E10230">
        <w:rPr>
          <w:rFonts w:ascii="Book Antiqua" w:hAnsi="Book Antiqua" w:cs="Arial"/>
          <w:sz w:val="24"/>
          <w:szCs w:val="24"/>
        </w:rPr>
        <w:t xml:space="preserve">0.0006). </w:t>
      </w:r>
      <w:r w:rsidRPr="00E10230">
        <w:rPr>
          <w:rFonts w:ascii="Book Antiqua" w:hAnsi="Book Antiqua" w:cs="Arial"/>
          <w:sz w:val="24"/>
          <w:szCs w:val="24"/>
        </w:rPr>
        <w:t>Overall, in-hospital mortality rates for each condition decreased from 2005 to 2014 (HC by 29% reduction</w:t>
      </w:r>
      <w:r w:rsidR="009D430B" w:rsidRPr="00E10230">
        <w:rPr>
          <w:rFonts w:ascii="Book Antiqua" w:hAnsi="Book Antiqua" w:cs="Arial"/>
          <w:sz w:val="24"/>
          <w:szCs w:val="24"/>
        </w:rPr>
        <w:t xml:space="preserve">, </w:t>
      </w:r>
      <w:r w:rsidR="003559C5" w:rsidRPr="00E10230">
        <w:rPr>
          <w:rFonts w:ascii="Book Antiqua" w:hAnsi="Book Antiqua" w:cs="Arial"/>
          <w:i/>
          <w:sz w:val="24"/>
          <w:szCs w:val="24"/>
        </w:rPr>
        <w:t>P</w:t>
      </w:r>
      <w:r w:rsidR="004C7441" w:rsidRPr="00E10230">
        <w:rPr>
          <w:rFonts w:ascii="Book Antiqua" w:eastAsiaTheme="minorEastAsia" w:hAnsi="Book Antiqua" w:cs="Arial"/>
          <w:i/>
          <w:sz w:val="24"/>
          <w:szCs w:val="24"/>
          <w:lang w:eastAsia="zh-CN"/>
        </w:rPr>
        <w:t xml:space="preserve"> </w:t>
      </w:r>
      <w:r w:rsidR="009D430B" w:rsidRPr="00E10230">
        <w:rPr>
          <w:rFonts w:ascii="Book Antiqua" w:hAnsi="Book Antiqua" w:cs="Arial"/>
          <w:sz w:val="24"/>
          <w:szCs w:val="24"/>
        </w:rPr>
        <w:t>=</w:t>
      </w:r>
      <w:r w:rsidR="004C7441" w:rsidRPr="00E10230">
        <w:rPr>
          <w:rFonts w:ascii="Book Antiqua" w:eastAsiaTheme="minorEastAsia" w:hAnsi="Book Antiqua" w:cs="Arial"/>
          <w:sz w:val="24"/>
          <w:szCs w:val="24"/>
          <w:lang w:eastAsia="zh-CN"/>
        </w:rPr>
        <w:t xml:space="preserve"> </w:t>
      </w:r>
      <w:r w:rsidR="009D430B" w:rsidRPr="00E10230">
        <w:rPr>
          <w:rFonts w:ascii="Book Antiqua" w:hAnsi="Book Antiqua" w:cs="Arial"/>
          <w:sz w:val="24"/>
          <w:szCs w:val="24"/>
        </w:rPr>
        <w:t>0.0024</w:t>
      </w:r>
      <w:r w:rsidRPr="00E10230">
        <w:rPr>
          <w:rFonts w:ascii="Book Antiqua" w:hAnsi="Book Antiqua" w:cs="Arial"/>
          <w:sz w:val="24"/>
          <w:szCs w:val="24"/>
        </w:rPr>
        <w:t>; SBP by 26% reduction</w:t>
      </w:r>
      <w:r w:rsidR="007C0134" w:rsidRPr="00E10230">
        <w:rPr>
          <w:rFonts w:ascii="Book Antiqua" w:hAnsi="Book Antiqua" w:cs="Arial"/>
          <w:sz w:val="24"/>
          <w:szCs w:val="24"/>
        </w:rPr>
        <w:t xml:space="preserve">, </w:t>
      </w:r>
      <w:r w:rsidR="00DE7E75" w:rsidRPr="00E10230">
        <w:rPr>
          <w:rFonts w:ascii="Book Antiqua" w:hAnsi="Book Antiqua" w:cs="Arial"/>
          <w:i/>
          <w:sz w:val="24"/>
          <w:szCs w:val="24"/>
        </w:rPr>
        <w:t>P</w:t>
      </w:r>
      <w:r w:rsidR="004C7441" w:rsidRPr="00E10230">
        <w:rPr>
          <w:rFonts w:ascii="Book Antiqua" w:eastAsiaTheme="minorEastAsia" w:hAnsi="Book Antiqua" w:cs="Arial"/>
          <w:i/>
          <w:sz w:val="24"/>
          <w:szCs w:val="24"/>
          <w:lang w:eastAsia="zh-CN"/>
        </w:rPr>
        <w:t xml:space="preserve"> </w:t>
      </w:r>
      <w:r w:rsidR="007C0134" w:rsidRPr="00E10230">
        <w:rPr>
          <w:rFonts w:ascii="Book Antiqua" w:hAnsi="Book Antiqua" w:cs="Arial"/>
          <w:sz w:val="24"/>
          <w:szCs w:val="24"/>
        </w:rPr>
        <w:t>=</w:t>
      </w:r>
      <w:r w:rsidR="004C7441" w:rsidRPr="00E10230">
        <w:rPr>
          <w:rFonts w:ascii="Book Antiqua" w:eastAsiaTheme="minorEastAsia" w:hAnsi="Book Antiqua" w:cs="Arial"/>
          <w:sz w:val="24"/>
          <w:szCs w:val="24"/>
          <w:lang w:eastAsia="zh-CN"/>
        </w:rPr>
        <w:t xml:space="preserve"> </w:t>
      </w:r>
      <w:r w:rsidR="007C0134" w:rsidRPr="00E10230">
        <w:rPr>
          <w:rFonts w:ascii="Book Antiqua" w:hAnsi="Book Antiqua" w:cs="Arial"/>
          <w:sz w:val="24"/>
          <w:szCs w:val="24"/>
        </w:rPr>
        <w:t>0.0038</w:t>
      </w:r>
      <w:r w:rsidRPr="00E10230">
        <w:rPr>
          <w:rFonts w:ascii="Book Antiqua" w:hAnsi="Book Antiqua" w:cs="Arial"/>
          <w:sz w:val="24"/>
          <w:szCs w:val="24"/>
        </w:rPr>
        <w:t xml:space="preserve">; </w:t>
      </w:r>
      <w:r w:rsidR="00B950D9" w:rsidRPr="00E10230">
        <w:rPr>
          <w:rFonts w:ascii="Book Antiqua" w:hAnsi="Book Antiqua" w:cs="Arial"/>
          <w:sz w:val="24"/>
          <w:szCs w:val="24"/>
        </w:rPr>
        <w:t>TIPS</w:t>
      </w:r>
      <w:r w:rsidR="00283E17" w:rsidRPr="00E10230">
        <w:rPr>
          <w:rFonts w:ascii="Book Antiqua" w:hAnsi="Book Antiqua" w:cs="Arial"/>
          <w:sz w:val="24"/>
          <w:szCs w:val="24"/>
        </w:rPr>
        <w:t xml:space="preserve"> by 32% reduction</w:t>
      </w:r>
      <w:r w:rsidR="007C0134" w:rsidRPr="00E10230">
        <w:rPr>
          <w:rFonts w:ascii="Book Antiqua" w:hAnsi="Book Antiqua" w:cs="Arial"/>
          <w:sz w:val="24"/>
          <w:szCs w:val="24"/>
        </w:rPr>
        <w:t xml:space="preserve">, </w:t>
      </w:r>
      <w:r w:rsidR="00DE7E75" w:rsidRPr="00E10230">
        <w:rPr>
          <w:rFonts w:ascii="Book Antiqua" w:hAnsi="Book Antiqua" w:cs="Arial"/>
          <w:i/>
          <w:sz w:val="24"/>
          <w:szCs w:val="24"/>
        </w:rPr>
        <w:t>P</w:t>
      </w:r>
      <w:r w:rsidR="004C7441" w:rsidRPr="00E10230">
        <w:rPr>
          <w:rFonts w:ascii="Book Antiqua" w:eastAsiaTheme="minorEastAsia" w:hAnsi="Book Antiqua" w:cs="Arial"/>
          <w:i/>
          <w:sz w:val="24"/>
          <w:szCs w:val="24"/>
          <w:lang w:eastAsia="zh-CN"/>
        </w:rPr>
        <w:t xml:space="preserve"> </w:t>
      </w:r>
      <w:r w:rsidR="007C0134" w:rsidRPr="00E10230">
        <w:rPr>
          <w:rFonts w:ascii="Book Antiqua" w:hAnsi="Book Antiqua" w:cs="Arial"/>
          <w:sz w:val="24"/>
          <w:szCs w:val="24"/>
        </w:rPr>
        <w:t>=</w:t>
      </w:r>
      <w:r w:rsidR="004C7441" w:rsidRPr="00E10230">
        <w:rPr>
          <w:rFonts w:ascii="Book Antiqua" w:eastAsiaTheme="minorEastAsia" w:hAnsi="Book Antiqua" w:cs="Arial"/>
          <w:sz w:val="24"/>
          <w:szCs w:val="24"/>
          <w:lang w:eastAsia="zh-CN"/>
        </w:rPr>
        <w:t xml:space="preserve"> </w:t>
      </w:r>
      <w:r w:rsidR="007C0134" w:rsidRPr="00E10230">
        <w:rPr>
          <w:rFonts w:ascii="Book Antiqua" w:hAnsi="Book Antiqua" w:cs="Arial"/>
          <w:sz w:val="24"/>
          <w:szCs w:val="24"/>
        </w:rPr>
        <w:t>0.021</w:t>
      </w:r>
      <w:r w:rsidR="00413A14" w:rsidRPr="00E10230">
        <w:rPr>
          <w:rFonts w:ascii="Book Antiqua" w:hAnsi="Book Antiqua" w:cs="Arial"/>
          <w:sz w:val="24"/>
          <w:szCs w:val="24"/>
        </w:rPr>
        <w:t>)</w:t>
      </w:r>
      <w:r w:rsidRPr="00E10230">
        <w:rPr>
          <w:rFonts w:ascii="Book Antiqua" w:hAnsi="Book Antiqua" w:cs="Arial"/>
          <w:sz w:val="24"/>
          <w:szCs w:val="24"/>
        </w:rPr>
        <w:t xml:space="preserve"> except for EV (</w:t>
      </w:r>
      <w:r w:rsidR="003559C5" w:rsidRPr="00E10230">
        <w:rPr>
          <w:rFonts w:ascii="Book Antiqua" w:hAnsi="Book Antiqua" w:cs="Arial"/>
          <w:i/>
          <w:sz w:val="24"/>
          <w:szCs w:val="24"/>
        </w:rPr>
        <w:t>P</w:t>
      </w:r>
      <w:r w:rsidR="004C7441"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w:t>
      </w:r>
      <w:r w:rsidR="004C7441" w:rsidRPr="00E10230">
        <w:rPr>
          <w:rFonts w:ascii="Book Antiqua" w:eastAsiaTheme="minorEastAsia" w:hAnsi="Book Antiqua" w:cs="Arial"/>
          <w:sz w:val="24"/>
          <w:szCs w:val="24"/>
          <w:lang w:eastAsia="zh-CN"/>
        </w:rPr>
        <w:t xml:space="preserve"> </w:t>
      </w:r>
      <w:r w:rsidRPr="00E10230">
        <w:rPr>
          <w:rFonts w:ascii="Book Antiqua" w:hAnsi="Book Antiqua" w:cs="Arial"/>
          <w:sz w:val="24"/>
          <w:szCs w:val="24"/>
        </w:rPr>
        <w:t>0.3</w:t>
      </w:r>
      <w:r w:rsidR="00A153C4" w:rsidRPr="00E10230">
        <w:rPr>
          <w:rFonts w:ascii="Book Antiqua" w:hAnsi="Book Antiqua" w:cs="Arial"/>
          <w:sz w:val="24"/>
          <w:szCs w:val="24"/>
        </w:rPr>
        <w:t>4</w:t>
      </w:r>
      <w:r w:rsidRPr="00E10230">
        <w:rPr>
          <w:rFonts w:ascii="Book Antiqua" w:hAnsi="Book Antiqua" w:cs="Arial"/>
          <w:sz w:val="24"/>
          <w:szCs w:val="24"/>
        </w:rPr>
        <w:t xml:space="preserve">). </w:t>
      </w:r>
      <w:r w:rsidR="00C20F84" w:rsidRPr="00E10230">
        <w:rPr>
          <w:rFonts w:ascii="Book Antiqua" w:hAnsi="Book Antiqua" w:cs="Arial"/>
          <w:sz w:val="24"/>
          <w:szCs w:val="24"/>
        </w:rPr>
        <w:t xml:space="preserve">After adjustment for inflation, aggregate cost of hospitalization for EV, HC, and SBP </w:t>
      </w:r>
      <w:r w:rsidR="00016FA5" w:rsidRPr="00E10230">
        <w:rPr>
          <w:rFonts w:ascii="Book Antiqua" w:hAnsi="Book Antiqua" w:cs="Arial"/>
          <w:sz w:val="24"/>
          <w:szCs w:val="24"/>
        </w:rPr>
        <w:lastRenderedPageBreak/>
        <w:t xml:space="preserve">significantly </w:t>
      </w:r>
      <w:r w:rsidR="00C20F84" w:rsidRPr="00E10230">
        <w:rPr>
          <w:rFonts w:ascii="Book Antiqua" w:hAnsi="Book Antiqua" w:cs="Arial"/>
          <w:sz w:val="24"/>
          <w:szCs w:val="24"/>
        </w:rPr>
        <w:t xml:space="preserve">increased by 20%, 86%, and 980%, respectively, from 2005 to 2014 (all </w:t>
      </w:r>
      <w:r w:rsidR="00DE7E75" w:rsidRPr="00E10230">
        <w:rPr>
          <w:rFonts w:ascii="Book Antiqua" w:hAnsi="Book Antiqua" w:cs="Arial"/>
          <w:i/>
          <w:sz w:val="24"/>
          <w:szCs w:val="24"/>
        </w:rPr>
        <w:t>P</w:t>
      </w:r>
      <w:r w:rsidR="004C7441" w:rsidRPr="00E10230">
        <w:rPr>
          <w:rFonts w:ascii="Book Antiqua" w:eastAsiaTheme="minorEastAsia" w:hAnsi="Book Antiqua" w:cs="Arial"/>
          <w:i/>
          <w:sz w:val="24"/>
          <w:szCs w:val="24"/>
          <w:lang w:eastAsia="zh-CN"/>
        </w:rPr>
        <w:t xml:space="preserve"> </w:t>
      </w:r>
      <w:r w:rsidR="00C20F84" w:rsidRPr="00E10230">
        <w:rPr>
          <w:rFonts w:ascii="Book Antiqua" w:hAnsi="Book Antiqua" w:cs="Arial"/>
          <w:sz w:val="24"/>
          <w:szCs w:val="24"/>
        </w:rPr>
        <w:t>&lt;</w:t>
      </w:r>
      <w:r w:rsidR="004C7441" w:rsidRPr="00E10230">
        <w:rPr>
          <w:rFonts w:ascii="Book Antiqua" w:eastAsiaTheme="minorEastAsia" w:hAnsi="Book Antiqua" w:cs="Arial"/>
          <w:sz w:val="24"/>
          <w:szCs w:val="24"/>
          <w:lang w:eastAsia="zh-CN"/>
        </w:rPr>
        <w:t xml:space="preserve"> </w:t>
      </w:r>
      <w:r w:rsidR="00C20F84" w:rsidRPr="00E10230">
        <w:rPr>
          <w:rFonts w:ascii="Book Antiqua" w:hAnsi="Book Antiqua" w:cs="Arial"/>
          <w:sz w:val="24"/>
          <w:szCs w:val="24"/>
        </w:rPr>
        <w:t xml:space="preserve">0.02), </w:t>
      </w:r>
      <w:r w:rsidR="008E2914" w:rsidRPr="00E10230">
        <w:rPr>
          <w:rFonts w:ascii="Book Antiqua" w:hAnsi="Book Antiqua" w:cs="Arial"/>
          <w:sz w:val="24"/>
          <w:szCs w:val="24"/>
        </w:rPr>
        <w:t xml:space="preserve">while </w:t>
      </w:r>
      <w:r w:rsidR="00C20F84" w:rsidRPr="00E10230">
        <w:rPr>
          <w:rFonts w:ascii="Book Antiqua" w:hAnsi="Book Antiqua" w:cs="Arial"/>
          <w:sz w:val="24"/>
          <w:szCs w:val="24"/>
        </w:rPr>
        <w:t xml:space="preserve">TIPS </w:t>
      </w:r>
      <w:r w:rsidR="00E239A2" w:rsidRPr="00E10230">
        <w:rPr>
          <w:rFonts w:ascii="Book Antiqua" w:hAnsi="Book Antiqua" w:cs="Arial"/>
          <w:sz w:val="24"/>
          <w:szCs w:val="24"/>
        </w:rPr>
        <w:t xml:space="preserve">had </w:t>
      </w:r>
      <w:r w:rsidR="00DE7E75" w:rsidRPr="00E10230">
        <w:rPr>
          <w:rFonts w:ascii="Book Antiqua" w:hAnsi="Book Antiqua" w:cs="Arial"/>
          <w:sz w:val="24"/>
          <w:szCs w:val="24"/>
        </w:rPr>
        <w:t>trend toward</w:t>
      </w:r>
      <w:r w:rsidR="00E239A2" w:rsidRPr="00E10230">
        <w:rPr>
          <w:rFonts w:ascii="Book Antiqua" w:hAnsi="Book Antiqua" w:cs="Arial"/>
          <w:sz w:val="24"/>
          <w:szCs w:val="24"/>
        </w:rPr>
        <w:t xml:space="preserve"> </w:t>
      </w:r>
      <w:r w:rsidR="00C20F84" w:rsidRPr="00E10230">
        <w:rPr>
          <w:rFonts w:ascii="Book Antiqua" w:hAnsi="Book Antiqua" w:cs="Arial"/>
          <w:sz w:val="24"/>
          <w:szCs w:val="24"/>
        </w:rPr>
        <w:t>decreas</w:t>
      </w:r>
      <w:r w:rsidR="00DE7E75" w:rsidRPr="00E10230">
        <w:rPr>
          <w:rFonts w:ascii="Book Antiqua" w:hAnsi="Book Antiqua" w:cs="Arial"/>
          <w:sz w:val="24"/>
          <w:szCs w:val="24"/>
        </w:rPr>
        <w:t>ing cost</w:t>
      </w:r>
      <w:r w:rsidR="00E239A2" w:rsidRPr="00E10230">
        <w:rPr>
          <w:rFonts w:ascii="Book Antiqua" w:hAnsi="Book Antiqua" w:cs="Arial"/>
          <w:sz w:val="24"/>
          <w:szCs w:val="24"/>
        </w:rPr>
        <w:t xml:space="preserve"> </w:t>
      </w:r>
      <w:r w:rsidR="00C20F84" w:rsidRPr="00E10230">
        <w:rPr>
          <w:rFonts w:ascii="Book Antiqua" w:hAnsi="Book Antiqua" w:cs="Arial"/>
          <w:sz w:val="24"/>
          <w:szCs w:val="24"/>
        </w:rPr>
        <w:t>by 3% (</w:t>
      </w:r>
      <w:r w:rsidR="00DE7E75" w:rsidRPr="00E10230">
        <w:rPr>
          <w:rFonts w:ascii="Book Antiqua" w:hAnsi="Book Antiqua" w:cs="Arial"/>
          <w:i/>
          <w:sz w:val="24"/>
          <w:szCs w:val="24"/>
        </w:rPr>
        <w:t>P</w:t>
      </w:r>
      <w:r w:rsidR="004C7441" w:rsidRPr="00E10230">
        <w:rPr>
          <w:rFonts w:ascii="Book Antiqua" w:eastAsiaTheme="minorEastAsia" w:hAnsi="Book Antiqua" w:cs="Arial"/>
          <w:i/>
          <w:sz w:val="24"/>
          <w:szCs w:val="24"/>
          <w:lang w:eastAsia="zh-CN"/>
        </w:rPr>
        <w:t xml:space="preserve"> </w:t>
      </w:r>
      <w:r w:rsidR="00C20F84" w:rsidRPr="00E10230">
        <w:rPr>
          <w:rFonts w:ascii="Book Antiqua" w:hAnsi="Book Antiqua" w:cs="Arial"/>
          <w:sz w:val="24"/>
          <w:szCs w:val="24"/>
        </w:rPr>
        <w:t>=</w:t>
      </w:r>
      <w:r w:rsidR="004C7441" w:rsidRPr="00E10230">
        <w:rPr>
          <w:rFonts w:ascii="Book Antiqua" w:eastAsiaTheme="minorEastAsia" w:hAnsi="Book Antiqua" w:cs="Arial"/>
          <w:sz w:val="24"/>
          <w:szCs w:val="24"/>
          <w:lang w:eastAsia="zh-CN"/>
        </w:rPr>
        <w:t xml:space="preserve"> </w:t>
      </w:r>
      <w:r w:rsidR="00C20F84" w:rsidRPr="00E10230">
        <w:rPr>
          <w:rFonts w:ascii="Book Antiqua" w:hAnsi="Book Antiqua" w:cs="Arial"/>
          <w:sz w:val="24"/>
          <w:szCs w:val="24"/>
        </w:rPr>
        <w:t>0.95).</w:t>
      </w:r>
    </w:p>
    <w:p w14:paraId="4069BD8C" w14:textId="77777777" w:rsidR="00BF55B0" w:rsidRPr="00E10230" w:rsidRDefault="00BF55B0" w:rsidP="00E10230">
      <w:pPr>
        <w:spacing w:after="0" w:line="360" w:lineRule="auto"/>
        <w:jc w:val="both"/>
        <w:rPr>
          <w:rFonts w:ascii="Book Antiqua" w:eastAsiaTheme="minorEastAsia" w:hAnsi="Book Antiqua" w:cs="Arial"/>
          <w:sz w:val="24"/>
          <w:szCs w:val="24"/>
          <w:lang w:eastAsia="zh-CN"/>
        </w:rPr>
      </w:pPr>
    </w:p>
    <w:p w14:paraId="77301388" w14:textId="77777777" w:rsidR="00DE7E75" w:rsidRPr="00E10230" w:rsidRDefault="00DE7E75" w:rsidP="00E10230">
      <w:pPr>
        <w:spacing w:after="0" w:line="360" w:lineRule="auto"/>
        <w:jc w:val="both"/>
        <w:rPr>
          <w:rFonts w:ascii="Book Antiqua" w:hAnsi="Book Antiqua" w:cs="Arial"/>
          <w:sz w:val="24"/>
          <w:szCs w:val="24"/>
        </w:rPr>
      </w:pPr>
      <w:r w:rsidRPr="00E10230">
        <w:rPr>
          <w:rFonts w:ascii="Book Antiqua" w:hAnsi="Book Antiqua" w:cs="Arial"/>
          <w:b/>
          <w:i/>
          <w:sz w:val="24"/>
          <w:szCs w:val="24"/>
        </w:rPr>
        <w:t>CONCLUSION</w:t>
      </w:r>
    </w:p>
    <w:p w14:paraId="37739F94" w14:textId="5485A3CD" w:rsidR="00BF55B0" w:rsidRPr="00E10230" w:rsidRDefault="00C13F69" w:rsidP="00E10230">
      <w:pPr>
        <w:spacing w:after="0" w:line="360" w:lineRule="auto"/>
        <w:jc w:val="both"/>
        <w:rPr>
          <w:rFonts w:ascii="Book Antiqua" w:eastAsiaTheme="minorEastAsia" w:hAnsi="Book Antiqua" w:cs="Arial"/>
          <w:sz w:val="24"/>
          <w:szCs w:val="24"/>
          <w:lang w:eastAsia="zh-CN"/>
        </w:rPr>
      </w:pPr>
      <w:r w:rsidRPr="00E10230">
        <w:rPr>
          <w:rFonts w:ascii="Book Antiqua" w:hAnsi="Book Antiqua" w:cs="Arial"/>
          <w:sz w:val="24"/>
          <w:szCs w:val="24"/>
        </w:rPr>
        <w:t>T</w:t>
      </w:r>
      <w:r w:rsidR="003A458D" w:rsidRPr="00E10230">
        <w:rPr>
          <w:rFonts w:ascii="Book Antiqua" w:hAnsi="Book Antiqua" w:cs="Arial"/>
          <w:sz w:val="24"/>
          <w:szCs w:val="24"/>
        </w:rPr>
        <w:t>he</w:t>
      </w:r>
      <w:r w:rsidR="0045564B" w:rsidRPr="00E10230">
        <w:rPr>
          <w:rFonts w:ascii="Book Antiqua" w:hAnsi="Book Antiqua" w:cs="Arial"/>
          <w:sz w:val="24"/>
          <w:szCs w:val="24"/>
        </w:rPr>
        <w:t xml:space="preserve"> number of </w:t>
      </w:r>
      <w:r w:rsidR="003A458D" w:rsidRPr="00E10230">
        <w:rPr>
          <w:rFonts w:ascii="Book Antiqua" w:hAnsi="Book Antiqua" w:cs="Arial"/>
          <w:sz w:val="24"/>
          <w:szCs w:val="24"/>
        </w:rPr>
        <w:t>hospitalizations</w:t>
      </w:r>
      <w:r w:rsidR="0045564B" w:rsidRPr="00E10230">
        <w:rPr>
          <w:rFonts w:ascii="Book Antiqua" w:hAnsi="Book Antiqua" w:cs="Arial"/>
          <w:sz w:val="24"/>
          <w:szCs w:val="24"/>
        </w:rPr>
        <w:t xml:space="preserve"> </w:t>
      </w:r>
      <w:r w:rsidR="00C20F84" w:rsidRPr="00E10230">
        <w:rPr>
          <w:rFonts w:ascii="Book Antiqua" w:hAnsi="Book Antiqua" w:cs="Arial"/>
          <w:sz w:val="24"/>
          <w:szCs w:val="24"/>
        </w:rPr>
        <w:t>and cost</w:t>
      </w:r>
      <w:r w:rsidR="007C0134" w:rsidRPr="00E10230">
        <w:rPr>
          <w:rFonts w:ascii="Book Antiqua" w:hAnsi="Book Antiqua" w:cs="Arial"/>
          <w:sz w:val="24"/>
          <w:szCs w:val="24"/>
        </w:rPr>
        <w:t>s</w:t>
      </w:r>
      <w:r w:rsidR="00C20F84" w:rsidRPr="00E10230">
        <w:rPr>
          <w:rFonts w:ascii="Book Antiqua" w:hAnsi="Book Antiqua" w:cs="Arial"/>
          <w:sz w:val="24"/>
          <w:szCs w:val="24"/>
        </w:rPr>
        <w:t xml:space="preserve"> </w:t>
      </w:r>
      <w:r w:rsidR="0045564B" w:rsidRPr="00E10230">
        <w:rPr>
          <w:rFonts w:ascii="Book Antiqua" w:hAnsi="Book Antiqua" w:cs="Arial"/>
          <w:sz w:val="24"/>
          <w:szCs w:val="24"/>
        </w:rPr>
        <w:t>for</w:t>
      </w:r>
      <w:r w:rsidR="003A458D" w:rsidRPr="00E10230">
        <w:rPr>
          <w:rFonts w:ascii="Book Antiqua" w:hAnsi="Book Antiqua" w:cs="Arial"/>
          <w:sz w:val="24"/>
          <w:szCs w:val="24"/>
        </w:rPr>
        <w:t xml:space="preserve"> </w:t>
      </w:r>
      <w:r w:rsidR="00C20F84" w:rsidRPr="00E10230">
        <w:rPr>
          <w:rFonts w:ascii="Book Antiqua" w:hAnsi="Book Antiqua" w:cs="Arial"/>
          <w:sz w:val="24"/>
          <w:szCs w:val="24"/>
        </w:rPr>
        <w:t xml:space="preserve">some of the </w:t>
      </w:r>
      <w:r w:rsidR="003A458D" w:rsidRPr="00E10230">
        <w:rPr>
          <w:rFonts w:ascii="Book Antiqua" w:hAnsi="Book Antiqua" w:cs="Arial"/>
          <w:sz w:val="24"/>
          <w:szCs w:val="24"/>
        </w:rPr>
        <w:t xml:space="preserve">cirrhosis-associated </w:t>
      </w:r>
      <w:r w:rsidR="00891D84" w:rsidRPr="00E10230">
        <w:rPr>
          <w:rFonts w:ascii="Book Antiqua" w:hAnsi="Book Antiqua" w:cs="Arial"/>
          <w:sz w:val="24"/>
          <w:szCs w:val="24"/>
        </w:rPr>
        <w:t xml:space="preserve">conditions </w:t>
      </w:r>
      <w:r w:rsidR="003A458D" w:rsidRPr="00E10230">
        <w:rPr>
          <w:rFonts w:ascii="Book Antiqua" w:hAnsi="Book Antiqua" w:cs="Arial"/>
          <w:sz w:val="24"/>
          <w:szCs w:val="24"/>
        </w:rPr>
        <w:t>increased. However,</w:t>
      </w:r>
      <w:r w:rsidR="0045564B" w:rsidRPr="00E10230">
        <w:rPr>
          <w:rFonts w:ascii="Book Antiqua" w:hAnsi="Book Antiqua" w:cs="Arial"/>
          <w:sz w:val="24"/>
          <w:szCs w:val="24"/>
        </w:rPr>
        <w:t xml:space="preserve"> t</w:t>
      </w:r>
      <w:r w:rsidR="00BD3795" w:rsidRPr="00E10230">
        <w:rPr>
          <w:rFonts w:ascii="Book Antiqua" w:hAnsi="Book Antiqua" w:cs="Arial"/>
          <w:sz w:val="24"/>
          <w:szCs w:val="24"/>
        </w:rPr>
        <w:t>he</w:t>
      </w:r>
      <w:r w:rsidR="003A458D" w:rsidRPr="00E10230">
        <w:rPr>
          <w:rFonts w:ascii="Book Antiqua" w:hAnsi="Book Antiqua" w:cs="Arial"/>
          <w:sz w:val="24"/>
          <w:szCs w:val="24"/>
        </w:rPr>
        <w:t xml:space="preserve"> inpatient</w:t>
      </w:r>
      <w:r w:rsidR="00BD3795" w:rsidRPr="00E10230">
        <w:rPr>
          <w:rFonts w:ascii="Book Antiqua" w:hAnsi="Book Antiqua" w:cs="Arial"/>
          <w:sz w:val="24"/>
          <w:szCs w:val="24"/>
        </w:rPr>
        <w:t xml:space="preserve"> mortality rates for </w:t>
      </w:r>
      <w:r w:rsidR="00C20F84" w:rsidRPr="00E10230">
        <w:rPr>
          <w:rFonts w:ascii="Book Antiqua" w:hAnsi="Book Antiqua" w:cs="Arial"/>
          <w:sz w:val="24"/>
          <w:szCs w:val="24"/>
        </w:rPr>
        <w:t xml:space="preserve">most of </w:t>
      </w:r>
      <w:r w:rsidR="0045564B" w:rsidRPr="00E10230">
        <w:rPr>
          <w:rFonts w:ascii="Book Antiqua" w:hAnsi="Book Antiqua" w:cs="Arial"/>
          <w:sz w:val="24"/>
          <w:szCs w:val="24"/>
        </w:rPr>
        <w:t xml:space="preserve">these conditions </w:t>
      </w:r>
      <w:r w:rsidR="00BD3795" w:rsidRPr="00E10230">
        <w:rPr>
          <w:rFonts w:ascii="Book Antiqua" w:hAnsi="Book Antiqua" w:cs="Arial"/>
          <w:sz w:val="24"/>
          <w:szCs w:val="24"/>
        </w:rPr>
        <w:t>decreased.</w:t>
      </w:r>
      <w:bookmarkStart w:id="4" w:name="_Hlk501283949"/>
      <w:bookmarkEnd w:id="3"/>
    </w:p>
    <w:p w14:paraId="25E9DFDE" w14:textId="77777777" w:rsidR="00BF55B0" w:rsidRPr="00E10230" w:rsidRDefault="00BF55B0" w:rsidP="00E10230">
      <w:pPr>
        <w:spacing w:after="0" w:line="360" w:lineRule="auto"/>
        <w:jc w:val="both"/>
        <w:rPr>
          <w:rFonts w:ascii="Book Antiqua" w:eastAsiaTheme="minorEastAsia" w:hAnsi="Book Antiqua" w:cs="Arial"/>
          <w:sz w:val="24"/>
          <w:szCs w:val="24"/>
          <w:lang w:eastAsia="zh-CN"/>
        </w:rPr>
      </w:pPr>
    </w:p>
    <w:p w14:paraId="0A6A4073" w14:textId="7A14410E" w:rsidR="006C4A72" w:rsidRPr="00E10230" w:rsidRDefault="00222F37" w:rsidP="00E10230">
      <w:pPr>
        <w:spacing w:after="0" w:line="360" w:lineRule="auto"/>
        <w:jc w:val="both"/>
        <w:rPr>
          <w:rFonts w:ascii="Book Antiqua" w:hAnsi="Book Antiqua" w:cs="Arial"/>
          <w:sz w:val="24"/>
          <w:szCs w:val="24"/>
        </w:rPr>
      </w:pPr>
      <w:r w:rsidRPr="009F19CA">
        <w:rPr>
          <w:rFonts w:ascii="Book Antiqua" w:hAnsi="Book Antiqua"/>
          <w:b/>
          <w:color w:val="000000"/>
          <w:sz w:val="24"/>
          <w:szCs w:val="24"/>
        </w:rPr>
        <w:t>Key</w:t>
      </w:r>
      <w:r w:rsidRPr="009F19CA">
        <w:rPr>
          <w:rFonts w:ascii="Book Antiqua" w:hAnsi="Book Antiqua"/>
          <w:b/>
          <w:color w:val="000000"/>
          <w:sz w:val="24"/>
          <w:szCs w:val="24"/>
          <w:lang w:eastAsia="zh-CN"/>
        </w:rPr>
        <w:t xml:space="preserve"> </w:t>
      </w:r>
      <w:r w:rsidRPr="009F19CA">
        <w:rPr>
          <w:rFonts w:ascii="Book Antiqua" w:hAnsi="Book Antiqua"/>
          <w:b/>
          <w:color w:val="000000"/>
          <w:sz w:val="24"/>
          <w:szCs w:val="24"/>
        </w:rPr>
        <w:t>words:</w:t>
      </w:r>
      <w:r w:rsidR="006C4A72" w:rsidRPr="00E10230">
        <w:rPr>
          <w:rFonts w:ascii="Book Antiqua" w:hAnsi="Book Antiqua" w:cs="Arial"/>
          <w:sz w:val="24"/>
          <w:szCs w:val="24"/>
        </w:rPr>
        <w:t xml:space="preserve"> </w:t>
      </w:r>
      <w:r w:rsidR="00C73A94" w:rsidRPr="00E10230">
        <w:rPr>
          <w:rFonts w:ascii="Book Antiqua" w:hAnsi="Book Antiqua" w:cs="Arial"/>
          <w:sz w:val="24"/>
          <w:szCs w:val="24"/>
        </w:rPr>
        <w:t>Cirrhosis; H</w:t>
      </w:r>
      <w:r w:rsidR="006C4A72" w:rsidRPr="00E10230">
        <w:rPr>
          <w:rFonts w:ascii="Book Antiqua" w:hAnsi="Book Antiqua" w:cs="Arial"/>
          <w:sz w:val="24"/>
          <w:szCs w:val="24"/>
        </w:rPr>
        <w:t>epatic encephalopathy</w:t>
      </w:r>
      <w:r w:rsidR="00C73A94" w:rsidRPr="00E10230">
        <w:rPr>
          <w:rFonts w:ascii="Book Antiqua" w:hAnsi="Book Antiqua" w:cs="Arial"/>
          <w:sz w:val="24"/>
          <w:szCs w:val="24"/>
        </w:rPr>
        <w:t>;</w:t>
      </w:r>
      <w:r w:rsidR="006C4A72" w:rsidRPr="00E10230">
        <w:rPr>
          <w:rFonts w:ascii="Book Antiqua" w:hAnsi="Book Antiqua" w:cs="Arial"/>
          <w:sz w:val="24"/>
          <w:szCs w:val="24"/>
        </w:rPr>
        <w:t xml:space="preserve"> </w:t>
      </w:r>
      <w:r w:rsidR="00C73A94" w:rsidRPr="00E10230">
        <w:rPr>
          <w:rFonts w:ascii="Book Antiqua" w:hAnsi="Book Antiqua" w:cs="Arial"/>
          <w:sz w:val="24"/>
          <w:szCs w:val="24"/>
        </w:rPr>
        <w:t>S</w:t>
      </w:r>
      <w:r w:rsidR="006C4A72" w:rsidRPr="00E10230">
        <w:rPr>
          <w:rFonts w:ascii="Book Antiqua" w:hAnsi="Book Antiqua" w:cs="Arial"/>
          <w:sz w:val="24"/>
          <w:szCs w:val="24"/>
        </w:rPr>
        <w:t>pontaneous bacterial peritonitis</w:t>
      </w:r>
      <w:r w:rsidR="00C73A94" w:rsidRPr="00E10230">
        <w:rPr>
          <w:rFonts w:ascii="Book Antiqua" w:hAnsi="Book Antiqua" w:cs="Arial"/>
          <w:sz w:val="24"/>
          <w:szCs w:val="24"/>
        </w:rPr>
        <w:t>;</w:t>
      </w:r>
      <w:r w:rsidR="006C4A72" w:rsidRPr="00E10230">
        <w:rPr>
          <w:rFonts w:ascii="Book Antiqua" w:hAnsi="Book Antiqua" w:cs="Arial"/>
          <w:sz w:val="24"/>
          <w:szCs w:val="24"/>
        </w:rPr>
        <w:t xml:space="preserve"> </w:t>
      </w:r>
      <w:r w:rsidR="00C73A94" w:rsidRPr="00E10230">
        <w:rPr>
          <w:rFonts w:ascii="Book Antiqua" w:hAnsi="Book Antiqua" w:cs="Arial"/>
          <w:sz w:val="24"/>
          <w:szCs w:val="24"/>
        </w:rPr>
        <w:t>E</w:t>
      </w:r>
      <w:r w:rsidR="006C4A72" w:rsidRPr="00E10230">
        <w:rPr>
          <w:rFonts w:ascii="Book Antiqua" w:hAnsi="Book Antiqua" w:cs="Arial"/>
          <w:sz w:val="24"/>
          <w:szCs w:val="24"/>
        </w:rPr>
        <w:t>sophageal varices</w:t>
      </w:r>
      <w:r w:rsidR="00C73A94" w:rsidRPr="00E10230">
        <w:rPr>
          <w:rFonts w:ascii="Book Antiqua" w:hAnsi="Book Antiqua" w:cs="Arial"/>
          <w:sz w:val="24"/>
          <w:szCs w:val="24"/>
        </w:rPr>
        <w:t>; T</w:t>
      </w:r>
      <w:r w:rsidR="006C4A72" w:rsidRPr="00E10230">
        <w:rPr>
          <w:rFonts w:ascii="Book Antiqua" w:hAnsi="Book Antiqua" w:cs="Arial"/>
          <w:sz w:val="24"/>
          <w:szCs w:val="24"/>
        </w:rPr>
        <w:t>ransjugular intrahepatic portosystemic shunt</w:t>
      </w:r>
    </w:p>
    <w:p w14:paraId="2C044DDF" w14:textId="1EF4AC4F" w:rsidR="0061554C" w:rsidRPr="00E10230" w:rsidRDefault="0061554C" w:rsidP="00E10230">
      <w:pPr>
        <w:spacing w:after="0" w:line="360" w:lineRule="auto"/>
        <w:jc w:val="both"/>
        <w:rPr>
          <w:rFonts w:ascii="Book Antiqua" w:hAnsi="Book Antiqua" w:cs="Arial"/>
          <w:sz w:val="24"/>
          <w:szCs w:val="24"/>
        </w:rPr>
      </w:pPr>
    </w:p>
    <w:p w14:paraId="239AF849" w14:textId="2AEFCE4D" w:rsidR="00222F37" w:rsidRPr="009F19CA" w:rsidRDefault="00222F37" w:rsidP="00222F37">
      <w:pPr>
        <w:widowControl w:val="0"/>
        <w:adjustRightInd w:val="0"/>
        <w:snapToGrid w:val="0"/>
        <w:spacing w:after="0" w:line="360" w:lineRule="auto"/>
        <w:jc w:val="both"/>
        <w:rPr>
          <w:rFonts w:ascii="Book Antiqua" w:hAnsi="Book Antiqua" w:cs="Tahoma"/>
          <w:color w:val="000000"/>
          <w:kern w:val="2"/>
          <w:sz w:val="24"/>
          <w:szCs w:val="24"/>
          <w:lang w:eastAsia="zh-CN"/>
        </w:rPr>
      </w:pPr>
      <w:bookmarkStart w:id="5" w:name="OLE_LINK148"/>
      <w:bookmarkStart w:id="6" w:name="OLE_LINK149"/>
      <w:bookmarkStart w:id="7" w:name="OLE_LINK200"/>
      <w:bookmarkStart w:id="8" w:name="OLE_LINK288"/>
      <w:bookmarkStart w:id="9" w:name="OLE_LINK1864"/>
      <w:bookmarkStart w:id="10" w:name="OLE_LINK16"/>
      <w:bookmarkStart w:id="11" w:name="OLE_LINK382"/>
      <w:bookmarkStart w:id="12" w:name="OLE_LINK306"/>
      <w:bookmarkStart w:id="13" w:name="OLE_LINK569"/>
      <w:bookmarkStart w:id="14" w:name="OLE_LINK682"/>
      <w:r w:rsidRPr="009F19CA">
        <w:rPr>
          <w:rFonts w:ascii="Book Antiqua" w:hAnsi="Book Antiqua" w:cs="Tahoma"/>
          <w:b/>
          <w:color w:val="000000"/>
          <w:kern w:val="2"/>
          <w:sz w:val="24"/>
          <w:szCs w:val="24"/>
        </w:rPr>
        <w:t>© The Author(s) 201</w:t>
      </w:r>
      <w:r>
        <w:rPr>
          <w:rFonts w:ascii="Book Antiqua" w:eastAsiaTheme="minorEastAsia" w:hAnsi="Book Antiqua" w:cs="Tahoma" w:hint="eastAsia"/>
          <w:b/>
          <w:color w:val="000000"/>
          <w:kern w:val="2"/>
          <w:sz w:val="24"/>
          <w:szCs w:val="24"/>
          <w:lang w:eastAsia="zh-CN"/>
        </w:rPr>
        <w:t>9</w:t>
      </w:r>
      <w:r w:rsidRPr="009F19CA">
        <w:rPr>
          <w:rFonts w:ascii="Book Antiqua" w:hAnsi="Book Antiqua" w:cs="Tahoma"/>
          <w:b/>
          <w:color w:val="000000"/>
          <w:kern w:val="2"/>
          <w:sz w:val="24"/>
          <w:szCs w:val="24"/>
        </w:rPr>
        <w:t>.</w:t>
      </w:r>
      <w:r w:rsidRPr="009F19CA">
        <w:rPr>
          <w:rFonts w:ascii="Book Antiqua" w:hAnsi="Book Antiqua" w:cs="Tahoma"/>
          <w:color w:val="000000"/>
          <w:kern w:val="2"/>
          <w:sz w:val="24"/>
          <w:szCs w:val="24"/>
        </w:rPr>
        <w:t xml:space="preserve"> Published by Baishideng Publishing Group Inc. All rights reserved.</w:t>
      </w:r>
      <w:bookmarkEnd w:id="5"/>
      <w:bookmarkEnd w:id="6"/>
      <w:bookmarkEnd w:id="7"/>
      <w:bookmarkEnd w:id="8"/>
      <w:bookmarkEnd w:id="9"/>
      <w:bookmarkEnd w:id="10"/>
      <w:bookmarkEnd w:id="11"/>
      <w:bookmarkEnd w:id="12"/>
      <w:bookmarkEnd w:id="13"/>
      <w:bookmarkEnd w:id="14"/>
    </w:p>
    <w:p w14:paraId="0B33DDCB" w14:textId="77777777" w:rsidR="00222F37" w:rsidRPr="009F19CA" w:rsidRDefault="00222F37" w:rsidP="00222F37">
      <w:pPr>
        <w:widowControl w:val="0"/>
        <w:adjustRightInd w:val="0"/>
        <w:snapToGrid w:val="0"/>
        <w:spacing w:after="0" w:line="360" w:lineRule="auto"/>
        <w:jc w:val="both"/>
        <w:rPr>
          <w:rFonts w:ascii="Book Antiqua" w:hAnsi="Book Antiqua"/>
          <w:b/>
          <w:color w:val="000000"/>
          <w:kern w:val="2"/>
          <w:sz w:val="24"/>
          <w:szCs w:val="24"/>
          <w:lang w:eastAsia="zh-CN"/>
        </w:rPr>
      </w:pPr>
    </w:p>
    <w:p w14:paraId="42C0FD72" w14:textId="578BF7C7" w:rsidR="006C4A72" w:rsidRPr="00E10230" w:rsidRDefault="00222F37" w:rsidP="00222F37">
      <w:pPr>
        <w:spacing w:after="0" w:line="360" w:lineRule="auto"/>
        <w:jc w:val="both"/>
        <w:rPr>
          <w:rFonts w:ascii="Book Antiqua" w:hAnsi="Book Antiqua" w:cs="Arial"/>
          <w:sz w:val="24"/>
          <w:szCs w:val="24"/>
        </w:rPr>
      </w:pPr>
      <w:r w:rsidRPr="009F19CA">
        <w:rPr>
          <w:rFonts w:ascii="Book Antiqua" w:hAnsi="Book Antiqua"/>
          <w:b/>
          <w:color w:val="000000"/>
          <w:sz w:val="24"/>
          <w:szCs w:val="24"/>
        </w:rPr>
        <w:t>Core tip:</w:t>
      </w:r>
      <w:r>
        <w:rPr>
          <w:rFonts w:ascii="Book Antiqua" w:eastAsiaTheme="minorEastAsia" w:hAnsi="Book Antiqua" w:hint="eastAsia"/>
          <w:b/>
          <w:color w:val="000000"/>
          <w:sz w:val="24"/>
          <w:szCs w:val="24"/>
          <w:lang w:eastAsia="zh-CN"/>
        </w:rPr>
        <w:t xml:space="preserve"> </w:t>
      </w:r>
      <w:r w:rsidR="002D575F" w:rsidRPr="00E10230">
        <w:rPr>
          <w:rFonts w:ascii="Book Antiqua" w:hAnsi="Book Antiqua" w:cs="Arial"/>
          <w:sz w:val="24"/>
          <w:szCs w:val="24"/>
        </w:rPr>
        <w:t>Understanding r</w:t>
      </w:r>
      <w:r w:rsidR="008F0651" w:rsidRPr="00E10230">
        <w:rPr>
          <w:rFonts w:ascii="Book Antiqua" w:hAnsi="Book Antiqua" w:cs="Arial"/>
          <w:sz w:val="24"/>
          <w:szCs w:val="24"/>
        </w:rPr>
        <w:t xml:space="preserve">ecent </w:t>
      </w:r>
      <w:r w:rsidR="002D575F" w:rsidRPr="00E10230">
        <w:rPr>
          <w:rFonts w:ascii="Book Antiqua" w:hAnsi="Book Antiqua" w:cs="Arial"/>
          <w:sz w:val="24"/>
          <w:szCs w:val="24"/>
        </w:rPr>
        <w:t xml:space="preserve">temporal trends of cirrhosis-associated </w:t>
      </w:r>
      <w:r w:rsidR="00891D84" w:rsidRPr="00E10230">
        <w:rPr>
          <w:rFonts w:ascii="Book Antiqua" w:hAnsi="Book Antiqua" w:cs="Arial"/>
          <w:sz w:val="24"/>
          <w:szCs w:val="24"/>
        </w:rPr>
        <w:t xml:space="preserve">conditions </w:t>
      </w:r>
      <w:r w:rsidR="002D575F" w:rsidRPr="00E10230">
        <w:rPr>
          <w:rFonts w:ascii="Book Antiqua" w:hAnsi="Book Antiqua" w:cs="Arial"/>
          <w:sz w:val="24"/>
          <w:szCs w:val="24"/>
        </w:rPr>
        <w:t xml:space="preserve">is an important aspect of developing strategies to reduce health care cost. Our study showed increasing trends of hospital discharges related to cirrhosis-associated </w:t>
      </w:r>
      <w:r w:rsidR="00891D84" w:rsidRPr="00E10230">
        <w:rPr>
          <w:rFonts w:ascii="Book Antiqua" w:hAnsi="Book Antiqua" w:cs="Arial"/>
          <w:sz w:val="24"/>
          <w:szCs w:val="24"/>
        </w:rPr>
        <w:t xml:space="preserve">conditions </w:t>
      </w:r>
      <w:r w:rsidR="002D575F" w:rsidRPr="00E10230">
        <w:rPr>
          <w:rFonts w:ascii="Book Antiqua" w:hAnsi="Book Antiqua" w:cs="Arial"/>
          <w:sz w:val="24"/>
          <w:szCs w:val="24"/>
        </w:rPr>
        <w:t>despite the decreasing trends for total hospital discharges across the nation. Importantly, hepatic coma associated with viral hepatitis showed rapid increase in discharge volume</w:t>
      </w:r>
      <w:r w:rsidR="00CB0CD2" w:rsidRPr="00E10230">
        <w:rPr>
          <w:rFonts w:ascii="Book Antiqua" w:hAnsi="Book Antiqua" w:cs="Arial"/>
          <w:sz w:val="24"/>
          <w:szCs w:val="24"/>
        </w:rPr>
        <w:t xml:space="preserve"> in comparison to hepatic coma not associated with viral hepatitis</w:t>
      </w:r>
      <w:r w:rsidR="002D575F" w:rsidRPr="00E10230">
        <w:rPr>
          <w:rFonts w:ascii="Book Antiqua" w:hAnsi="Book Antiqua" w:cs="Arial"/>
          <w:sz w:val="24"/>
          <w:szCs w:val="24"/>
        </w:rPr>
        <w:t>.</w:t>
      </w:r>
      <w:r w:rsidR="00CB0CD2" w:rsidRPr="00E10230">
        <w:rPr>
          <w:rFonts w:ascii="Book Antiqua" w:hAnsi="Book Antiqua" w:cs="Arial"/>
          <w:sz w:val="24"/>
          <w:szCs w:val="24"/>
        </w:rPr>
        <w:t xml:space="preserve"> After adjusting for inflation, cirrhosis associated </w:t>
      </w:r>
      <w:r w:rsidR="00891D84" w:rsidRPr="00E10230">
        <w:rPr>
          <w:rFonts w:ascii="Book Antiqua" w:hAnsi="Book Antiqua" w:cs="Arial"/>
          <w:sz w:val="24"/>
          <w:szCs w:val="24"/>
        </w:rPr>
        <w:t xml:space="preserve">conditions </w:t>
      </w:r>
      <w:r w:rsidR="00CB0CD2" w:rsidRPr="00E10230">
        <w:rPr>
          <w:rFonts w:ascii="Book Antiqua" w:hAnsi="Book Antiqua" w:cs="Arial"/>
          <w:sz w:val="24"/>
          <w:szCs w:val="24"/>
        </w:rPr>
        <w:t>showed disproportionately greater increase in aggregate cost compare to national trends. This suggests</w:t>
      </w:r>
      <w:r w:rsidR="002D575F" w:rsidRPr="00E10230">
        <w:rPr>
          <w:rFonts w:ascii="Book Antiqua" w:hAnsi="Book Antiqua" w:cs="Arial"/>
          <w:sz w:val="24"/>
          <w:szCs w:val="24"/>
        </w:rPr>
        <w:t xml:space="preserve"> </w:t>
      </w:r>
      <w:r w:rsidR="00CB0CD2" w:rsidRPr="00E10230">
        <w:rPr>
          <w:rFonts w:ascii="Book Antiqua" w:hAnsi="Book Antiqua" w:cs="Arial"/>
          <w:sz w:val="24"/>
          <w:szCs w:val="24"/>
        </w:rPr>
        <w:t>that prevention of hospitalizations secondary to cirrhosis-associated conditions likely reduces overall health care cost.</w:t>
      </w:r>
    </w:p>
    <w:p w14:paraId="00C7C6E0" w14:textId="77777777" w:rsidR="006C4A72" w:rsidRPr="00E10230" w:rsidRDefault="006C4A72" w:rsidP="00E10230">
      <w:pPr>
        <w:spacing w:after="0" w:line="360" w:lineRule="auto"/>
        <w:jc w:val="both"/>
        <w:rPr>
          <w:rFonts w:ascii="Book Antiqua" w:hAnsi="Book Antiqua" w:cs="Arial"/>
          <w:sz w:val="24"/>
          <w:szCs w:val="24"/>
        </w:rPr>
      </w:pPr>
    </w:p>
    <w:p w14:paraId="00375672" w14:textId="77777777" w:rsidR="002E77D0" w:rsidRDefault="002E77D0" w:rsidP="002E77D0">
      <w:pPr>
        <w:spacing w:line="360" w:lineRule="auto"/>
        <w:rPr>
          <w:rFonts w:ascii="Book Antiqua" w:eastAsiaTheme="minorEastAsia" w:hAnsi="Book Antiqua" w:hint="eastAsia"/>
          <w:sz w:val="24"/>
          <w:szCs w:val="24"/>
          <w:lang w:eastAsia="zh-CN"/>
        </w:rPr>
      </w:pPr>
      <w:r w:rsidRPr="002E77D0">
        <w:rPr>
          <w:rFonts w:ascii="Book Antiqua" w:hAnsi="Book Antiqua"/>
          <w:b/>
          <w:sz w:val="24"/>
          <w:szCs w:val="24"/>
          <w:lang w:val="en-GB"/>
        </w:rPr>
        <w:t>Citation</w:t>
      </w:r>
      <w:r w:rsidRPr="002E77D0">
        <w:rPr>
          <w:rFonts w:ascii="Book Antiqua" w:hAnsi="Book Antiqua"/>
          <w:sz w:val="24"/>
          <w:szCs w:val="24"/>
          <w:lang w:val="en-GB"/>
        </w:rPr>
        <w:t>:</w:t>
      </w:r>
      <w:r>
        <w:rPr>
          <w:rFonts w:ascii="Book Antiqua" w:eastAsiaTheme="minorEastAsia" w:hAnsi="Book Antiqua" w:hint="eastAsia"/>
          <w:sz w:val="24"/>
          <w:szCs w:val="24"/>
          <w:lang w:val="en-GB" w:eastAsia="zh-CN"/>
        </w:rPr>
        <w:t xml:space="preserve"> </w:t>
      </w:r>
      <w:r w:rsidRPr="00222F37">
        <w:rPr>
          <w:rFonts w:ascii="Book Antiqua" w:hAnsi="Book Antiqua" w:cs="Arial"/>
          <w:sz w:val="24"/>
          <w:szCs w:val="24"/>
        </w:rPr>
        <w:t>Sempokuya</w:t>
      </w:r>
      <w:r>
        <w:rPr>
          <w:rFonts w:ascii="Book Antiqua" w:hAnsi="Book Antiqua" w:cs="Arial" w:hint="eastAsia"/>
          <w:sz w:val="24"/>
          <w:szCs w:val="24"/>
        </w:rPr>
        <w:t xml:space="preserve"> T</w:t>
      </w:r>
      <w:r w:rsidRPr="00222F37">
        <w:rPr>
          <w:rFonts w:ascii="Book Antiqua" w:hAnsi="Book Antiqua" w:cs="Arial"/>
          <w:sz w:val="24"/>
          <w:szCs w:val="24"/>
        </w:rPr>
        <w:t>, Zhang</w:t>
      </w:r>
      <w:r>
        <w:rPr>
          <w:rFonts w:ascii="Book Antiqua" w:hAnsi="Book Antiqua" w:cs="Arial" w:hint="eastAsia"/>
          <w:sz w:val="24"/>
          <w:szCs w:val="24"/>
        </w:rPr>
        <w:t xml:space="preserve"> G</w:t>
      </w:r>
      <w:r w:rsidRPr="00222F37">
        <w:rPr>
          <w:rFonts w:ascii="Book Antiqua" w:hAnsi="Book Antiqua" w:cs="Arial"/>
          <w:sz w:val="24"/>
          <w:szCs w:val="24"/>
        </w:rPr>
        <w:t>, Nakagawa</w:t>
      </w:r>
      <w:r>
        <w:rPr>
          <w:rFonts w:ascii="Book Antiqua" w:hAnsi="Book Antiqua" w:cs="Arial" w:hint="eastAsia"/>
          <w:sz w:val="24"/>
          <w:szCs w:val="24"/>
        </w:rPr>
        <w:t xml:space="preserve"> K. </w:t>
      </w:r>
      <w:r w:rsidRPr="00222F37">
        <w:rPr>
          <w:rFonts w:ascii="Book Antiqua" w:hAnsi="Book Antiqua" w:cs="Arial"/>
          <w:sz w:val="24"/>
          <w:szCs w:val="24"/>
        </w:rPr>
        <w:t>Temporal trends of cirrhosis associated conditions</w:t>
      </w:r>
      <w:r w:rsidRPr="00222F37">
        <w:rPr>
          <w:rFonts w:ascii="Book Antiqua" w:hAnsi="Book Antiqua" w:cs="Arial" w:hint="eastAsia"/>
          <w:sz w:val="24"/>
          <w:szCs w:val="24"/>
        </w:rPr>
        <w:t xml:space="preserve">. </w:t>
      </w:r>
      <w:r w:rsidRPr="00572A66">
        <w:rPr>
          <w:rFonts w:ascii="Book Antiqua" w:hAnsi="Book Antiqua"/>
          <w:i/>
          <w:sz w:val="24"/>
          <w:szCs w:val="24"/>
        </w:rPr>
        <w:t>World J Hepatol</w:t>
      </w:r>
      <w:r w:rsidRPr="00572A66">
        <w:rPr>
          <w:rFonts w:ascii="Book Antiqua" w:hAnsi="Book Antiqua"/>
          <w:sz w:val="24"/>
          <w:szCs w:val="24"/>
        </w:rPr>
        <w:t xml:space="preserve"> 201</w:t>
      </w:r>
      <w:r>
        <w:rPr>
          <w:rFonts w:ascii="Book Antiqua" w:hAnsi="Book Antiqua" w:hint="eastAsia"/>
          <w:sz w:val="24"/>
          <w:szCs w:val="24"/>
        </w:rPr>
        <w:t>9</w:t>
      </w:r>
      <w:r w:rsidRPr="00572A66">
        <w:rPr>
          <w:rFonts w:ascii="Book Antiqua" w:hAnsi="Book Antiqua"/>
          <w:sz w:val="24"/>
          <w:szCs w:val="24"/>
        </w:rPr>
        <w:t>; 1</w:t>
      </w:r>
      <w:r>
        <w:rPr>
          <w:rFonts w:ascii="Book Antiqua" w:hAnsi="Book Antiqua" w:hint="eastAsia"/>
          <w:sz w:val="24"/>
          <w:szCs w:val="24"/>
        </w:rPr>
        <w:t>1</w:t>
      </w:r>
      <w:r w:rsidRPr="00572A66">
        <w:rPr>
          <w:rFonts w:ascii="Book Antiqua" w:hAnsi="Book Antiqua"/>
          <w:sz w:val="24"/>
          <w:szCs w:val="24"/>
        </w:rPr>
        <w:t>(</w:t>
      </w:r>
      <w:r>
        <w:rPr>
          <w:rFonts w:ascii="Book Antiqua" w:hAnsi="Book Antiqua" w:hint="eastAsia"/>
          <w:sz w:val="24"/>
          <w:szCs w:val="24"/>
        </w:rPr>
        <w:t>1</w:t>
      </w:r>
      <w:r w:rsidRPr="00572A66">
        <w:rPr>
          <w:rFonts w:ascii="Book Antiqua" w:hAnsi="Book Antiqua"/>
          <w:sz w:val="24"/>
          <w:szCs w:val="24"/>
        </w:rPr>
        <w:t xml:space="preserve">): </w:t>
      </w:r>
      <w:r>
        <w:rPr>
          <w:rFonts w:ascii="Book Antiqua" w:hAnsi="Book Antiqua" w:hint="eastAsia"/>
          <w:sz w:val="24"/>
          <w:szCs w:val="24"/>
        </w:rPr>
        <w:t>74</w:t>
      </w:r>
      <w:r w:rsidRPr="00572A66">
        <w:rPr>
          <w:rFonts w:ascii="Book Antiqua" w:hAnsi="Book Antiqua"/>
          <w:sz w:val="24"/>
          <w:szCs w:val="24"/>
        </w:rPr>
        <w:t>-</w:t>
      </w:r>
      <w:r>
        <w:rPr>
          <w:rFonts w:ascii="Book Antiqua" w:hAnsi="Book Antiqua" w:hint="eastAsia"/>
          <w:sz w:val="24"/>
          <w:szCs w:val="24"/>
        </w:rPr>
        <w:t>85</w:t>
      </w:r>
    </w:p>
    <w:p w14:paraId="0DC42B7C" w14:textId="77777777" w:rsidR="002E77D0" w:rsidRDefault="002E77D0" w:rsidP="002E77D0">
      <w:pPr>
        <w:spacing w:line="360" w:lineRule="auto"/>
        <w:rPr>
          <w:rFonts w:ascii="Book Antiqua" w:eastAsiaTheme="minorEastAsia" w:hAnsi="Book Antiqua" w:hint="eastAsia"/>
          <w:sz w:val="24"/>
          <w:szCs w:val="24"/>
          <w:lang w:eastAsia="zh-CN"/>
        </w:rPr>
      </w:pPr>
      <w:r w:rsidRPr="002E77D0">
        <w:rPr>
          <w:rFonts w:ascii="Book Antiqua" w:hAnsi="Book Antiqua"/>
          <w:b/>
          <w:sz w:val="24"/>
          <w:szCs w:val="24"/>
        </w:rPr>
        <w:t>URL:</w:t>
      </w:r>
      <w:r w:rsidRPr="00572A66">
        <w:rPr>
          <w:rFonts w:ascii="Book Antiqua" w:hAnsi="Book Antiqua"/>
          <w:sz w:val="24"/>
          <w:szCs w:val="24"/>
        </w:rPr>
        <w:t xml:space="preserve"> http</w:t>
      </w:r>
      <w:r>
        <w:rPr>
          <w:rFonts w:ascii="Book Antiqua" w:hAnsi="Book Antiqua" w:hint="eastAsia"/>
          <w:sz w:val="24"/>
          <w:szCs w:val="24"/>
        </w:rPr>
        <w:t>s</w:t>
      </w:r>
      <w:r w:rsidRPr="00572A66">
        <w:rPr>
          <w:rFonts w:ascii="Book Antiqua" w:hAnsi="Book Antiqua"/>
          <w:sz w:val="24"/>
          <w:szCs w:val="24"/>
        </w:rPr>
        <w:t>://www.wjgnet.com/1948-5182/full/v1</w:t>
      </w:r>
      <w:r>
        <w:rPr>
          <w:rFonts w:ascii="Book Antiqua" w:hAnsi="Book Antiqua" w:hint="eastAsia"/>
          <w:sz w:val="24"/>
          <w:szCs w:val="24"/>
        </w:rPr>
        <w:t>1</w:t>
      </w:r>
      <w:r w:rsidRPr="00572A66">
        <w:rPr>
          <w:rFonts w:ascii="Book Antiqua" w:hAnsi="Book Antiqua"/>
          <w:sz w:val="24"/>
          <w:szCs w:val="24"/>
        </w:rPr>
        <w:t>/i</w:t>
      </w:r>
      <w:r>
        <w:rPr>
          <w:rFonts w:ascii="Book Antiqua" w:hAnsi="Book Antiqua" w:hint="eastAsia"/>
          <w:sz w:val="24"/>
          <w:szCs w:val="24"/>
        </w:rPr>
        <w:t>1</w:t>
      </w:r>
      <w:r w:rsidRPr="00572A66">
        <w:rPr>
          <w:rFonts w:ascii="Book Antiqua" w:hAnsi="Book Antiqua"/>
          <w:sz w:val="24"/>
          <w:szCs w:val="24"/>
        </w:rPr>
        <w:t>/</w:t>
      </w:r>
      <w:r>
        <w:rPr>
          <w:rFonts w:ascii="Book Antiqua" w:hAnsi="Book Antiqua" w:hint="eastAsia"/>
          <w:sz w:val="24"/>
          <w:szCs w:val="24"/>
        </w:rPr>
        <w:t>74</w:t>
      </w:r>
      <w:r w:rsidRPr="00572A66">
        <w:rPr>
          <w:rFonts w:ascii="Book Antiqua" w:hAnsi="Book Antiqua"/>
          <w:sz w:val="24"/>
          <w:szCs w:val="24"/>
        </w:rPr>
        <w:t xml:space="preserve">.htm  </w:t>
      </w:r>
    </w:p>
    <w:p w14:paraId="54123813" w14:textId="39C4DE28" w:rsidR="002E77D0" w:rsidRDefault="002E77D0" w:rsidP="002E77D0">
      <w:pPr>
        <w:spacing w:line="360" w:lineRule="auto"/>
        <w:rPr>
          <w:rFonts w:ascii="Book Antiqua" w:hAnsi="Book Antiqua" w:cs="Arial"/>
          <w:b/>
          <w:sz w:val="24"/>
          <w:szCs w:val="24"/>
        </w:rPr>
      </w:pPr>
      <w:r w:rsidRPr="002E77D0">
        <w:rPr>
          <w:rFonts w:ascii="Book Antiqua" w:hAnsi="Book Antiqua"/>
          <w:b/>
          <w:sz w:val="24"/>
          <w:szCs w:val="24"/>
        </w:rPr>
        <w:t>DOI:</w:t>
      </w:r>
      <w:r w:rsidRPr="00572A66">
        <w:rPr>
          <w:rFonts w:ascii="Book Antiqua" w:hAnsi="Book Antiqua"/>
          <w:sz w:val="24"/>
          <w:szCs w:val="24"/>
        </w:rPr>
        <w:t xml:space="preserve"> http</w:t>
      </w:r>
      <w:r>
        <w:rPr>
          <w:rFonts w:ascii="Book Antiqua" w:hAnsi="Book Antiqua" w:hint="eastAsia"/>
          <w:sz w:val="24"/>
          <w:szCs w:val="24"/>
        </w:rPr>
        <w:t>s</w:t>
      </w:r>
      <w:r w:rsidRPr="00572A66">
        <w:rPr>
          <w:rFonts w:ascii="Book Antiqua" w:hAnsi="Book Antiqua"/>
          <w:sz w:val="24"/>
          <w:szCs w:val="24"/>
        </w:rPr>
        <w:t>://dx.doi.org/10.4254/wjh.v1</w:t>
      </w:r>
      <w:r>
        <w:rPr>
          <w:rFonts w:ascii="Book Antiqua" w:hAnsi="Book Antiqua" w:hint="eastAsia"/>
          <w:sz w:val="24"/>
          <w:szCs w:val="24"/>
        </w:rPr>
        <w:t>1</w:t>
      </w:r>
      <w:r w:rsidRPr="00572A66">
        <w:rPr>
          <w:rFonts w:ascii="Book Antiqua" w:hAnsi="Book Antiqua"/>
          <w:sz w:val="24"/>
          <w:szCs w:val="24"/>
        </w:rPr>
        <w:t>.i</w:t>
      </w:r>
      <w:r>
        <w:rPr>
          <w:rFonts w:ascii="Book Antiqua" w:hAnsi="Book Antiqua" w:hint="eastAsia"/>
          <w:sz w:val="24"/>
          <w:szCs w:val="24"/>
        </w:rPr>
        <w:t>1</w:t>
      </w:r>
      <w:r w:rsidRPr="00572A66">
        <w:rPr>
          <w:rFonts w:ascii="Book Antiqua" w:hAnsi="Book Antiqua"/>
          <w:sz w:val="24"/>
          <w:szCs w:val="24"/>
        </w:rPr>
        <w:t>.</w:t>
      </w:r>
      <w:r>
        <w:rPr>
          <w:rFonts w:ascii="Book Antiqua" w:hAnsi="Book Antiqua" w:hint="eastAsia"/>
          <w:sz w:val="24"/>
          <w:szCs w:val="24"/>
        </w:rPr>
        <w:t>74</w:t>
      </w:r>
    </w:p>
    <w:p w14:paraId="2B145E47" w14:textId="77777777" w:rsidR="00704241" w:rsidRPr="00E10230" w:rsidRDefault="006C4A72" w:rsidP="00E10230">
      <w:pPr>
        <w:spacing w:after="0" w:line="360" w:lineRule="auto"/>
        <w:jc w:val="both"/>
        <w:rPr>
          <w:rFonts w:ascii="Book Antiqua" w:hAnsi="Book Antiqua" w:cs="Arial"/>
          <w:b/>
          <w:sz w:val="24"/>
          <w:szCs w:val="24"/>
        </w:rPr>
      </w:pPr>
      <w:r w:rsidRPr="00E10230">
        <w:rPr>
          <w:rFonts w:ascii="Book Antiqua" w:hAnsi="Book Antiqua" w:cs="Arial"/>
          <w:b/>
          <w:sz w:val="24"/>
          <w:szCs w:val="24"/>
        </w:rPr>
        <w:br w:type="page"/>
      </w:r>
      <w:r w:rsidR="00704241" w:rsidRPr="00E10230">
        <w:rPr>
          <w:rFonts w:ascii="Book Antiqua" w:hAnsi="Book Antiqua" w:cs="Arial"/>
          <w:b/>
          <w:sz w:val="24"/>
          <w:szCs w:val="24"/>
        </w:rPr>
        <w:lastRenderedPageBreak/>
        <w:t>I</w:t>
      </w:r>
      <w:r w:rsidR="00C36AD0" w:rsidRPr="00E10230">
        <w:rPr>
          <w:rFonts w:ascii="Book Antiqua" w:hAnsi="Book Antiqua" w:cs="Arial"/>
          <w:b/>
          <w:sz w:val="24"/>
          <w:szCs w:val="24"/>
        </w:rPr>
        <w:t>NTRODUCTION</w:t>
      </w:r>
    </w:p>
    <w:p w14:paraId="47719954" w14:textId="77777777" w:rsidR="008B3452" w:rsidRPr="00E10230" w:rsidRDefault="00FC402C" w:rsidP="00E10230">
      <w:pPr>
        <w:spacing w:after="0" w:line="360" w:lineRule="auto"/>
        <w:jc w:val="both"/>
        <w:rPr>
          <w:rFonts w:ascii="Book Antiqua" w:hAnsi="Book Antiqua" w:cs="Arial"/>
          <w:b/>
          <w:i/>
          <w:sz w:val="24"/>
          <w:szCs w:val="24"/>
        </w:rPr>
      </w:pPr>
      <w:r w:rsidRPr="00E10230">
        <w:rPr>
          <w:rFonts w:ascii="Book Antiqua" w:hAnsi="Book Antiqua" w:cs="Arial"/>
          <w:b/>
          <w:i/>
          <w:sz w:val="24"/>
          <w:szCs w:val="24"/>
        </w:rPr>
        <w:t>Background</w:t>
      </w:r>
    </w:p>
    <w:p w14:paraId="6C14114E" w14:textId="5DD0F9EF" w:rsidR="00704241" w:rsidRPr="00E10230" w:rsidRDefault="00704241" w:rsidP="00E10230">
      <w:pPr>
        <w:spacing w:after="0" w:line="360" w:lineRule="auto"/>
        <w:jc w:val="both"/>
        <w:rPr>
          <w:rFonts w:ascii="Book Antiqua" w:hAnsi="Book Antiqua" w:cs="Arial"/>
          <w:sz w:val="24"/>
          <w:szCs w:val="24"/>
        </w:rPr>
      </w:pPr>
      <w:r w:rsidRPr="00E10230">
        <w:rPr>
          <w:rFonts w:ascii="Book Antiqua" w:hAnsi="Book Antiqua" w:cs="Arial"/>
          <w:sz w:val="24"/>
          <w:szCs w:val="24"/>
        </w:rPr>
        <w:t>Chronic liver disease and cirrhosis is the 12</w:t>
      </w:r>
      <w:r w:rsidRPr="00E10230">
        <w:rPr>
          <w:rFonts w:ascii="Book Antiqua" w:hAnsi="Book Antiqua" w:cs="Arial"/>
          <w:sz w:val="24"/>
          <w:szCs w:val="24"/>
          <w:vertAlign w:val="superscript"/>
        </w:rPr>
        <w:t>th</w:t>
      </w:r>
      <w:r w:rsidRPr="00E10230">
        <w:rPr>
          <w:rFonts w:ascii="Book Antiqua" w:hAnsi="Book Antiqua" w:cs="Arial"/>
          <w:sz w:val="24"/>
          <w:szCs w:val="24"/>
        </w:rPr>
        <w:t xml:space="preserve"> leading cause of death in the </w:t>
      </w:r>
      <w:r w:rsidR="004C7441" w:rsidRPr="00E10230">
        <w:rPr>
          <w:rFonts w:ascii="Book Antiqua" w:eastAsiaTheme="minorEastAsia" w:hAnsi="Book Antiqua" w:cs="Arial"/>
          <w:sz w:val="24"/>
          <w:szCs w:val="24"/>
          <w:lang w:eastAsia="zh-CN"/>
        </w:rPr>
        <w:t>United States</w:t>
      </w:r>
      <w:r w:rsidR="004C7441" w:rsidRPr="00E10230">
        <w:rPr>
          <w:rFonts w:ascii="Book Antiqua" w:hAnsi="Book Antiqua" w:cs="Arial"/>
          <w:sz w:val="24"/>
          <w:szCs w:val="24"/>
        </w:rPr>
        <w:fldChar w:fldCharType="begin" w:fldLock="1"/>
      </w:r>
      <w:r w:rsidR="004C7441" w:rsidRPr="00E10230">
        <w:rPr>
          <w:rFonts w:ascii="Book Antiqua" w:hAnsi="Book Antiqua" w:cs="Arial"/>
          <w:sz w:val="24"/>
          <w:szCs w:val="24"/>
        </w:rPr>
        <w:instrText>ADDIN CSL_CITATION {"citationItems":[{"id":"ITEM-1","itemData":{"DOI":"May 8, 2013","ISBN":"1551-8922 (Print)\\n1551-8922 (Linking)","ISSN":"1551-8922","PMID":"27378572","abstract":"Objectives-This report presents final 2014 data on U.S. deaths, death rates, life expectancy, infant mortality, and trends, by selected characteristics such as age, sex, Hispanic origin, race, state of residence, and cause of death.","author":[{"dropping-particle":"","family":"Kochanek","given":"Kenneth D","non-dropping-particle":"","parse-names":false,"suffix":""},{"dropping-particle":"","family":"Murphy","given":"Sherry L","non-dropping-particle":"","parse-names":false,"suffix":""},{"dropping-particle":"","family":"Xu","given":"Jiaquan","non-dropping-particle":"","parse-names":false,"suffix":""},{"dropping-particle":"","family":"Tejada-Vera","given":"Betzaida","non-dropping-particle":"","parse-names":false,"suffix":""}],"container-title":"National vital statistics reports : from the Centers for Disease Control and Prevention, National Center for Health Statistics, National Vital Statistics System","id":"ITEM-1","issue":"4","issued":{"date-parts":[["2016","6"]]},"page":"1-122","title":"Deaths: Final Data for 2014.","type":"article-journal","volume":"65"},"uris":["http://www.mendeley.com/documents/?uuid=d3a4f3c2-9afc-49f9-8468-cf9f1246d765"]}],"mendeley":{"formattedCitation":"&lt;sup&gt;[1]&lt;/sup&gt;","plainTextFormattedCitation":"[1]","previouslyFormattedCitation":"&lt;sup&gt;[1]&lt;/sup&gt;"},"properties":{"noteIndex":0},"schema":"https://github.com/citation-style-language/schema/raw/master/csl-citation.json"}</w:instrText>
      </w:r>
      <w:r w:rsidR="004C7441" w:rsidRPr="00E10230">
        <w:rPr>
          <w:rFonts w:ascii="Book Antiqua" w:hAnsi="Book Antiqua" w:cs="Arial"/>
          <w:sz w:val="24"/>
          <w:szCs w:val="24"/>
        </w:rPr>
        <w:fldChar w:fldCharType="separate"/>
      </w:r>
      <w:r w:rsidR="004C7441" w:rsidRPr="00E10230">
        <w:rPr>
          <w:rFonts w:ascii="Book Antiqua" w:hAnsi="Book Antiqua" w:cs="Arial"/>
          <w:noProof/>
          <w:sz w:val="24"/>
          <w:szCs w:val="24"/>
          <w:vertAlign w:val="superscript"/>
        </w:rPr>
        <w:t>[1]</w:t>
      </w:r>
      <w:r w:rsidR="004C7441" w:rsidRPr="00E10230">
        <w:rPr>
          <w:rFonts w:ascii="Book Antiqua" w:hAnsi="Book Antiqua" w:cs="Arial"/>
          <w:sz w:val="24"/>
          <w:szCs w:val="24"/>
        </w:rPr>
        <w:fldChar w:fldCharType="end"/>
      </w:r>
      <w:r w:rsidRPr="00E10230">
        <w:rPr>
          <w:rFonts w:ascii="Book Antiqua" w:hAnsi="Book Antiqua" w:cs="Arial"/>
          <w:sz w:val="24"/>
          <w:szCs w:val="24"/>
        </w:rPr>
        <w:t>. Cirrhosis is associated with multiple life-threatening complications such as intraabdominal infections, hepatic encephalopathy/coma</w:t>
      </w:r>
      <w:r w:rsidR="00BF55B0" w:rsidRPr="00E10230">
        <w:rPr>
          <w:rFonts w:ascii="Book Antiqua" w:eastAsiaTheme="minorEastAsia" w:hAnsi="Book Antiqua" w:cs="Arial"/>
          <w:sz w:val="24"/>
          <w:szCs w:val="24"/>
          <w:lang w:eastAsia="zh-CN"/>
        </w:rPr>
        <w:t xml:space="preserve"> (HC)</w:t>
      </w:r>
      <w:r w:rsidRPr="00E10230">
        <w:rPr>
          <w:rFonts w:ascii="Book Antiqua" w:hAnsi="Book Antiqua" w:cs="Arial"/>
          <w:sz w:val="24"/>
          <w:szCs w:val="24"/>
        </w:rPr>
        <w:t>, portal hypertension, esophageal varices and hepatocellular carcinoma. These complications are suggestive of decompensated-cirrhosis and are indicative of worse prognosis among patients with cirrhosis</w:t>
      </w:r>
      <w:r w:rsidR="004C7441" w:rsidRPr="00E10230">
        <w:rPr>
          <w:rFonts w:ascii="Book Antiqua" w:hAnsi="Book Antiqua" w:cs="Arial"/>
          <w:sz w:val="24"/>
          <w:szCs w:val="24"/>
        </w:rPr>
        <w:fldChar w:fldCharType="begin" w:fldLock="1"/>
      </w:r>
      <w:r w:rsidR="004C7441" w:rsidRPr="00E10230">
        <w:rPr>
          <w:rFonts w:ascii="Book Antiqua" w:hAnsi="Book Antiqua" w:cs="Arial"/>
          <w:sz w:val="24"/>
          <w:szCs w:val="24"/>
        </w:rPr>
        <w:instrText>ADDIN CSL_CITATION {"citationItems":[{"id":"ITEM-1","itemData":{"DOI":"10.1111/j.1478-3231.2012.02830.x","ISSN":"1478-3231","PMID":"22679906","abstract":"BACKGROUND/AIMS Patients with cirrhosis are classified in a compensated and a decompensated stage. Portal hypertension is responsible for most of the complications of cirrhosis that mark the transition from compensated to decompensated cirrhosis. The objectives of this study were (a) to analyse survival of the different stages and substages of cirrhosis and (b) to examine the prognostic value of the hepatic venous pressure gradient (HVPG) at each of the stages. METHODS A total of 729 patients with suspected cirrhosis underwent routine measurement of portal pressure and systemic haemodynamics between 11/1995 and 12/2004. The primary end-point of the study was death, collected until November 30th, 2006. Multivariable analysis was performed using two models to determine predictors of death at each stage. RESULTS A total of 443 patients were included in the study. The 1-year mortality was 5.4% in compensated and 20.2% in decompensated patients. Compensated patients in stage 1 (no varices) had a longer survival than stage 2 patients (varices present) (P = 0.015). In decompensated patients, survival was not different between stage 3 (ascites, with or without varices) and stage 4 (variceal haemorrhage, with or without ascites). Age and HVPG (cut-off 10 mmHg) were independent predictors of death in compensated patients, whereas MELD was in decompensated patients. CONCLUSION Survival rates and predictors of death are different between patients with compensated and decompensated cirrhosis. Unlike the Italian cohort staging system, ascites is a better stratifying clinical event than variceal haemorrhage in patients with decompensated cirrhosis. The presence of clinically significant portal hypertension has prognostic value in compensated cirrhosis.","author":[{"dropping-particle":"","family":"Zipprich","given":"Alexander","non-dropping-particle":"","parse-names":false,"suffix":""},{"dropping-particle":"","family":"Garcia-Tsao","given":"Guadalupe","non-dropping-particle":"","parse-names":false,"suffix":""},{"dropping-particle":"","family":"Rogowski","given":"Sebastian","non-dropping-particle":"","parse-names":false,"suffix":""},{"dropping-particle":"","family":"Fleig","given":"Wolfgang E","non-dropping-particle":"","parse-names":false,"suffix":""},{"dropping-particle":"","family":"Seufferlein","given":"Thomas","non-dropping-particle":"","parse-names":false,"suffix":""},{"dropping-particle":"","family":"Dollinger","given":"Matthias M","non-dropping-particle":"","parse-names":false,"suffix":""}],"container-title":"Liver international : official journal of the International Association for the Study of the Liver","id":"ITEM-1","issue":"9","issued":{"date-parts":[["2012","10"]]},"page":"1407-14","title":"Prognostic indicators of survival in patients with compensated and decompensated cirrhosis.","type":"article-journal","volume":"32"},"uris":["http://www.mendeley.com/documents/?uuid=fb402ff0-d8a4-4e1e-b55b-25067d46c655"]},{"id":"ITEM-2","itemData":{"DOI":"10.1111/jgh.13917","ISSN":"08159319","PMID":"28768371","abstract":"BACKGROUND &amp;AIM Minimal hepatic encephalopathy (MHE) predicts poor prognosis and could reflect an advanced liver disease. We aimed to assess whether MHE could be a surrogate marker of a further liver disease. METHODS Prospective multicenter study including 320 cirrhotic patients, followed for up to 5 years, which were classified at baseline in: compensated cirrhosis without (stage 1) and with varices (stage 2), one decompensating event (stage 3), any second decompensating event (stage 4). Cirrhosis progression was defined by a transition towards a different stage (competing events: liver transplant due to hepatocellular carcinoma and non-liver-related death). MHE was detected by critical flicker frequency and psychometric tests. RESULTS MHE was diagnosed in 18.2% (57/314) of patients. Cirrhosis progression occurred in 38.1% (122/320) of patients, while liver transplant was required in 10.9% (35/320) and 19.1% (61/320) died. In competing risk regression, MHE was associated with disease progression: model 1 [sHR 2.34 (95%CI 1.58-3.46); p=0.0001]; model 2 [sHR 2.18 (95%CI 1.43-3.33); p=0.0001]; model 3 [sHR 2.48 (95%CI 1.63-3.76); p=0.0001]. The annual incidence rate of progression was higher in MHE patients: stage 1 (19.4 vs. 5.6 cases per 100 person-years); stage 2 (26.8 vs. 15.6); stage 3 (45.7 vs. 16.5); stage 4 (40.7 vs. 12.8). MHE showed a higher cumulative incidence of disease progression from the first year in decompensated and the third year in compensated cirrhosis. CONCLUSION MHE was associated with cirrhosis progression and showed a higher cumulative and annual incidence rate of disease progression. MHE could be a surrogate marker of disease progression, irrespective of cirrhosis status, identifying patients at risk of suffering a more aggressive cirrhosis form.","author":[{"dropping-particle":"","family":"Ampuero","given":"Javier","non-dropping-particle":"","parse-names":false,"suffix":""},{"dropping-particle":"","family":"Montoliú","given":"Carmina","non-dropping-particle":"","parse-names":false,"suffix":""},{"dropping-particle":"","family":"Simón-Talero","given":"Macarena","non-dropping-particle":"","parse-names":false,"suffix":""},{"dropping-particle":"","family":"Aguilera","given":"Virginia","non-dropping-particle":"","parse-names":false,"suffix":""},{"dropping-particle":"","family":"Millán","given":"Raquel","non-dropping-particle":"","parse-names":false,"suffix":""},{"dropping-particle":"","family":"Márquez","given":"Celina","non-dropping-particle":"","parse-names":false,"suffix":""},{"dropping-particle":"","family":"Jover","given":"Rodrigo","non-dropping-particle":"","parse-names":false,"suffix":""},{"dropping-particle":"","family":"Rico","given":"María Carmen","non-dropping-particle":"","parse-names":false,"suffix":""},{"dropping-particle":"","family":"Sendra","given":"Carmen","non-dropping-particle":"","parse-names":false,"suffix":""},{"dropping-particle":"","family":"Serra","given":"Miguel Ángel","non-dropping-particle":"","parse-names":false,"suffix":""},{"dropping-particle":"","family":"Romero-Gómez","given":"Manuel","non-dropping-particle":"","parse-names":false,"suffix":""}],"container-title":"Journal of Gastroenterology and Hepatology","id":"ITEM-2","issued":{"date-parts":[["2017","8","2"]]},"title":"Minimal hepatic encephalopathy identifies patients at risk of faster cirrhosis progression","type":"article-journal"},"uris":["http://www.mendeley.com/documents/?uuid=34927d2a-d2e3-4abf-8a9c-6e530693e59d"]}],"mendeley":{"formattedCitation":"&lt;sup&gt;[2,3]&lt;/sup&gt;","plainTextFormattedCitation":"[2,3]","previouslyFormattedCitation":"&lt;sup&gt;[2,3]&lt;/sup&gt;"},"properties":{"noteIndex":0},"schema":"https://github.com/citation-style-language/schema/raw/master/csl-citation.json"}</w:instrText>
      </w:r>
      <w:r w:rsidR="004C7441" w:rsidRPr="00E10230">
        <w:rPr>
          <w:rFonts w:ascii="Book Antiqua" w:hAnsi="Book Antiqua" w:cs="Arial"/>
          <w:sz w:val="24"/>
          <w:szCs w:val="24"/>
        </w:rPr>
        <w:fldChar w:fldCharType="separate"/>
      </w:r>
      <w:r w:rsidR="004C7441" w:rsidRPr="00E10230">
        <w:rPr>
          <w:rFonts w:ascii="Book Antiqua" w:hAnsi="Book Antiqua" w:cs="Arial"/>
          <w:noProof/>
          <w:sz w:val="24"/>
          <w:szCs w:val="24"/>
          <w:vertAlign w:val="superscript"/>
        </w:rPr>
        <w:t>[2,3]</w:t>
      </w:r>
      <w:r w:rsidR="004C7441" w:rsidRPr="00E10230">
        <w:rPr>
          <w:rFonts w:ascii="Book Antiqua" w:hAnsi="Book Antiqua" w:cs="Arial"/>
          <w:sz w:val="24"/>
          <w:szCs w:val="24"/>
        </w:rPr>
        <w:fldChar w:fldCharType="end"/>
      </w:r>
      <w:r w:rsidRPr="00E10230">
        <w:rPr>
          <w:rFonts w:ascii="Book Antiqua" w:hAnsi="Book Antiqua" w:cs="Arial"/>
          <w:sz w:val="24"/>
          <w:szCs w:val="24"/>
        </w:rPr>
        <w:t xml:space="preserve">. In addition, patients with decompensated-cirrhosis, especially with </w:t>
      </w:r>
      <w:r w:rsidR="00BF55B0" w:rsidRPr="00E10230">
        <w:rPr>
          <w:rFonts w:ascii="Book Antiqua" w:eastAsiaTheme="minorEastAsia" w:hAnsi="Book Antiqua" w:cs="Arial"/>
          <w:sz w:val="24"/>
          <w:szCs w:val="24"/>
          <w:lang w:eastAsia="zh-CN"/>
        </w:rPr>
        <w:t>HC</w:t>
      </w:r>
      <w:r w:rsidRPr="00E10230">
        <w:rPr>
          <w:rFonts w:ascii="Book Antiqua" w:hAnsi="Book Antiqua" w:cs="Arial"/>
          <w:sz w:val="24"/>
          <w:szCs w:val="24"/>
        </w:rPr>
        <w:t>, have a higher rate of early readmission and contribute to higher healthcare cost</w:t>
      </w:r>
      <w:r w:rsidR="004C7441" w:rsidRPr="00E10230">
        <w:rPr>
          <w:rFonts w:ascii="Book Antiqua" w:hAnsi="Book Antiqua" w:cs="Arial"/>
          <w:sz w:val="24"/>
          <w:szCs w:val="24"/>
        </w:rPr>
        <w:fldChar w:fldCharType="begin" w:fldLock="1"/>
      </w:r>
      <w:r w:rsidR="004C7441" w:rsidRPr="00E10230">
        <w:rPr>
          <w:rFonts w:ascii="Book Antiqua" w:hAnsi="Book Antiqua" w:cs="Arial"/>
          <w:sz w:val="24"/>
          <w:szCs w:val="24"/>
        </w:rPr>
        <w:instrText>ADDIN CSL_CITATION {"citationItems":[{"id":"ITEM-1","itemData":{"DOI":"10.1038/ajg.2011.314","ISSN":"1572-0241","PMID":"21931378","abstract":"OBJECTIVES Early rehospitalizations have been well characterized in many disease states, but not among patients with cirrhosis. The aims of this study were to identify the frequency, costs, predictors, and preventable causes of hospital readmissions among patients with decompensated cirrhosis. METHODS Rates of readmission were calculated for 402 patients discharged after one of the following complications of cirrhosis: ascites, spontaneous bacterial peritonitis, renal failure, hepatic encephalopathy, or variceal hemorrhage. Costs of readmissions were calculated using the hospital accounting system. Predictors of time to first readmission were determined using Cox regression, and predictors of hospitalization rate/person-years were determined using negative binomial regression. The independent association between readmission rate and mortality was determined using Cox regression. Admissions within 30 days of discharge were assessed by two reviewers to determine if preventable. RESULTS Overall, 276 (69%) subjects had at least one nonelective readmission, with a median time to first readmission of 67 days. By 1 week after discharge, 14% of subjects had been readmitted, and 37% were readmitted within 1 month. The mean costs for readmissions within 1 week and between weeks 1 and 4 were $28,898 and $20,581, respectively. During a median follow-up of 203 days, the median number of readmissions was 2 (range 0-40), with an overall rate of 3 hospitalizations/person-years. Patients with more frequent readmissions had higher risk of subsequent mortality, despite adjustment for confounders including the Model for End-stage Liver Disease (MELD) score. Predictors of time to first readmission included MELD score, serum sodium, and number of medications on discharge; predictors of hospitalization rate included these variables as well as the number of cirrhosis complications and being on the transplant list at discharge. Among 165 readmissions within 30 days, 22% were possibly preventable. CONCLUSIONS Hospital readmissions among patients with decompensated cirrhosis are common, costly, moderately predictable, in some cases, possibly preventable, and independently associated with mortality. These findings support the development of disease management interventions to prevent rehospitalization.","author":[{"dropping-particle":"","family":"Volk","given":"Michael L","non-dropping-particle":"","parse-names":false,"suffix":""},{"dropping-particle":"","family":"Tocco","given":"Rachel S","non-dropping-particle":"","parse-names":false,"suffix":""},{"dropping-particle":"","family":"Bazick","given":"Jessica","non-dropping-particle":"","parse-names":false,"suffix":""},{"dropping-particle":"","family":"Rakoski","given":"Mina O","non-dropping-particle":"","parse-names":false,"suffix":""},{"dropping-particle":"","family":"Lok","given":"Anna S","non-dropping-particle":"","parse-names":false,"suffix":""}],"container-title":"The American journal of gastroenterology","id":"ITEM-1","issue":"2","issued":{"date-parts":[["2012","2"]]},"page":"247-52","title":"Hospital readmissions among patients with decompensated cirrhosis.","type":"article-journal","volume":"107"},"uris":["http://www.mendeley.com/documents/?uuid=3204692b-60b4-46ee-a207-5a5d6181e4ce"]},{"id":"ITEM-2","itemData":{"DOI":"10.1002/hep.28414","ISSN":"1527-3350","PMID":"26690389","abstract":"UNLABELLED In smaller single-center studies, patients with cirrhosis are at a high readmission risk, but a multicenter perspective study is lacking. We evaluated the determinants of 3-month readmissions among inpatients with cirrhosis using the prospective 14-center North American Consortium for the Study of End-Stage Liver Disease cohort. Patients with cirrhosis hospitalized for nonelective indications provided consent and were followed for 3 months postdischarge. The number of 3-month readmissions and their determinants on index admission and discharge were calculated. We used multivariable logistic regression for all readmissions and for hepatic encephalopathy (HE), renal/metabolic, and infection-related readmissions. A score was developed using admission/discharge variables for the total sample, which was validated on a random half of the total population. Of the 1353 patients enrolled, 1177 were eligible on discharge and 1013 had 3-month outcomes. Readmissions occurred in 53% (n = 535; 316 with one, 219 with two or more), with consistent rates across sites. The leading causes were liver-related (n = 333; HE, renal/metabolic, and infections). Patients with cirrhosis and with worse Model for End-Stage Liver Disease score or diabetes, those taking prophylactic antibiotics, and those with prior HE were more likely to be readmitted. The admission model included Model for End-Stage Liver Disease and diabetes (c-statistic = 0.64, after split-validation 0.65). The discharge model included Model for End-Stage Liver Disease, proton pump inhibitor use, and lower length of stay (c-statistic = 0.65, after split-validation 0.70). Thirty percent of readmissions could not be predicted. Patients with liver-related readmissions consistently had index-stay nosocomial infections as a predictor for HE, renal/metabolic, and infection-associated readmissions (odds ratio = 1.9-3.0). CONCLUSIONS Three-month readmissions occurred in about half of discharged patients with cirrhosis, which were associated with cirrhosis severity, diabetes, and nosocomial infections; close monitoring of patients with advanced cirrhosis and prevention of nosocomial infections could reduce this burden. (Hepatology 2016;64:200-208).","author":[{"dropping-particle":"","family":"Bajaj","given":"Jasmohan S","non-dropping-particle":"","parse-names":false,"suffix":""},{"dropping-particle":"","family":"Reddy","given":"K Rajender","non-dropping-particle":"","parse-names":false,"suffix":""},{"dropping-particle":"","family":"Tandon","given":"Puneeta","non-dropping-particle":"","parse-names":false,"suffix":""},{"dropping-particle":"","family":"Wong","given":"Florence","non-dropping-particle":"","parse-names":false,"suffix":""},{"dropping-particle":"","family":"Kamath","given":"Patrick S","non-dropping-particle":"","parse-names":false,"suffix":""},{"dropping-particle":"","family":"Garcia-Tsao","given":"Guadalupe","non-dropping-particle":"","parse-names":false,"suffix":""},{"dropping-particle":"","family":"Maliakkal","given":"Benedict","non-dropping-particle":"","parse-names":false,"suffix":""},{"dropping-particle":"","family":"Biggins","given":"Scott W","non-dropping-particle":"","parse-names":false,"suffix":""},{"dropping-particle":"","family":"Thuluvath","given":"Paul J","non-dropping-particle":"","parse-names":false,"suffix":""},{"dropping-particle":"","family":"Fallon","given":"Michael B","non-dropping-particle":"","parse-names":false,"suffix":""},{"dropping-particle":"","family":"Subramanian","given":"Ram M","non-dropping-particle":"","parse-names":false,"suffix":""},{"dropping-particle":"","family":"Vargas","given":"Hugo","non-dropping-particle":"","parse-names":false,"suffix":""},{"dropping-particle":"","family":"Thacker","given":"Leroy R","non-dropping-particle":"","parse-names":false,"suffix":""},{"dropping-particle":"","family":"O'Leary","given":"Jacqueline G","non-dropping-particle":"","parse-names":false,"suffix":""},{"dropping-particle":"","family":"North American Consortium for the Study of End-Stage Liver Disease","given":"","non-dropping-particle":"","parse-names":false,"suffix":""}],"container-title":"Hepatology (Baltimore, Md.)","id":"ITEM-2","issue":"1","issued":{"date-parts":[["2016","7"]]},"page":"200-8","title":"The 3-month readmission rate remains unacceptably high in a large North American cohort of patients with cirrhosis.","type":"article-journal","volume":"64"},"uris":["http://www.mendeley.com/documents/?uuid=eed7b615-ca3a-4f5e-b0cc-cb864dbd3232"]},{"id":"ITEM-3","itemData":{"DOI":"10.1016/j.cgh.2016.04.009","ISSN":"1542-7714","PMID":"27085758","abstract":"BACKGROUND &amp; AIMS There have been few population-based studies of the rates of and reasons for readmission to the hospital within 30 days among patients with cirrhosis. METHODS We identified all adult patients with cirrhosis who were admitted in 2011 to hospitals in California, Florida Massachusetts, Mississippi, New York, and Washington (119,722 unique index admissions with cirrhosis). We analyzed data from the State Inpatient Databases, which are longitudinal all-payer databases. Data were linked to the American Hospital Association's national survey for hospital characteristics. Outcomes included readmission to any hospital within 30 and 90 days, and the reasons for readmission. RESULTS The 30- and 90-day rates of readmission were 12.9% and 21.2% overall, with limited variation among states. Among patients with more than 3 complications of cirrhosis, 24.2% were readmitted within 30 days and 35.9% were readmitted within 90 days. The presence of hepatic encephalopathy was most strongly associated with readmission within 30 and 90 days (odds ratio, 1.77 for each). Almost 1 in every 4 readmissions was to a different hospital than the one from which the patient was discharged. Among patients with alcoholic liver disease and a history of a complications of cirrhosis, the 2 most common reasons for readmission were acute complications of cirrhosis (in 41.7%) and substance abuse (in 25.0%). Conversely, the most common reasons for readmission of patients with a history of complications of cirrhosis without alcoholic liver disease were acute complications (in 41.0%) and cancer complications (in 16.2%). CONCLUSIONS A high proportion of patients with cirrhosis are readmitted to the hospital (often to a different hospital) within 30 or 90 days; encephalopathy is most strongly associated with readmission. Reasons for readmission differ based on the cause of liver disease, and there are opportunities for quality improvement.","author":[{"dropping-particle":"","family":"Tapper","given":"Elliot B","non-dropping-particle":"","parse-names":false,"suffix":""},{"dropping-particle":"","family":"Halbert","given":"Brian","non-dropping-particle":"","parse-names":false,"suffix":""},{"dropping-particle":"","family":"Mellinger","given":"Jessica","non-dropping-particle":"","parse-names":false,"suffix":""}],"container-title":"Clinical gastroenterology and hepatology : the official clinical practice journal of the American Gastroenterological Association","id":"ITEM-3","issue":"8","issued":{"date-parts":[["2016","8"]]},"page":"1181-1188.e2","title":"Rates of and Reasons for Hospital Readmissions in Patients With Cirrhosis: A Multistate Population-based Cohort Study.","type":"article-journal","volume":"14"},"uris":["http://www.mendeley.com/documents/?uuid=0db4961f-aeaa-42bf-9898-bb5bebbb3e18"]}],"mendeley":{"formattedCitation":"&lt;sup&gt;[4–6]&lt;/sup&gt;","plainTextFormattedCitation":"[4–6]","previouslyFormattedCitation":"&lt;sup&gt;[4–6]&lt;/sup&gt;"},"properties":{"noteIndex":0},"schema":"https://github.com/citation-style-language/schema/raw/master/csl-citation.json"}</w:instrText>
      </w:r>
      <w:r w:rsidR="004C7441" w:rsidRPr="00E10230">
        <w:rPr>
          <w:rFonts w:ascii="Book Antiqua" w:hAnsi="Book Antiqua" w:cs="Arial"/>
          <w:sz w:val="24"/>
          <w:szCs w:val="24"/>
        </w:rPr>
        <w:fldChar w:fldCharType="separate"/>
      </w:r>
      <w:r w:rsidR="004C7441" w:rsidRPr="00E10230">
        <w:rPr>
          <w:rFonts w:ascii="Book Antiqua" w:hAnsi="Book Antiqua" w:cs="Arial"/>
          <w:noProof/>
          <w:sz w:val="24"/>
          <w:szCs w:val="24"/>
          <w:vertAlign w:val="superscript"/>
        </w:rPr>
        <w:t>[4–6]</w:t>
      </w:r>
      <w:r w:rsidR="004C7441" w:rsidRPr="00E10230">
        <w:rPr>
          <w:rFonts w:ascii="Book Antiqua" w:hAnsi="Book Antiqua" w:cs="Arial"/>
          <w:sz w:val="24"/>
          <w:szCs w:val="24"/>
        </w:rPr>
        <w:fldChar w:fldCharType="end"/>
      </w:r>
      <w:r w:rsidRPr="00E10230">
        <w:rPr>
          <w:rFonts w:ascii="Book Antiqua" w:hAnsi="Book Antiqua" w:cs="Arial"/>
          <w:sz w:val="24"/>
          <w:szCs w:val="24"/>
        </w:rPr>
        <w:t>. Other cirrhosis-associated complications such as portal hypertension, renal dysfunction and infections were also associated with higher inpatient mortality</w:t>
      </w:r>
      <w:r w:rsidR="004C7441" w:rsidRPr="00E10230">
        <w:rPr>
          <w:rFonts w:ascii="Book Antiqua" w:hAnsi="Book Antiqua" w:cs="Arial"/>
          <w:sz w:val="24"/>
          <w:szCs w:val="24"/>
        </w:rPr>
        <w:fldChar w:fldCharType="begin" w:fldLock="1"/>
      </w:r>
      <w:r w:rsidR="004C7441" w:rsidRPr="00E10230">
        <w:rPr>
          <w:rFonts w:ascii="Book Antiqua" w:hAnsi="Book Antiqua" w:cs="Arial"/>
          <w:sz w:val="24"/>
          <w:szCs w:val="24"/>
        </w:rPr>
        <w:instrText>ADDIN CSL_CITATION {"citationItems":[{"id":"ITEM-1","itemData":{"DOI":"10.1097/MD.0000000000007782","ISSN":"1536-5964","PMID":"28796076","abstract":"Hospitalizations for advanced liver disease are costly and associated with significant mortality. This population-based study aimed to evaluate factors associated with in-hospital mortality and resource use for the management of hospitalized patients with cirrhosis.Mortality records and resource utilization for 52,027 patients hospitalized with cirrhosis and/or complications of portal hypertension (ascites, hepatic encephalopathy, variceal bleeding, spontaneous bacterial peritonitis, or hepatorenal syndrome) were extracted from a nationally representative sample of Thai inpatients covered by Universal Coverage Scheme during 2009 to 2013.The rate of dying in the hospital increased steadily by 12% from 9.6% in 2009 to 10.8% in 2013 (P &lt; .001). Complications of portal hypertension were independently associated with increased in-hospital mortality except for ascites. The highest independent risk for hospital death was seen with hepatorenal syndrome (odds ratio [OR], 5.04; 95% confidence interval [CI], 4.38-5.79). Mortality rate remained high in patients with infection, particularly septicemia (OR, 4.26; 95% CI, 4.0-4.54) and pneumonia (OR, 2.44; 95% CI, 2.18-2.73). Receiving upper endoscopy (OR, 0.29; 95% CI, 0.27-0.32) and paracentesis (OR, 0.93; 95% CI, 0.87-1.00) were associated with improved patient survival. The inflation-adjusted national annual costs (P = .06) and total hospital days (P = .07) for cirrhosis showed a trend toward increasing during the 5-year period. Renal dysfunction, infection, and sequelae of portal hypertension except for ascites were independently associated with increased resource utilization.Renal dysfunction, infection, and portal hypertension-related complications are the main factors affecting in-hospital mortality and resource utilization for hospitalized patients with cirrhosis. The early intervention for modifiable factors is an important step toward improving hospital outcomes.","author":[{"dropping-particle":"","family":"Charatcharoenwitthaya","given":"Phunchai","non-dropping-particle":"","parse-names":false,"suffix":""},{"dropping-particle":"","family":"Soonthornworasiri","given":"Ngamphol","non-dropping-particle":"","parse-names":false,"suffix":""},{"dropping-particle":"","family":"Karaketklang","given":"Khemajira","non-dropping-particle":"","parse-names":false,"suffix":""},{"dropping-particle":"","family":"Poovorawan","given":"Kittiyod","non-dropping-particle":"","parse-names":false,"suffix":""},{"dropping-particle":"","family":"Pan-Ngum","given":"Wirichada","non-dropping-particle":"","parse-names":false,"suffix":""},{"dropping-particle":"","family":"Chotiyaputta","given":"Watcharasak","non-dropping-particle":"","parse-names":false,"suffix":""},{"dropping-particle":"","family":"Tanwandee","given":"Tawesak","non-dropping-particle":"","parse-names":false,"suffix":""},{"dropping-particle":"","family":"Phaosawasdi","given":"Kamthorn","non-dropping-particle":"","parse-names":false,"suffix":""}],"container-title":"Medicine","id":"ITEM-1","issue":"32","issued":{"date-parts":[["2017","8"]]},"page":"e7782","title":"Factors affecting mortality and resource use for hospitalized patients with cirrhosis: A population-based study.","type":"article-journal","volume":"96"},"uris":["http://www.mendeley.com/documents/?uuid=9cedc58f-f233-4be5-bb96-1485d674c015"]}],"mendeley":{"formattedCitation":"&lt;sup&gt;[7]&lt;/sup&gt;","plainTextFormattedCitation":"[7]","previouslyFormattedCitation":"&lt;sup&gt;[7]&lt;/sup&gt;"},"properties":{"noteIndex":0},"schema":"https://github.com/citation-style-language/schema/raw/master/csl-citation.json"}</w:instrText>
      </w:r>
      <w:r w:rsidR="004C7441" w:rsidRPr="00E10230">
        <w:rPr>
          <w:rFonts w:ascii="Book Antiqua" w:hAnsi="Book Antiqua" w:cs="Arial"/>
          <w:sz w:val="24"/>
          <w:szCs w:val="24"/>
        </w:rPr>
        <w:fldChar w:fldCharType="separate"/>
      </w:r>
      <w:r w:rsidR="004C7441" w:rsidRPr="00E10230">
        <w:rPr>
          <w:rFonts w:ascii="Book Antiqua" w:hAnsi="Book Antiqua" w:cs="Arial"/>
          <w:noProof/>
          <w:sz w:val="24"/>
          <w:szCs w:val="24"/>
          <w:vertAlign w:val="superscript"/>
        </w:rPr>
        <w:t>[7]</w:t>
      </w:r>
      <w:r w:rsidR="004C7441" w:rsidRPr="00E10230">
        <w:rPr>
          <w:rFonts w:ascii="Book Antiqua" w:hAnsi="Book Antiqua" w:cs="Arial"/>
          <w:sz w:val="24"/>
          <w:szCs w:val="24"/>
        </w:rPr>
        <w:fldChar w:fldCharType="end"/>
      </w:r>
      <w:r w:rsidRPr="00E10230">
        <w:rPr>
          <w:rFonts w:ascii="Book Antiqua" w:hAnsi="Book Antiqua" w:cs="Arial"/>
          <w:sz w:val="24"/>
          <w:szCs w:val="24"/>
        </w:rPr>
        <w:t xml:space="preserve">. </w:t>
      </w:r>
    </w:p>
    <w:p w14:paraId="58E8C124" w14:textId="77777777" w:rsidR="00704241" w:rsidRPr="00E10230" w:rsidRDefault="00704241" w:rsidP="00E10230">
      <w:pPr>
        <w:spacing w:after="0" w:line="360" w:lineRule="auto"/>
        <w:jc w:val="both"/>
        <w:rPr>
          <w:rFonts w:ascii="Book Antiqua" w:hAnsi="Book Antiqua" w:cs="Arial"/>
          <w:sz w:val="24"/>
          <w:szCs w:val="24"/>
        </w:rPr>
      </w:pPr>
    </w:p>
    <w:p w14:paraId="744659D1" w14:textId="77777777" w:rsidR="00FC402C" w:rsidRPr="00E10230" w:rsidRDefault="00FC402C" w:rsidP="00E10230">
      <w:pPr>
        <w:spacing w:after="0" w:line="360" w:lineRule="auto"/>
        <w:jc w:val="both"/>
        <w:rPr>
          <w:rFonts w:ascii="Book Antiqua" w:hAnsi="Book Antiqua" w:cs="Arial"/>
          <w:b/>
          <w:i/>
          <w:sz w:val="24"/>
          <w:szCs w:val="24"/>
        </w:rPr>
      </w:pPr>
      <w:r w:rsidRPr="00E10230">
        <w:rPr>
          <w:rFonts w:ascii="Book Antiqua" w:hAnsi="Book Antiqua" w:cs="Arial"/>
          <w:b/>
          <w:i/>
          <w:sz w:val="24"/>
          <w:szCs w:val="24"/>
        </w:rPr>
        <w:t>Objective</w:t>
      </w:r>
    </w:p>
    <w:p w14:paraId="49F09BAA" w14:textId="137D6555" w:rsidR="00704241" w:rsidRPr="00E10230" w:rsidRDefault="00704241" w:rsidP="00E10230">
      <w:pPr>
        <w:spacing w:after="0" w:line="360" w:lineRule="auto"/>
        <w:jc w:val="both"/>
        <w:rPr>
          <w:rFonts w:ascii="Book Antiqua" w:eastAsiaTheme="minorEastAsia" w:hAnsi="Book Antiqua" w:cs="Arial"/>
          <w:sz w:val="24"/>
          <w:szCs w:val="24"/>
          <w:lang w:eastAsia="zh-CN"/>
        </w:rPr>
      </w:pPr>
      <w:r w:rsidRPr="00E10230">
        <w:rPr>
          <w:rFonts w:ascii="Book Antiqua" w:hAnsi="Book Antiqua" w:cs="Arial"/>
          <w:sz w:val="24"/>
          <w:szCs w:val="24"/>
        </w:rPr>
        <w:t>Reducing the preventable hospitalizations and readmissions are the focus of recent national initiatives with the goal of improving quality of care and reducing health care costs. Therefore, optimal management of cirrhosis to prevent decompensated-cirrhosis is emphasized. However, there is limited data on the temporal trend of hospitalizations and mortality associated with cirrhosis-associated complications. Recent retrospective studies showed a decline in the number of hospitalizations for esophageal varices with bleeding</w:t>
      </w:r>
      <w:r w:rsidR="004C7441" w:rsidRPr="00E10230">
        <w:rPr>
          <w:rFonts w:ascii="Book Antiqua" w:eastAsiaTheme="minorEastAsia" w:hAnsi="Book Antiqua" w:cs="Arial"/>
          <w:sz w:val="24"/>
          <w:szCs w:val="24"/>
          <w:lang w:eastAsia="zh-CN"/>
        </w:rPr>
        <w:t xml:space="preserve"> (EV)</w:t>
      </w:r>
      <w:r w:rsidR="004C7441" w:rsidRPr="00E10230">
        <w:rPr>
          <w:rFonts w:ascii="Book Antiqua" w:hAnsi="Book Antiqua" w:cs="Arial"/>
          <w:sz w:val="24"/>
          <w:szCs w:val="24"/>
        </w:rPr>
        <w:fldChar w:fldCharType="begin" w:fldLock="1"/>
      </w:r>
      <w:r w:rsidR="004C7441" w:rsidRPr="00E10230">
        <w:rPr>
          <w:rFonts w:ascii="Book Antiqua" w:hAnsi="Book Antiqua" w:cs="Arial"/>
          <w:sz w:val="24"/>
          <w:szCs w:val="24"/>
        </w:rPr>
        <w:instrText>ADDIN CSL_CITATION {"citationItems":[{"id":"ITEM-1","itemData":{"DOI":"10.1016/j.cgh.2008.02.049","ISSN":"1542-7714","PMID":"18456566","abstract":"BACKGROUND &amp; AIMS In recent years, there have been many advances in the primary and secondary prophylaxis of variceal bleeding. The aim of this study was to evaluate nationwide trends in the hospitalization rate of bleeding esophageal varices in the advent of these new modalities. In addition, our aims were to study the incidence trends of nonbleeding esophageal varices over the past 2 decades while studying hospitalization rates for cirrhosis over the same study period. METHODS The Nationwide Inpatient Sample database was used for inpatient data analysis (1988-2002) and the State Ambulatory Surgery Database was used for outpatient analysis. Patients discharged with International Classification of Diseases, ninth revision, Clinical Modification discharge diagnoses related to esophageal varices were included. RESULTS The hospitalization rate of bleeding varices increased 13.7% from 10.9 per 100,000 in the 1988 to 1990 period to 12.4 per 100,000 in the 1994 to 1996 period (P &lt; .01), and then decreased 14.5% to 10.6 per 100,000 in the 2000 to 2002 period (P &lt; .01). In-hospital nonbleeding varices increased 55% from 6.0 to 9.3 per 100,000 from the 1988 to 1990 period to the 2000 to 2002 period (P &lt; .01). Outpatient nonbleeding esophageal varices increased 20% from 5.5 to 6.6 per 100,000 from 1997 to 2003. CONCLUSIONS The hospitalization rate for bleeding esophageal varices has been on the decline in recent years and may be a reflection of the advances in primary and secondary prophylaxis. The incidence rate of nonbleeding esophageal varices is increasing and likely is owing to the increasing burden of portal hypertensive liver disease in the nation.","author":[{"dropping-particle":"","family":"Jamal","given":"M Mazen","non-dropping-particle":"","parse-names":false,"suffix":""},{"dropping-particle":"","family":"Samarasena","given":"Jason B","non-dropping-particle":"","parse-names":false,"suffix":""},{"dropping-particle":"","family":"Hashemzadeh","given":"Mehrtash","non-dropping-particle":"","parse-names":false,"suffix":""},{"dropping-particle":"","family":"Vega","given":"Kenneth J","non-dropping-particle":"","parse-names":false,"suffix":""}],"container-title":"Clinical gastroenterology and hepatology : the official clinical practice journal of the American Gastroenterological Association","id":"ITEM-1","issue":"6","issued":{"date-parts":[["2008","6"]]},"page":"689-95; quiz 605","title":"Declining hospitalization rate of esophageal variceal bleeding in the United States.","type":"article-journal","volume":"6"},"uris":["http://www.mendeley.com/documents/?uuid=7a9220bf-69d9-484e-9a9c-7f7c27a94a1d"]},{"id":"ITEM-2","itemData":{"DOI":"10.3748/wjg.v20.i32.11326","ISSN":"2219-2840","PMID":"25170218","abstract":"AIM To examine hospitalization rates for variceal hemorrhage and relation to cause of cirrhosis during an era of increased cirrhosis prevalence. METHODS We performed a retrospective review of patients with cirrhosis and gastroesophageal variceal hemorrhage who were admitted to a tertiary care referral center from 1998 to 2009. Subjects were classified according to the etiology of their liver disease: alcoholic cirrhosis and non-alcoholic cirrhosis. Rates of hospitalization for variceal bleeding were determined. Data were also collected on total hospital admissions per year and cirrhosis-related admissions per year over the same time period. These data were then compared and analyzed for trends in admission rates. RESULTS Hospitalizations for cirrhosis significantly increased from 611 per 100000 admissions in 1998-2001 to 1232 per 100000 admissions in 2006-9 (P value for trend &lt; 0.0001). This increase was seen in admissions for both alcoholic and non-alcoholic cirrhosis (P values for trend &lt; 0.001 and &lt; 0.0001 respectively). During the same time period, there were 243 admissions for gastroesophageal variceal bleeding (68% male, mean age 54.3 years, 62% alcoholic cirrhosis). Hospitalizations for gastroesophageal variceal bleeding significantly decreased from 96.6 per 100000 admissions for the time period 1998-2001 to 70.6 per 100000 admissions for the time period 2006-2009 (P value for trend = 0.01). There were significant reductions in variceal hemorrhage from non-alcoholic cirrhosis (41.6 per 100000 admissions in 1998-2001 to 19.7 per 100000 admissions in 2006-2009, P value for trend = 0.007). CONCLUSION Hospitalizations for variceal hemorrhage have decreased, most notably in patients with non-alcoholic cirrhosis, and this may reflect broader use of strategies to prevent bleeding.","author":[{"dropping-particle":"","family":"Lim","given":"Nicholas","non-dropping-particle":"","parse-names":false,"suffix":""},{"dropping-particle":"","family":"Desarno","given":"Michael J","non-dropping-particle":"","parse-names":false,"suffix":""},{"dropping-particle":"","family":"Lidofsky","given":"Steven D","non-dropping-particle":"","parse-names":false,"suffix":""},{"dropping-particle":"","family":"Ganguly","given":"Eric","non-dropping-particle":"","parse-names":false,"suffix":""}],"container-title":"World journal of gastroenterology","id":"ITEM-2","issue":"32","issued":{"date-parts":[["2014","8","28"]]},"page":"11326-32","title":"Hospitalization for variceal hemorrhage in an era with more prevalent cirrhosis.","type":"article-journal","volume":"20"},"uris":["http://www.mendeley.com/documents/?uuid=b506f899-4a67-4c37-8c6e-4c848e1622fd"]},{"id":"ITEM-3","itemData":{"DOI":"10.1002/jhm.2360","ISSN":"1553-5606","PMID":"25976490","abstract":"Esophageal variceal bleeding (EVB) is a frequent complication in cirrhotic patients resulting in considerable mortality and morbidity. The aim of this study was to investigate the occurrence, impact, and trends of EVB in hospitalized cirrhotic patients on a nationwide level in the United States. We interrogated data from the Nationwide Inpatient Sample from 2002 to 2012. Utilizing International Classification of Diseases, Ninth Revision, Clinical Modification codes, we analyzed hospital discharges for cirrhosis and related EVB in adult patients. EVB in cirrhotic patients was independently associated with overall worse outcomes with respect to in-hospital mortality (10% vs 5%; P &lt; 0.01) and hospital charges (median $41,000 vs $26,000; P &lt; 0.01). In the period from 2002 to 2012, the number of cirrhosis-related hospitalizations increased from 337,956 to 570,220 (P &lt; 0.01). Concurrently, the incidence of EVB in hospitalized cirrhotic patients declined from 8.60% to 5.78%, with an overall decreased trend (P &lt; 0.01). The decline in the rate of EVB in hospitalized cirrhotic patients from 2002 to 2012 likely reflects the effectiveness of primary and secondary prophylaxis.","author":[{"dropping-particle":"","family":"Pant","given":"Chaitanya","non-dropping-particle":"","parse-names":false,"suffix":""},{"dropping-particle":"","family":"Desai","given":"Madhav","non-dropping-particle":"","parse-names":false,"suffix":""},{"dropping-particle":"","family":"Deshpande","given":"Abhishek","non-dropping-particle":"","parse-names":false,"suffix":""},{"dropping-particle":"","family":"Taylor","given":"Ryan","non-dropping-particle":"","parse-names":false,"suffix":""},{"dropping-particle":"","family":"Olyaee","given":"Mojtaba","non-dropping-particle":"","parse-names":false,"suffix":""},{"dropping-particle":"","family":"Gilroy","given":"Richard","non-dropping-particle":"","parse-names":false,"suffix":""}],"container-title":"Journal of hospital medicine","id":"ITEM-3","issue":"7","issued":{"date-parts":[["2015","7"]]},"page":"453-6","title":"Esophageal variceal bleeding in hospitalized patients with cirrhosis.","type":"article-journal","volume":"10"},"uris":["http://www.mendeley.com/documents/?uuid=62fb31db-bd26-41bb-a49c-9313cc945789"]}],"mendeley":{"formattedCitation":"&lt;sup&gt;[8–10]&lt;/sup&gt;","plainTextFormattedCitation":"[8–10]","previouslyFormattedCitation":"&lt;sup&gt;[8–10]&lt;/sup&gt;"},"properties":{"noteIndex":0},"schema":"https://github.com/citation-style-language/schema/raw/master/csl-citation.json"}</w:instrText>
      </w:r>
      <w:r w:rsidR="004C7441" w:rsidRPr="00E10230">
        <w:rPr>
          <w:rFonts w:ascii="Book Antiqua" w:hAnsi="Book Antiqua" w:cs="Arial"/>
          <w:sz w:val="24"/>
          <w:szCs w:val="24"/>
        </w:rPr>
        <w:fldChar w:fldCharType="separate"/>
      </w:r>
      <w:r w:rsidR="004C7441" w:rsidRPr="00E10230">
        <w:rPr>
          <w:rFonts w:ascii="Book Antiqua" w:hAnsi="Book Antiqua" w:cs="Arial"/>
          <w:noProof/>
          <w:sz w:val="24"/>
          <w:szCs w:val="24"/>
          <w:vertAlign w:val="superscript"/>
        </w:rPr>
        <w:t>[8–10]</w:t>
      </w:r>
      <w:r w:rsidR="004C7441" w:rsidRPr="00E10230">
        <w:rPr>
          <w:rFonts w:ascii="Book Antiqua" w:hAnsi="Book Antiqua" w:cs="Arial"/>
          <w:sz w:val="24"/>
          <w:szCs w:val="24"/>
        </w:rPr>
        <w:fldChar w:fldCharType="end"/>
      </w:r>
      <w:r w:rsidRPr="00E10230">
        <w:rPr>
          <w:rFonts w:ascii="Book Antiqua" w:hAnsi="Book Antiqua" w:cs="Arial"/>
          <w:sz w:val="24"/>
          <w:szCs w:val="24"/>
        </w:rPr>
        <w:t xml:space="preserve">. However, there is paucity of data on other cirrhosis-associated conditions. Therefore, we conducted a larger population-based study to evaluate the national temporal trends of hospitalizations, mortalities and financial impact associated with four common </w:t>
      </w:r>
      <w:r w:rsidR="008361FB" w:rsidRPr="00E10230">
        <w:rPr>
          <w:rFonts w:ascii="Book Antiqua" w:hAnsi="Book Antiqua" w:cs="Arial"/>
          <w:sz w:val="24"/>
          <w:szCs w:val="24"/>
        </w:rPr>
        <w:t xml:space="preserve">conditions </w:t>
      </w:r>
      <w:r w:rsidRPr="00E10230">
        <w:rPr>
          <w:rFonts w:ascii="Book Antiqua" w:hAnsi="Book Antiqua" w:cs="Arial"/>
          <w:sz w:val="24"/>
          <w:szCs w:val="24"/>
        </w:rPr>
        <w:t xml:space="preserve">of cirrhosis: </w:t>
      </w:r>
      <w:r w:rsidR="00BF55B0" w:rsidRPr="00E10230">
        <w:rPr>
          <w:rFonts w:ascii="Book Antiqua" w:hAnsi="Book Antiqua" w:cs="Arial"/>
          <w:sz w:val="24"/>
          <w:szCs w:val="24"/>
        </w:rPr>
        <w:t>HC</w:t>
      </w:r>
      <w:r w:rsidRPr="00E10230">
        <w:rPr>
          <w:rFonts w:ascii="Book Antiqua" w:hAnsi="Book Antiqua" w:cs="Arial"/>
          <w:sz w:val="24"/>
          <w:szCs w:val="24"/>
        </w:rPr>
        <w:t xml:space="preserve">; intraabdominal venous shunt (transjugular intrahepatic portosystemic shunt or TIPS); </w:t>
      </w:r>
      <w:r w:rsidR="004C7441" w:rsidRPr="00E10230">
        <w:rPr>
          <w:rFonts w:ascii="Book Antiqua" w:hAnsi="Book Antiqua" w:cs="Arial"/>
          <w:sz w:val="24"/>
          <w:szCs w:val="24"/>
        </w:rPr>
        <w:t>EV</w:t>
      </w:r>
      <w:r w:rsidRPr="00E10230">
        <w:rPr>
          <w:rFonts w:ascii="Book Antiqua" w:hAnsi="Book Antiqua" w:cs="Arial"/>
          <w:sz w:val="24"/>
          <w:szCs w:val="24"/>
        </w:rPr>
        <w:t>; spontaneou</w:t>
      </w:r>
      <w:r w:rsidR="004C7441" w:rsidRPr="00E10230">
        <w:rPr>
          <w:rFonts w:ascii="Book Antiqua" w:hAnsi="Book Antiqua" w:cs="Arial"/>
          <w:sz w:val="24"/>
          <w:szCs w:val="24"/>
        </w:rPr>
        <w:t>s bacterial peritonitis (SBP).</w:t>
      </w:r>
    </w:p>
    <w:p w14:paraId="2E90A299" w14:textId="77777777" w:rsidR="00704241" w:rsidRPr="00E10230" w:rsidRDefault="00704241" w:rsidP="00E10230">
      <w:pPr>
        <w:spacing w:after="0" w:line="360" w:lineRule="auto"/>
        <w:jc w:val="both"/>
        <w:rPr>
          <w:rFonts w:ascii="Book Antiqua" w:hAnsi="Book Antiqua" w:cs="Arial"/>
          <w:sz w:val="24"/>
          <w:szCs w:val="24"/>
        </w:rPr>
      </w:pPr>
    </w:p>
    <w:p w14:paraId="7DBA9940" w14:textId="78C651A8" w:rsidR="00704241" w:rsidRPr="00E10230" w:rsidRDefault="00704241" w:rsidP="00E10230">
      <w:pPr>
        <w:spacing w:after="0" w:line="360" w:lineRule="auto"/>
        <w:jc w:val="both"/>
        <w:rPr>
          <w:rFonts w:ascii="Book Antiqua" w:hAnsi="Book Antiqua" w:cs="Arial"/>
          <w:b/>
          <w:sz w:val="24"/>
          <w:szCs w:val="24"/>
        </w:rPr>
      </w:pPr>
      <w:r w:rsidRPr="00E10230">
        <w:rPr>
          <w:rFonts w:ascii="Book Antiqua" w:hAnsi="Book Antiqua" w:cs="Arial"/>
          <w:b/>
          <w:sz w:val="24"/>
          <w:szCs w:val="24"/>
        </w:rPr>
        <w:t>M</w:t>
      </w:r>
      <w:r w:rsidR="001B63C5" w:rsidRPr="00E10230">
        <w:rPr>
          <w:rFonts w:ascii="Book Antiqua" w:hAnsi="Book Antiqua" w:cs="Arial"/>
          <w:b/>
          <w:sz w:val="24"/>
          <w:szCs w:val="24"/>
        </w:rPr>
        <w:t>ATER</w:t>
      </w:r>
      <w:r w:rsidR="004C7441" w:rsidRPr="00E10230">
        <w:rPr>
          <w:rFonts w:ascii="Book Antiqua" w:eastAsiaTheme="minorEastAsia" w:hAnsi="Book Antiqua" w:cs="Arial"/>
          <w:b/>
          <w:sz w:val="24"/>
          <w:szCs w:val="24"/>
          <w:lang w:eastAsia="zh-CN"/>
        </w:rPr>
        <w:t>I</w:t>
      </w:r>
      <w:r w:rsidR="001B63C5" w:rsidRPr="00E10230">
        <w:rPr>
          <w:rFonts w:ascii="Book Antiqua" w:hAnsi="Book Antiqua" w:cs="Arial"/>
          <w:b/>
          <w:sz w:val="24"/>
          <w:szCs w:val="24"/>
        </w:rPr>
        <w:t>ALS AND METHODS</w:t>
      </w:r>
    </w:p>
    <w:p w14:paraId="7A962C00" w14:textId="6EEEC4CF" w:rsidR="00704241" w:rsidRPr="00E10230" w:rsidRDefault="00704241" w:rsidP="00E10230">
      <w:pPr>
        <w:spacing w:after="0" w:line="360" w:lineRule="auto"/>
        <w:jc w:val="both"/>
        <w:rPr>
          <w:rFonts w:ascii="Book Antiqua" w:hAnsi="Book Antiqua" w:cs="Arial"/>
          <w:b/>
          <w:i/>
          <w:sz w:val="24"/>
          <w:szCs w:val="24"/>
        </w:rPr>
      </w:pPr>
      <w:r w:rsidRPr="00E10230">
        <w:rPr>
          <w:rFonts w:ascii="Book Antiqua" w:hAnsi="Book Antiqua" w:cs="Arial"/>
          <w:b/>
          <w:i/>
          <w:sz w:val="24"/>
          <w:szCs w:val="24"/>
        </w:rPr>
        <w:t xml:space="preserve">Data </w:t>
      </w:r>
      <w:r w:rsidR="004C7441" w:rsidRPr="00E10230">
        <w:rPr>
          <w:rFonts w:ascii="Book Antiqua" w:hAnsi="Book Antiqua" w:cs="Arial"/>
          <w:b/>
          <w:i/>
          <w:sz w:val="24"/>
          <w:szCs w:val="24"/>
        </w:rPr>
        <w:t>sources</w:t>
      </w:r>
    </w:p>
    <w:p w14:paraId="6E22F0A9" w14:textId="78F59957" w:rsidR="00704241" w:rsidRPr="00E10230" w:rsidRDefault="00704241" w:rsidP="00E10230">
      <w:pPr>
        <w:spacing w:after="0" w:line="360" w:lineRule="auto"/>
        <w:jc w:val="both"/>
        <w:rPr>
          <w:rFonts w:ascii="Book Antiqua" w:hAnsi="Book Antiqua" w:cs="Arial"/>
          <w:sz w:val="24"/>
          <w:szCs w:val="24"/>
        </w:rPr>
      </w:pPr>
      <w:r w:rsidRPr="00E10230">
        <w:rPr>
          <w:rFonts w:ascii="Book Antiqua" w:hAnsi="Book Antiqua" w:cs="Arial"/>
          <w:sz w:val="24"/>
          <w:szCs w:val="24"/>
        </w:rPr>
        <w:lastRenderedPageBreak/>
        <w:t xml:space="preserve">National Inpatient Sample (NIS), the largest all-payer database of inpatient care in the </w:t>
      </w:r>
      <w:r w:rsidR="004C7441" w:rsidRPr="00E10230">
        <w:rPr>
          <w:rFonts w:ascii="Book Antiqua" w:eastAsiaTheme="minorEastAsia" w:hAnsi="Book Antiqua" w:cs="Arial"/>
          <w:sz w:val="24"/>
          <w:szCs w:val="24"/>
          <w:lang w:eastAsia="zh-CN"/>
        </w:rPr>
        <w:t>United States</w:t>
      </w:r>
      <w:r w:rsidRPr="00E10230">
        <w:rPr>
          <w:rFonts w:ascii="Book Antiqua" w:hAnsi="Book Antiqua" w:cs="Arial"/>
          <w:sz w:val="24"/>
          <w:szCs w:val="24"/>
        </w:rPr>
        <w:t>, from the Healthcare Cost and Utilization Project (HCUP) published by the Agency for Healthcare Research and Quality, contains data from over 7-million hospital discharges each year from over 1000 hospitals and is weighted to produce national estimates</w:t>
      </w:r>
      <w:r w:rsidR="004C7441" w:rsidRPr="00E10230">
        <w:rPr>
          <w:rFonts w:ascii="Book Antiqua" w:hAnsi="Book Antiqua" w:cs="Arial"/>
          <w:sz w:val="24"/>
          <w:szCs w:val="24"/>
        </w:rPr>
        <w:fldChar w:fldCharType="begin" w:fldLock="1"/>
      </w:r>
      <w:r w:rsidR="004C7441" w:rsidRPr="00E10230">
        <w:rPr>
          <w:rFonts w:ascii="Book Antiqua" w:hAnsi="Book Antiqua" w:cs="Arial"/>
          <w:sz w:val="24"/>
          <w:szCs w:val="24"/>
        </w:rPr>
        <w:instrText>ADDIN CSL_CITATION {"citationItems":[{"id":"ITEM-1","itemData":{"ISBN":"1587631857","URL":"https://hcupnet.ahrq.gov/. For more information about HCUP data see http://www.hcup-us.ahrq.gov/","accessed":{"date-parts":[["2017","11","15"]]},"author":[{"dropping-particle":"","family":"Agency for Healthcare Research and Quality","given":"","non-dropping-particle":"","parse-names":false,"suffix":""}],"container-title":"Healthcare Cost and Utilization Project (HCUP)","id":"ITEM-1","issued":{"date-parts":[["0"]]},"title":"Healthcare Cost and Utilization Project","type":"webpage"},"uris":["http://www.mendeley.com/documents/?uuid=ae6b7b60-c0a4-41b9-9370-17b92ccd2218"]}],"mendeley":{"formattedCitation":"&lt;sup&gt;[11]&lt;/sup&gt;","plainTextFormattedCitation":"[11]","previouslyFormattedCitation":"&lt;sup&gt;[11]&lt;/sup&gt;"},"properties":{"noteIndex":0},"schema":"https://github.com/citation-style-language/schema/raw/master/csl-citation.json"}</w:instrText>
      </w:r>
      <w:r w:rsidR="004C7441" w:rsidRPr="00E10230">
        <w:rPr>
          <w:rFonts w:ascii="Book Antiqua" w:hAnsi="Book Antiqua" w:cs="Arial"/>
          <w:sz w:val="24"/>
          <w:szCs w:val="24"/>
        </w:rPr>
        <w:fldChar w:fldCharType="separate"/>
      </w:r>
      <w:r w:rsidR="004C7441" w:rsidRPr="00E10230">
        <w:rPr>
          <w:rFonts w:ascii="Book Antiqua" w:hAnsi="Book Antiqua" w:cs="Arial"/>
          <w:noProof/>
          <w:sz w:val="24"/>
          <w:szCs w:val="24"/>
          <w:vertAlign w:val="superscript"/>
        </w:rPr>
        <w:t>[11]</w:t>
      </w:r>
      <w:r w:rsidR="004C7441" w:rsidRPr="00E10230">
        <w:rPr>
          <w:rFonts w:ascii="Book Antiqua" w:hAnsi="Book Antiqua" w:cs="Arial"/>
          <w:sz w:val="24"/>
          <w:szCs w:val="24"/>
        </w:rPr>
        <w:fldChar w:fldCharType="end"/>
      </w:r>
      <w:r w:rsidRPr="00E10230">
        <w:rPr>
          <w:rFonts w:ascii="Book Antiqua" w:hAnsi="Book Antiqua" w:cs="Arial"/>
          <w:sz w:val="24"/>
          <w:szCs w:val="24"/>
        </w:rPr>
        <w:t>. The HCUP validates the NIS for biases by comparing it with o</w:t>
      </w:r>
      <w:r w:rsidR="004C7441" w:rsidRPr="00E10230">
        <w:rPr>
          <w:rFonts w:ascii="Book Antiqua" w:hAnsi="Book Antiqua" w:cs="Arial"/>
          <w:sz w:val="24"/>
          <w:szCs w:val="24"/>
        </w:rPr>
        <w:t>ther population-based data sets</w:t>
      </w:r>
      <w:r w:rsidR="00923D98" w:rsidRPr="00E10230">
        <w:rPr>
          <w:rFonts w:ascii="Book Antiqua" w:hAnsi="Book Antiqua" w:cs="Arial"/>
          <w:sz w:val="24"/>
          <w:szCs w:val="24"/>
        </w:rPr>
        <w:fldChar w:fldCharType="begin" w:fldLock="1"/>
      </w:r>
      <w:r w:rsidR="00DC4477" w:rsidRPr="00E10230">
        <w:rPr>
          <w:rFonts w:ascii="Book Antiqua" w:hAnsi="Book Antiqua" w:cs="Arial"/>
          <w:sz w:val="24"/>
          <w:szCs w:val="24"/>
        </w:rPr>
        <w:instrText>ADDIN CSL_CITATION {"citationItems":[{"id":"ITEM-1","itemData":{"URL":"http://www.hcup-us.ahrq.gov/reports/%0Amethods.jsp","accessed":{"date-parts":[["2018","1","26"]]},"author":[{"dropping-particle":"","family":"Agency for Healthcare Research and Quality","given":"","non-dropping-particle":"","parse-names":false,"suffix":""}],"container-title":"Healthcare Cost and Utilization Project (HCUP)","id":"ITEM-1","issued":{"date-parts":[["2011"]]},"title":"Healthcare cost and utilization project methods series.","type":"webpage"},"uris":["http://www.mendeley.com/documents/?uuid=85b5a8e0-5860-4220-823b-902146251505"]}],"mendeley":{"formattedCitation":"&lt;sup&gt;[12]&lt;/sup&gt;","plainTextFormattedCitation":"[12]","previouslyFormattedCitation":"&lt;sup&gt;[12]&lt;/sup&gt;"},"properties":{"noteIndex":0},"schema":"https://github.com/citation-style-language/schema/raw/master/csl-citation.json"}</w:instrText>
      </w:r>
      <w:r w:rsidR="00923D98" w:rsidRPr="00E10230">
        <w:rPr>
          <w:rFonts w:ascii="Book Antiqua" w:hAnsi="Book Antiqua" w:cs="Arial"/>
          <w:sz w:val="24"/>
          <w:szCs w:val="24"/>
        </w:rPr>
        <w:fldChar w:fldCharType="separate"/>
      </w:r>
      <w:r w:rsidR="00E84094" w:rsidRPr="00E10230">
        <w:rPr>
          <w:rFonts w:ascii="Book Antiqua" w:hAnsi="Book Antiqua" w:cs="Arial"/>
          <w:noProof/>
          <w:sz w:val="24"/>
          <w:szCs w:val="24"/>
          <w:vertAlign w:val="superscript"/>
        </w:rPr>
        <w:t>[12]</w:t>
      </w:r>
      <w:r w:rsidR="00923D98" w:rsidRPr="00E10230">
        <w:rPr>
          <w:rFonts w:ascii="Book Antiqua" w:hAnsi="Book Antiqua" w:cs="Arial"/>
          <w:sz w:val="24"/>
          <w:szCs w:val="24"/>
        </w:rPr>
        <w:fldChar w:fldCharType="end"/>
      </w:r>
      <w:r w:rsidRPr="00E10230">
        <w:rPr>
          <w:rFonts w:ascii="Book Antiqua" w:hAnsi="Book Antiqua" w:cs="Arial"/>
          <w:sz w:val="24"/>
          <w:szCs w:val="24"/>
        </w:rPr>
        <w:t xml:space="preserve"> and NIS data have been utilized and published in the past</w:t>
      </w:r>
      <w:r w:rsidR="004C7441" w:rsidRPr="00E10230">
        <w:rPr>
          <w:rFonts w:ascii="Book Antiqua" w:hAnsi="Book Antiqua" w:cs="Arial"/>
          <w:sz w:val="24"/>
          <w:szCs w:val="24"/>
        </w:rPr>
        <w:fldChar w:fldCharType="begin" w:fldLock="1"/>
      </w:r>
      <w:r w:rsidR="004C7441" w:rsidRPr="00E10230">
        <w:rPr>
          <w:rFonts w:ascii="Book Antiqua" w:hAnsi="Book Antiqua" w:cs="Arial"/>
          <w:sz w:val="24"/>
          <w:szCs w:val="24"/>
        </w:rPr>
        <w:instrText>ADDIN CSL_CITATION {"citationItems":[{"id":"ITEM-1","itemData":{"DOI":"10.1002/hep.28812","ISSN":"1527-3350","PMID":"27696493","abstract":"Acute on chronic liver failure (ACLF) is associated with multisystem organ failure and poor prognosis in hospitalized patients with cirrhosis. We aimed to determine time trends in the epidemiology, economic burden, and mortality of ACLF in the United States. The National Inpatient Sample database was queried between 2001 and 2011. ACLF was defined as two or more extrahepatic organ failures in patients with cirrhosis. The primary outcomes were trends in hospitalizations, hospital costs, and inpatient mortality. The number of hospitalizations for cirrhosis in the United States nearly doubled from 371,000 in 2001 to 659,000 in 2011. The prevalence of ACLF among those hospitalizations increased from 1.5% (n = 5,400) to 5% (n = 32,300). The inpatient costs increased 2-fold for cirrhosis ($4.8 billion to $9.8 billion) and 5-fold ($320 million to $1.7 billion) for ACLF. In 2011, the cost per hospitalization for ACLF was 3.5-fold higher than that for cirrhosis ($53,570 versus $15,193). The in-hospital fatality rates decreased from 65% to 50% for ACLF and from 10% to 7% for cirrhosis. The organ failure trends in ACLF showed an increasing proportion of cardiovascular and cerebral and decreasing proportion of respiratory and renal failure. Age, male sex, and the number and types of organ failure were predictors of death in ACLF. CONCLUSION Cirrhosis and ACLF represent a substantial and increasing health and economic burden in the United States; these data highlight an urgent need for research on pathophysiological mechanisms and effective therapy as well as for education of health care providers of its importance in the care of patients with cirrhosis. (Hepatology 2016;64:2165-2172).","author":[{"dropping-particle":"","family":"Allen","given":"Alina M","non-dropping-particle":"","parse-names":false,"suffix":""},{"dropping-particle":"","family":"Kim","given":"W Ray","non-dropping-particle":"","parse-names":false,"suffix":""},{"dropping-particle":"","family":"Moriarty","given":"James P","non-dropping-particle":"","parse-names":false,"suffix":""},{"dropping-particle":"","family":"Shah","given":"Nilay D","non-dropping-particle":"","parse-names":false,"suffix":""},{"dropping-particle":"","family":"Larson","given":"Joseph J","non-dropping-particle":"","parse-names":false,"suffix":""},{"dropping-particle":"","family":"Kamath","given":"Patrick S","non-dropping-particle":"","parse-names":false,"suffix":""}],"container-title":"Hepatology (Baltimore, Md.)","id":"ITEM-1","issue":"6","issued":{"date-parts":[["2016"]]},"page":"2165-2172","title":"Time trends in the health care burden and mortality of acute on chronic liver failure in the United States.","type":"article-journal","volume":"64"},"uris":["http://www.mendeley.com/documents/?uuid=04c4c823-156e-4b3d-acc4-8ec2a18441fc"]},{"id":"ITEM-2","itemData":{"DOI":"10.1111/j.1572-0241.2007.01658.x","ISSN":"0002-9270","PMID":"18047541","abstract":"OBJECTIVES Gastroparesis is an increasingly recognized disorder. Its prevalence in the United States is unknown. We examined the trends, characteristics, and outcomes of gastroparesis-related hospitalizations during 1995-2004. METHODS The publicly available Healthcare Cost and Utilization Project (HCUP) Nationwide Inpatient Sample (NIS) comprises a nationally representative sample of 5-8 million hospitalizations per year. Gastroparesis-related hospitalizations were identified using the International Classification of Diseases (ICD-9) code 536.3 and compared with other hospitalizations. Multivariate regressions were used to compare for differences in the outcomes including length of stay, total charges, and in-hospital deaths. RESULTS Hospitalizations with gastroparesis as the primary diagnosis increased from 3,977 in 1995 to 10,252 in 2004 (+158%) and hospitalizations with gastroparesis as the secondary diagnosis increased from 56,726 to 134,146 (+136%). These compared to smaller changes in diabetes-related hospitalizations (+53%), all hospitalizations (+13%), and hospitalizations with gastroesophageal reflux disease (GERD), gastric ulcer, gastritis, or nonspecific nausea/vomiting as the primary diagnosis (-3% to +76%). Of the five upper gastrointestinal conditions studied as the primary diagnosis, gastroparesis had the longest length of stay (+15.4% to +66.2%, all P &lt; 0.001) and the highest or second highest total charges (-7.2% to +60.6%, all P &lt; 0.01) in 2004, with similar results in 1995. CONCLUSIONS The number of gastroparesis-related hospitalizations has been increasing in the United States, suggesting an increasing prevalence of gastroparesis. The economic impact of gastroparesis-related hospitalizations is significant and increasing.","author":[{"dropping-particle":"","family":"Wang","given":"Yize R","non-dropping-particle":"","parse-names":false,"suffix":""},{"dropping-particle":"","family":"Fisher","given":"Robert S","non-dropping-particle":"","parse-names":false,"suffix":""},{"dropping-particle":"","family":"Parkman","given":"Henry P","non-dropping-particle":"","parse-names":false,"suffix":""}],"container-title":"The American journal of gastroenterology","id":"ITEM-2","issue":"2","issued":{"date-parts":[["2008","2"]]},"page":"313-22","title":"Gastroparesis-related hospitalizations in the United States: trends, characteristics, and outcomes, 1995-2004.","type":"article-journal","volume":"103"},"uris":["http://www.mendeley.com/documents/?uuid=92ff080b-1408-4e2a-97e4-ead592b9a0d3"]},{"id":"ITEM-3","itemData":{"DOI":"10.1097/SLA.0000000000001511","ISSN":"1528-1140","PMID":"26501705","abstract":"OBJECTIVE To compare incremental costs associated with complications of elective colectomy using nationally representative data among patients undergoing laparoscopic/open resections for the 4 most frequent diagnoses. SUMMARY BACKGROUND DATA Rising healthcare costs have led to increasing focus on the need to achieve a better understanding of the association between costs and quality. Among elective colectomies, a focus of surgical quality-improvement initiatives, interpretable evidence to support existing approaches is lacking. METHODS The 2009 to 2011 Nationwide Inpatient Sample (NIS) data were queried for adult (≥18 years) patients undergoing elective colectomy. Patients with primary diagnoses for colon cancer, diverticular disease, benign colonic neoplasm, and ulcerative colitis/regional enteritis were included. Based on system-based complications considered relevant to long-term treatment of elective colectomy, stratified differences in risk-adjusted incremental hospital costs and complications probabilities were compared. RESULTS A total of 68,462 patients were included, weighted to represent 337,887 patients nationwide. A total of 16.4% experienced complications. Annual risk-adjusted incremental costs amounted to &gt;$150 million. Magnitudes of complication prevalences/costs varied by primary diagnosis, operative technique, and complication group. Infectious complications contributed the most ($55 million), followed by gastrointestinal ($53 million), pulmonary ($22 million), and cardiovascular ($11 million) complications. Total annual costs for elective colectomies amounted to &gt;$1.7 billion: 11.3% was due to complications [1.9% due to current Centers for Medicare and Medicaid Services (CMS) complications]. CONCLUSIONS The results highlight a need to consider the varied/broad impact of complications, offering a stratified paradigm for priority setting in surgery. As we move forward in the development of novel/adaptation of existing interventions, it will be essential to weigh the cost of complications in an evidence-based way.","author":[{"dropping-particle":"","family":"Zogg","given":"Cheryl K","non-dropping-particle":"","parse-names":false,"suffix":""},{"dropping-particle":"","family":"Najjar","given":"Peter","non-dropping-particle":"","parse-names":false,"suffix":""},{"dropping-particle":"","family":"Diaz","given":"Arturo J Rios","non-dropping-particle":"","parse-names":false,"suffix":""},{"dropping-particle":"","family":"Zogg","given":"Donald L","non-dropping-particle":"","parse-names":false,"suffix":""},{"dropping-particle":"","family":"Tsai","given":"Thomas C","non-dropping-particle":"","parse-names":false,"suffix":""},{"dropping-particle":"","family":"Rose","given":"John A","non-dropping-particle":"","parse-names":false,"suffix":""},{"dropping-particle":"","family":"Scott","given":"John W","non-dropping-particle":"","parse-names":false,"suffix":""},{"dropping-particle":"","family":"Gani","given":"Faiz","non-dropping-particle":"","parse-names":false,"suffix":""},{"dropping-particle":"","family":"Alshaikh","given":"Husain","non-dropping-particle":"","parse-names":false,"suffix":""},{"dropping-particle":"","family":"Canner","given":"Joseph K","non-dropping-particle":"","parse-names":false,"suffix":""},{"dropping-particle":"","family":"Schneider","given":"Eric B","non-dropping-particle":"","parse-names":false,"suffix":""},{"dropping-particle":"","family":"Goldberg","given":"Joel E","non-dropping-particle":"","parse-names":false,"suffix":""},{"dropping-particle":"","family":"Haider","given":"Adil H","non-dropping-particle":"","parse-names":false,"suffix":""}],"container-title":"Annals of surgery","id":"ITEM-3","issue":"2","issued":{"date-parts":[["2016"]]},"page":"312-22","title":"Rethinking Priorities: Cost of Complications After Elective Colectomy.","type":"article-journal","volume":"264"},"uris":["http://www.mendeley.com/documents/?uuid=0bf64061-ff48-4cb5-a0c9-497962ba4ca4"]},{"id":"ITEM-4","itemData":{"DOI":"10.3748/wjg.v19.i45.8301","ISBN":"2219-2840 (Electronic)\\r1007-9327 (Linking)","ISSN":"10079327","PMID":"24363521","abstract":"AIM To explore associations between nonalcoholic fatty liver disease (NAFLD) and benign gastrointestinal and pancreato-biliary disorders. METHODS Patient demographics, diagnoses, and hospital outcomes from the 2010 Nationwide Inpatient Sample were analyzed. Chronic liver diseases were identified using International Classification of Diseases, the 9(th) Revision, Clinical Modification codes. Patients with NAFLD were compared to those with other chronic liver diseases for the endpoints of total hospital charges, disease severity, and hospital mortality. Multivariable stepwise logistic regression analyses to assess for the independent association of demographic, comorbidity, and diagnosis variables with the event of NAFLD (vs other chronic liver diseases) were also performed. RESULTS Of 7800441 discharge records, 32347 (0.4%) and 271049 (3.5%) included diagnoses of NAFLD and other chronic liver diseases, respectively. NAFLD patients were younger (average 52.3 years vs 55.3 years), more often female (58.8% vs 41.6%), less often black (9.6% vs 18.6%), and were from higher income areas (23.7% vs 17.7%) compared to counterparts with other chronic liver diseases (all P &lt; 0.0001). Diabetes mellitus (43.4% vs 28.9%), hypertension (56.9% vs 47.6%), morbid obesity (36.9% vs 8.0%), dyslipidemia (37.9% vs 15.6%), and the metabolic syndrome (28.75% vs 8.8%) were all more common among NAFLD patients (all P &lt; 0.0001). The average total hospital charge ($39607 vs $51665), disease severity scores, and intra-hospital mortality (0.9% vs 6.0%) were lower among NALFD patients compared to those with other chronic liver diseases (all P &lt; 0.0001).Compared with other chronic liver diseases, NAFLD was significantly associated with diverticular disorders [OR = 4.26 (3.89-4.67)], inflammatory bowel diseases [OR = 3.64 (3.10-4.28)], gallstone related diseases [OR = 3.59 (3.40-3.79)], and benign pancreatitis [OR = 2.95 (2.79-3.12)] on multivariable logistic regression (all P &lt; 0.0001) when the latter disorders were the principal diagnoses on hospital discharge. Similar relationships were observed when the latter disorders were associated diagnoses on hospital discharge. CONCLUSION NAFLD is associated with diverticular, inflammatory bowel, gallstone, and benign pancreatitis disorders. Compared with other liver diseases, patients with NAFLD have lower hospital charges and mortality.","author":[{"dropping-particle":"","family":"Reddy","given":"Srinevas K.","non-dropping-particle":"","parse-names":false,"suffix":""},{"dropping-particle":"","family":"Zhan","given":"Min","non-dropping-particle":"","parse-names":false,"suffix":""},{"dropping-particle":"","family":"Alexander","given":"H. Richard","non-dropping-particle":"","parse-names":false,"suffix":""},{"dropping-particle":"","family":"El-Kamary","given":"Samer S.","non-dropping-particle":"","parse-names":false,"suffix":""}],"container-title":"World Journal of Gastroenterology","id":"ITEM-4","issue":"45","issued":{"date-parts":[["2013"]]},"page":"8301-8311","title":"Nonalcoholic fatty liver disease is associated with benign gastrointestinal disorders","type":"article-journal","volume":"19"},"uris":["http://www.mendeley.com/documents/?uuid=b3a8d60d-9cfb-4bb1-8c25-baeafbc9a379"]},{"id":"ITEM-5","itemData":{"DOI":"10.4254/wjh.v9.i12.595","ISSN":"19485182","PMID":"28515845","abstract":"© 2017. Baishideng Publishing Group Inc. All rights reserved. Aim: To study mortality, length of stay, and total charges in morbidly obese adults during index hospitalization for orthotopic liver transplantation. Methods: The Nationwide Inpatient Sample was queried to obtain demographics, healthcare utilization, post orthotopic liver transplantation (OLT) complications, and short term outcomes of OLT performed from 2003 to 2011 (n = 46509). We divided patients into those with [body mass index (BMI) ≥ 40] and without (BMI &lt; 40) morbid obesity. Multivariable logistic regression analysis was performed to characterize differences in in-hospital mortality, length of stay (LOS), and charges for OLT between patients with and without morbid obesity after adjusting for significant confounders. Additionally, propensity matching was performed to further validate the results. Results: Of the 46509 patients who underwent OLT during the study period, 818 (1.8%) were morbidly obese. Morbidly obese recipients were more likely to be female (46.8% vs 33.4%, P = 0.002), Caucasian (75.2% vs 67.8%, P = 0.002), in the low national income quartile (32.3% vs 22.5%, P = 0.04), and have ≥ 3 comorbidities (modified Elixhauser index; 83.9% vs 45.0%, P &lt; 0.001). Morbidly obese patient also had an increase in procedure related hemorrhage (P = 0.028) and respiratory complications (P = 0.043). Multivariate and propensity matched analysis showed no difference in mortality (OR: 0.70; 95%CI: 0.27-1.84, P = 0.47), LOS (B: -4.44; 95%CI: -9.93, 1.05, P = 0.11) and charges for transplantation (B: $15693; 95%CI: -51622-83008, P = 0.64) between the two groups. Morbidly obese patients were more likely to have transplants on weekdays (81.7%) as compared to those without morbid obesity (75.4%, P = 0.029). Conclusion: Morbid obesity may not impact in-hospital mortality and health care utilization in OLT recipients. However, morbidly obese patients may be selected after careful assessment of co-morbidities.","author":[{"dropping-particle":"","family":"Peck","given":"Joshua R.","non-dropping-particle":"","parse-names":false,"suffix":""},{"dropping-particle":"","family":"Latchana","given":"Nicholas","non-dropping-particle":"","parse-names":false,"suffix":""},{"dropping-particle":"","family":"Michaels","given":"Anthony","non-dropping-particle":"","parse-names":false,"suffix":""},{"dropping-particle":"","family":"Hanje","given":"Adam J.","non-dropping-particle":"","parse-names":false,"suffix":""},{"dropping-particle":"","family":"Hinton","given":"Alice","non-dropping-particle":"","parse-names":false,"suffix":""},{"dropping-particle":"","family":"Elkhammas","given":"Elmahdi A.","non-dropping-particle":"","parse-names":false,"suffix":""},{"dropping-particle":"","family":"Black","given":"Sylvester M.","non-dropping-particle":"","parse-names":false,"suffix":""},{"dropping-particle":"","family":"Mumtaz","given":"Khalid","non-dropping-particle":"","parse-names":false,"suffix":""}],"container-title":"World Journal of Hepatology","id":"ITEM-5","issue":"12","issued":{"date-parts":[["2017"]]},"page":"595-602","title":"Diagnosis of morbid obesity may not impact healthcare utilization for orthotopic liver transplantation: A propensity matched study","type":"article-journal","volume":"9"},"uris":["http://www.mendeley.com/documents/?uuid=ed820bab-d258-4232-b7c7-a8b58f603bf1"]}],"mendeley":{"formattedCitation":"&lt;sup&gt;[13–17]&lt;/sup&gt;","plainTextFormattedCitation":"[13–17]","previouslyFormattedCitation":"&lt;sup&gt;[13–17]&lt;/sup&gt;"},"properties":{"noteIndex":0},"schema":"https://github.com/citation-style-language/schema/raw/master/csl-citation.json"}</w:instrText>
      </w:r>
      <w:r w:rsidR="004C7441" w:rsidRPr="00E10230">
        <w:rPr>
          <w:rFonts w:ascii="Book Antiqua" w:hAnsi="Book Antiqua" w:cs="Arial"/>
          <w:sz w:val="24"/>
          <w:szCs w:val="24"/>
        </w:rPr>
        <w:fldChar w:fldCharType="separate"/>
      </w:r>
      <w:r w:rsidR="004C7441" w:rsidRPr="00E10230">
        <w:rPr>
          <w:rFonts w:ascii="Book Antiqua" w:hAnsi="Book Antiqua" w:cs="Arial"/>
          <w:noProof/>
          <w:sz w:val="24"/>
          <w:szCs w:val="24"/>
          <w:vertAlign w:val="superscript"/>
        </w:rPr>
        <w:t>[13–17]</w:t>
      </w:r>
      <w:r w:rsidR="004C7441" w:rsidRPr="00E10230">
        <w:rPr>
          <w:rFonts w:ascii="Book Antiqua" w:hAnsi="Book Antiqua" w:cs="Arial"/>
          <w:sz w:val="24"/>
          <w:szCs w:val="24"/>
        </w:rPr>
        <w:fldChar w:fldCharType="end"/>
      </w:r>
      <w:r w:rsidRPr="00E10230">
        <w:rPr>
          <w:rFonts w:ascii="Book Antiqua" w:hAnsi="Book Antiqua" w:cs="Arial"/>
          <w:sz w:val="24"/>
          <w:szCs w:val="24"/>
        </w:rPr>
        <w:t>. There was a change in sampling methods in 2012, but the collection date was adjusted for this change</w:t>
      </w:r>
      <w:r w:rsidR="004C7441" w:rsidRPr="00E10230">
        <w:rPr>
          <w:rFonts w:ascii="Book Antiqua" w:hAnsi="Book Antiqua" w:cs="Arial"/>
          <w:sz w:val="24"/>
          <w:szCs w:val="24"/>
        </w:rPr>
        <w:fldChar w:fldCharType="begin" w:fldLock="1"/>
      </w:r>
      <w:r w:rsidR="004C7441" w:rsidRPr="00E10230">
        <w:rPr>
          <w:rFonts w:ascii="Book Antiqua" w:hAnsi="Book Antiqua" w:cs="Arial"/>
          <w:sz w:val="24"/>
          <w:szCs w:val="24"/>
        </w:rPr>
        <w:instrText>ADDIN CSL_CITATION {"citationItems":[{"id":"ITEM-1","itemData":{"ISBN":"1587631857","URL":"https://hcupnet.ahrq.gov/. For more information about HCUP data see http://www.hcup-us.ahrq.gov/","accessed":{"date-parts":[["2017","11","15"]]},"author":[{"dropping-particle":"","family":"Agency for Healthcare Research and Quality","given":"","non-dropping-particle":"","parse-names":false,"suffix":""}],"container-title":"Healthcare Cost and Utilization Project (HCUP)","id":"ITEM-1","issued":{"date-parts":[["0"]]},"title":"Healthcare Cost and Utilization Project","type":"webpage"},"uris":["http://www.mendeley.com/documents/?uuid=ae6b7b60-c0a4-41b9-9370-17b92ccd2218"]},{"id":"ITEM-2","itemData":{"DOI":"10.1001/jama.2017.17653","ISSN":"1538-3598","PMID":"29183077","abstract":"Importance Publicly available data sets hold much potential, but their unique design may require specific analytic approaches. Objective To determine adherence to appropriate research practices for a frequently used large public database, the National Inpatient Sample (NIS) of the Agency for Healthcare Research and Quality (AHRQ). Design, Setting, and Participants In this observational study of the 1082 studies published using the NIS from January 2015 through December 2016, a representative sample of 120 studies was systematically evaluated for adherence to practices required by AHRQ for the design and conduct of research using the NIS. Exposures None. Main Outcomes and Measures All studies were evaluated on 7 required research practices based on AHRQ's recommendations and compiled under 3 domains: (1) data interpretation (interpreting data as hospitalization records rather than unique patients); (2) research design (avoiding use in performing state-, hospital-, and physician-level assessments where inappropriate; not using nonspecific administrative secondary diagnosis codes to study in-hospital events); and (3) data analysis (accounting for complex survey design of the NIS and changes in data structure over time). Results Of 120 published studies, 85% (n = 102) did not adhere to 1 or more required practices and 62% (n = 74) did not adhere to 2 or more required practices. An estimated 925 (95% CI, 852-998) NIS publications did not adhere to 1 or more required practices and 696 (95% CI, 596-796) NIS publications did not adhere to 2 or more required practices. A total of 79 sampled studies (68.3% [95% CI, 59.3%-77.3%]) among the 1082 NIS studies screened for eligibility did not account for the effects of sampling error, clustering, and stratification; 62 (54.4% [95% CI, 44.7%-64.0%]) extrapolated nonspecific secondary diagnoses to infer in-hospital events; 45 (40.4% [95% CI, 30.9%-50.0%]) miscategorized hospitalizations as individual patients; 10 (7.1% [95% CI, 2.1%-12.1%]) performed state-level analyses; and 3 (2.9% [95% CI, 0.0%-6.2%]) reported physician-level volume estimates. Of 27 studies (weighted; 218 studies [95% CI, 134-303]) spanning periods of major changes in the data structure of the NIS, 21 (79.7% [95% CI, 62.5%-97.0%]) did not account for the changes. Among the 24 studies published in journals with an impact factor of 10 or greater, 16 (67%) did not adhere to 1 or more practices, and 9 (38%) did not adhere to 2 or more practices. Conclusi…","author":[{"dropping-particle":"","family":"Khera","given":"Rohan","non-dropping-particle":"","parse-names":false,"suffix":""},{"dropping-particle":"","family":"Angraal","given":"Suveen","non-dropping-particle":"","parse-names":false,"suffix":""},{"dropping-particle":"","family":"Couch","given":"Tyler","non-dropping-particle":"","parse-names":false,"suffix":""},{"dropping-particle":"","family":"Welsh","given":"John W","non-dropping-particle":"","parse-names":false,"suffix":""},{"dropping-particle":"","family":"Nallamothu","given":"Brahmajee K","non-dropping-particle":"","parse-names":false,"suffix":""},{"dropping-particle":"","family":"Girotra","given":"Saket","non-dropping-particle":"","parse-names":false,"suffix":""},{"dropping-particle":"","family":"Chan","given":"Paul S","non-dropping-particle":"","parse-names":false,"suffix":""},{"dropping-particle":"","family":"Krumholz","given":"Harlan M","non-dropping-particle":"","parse-names":false,"suffix":""}],"container-title":"JAMA","id":"ITEM-2","issue":"20","issued":{"date-parts":[["2017"]]},"page":"2011-2018","title":"Adherence to Methodological Standards in Research Using the National Inpatient Sample.","type":"article-journal","volume":"318"},"uris":["http://www.mendeley.com/documents/?uuid=527cf817-f9d2-4066-9161-f06758c1f545"]}],"mendeley":{"formattedCitation":"&lt;sup&gt;[11,18]&lt;/sup&gt;","plainTextFormattedCitation":"[11,18]","previouslyFormattedCitation":"&lt;sup&gt;[11,18]&lt;/sup&gt;"},"properties":{"noteIndex":0},"schema":"https://github.com/citation-style-language/schema/raw/master/csl-citation.json"}</w:instrText>
      </w:r>
      <w:r w:rsidR="004C7441" w:rsidRPr="00E10230">
        <w:rPr>
          <w:rFonts w:ascii="Book Antiqua" w:hAnsi="Book Antiqua" w:cs="Arial"/>
          <w:sz w:val="24"/>
          <w:szCs w:val="24"/>
        </w:rPr>
        <w:fldChar w:fldCharType="separate"/>
      </w:r>
      <w:r w:rsidR="004C7441" w:rsidRPr="00E10230">
        <w:rPr>
          <w:rFonts w:ascii="Book Antiqua" w:hAnsi="Book Antiqua" w:cs="Arial"/>
          <w:noProof/>
          <w:sz w:val="24"/>
          <w:szCs w:val="24"/>
          <w:vertAlign w:val="superscript"/>
        </w:rPr>
        <w:t>[11,18]</w:t>
      </w:r>
      <w:r w:rsidR="004C7441" w:rsidRPr="00E10230">
        <w:rPr>
          <w:rFonts w:ascii="Book Antiqua" w:hAnsi="Book Antiqua" w:cs="Arial"/>
          <w:sz w:val="24"/>
          <w:szCs w:val="24"/>
        </w:rPr>
        <w:fldChar w:fldCharType="end"/>
      </w:r>
      <w:r w:rsidRPr="00E10230">
        <w:rPr>
          <w:rFonts w:ascii="Book Antiqua" w:hAnsi="Book Antiqua" w:cs="Arial"/>
          <w:sz w:val="24"/>
          <w:szCs w:val="24"/>
        </w:rPr>
        <w:t>. Data reporting met the NIS data use agreement as established by the HCUP</w:t>
      </w:r>
      <w:r w:rsidR="004C7441" w:rsidRPr="00E10230">
        <w:rPr>
          <w:rFonts w:ascii="Book Antiqua" w:hAnsi="Book Antiqua" w:cs="Arial"/>
          <w:sz w:val="24"/>
          <w:szCs w:val="24"/>
        </w:rPr>
        <w:fldChar w:fldCharType="begin" w:fldLock="1"/>
      </w:r>
      <w:r w:rsidR="004C7441" w:rsidRPr="00E10230">
        <w:rPr>
          <w:rFonts w:ascii="Book Antiqua" w:hAnsi="Book Antiqua" w:cs="Arial"/>
          <w:sz w:val="24"/>
          <w:szCs w:val="24"/>
        </w:rPr>
        <w:instrText>ADDIN CSL_CITATION {"citationItems":[{"id":"ITEM-1","itemData":{"ISBN":"1587631857","URL":"https://hcupnet.ahrq.gov/. For more information about HCUP data see http://www.hcup-us.ahrq.gov/","accessed":{"date-parts":[["2017","11","15"]]},"author":[{"dropping-particle":"","family":"Agency for Healthcare Research and Quality","given":"","non-dropping-particle":"","parse-names":false,"suffix":""}],"container-title":"Healthcare Cost and Utilization Project (HCUP)","id":"ITEM-1","issued":{"date-parts":[["0"]]},"title":"Healthcare Cost and Utilization Project","type":"webpage"},"uris":["http://www.mendeley.com/documents/?uuid=ae6b7b60-c0a4-41b9-9370-17b92ccd2218"]}],"mendeley":{"formattedCitation":"&lt;sup&gt;[11]&lt;/sup&gt;","plainTextFormattedCitation":"[11]","previouslyFormattedCitation":"&lt;sup&gt;[11]&lt;/sup&gt;"},"properties":{"noteIndex":0},"schema":"https://github.com/citation-style-language/schema/raw/master/csl-citation.json"}</w:instrText>
      </w:r>
      <w:r w:rsidR="004C7441" w:rsidRPr="00E10230">
        <w:rPr>
          <w:rFonts w:ascii="Book Antiqua" w:hAnsi="Book Antiqua" w:cs="Arial"/>
          <w:sz w:val="24"/>
          <w:szCs w:val="24"/>
        </w:rPr>
        <w:fldChar w:fldCharType="separate"/>
      </w:r>
      <w:r w:rsidR="004C7441" w:rsidRPr="00E10230">
        <w:rPr>
          <w:rFonts w:ascii="Book Antiqua" w:hAnsi="Book Antiqua" w:cs="Arial"/>
          <w:noProof/>
          <w:sz w:val="24"/>
          <w:szCs w:val="24"/>
          <w:vertAlign w:val="superscript"/>
        </w:rPr>
        <w:t>[11]</w:t>
      </w:r>
      <w:r w:rsidR="004C7441" w:rsidRPr="00E10230">
        <w:rPr>
          <w:rFonts w:ascii="Book Antiqua" w:hAnsi="Book Antiqua" w:cs="Arial"/>
          <w:sz w:val="24"/>
          <w:szCs w:val="24"/>
        </w:rPr>
        <w:fldChar w:fldCharType="end"/>
      </w:r>
      <w:r w:rsidRPr="00E10230">
        <w:rPr>
          <w:rFonts w:ascii="Book Antiqua" w:hAnsi="Book Antiqua" w:cs="Arial"/>
          <w:sz w:val="24"/>
          <w:szCs w:val="24"/>
        </w:rPr>
        <w:t>. Since we utilized publicly-accessible, de-identified administrative level aggregate data, rather than patient-specific data, approval from the institutional review board was not required to conduct the study.</w:t>
      </w:r>
    </w:p>
    <w:p w14:paraId="4D777C8E" w14:textId="77777777" w:rsidR="00704241" w:rsidRPr="00E10230" w:rsidRDefault="00704241" w:rsidP="00E10230">
      <w:pPr>
        <w:spacing w:after="0" w:line="360" w:lineRule="auto"/>
        <w:jc w:val="both"/>
        <w:rPr>
          <w:rFonts w:ascii="Book Antiqua" w:hAnsi="Book Antiqua" w:cs="Arial"/>
          <w:sz w:val="24"/>
          <w:szCs w:val="24"/>
        </w:rPr>
      </w:pPr>
    </w:p>
    <w:p w14:paraId="7BF2227B" w14:textId="1508CA4D" w:rsidR="00704241" w:rsidRPr="00E10230" w:rsidRDefault="00704241" w:rsidP="00E10230">
      <w:pPr>
        <w:spacing w:after="0" w:line="360" w:lineRule="auto"/>
        <w:jc w:val="both"/>
        <w:rPr>
          <w:rFonts w:ascii="Book Antiqua" w:hAnsi="Book Antiqua" w:cs="Arial"/>
          <w:b/>
          <w:i/>
          <w:sz w:val="24"/>
          <w:szCs w:val="24"/>
        </w:rPr>
      </w:pPr>
      <w:r w:rsidRPr="00E10230">
        <w:rPr>
          <w:rFonts w:ascii="Book Antiqua" w:hAnsi="Book Antiqua" w:cs="Arial"/>
          <w:b/>
          <w:i/>
          <w:sz w:val="24"/>
          <w:szCs w:val="24"/>
        </w:rPr>
        <w:t xml:space="preserve">Study </w:t>
      </w:r>
      <w:r w:rsidR="004C7441" w:rsidRPr="00E10230">
        <w:rPr>
          <w:rFonts w:ascii="Book Antiqua" w:hAnsi="Book Antiqua" w:cs="Arial"/>
          <w:b/>
          <w:i/>
          <w:sz w:val="24"/>
          <w:szCs w:val="24"/>
        </w:rPr>
        <w:t>population</w:t>
      </w:r>
    </w:p>
    <w:p w14:paraId="1321D327" w14:textId="278AEC20" w:rsidR="00704241" w:rsidRPr="00E10230" w:rsidRDefault="00704241" w:rsidP="00E10230">
      <w:pPr>
        <w:tabs>
          <w:tab w:val="left" w:pos="2880"/>
        </w:tabs>
        <w:spacing w:after="0" w:line="360" w:lineRule="auto"/>
        <w:jc w:val="both"/>
        <w:rPr>
          <w:rFonts w:ascii="Book Antiqua" w:hAnsi="Book Antiqua" w:cs="Arial"/>
          <w:sz w:val="24"/>
          <w:szCs w:val="24"/>
        </w:rPr>
      </w:pPr>
      <w:r w:rsidRPr="00E10230">
        <w:rPr>
          <w:rFonts w:ascii="Book Antiqua" w:hAnsi="Book Antiqua" w:cs="Arial"/>
          <w:sz w:val="24"/>
          <w:szCs w:val="24"/>
        </w:rPr>
        <w:t>We conducted a retrospective study utilizing the NIS to assess 10 year temporal trends from 2005 to 2014 for total number of discharges, death, mortality, length of stay (LOS), mean charges, aggregate charges, aggregate costs, age, sex, insurance types (Medicare, Medicaid, Private insurance, Uninsured, Other or Missing) and bed size (Small, Medium and Large) related to hospitalization, with a primary diagnosis of HC, TIPS, EV and SBP, using International Classification of Diseases (ICD)-9 codes (HC: 572.2; HC secondary to viral hepatitis: 070.0, 070.20-23, 070.41-44, 070.49, 070.6, 070.71; TIPS: 39.1; EV: 456.0; SBP: 567.23)</w:t>
      </w:r>
      <w:r w:rsidR="004C7441" w:rsidRPr="00E10230">
        <w:rPr>
          <w:rFonts w:ascii="Book Antiqua" w:hAnsi="Book Antiqua" w:cs="Arial"/>
          <w:sz w:val="24"/>
          <w:szCs w:val="24"/>
        </w:rPr>
        <w:fldChar w:fldCharType="begin" w:fldLock="1"/>
      </w:r>
      <w:r w:rsidR="004C7441" w:rsidRPr="00E10230">
        <w:rPr>
          <w:rFonts w:ascii="Book Antiqua" w:hAnsi="Book Antiqua" w:cs="Arial"/>
          <w:sz w:val="24"/>
          <w:szCs w:val="24"/>
        </w:rPr>
        <w:instrText>ADDIN CSL_CITATION {"citationItems":[{"id":"ITEM-1","itemData":{"ISBN":"1587631857","URL":"https://hcupnet.ahrq.gov/. For more information about HCUP data see http://www.hcup-us.ahrq.gov/","accessed":{"date-parts":[["2017","11","15"]]},"author":[{"dropping-particle":"","family":"Agency for Healthcare Research and Quality","given":"","non-dropping-particle":"","parse-names":false,"suffix":""}],"container-title":"Healthcare Cost and Utilization Project (HCUP)","id":"ITEM-1","issued":{"date-parts":[["0"]]},"title":"Healthcare Cost and Utilization Project","type":"webpage"},"uris":["http://www.mendeley.com/documents/?uuid=ae6b7b60-c0a4-41b9-9370-17b92ccd2218"]},{"id":"ITEM-2","itemData":{"DOI":"10.1097/MCG.0b013e3182688d2f","ISSN":"1539-2031","PMID":"23090041","abstract":"BACKGROUND Administrative data are used in clinical research, but the validity of ICD-9 codes to identify cirrhotic patients has not been well established. GOALS To determine the diagnostic accuracy of ICD-9 codes for cirrhosis in clinical practice. STUDY We conducted a retrospective cohort study of patients from a safety-net hospital between 2008 and 2011. Patients were initially identified using ICD-9 codes for cirrhosis or a resultant complication. The gold-standard for diagnosis of cirrhosis was histology and/or imaging based on medical record review. Sensitivity, specificity, positive predictive values, and negative predictive values for each ICD-9 code were calculated. Diagnostic accuracy was assessed by the c-statistic using receiver operator characteristic curve analysis. RESULTS We identified 2893 patients with an ICD-9 code for cirrhosis, of whom 50.2% had 1 ICD-9 code, 20.3% had 2 different codes, and 29.5% had 3 or more codes. Cirrhosis was confirmed in 44.0% of patients with 1 ICD-9 code, 82.6% with 2 codes, and 95.7% of those with at least 3 codes. Ascites had a significantly lower positive predictive values for cirrhosis than other ICD-9 codes (P&lt;0.001). The optimal combination of ICD-9 codes to identify cirrhotic patients included all codes except that of ascites, with a c-statistic of 0.71 in our derivation cohort. The sensitivity of this combination was confirmed to be 98% in a validation cohort of 285 patients with known cirrhosis. CONCLUSIONS Administrative data can identify patients with cirrhosis with high accuracy, although ascites has a significantly lower positive predictive value than other ICD-9 codes.","author":[{"dropping-particle":"","family":"Nehra","given":"Mahendra S","non-dropping-particle":"","parse-names":false,"suffix":""},{"dropping-particle":"","family":"Ma","given":"Ying","non-dropping-particle":"","parse-names":false,"suffix":""},{"dropping-particle":"","family":"Clark","given":"Christopher","non-dropping-particle":"","parse-names":false,"suffix":""},{"dropping-particle":"","family":"Amarasingham","given":"Ruben","non-dropping-particle":"","parse-names":false,"suffix":""},{"dropping-particle":"","family":"Rockey","given":"Don C","non-dropping-particle":"","parse-names":false,"suffix":""},{"dropping-particle":"","family":"Singal","given":"Amit G","non-dropping-particle":"","parse-names":false,"suffix":""}],"container-title":"Journal of clinical gastroenterology","id":"ITEM-2","issue":"5","issued":{"date-parts":[["0"]]},"page":"e50-4","title":"Use of administrative claims data for identifying patients with cirrhosis.","type":"article-journal","volume":"47"},"uris":["http://www.mendeley.com/documents/?uuid=95f4bc94-254b-4edc-ac33-079ca8576605"]}],"mendeley":{"formattedCitation":"&lt;sup&gt;[11,19]&lt;/sup&gt;","plainTextFormattedCitation":"[11,19]","previouslyFormattedCitation":"&lt;sup&gt;[11,19]&lt;/sup&gt;"},"properties":{"noteIndex":0},"schema":"https://github.com/citation-style-language/schema/raw/master/csl-citation.json"}</w:instrText>
      </w:r>
      <w:r w:rsidR="004C7441" w:rsidRPr="00E10230">
        <w:rPr>
          <w:rFonts w:ascii="Book Antiqua" w:hAnsi="Book Antiqua" w:cs="Arial"/>
          <w:sz w:val="24"/>
          <w:szCs w:val="24"/>
        </w:rPr>
        <w:fldChar w:fldCharType="separate"/>
      </w:r>
      <w:r w:rsidR="004C7441" w:rsidRPr="00E10230">
        <w:rPr>
          <w:rFonts w:ascii="Book Antiqua" w:hAnsi="Book Antiqua" w:cs="Arial"/>
          <w:noProof/>
          <w:sz w:val="24"/>
          <w:szCs w:val="24"/>
          <w:vertAlign w:val="superscript"/>
        </w:rPr>
        <w:t>[11,19]</w:t>
      </w:r>
      <w:r w:rsidR="004C7441" w:rsidRPr="00E10230">
        <w:rPr>
          <w:rFonts w:ascii="Book Antiqua" w:hAnsi="Book Antiqua" w:cs="Arial"/>
          <w:sz w:val="24"/>
          <w:szCs w:val="24"/>
        </w:rPr>
        <w:fldChar w:fldCharType="end"/>
      </w:r>
      <w:r w:rsidRPr="00E10230">
        <w:rPr>
          <w:rFonts w:ascii="Book Antiqua" w:hAnsi="Book Antiqua" w:cs="Arial"/>
          <w:sz w:val="24"/>
          <w:szCs w:val="24"/>
        </w:rPr>
        <w:t xml:space="preserve">. </w:t>
      </w:r>
      <w:r w:rsidR="00505F06" w:rsidRPr="00E10230">
        <w:rPr>
          <w:rFonts w:ascii="Book Antiqua" w:hAnsi="Book Antiqua" w:cs="Arial"/>
          <w:sz w:val="24"/>
          <w:szCs w:val="24"/>
        </w:rPr>
        <w:t xml:space="preserve">A primary diagnosis is the main reason why patients are hospitalized, rather than </w:t>
      </w:r>
      <w:r w:rsidR="005E5F57" w:rsidRPr="00E10230">
        <w:rPr>
          <w:rFonts w:ascii="Book Antiqua" w:hAnsi="Book Antiqua" w:cs="Arial"/>
          <w:sz w:val="24"/>
          <w:szCs w:val="24"/>
        </w:rPr>
        <w:t xml:space="preserve">a secondary diagnosis which sometimes used to identify </w:t>
      </w:r>
      <w:r w:rsidR="00505F06" w:rsidRPr="00E10230">
        <w:rPr>
          <w:rFonts w:ascii="Book Antiqua" w:hAnsi="Book Antiqua" w:cs="Arial"/>
          <w:sz w:val="24"/>
          <w:szCs w:val="24"/>
        </w:rPr>
        <w:t xml:space="preserve">continuation of treatment for chronic conditions in the hospital. </w:t>
      </w:r>
      <w:r w:rsidRPr="00E10230">
        <w:rPr>
          <w:rFonts w:ascii="Book Antiqua" w:hAnsi="Book Antiqua" w:cs="Arial"/>
          <w:sz w:val="24"/>
          <w:szCs w:val="24"/>
        </w:rPr>
        <w:t>These ICD-9 codes have been validated in literature except HC secondary to viral hepatitis</w:t>
      </w:r>
      <w:r w:rsidR="004C7441" w:rsidRPr="00E10230">
        <w:rPr>
          <w:rFonts w:ascii="Book Antiqua" w:hAnsi="Book Antiqua" w:cs="Arial"/>
          <w:sz w:val="24"/>
          <w:szCs w:val="24"/>
        </w:rPr>
        <w:fldChar w:fldCharType="begin" w:fldLock="1"/>
      </w:r>
      <w:r w:rsidR="004C7441" w:rsidRPr="00E10230">
        <w:rPr>
          <w:rFonts w:ascii="Book Antiqua" w:hAnsi="Book Antiqua" w:cs="Arial"/>
          <w:sz w:val="24"/>
          <w:szCs w:val="24"/>
        </w:rPr>
        <w:instrText>ADDIN CSL_CITATION {"citationItems":[{"id":"ITEM-1","itemData":{"DOI":"10.1097/MCG.0b013e3182688d2f","ISSN":"1539-2031","PMID":"23090041","abstract":"BACKGROUND Administrative data are used in clinical research, but the validity of ICD-9 codes to identify cirrhotic patients has not been well established. GOALS To determine the diagnostic accuracy of ICD-9 codes for cirrhosis in clinical practice. STUDY We conducted a retrospective cohort study of patients from a safety-net hospital between 2008 and 2011. Patients were initially identified using ICD-9 codes for cirrhosis or a resultant complication. The gold-standard for diagnosis of cirrhosis was histology and/or imaging based on medical record review. Sensitivity, specificity, positive predictive values, and negative predictive values for each ICD-9 code were calculated. Diagnostic accuracy was assessed by the c-statistic using receiver operator characteristic curve analysis. RESULTS We identified 2893 patients with an ICD-9 code for cirrhosis, of whom 50.2% had 1 ICD-9 code, 20.3% had 2 different codes, and 29.5% had 3 or more codes. Cirrhosis was confirmed in 44.0% of patients with 1 ICD-9 code, 82.6% with 2 codes, and 95.7% of those with at least 3 codes. Ascites had a significantly lower positive predictive values for cirrhosis than other ICD-9 codes (P&lt;0.001). The optimal combination of ICD-9 codes to identify cirrhotic patients included all codes except that of ascites, with a c-statistic of 0.71 in our derivation cohort. The sensitivity of this combination was confirmed to be 98% in a validation cohort of 285 patients with known cirrhosis. CONCLUSIONS Administrative data can identify patients with cirrhosis with high accuracy, although ascites has a significantly lower positive predictive value than other ICD-9 codes.","author":[{"dropping-particle":"","family":"Nehra","given":"Mahendra S","non-dropping-particle":"","parse-names":false,"suffix":""},{"dropping-particle":"","family":"Ma","given":"Ying","non-dropping-particle":"","parse-names":false,"suffix":""},{"dropping-particle":"","family":"Clark","given":"Christopher","non-dropping-particle":"","parse-names":false,"suffix":""},{"dropping-particle":"","family":"Amarasingham","given":"Ruben","non-dropping-particle":"","parse-names":false,"suffix":""},{"dropping-particle":"","family":"Rockey","given":"Don C","non-dropping-particle":"","parse-names":false,"suffix":""},{"dropping-particle":"","family":"Singal","given":"Amit G","non-dropping-particle":"","parse-names":false,"suffix":""}],"container-title":"Journal of clinical gastroenterology","id":"ITEM-1","issue":"5","issued":{"date-parts":[["0"]]},"page":"e50-4","title":"Use of administrative claims data for identifying patients with cirrhosis.","type":"article-journal","volume":"47"},"uris":["http://www.mendeley.com/documents/?uuid=95f4bc94-254b-4edc-ac33-079ca8576605"]}],"mendeley":{"formattedCitation":"&lt;sup&gt;[19]&lt;/sup&gt;","plainTextFormattedCitation":"[19]","previouslyFormattedCitation":"&lt;sup&gt;[19]&lt;/sup&gt;"},"properties":{"noteIndex":0},"schema":"https://github.com/citation-style-language/schema/raw/master/csl-citation.json"}</w:instrText>
      </w:r>
      <w:r w:rsidR="004C7441" w:rsidRPr="00E10230">
        <w:rPr>
          <w:rFonts w:ascii="Book Antiqua" w:hAnsi="Book Antiqua" w:cs="Arial"/>
          <w:sz w:val="24"/>
          <w:szCs w:val="24"/>
        </w:rPr>
        <w:fldChar w:fldCharType="separate"/>
      </w:r>
      <w:r w:rsidR="004C7441" w:rsidRPr="00E10230">
        <w:rPr>
          <w:rFonts w:ascii="Book Antiqua" w:hAnsi="Book Antiqua" w:cs="Arial"/>
          <w:noProof/>
          <w:sz w:val="24"/>
          <w:szCs w:val="24"/>
          <w:vertAlign w:val="superscript"/>
        </w:rPr>
        <w:t>[19]</w:t>
      </w:r>
      <w:r w:rsidR="004C7441" w:rsidRPr="00E10230">
        <w:rPr>
          <w:rFonts w:ascii="Book Antiqua" w:hAnsi="Book Antiqua" w:cs="Arial"/>
          <w:sz w:val="24"/>
          <w:szCs w:val="24"/>
        </w:rPr>
        <w:fldChar w:fldCharType="end"/>
      </w:r>
      <w:r w:rsidRPr="00E10230">
        <w:rPr>
          <w:rFonts w:ascii="Book Antiqua" w:hAnsi="Book Antiqua" w:cs="Arial"/>
          <w:sz w:val="24"/>
          <w:szCs w:val="24"/>
        </w:rPr>
        <w:t xml:space="preserve">. </w:t>
      </w:r>
      <w:r w:rsidR="00C61907" w:rsidRPr="00E10230">
        <w:rPr>
          <w:rFonts w:ascii="Book Antiqua" w:hAnsi="Book Antiqua" w:cs="Arial"/>
          <w:sz w:val="24"/>
          <w:szCs w:val="24"/>
        </w:rPr>
        <w:t>Codes for HC secondary to viral hepatitis include acute viral hepatitis resulted in HC. However, if providers used codes for unspecified acute liver failure which resulted in HC from viral hepatitis, our analysis was unable to include these populations due t</w:t>
      </w:r>
      <w:r w:rsidR="004C7441" w:rsidRPr="00E10230">
        <w:rPr>
          <w:rFonts w:ascii="Book Antiqua" w:hAnsi="Book Antiqua" w:cs="Arial"/>
          <w:sz w:val="24"/>
          <w:szCs w:val="24"/>
        </w:rPr>
        <w:t>o lack of specificity of codes.</w:t>
      </w:r>
      <w:r w:rsidR="00C61907" w:rsidRPr="00E10230">
        <w:rPr>
          <w:rFonts w:ascii="Book Antiqua" w:hAnsi="Book Antiqua" w:cs="Arial"/>
          <w:sz w:val="24"/>
          <w:szCs w:val="24"/>
        </w:rPr>
        <w:t xml:space="preserve"> </w:t>
      </w:r>
      <w:r w:rsidRPr="00E10230">
        <w:rPr>
          <w:rFonts w:ascii="Book Antiqua" w:hAnsi="Book Antiqua" w:cs="Arial"/>
          <w:sz w:val="24"/>
          <w:szCs w:val="24"/>
        </w:rPr>
        <w:t xml:space="preserve">As the coding behavior is becoming more specific due to insurance requirement, we expect that inclusion codes related to HC secondary to viral hepatitis </w:t>
      </w:r>
      <w:r w:rsidRPr="00E10230">
        <w:rPr>
          <w:rFonts w:ascii="Book Antiqua" w:hAnsi="Book Antiqua" w:cs="Arial"/>
          <w:sz w:val="24"/>
          <w:szCs w:val="24"/>
        </w:rPr>
        <w:lastRenderedPageBreak/>
        <w:t>will be an important part of analysis. This will allow us to evaluate if the changes related to HC is merely an artifact of coding behavior. We also obtained data for a National all-cause hospitalization (national) for a comparison. Importantly, the ICD-9 code for SBP, 567.23, was introduced in 2005</w:t>
      </w:r>
      <w:r w:rsidR="004C7441" w:rsidRPr="00E10230">
        <w:rPr>
          <w:rFonts w:ascii="Book Antiqua" w:hAnsi="Book Antiqua" w:cs="Arial"/>
          <w:sz w:val="24"/>
          <w:szCs w:val="24"/>
        </w:rPr>
        <w:fldChar w:fldCharType="begin" w:fldLock="1"/>
      </w:r>
      <w:r w:rsidR="004C7441" w:rsidRPr="00E10230">
        <w:rPr>
          <w:rFonts w:ascii="Book Antiqua" w:hAnsi="Book Antiqua" w:cs="Arial"/>
          <w:sz w:val="24"/>
          <w:szCs w:val="24"/>
        </w:rPr>
        <w:instrText>ADDIN CSL_CITATION {"citationItems":[{"id":"ITEM-1","itemData":{"DOI":"10.1002/hep.28812","ISSN":"1527-3350","PMID":"27696493","abstract":"Acute on chronic liver failure (ACLF) is associated with multisystem organ failure and poor prognosis in hospitalized patients with cirrhosis. We aimed to determine time trends in the epidemiology, economic burden, and mortality of ACLF in the United States. The National Inpatient Sample database was queried between 2001 and 2011. ACLF was defined as two or more extrahepatic organ failures in patients with cirrhosis. The primary outcomes were trends in hospitalizations, hospital costs, and inpatient mortality. The number of hospitalizations for cirrhosis in the United States nearly doubled from 371,000 in 2001 to 659,000 in 2011. The prevalence of ACLF among those hospitalizations increased from 1.5% (n = 5,400) to 5% (n = 32,300). The inpatient costs increased 2-fold for cirrhosis ($4.8 billion to $9.8 billion) and 5-fold ($320 million to $1.7 billion) for ACLF. In 2011, the cost per hospitalization for ACLF was 3.5-fold higher than that for cirrhosis ($53,570 versus $15,193). The in-hospital fatality rates decreased from 65% to 50% for ACLF and from 10% to 7% for cirrhosis. The organ failure trends in ACLF showed an increasing proportion of cardiovascular and cerebral and decreasing proportion of respiratory and renal failure. Age, male sex, and the number and types of organ failure were predictors of death in ACLF. CONCLUSION Cirrhosis and ACLF represent a substantial and increasing health and economic burden in the United States; these data highlight an urgent need for research on pathophysiological mechanisms and effective therapy as well as for education of health care providers of its importance in the care of patients with cirrhosis. (Hepatology 2016;64:2165-2172).","author":[{"dropping-particle":"","family":"Allen","given":"Alina M","non-dropping-particle":"","parse-names":false,"suffix":""},{"dropping-particle":"","family":"Kim","given":"W Ray","non-dropping-particle":"","parse-names":false,"suffix":""},{"dropping-particle":"","family":"Moriarty","given":"James P","non-dropping-particle":"","parse-names":false,"suffix":""},{"dropping-particle":"","family":"Shah","given":"Nilay D","non-dropping-particle":"","parse-names":false,"suffix":""},{"dropping-particle":"","family":"Larson","given":"Joseph J","non-dropping-particle":"","parse-names":false,"suffix":""},{"dropping-particle":"","family":"Kamath","given":"Patrick S","non-dropping-particle":"","parse-names":false,"suffix":""}],"container-title":"Hepatology (Baltimore, Md.)","id":"ITEM-1","issue":"6","issued":{"date-parts":[["2016"]]},"page":"2165-2172","title":"Time trends in the health care burden and mortality of acute on chronic liver failure in the United States.","type":"article-journal","volume":"64"},"uris":["http://www.mendeley.com/documents/?uuid=04c4c823-156e-4b3d-acc4-8ec2a18441fc"]}],"mendeley":{"formattedCitation":"&lt;sup&gt;[13]&lt;/sup&gt;","plainTextFormattedCitation":"[13]","previouslyFormattedCitation":"&lt;sup&gt;[13]&lt;/sup&gt;"},"properties":{"noteIndex":0},"schema":"https://github.com/citation-style-language/schema/raw/master/csl-citation.json"}</w:instrText>
      </w:r>
      <w:r w:rsidR="004C7441" w:rsidRPr="00E10230">
        <w:rPr>
          <w:rFonts w:ascii="Book Antiqua" w:hAnsi="Book Antiqua" w:cs="Arial"/>
          <w:sz w:val="24"/>
          <w:szCs w:val="24"/>
        </w:rPr>
        <w:fldChar w:fldCharType="separate"/>
      </w:r>
      <w:r w:rsidR="004C7441" w:rsidRPr="00E10230">
        <w:rPr>
          <w:rFonts w:ascii="Book Antiqua" w:hAnsi="Book Antiqua" w:cs="Arial"/>
          <w:noProof/>
          <w:sz w:val="24"/>
          <w:szCs w:val="24"/>
          <w:vertAlign w:val="superscript"/>
        </w:rPr>
        <w:t>[13]</w:t>
      </w:r>
      <w:r w:rsidR="004C7441" w:rsidRPr="00E10230">
        <w:rPr>
          <w:rFonts w:ascii="Book Antiqua" w:hAnsi="Book Antiqua" w:cs="Arial"/>
          <w:sz w:val="24"/>
          <w:szCs w:val="24"/>
        </w:rPr>
        <w:fldChar w:fldCharType="end"/>
      </w:r>
      <w:r w:rsidRPr="00E10230">
        <w:rPr>
          <w:rFonts w:ascii="Book Antiqua" w:hAnsi="Book Antiqua" w:cs="Arial"/>
          <w:sz w:val="24"/>
          <w:szCs w:val="24"/>
        </w:rPr>
        <w:t xml:space="preserve">. We only evaluated a primary diagnosis of ICD-9 codes rather than a secondary diagnosis to avoid duplication in the data. We chose to end the study period in 2014 since the official transition from ICD-9 codes to ICD-10 codes occurred nationally in 2015. </w:t>
      </w:r>
    </w:p>
    <w:p w14:paraId="13AE4C6C" w14:textId="77777777" w:rsidR="00704241" w:rsidRPr="00E10230" w:rsidRDefault="00704241" w:rsidP="00E10230">
      <w:pPr>
        <w:spacing w:after="0" w:line="360" w:lineRule="auto"/>
        <w:jc w:val="both"/>
        <w:rPr>
          <w:rFonts w:ascii="Book Antiqua" w:hAnsi="Book Antiqua" w:cs="Arial"/>
          <w:sz w:val="24"/>
          <w:szCs w:val="24"/>
        </w:rPr>
      </w:pPr>
    </w:p>
    <w:p w14:paraId="20B68921" w14:textId="77777777" w:rsidR="00704241" w:rsidRPr="00E10230" w:rsidRDefault="00704241" w:rsidP="00E10230">
      <w:pPr>
        <w:spacing w:after="0" w:line="360" w:lineRule="auto"/>
        <w:jc w:val="both"/>
        <w:rPr>
          <w:rFonts w:ascii="Book Antiqua" w:hAnsi="Book Antiqua" w:cs="Arial"/>
          <w:b/>
          <w:i/>
          <w:sz w:val="24"/>
          <w:szCs w:val="24"/>
        </w:rPr>
      </w:pPr>
      <w:r w:rsidRPr="00E10230">
        <w:rPr>
          <w:rFonts w:ascii="Book Antiqua" w:hAnsi="Book Antiqua" w:cs="Arial"/>
          <w:b/>
          <w:i/>
          <w:sz w:val="24"/>
          <w:szCs w:val="24"/>
        </w:rPr>
        <w:t>Statistical analysis</w:t>
      </w:r>
    </w:p>
    <w:p w14:paraId="15B76BD1" w14:textId="54C2D1B5" w:rsidR="00704241" w:rsidRPr="00E10230" w:rsidRDefault="00E84094" w:rsidP="00E10230">
      <w:pPr>
        <w:spacing w:after="0" w:line="360" w:lineRule="auto"/>
        <w:jc w:val="both"/>
        <w:rPr>
          <w:rFonts w:ascii="Book Antiqua" w:hAnsi="Book Antiqua" w:cs="Arial"/>
          <w:sz w:val="24"/>
          <w:szCs w:val="24"/>
        </w:rPr>
      </w:pPr>
      <w:r w:rsidRPr="00E10230">
        <w:rPr>
          <w:rFonts w:ascii="Book Antiqua" w:hAnsi="Book Antiqua" w:cs="Arial"/>
          <w:sz w:val="24"/>
          <w:szCs w:val="24"/>
        </w:rPr>
        <w:t>A b</w:t>
      </w:r>
      <w:r w:rsidR="00461437" w:rsidRPr="00E10230">
        <w:rPr>
          <w:rFonts w:ascii="Book Antiqua" w:hAnsi="Book Antiqua" w:cs="Arial"/>
          <w:sz w:val="24"/>
          <w:szCs w:val="24"/>
        </w:rPr>
        <w:t xml:space="preserve">iomedical </w:t>
      </w:r>
      <w:r w:rsidRPr="00E10230">
        <w:rPr>
          <w:rFonts w:ascii="Book Antiqua" w:hAnsi="Book Antiqua" w:cs="Arial"/>
          <w:sz w:val="24"/>
          <w:szCs w:val="24"/>
        </w:rPr>
        <w:t>statistician GZ reviewed and performed statistical analysis.</w:t>
      </w:r>
      <w:r w:rsidR="00461437" w:rsidRPr="00E10230">
        <w:rPr>
          <w:rFonts w:ascii="Book Antiqua" w:hAnsi="Book Antiqua" w:cs="Arial"/>
          <w:sz w:val="24"/>
          <w:szCs w:val="24"/>
        </w:rPr>
        <w:t xml:space="preserve"> </w:t>
      </w:r>
      <w:r w:rsidR="00704241" w:rsidRPr="00E10230">
        <w:rPr>
          <w:rFonts w:ascii="Book Antiqua" w:hAnsi="Book Antiqua" w:cs="Arial"/>
          <w:sz w:val="24"/>
          <w:szCs w:val="24"/>
        </w:rPr>
        <w:t xml:space="preserve">Both charges and costs were inflation-adjusted using the appropriate Consumer Price Index (https://www.bls.gov/cpi/) and all converted to 2014 </w:t>
      </w:r>
      <w:r w:rsidR="004C7441" w:rsidRPr="00E10230">
        <w:rPr>
          <w:rFonts w:ascii="Book Antiqua" w:eastAsiaTheme="minorEastAsia" w:hAnsi="Book Antiqua" w:cs="Arial"/>
          <w:sz w:val="24"/>
          <w:szCs w:val="24"/>
          <w:lang w:eastAsia="zh-CN"/>
        </w:rPr>
        <w:t>United States</w:t>
      </w:r>
      <w:r w:rsidR="00704241" w:rsidRPr="00E10230">
        <w:rPr>
          <w:rFonts w:ascii="Book Antiqua" w:hAnsi="Book Antiqua" w:cs="Arial"/>
          <w:sz w:val="24"/>
          <w:szCs w:val="24"/>
        </w:rPr>
        <w:t xml:space="preserve"> dollars. We compared the 10-year temporal trends of discharges, mortalities, charges and costs data using simple linear regressions using SAS version 9.4 (SAS Institute Inc., Cary, NC). We also used multiple regression analysis to explore the adjustments of mean age and </w:t>
      </w:r>
      <w:r w:rsidR="004C7441" w:rsidRPr="00E10230">
        <w:rPr>
          <w:rFonts w:ascii="Book Antiqua" w:eastAsiaTheme="minorEastAsia" w:hAnsi="Book Antiqua" w:cs="Arial"/>
          <w:sz w:val="24"/>
          <w:szCs w:val="24"/>
          <w:lang w:eastAsia="zh-CN"/>
        </w:rPr>
        <w:t>LOS</w:t>
      </w:r>
      <w:r w:rsidR="00704241" w:rsidRPr="00E10230">
        <w:rPr>
          <w:rFonts w:ascii="Book Antiqua" w:hAnsi="Book Antiqua" w:cs="Arial"/>
          <w:sz w:val="24"/>
          <w:szCs w:val="24"/>
        </w:rPr>
        <w:t xml:space="preserve"> for outcomes that showed significant temporal trends in simple regressions. Nonrandom temporal trends (or “special-cause variation”) were also demonstrated by run charts using the statistical process control decision rule: there are 6 or more consecutive data points always going up or going down over time</w:t>
      </w:r>
      <w:r w:rsidR="00324AD6" w:rsidRPr="00E10230">
        <w:rPr>
          <w:rFonts w:ascii="Book Antiqua" w:hAnsi="Book Antiqua" w:cs="Arial"/>
          <w:sz w:val="24"/>
          <w:szCs w:val="24"/>
        </w:rPr>
        <w:fldChar w:fldCharType="begin" w:fldLock="1"/>
      </w:r>
      <w:r w:rsidR="00324AD6" w:rsidRPr="00E10230">
        <w:rPr>
          <w:rFonts w:ascii="Book Antiqua" w:hAnsi="Book Antiqua" w:cs="Arial"/>
          <w:sz w:val="24"/>
          <w:szCs w:val="24"/>
        </w:rPr>
        <w:instrText>ADDIN CSL_CITATION {"citationItems":[{"id":"ITEM-1","itemData":{"DOI":"10.1136/bmjqs.2009.037895","ISSN":"2044-5423","PMID":"21228075","abstract":"BACKGROUND Those working in healthcare today are challenged more than ever before to quickly and efficiently learn from data to improve their services and delivery of care. There is broad agreement that healthcare professionals working on the front lines benefit greatly from the visual display of data presented in time order. AIM To describe the run chart-an analytical tool commonly used by professionals in quality improvement but underutilised in healthcare. METHODS A standard approach to the construction, use and interpretation of run charts for healthcare applications is developed based on the statistical process control literature. DISCUSSION Run charts allow us to understand objectively if the changes we make to a process or system over time lead to improvements and do so with minimal mathematical complexity. This method of analyzing and reporting data is of greater value to improvement projects and teams than traditional aggregate summary statistics that ignore time order. Because of its utility and simplicity, the run chart has wide potential application in healthcare for practitioners and decision-makers. Run charts also provide the foundation for more sophisticated methods of analysis and learning such as Shewhart (control) charts and planned experimentation.","author":[{"dropping-particle":"","family":"Perla","given":"Rocco J","non-dropping-particle":"","parse-names":false,"suffix":""},{"dropping-particle":"","family":"Provost","given":"Lloyd P","non-dropping-particle":"","parse-names":false,"suffix":""},{"dropping-particle":"","family":"Murray","given":"Sandy K","non-dropping-particle":"","parse-names":false,"suffix":""}],"container-title":"BMJ quality &amp; safety","id":"ITEM-1","issue":"1","issued":{"date-parts":[["2011","1"]]},"page":"46-51","title":"The run chart: a simple analytical tool for learning from variation in healthcare processes.","type":"article-journal","volume":"20"},"uris":["http://www.mendeley.com/documents/?uuid=ca441387-a3c8-4cfb-8ba3-049709212b07"]}],"mendeley":{"formattedCitation":"&lt;sup&gt;[20]&lt;/sup&gt;","plainTextFormattedCitation":"[20]","previouslyFormattedCitation":"&lt;sup&gt;[20]&lt;/sup&gt;"},"properties":{"noteIndex":0},"schema":"https://github.com/citation-style-language/schema/raw/master/csl-citation.json"}</w:instrText>
      </w:r>
      <w:r w:rsidR="00324AD6" w:rsidRPr="00E10230">
        <w:rPr>
          <w:rFonts w:ascii="Book Antiqua" w:hAnsi="Book Antiqua" w:cs="Arial"/>
          <w:sz w:val="24"/>
          <w:szCs w:val="24"/>
        </w:rPr>
        <w:fldChar w:fldCharType="separate"/>
      </w:r>
      <w:r w:rsidR="00324AD6" w:rsidRPr="00E10230">
        <w:rPr>
          <w:rFonts w:ascii="Book Antiqua" w:hAnsi="Book Antiqua" w:cs="Arial"/>
          <w:noProof/>
          <w:sz w:val="24"/>
          <w:szCs w:val="24"/>
          <w:vertAlign w:val="superscript"/>
        </w:rPr>
        <w:t>[20]</w:t>
      </w:r>
      <w:r w:rsidR="00324AD6" w:rsidRPr="00E10230">
        <w:rPr>
          <w:rFonts w:ascii="Book Antiqua" w:hAnsi="Book Antiqua" w:cs="Arial"/>
          <w:sz w:val="24"/>
          <w:szCs w:val="24"/>
        </w:rPr>
        <w:fldChar w:fldCharType="end"/>
      </w:r>
      <w:r w:rsidR="00704241" w:rsidRPr="00E10230">
        <w:rPr>
          <w:rFonts w:ascii="Book Antiqua" w:hAnsi="Book Antiqua" w:cs="Arial"/>
          <w:sz w:val="24"/>
          <w:szCs w:val="24"/>
        </w:rPr>
        <w:t xml:space="preserve">. Two-sided </w:t>
      </w:r>
      <w:r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00704241" w:rsidRPr="00E10230">
        <w:rPr>
          <w:rFonts w:ascii="Book Antiqua" w:hAnsi="Book Antiqua" w:cs="Arial"/>
          <w:sz w:val="24"/>
          <w:szCs w:val="24"/>
        </w:rPr>
        <w:t>&lt;</w:t>
      </w:r>
      <w:r w:rsidR="00324AD6" w:rsidRPr="00E10230">
        <w:rPr>
          <w:rFonts w:ascii="Book Antiqua" w:eastAsiaTheme="minorEastAsia" w:hAnsi="Book Antiqua" w:cs="Arial"/>
          <w:sz w:val="24"/>
          <w:szCs w:val="24"/>
          <w:lang w:eastAsia="zh-CN"/>
        </w:rPr>
        <w:t xml:space="preserve"> </w:t>
      </w:r>
      <w:r w:rsidR="00704241" w:rsidRPr="00E10230">
        <w:rPr>
          <w:rFonts w:ascii="Book Antiqua" w:hAnsi="Book Antiqua" w:cs="Arial"/>
          <w:sz w:val="24"/>
          <w:szCs w:val="24"/>
        </w:rPr>
        <w:t>0.05 was considered statistically significant without multiple comparison adjustments.</w:t>
      </w:r>
    </w:p>
    <w:p w14:paraId="38AFE693" w14:textId="77777777" w:rsidR="00704241" w:rsidRPr="00E10230" w:rsidRDefault="00704241" w:rsidP="00E10230">
      <w:pPr>
        <w:spacing w:after="0" w:line="360" w:lineRule="auto"/>
        <w:jc w:val="both"/>
        <w:rPr>
          <w:rFonts w:ascii="Book Antiqua" w:hAnsi="Book Antiqua" w:cs="Arial"/>
          <w:sz w:val="24"/>
          <w:szCs w:val="24"/>
        </w:rPr>
      </w:pPr>
    </w:p>
    <w:p w14:paraId="4F2D7157" w14:textId="77777777" w:rsidR="00704241" w:rsidRPr="00E10230" w:rsidRDefault="0010004A" w:rsidP="00E10230">
      <w:pPr>
        <w:spacing w:after="0" w:line="360" w:lineRule="auto"/>
        <w:jc w:val="both"/>
        <w:rPr>
          <w:rFonts w:ascii="Book Antiqua" w:hAnsi="Book Antiqua" w:cs="Arial"/>
          <w:b/>
          <w:sz w:val="24"/>
          <w:szCs w:val="24"/>
        </w:rPr>
      </w:pPr>
      <w:r w:rsidRPr="00E10230">
        <w:rPr>
          <w:rFonts w:ascii="Book Antiqua" w:hAnsi="Book Antiqua" w:cs="Arial"/>
          <w:b/>
          <w:sz w:val="24"/>
          <w:szCs w:val="24"/>
        </w:rPr>
        <w:t>RESULTS</w:t>
      </w:r>
    </w:p>
    <w:p w14:paraId="1D61EB94" w14:textId="1C65E69D" w:rsidR="00704241" w:rsidRPr="00E10230" w:rsidRDefault="00704241" w:rsidP="00E10230">
      <w:pPr>
        <w:spacing w:after="0" w:line="360" w:lineRule="auto"/>
        <w:jc w:val="both"/>
        <w:rPr>
          <w:rFonts w:ascii="Book Antiqua" w:hAnsi="Book Antiqua" w:cs="Arial"/>
          <w:sz w:val="24"/>
          <w:szCs w:val="24"/>
        </w:rPr>
      </w:pPr>
      <w:r w:rsidRPr="00E10230">
        <w:rPr>
          <w:rFonts w:ascii="Book Antiqua" w:hAnsi="Book Antiqua" w:cs="Arial"/>
          <w:sz w:val="24"/>
          <w:szCs w:val="24"/>
        </w:rPr>
        <w:t xml:space="preserve">Temporal trends of discharges for cirrhosis-associated </w:t>
      </w:r>
      <w:r w:rsidR="008361FB" w:rsidRPr="00E10230">
        <w:rPr>
          <w:rFonts w:ascii="Book Antiqua" w:hAnsi="Book Antiqua" w:cs="Arial"/>
          <w:sz w:val="24"/>
          <w:szCs w:val="24"/>
        </w:rPr>
        <w:t xml:space="preserve">conditions </w:t>
      </w:r>
      <w:r w:rsidRPr="00E10230">
        <w:rPr>
          <w:rFonts w:ascii="Book Antiqua" w:hAnsi="Book Antiqua" w:cs="Arial"/>
          <w:sz w:val="24"/>
          <w:szCs w:val="24"/>
        </w:rPr>
        <w:t>are shown in Figure 1</w:t>
      </w:r>
      <w:r w:rsidR="00324AD6" w:rsidRPr="00E10230">
        <w:rPr>
          <w:rFonts w:ascii="Book Antiqua" w:eastAsiaTheme="minorEastAsia" w:hAnsi="Book Antiqua" w:cs="Arial"/>
          <w:sz w:val="24"/>
          <w:szCs w:val="24"/>
          <w:lang w:eastAsia="zh-CN"/>
        </w:rPr>
        <w:t>A-C</w:t>
      </w:r>
      <w:r w:rsidRPr="00E10230">
        <w:rPr>
          <w:rFonts w:ascii="Book Antiqua" w:hAnsi="Book Antiqua" w:cs="Arial"/>
          <w:sz w:val="24"/>
          <w:szCs w:val="24"/>
        </w:rPr>
        <w:t>. From 2005 to 2014, the primary diagnosis of four cirrhosis related pathologies were all trending up except TIPS (HC,</w:t>
      </w:r>
      <w:r w:rsidR="00324AD6" w:rsidRPr="00E10230">
        <w:rPr>
          <w:rFonts w:ascii="Book Antiqua" w:hAnsi="Book Antiqua" w:cs="Arial"/>
          <w:sz w:val="24"/>
          <w:szCs w:val="24"/>
        </w:rPr>
        <w:t xml:space="preserve"> 47268 to 80</w:t>
      </w:r>
      <w:r w:rsidRPr="00E10230">
        <w:rPr>
          <w:rFonts w:ascii="Book Antiqua" w:hAnsi="Book Antiqua" w:cs="Arial"/>
          <w:sz w:val="24"/>
          <w:szCs w:val="24"/>
        </w:rPr>
        <w:t xml:space="preserve">470 by 70% increase, slope estimate (annual change rate) = 4205 [95% </w:t>
      </w:r>
      <w:r w:rsidR="0010004A" w:rsidRPr="00E10230">
        <w:rPr>
          <w:rFonts w:ascii="Book Antiqua" w:hAnsi="Book Antiqua" w:cs="Arial"/>
          <w:sz w:val="24"/>
          <w:szCs w:val="24"/>
        </w:rPr>
        <w:t>confidence interval (</w:t>
      </w:r>
      <w:r w:rsidRPr="00E10230">
        <w:rPr>
          <w:rFonts w:ascii="Book Antiqua" w:hAnsi="Book Antiqua" w:cs="Arial"/>
          <w:sz w:val="24"/>
          <w:szCs w:val="24"/>
        </w:rPr>
        <w:t>CI</w:t>
      </w:r>
      <w:r w:rsidR="0010004A" w:rsidRPr="00E10230">
        <w:rPr>
          <w:rFonts w:ascii="Book Antiqua" w:hAnsi="Book Antiqua" w:cs="Arial"/>
          <w:sz w:val="24"/>
          <w:szCs w:val="24"/>
        </w:rPr>
        <w:t>)</w:t>
      </w:r>
      <w:r w:rsidRPr="00E10230">
        <w:rPr>
          <w:rFonts w:ascii="Book Antiqua" w:hAnsi="Book Antiqua" w:cs="Arial"/>
          <w:sz w:val="24"/>
          <w:szCs w:val="24"/>
        </w:rPr>
        <w:t xml:space="preserve"> = 3739 to 4671], </w:t>
      </w:r>
      <w:r w:rsidR="0010004A"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&lt;</w:t>
      </w:r>
      <w:r w:rsidR="00324AD6" w:rsidRPr="00E10230">
        <w:rPr>
          <w:rFonts w:ascii="Book Antiqua" w:eastAsiaTheme="minorEastAsia" w:hAnsi="Book Antiqua" w:cs="Arial"/>
          <w:sz w:val="24"/>
          <w:szCs w:val="24"/>
          <w:lang w:eastAsia="zh-CN"/>
        </w:rPr>
        <w:t xml:space="preserve"> </w:t>
      </w:r>
      <w:r w:rsidR="00324AD6" w:rsidRPr="00E10230">
        <w:rPr>
          <w:rFonts w:ascii="Book Antiqua" w:hAnsi="Book Antiqua" w:cs="Arial"/>
          <w:sz w:val="24"/>
          <w:szCs w:val="24"/>
        </w:rPr>
        <w:t>0.0001; SBP, 821 to 7</w:t>
      </w:r>
      <w:r w:rsidRPr="00E10230">
        <w:rPr>
          <w:rFonts w:ascii="Book Antiqua" w:hAnsi="Book Antiqua" w:cs="Arial"/>
          <w:sz w:val="24"/>
          <w:szCs w:val="24"/>
        </w:rPr>
        <w:t xml:space="preserve">545 by 819% increase, slope = 660 [428 to 893], </w:t>
      </w:r>
      <w:r w:rsidR="0010004A"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w:t>
      </w:r>
      <w:r w:rsidR="00324AD6" w:rsidRPr="00E10230">
        <w:rPr>
          <w:rFonts w:ascii="Book Antiqua" w:eastAsiaTheme="minorEastAsia" w:hAnsi="Book Antiqua" w:cs="Arial"/>
          <w:sz w:val="24"/>
          <w:szCs w:val="24"/>
          <w:lang w:eastAsia="zh-CN"/>
        </w:rPr>
        <w:t xml:space="preserve"> </w:t>
      </w:r>
      <w:r w:rsidR="00324AD6" w:rsidRPr="00E10230">
        <w:rPr>
          <w:rFonts w:ascii="Book Antiqua" w:hAnsi="Book Antiqua" w:cs="Arial"/>
          <w:sz w:val="24"/>
          <w:szCs w:val="24"/>
        </w:rPr>
        <w:t>0.0002; EV, 3942 to 4</w:t>
      </w:r>
      <w:r w:rsidRPr="00E10230">
        <w:rPr>
          <w:rFonts w:ascii="Book Antiqua" w:hAnsi="Book Antiqua" w:cs="Arial"/>
          <w:sz w:val="24"/>
          <w:szCs w:val="24"/>
        </w:rPr>
        <w:t xml:space="preserve">305 by 9% increase, slope = 55 [13 to 96], </w:t>
      </w:r>
      <w:r w:rsidR="0010004A"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w:t>
      </w:r>
      <w:r w:rsidR="00324AD6" w:rsidRPr="00E10230">
        <w:rPr>
          <w:rFonts w:ascii="Book Antiqua" w:eastAsiaTheme="minorEastAsia" w:hAnsi="Book Antiqua" w:cs="Arial"/>
          <w:sz w:val="24"/>
          <w:szCs w:val="24"/>
          <w:lang w:eastAsia="zh-CN"/>
        </w:rPr>
        <w:t xml:space="preserve"> </w:t>
      </w:r>
      <w:r w:rsidR="00324AD6" w:rsidRPr="00E10230">
        <w:rPr>
          <w:rFonts w:ascii="Book Antiqua" w:hAnsi="Book Antiqua" w:cs="Arial"/>
          <w:sz w:val="24"/>
          <w:szCs w:val="24"/>
        </w:rPr>
        <w:t>0.016; TIPS, 4079 to 4</w:t>
      </w:r>
      <w:r w:rsidRPr="00E10230">
        <w:rPr>
          <w:rFonts w:ascii="Book Antiqua" w:hAnsi="Book Antiqua" w:cs="Arial"/>
          <w:sz w:val="24"/>
          <w:szCs w:val="24"/>
        </w:rPr>
        <w:t>060 by &lt;</w:t>
      </w:r>
      <w:r w:rsidR="00324AD6" w:rsidRPr="00E10230">
        <w:rPr>
          <w:rFonts w:ascii="Book Antiqua" w:eastAsiaTheme="minorEastAsia" w:hAnsi="Book Antiqua" w:cs="Arial"/>
          <w:sz w:val="24"/>
          <w:szCs w:val="24"/>
          <w:lang w:eastAsia="zh-CN"/>
        </w:rPr>
        <w:t xml:space="preserve"> </w:t>
      </w:r>
      <w:r w:rsidRPr="00E10230">
        <w:rPr>
          <w:rFonts w:ascii="Book Antiqua" w:hAnsi="Book Antiqua" w:cs="Arial"/>
          <w:sz w:val="24"/>
          <w:szCs w:val="24"/>
        </w:rPr>
        <w:t xml:space="preserve">1% decrease, slope = 9 [-151 to 168], </w:t>
      </w:r>
      <w:r w:rsidR="0010004A"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w:t>
      </w:r>
      <w:r w:rsidR="00324AD6" w:rsidRPr="00E10230">
        <w:rPr>
          <w:rFonts w:ascii="Book Antiqua" w:eastAsiaTheme="minorEastAsia" w:hAnsi="Book Antiqua" w:cs="Arial"/>
          <w:sz w:val="24"/>
          <w:szCs w:val="24"/>
          <w:lang w:eastAsia="zh-CN"/>
        </w:rPr>
        <w:t xml:space="preserve"> </w:t>
      </w:r>
      <w:r w:rsidRPr="00E10230">
        <w:rPr>
          <w:rFonts w:ascii="Book Antiqua" w:hAnsi="Book Antiqua" w:cs="Arial"/>
          <w:sz w:val="24"/>
          <w:szCs w:val="24"/>
        </w:rPr>
        <w:t xml:space="preserve">0.90). Nationally, the total number </w:t>
      </w:r>
      <w:r w:rsidR="00324AD6" w:rsidRPr="00E10230">
        <w:rPr>
          <w:rFonts w:ascii="Book Antiqua" w:hAnsi="Book Antiqua" w:cs="Arial"/>
          <w:sz w:val="24"/>
          <w:szCs w:val="24"/>
        </w:rPr>
        <w:t xml:space="preserve">of discharges decreased </w:t>
      </w:r>
      <w:r w:rsidR="00324AD6" w:rsidRPr="00E10230">
        <w:rPr>
          <w:rFonts w:ascii="Book Antiqua" w:hAnsi="Book Antiqua" w:cs="Arial"/>
          <w:sz w:val="24"/>
          <w:szCs w:val="24"/>
        </w:rPr>
        <w:lastRenderedPageBreak/>
        <w:t>from 37843039 to 35358818 by 7% (slope = -316319 [-433063 to -199</w:t>
      </w:r>
      <w:r w:rsidRPr="00E10230">
        <w:rPr>
          <w:rFonts w:ascii="Book Antiqua" w:hAnsi="Book Antiqua" w:cs="Arial"/>
          <w:sz w:val="24"/>
          <w:szCs w:val="24"/>
        </w:rPr>
        <w:t xml:space="preserve">576], </w:t>
      </w:r>
      <w:r w:rsidR="00466FD0"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w:t>
      </w:r>
      <w:r w:rsidR="00324AD6" w:rsidRPr="00E10230">
        <w:rPr>
          <w:rFonts w:ascii="Book Antiqua" w:eastAsiaTheme="minorEastAsia" w:hAnsi="Book Antiqua" w:cs="Arial"/>
          <w:sz w:val="24"/>
          <w:szCs w:val="24"/>
          <w:lang w:eastAsia="zh-CN"/>
        </w:rPr>
        <w:t xml:space="preserve"> </w:t>
      </w:r>
      <w:r w:rsidRPr="00E10230">
        <w:rPr>
          <w:rFonts w:ascii="Book Antiqua" w:hAnsi="Book Antiqua" w:cs="Arial"/>
          <w:sz w:val="24"/>
          <w:szCs w:val="24"/>
        </w:rPr>
        <w:t xml:space="preserve">0.0002). Similar significance of temporal trends of these discharges remained if adjusted for mean age and LOS, and both variables did not show significant change over time (all </w:t>
      </w:r>
      <w:r w:rsidR="00DC23D7"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&gt;</w:t>
      </w:r>
      <w:r w:rsidR="00324AD6" w:rsidRPr="00E10230">
        <w:rPr>
          <w:rFonts w:ascii="Book Antiqua" w:eastAsiaTheme="minorEastAsia" w:hAnsi="Book Antiqua" w:cs="Arial"/>
          <w:sz w:val="24"/>
          <w:szCs w:val="24"/>
          <w:lang w:eastAsia="zh-CN"/>
        </w:rPr>
        <w:t xml:space="preserve"> </w:t>
      </w:r>
      <w:r w:rsidRPr="00E10230">
        <w:rPr>
          <w:rFonts w:ascii="Book Antiqua" w:hAnsi="Book Antiqua" w:cs="Arial"/>
          <w:sz w:val="24"/>
          <w:szCs w:val="24"/>
        </w:rPr>
        <w:t>0.11). HC not related to viral hepatitis (ICD-</w:t>
      </w:r>
      <w:r w:rsidR="00324AD6" w:rsidRPr="00E10230">
        <w:rPr>
          <w:rFonts w:ascii="Book Antiqua" w:hAnsi="Book Antiqua" w:cs="Arial"/>
          <w:sz w:val="24"/>
          <w:szCs w:val="24"/>
        </w:rPr>
        <w:t>9 code 572.2) increased from 41796 to 55</w:t>
      </w:r>
      <w:r w:rsidRPr="00E10230">
        <w:rPr>
          <w:rFonts w:ascii="Book Antiqua" w:hAnsi="Book Antiqua" w:cs="Arial"/>
          <w:sz w:val="24"/>
          <w:szCs w:val="24"/>
        </w:rPr>
        <w:t xml:space="preserve">485 by 33% from 2005 to 2014 (slope = 1688 [968 to 2408], </w:t>
      </w:r>
      <w:r w:rsidR="00DC23D7"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w:t>
      </w:r>
      <w:r w:rsidR="00324AD6" w:rsidRPr="00E10230">
        <w:rPr>
          <w:rFonts w:ascii="Book Antiqua" w:eastAsiaTheme="minorEastAsia" w:hAnsi="Book Antiqua" w:cs="Arial"/>
          <w:sz w:val="24"/>
          <w:szCs w:val="24"/>
          <w:lang w:eastAsia="zh-CN"/>
        </w:rPr>
        <w:t xml:space="preserve"> </w:t>
      </w:r>
      <w:r w:rsidRPr="00E10230">
        <w:rPr>
          <w:rFonts w:ascii="Book Antiqua" w:hAnsi="Book Antiqua" w:cs="Arial"/>
          <w:sz w:val="24"/>
          <w:szCs w:val="24"/>
        </w:rPr>
        <w:t>0.0006), while HC related to viral hepatitis (070.0, 070.20-23, 070.41-44, 070.49, 070.6, 0</w:t>
      </w:r>
      <w:r w:rsidR="00324AD6" w:rsidRPr="00E10230">
        <w:rPr>
          <w:rFonts w:ascii="Book Antiqua" w:hAnsi="Book Antiqua" w:cs="Arial"/>
          <w:sz w:val="24"/>
          <w:szCs w:val="24"/>
        </w:rPr>
        <w:t>70.71) increased faster, from 5472 to 24</w:t>
      </w:r>
      <w:r w:rsidRPr="00E10230">
        <w:rPr>
          <w:rFonts w:ascii="Book Antiqua" w:hAnsi="Book Antiqua" w:cs="Arial"/>
          <w:sz w:val="24"/>
          <w:szCs w:val="24"/>
        </w:rPr>
        <w:t xml:space="preserve">985 by 357% </w:t>
      </w:r>
      <w:r w:rsidR="00324AD6" w:rsidRPr="00E10230">
        <w:rPr>
          <w:rFonts w:ascii="Book Antiqua" w:eastAsiaTheme="minorEastAsia" w:hAnsi="Book Antiqua" w:cs="Arial"/>
          <w:sz w:val="24"/>
          <w:szCs w:val="24"/>
          <w:lang w:eastAsia="zh-CN"/>
        </w:rPr>
        <w:t>[</w:t>
      </w:r>
      <w:r w:rsidRPr="00E10230">
        <w:rPr>
          <w:rFonts w:ascii="Book Antiqua" w:hAnsi="Book Antiqua" w:cs="Arial"/>
          <w:sz w:val="24"/>
          <w:szCs w:val="24"/>
        </w:rPr>
        <w:t xml:space="preserve">slope = 2517 </w:t>
      </w:r>
      <w:r w:rsidR="00324AD6" w:rsidRPr="00E10230">
        <w:rPr>
          <w:rFonts w:ascii="Book Antiqua" w:eastAsiaTheme="minorEastAsia" w:hAnsi="Book Antiqua" w:cs="Arial"/>
          <w:sz w:val="24"/>
          <w:szCs w:val="24"/>
          <w:lang w:eastAsia="zh-CN"/>
        </w:rPr>
        <w:t>(</w:t>
      </w:r>
      <w:r w:rsidRPr="00E10230">
        <w:rPr>
          <w:rFonts w:ascii="Book Antiqua" w:hAnsi="Book Antiqua" w:cs="Arial"/>
          <w:sz w:val="24"/>
          <w:szCs w:val="24"/>
        </w:rPr>
        <w:t>1732 to 3302</w:t>
      </w:r>
      <w:r w:rsidR="00324AD6" w:rsidRPr="00E10230">
        <w:rPr>
          <w:rFonts w:ascii="Book Antiqua" w:eastAsiaTheme="minorEastAsia" w:hAnsi="Book Antiqua" w:cs="Arial"/>
          <w:sz w:val="24"/>
          <w:szCs w:val="24"/>
          <w:lang w:eastAsia="zh-CN"/>
        </w:rPr>
        <w:t>)</w:t>
      </w:r>
      <w:r w:rsidRPr="00E10230">
        <w:rPr>
          <w:rFonts w:ascii="Book Antiqua" w:hAnsi="Book Antiqua" w:cs="Arial"/>
          <w:sz w:val="24"/>
          <w:szCs w:val="24"/>
        </w:rPr>
        <w:t xml:space="preserve">, </w:t>
      </w:r>
      <w:r w:rsidR="00DC23D7"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&lt;</w:t>
      </w:r>
      <w:r w:rsidR="00324AD6" w:rsidRPr="00E10230">
        <w:rPr>
          <w:rFonts w:ascii="Book Antiqua" w:eastAsiaTheme="minorEastAsia" w:hAnsi="Book Antiqua" w:cs="Arial"/>
          <w:sz w:val="24"/>
          <w:szCs w:val="24"/>
          <w:lang w:eastAsia="zh-CN"/>
        </w:rPr>
        <w:t xml:space="preserve"> </w:t>
      </w:r>
      <w:r w:rsidRPr="00E10230">
        <w:rPr>
          <w:rFonts w:ascii="Book Antiqua" w:hAnsi="Book Antiqua" w:cs="Arial"/>
          <w:sz w:val="24"/>
          <w:szCs w:val="24"/>
        </w:rPr>
        <w:t>0.0001</w:t>
      </w:r>
      <w:r w:rsidR="00324AD6" w:rsidRPr="00E10230">
        <w:rPr>
          <w:rFonts w:ascii="Book Antiqua" w:eastAsiaTheme="minorEastAsia" w:hAnsi="Book Antiqua" w:cs="Arial"/>
          <w:sz w:val="24"/>
          <w:szCs w:val="24"/>
          <w:lang w:eastAsia="zh-CN"/>
        </w:rPr>
        <w:t>]</w:t>
      </w:r>
      <w:r w:rsidRPr="00E10230">
        <w:rPr>
          <w:rFonts w:ascii="Book Antiqua" w:hAnsi="Book Antiqua" w:cs="Arial"/>
          <w:sz w:val="24"/>
          <w:szCs w:val="24"/>
        </w:rPr>
        <w:t>.</w:t>
      </w:r>
    </w:p>
    <w:p w14:paraId="556B9D7D" w14:textId="61692C66" w:rsidR="00704241" w:rsidRPr="00E10230" w:rsidRDefault="00704241" w:rsidP="00E10230">
      <w:pPr>
        <w:spacing w:after="0" w:line="360" w:lineRule="auto"/>
        <w:ind w:firstLineChars="100" w:firstLine="240"/>
        <w:jc w:val="both"/>
        <w:rPr>
          <w:rFonts w:ascii="Book Antiqua" w:hAnsi="Book Antiqua" w:cs="Arial"/>
          <w:sz w:val="24"/>
          <w:szCs w:val="24"/>
        </w:rPr>
      </w:pPr>
      <w:r w:rsidRPr="00E10230">
        <w:rPr>
          <w:rFonts w:ascii="Book Antiqua" w:hAnsi="Book Antiqua" w:cs="Arial"/>
          <w:sz w:val="24"/>
          <w:szCs w:val="24"/>
        </w:rPr>
        <w:t xml:space="preserve">Overall as described in Figure 2, in-hospital mortality rates for each condition significantly decreased from 2005 to 2014 (HC: 8.06% to 5.73% by 29% reduction, slope = -0.21% [-0.33% to -0.10%], </w:t>
      </w:r>
      <w:r w:rsidR="00DC23D7"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w:t>
      </w:r>
      <w:r w:rsidR="00324AD6" w:rsidRPr="00E10230">
        <w:rPr>
          <w:rFonts w:ascii="Book Antiqua" w:eastAsiaTheme="minorEastAsia" w:hAnsi="Book Antiqua" w:cs="Arial"/>
          <w:sz w:val="24"/>
          <w:szCs w:val="24"/>
          <w:lang w:eastAsia="zh-CN"/>
        </w:rPr>
        <w:t xml:space="preserve"> </w:t>
      </w:r>
      <w:r w:rsidRPr="00E10230">
        <w:rPr>
          <w:rFonts w:ascii="Book Antiqua" w:hAnsi="Book Antiqua" w:cs="Arial"/>
          <w:sz w:val="24"/>
          <w:szCs w:val="24"/>
        </w:rPr>
        <w:t xml:space="preserve">0.0024; SBP: 8.34% to 6.16% by 26% reduction, slope = -0.25% [-0.39% to -0.10%], </w:t>
      </w:r>
      <w:r w:rsidR="00DC23D7"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w:t>
      </w:r>
      <w:r w:rsidR="00324AD6" w:rsidRPr="00E10230">
        <w:rPr>
          <w:rFonts w:ascii="Book Antiqua" w:eastAsiaTheme="minorEastAsia" w:hAnsi="Book Antiqua" w:cs="Arial"/>
          <w:sz w:val="24"/>
          <w:szCs w:val="24"/>
          <w:lang w:eastAsia="zh-CN"/>
        </w:rPr>
        <w:t xml:space="preserve"> </w:t>
      </w:r>
      <w:r w:rsidRPr="00E10230">
        <w:rPr>
          <w:rFonts w:ascii="Book Antiqua" w:hAnsi="Book Antiqua" w:cs="Arial"/>
          <w:sz w:val="24"/>
          <w:szCs w:val="24"/>
        </w:rPr>
        <w:t xml:space="preserve">0.0038; TIPS: 10.81% to 7.39% by 32% reduction, slope = -0.35% [-0.64% to -0.07%], </w:t>
      </w:r>
      <w:r w:rsidR="00DC23D7"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w:t>
      </w:r>
      <w:r w:rsidR="00324AD6" w:rsidRPr="00E10230">
        <w:rPr>
          <w:rFonts w:ascii="Book Antiqua" w:eastAsiaTheme="minorEastAsia" w:hAnsi="Book Antiqua" w:cs="Arial"/>
          <w:sz w:val="24"/>
          <w:szCs w:val="24"/>
          <w:lang w:eastAsia="zh-CN"/>
        </w:rPr>
        <w:t xml:space="preserve"> </w:t>
      </w:r>
      <w:r w:rsidRPr="00E10230">
        <w:rPr>
          <w:rFonts w:ascii="Book Antiqua" w:hAnsi="Book Antiqua" w:cs="Arial"/>
          <w:sz w:val="24"/>
          <w:szCs w:val="24"/>
        </w:rPr>
        <w:t xml:space="preserve">0.021) except for EV (5.84% to 6.04%; </w:t>
      </w:r>
      <w:r w:rsidR="00DC23D7"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w:t>
      </w:r>
      <w:r w:rsidR="00324AD6" w:rsidRPr="00E10230">
        <w:rPr>
          <w:rFonts w:ascii="Book Antiqua" w:eastAsiaTheme="minorEastAsia" w:hAnsi="Book Antiqua" w:cs="Arial"/>
          <w:sz w:val="24"/>
          <w:szCs w:val="24"/>
          <w:lang w:eastAsia="zh-CN"/>
        </w:rPr>
        <w:t xml:space="preserve"> </w:t>
      </w:r>
      <w:r w:rsidRPr="00E10230">
        <w:rPr>
          <w:rFonts w:ascii="Book Antiqua" w:hAnsi="Book Antiqua" w:cs="Arial"/>
          <w:sz w:val="24"/>
          <w:szCs w:val="24"/>
        </w:rPr>
        <w:t xml:space="preserve">0.34). If adjusted for mean age and LOS, SBP </w:t>
      </w:r>
      <w:r w:rsidR="00E43AB7" w:rsidRPr="00E10230">
        <w:rPr>
          <w:rFonts w:ascii="Book Antiqua" w:hAnsi="Book Antiqua" w:cs="Arial"/>
          <w:sz w:val="24"/>
          <w:szCs w:val="24"/>
        </w:rPr>
        <w:t>was still reduced significantly (</w:t>
      </w:r>
      <w:r w:rsidR="00E43AB7"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00E43AB7" w:rsidRPr="00E10230">
        <w:rPr>
          <w:rFonts w:ascii="Book Antiqua" w:hAnsi="Book Antiqua" w:cs="Arial"/>
          <w:sz w:val="24"/>
          <w:szCs w:val="24"/>
        </w:rPr>
        <w:t>=</w:t>
      </w:r>
      <w:r w:rsidR="00324AD6" w:rsidRPr="00E10230">
        <w:rPr>
          <w:rFonts w:ascii="Book Antiqua" w:eastAsiaTheme="minorEastAsia" w:hAnsi="Book Antiqua" w:cs="Arial"/>
          <w:sz w:val="24"/>
          <w:szCs w:val="24"/>
          <w:lang w:eastAsia="zh-CN"/>
        </w:rPr>
        <w:t xml:space="preserve"> </w:t>
      </w:r>
      <w:r w:rsidR="00E43AB7" w:rsidRPr="00E10230">
        <w:rPr>
          <w:rFonts w:ascii="Book Antiqua" w:hAnsi="Book Antiqua" w:cs="Arial"/>
          <w:sz w:val="24"/>
          <w:szCs w:val="24"/>
        </w:rPr>
        <w:t>0.034), but TIPS were no longer significant (</w:t>
      </w:r>
      <w:r w:rsidR="00E43AB7"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00E43AB7" w:rsidRPr="00E10230">
        <w:rPr>
          <w:rFonts w:ascii="Book Antiqua" w:hAnsi="Book Antiqua" w:cs="Arial"/>
          <w:sz w:val="24"/>
          <w:szCs w:val="24"/>
        </w:rPr>
        <w:t>=</w:t>
      </w:r>
      <w:r w:rsidR="00324AD6" w:rsidRPr="00E10230">
        <w:rPr>
          <w:rFonts w:ascii="Book Antiqua" w:eastAsiaTheme="minorEastAsia" w:hAnsi="Book Antiqua" w:cs="Arial"/>
          <w:sz w:val="24"/>
          <w:szCs w:val="24"/>
          <w:lang w:eastAsia="zh-CN"/>
        </w:rPr>
        <w:t xml:space="preserve"> </w:t>
      </w:r>
      <w:r w:rsidR="00E43AB7" w:rsidRPr="00E10230">
        <w:rPr>
          <w:rFonts w:ascii="Book Antiqua" w:hAnsi="Book Antiqua" w:cs="Arial"/>
          <w:sz w:val="24"/>
          <w:szCs w:val="24"/>
        </w:rPr>
        <w:t xml:space="preserve">0.067). </w:t>
      </w:r>
      <w:r w:rsidRPr="00E10230">
        <w:rPr>
          <w:rFonts w:ascii="Book Antiqua" w:hAnsi="Book Antiqua" w:cs="Arial"/>
          <w:sz w:val="24"/>
          <w:szCs w:val="24"/>
        </w:rPr>
        <w:t xml:space="preserve">The changes in in-hospital mortality rates might be associated with the variations of mean LOS but not with mean age. For example, one-day reduction in mean LOS seemed significantly associated with a reduction in TIPS mortality rates of 1.73% [0.69% to 2.76%], </w:t>
      </w:r>
      <w:r w:rsidR="00DC23D7"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w:t>
      </w:r>
      <w:r w:rsidR="00324AD6" w:rsidRPr="00E10230">
        <w:rPr>
          <w:rFonts w:ascii="Book Antiqua" w:eastAsiaTheme="minorEastAsia" w:hAnsi="Book Antiqua" w:cs="Arial"/>
          <w:sz w:val="24"/>
          <w:szCs w:val="24"/>
          <w:lang w:eastAsia="zh-CN"/>
        </w:rPr>
        <w:t xml:space="preserve"> </w:t>
      </w:r>
      <w:r w:rsidRPr="00E10230">
        <w:rPr>
          <w:rFonts w:ascii="Book Antiqua" w:hAnsi="Book Antiqua" w:cs="Arial"/>
          <w:sz w:val="24"/>
          <w:szCs w:val="24"/>
        </w:rPr>
        <w:t xml:space="preserve">0.007. There was also a statistically significant reduction on national mortality rate, from 2.04% to 1.90%, or a 7% reduction, slope = -0.018% [-0.031% to -0.006%], </w:t>
      </w:r>
      <w:r w:rsidR="00DC23D7"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w:t>
      </w:r>
      <w:r w:rsidR="00324AD6" w:rsidRPr="00E10230">
        <w:rPr>
          <w:rFonts w:ascii="Book Antiqua" w:eastAsiaTheme="minorEastAsia" w:hAnsi="Book Antiqua" w:cs="Arial"/>
          <w:sz w:val="24"/>
          <w:szCs w:val="24"/>
          <w:lang w:eastAsia="zh-CN"/>
        </w:rPr>
        <w:t xml:space="preserve"> </w:t>
      </w:r>
      <w:r w:rsidRPr="00E10230">
        <w:rPr>
          <w:rFonts w:ascii="Book Antiqua" w:hAnsi="Book Antiqua" w:cs="Arial"/>
          <w:sz w:val="24"/>
          <w:szCs w:val="24"/>
        </w:rPr>
        <w:t>0.011.</w:t>
      </w:r>
    </w:p>
    <w:p w14:paraId="4D70CAC8" w14:textId="0BE43802" w:rsidR="00704241" w:rsidRPr="00E10230" w:rsidRDefault="00704241" w:rsidP="00E10230">
      <w:pPr>
        <w:spacing w:after="0" w:line="360" w:lineRule="auto"/>
        <w:ind w:firstLineChars="100" w:firstLine="240"/>
        <w:jc w:val="both"/>
        <w:rPr>
          <w:rFonts w:ascii="Book Antiqua" w:hAnsi="Book Antiqua" w:cs="Arial"/>
          <w:sz w:val="24"/>
          <w:szCs w:val="24"/>
        </w:rPr>
      </w:pPr>
      <w:r w:rsidRPr="00E10230">
        <w:rPr>
          <w:rFonts w:ascii="Book Antiqua" w:hAnsi="Book Antiqua" w:cs="Arial"/>
          <w:sz w:val="24"/>
          <w:szCs w:val="24"/>
        </w:rPr>
        <w:t xml:space="preserve">Figure 3 shows the 10-year trends for mean LOS and mean ages. Mean LOS for TIPS decreased from 9.6 d in 2005 to 8.0 in 2014 with 17% decrease (slope = -0.18 [-0.34 to -0.01], </w:t>
      </w:r>
      <w:r w:rsidR="008447E4"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w:t>
      </w:r>
      <w:r w:rsidR="00324AD6" w:rsidRPr="00E10230">
        <w:rPr>
          <w:rFonts w:ascii="Book Antiqua" w:eastAsiaTheme="minorEastAsia" w:hAnsi="Book Antiqua" w:cs="Arial"/>
          <w:sz w:val="24"/>
          <w:szCs w:val="24"/>
          <w:lang w:eastAsia="zh-CN"/>
        </w:rPr>
        <w:t xml:space="preserve"> </w:t>
      </w:r>
      <w:r w:rsidRPr="00E10230">
        <w:rPr>
          <w:rFonts w:ascii="Book Antiqua" w:hAnsi="Book Antiqua" w:cs="Arial"/>
          <w:sz w:val="24"/>
          <w:szCs w:val="24"/>
        </w:rPr>
        <w:t>0.038)</w:t>
      </w:r>
      <w:r w:rsidR="008447E4" w:rsidRPr="00E10230">
        <w:rPr>
          <w:rFonts w:ascii="Book Antiqua" w:hAnsi="Book Antiqua" w:cs="Arial"/>
          <w:sz w:val="24"/>
          <w:szCs w:val="24"/>
        </w:rPr>
        <w:t>.</w:t>
      </w:r>
      <w:r w:rsidRPr="00E10230">
        <w:rPr>
          <w:rFonts w:ascii="Book Antiqua" w:hAnsi="Book Antiqua" w:cs="Arial"/>
          <w:sz w:val="24"/>
          <w:szCs w:val="24"/>
        </w:rPr>
        <w:t xml:space="preserve"> However, other cirrhosis related conditions and national LOS did not show any significant changes. TIPS had persistently higher LOS as compared to other conditions. Mean ages of cirrhosis-associated conditions were consistently higher than national average, and HC persistently had the highest mean age.</w:t>
      </w:r>
    </w:p>
    <w:p w14:paraId="20B55957" w14:textId="2128618B" w:rsidR="00704241" w:rsidRPr="00E10230" w:rsidRDefault="00704241" w:rsidP="00E10230">
      <w:pPr>
        <w:spacing w:after="0" w:line="360" w:lineRule="auto"/>
        <w:ind w:firstLineChars="100" w:firstLine="240"/>
        <w:jc w:val="both"/>
        <w:rPr>
          <w:rFonts w:ascii="Book Antiqua" w:eastAsiaTheme="minorEastAsia" w:hAnsi="Book Antiqua" w:cs="Arial"/>
          <w:sz w:val="24"/>
          <w:szCs w:val="24"/>
          <w:lang w:eastAsia="zh-CN"/>
        </w:rPr>
      </w:pPr>
      <w:bookmarkStart w:id="15" w:name="_Hlk526412924"/>
      <w:r w:rsidRPr="00E10230">
        <w:rPr>
          <w:rFonts w:ascii="Book Antiqua" w:hAnsi="Book Antiqua" w:cs="Arial"/>
          <w:sz w:val="24"/>
          <w:szCs w:val="24"/>
        </w:rPr>
        <w:t>Figure 4</w:t>
      </w:r>
      <w:r w:rsidR="00324AD6" w:rsidRPr="00E10230">
        <w:rPr>
          <w:rFonts w:ascii="Book Antiqua" w:eastAsiaTheme="minorEastAsia" w:hAnsi="Book Antiqua" w:cs="Arial"/>
          <w:sz w:val="24"/>
          <w:szCs w:val="24"/>
          <w:lang w:eastAsia="zh-CN"/>
        </w:rPr>
        <w:t>A</w:t>
      </w:r>
      <w:r w:rsidRPr="00E10230">
        <w:rPr>
          <w:rFonts w:ascii="Book Antiqua" w:hAnsi="Book Antiqua" w:cs="Arial"/>
          <w:sz w:val="24"/>
          <w:szCs w:val="24"/>
        </w:rPr>
        <w:t xml:space="preserve"> shows mean charges of four cirrhosis-associated conditions that have been increasing more than 30% compared to 2005 data, after ad</w:t>
      </w:r>
      <w:r w:rsidR="00324AD6" w:rsidRPr="00E10230">
        <w:rPr>
          <w:rFonts w:ascii="Book Antiqua" w:hAnsi="Book Antiqua" w:cs="Arial"/>
          <w:sz w:val="24"/>
          <w:szCs w:val="24"/>
        </w:rPr>
        <w:t>justment for inflation (HC, $32045 to $47</w:t>
      </w:r>
      <w:r w:rsidRPr="00E10230">
        <w:rPr>
          <w:rFonts w:ascii="Book Antiqua" w:hAnsi="Book Antiqua" w:cs="Arial"/>
          <w:sz w:val="24"/>
          <w:szCs w:val="24"/>
        </w:rPr>
        <w:t xml:space="preserve">929 by 50% up, slope = 2042$/year [1425 to 2660], </w:t>
      </w:r>
      <w:r w:rsidR="008447E4"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&lt;</w:t>
      </w:r>
      <w:r w:rsidR="00324AD6" w:rsidRPr="00E10230">
        <w:rPr>
          <w:rFonts w:ascii="Book Antiqua" w:eastAsiaTheme="minorEastAsia" w:hAnsi="Book Antiqua" w:cs="Arial"/>
          <w:sz w:val="24"/>
          <w:szCs w:val="24"/>
          <w:lang w:eastAsia="zh-CN"/>
        </w:rPr>
        <w:t xml:space="preserve"> </w:t>
      </w:r>
      <w:r w:rsidR="00324AD6" w:rsidRPr="00E10230">
        <w:rPr>
          <w:rFonts w:ascii="Book Antiqua" w:hAnsi="Book Antiqua" w:cs="Arial"/>
          <w:sz w:val="24"/>
          <w:szCs w:val="24"/>
        </w:rPr>
        <w:t>0.0001; EV, $33979 to $51</w:t>
      </w:r>
      <w:r w:rsidRPr="00E10230">
        <w:rPr>
          <w:rFonts w:ascii="Book Antiqua" w:hAnsi="Book Antiqua" w:cs="Arial"/>
          <w:sz w:val="24"/>
          <w:szCs w:val="24"/>
        </w:rPr>
        <w:t xml:space="preserve">336 by 51% up, slope = 1822$/year [1238 to 2406], </w:t>
      </w:r>
      <w:r w:rsidR="008447E4"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&lt;</w:t>
      </w:r>
      <w:r w:rsidR="00324AD6" w:rsidRPr="00E10230">
        <w:rPr>
          <w:rFonts w:ascii="Book Antiqua" w:eastAsiaTheme="minorEastAsia" w:hAnsi="Book Antiqua" w:cs="Arial"/>
          <w:sz w:val="24"/>
          <w:szCs w:val="24"/>
          <w:lang w:eastAsia="zh-CN"/>
        </w:rPr>
        <w:t xml:space="preserve"> </w:t>
      </w:r>
      <w:r w:rsidR="00324AD6" w:rsidRPr="00E10230">
        <w:rPr>
          <w:rFonts w:ascii="Book Antiqua" w:hAnsi="Book Antiqua" w:cs="Arial"/>
          <w:sz w:val="24"/>
          <w:szCs w:val="24"/>
        </w:rPr>
        <w:t>0.0001; TIPS, $45425 to $59</w:t>
      </w:r>
      <w:r w:rsidRPr="00E10230">
        <w:rPr>
          <w:rFonts w:ascii="Book Antiqua" w:hAnsi="Book Antiqua" w:cs="Arial"/>
          <w:sz w:val="24"/>
          <w:szCs w:val="24"/>
        </w:rPr>
        <w:t xml:space="preserve">130 </w:t>
      </w:r>
      <w:r w:rsidRPr="00E10230">
        <w:rPr>
          <w:rFonts w:ascii="Book Antiqua" w:hAnsi="Book Antiqua" w:cs="Arial"/>
          <w:sz w:val="24"/>
          <w:szCs w:val="24"/>
        </w:rPr>
        <w:lastRenderedPageBreak/>
        <w:t xml:space="preserve">by 30% up, </w:t>
      </w:r>
      <w:r w:rsidR="008447E4"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w:t>
      </w:r>
      <w:r w:rsidR="00324AD6" w:rsidRPr="00E10230">
        <w:rPr>
          <w:rFonts w:ascii="Book Antiqua" w:eastAsiaTheme="minorEastAsia" w:hAnsi="Book Antiqua" w:cs="Arial"/>
          <w:sz w:val="24"/>
          <w:szCs w:val="24"/>
          <w:lang w:eastAsia="zh-CN"/>
        </w:rPr>
        <w:t xml:space="preserve"> </w:t>
      </w:r>
      <w:r w:rsidR="00324AD6" w:rsidRPr="00E10230">
        <w:rPr>
          <w:rFonts w:ascii="Book Antiqua" w:hAnsi="Book Antiqua" w:cs="Arial"/>
          <w:sz w:val="24"/>
          <w:szCs w:val="24"/>
        </w:rPr>
        <w:t>0.0022; SBP, $33151 to $50</w:t>
      </w:r>
      <w:r w:rsidRPr="00E10230">
        <w:rPr>
          <w:rFonts w:ascii="Book Antiqua" w:hAnsi="Book Antiqua" w:cs="Arial"/>
          <w:sz w:val="24"/>
          <w:szCs w:val="24"/>
        </w:rPr>
        <w:t xml:space="preserve">824 by 53% up, slope = 2019$/year [687 to 3352], </w:t>
      </w:r>
      <w:r w:rsidR="008447E4" w:rsidRPr="00E10230">
        <w:rPr>
          <w:rFonts w:ascii="Book Antiqua" w:hAnsi="Book Antiqua" w:cs="Arial"/>
          <w:i/>
          <w:sz w:val="24"/>
          <w:szCs w:val="24"/>
        </w:rPr>
        <w:t>P</w:t>
      </w:r>
      <w:r w:rsidRPr="00E10230">
        <w:rPr>
          <w:rFonts w:ascii="Book Antiqua" w:hAnsi="Book Antiqua" w:cs="Arial"/>
          <w:sz w:val="24"/>
          <w:szCs w:val="24"/>
        </w:rPr>
        <w:t>=0.008; from 2005 to 2014). Nationally,</w:t>
      </w:r>
      <w:r w:rsidR="00324AD6" w:rsidRPr="00E10230">
        <w:rPr>
          <w:rFonts w:ascii="Book Antiqua" w:hAnsi="Book Antiqua" w:cs="Arial"/>
          <w:sz w:val="24"/>
          <w:szCs w:val="24"/>
        </w:rPr>
        <w:t xml:space="preserve"> mean charge increased from $26323 to $41</w:t>
      </w:r>
      <w:r w:rsidRPr="00E10230">
        <w:rPr>
          <w:rFonts w:ascii="Book Antiqua" w:hAnsi="Book Antiqua" w:cs="Arial"/>
          <w:sz w:val="24"/>
          <w:szCs w:val="24"/>
        </w:rPr>
        <w:t xml:space="preserve">633, or a 58% increase (slope = 1739$/year [1646 to 1833], </w:t>
      </w:r>
      <w:r w:rsidR="008447E4"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&lt;</w:t>
      </w:r>
      <w:r w:rsidR="00324AD6" w:rsidRPr="00E10230">
        <w:rPr>
          <w:rFonts w:ascii="Book Antiqua" w:eastAsiaTheme="minorEastAsia" w:hAnsi="Book Antiqua" w:cs="Arial"/>
          <w:sz w:val="24"/>
          <w:szCs w:val="24"/>
          <w:lang w:eastAsia="zh-CN"/>
        </w:rPr>
        <w:t xml:space="preserve"> </w:t>
      </w:r>
      <w:r w:rsidRPr="00E10230">
        <w:rPr>
          <w:rFonts w:ascii="Book Antiqua" w:hAnsi="Book Antiqua" w:cs="Arial"/>
          <w:sz w:val="24"/>
          <w:szCs w:val="24"/>
        </w:rPr>
        <w:t xml:space="preserve">0.0001). Temporal trends of these mean charges were still significant (all </w:t>
      </w:r>
      <w:r w:rsidR="008447E4"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&lt;</w:t>
      </w:r>
      <w:r w:rsidR="00324AD6" w:rsidRPr="00E10230">
        <w:rPr>
          <w:rFonts w:ascii="Book Antiqua" w:eastAsiaTheme="minorEastAsia" w:hAnsi="Book Antiqua" w:cs="Arial"/>
          <w:sz w:val="24"/>
          <w:szCs w:val="24"/>
          <w:lang w:eastAsia="zh-CN"/>
        </w:rPr>
        <w:t xml:space="preserve"> </w:t>
      </w:r>
      <w:r w:rsidRPr="00E10230">
        <w:rPr>
          <w:rFonts w:ascii="Book Antiqua" w:hAnsi="Book Antiqua" w:cs="Arial"/>
          <w:sz w:val="24"/>
          <w:szCs w:val="24"/>
        </w:rPr>
        <w:t>0.012) after further adjustment for mean age and LOS. Figure 4</w:t>
      </w:r>
      <w:r w:rsidR="00324AD6" w:rsidRPr="00E10230">
        <w:rPr>
          <w:rFonts w:ascii="Book Antiqua" w:eastAsiaTheme="minorEastAsia" w:hAnsi="Book Antiqua" w:cs="Arial"/>
          <w:sz w:val="24"/>
          <w:szCs w:val="24"/>
          <w:lang w:eastAsia="zh-CN"/>
        </w:rPr>
        <w:t>B</w:t>
      </w:r>
      <w:r w:rsidRPr="00E10230">
        <w:rPr>
          <w:rFonts w:ascii="Book Antiqua" w:hAnsi="Book Antiqua" w:cs="Arial"/>
          <w:sz w:val="24"/>
          <w:szCs w:val="24"/>
        </w:rPr>
        <w:t xml:space="preserve"> shows mean costs associated with four cirrhosis-associated conditions. This figure demonstrates that</w:t>
      </w:r>
      <w:r w:rsidR="00FA7394" w:rsidRPr="00E10230">
        <w:rPr>
          <w:rFonts w:ascii="Book Antiqua" w:hAnsi="Book Antiqua" w:cs="Arial"/>
          <w:sz w:val="24"/>
          <w:szCs w:val="24"/>
        </w:rPr>
        <w:t xml:space="preserve"> </w:t>
      </w:r>
      <w:r w:rsidRPr="00E10230">
        <w:rPr>
          <w:rFonts w:ascii="Book Antiqua" w:hAnsi="Book Antiqua" w:cs="Arial"/>
          <w:sz w:val="24"/>
          <w:szCs w:val="24"/>
        </w:rPr>
        <w:t xml:space="preserve">TIPS has persistently higher cost related to hospitalizations. Compared to mean charges, mean costs had less variation over time. The mean costs of TIPS, EV and SBP did not increase significantly over time (all </w:t>
      </w:r>
      <w:r w:rsidR="008447E4"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&gt;</w:t>
      </w:r>
      <w:r w:rsidR="00324AD6" w:rsidRPr="00E10230">
        <w:rPr>
          <w:rFonts w:ascii="Book Antiqua" w:eastAsiaTheme="minorEastAsia" w:hAnsi="Book Antiqua" w:cs="Arial"/>
          <w:sz w:val="24"/>
          <w:szCs w:val="24"/>
          <w:lang w:eastAsia="zh-CN"/>
        </w:rPr>
        <w:t xml:space="preserve"> </w:t>
      </w:r>
      <w:r w:rsidRPr="00E10230">
        <w:rPr>
          <w:rFonts w:ascii="Book Antiqua" w:hAnsi="Book Antiqua" w:cs="Arial"/>
          <w:sz w:val="24"/>
          <w:szCs w:val="24"/>
        </w:rPr>
        <w:t>0.15). Only HC significantl</w:t>
      </w:r>
      <w:r w:rsidR="00324AD6" w:rsidRPr="00E10230">
        <w:rPr>
          <w:rFonts w:ascii="Book Antiqua" w:hAnsi="Book Antiqua" w:cs="Arial"/>
          <w:sz w:val="24"/>
          <w:szCs w:val="24"/>
        </w:rPr>
        <w:t>y increased mean costs from $11041 in 2005 to $12</w:t>
      </w:r>
      <w:r w:rsidRPr="00E10230">
        <w:rPr>
          <w:rFonts w:ascii="Book Antiqua" w:hAnsi="Book Antiqua" w:cs="Arial"/>
          <w:sz w:val="24"/>
          <w:szCs w:val="24"/>
        </w:rPr>
        <w:t xml:space="preserve">282, or a 12% increase, slope = 217$/year [92 to 341], </w:t>
      </w:r>
      <w:r w:rsidR="008447E4"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w:t>
      </w:r>
      <w:r w:rsidR="00324AD6" w:rsidRPr="00E10230">
        <w:rPr>
          <w:rFonts w:ascii="Book Antiqua" w:eastAsiaTheme="minorEastAsia" w:hAnsi="Book Antiqua" w:cs="Arial"/>
          <w:sz w:val="24"/>
          <w:szCs w:val="24"/>
          <w:lang w:eastAsia="zh-CN"/>
        </w:rPr>
        <w:t xml:space="preserve"> </w:t>
      </w:r>
      <w:r w:rsidRPr="00E10230">
        <w:rPr>
          <w:rFonts w:ascii="Book Antiqua" w:hAnsi="Book Antiqua" w:cs="Arial"/>
          <w:sz w:val="24"/>
          <w:szCs w:val="24"/>
        </w:rPr>
        <w:t xml:space="preserve">0.004 (after adjusting for mean age and LOS, </w:t>
      </w:r>
      <w:r w:rsidR="008447E4"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w:t>
      </w:r>
      <w:r w:rsidR="00324AD6" w:rsidRPr="00E10230">
        <w:rPr>
          <w:rFonts w:ascii="Book Antiqua" w:eastAsiaTheme="minorEastAsia" w:hAnsi="Book Antiqua" w:cs="Arial"/>
          <w:sz w:val="24"/>
          <w:szCs w:val="24"/>
          <w:lang w:eastAsia="zh-CN"/>
        </w:rPr>
        <w:t xml:space="preserve"> </w:t>
      </w:r>
      <w:r w:rsidR="00324AD6" w:rsidRPr="00E10230">
        <w:rPr>
          <w:rFonts w:ascii="Book Antiqua" w:hAnsi="Book Antiqua" w:cs="Arial"/>
          <w:sz w:val="24"/>
          <w:szCs w:val="24"/>
        </w:rPr>
        <w:t>0.002).</w:t>
      </w:r>
    </w:p>
    <w:p w14:paraId="418ED343" w14:textId="57F853D8" w:rsidR="00704241" w:rsidRPr="00E10230" w:rsidRDefault="00704241" w:rsidP="00E10230">
      <w:pPr>
        <w:spacing w:after="0" w:line="360" w:lineRule="auto"/>
        <w:ind w:firstLineChars="100" w:firstLine="240"/>
        <w:jc w:val="both"/>
        <w:rPr>
          <w:rFonts w:ascii="Book Antiqua" w:hAnsi="Book Antiqua" w:cs="Arial"/>
          <w:sz w:val="24"/>
          <w:szCs w:val="24"/>
        </w:rPr>
      </w:pPr>
      <w:bookmarkStart w:id="16" w:name="_Hlk526413196"/>
      <w:bookmarkEnd w:id="15"/>
      <w:r w:rsidRPr="00E10230">
        <w:rPr>
          <w:rFonts w:ascii="Book Antiqua" w:hAnsi="Book Antiqua" w:cs="Arial"/>
          <w:sz w:val="24"/>
          <w:szCs w:val="24"/>
        </w:rPr>
        <w:t xml:space="preserve">After adjustment for inflation, aggregate charges (so called “national bill”) for hospitalizations related to EV, HC, SBP, TIPS and national increased by 65%, 150%, 1296%, 30 % and 48 %, respectively, from 2005 to 2014 (all </w:t>
      </w:r>
      <w:r w:rsidR="008447E4"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00324AD6" w:rsidRPr="00E10230">
        <w:rPr>
          <w:rFonts w:ascii="Book Antiqua" w:eastAsia="MS Mincho" w:hAnsi="Book Antiqua" w:cs="Arial"/>
          <w:sz w:val="24"/>
          <w:szCs w:val="24"/>
        </w:rPr>
        <w:t>≤</w:t>
      </w:r>
      <w:r w:rsidR="00324AD6" w:rsidRPr="00E10230">
        <w:rPr>
          <w:rFonts w:ascii="Book Antiqua" w:eastAsiaTheme="minorEastAsia" w:hAnsi="Book Antiqua" w:cs="Arial"/>
          <w:sz w:val="24"/>
          <w:szCs w:val="24"/>
          <w:lang w:eastAsia="zh-CN"/>
        </w:rPr>
        <w:t xml:space="preserve"> </w:t>
      </w:r>
      <w:r w:rsidRPr="00E10230">
        <w:rPr>
          <w:rFonts w:ascii="Book Antiqua" w:hAnsi="Book Antiqua" w:cs="Arial"/>
          <w:sz w:val="24"/>
          <w:szCs w:val="24"/>
        </w:rPr>
        <w:t xml:space="preserve">0.0001 except for EV, </w:t>
      </w:r>
      <w:r w:rsidR="00324AD6" w:rsidRPr="00E10230">
        <w:rPr>
          <w:rFonts w:ascii="Book Antiqua" w:hAnsi="Book Antiqua" w:cs="Arial"/>
          <w:i/>
          <w:sz w:val="24"/>
          <w:szCs w:val="24"/>
        </w:rPr>
        <w:t>P</w:t>
      </w:r>
      <w:r w:rsidR="00324AD6" w:rsidRPr="00E10230">
        <w:rPr>
          <w:rFonts w:ascii="Book Antiqua" w:eastAsiaTheme="minorEastAsia" w:hAnsi="Book Antiqua" w:cs="Arial"/>
          <w:sz w:val="24"/>
          <w:szCs w:val="24"/>
          <w:lang w:eastAsia="zh-CN"/>
        </w:rPr>
        <w:t xml:space="preserve"> </w:t>
      </w:r>
      <w:r w:rsidRPr="00E10230">
        <w:rPr>
          <w:rFonts w:ascii="Book Antiqua" w:hAnsi="Book Antiqua" w:cs="Arial"/>
          <w:sz w:val="24"/>
          <w:szCs w:val="24"/>
        </w:rPr>
        <w:t>=</w:t>
      </w:r>
      <w:r w:rsidR="00324AD6" w:rsidRPr="00E10230">
        <w:rPr>
          <w:rFonts w:ascii="Book Antiqua" w:eastAsiaTheme="minorEastAsia" w:hAnsi="Book Antiqua" w:cs="Arial"/>
          <w:sz w:val="24"/>
          <w:szCs w:val="24"/>
          <w:lang w:eastAsia="zh-CN"/>
        </w:rPr>
        <w:t xml:space="preserve"> </w:t>
      </w:r>
      <w:r w:rsidRPr="00E10230">
        <w:rPr>
          <w:rFonts w:ascii="Book Antiqua" w:hAnsi="Book Antiqua" w:cs="Arial"/>
          <w:sz w:val="24"/>
          <w:szCs w:val="24"/>
        </w:rPr>
        <w:t xml:space="preserve">0.30) (Figure 5a and 5b). Inflation adjusted aggregate costs of hospitalization for EV, HC, SBP and national increased by 20%, 86%, 980% and 7%, respectively, from 2005 to 2014 (all </w:t>
      </w:r>
      <w:r w:rsidR="008447E4"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&lt;</w:t>
      </w:r>
      <w:r w:rsidR="00324AD6" w:rsidRPr="00E10230">
        <w:rPr>
          <w:rFonts w:ascii="Book Antiqua" w:eastAsiaTheme="minorEastAsia" w:hAnsi="Book Antiqua" w:cs="Arial"/>
          <w:sz w:val="24"/>
          <w:szCs w:val="24"/>
          <w:lang w:eastAsia="zh-CN"/>
        </w:rPr>
        <w:t xml:space="preserve"> </w:t>
      </w:r>
      <w:r w:rsidRPr="00E10230">
        <w:rPr>
          <w:rFonts w:ascii="Book Antiqua" w:hAnsi="Book Antiqua" w:cs="Arial"/>
          <w:sz w:val="24"/>
          <w:szCs w:val="24"/>
        </w:rPr>
        <w:t>0.02), while TIPS trended toward a decreased by 3% (</w:t>
      </w:r>
      <w:r w:rsidR="008447E4" w:rsidRPr="00E10230">
        <w:rPr>
          <w:rFonts w:ascii="Book Antiqua" w:hAnsi="Book Antiqua" w:cs="Arial"/>
          <w:i/>
          <w:sz w:val="24"/>
          <w:szCs w:val="24"/>
        </w:rPr>
        <w:t>P</w:t>
      </w:r>
      <w:r w:rsidR="00324AD6"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w:t>
      </w:r>
      <w:r w:rsidR="00324AD6" w:rsidRPr="00E10230">
        <w:rPr>
          <w:rFonts w:ascii="Book Antiqua" w:eastAsiaTheme="minorEastAsia" w:hAnsi="Book Antiqua" w:cs="Arial"/>
          <w:sz w:val="24"/>
          <w:szCs w:val="24"/>
          <w:lang w:eastAsia="zh-CN"/>
        </w:rPr>
        <w:t xml:space="preserve"> </w:t>
      </w:r>
      <w:r w:rsidRPr="00E10230">
        <w:rPr>
          <w:rFonts w:ascii="Book Antiqua" w:hAnsi="Book Antiqua" w:cs="Arial"/>
          <w:sz w:val="24"/>
          <w:szCs w:val="24"/>
        </w:rPr>
        <w:t>0.95) (Figure 5</w:t>
      </w:r>
      <w:r w:rsidR="00324AD6" w:rsidRPr="00E10230">
        <w:rPr>
          <w:rFonts w:ascii="Book Antiqua" w:hAnsi="Book Antiqua" w:cs="Arial"/>
          <w:sz w:val="24"/>
          <w:szCs w:val="24"/>
        </w:rPr>
        <w:t>C</w:t>
      </w:r>
      <w:r w:rsidRPr="00E10230">
        <w:rPr>
          <w:rFonts w:ascii="Book Antiqua" w:hAnsi="Book Antiqua" w:cs="Arial"/>
          <w:sz w:val="24"/>
          <w:szCs w:val="24"/>
        </w:rPr>
        <w:t xml:space="preserve"> and 5</w:t>
      </w:r>
      <w:r w:rsidR="00324AD6" w:rsidRPr="00E10230">
        <w:rPr>
          <w:rFonts w:ascii="Book Antiqua" w:hAnsi="Book Antiqua" w:cs="Arial"/>
          <w:sz w:val="24"/>
          <w:szCs w:val="24"/>
        </w:rPr>
        <w:t>D</w:t>
      </w:r>
      <w:r w:rsidRPr="00E10230">
        <w:rPr>
          <w:rFonts w:ascii="Book Antiqua" w:hAnsi="Book Antiqua" w:cs="Arial"/>
          <w:sz w:val="24"/>
          <w:szCs w:val="24"/>
        </w:rPr>
        <w:t xml:space="preserve">). </w:t>
      </w:r>
    </w:p>
    <w:bookmarkEnd w:id="16"/>
    <w:p w14:paraId="2EB18632" w14:textId="6B99ECE1" w:rsidR="00704241" w:rsidRPr="00E10230" w:rsidRDefault="00704241" w:rsidP="00E10230">
      <w:pPr>
        <w:spacing w:after="0" w:line="360" w:lineRule="auto"/>
        <w:ind w:firstLineChars="100" w:firstLine="240"/>
        <w:jc w:val="both"/>
        <w:rPr>
          <w:rFonts w:ascii="Book Antiqua" w:hAnsi="Book Antiqua" w:cs="Arial"/>
          <w:sz w:val="24"/>
          <w:szCs w:val="24"/>
        </w:rPr>
      </w:pPr>
      <w:r w:rsidRPr="00E10230">
        <w:rPr>
          <w:rFonts w:ascii="Book Antiqua" w:hAnsi="Book Antiqua" w:cs="Arial"/>
          <w:sz w:val="24"/>
          <w:szCs w:val="24"/>
        </w:rPr>
        <w:t>Table 1 and 2 show</w:t>
      </w:r>
      <w:r w:rsidR="003978F7" w:rsidRPr="00E10230">
        <w:rPr>
          <w:rFonts w:ascii="Book Antiqua" w:eastAsiaTheme="minorEastAsia" w:hAnsi="Book Antiqua" w:cs="Arial"/>
          <w:sz w:val="24"/>
          <w:szCs w:val="24"/>
          <w:lang w:eastAsia="zh-CN"/>
        </w:rPr>
        <w:t>s</w:t>
      </w:r>
      <w:r w:rsidRPr="00E10230">
        <w:rPr>
          <w:rFonts w:ascii="Book Antiqua" w:hAnsi="Book Antiqua" w:cs="Arial"/>
          <w:sz w:val="24"/>
          <w:szCs w:val="24"/>
        </w:rPr>
        <w:t xml:space="preserve"> age and sex distributions, insurance coverage and bed size for 2005 and 2014 respectively. For four cirrhosis-associated conditions, proportions of patients are shifting from large hospitals to small-medium sized hospitals.</w:t>
      </w:r>
    </w:p>
    <w:p w14:paraId="6B760434" w14:textId="77777777" w:rsidR="00704241" w:rsidRPr="00E10230" w:rsidRDefault="00704241" w:rsidP="00E10230">
      <w:pPr>
        <w:spacing w:after="0" w:line="360" w:lineRule="auto"/>
        <w:jc w:val="both"/>
        <w:rPr>
          <w:rFonts w:ascii="Book Antiqua" w:hAnsi="Book Antiqua" w:cs="Arial"/>
          <w:sz w:val="24"/>
          <w:szCs w:val="24"/>
        </w:rPr>
      </w:pPr>
    </w:p>
    <w:p w14:paraId="298C2924" w14:textId="77777777" w:rsidR="00704241" w:rsidRPr="00E10230" w:rsidRDefault="00394254" w:rsidP="00E10230">
      <w:pPr>
        <w:spacing w:after="0" w:line="360" w:lineRule="auto"/>
        <w:jc w:val="both"/>
        <w:rPr>
          <w:rFonts w:ascii="Book Antiqua" w:hAnsi="Book Antiqua" w:cs="Arial"/>
          <w:b/>
          <w:sz w:val="24"/>
          <w:szCs w:val="24"/>
        </w:rPr>
      </w:pPr>
      <w:r w:rsidRPr="00E10230">
        <w:rPr>
          <w:rFonts w:ascii="Book Antiqua" w:hAnsi="Book Antiqua" w:cs="Arial"/>
          <w:b/>
          <w:sz w:val="24"/>
          <w:szCs w:val="24"/>
        </w:rPr>
        <w:t>DISCUSSION</w:t>
      </w:r>
    </w:p>
    <w:p w14:paraId="01131370" w14:textId="338D0A5B" w:rsidR="00704241" w:rsidRPr="00E10230" w:rsidRDefault="00704241" w:rsidP="00E10230">
      <w:pPr>
        <w:spacing w:after="0" w:line="360" w:lineRule="auto"/>
        <w:jc w:val="both"/>
        <w:rPr>
          <w:rFonts w:ascii="Book Antiqua" w:eastAsiaTheme="minorEastAsia" w:hAnsi="Book Antiqua" w:cs="Arial"/>
          <w:noProof/>
          <w:sz w:val="24"/>
          <w:szCs w:val="24"/>
          <w:lang w:eastAsia="zh-CN"/>
        </w:rPr>
      </w:pPr>
      <w:r w:rsidRPr="00E10230">
        <w:rPr>
          <w:rFonts w:ascii="Book Antiqua" w:hAnsi="Book Antiqua" w:cs="Arial"/>
          <w:sz w:val="24"/>
          <w:szCs w:val="24"/>
        </w:rPr>
        <w:t xml:space="preserve">Discharges with a primary diagnosis of HC, SBP, or EV showed increasing trends despite the decreasing trend for total hospitalizations across the nation over a 10-year period, from 2005 to 2014. Especially for SBP, trends show an 819% increase in hospitalization for this primary diagnosis over 10 years. Hospitalization due to HC also demonstrated significant increase over the study period, mainly attributable to the increase in HC coding specifically related to viral hepatitis. Approximately 20.5% of HC </w:t>
      </w:r>
      <w:r w:rsidRPr="00E10230">
        <w:rPr>
          <w:rFonts w:ascii="Book Antiqua" w:hAnsi="Book Antiqua" w:cs="Arial"/>
          <w:sz w:val="24"/>
          <w:szCs w:val="24"/>
        </w:rPr>
        <w:lastRenderedPageBreak/>
        <w:t>is precipitated by SBP</w:t>
      </w:r>
      <w:r w:rsidR="003978F7" w:rsidRPr="00E10230">
        <w:rPr>
          <w:rFonts w:ascii="Book Antiqua" w:hAnsi="Book Antiqua" w:cs="Arial"/>
          <w:sz w:val="24"/>
          <w:szCs w:val="24"/>
        </w:rPr>
        <w:fldChar w:fldCharType="begin" w:fldLock="1"/>
      </w:r>
      <w:r w:rsidR="003978F7" w:rsidRPr="00E10230">
        <w:rPr>
          <w:rFonts w:ascii="Book Antiqua" w:hAnsi="Book Antiqua" w:cs="Arial"/>
          <w:sz w:val="24"/>
          <w:szCs w:val="24"/>
        </w:rPr>
        <w:instrText>ADDIN CSL_CITATION {"citationItems":[{"id":"ITEM-1","itemData":{"DOI":"08.2010/JCPSP.514518","ISSN":"1022-386X","PMID":"20688015","abstract":"OBJECTIVE To determine precipitants of hepatic encephalopathy (HE) and their impact on hospital stay and mortality. STUDY DESIGN Cross-sectional, analytical study. PLACE AND DURATION OF STUDY The Aga Khan University Hospital, from January 2005 to December 2007. METHODOLOGY Consecutive patients admitted with different grades of HE were evaluated between January 2005 and December 2007. The precipitants of HE were correlated with the different grades of HE, and length of hospital stay and mortality. Chi-square test was used to compare the proportion of precipitating factors versus hospital stay and grade with significance at p&lt;0.05. RESULTS Of the 404 patients 252 (62%) were males. Hepatitis C virus was the cause of cirrhosis in 283 (70%); Child Turcotte Pugh (CTP) class C was present in 317 (78%) patients. On presentation, 17% patients had grade 1 HE while 44%, 29% and 10% had grades 2, 3 and 4 respectively. The most common precipitant of HE was spontaneous bacterial peritonitis in 83 (20.5%), constipation in 74 (18.3%) and urinary tract infection in 62 (15.3%). One hundred and forty (35%) patients had (3) 2 precipitating factors while no precipitant was noted in 50 (12%) patients. Mean hospital stay was 4+/-3 days. The lesser the number of precipitants, shorter was the length of stay (p&lt;0.01) and lesser was the grade of HE (p=0.025). Complete reversal of HE was noted in 366 patients (91%) while the remaining had grade 1 HE on discharge. Nine (2.2%) patients died during the hospital stay. No mortality was noted in patients without precipitants. CONCLUSION Patients presenting with (3) 2 precipitating factors and advanced grade of HE had a prolonged hospital stay. Moreover, patients without precipitants had better outcomes.","author":[{"dropping-particle":"","family":"Mumtaz","given":"Khalid","non-dropping-particle":"","parse-names":false,"suffix":""},{"dropping-particle":"","family":"Ahmed","given":"Umair Syed","non-dropping-particle":"","parse-names":false,"suffix":""},{"dropping-particle":"","family":"Abid","given":"Shahab","non-dropping-particle":"","parse-names":false,"suffix":""},{"dropping-particle":"","family":"Baig","given":"Noshaba","non-dropping-particle":"","parse-names":false,"suffix":""},{"dropping-particle":"","family":"Hamid","given":"Saeed","non-dropping-particle":"","parse-names":false,"suffix":""},{"dropping-particle":"","family":"Jafri","given":"Wasim","non-dropping-particle":"","parse-names":false,"suffix":""}],"container-title":"Journal of the College of Physicians and Surgeons--Pakistan : JCPSP","id":"ITEM-1","issue":"8","issued":{"date-parts":[["2010","8"]]},"page":"514-8","title":"Precipitating factors and the outcome of hepatic encephalopathy in liver cirrhosis.","type":"article-journal","volume":"20"},"uris":["http://www.mendeley.com/documents/?uuid=dd901cfe-b6a3-40d7-adb0-e3319d6c1c34"]}],"mendeley":{"formattedCitation":"&lt;sup&gt;[21]&lt;/sup&gt;","plainTextFormattedCitation":"[21]","previouslyFormattedCitation":"&lt;sup&gt;[21]&lt;/sup&gt;"},"properties":{"noteIndex":0},"schema":"https://github.com/citation-style-language/schema/raw/master/csl-citation.json"}</w:instrText>
      </w:r>
      <w:r w:rsidR="003978F7" w:rsidRPr="00E10230">
        <w:rPr>
          <w:rFonts w:ascii="Book Antiqua" w:hAnsi="Book Antiqua" w:cs="Arial"/>
          <w:sz w:val="24"/>
          <w:szCs w:val="24"/>
        </w:rPr>
        <w:fldChar w:fldCharType="separate"/>
      </w:r>
      <w:r w:rsidR="003978F7" w:rsidRPr="00E10230">
        <w:rPr>
          <w:rFonts w:ascii="Book Antiqua" w:hAnsi="Book Antiqua" w:cs="Arial"/>
          <w:noProof/>
          <w:sz w:val="24"/>
          <w:szCs w:val="24"/>
          <w:vertAlign w:val="superscript"/>
        </w:rPr>
        <w:t>[21]</w:t>
      </w:r>
      <w:r w:rsidR="003978F7" w:rsidRPr="00E10230">
        <w:rPr>
          <w:rFonts w:ascii="Book Antiqua" w:hAnsi="Book Antiqua" w:cs="Arial"/>
          <w:sz w:val="24"/>
          <w:szCs w:val="24"/>
        </w:rPr>
        <w:fldChar w:fldCharType="end"/>
      </w:r>
      <w:r w:rsidRPr="00E10230">
        <w:rPr>
          <w:rFonts w:ascii="Book Antiqua" w:hAnsi="Book Antiqua" w:cs="Arial"/>
          <w:sz w:val="24"/>
          <w:szCs w:val="24"/>
        </w:rPr>
        <w:t>. Therefore, increasing SBP with increasing HC suggests actual increase in case number along with change in coding behavior. One recent study showed that there was an increase in hepatitis C virus infection-related mortality from 2007 to 2013, and this may explain increasing trends of hepatic coma related to viral hepatitis</w:t>
      </w:r>
      <w:r w:rsidR="003978F7" w:rsidRPr="00E10230">
        <w:rPr>
          <w:rFonts w:ascii="Book Antiqua" w:hAnsi="Book Antiqua" w:cs="Arial"/>
          <w:sz w:val="24"/>
          <w:szCs w:val="24"/>
        </w:rPr>
        <w:fldChar w:fldCharType="begin" w:fldLock="1"/>
      </w:r>
      <w:r w:rsidR="003978F7" w:rsidRPr="00E10230">
        <w:rPr>
          <w:rFonts w:ascii="Book Antiqua" w:hAnsi="Book Antiqua" w:cs="Arial"/>
          <w:sz w:val="24"/>
          <w:szCs w:val="24"/>
        </w:rPr>
        <w:instrText>ADDIN CSL_CITATION {"citationItems":[{"id":"ITEM-1","itemData":{"DOI":"10.1053/j.gastro.2018.07.008","ISSN":"1528-0012","PMID":"30009816","abstract":"BACKGROUND &amp; AIMS Although treatment of hepatitis C virus (HCV) infection has improved, the prevalence of alcoholic liver disease (ALD) has been increasing, so we need an updated estimate of the burden and etiology-specific mortality of chronic liver diseases. We studied the trends in age-standardized mortality of chronic liver diseases among adults 20 years or older in the United States (US), from 2007 through 2016. METHODS We collected data from the US Census and National Center for Health Statistics mortality records, identifying individuals with HCV infection, ALD, nonalcoholic fatty liver disease (NAFLD), or hepatitis B virus (HBV) infection using ICD-10 codes. We obtained temporal mortality rate patterns using joinpoint trend analysis with estimates of annual percentage change (APC). RESULTS Age-standardized HCV-related mortality increased from 7.17/100,000 persons in 2007 to 8.14/100,000 persons in 2013, followed by a marked decrease in the time period at which patients began receiving treatment with direct-acting antiviral agents (from 8.09/100,000 persons in 2014 to 7.15/100,000 persons in 2016). The APC in HCV mortality increased 2.0%/year from 2007 through 2014, but decreased 6.4%/year from 2014 through 2016. In contrast, age-standardized mortality increased for ALD (APC of 2.3% from 2007 through 2013 and APC of 5.5% from 2013 through 2016) and NAFLD (APC of 6.1% from 2007 through 2013 and APC of 11.3% from 2013 through 2016). HBV-related mortality decreased steadily from 2007 through 2016, with an average APC of -2.1% (95% CI, -3.0 to -1.2). Etiology-based mortality in minority populations were higher. HCV-related mortality (per 100,000 persons) was highest among non-Hispanic blacks (10.28) and whites (6.92), followed by Hispanics (5.94), and lowest among non-Hispanic Asians (2.33). Non-Hispanic Asians had higher mortality for HBV infection (2.82 per 100,000 vs 1.02 for non-Hispanic blacks, and 0.47 for non-Hispanic whites). CONCLUSION In our population-based analysis of chronic liver disease mortality in the US, the decline in HCV-related mortality coincided with the introduction of direct-acting antiviral therapies, while the mortality from ALD and NAFLD increased during the same period. Minorities in the US have disproportionately higher chronic liver disease-related mortality.","author":[{"dropping-particle":"","family":"Kim","given":"Donghee","non-dropping-particle":"","parse-names":false,"suffix":""},{"dropping-particle":"","family":"Li","given":"Andrew A","non-dropping-particle":"","parse-names":false,"suffix":""},{"dropping-particle":"","family":"Gadiparthi","given":"Chiranjeevi","non-dropping-particle":"","parse-names":false,"suffix":""},{"dropping-particle":"","family":"Khan","given":"Muhammad Ali","non-dropping-particle":"","parse-names":false,"suffix":""},{"dropping-particle":"","family":"Cholankeril","given":"George","non-dropping-particle":"","parse-names":false,"suffix":""},{"dropping-particle":"","family":"Glenn","given":"Jeffrey S","non-dropping-particle":"","parse-names":false,"suffix":""},{"dropping-particle":"","family":"Ahmed","given":"Aijaz","non-dropping-particle":"","parse-names":false,"suffix":""}],"container-title":"Gastroenterology","id":"ITEM-1","issued":{"date-parts":[["2018","7","12"]]},"title":"Changing Trends in Etiology-based Annual Mortality From Chronic Liver Disease, From 2007 Through 2016.","type":"article-journal"},"uris":["http://www.mendeley.com/documents/?uuid=4123293a-8c27-4cd2-914e-48dd7de6fae7"]}],"mendeley":{"formattedCitation":"&lt;sup&gt;[22]&lt;/sup&gt;","plainTextFormattedCitation":"[22]","previouslyFormattedCitation":"&lt;sup&gt;[22]&lt;/sup&gt;"},"properties":{"noteIndex":0},"schema":"https://github.com/citation-style-language/schema/raw/master/csl-citation.json"}</w:instrText>
      </w:r>
      <w:r w:rsidR="003978F7" w:rsidRPr="00E10230">
        <w:rPr>
          <w:rFonts w:ascii="Book Antiqua" w:hAnsi="Book Antiqua" w:cs="Arial"/>
          <w:sz w:val="24"/>
          <w:szCs w:val="24"/>
        </w:rPr>
        <w:fldChar w:fldCharType="separate"/>
      </w:r>
      <w:r w:rsidR="003978F7" w:rsidRPr="00E10230">
        <w:rPr>
          <w:rFonts w:ascii="Book Antiqua" w:hAnsi="Book Antiqua" w:cs="Arial"/>
          <w:noProof/>
          <w:sz w:val="24"/>
          <w:szCs w:val="24"/>
          <w:vertAlign w:val="superscript"/>
        </w:rPr>
        <w:t>[22]</w:t>
      </w:r>
      <w:r w:rsidR="003978F7" w:rsidRPr="00E10230">
        <w:rPr>
          <w:rFonts w:ascii="Book Antiqua" w:hAnsi="Book Antiqua" w:cs="Arial"/>
          <w:sz w:val="24"/>
          <w:szCs w:val="24"/>
        </w:rPr>
        <w:fldChar w:fldCharType="end"/>
      </w:r>
      <w:r w:rsidRPr="00E10230">
        <w:rPr>
          <w:rFonts w:ascii="Book Antiqua" w:hAnsi="Book Antiqua" w:cs="Arial"/>
          <w:sz w:val="24"/>
          <w:szCs w:val="24"/>
        </w:rPr>
        <w:t>. The referenced study also noted decreasing mortality related to hepatitis C infection from 2014 to 2016 due to introduction of direct-acting antiviral agents</w:t>
      </w:r>
      <w:r w:rsidR="003978F7" w:rsidRPr="00E10230">
        <w:rPr>
          <w:rFonts w:ascii="Book Antiqua" w:hAnsi="Book Antiqua" w:cs="Arial"/>
          <w:sz w:val="24"/>
          <w:szCs w:val="24"/>
        </w:rPr>
        <w:fldChar w:fldCharType="begin" w:fldLock="1"/>
      </w:r>
      <w:r w:rsidR="003978F7" w:rsidRPr="00E10230">
        <w:rPr>
          <w:rFonts w:ascii="Book Antiqua" w:hAnsi="Book Antiqua" w:cs="Arial"/>
          <w:sz w:val="24"/>
          <w:szCs w:val="24"/>
        </w:rPr>
        <w:instrText>ADDIN CSL_CITATION {"citationItems":[{"id":"ITEM-1","itemData":{"DOI":"10.1053/j.gastro.2018.07.008","ISSN":"1528-0012","PMID":"30009816","abstract":"BACKGROUND &amp; AIMS Although treatment of hepatitis C virus (HCV) infection has improved, the prevalence of alcoholic liver disease (ALD) has been increasing, so we need an updated estimate of the burden and etiology-specific mortality of chronic liver diseases. We studied the trends in age-standardized mortality of chronic liver diseases among adults 20 years or older in the United States (US), from 2007 through 2016. METHODS We collected data from the US Census and National Center for Health Statistics mortality records, identifying individuals with HCV infection, ALD, nonalcoholic fatty liver disease (NAFLD), or hepatitis B virus (HBV) infection using ICD-10 codes. We obtained temporal mortality rate patterns using joinpoint trend analysis with estimates of annual percentage change (APC). RESULTS Age-standardized HCV-related mortality increased from 7.17/100,000 persons in 2007 to 8.14/100,000 persons in 2013, followed by a marked decrease in the time period at which patients began receiving treatment with direct-acting antiviral agents (from 8.09/100,000 persons in 2014 to 7.15/100,000 persons in 2016). The APC in HCV mortality increased 2.0%/year from 2007 through 2014, but decreased 6.4%/year from 2014 through 2016. In contrast, age-standardized mortality increased for ALD (APC of 2.3% from 2007 through 2013 and APC of 5.5% from 2013 through 2016) and NAFLD (APC of 6.1% from 2007 through 2013 and APC of 11.3% from 2013 through 2016). HBV-related mortality decreased steadily from 2007 through 2016, with an average APC of -2.1% (95% CI, -3.0 to -1.2). Etiology-based mortality in minority populations were higher. HCV-related mortality (per 100,000 persons) was highest among non-Hispanic blacks (10.28) and whites (6.92), followed by Hispanics (5.94), and lowest among non-Hispanic Asians (2.33). Non-Hispanic Asians had higher mortality for HBV infection (2.82 per 100,000 vs 1.02 for non-Hispanic blacks, and 0.47 for non-Hispanic whites). CONCLUSION In our population-based analysis of chronic liver disease mortality in the US, the decline in HCV-related mortality coincided with the introduction of direct-acting antiviral therapies, while the mortality from ALD and NAFLD increased during the same period. Minorities in the US have disproportionately higher chronic liver disease-related mortality.","author":[{"dropping-particle":"","family":"Kim","given":"Donghee","non-dropping-particle":"","parse-names":false,"suffix":""},{"dropping-particle":"","family":"Li","given":"Andrew A","non-dropping-particle":"","parse-names":false,"suffix":""},{"dropping-particle":"","family":"Gadiparthi","given":"Chiranjeevi","non-dropping-particle":"","parse-names":false,"suffix":""},{"dropping-particle":"","family":"Khan","given":"Muhammad Ali","non-dropping-particle":"","parse-names":false,"suffix":""},{"dropping-particle":"","family":"Cholankeril","given":"George","non-dropping-particle":"","parse-names":false,"suffix":""},{"dropping-particle":"","family":"Glenn","given":"Jeffrey S","non-dropping-particle":"","parse-names":false,"suffix":""},{"dropping-particle":"","family":"Ahmed","given":"Aijaz","non-dropping-particle":"","parse-names":false,"suffix":""}],"container-title":"Gastroenterology","id":"ITEM-1","issued":{"date-parts":[["2018","7","12"]]},"title":"Changing Trends in Etiology-based Annual Mortality From Chronic Liver Disease, From 2007 Through 2016.","type":"article-journal"},"uris":["http://www.mendeley.com/documents/?uuid=4123293a-8c27-4cd2-914e-48dd7de6fae7"]}],"mendeley":{"formattedCitation":"&lt;sup&gt;[22]&lt;/sup&gt;","plainTextFormattedCitation":"[22]","previouslyFormattedCitation":"&lt;sup&gt;[22]&lt;/sup&gt;"},"properties":{"noteIndex":0},"schema":"https://github.com/citation-style-language/schema/raw/master/csl-citation.json"}</w:instrText>
      </w:r>
      <w:r w:rsidR="003978F7" w:rsidRPr="00E10230">
        <w:rPr>
          <w:rFonts w:ascii="Book Antiqua" w:hAnsi="Book Antiqua" w:cs="Arial"/>
          <w:sz w:val="24"/>
          <w:szCs w:val="24"/>
        </w:rPr>
        <w:fldChar w:fldCharType="separate"/>
      </w:r>
      <w:r w:rsidR="003978F7" w:rsidRPr="00E10230">
        <w:rPr>
          <w:rFonts w:ascii="Book Antiqua" w:hAnsi="Book Antiqua" w:cs="Arial"/>
          <w:noProof/>
          <w:sz w:val="24"/>
          <w:szCs w:val="24"/>
          <w:vertAlign w:val="superscript"/>
        </w:rPr>
        <w:t>[22]</w:t>
      </w:r>
      <w:r w:rsidR="003978F7" w:rsidRPr="00E10230">
        <w:rPr>
          <w:rFonts w:ascii="Book Antiqua" w:hAnsi="Book Antiqua" w:cs="Arial"/>
          <w:sz w:val="24"/>
          <w:szCs w:val="24"/>
        </w:rPr>
        <w:fldChar w:fldCharType="end"/>
      </w:r>
      <w:r w:rsidRPr="00E10230">
        <w:rPr>
          <w:rFonts w:ascii="Book Antiqua" w:hAnsi="Book Antiqua" w:cs="Arial"/>
          <w:sz w:val="24"/>
          <w:szCs w:val="24"/>
        </w:rPr>
        <w:t>. Therefore, trends may change beyond 2014 and future study to assess this change will be necessary. Previous population-based studies</w:t>
      </w:r>
      <w:r w:rsidR="00FA7394" w:rsidRPr="00E10230">
        <w:rPr>
          <w:rFonts w:ascii="Book Antiqua" w:hAnsi="Book Antiqua" w:cs="Arial"/>
          <w:sz w:val="24"/>
          <w:szCs w:val="24"/>
        </w:rPr>
        <w:fldChar w:fldCharType="begin" w:fldLock="1"/>
      </w:r>
      <w:r w:rsidR="00DC4477" w:rsidRPr="00E10230">
        <w:rPr>
          <w:rFonts w:ascii="Book Antiqua" w:hAnsi="Book Antiqua" w:cs="Arial"/>
          <w:sz w:val="24"/>
          <w:szCs w:val="24"/>
        </w:rPr>
        <w:instrText>ADDIN CSL_CITATION {"citationItems":[{"id":"ITEM-1","itemData":{"DOI":"10.1016/j.cgh.2008.02.049","ISSN":"1542-7714","PMID":"18456566","abstract":"BACKGROUND &amp; AIMS In recent years, there have been many advances in the primary and secondary prophylaxis of variceal bleeding. The aim of this study was to evaluate nationwide trends in the hospitalization rate of bleeding esophageal varices in the advent of these new modalities. In addition, our aims were to study the incidence trends of nonbleeding esophageal varices over the past 2 decades while studying hospitalization rates for cirrhosis over the same study period. METHODS The Nationwide Inpatient Sample database was used for inpatient data analysis (1988-2002) and the State Ambulatory Surgery Database was used for outpatient analysis. Patients discharged with International Classification of Diseases, ninth revision, Clinical Modification discharge diagnoses related to esophageal varices were included. RESULTS The hospitalization rate of bleeding varices increased 13.7% from 10.9 per 100,000 in the 1988 to 1990 period to 12.4 per 100,000 in the 1994 to 1996 period (P &lt; .01), and then decreased 14.5% to 10.6 per 100,000 in the 2000 to 2002 period (P &lt; .01). In-hospital nonbleeding varices increased 55% from 6.0 to 9.3 per 100,000 from the 1988 to 1990 period to the 2000 to 2002 period (P &lt; .01). Outpatient nonbleeding esophageal varices increased 20% from 5.5 to 6.6 per 100,000 from 1997 to 2003. CONCLUSIONS The hospitalization rate for bleeding esophageal varices has been on the decline in recent years and may be a reflection of the advances in primary and secondary prophylaxis. The incidence rate of nonbleeding esophageal varices is increasing and likely is owing to the increasing burden of portal hypertensive liver disease in the nation.","author":[{"dropping-particle":"","family":"Jamal","given":"M Mazen","non-dropping-particle":"","parse-names":false,"suffix":""},{"dropping-particle":"","family":"Samarasena","given":"Jason B","non-dropping-particle":"","parse-names":false,"suffix":""},{"dropping-particle":"","family":"Hashemzadeh","given":"Mehrtash","non-dropping-particle":"","parse-names":false,"suffix":""},{"dropping-particle":"","family":"Vega","given":"Kenneth J","non-dropping-particle":"","parse-names":false,"suffix":""}],"container-title":"Clinical gastroenterology and hepatology : the official clinical practice journal of the American Gastroenterological Association","id":"ITEM-1","issue":"6","issued":{"date-parts":[["2008","6"]]},"page":"689-95; quiz 605","title":"Declining hospitalization rate of esophageal variceal bleeding in the United States.","type":"article-journal","volume":"6"},"uris":["http://www.mendeley.com/documents/?uuid=7a9220bf-69d9-484e-9a9c-7f7c27a94a1d"]},{"id":"ITEM-2","itemData":{"DOI":"10.3748/wjg.v20.i32.11326","ISSN":"2219-2840","PMID":"25170218","abstract":"AIM To examine hospitalization rates for variceal hemorrhage and relation to cause of cirrhosis during an era of increased cirrhosis prevalence. METHODS We performed a retrospective review of patients with cirrhosis and gastroesophageal variceal hemorrhage who were admitted to a tertiary care referral center from 1998 to 2009. Subjects were classified according to the etiology of their liver disease: alcoholic cirrhosis and non-alcoholic cirrhosis. Rates of hospitalization for variceal bleeding were determined. Data were also collected on total hospital admissions per year and cirrhosis-related admissions per year over the same time period. These data were then compared and analyzed for trends in admission rates. RESULTS Hospitalizations for cirrhosis significantly increased from 611 per 100000 admissions in 1998-2001 to 1232 per 100000 admissions in 2006-9 (P value for trend &lt; 0.0001). This increase was seen in admissions for both alcoholic and non-alcoholic cirrhosis (P values for trend &lt; 0.001 and &lt; 0.0001 respectively). During the same time period, there were 243 admissions for gastroesophageal variceal bleeding (68% male, mean age 54.3 years, 62% alcoholic cirrhosis). Hospitalizations for gastroesophageal variceal bleeding significantly decreased from 96.6 per 100000 admissions for the time period 1998-2001 to 70.6 per 100000 admissions for the time period 2006-2009 (P value for trend = 0.01). There were significant reductions in variceal hemorrhage from non-alcoholic cirrhosis (41.6 per 100000 admissions in 1998-2001 to 19.7 per 100000 admissions in 2006-2009, P value for trend = 0.007). CONCLUSION Hospitalizations for variceal hemorrhage have decreased, most notably in patients with non-alcoholic cirrhosis, and this may reflect broader use of strategies to prevent bleeding.","author":[{"dropping-particle":"","family":"Lim","given":"Nicholas","non-dropping-particle":"","parse-names":false,"suffix":""},{"dropping-particle":"","family":"Desarno","given":"Michael J","non-dropping-particle":"","parse-names":false,"suffix":""},{"dropping-particle":"","family":"Lidofsky","given":"Steven D","non-dropping-particle":"","parse-names":false,"suffix":""},{"dropping-particle":"","family":"Ganguly","given":"Eric","non-dropping-particle":"","parse-names":false,"suffix":""}],"container-title":"World journal of gastroenterology","id":"ITEM-2","issue":"32","issued":{"date-parts":[["2014","8","28"]]},"page":"11326-32","title":"Hospitalization for variceal hemorrhage in an era with more prevalent cirrhosis.","type":"article-journal","volume":"20"},"uris":["http://www.mendeley.com/documents/?uuid=b506f899-4a67-4c37-8c6e-4c848e1622fd"]},{"id":"ITEM-3","itemData":{"DOI":"10.1002/jhm.2360","ISSN":"1553-5606","PMID":"25976490","abstract":"Esophageal variceal bleeding (EVB) is a frequent complication in cirrhotic patients resulting in considerable mortality and morbidity. The aim of this study was to investigate the occurrence, impact, and trends of EVB in hospitalized cirrhotic patients on a nationwide level in the United States. We interrogated data from the Nationwide Inpatient Sample from 2002 to 2012. Utilizing International Classification of Diseases, Ninth Revision, Clinical Modification codes, we analyzed hospital discharges for cirrhosis and related EVB in adult patients. EVB in cirrhotic patients was independently associated with overall worse outcomes with respect to in-hospital mortality (10% vs 5%; P &lt; 0.01) and hospital charges (median $41,000 vs $26,000; P &lt; 0.01). In the period from 2002 to 2012, the number of cirrhosis-related hospitalizations increased from 337,956 to 570,220 (P &lt; 0.01). Concurrently, the incidence of EVB in hospitalized cirrhotic patients declined from 8.60% to 5.78%, with an overall decreased trend (P &lt; 0.01). The decline in the rate of EVB in hospitalized cirrhotic patients from 2002 to 2012 likely reflects the effectiveness of primary and secondary prophylaxis.","author":[{"dropping-particle":"","family":"Pant","given":"Chaitanya","non-dropping-particle":"","parse-names":false,"suffix":""},{"dropping-particle":"","family":"Desai","given":"Madhav","non-dropping-particle":"","parse-names":false,"suffix":""},{"dropping-particle":"","family":"Deshpande","given":"Abhishek","non-dropping-particle":"","parse-names":false,"suffix":""},{"dropping-particle":"","family":"Taylor","given":"Ryan","non-dropping-particle":"","parse-names":false,"suffix":""},{"dropping-particle":"","family":"Olyaee","given":"Mojtaba","non-dropping-particle":"","parse-names":false,"suffix":""},{"dropping-particle":"","family":"Gilroy","given":"Richard","non-dropping-particle":"","parse-names":false,"suffix":""}],"container-title":"Journal of hospital medicine","id":"ITEM-3","issue":"7","issued":{"date-parts":[["2015","7"]]},"page":"453-6","title":"Esophageal variceal bleeding in hospitalized patients with cirrhosis.","type":"article-journal","volume":"10"},"uris":["http://www.mendeley.com/documents/?uuid=62fb31db-bd26-41bb-a49c-9313cc945789"]}],"mendeley":{"formattedCitation":"&lt;sup&gt;[8–10]&lt;/sup&gt;","plainTextFormattedCitation":"[8–10]","previouslyFormattedCitation":"&lt;sup&gt;[8–10]&lt;/sup&gt;"},"properties":{"noteIndex":0},"schema":"https://github.com/citation-style-language/schema/raw/master/csl-citation.json"}</w:instrText>
      </w:r>
      <w:r w:rsidR="00FA7394" w:rsidRPr="00E10230">
        <w:rPr>
          <w:rFonts w:ascii="Book Antiqua" w:hAnsi="Book Antiqua" w:cs="Arial"/>
          <w:sz w:val="24"/>
          <w:szCs w:val="24"/>
        </w:rPr>
        <w:fldChar w:fldCharType="separate"/>
      </w:r>
      <w:r w:rsidR="00E84094" w:rsidRPr="00E10230">
        <w:rPr>
          <w:rFonts w:ascii="Book Antiqua" w:hAnsi="Book Antiqua" w:cs="Arial"/>
          <w:noProof/>
          <w:sz w:val="24"/>
          <w:szCs w:val="24"/>
          <w:vertAlign w:val="superscript"/>
        </w:rPr>
        <w:t>[8–10]</w:t>
      </w:r>
      <w:r w:rsidR="00FA7394" w:rsidRPr="00E10230">
        <w:rPr>
          <w:rFonts w:ascii="Book Antiqua" w:hAnsi="Book Antiqua" w:cs="Arial"/>
          <w:sz w:val="24"/>
          <w:szCs w:val="24"/>
        </w:rPr>
        <w:fldChar w:fldCharType="end"/>
      </w:r>
      <w:r w:rsidRPr="00E10230">
        <w:rPr>
          <w:rFonts w:ascii="Book Antiqua" w:hAnsi="Book Antiqua" w:cs="Arial"/>
          <w:sz w:val="24"/>
          <w:szCs w:val="24"/>
        </w:rPr>
        <w:t xml:space="preserve"> showed declining numbers of esophageal varices-related hospitalizations, which is in contrast to our findings. One possible explanation is that our study consisted of more recent data compared </w:t>
      </w:r>
      <w:r w:rsidR="003978F7" w:rsidRPr="00E10230">
        <w:rPr>
          <w:rFonts w:ascii="Book Antiqua" w:hAnsi="Book Antiqua" w:cs="Arial"/>
          <w:sz w:val="24"/>
          <w:szCs w:val="24"/>
        </w:rPr>
        <w:t>to the published studies. Jamal</w:t>
      </w:r>
      <w:r w:rsidRPr="00E10230">
        <w:rPr>
          <w:rFonts w:ascii="Book Antiqua" w:hAnsi="Book Antiqua" w:cs="Arial"/>
          <w:sz w:val="24"/>
          <w:szCs w:val="24"/>
        </w:rPr>
        <w:t xml:space="preserve"> </w:t>
      </w:r>
      <w:r w:rsidRPr="00E10230">
        <w:rPr>
          <w:rFonts w:ascii="Book Antiqua" w:hAnsi="Book Antiqua" w:cs="Arial"/>
          <w:i/>
          <w:sz w:val="24"/>
          <w:szCs w:val="24"/>
        </w:rPr>
        <w:t>et al</w:t>
      </w:r>
      <w:r w:rsidR="003978F7" w:rsidRPr="00E10230">
        <w:rPr>
          <w:rFonts w:ascii="Book Antiqua" w:hAnsi="Book Antiqua" w:cs="Arial"/>
          <w:sz w:val="24"/>
          <w:szCs w:val="24"/>
        </w:rPr>
        <w:fldChar w:fldCharType="begin" w:fldLock="1"/>
      </w:r>
      <w:r w:rsidR="003978F7" w:rsidRPr="00E10230">
        <w:rPr>
          <w:rFonts w:ascii="Book Antiqua" w:hAnsi="Book Antiqua" w:cs="Arial"/>
          <w:sz w:val="24"/>
          <w:szCs w:val="24"/>
        </w:rPr>
        <w:instrText>ADDIN CSL_CITATION {"citationItems":[{"id":"ITEM-1","itemData":{"DOI":"10.1016/j.cgh.2008.02.049","ISSN":"1542-7714","PMID":"18456566","abstract":"BACKGROUND &amp; AIMS In recent years, there have been many advances in the primary and secondary prophylaxis of variceal bleeding. The aim of this study was to evaluate nationwide trends in the hospitalization rate of bleeding esophageal varices in the advent of these new modalities. In addition, our aims were to study the incidence trends of nonbleeding esophageal varices over the past 2 decades while studying hospitalization rates for cirrhosis over the same study period. METHODS The Nationwide Inpatient Sample database was used for inpatient data analysis (1988-2002) and the State Ambulatory Surgery Database was used for outpatient analysis. Patients discharged with International Classification of Diseases, ninth revision, Clinical Modification discharge diagnoses related to esophageal varices were included. RESULTS The hospitalization rate of bleeding varices increased 13.7% from 10.9 per 100,000 in the 1988 to 1990 period to 12.4 per 100,000 in the 1994 to 1996 period (P &lt; .01), and then decreased 14.5% to 10.6 per 100,000 in the 2000 to 2002 period (P &lt; .01). In-hospital nonbleeding varices increased 55% from 6.0 to 9.3 per 100,000 from the 1988 to 1990 period to the 2000 to 2002 period (P &lt; .01). Outpatient nonbleeding esophageal varices increased 20% from 5.5 to 6.6 per 100,000 from 1997 to 2003. CONCLUSIONS The hospitalization rate for bleeding esophageal varices has been on the decline in recent years and may be a reflection of the advances in primary and secondary prophylaxis. The incidence rate of nonbleeding esophageal varices is increasing and likely is owing to the increasing burden of portal hypertensive liver disease in the nation.","author":[{"dropping-particle":"","family":"Jamal","given":"M Mazen","non-dropping-particle":"","parse-names":false,"suffix":""},{"dropping-particle":"","family":"Samarasena","given":"Jason B","non-dropping-particle":"","parse-names":false,"suffix":""},{"dropping-particle":"","family":"Hashemzadeh","given":"Mehrtash","non-dropping-particle":"","parse-names":false,"suffix":""},{"dropping-particle":"","family":"Vega","given":"Kenneth J","non-dropping-particle":"","parse-names":false,"suffix":""}],"container-title":"Clinical gastroenterology and hepatology : the official clinical practice journal of the American Gastroenterological Association","id":"ITEM-1","issue":"6","issued":{"date-parts":[["2008","6"]]},"page":"689-95; quiz 605","title":"Declining hospitalization rate of esophageal variceal bleeding in the United States.","type":"article-journal","volume":"6"},"uris":["http://www.mendeley.com/documents/?uuid=7a9220bf-69d9-484e-9a9c-7f7c27a94a1d"]},{"id":"ITEM-2","itemData":{"DOI":"10.3748/wjg.v20.i32.11326","ISSN":"2219-2840","PMID":"25170218","abstract":"AIM To examine hospitalization rates for variceal hemorrhage and relation to cause of cirrhosis during an era of increased cirrhosis prevalence. METHODS We performed a retrospective review of patients with cirrhosis and gastroesophageal variceal hemorrhage who were admitted to a tertiary care referral center from 1998 to 2009. Subjects were classified according to the etiology of their liver disease: alcoholic cirrhosis and non-alcoholic cirrhosis. Rates of hospitalization for variceal bleeding were determined. Data were also collected on total hospital admissions per year and cirrhosis-related admissions per year over the same time period. These data were then compared and analyzed for trends in admission rates. RESULTS Hospitalizations for cirrhosis significantly increased from 611 per 100000 admissions in 1998-2001 to 1232 per 100000 admissions in 2006-9 (P value for trend &lt; 0.0001). This increase was seen in admissions for both alcoholic and non-alcoholic cirrhosis (P values for trend &lt; 0.001 and &lt; 0.0001 respectively). During the same time period, there were 243 admissions for gastroesophageal variceal bleeding (68% male, mean age 54.3 years, 62% alcoholic cirrhosis). Hospitalizations for gastroesophageal variceal bleeding significantly decreased from 96.6 per 100000 admissions for the time period 1998-2001 to 70.6 per 100000 admissions for the time period 2006-2009 (P value for trend = 0.01). There were significant reductions in variceal hemorrhage from non-alcoholic cirrhosis (41.6 per 100000 admissions in 1998-2001 to 19.7 per 100000 admissions in 2006-2009, P value for trend = 0.007). CONCLUSION Hospitalizations for variceal hemorrhage have decreased, most notably in patients with non-alcoholic cirrhosis, and this may reflect broader use of strategies to prevent bleeding.","author":[{"dropping-particle":"","family":"Lim","given":"Nicholas","non-dropping-particle":"","parse-names":false,"suffix":""},{"dropping-particle":"","family":"Desarno","given":"Michael J","non-dropping-particle":"","parse-names":false,"suffix":""},{"dropping-particle":"","family":"Lidofsky","given":"Steven D","non-dropping-particle":"","parse-names":false,"suffix":""},{"dropping-particle":"","family":"Ganguly","given":"Eric","non-dropping-particle":"","parse-names":false,"suffix":""}],"container-title":"World journal of gastroenterology","id":"ITEM-2","issue":"32","issued":{"date-parts":[["2014","8","28"]]},"page":"11326-32","title":"Hospitalization for variceal hemorrhage in an era with more prevalent cirrhosis.","type":"article-journal","volume":"20"},"uris":["http://www.mendeley.com/documents/?uuid=b506f899-4a67-4c37-8c6e-4c848e1622fd"]},{"id":"ITEM-3","itemData":{"DOI":"10.1002/jhm.2360","ISSN":"1553-5606","PMID":"25976490","abstract":"Esophageal variceal bleeding (EVB) is a frequent complication in cirrhotic patients resulting in considerable mortality and morbidity. The aim of this study was to investigate the occurrence, impact, and trends of EVB in hospitalized cirrhotic patients on a nationwide level in the United States. We interrogated data from the Nationwide Inpatient Sample from 2002 to 2012. Utilizing International Classification of Diseases, Ninth Revision, Clinical Modification codes, we analyzed hospital discharges for cirrhosis and related EVB in adult patients. EVB in cirrhotic patients was independently associated with overall worse outcomes with respect to in-hospital mortality (10% vs 5%; P &lt; 0.01) and hospital charges (median $41,000 vs $26,000; P &lt; 0.01). In the period from 2002 to 2012, the number of cirrhosis-related hospitalizations increased from 337,956 to 570,220 (P &lt; 0.01). Concurrently, the incidence of EVB in hospitalized cirrhotic patients declined from 8.60% to 5.78%, with an overall decreased trend (P &lt; 0.01). The decline in the rate of EVB in hospitalized cirrhotic patients from 2002 to 2012 likely reflects the effectiveness of primary and secondary prophylaxis.","author":[{"dropping-particle":"","family":"Pant","given":"Chaitanya","non-dropping-particle":"","parse-names":false,"suffix":""},{"dropping-particle":"","family":"Desai","given":"Madhav","non-dropping-particle":"","parse-names":false,"suffix":""},{"dropping-particle":"","family":"Deshpande","given":"Abhishek","non-dropping-particle":"","parse-names":false,"suffix":""},{"dropping-particle":"","family":"Taylor","given":"Ryan","non-dropping-particle":"","parse-names":false,"suffix":""},{"dropping-particle":"","family":"Olyaee","given":"Mojtaba","non-dropping-particle":"","parse-names":false,"suffix":""},{"dropping-particle":"","family":"Gilroy","given":"Richard","non-dropping-particle":"","parse-names":false,"suffix":""}],"container-title":"Journal of hospital medicine","id":"ITEM-3","issue":"7","issued":{"date-parts":[["2015","7"]]},"page":"453-6","title":"Esophageal variceal bleeding in hospitalized patients with cirrhosis.","type":"article-journal","volume":"10"},"uris":["http://www.mendeley.com/documents/?uuid=62fb31db-bd26-41bb-a49c-9313cc945789"]}],"mendeley":{"formattedCitation":"&lt;sup&gt;[8–10]&lt;/sup&gt;","plainTextFormattedCitation":"[8–10]","previouslyFormattedCitation":"&lt;sup&gt;[8–10]&lt;/sup&gt;"},"properties":{"noteIndex":0},"schema":"https://github.com/citation-style-language/schema/raw/master/csl-citation.json"}</w:instrText>
      </w:r>
      <w:r w:rsidR="003978F7" w:rsidRPr="00E10230">
        <w:rPr>
          <w:rFonts w:ascii="Book Antiqua" w:hAnsi="Book Antiqua" w:cs="Arial"/>
          <w:sz w:val="24"/>
          <w:szCs w:val="24"/>
        </w:rPr>
        <w:fldChar w:fldCharType="separate"/>
      </w:r>
      <w:r w:rsidR="003978F7" w:rsidRPr="00E10230">
        <w:rPr>
          <w:rFonts w:ascii="Book Antiqua" w:hAnsi="Book Antiqua" w:cs="Arial"/>
          <w:noProof/>
          <w:sz w:val="24"/>
          <w:szCs w:val="24"/>
          <w:vertAlign w:val="superscript"/>
        </w:rPr>
        <w:t>[8]</w:t>
      </w:r>
      <w:r w:rsidR="003978F7" w:rsidRPr="00E10230">
        <w:rPr>
          <w:rFonts w:ascii="Book Antiqua" w:hAnsi="Book Antiqua" w:cs="Arial"/>
          <w:sz w:val="24"/>
          <w:szCs w:val="24"/>
        </w:rPr>
        <w:fldChar w:fldCharType="end"/>
      </w:r>
      <w:r w:rsidRPr="00E10230">
        <w:rPr>
          <w:rFonts w:ascii="Book Antiqua" w:hAnsi="Book Antiqua" w:cs="Arial"/>
          <w:sz w:val="24"/>
          <w:szCs w:val="24"/>
        </w:rPr>
        <w:t xml:space="preserve"> used data from 1988 to 2002, Lim </w:t>
      </w:r>
      <w:r w:rsidRPr="00E10230">
        <w:rPr>
          <w:rFonts w:ascii="Book Antiqua" w:hAnsi="Book Antiqua" w:cs="Arial"/>
          <w:i/>
          <w:sz w:val="24"/>
          <w:szCs w:val="24"/>
        </w:rPr>
        <w:t>et al</w:t>
      </w:r>
      <w:r w:rsidR="003978F7" w:rsidRPr="00E10230">
        <w:rPr>
          <w:rFonts w:ascii="Book Antiqua" w:hAnsi="Book Antiqua" w:cs="Arial"/>
          <w:sz w:val="24"/>
          <w:szCs w:val="24"/>
        </w:rPr>
        <w:fldChar w:fldCharType="begin" w:fldLock="1"/>
      </w:r>
      <w:r w:rsidR="003978F7" w:rsidRPr="00E10230">
        <w:rPr>
          <w:rFonts w:ascii="Book Antiqua" w:hAnsi="Book Antiqua" w:cs="Arial"/>
          <w:sz w:val="24"/>
          <w:szCs w:val="24"/>
        </w:rPr>
        <w:instrText>ADDIN CSL_CITATION {"citationItems":[{"id":"ITEM-1","itemData":{"DOI":"10.1002/jhm.2360","ISSN":"1553-5606","PMID":"25976490","abstract":"Esophageal variceal bleeding (EVB) is a frequent complication in cirrhotic patients resulting in considerable mortality and morbidity. The aim of this study was to investigate the occurrence, impact, and trends of EVB in hospitalized cirrhotic patients on a nationwide level in the United States. We interrogated data from the Nationwide Inpatient Sample from 2002 to 2012. Utilizing International Classification of Diseases, Ninth Revision, Clinical Modification codes, we analyzed hospital discharges for cirrhosis and related EVB in adult patients. EVB in cirrhotic patients was independently associated with overall worse outcomes with respect to in-hospital mortality (10% vs 5%; P &lt; 0.01) and hospital charges (median $41,000 vs $26,000; P &lt; 0.01). In the period from 2002 to 2012, the number of cirrhosis-related hospitalizations increased from 337,956 to 570,220 (P &lt; 0.01). Concurrently, the incidence of EVB in hospitalized cirrhotic patients declined from 8.60% to 5.78%, with an overall decreased trend (P &lt; 0.01). The decline in the rate of EVB in hospitalized cirrhotic patients from 2002 to 2012 likely reflects the effectiveness of primary and secondary prophylaxis.","author":[{"dropping-particle":"","family":"Pant","given":"Chaitanya","non-dropping-particle":"","parse-names":false,"suffix":""},{"dropping-particle":"","family":"Desai","given":"Madhav","non-dropping-particle":"","parse-names":false,"suffix":""},{"dropping-particle":"","family":"Deshpande","given":"Abhishek","non-dropping-particle":"","parse-names":false,"suffix":""},{"dropping-particle":"","family":"Taylor","given":"Ryan","non-dropping-particle":"","parse-names":false,"suffix":""},{"dropping-particle":"","family":"Olyaee","given":"Mojtaba","non-dropping-particle":"","parse-names":false,"suffix":""},{"dropping-particle":"","family":"Gilroy","given":"Richard","non-dropping-particle":"","parse-names":false,"suffix":""}],"container-title":"Journal of hospital medicine","id":"ITEM-1","issue":"7","issued":{"date-parts":[["2015","7"]]},"page":"453-6","title":"Esophageal variceal bleeding in hospitalized patients with cirrhosis.","type":"article-journal","volume":"10"},"uris":["http://www.mendeley.com/documents/?uuid=62fb31db-bd26-41bb-a49c-9313cc945789"]},{"id":"ITEM-2","itemData":{"ISBN":"1587631857","URL":"https://hcupnet.ahrq.gov/. For more information about HCUP data see http://www.hcup-us.ahrq.gov/","accessed":{"date-parts":[["2017","11","15"]]},"author":[{"dropping-particle":"","family":"Agency for Healthcare Research and Quality","given":"","non-dropping-particle":"","parse-names":false,"suffix":""}],"container-title":"Healthcare Cost and Utilization Project (HCUP)","id":"ITEM-2","issued":{"date-parts":[["0"]]},"title":"Healthcare Cost and Utilization Project","type":"webpage"},"uris":["http://www.mendeley.com/documents/?uuid=ae6b7b60-c0a4-41b9-9370-17b92ccd2218"]}],"mendeley":{"formattedCitation":"&lt;sup&gt;[10,11]&lt;/sup&gt;","plainTextFormattedCitation":"[10,11]","previouslyFormattedCitation":"&lt;sup&gt;[10,11]&lt;/sup&gt;"},"properties":{"noteIndex":0},"schema":"https://github.com/citation-style-language/schema/raw/master/csl-citation.json"}</w:instrText>
      </w:r>
      <w:r w:rsidR="003978F7" w:rsidRPr="00E10230">
        <w:rPr>
          <w:rFonts w:ascii="Book Antiqua" w:hAnsi="Book Antiqua" w:cs="Arial"/>
          <w:sz w:val="24"/>
          <w:szCs w:val="24"/>
        </w:rPr>
        <w:fldChar w:fldCharType="separate"/>
      </w:r>
      <w:r w:rsidR="003978F7" w:rsidRPr="00E10230">
        <w:rPr>
          <w:rFonts w:ascii="Book Antiqua" w:hAnsi="Book Antiqua" w:cs="Arial"/>
          <w:noProof/>
          <w:sz w:val="24"/>
          <w:szCs w:val="24"/>
          <w:vertAlign w:val="superscript"/>
        </w:rPr>
        <w:t>[</w:t>
      </w:r>
      <w:r w:rsidR="003978F7" w:rsidRPr="00E10230">
        <w:rPr>
          <w:rFonts w:ascii="Book Antiqua" w:eastAsiaTheme="minorEastAsia" w:hAnsi="Book Antiqua" w:cs="Arial"/>
          <w:noProof/>
          <w:sz w:val="24"/>
          <w:szCs w:val="24"/>
          <w:vertAlign w:val="superscript"/>
          <w:lang w:eastAsia="zh-CN"/>
        </w:rPr>
        <w:t>9</w:t>
      </w:r>
      <w:r w:rsidR="003978F7" w:rsidRPr="00E10230">
        <w:rPr>
          <w:rFonts w:ascii="Book Antiqua" w:hAnsi="Book Antiqua" w:cs="Arial"/>
          <w:noProof/>
          <w:sz w:val="24"/>
          <w:szCs w:val="24"/>
          <w:vertAlign w:val="superscript"/>
        </w:rPr>
        <w:t>]</w:t>
      </w:r>
      <w:r w:rsidR="003978F7" w:rsidRPr="00E10230">
        <w:rPr>
          <w:rFonts w:ascii="Book Antiqua" w:hAnsi="Book Antiqua" w:cs="Arial"/>
          <w:sz w:val="24"/>
          <w:szCs w:val="24"/>
        </w:rPr>
        <w:fldChar w:fldCharType="end"/>
      </w:r>
      <w:r w:rsidRPr="00E10230">
        <w:rPr>
          <w:rFonts w:ascii="Book Antiqua" w:hAnsi="Book Antiqua" w:cs="Arial"/>
          <w:sz w:val="24"/>
          <w:szCs w:val="24"/>
        </w:rPr>
        <w:t xml:space="preserve"> used </w:t>
      </w:r>
      <w:r w:rsidR="003978F7" w:rsidRPr="00E10230">
        <w:rPr>
          <w:rFonts w:ascii="Book Antiqua" w:hAnsi="Book Antiqua" w:cs="Arial"/>
          <w:sz w:val="24"/>
          <w:szCs w:val="24"/>
        </w:rPr>
        <w:t>data from 1998 to 2009 and Pant</w:t>
      </w:r>
      <w:r w:rsidRPr="00E10230">
        <w:rPr>
          <w:rFonts w:ascii="Book Antiqua" w:hAnsi="Book Antiqua" w:cs="Arial"/>
          <w:sz w:val="24"/>
          <w:szCs w:val="24"/>
        </w:rPr>
        <w:t xml:space="preserve"> </w:t>
      </w:r>
      <w:r w:rsidRPr="00E10230">
        <w:rPr>
          <w:rFonts w:ascii="Book Antiqua" w:hAnsi="Book Antiqua" w:cs="Arial"/>
          <w:i/>
          <w:sz w:val="24"/>
          <w:szCs w:val="24"/>
        </w:rPr>
        <w:t>et al</w:t>
      </w:r>
      <w:r w:rsidR="003978F7" w:rsidRPr="00E10230">
        <w:rPr>
          <w:rFonts w:ascii="Book Antiqua" w:hAnsi="Book Antiqua" w:cs="Arial"/>
          <w:sz w:val="24"/>
          <w:szCs w:val="24"/>
        </w:rPr>
        <w:fldChar w:fldCharType="begin" w:fldLock="1"/>
      </w:r>
      <w:r w:rsidR="003978F7" w:rsidRPr="00E10230">
        <w:rPr>
          <w:rFonts w:ascii="Book Antiqua" w:hAnsi="Book Antiqua" w:cs="Arial"/>
          <w:sz w:val="24"/>
          <w:szCs w:val="24"/>
        </w:rPr>
        <w:instrText>ADDIN CSL_CITATION {"citationItems":[{"id":"ITEM-1","itemData":{"DOI":"10.1002/jhm.2360","ISSN":"1553-5606","PMID":"25976490","abstract":"Esophageal variceal bleeding (EVB) is a frequent complication in cirrhotic patients resulting in considerable mortality and morbidity. The aim of this study was to investigate the occurrence, impact, and trends of EVB in hospitalized cirrhotic patients on a nationwide level in the United States. We interrogated data from the Nationwide Inpatient Sample from 2002 to 2012. Utilizing International Classification of Diseases, Ninth Revision, Clinical Modification codes, we analyzed hospital discharges for cirrhosis and related EVB in adult patients. EVB in cirrhotic patients was independently associated with overall worse outcomes with respect to in-hospital mortality (10% vs 5%; P &lt; 0.01) and hospital charges (median $41,000 vs $26,000; P &lt; 0.01). In the period from 2002 to 2012, the number of cirrhosis-related hospitalizations increased from 337,956 to 570,220 (P &lt; 0.01). Concurrently, the incidence of EVB in hospitalized cirrhotic patients declined from 8.60% to 5.78%, with an overall decreased trend (P &lt; 0.01). The decline in the rate of EVB in hospitalized cirrhotic patients from 2002 to 2012 likely reflects the effectiveness of primary and secondary prophylaxis.","author":[{"dropping-particle":"","family":"Pant","given":"Chaitanya","non-dropping-particle":"","parse-names":false,"suffix":""},{"dropping-particle":"","family":"Desai","given":"Madhav","non-dropping-particle":"","parse-names":false,"suffix":""},{"dropping-particle":"","family":"Deshpande","given":"Abhishek","non-dropping-particle":"","parse-names":false,"suffix":""},{"dropping-particle":"","family":"Taylor","given":"Ryan","non-dropping-particle":"","parse-names":false,"suffix":""},{"dropping-particle":"","family":"Olyaee","given":"Mojtaba","non-dropping-particle":"","parse-names":false,"suffix":""},{"dropping-particle":"","family":"Gilroy","given":"Richard","non-dropping-particle":"","parse-names":false,"suffix":""}],"container-title":"Journal of hospital medicine","id":"ITEM-1","issue":"7","issued":{"date-parts":[["2015","7"]]},"page":"453-6","title":"Esophageal variceal bleeding in hospitalized patients with cirrhosis.","type":"article-journal","volume":"10"},"uris":["http://www.mendeley.com/documents/?uuid=62fb31db-bd26-41bb-a49c-9313cc945789"]},{"id":"ITEM-2","itemData":{"ISBN":"1587631857","URL":"https://hcupnet.ahrq.gov/. For more information about HCUP data see http://www.hcup-us.ahrq.gov/","accessed":{"date-parts":[["2017","11","15"]]},"author":[{"dropping-particle":"","family":"Agency for Healthcare Research and Quality","given":"","non-dropping-particle":"","parse-names":false,"suffix":""}],"container-title":"Healthcare Cost and Utilization Project (HCUP)","id":"ITEM-2","issued":{"date-parts":[["0"]]},"title":"Healthcare Cost and Utilization Project","type":"webpage"},"uris":["http://www.mendeley.com/documents/?uuid=ae6b7b60-c0a4-41b9-9370-17b92ccd2218"]}],"mendeley":{"formattedCitation":"&lt;sup&gt;[10,11]&lt;/sup&gt;","plainTextFormattedCitation":"[10,11]","previouslyFormattedCitation":"&lt;sup&gt;[10,11]&lt;/sup&gt;"},"properties":{"noteIndex":0},"schema":"https://github.com/citation-style-language/schema/raw/master/csl-citation.json"}</w:instrText>
      </w:r>
      <w:r w:rsidR="003978F7" w:rsidRPr="00E10230">
        <w:rPr>
          <w:rFonts w:ascii="Book Antiqua" w:hAnsi="Book Antiqua" w:cs="Arial"/>
          <w:sz w:val="24"/>
          <w:szCs w:val="24"/>
        </w:rPr>
        <w:fldChar w:fldCharType="separate"/>
      </w:r>
      <w:r w:rsidR="003978F7" w:rsidRPr="00E10230">
        <w:rPr>
          <w:rFonts w:ascii="Book Antiqua" w:hAnsi="Book Antiqua" w:cs="Arial"/>
          <w:noProof/>
          <w:sz w:val="24"/>
          <w:szCs w:val="24"/>
          <w:vertAlign w:val="superscript"/>
        </w:rPr>
        <w:t>[10]</w:t>
      </w:r>
      <w:r w:rsidR="003978F7" w:rsidRPr="00E10230">
        <w:rPr>
          <w:rFonts w:ascii="Book Antiqua" w:hAnsi="Book Antiqua" w:cs="Arial"/>
          <w:sz w:val="24"/>
          <w:szCs w:val="24"/>
        </w:rPr>
        <w:fldChar w:fldCharType="end"/>
      </w:r>
      <w:r w:rsidRPr="00E10230">
        <w:rPr>
          <w:rFonts w:ascii="Book Antiqua" w:hAnsi="Book Antiqua" w:cs="Arial"/>
          <w:sz w:val="24"/>
          <w:szCs w:val="24"/>
        </w:rPr>
        <w:t xml:space="preserve"> used data from 2002 to 2012.</w:t>
      </w:r>
      <w:r w:rsidR="003978F7" w:rsidRPr="00E10230">
        <w:rPr>
          <w:rFonts w:ascii="Book Antiqua" w:hAnsi="Book Antiqua" w:cs="Arial"/>
          <w:sz w:val="24"/>
          <w:szCs w:val="24"/>
        </w:rPr>
        <w:t xml:space="preserve"> Furthermore, Pant</w:t>
      </w:r>
      <w:r w:rsidRPr="00E10230">
        <w:rPr>
          <w:rFonts w:ascii="Book Antiqua" w:hAnsi="Book Antiqua" w:cs="Arial"/>
          <w:sz w:val="24"/>
          <w:szCs w:val="24"/>
        </w:rPr>
        <w:t xml:space="preserve"> </w:t>
      </w:r>
      <w:r w:rsidRPr="00E10230">
        <w:rPr>
          <w:rFonts w:ascii="Book Antiqua" w:hAnsi="Book Antiqua" w:cs="Arial"/>
          <w:i/>
          <w:sz w:val="24"/>
          <w:szCs w:val="24"/>
        </w:rPr>
        <w:t>et al</w:t>
      </w:r>
      <w:r w:rsidR="003978F7" w:rsidRPr="00E10230">
        <w:rPr>
          <w:rFonts w:ascii="Book Antiqua" w:hAnsi="Book Antiqua" w:cs="Arial"/>
          <w:sz w:val="24"/>
          <w:szCs w:val="24"/>
        </w:rPr>
        <w:fldChar w:fldCharType="begin" w:fldLock="1"/>
      </w:r>
      <w:r w:rsidR="003978F7" w:rsidRPr="00E10230">
        <w:rPr>
          <w:rFonts w:ascii="Book Antiqua" w:hAnsi="Book Antiqua" w:cs="Arial"/>
          <w:sz w:val="24"/>
          <w:szCs w:val="24"/>
        </w:rPr>
        <w:instrText>ADDIN CSL_CITATION {"citationItems":[{"id":"ITEM-1","itemData":{"DOI":"10.1002/jhm.2360","ISSN":"1553-5606","PMID":"25976490","abstract":"Esophageal variceal bleeding (EVB) is a frequent complication in cirrhotic patients resulting in considerable mortality and morbidity. The aim of this study was to investigate the occurrence, impact, and trends of EVB in hospitalized cirrhotic patients on a nationwide level in the United States. We interrogated data from the Nationwide Inpatient Sample from 2002 to 2012. Utilizing International Classification of Diseases, Ninth Revision, Clinical Modification codes, we analyzed hospital discharges for cirrhosis and related EVB in adult patients. EVB in cirrhotic patients was independently associated with overall worse outcomes with respect to in-hospital mortality (10% vs 5%; P &lt; 0.01) and hospital charges (median $41,000 vs $26,000; P &lt; 0.01). In the period from 2002 to 2012, the number of cirrhosis-related hospitalizations increased from 337,956 to 570,220 (P &lt; 0.01). Concurrently, the incidence of EVB in hospitalized cirrhotic patients declined from 8.60% to 5.78%, with an overall decreased trend (P &lt; 0.01). The decline in the rate of EVB in hospitalized cirrhotic patients from 2002 to 2012 likely reflects the effectiveness of primary and secondary prophylaxis.","author":[{"dropping-particle":"","family":"Pant","given":"Chaitanya","non-dropping-particle":"","parse-names":false,"suffix":""},{"dropping-particle":"","family":"Desai","given":"Madhav","non-dropping-particle":"","parse-names":false,"suffix":""},{"dropping-particle":"","family":"Deshpande","given":"Abhishek","non-dropping-particle":"","parse-names":false,"suffix":""},{"dropping-particle":"","family":"Taylor","given":"Ryan","non-dropping-particle":"","parse-names":false,"suffix":""},{"dropping-particle":"","family":"Olyaee","given":"Mojtaba","non-dropping-particle":"","parse-names":false,"suffix":""},{"dropping-particle":"","family":"Gilroy","given":"Richard","non-dropping-particle":"","parse-names":false,"suffix":""}],"container-title":"Journal of hospital medicine","id":"ITEM-1","issue":"7","issued":{"date-parts":[["2015","7"]]},"page":"453-6","title":"Esophageal variceal bleeding in hospitalized patients with cirrhosis.","type":"article-journal","volume":"10"},"uris":["http://www.mendeley.com/documents/?uuid=62fb31db-bd26-41bb-a49c-9313cc945789"]},{"id":"ITEM-2","itemData":{"ISBN":"1587631857","URL":"https://hcupnet.ahrq.gov/. For more information about HCUP data see http://www.hcup-us.ahrq.gov/","accessed":{"date-parts":[["2017","11","15"]]},"author":[{"dropping-particle":"","family":"Agency for Healthcare Research and Quality","given":"","non-dropping-particle":"","parse-names":false,"suffix":""}],"container-title":"Healthcare Cost and Utilization Project (HCUP)","id":"ITEM-2","issued":{"date-parts":[["0"]]},"title":"Healthcare Cost and Utilization Project","type":"webpage"},"uris":["http://www.mendeley.com/documents/?uuid=ae6b7b60-c0a4-41b9-9370-17b92ccd2218"]}],"mendeley":{"formattedCitation":"&lt;sup&gt;[10,11]&lt;/sup&gt;","plainTextFormattedCitation":"[10,11]","previouslyFormattedCitation":"&lt;sup&gt;[10,11]&lt;/sup&gt;"},"properties":{"noteIndex":0},"schema":"https://github.com/citation-style-language/schema/raw/master/csl-citation.json"}</w:instrText>
      </w:r>
      <w:r w:rsidR="003978F7" w:rsidRPr="00E10230">
        <w:rPr>
          <w:rFonts w:ascii="Book Antiqua" w:hAnsi="Book Antiqua" w:cs="Arial"/>
          <w:sz w:val="24"/>
          <w:szCs w:val="24"/>
        </w:rPr>
        <w:fldChar w:fldCharType="separate"/>
      </w:r>
      <w:r w:rsidR="003978F7" w:rsidRPr="00E10230">
        <w:rPr>
          <w:rFonts w:ascii="Book Antiqua" w:hAnsi="Book Antiqua" w:cs="Arial"/>
          <w:noProof/>
          <w:sz w:val="24"/>
          <w:szCs w:val="24"/>
          <w:vertAlign w:val="superscript"/>
        </w:rPr>
        <w:t>[10]</w:t>
      </w:r>
      <w:r w:rsidR="003978F7" w:rsidRPr="00E10230">
        <w:rPr>
          <w:rFonts w:ascii="Book Antiqua" w:hAnsi="Book Antiqua" w:cs="Arial"/>
          <w:sz w:val="24"/>
          <w:szCs w:val="24"/>
        </w:rPr>
        <w:fldChar w:fldCharType="end"/>
      </w:r>
      <w:r w:rsidR="003978F7" w:rsidRPr="00E10230">
        <w:rPr>
          <w:rFonts w:ascii="Book Antiqua" w:eastAsiaTheme="minorEastAsia" w:hAnsi="Book Antiqua" w:cs="Arial"/>
          <w:sz w:val="24"/>
          <w:szCs w:val="24"/>
          <w:lang w:eastAsia="zh-CN"/>
        </w:rPr>
        <w:t xml:space="preserve"> </w:t>
      </w:r>
      <w:r w:rsidRPr="00E10230">
        <w:rPr>
          <w:rFonts w:ascii="Book Antiqua" w:hAnsi="Book Antiqua" w:cs="Arial"/>
          <w:sz w:val="24"/>
          <w:szCs w:val="24"/>
        </w:rPr>
        <w:t>who also utilized data from NIS by HCUP, studied only the EV patients who had concurrent diagnosis of cirrhosis. Our study only looked at a primary diagnosis of EV, therefore secondary diagnosis of EV was not included which may have accounted for the differences in the study results. In addition, there was a change in sampling methods for NIS in 2012, which may have also impacted the differences in our results compared to the prior studies</w:t>
      </w:r>
      <w:r w:rsidR="003978F7" w:rsidRPr="00E10230">
        <w:rPr>
          <w:rFonts w:ascii="Book Antiqua" w:hAnsi="Book Antiqua" w:cs="Arial"/>
          <w:sz w:val="24"/>
          <w:szCs w:val="24"/>
        </w:rPr>
        <w:fldChar w:fldCharType="begin" w:fldLock="1"/>
      </w:r>
      <w:r w:rsidR="003978F7" w:rsidRPr="00E10230">
        <w:rPr>
          <w:rFonts w:ascii="Book Antiqua" w:hAnsi="Book Antiqua" w:cs="Arial"/>
          <w:sz w:val="24"/>
          <w:szCs w:val="24"/>
        </w:rPr>
        <w:instrText>ADDIN CSL_CITATION {"citationItems":[{"id":"ITEM-1","itemData":{"ISBN":"1587631857","URL":"https://hcupnet.ahrq.gov/. For more information about HCUP data see http://www.hcup-us.ahrq.gov/","accessed":{"date-parts":[["2017","11","15"]]},"author":[{"dropping-particle":"","family":"Agency for Healthcare Research and Quality","given":"","non-dropping-particle":"","parse-names":false,"suffix":""}],"container-title":"Healthcare Cost and Utilization Project (HCUP)","id":"ITEM-1","issued":{"date-parts":[["0"]]},"title":"Healthcare Cost and Utilization Project","type":"webpage"},"uris":["http://www.mendeley.com/documents/?uuid=ae6b7b60-c0a4-41b9-9370-17b92ccd2218"]}],"mendeley":{"formattedCitation":"&lt;sup&gt;[11]&lt;/sup&gt;","plainTextFormattedCitation":"[11]","previouslyFormattedCitation":"&lt;sup&gt;[11]&lt;/sup&gt;"},"properties":{"noteIndex":0},"schema":"https://github.com/citation-style-language/schema/raw/master/csl-citation.json"}</w:instrText>
      </w:r>
      <w:r w:rsidR="003978F7" w:rsidRPr="00E10230">
        <w:rPr>
          <w:rFonts w:ascii="Book Antiqua" w:hAnsi="Book Antiqua" w:cs="Arial"/>
          <w:sz w:val="24"/>
          <w:szCs w:val="24"/>
        </w:rPr>
        <w:fldChar w:fldCharType="separate"/>
      </w:r>
      <w:r w:rsidR="003978F7" w:rsidRPr="00E10230">
        <w:rPr>
          <w:rFonts w:ascii="Book Antiqua" w:hAnsi="Book Antiqua" w:cs="Arial"/>
          <w:noProof/>
          <w:sz w:val="24"/>
          <w:szCs w:val="24"/>
          <w:vertAlign w:val="superscript"/>
        </w:rPr>
        <w:t>[11]</w:t>
      </w:r>
      <w:r w:rsidR="003978F7" w:rsidRPr="00E10230">
        <w:rPr>
          <w:rFonts w:ascii="Book Antiqua" w:hAnsi="Book Antiqua" w:cs="Arial"/>
          <w:sz w:val="24"/>
          <w:szCs w:val="24"/>
        </w:rPr>
        <w:fldChar w:fldCharType="end"/>
      </w:r>
      <w:r w:rsidRPr="00E10230">
        <w:rPr>
          <w:rFonts w:ascii="Book Antiqua" w:hAnsi="Book Antiqua" w:cs="Arial"/>
          <w:sz w:val="24"/>
          <w:szCs w:val="24"/>
        </w:rPr>
        <w:t>.</w:t>
      </w:r>
    </w:p>
    <w:p w14:paraId="6E323F70" w14:textId="13E8B3E6" w:rsidR="00704241" w:rsidRPr="00E10230" w:rsidRDefault="00704241" w:rsidP="00E10230">
      <w:pPr>
        <w:spacing w:after="0" w:line="360" w:lineRule="auto"/>
        <w:ind w:firstLineChars="100" w:firstLine="240"/>
        <w:jc w:val="both"/>
        <w:rPr>
          <w:rFonts w:ascii="Book Antiqua" w:eastAsiaTheme="minorEastAsia" w:hAnsi="Book Antiqua" w:cs="Arial"/>
          <w:sz w:val="24"/>
          <w:szCs w:val="24"/>
          <w:lang w:eastAsia="zh-CN"/>
        </w:rPr>
      </w:pPr>
      <w:r w:rsidRPr="00E10230">
        <w:rPr>
          <w:rFonts w:ascii="Book Antiqua" w:hAnsi="Book Antiqua" w:cs="Arial"/>
          <w:sz w:val="24"/>
          <w:szCs w:val="24"/>
        </w:rPr>
        <w:t>Overall, in-hospital mortality rates for cirrhosis-associated conditions generally decreased over a 10-year period except for EV, even though there w</w:t>
      </w:r>
      <w:r w:rsidR="00B05716" w:rsidRPr="00E10230">
        <w:rPr>
          <w:rFonts w:ascii="Book Antiqua" w:hAnsi="Book Antiqua" w:cs="Arial"/>
          <w:sz w:val="24"/>
          <w:szCs w:val="24"/>
        </w:rPr>
        <w:t>ere</w:t>
      </w:r>
      <w:r w:rsidRPr="00E10230">
        <w:rPr>
          <w:rFonts w:ascii="Book Antiqua" w:hAnsi="Book Antiqua" w:cs="Arial"/>
          <w:sz w:val="24"/>
          <w:szCs w:val="24"/>
        </w:rPr>
        <w:t xml:space="preserve"> no significant trends in the overall all-cause inpatient national mortality rate. This may reflect the advances in pharmacotherapy such as introduction of rifaximin for HC treatment. Another possible explanation is that mortality related to hepatitis B virus infection declined from 2007 to 2016, likely due to improvement of care of hepatitis B virus infection</w:t>
      </w:r>
      <w:r w:rsidR="003978F7" w:rsidRPr="00E10230">
        <w:rPr>
          <w:rFonts w:ascii="Book Antiqua" w:hAnsi="Book Antiqua" w:cs="Arial"/>
          <w:sz w:val="24"/>
          <w:szCs w:val="24"/>
        </w:rPr>
        <w:fldChar w:fldCharType="begin" w:fldLock="1"/>
      </w:r>
      <w:r w:rsidR="003978F7" w:rsidRPr="00E10230">
        <w:rPr>
          <w:rFonts w:ascii="Book Antiqua" w:hAnsi="Book Antiqua" w:cs="Arial"/>
          <w:sz w:val="24"/>
          <w:szCs w:val="24"/>
        </w:rPr>
        <w:instrText>ADDIN CSL_CITATION {"citationItems":[{"id":"ITEM-1","itemData":{"DOI":"10.1053/j.gastro.2018.07.008","ISSN":"1528-0012","PMID":"30009816","abstract":"BACKGROUND &amp; AIMS Although treatment of hepatitis C virus (HCV) infection has improved, the prevalence of alcoholic liver disease (ALD) has been increasing, so we need an updated estimate of the burden and etiology-specific mortality of chronic liver diseases. We studied the trends in age-standardized mortality of chronic liver diseases among adults 20 years or older in the United States (US), from 2007 through 2016. METHODS We collected data from the US Census and National Center for Health Statistics mortality records, identifying individuals with HCV infection, ALD, nonalcoholic fatty liver disease (NAFLD), or hepatitis B virus (HBV) infection using ICD-10 codes. We obtained temporal mortality rate patterns using joinpoint trend analysis with estimates of annual percentage change (APC). RESULTS Age-standardized HCV-related mortality increased from 7.17/100,000 persons in 2007 to 8.14/100,000 persons in 2013, followed by a marked decrease in the time period at which patients began receiving treatment with direct-acting antiviral agents (from 8.09/100,000 persons in 2014 to 7.15/100,000 persons in 2016). The APC in HCV mortality increased 2.0%/year from 2007 through 2014, but decreased 6.4%/year from 2014 through 2016. In contrast, age-standardized mortality increased for ALD (APC of 2.3% from 2007 through 2013 and APC of 5.5% from 2013 through 2016) and NAFLD (APC of 6.1% from 2007 through 2013 and APC of 11.3% from 2013 through 2016). HBV-related mortality decreased steadily from 2007 through 2016, with an average APC of -2.1% (95% CI, -3.0 to -1.2). Etiology-based mortality in minority populations were higher. HCV-related mortality (per 100,000 persons) was highest among non-Hispanic blacks (10.28) and whites (6.92), followed by Hispanics (5.94), and lowest among non-Hispanic Asians (2.33). Non-Hispanic Asians had higher mortality for HBV infection (2.82 per 100,000 vs 1.02 for non-Hispanic blacks, and 0.47 for non-Hispanic whites). CONCLUSION In our population-based analysis of chronic liver disease mortality in the US, the decline in HCV-related mortality coincided with the introduction of direct-acting antiviral therapies, while the mortality from ALD and NAFLD increased during the same period. Minorities in the US have disproportionately higher chronic liver disease-related mortality.","author":[{"dropping-particle":"","family":"Kim","given":"Donghee","non-dropping-particle":"","parse-names":false,"suffix":""},{"dropping-particle":"","family":"Li","given":"Andrew A","non-dropping-particle":"","parse-names":false,"suffix":""},{"dropping-particle":"","family":"Gadiparthi","given":"Chiranjeevi","non-dropping-particle":"","parse-names":false,"suffix":""},{"dropping-particle":"","family":"Khan","given":"Muhammad Ali","non-dropping-particle":"","parse-names":false,"suffix":""},{"dropping-particle":"","family":"Cholankeril","given":"George","non-dropping-particle":"","parse-names":false,"suffix":""},{"dropping-particle":"","family":"Glenn","given":"Jeffrey S","non-dropping-particle":"","parse-names":false,"suffix":""},{"dropping-particle":"","family":"Ahmed","given":"Aijaz","non-dropping-particle":"","parse-names":false,"suffix":""}],"container-title":"Gastroenterology","id":"ITEM-1","issued":{"date-parts":[["2018","7","12"]]},"title":"Changing Trends in Etiology-based Annual Mortality From Chronic Liver Disease, From 2007 Through 2016.","type":"article-journal"},"uris":["http://www.mendeley.com/documents/?uuid=4123293a-8c27-4cd2-914e-48dd7de6fae7"]}],"mendeley":{"formattedCitation":"&lt;sup&gt;[22]&lt;/sup&gt;","plainTextFormattedCitation":"[22]","previouslyFormattedCitation":"&lt;sup&gt;[22]&lt;/sup&gt;"},"properties":{"noteIndex":0},"schema":"https://github.com/citation-style-language/schema/raw/master/csl-citation.json"}</w:instrText>
      </w:r>
      <w:r w:rsidR="003978F7" w:rsidRPr="00E10230">
        <w:rPr>
          <w:rFonts w:ascii="Book Antiqua" w:hAnsi="Book Antiqua" w:cs="Arial"/>
          <w:sz w:val="24"/>
          <w:szCs w:val="24"/>
        </w:rPr>
        <w:fldChar w:fldCharType="separate"/>
      </w:r>
      <w:r w:rsidR="003978F7" w:rsidRPr="00E10230">
        <w:rPr>
          <w:rFonts w:ascii="Book Antiqua" w:hAnsi="Book Antiqua" w:cs="Arial"/>
          <w:noProof/>
          <w:sz w:val="24"/>
          <w:szCs w:val="24"/>
          <w:vertAlign w:val="superscript"/>
        </w:rPr>
        <w:t>[22]</w:t>
      </w:r>
      <w:r w:rsidR="003978F7" w:rsidRPr="00E10230">
        <w:rPr>
          <w:rFonts w:ascii="Book Antiqua" w:hAnsi="Book Antiqua" w:cs="Arial"/>
          <w:sz w:val="24"/>
          <w:szCs w:val="24"/>
        </w:rPr>
        <w:fldChar w:fldCharType="end"/>
      </w:r>
      <w:r w:rsidRPr="00E10230">
        <w:rPr>
          <w:rFonts w:ascii="Book Antiqua" w:hAnsi="Book Antiqua" w:cs="Arial"/>
          <w:sz w:val="24"/>
          <w:szCs w:val="24"/>
        </w:rPr>
        <w:t>. Since patients with decompensated cirrhosis, especially from HC, are at risk for increased frequency of hospital readmission</w:t>
      </w:r>
      <w:r w:rsidR="003978F7" w:rsidRPr="00E10230">
        <w:rPr>
          <w:rFonts w:ascii="Book Antiqua" w:hAnsi="Book Antiqua" w:cs="Arial"/>
          <w:sz w:val="24"/>
          <w:szCs w:val="24"/>
        </w:rPr>
        <w:fldChar w:fldCharType="begin" w:fldLock="1"/>
      </w:r>
      <w:r w:rsidR="003978F7" w:rsidRPr="00E10230">
        <w:rPr>
          <w:rFonts w:ascii="Book Antiqua" w:hAnsi="Book Antiqua" w:cs="Arial"/>
          <w:sz w:val="24"/>
          <w:szCs w:val="24"/>
        </w:rPr>
        <w:instrText>ADDIN CSL_CITATION {"citationItems":[{"id":"ITEM-1","itemData":{"DOI":"10.1038/ajg.2011.314","ISSN":"1572-0241","PMID":"21931378","abstract":"OBJECTIVES Early rehospitalizations have been well characterized in many disease states, but not among patients with cirrhosis. The aims of this study were to identify the frequency, costs, predictors, and preventable causes of hospital readmissions among patients with decompensated cirrhosis. METHODS Rates of readmission were calculated for 402 patients discharged after one of the following complications of cirrhosis: ascites, spontaneous bacterial peritonitis, renal failure, hepatic encephalopathy, or variceal hemorrhage. Costs of readmissions were calculated using the hospital accounting system. Predictors of time to first readmission were determined using Cox regression, and predictors of hospitalization rate/person-years were determined using negative binomial regression. The independent association between readmission rate and mortality was determined using Cox regression. Admissions within 30 days of discharge were assessed by two reviewers to determine if preventable. RESULTS Overall, 276 (69%) subjects had at least one nonelective readmission, with a median time to first readmission of 67 days. By 1 week after discharge, 14% of subjects had been readmitted, and 37% were readmitted within 1 month. The mean costs for readmissions within 1 week and between weeks 1 and 4 were $28,898 and $20,581, respectively. During a median follow-up of 203 days, the median number of readmissions was 2 (range 0-40), with an overall rate of 3 hospitalizations/person-years. Patients with more frequent readmissions had higher risk of subsequent mortality, despite adjustment for confounders including the Model for End-stage Liver Disease (MELD) score. Predictors of time to first readmission included MELD score, serum sodium, and number of medications on discharge; predictors of hospitalization rate included these variables as well as the number of cirrhosis complications and being on the transplant list at discharge. Among 165 readmissions within 30 days, 22% were possibly preventable. CONCLUSIONS Hospital readmissions among patients with decompensated cirrhosis are common, costly, moderately predictable, in some cases, possibly preventable, and independently associated with mortality. These findings support the development of disease management interventions to prevent rehospitalization.","author":[{"dropping-particle":"","family":"Volk","given":"Michael L","non-dropping-particle":"","parse-names":false,"suffix":""},{"dropping-particle":"","family":"Tocco","given":"Rachel S","non-dropping-particle":"","parse-names":false,"suffix":""},{"dropping-particle":"","family":"Bazick","given":"Jessica","non-dropping-particle":"","parse-names":false,"suffix":""},{"dropping-particle":"","family":"Rakoski","given":"Mina O","non-dropping-particle":"","parse-names":false,"suffix":""},{"dropping-particle":"","family":"Lok","given":"Anna S","non-dropping-particle":"","parse-names":false,"suffix":""}],"container-title":"The American journal of gastroenterology","id":"ITEM-1","issue":"2","issued":{"date-parts":[["2012","2"]]},"page":"247-52","title":"Hospital readmissions among patients with decompensated cirrhosis.","type":"article-journal","volume":"107"},"uris":["http://www.mendeley.com/documents/?uuid=3204692b-60b4-46ee-a207-5a5d6181e4ce"]},{"id":"ITEM-2","itemData":{"DOI":"10.1002/hep.28414","ISSN":"1527-3350","PMID":"26690389","abstract":"UNLABELLED In smaller single-center studies, patients with cirrhosis are at a high readmission risk, but a multicenter perspective study is lacking. We evaluated the determinants of 3-month readmissions among inpatients with cirrhosis using the prospective 14-center North American Consortium for the Study of End-Stage Liver Disease cohort. Patients with cirrhosis hospitalized for nonelective indications provided consent and were followed for 3 months postdischarge. The number of 3-month readmissions and their determinants on index admission and discharge were calculated. We used multivariable logistic regression for all readmissions and for hepatic encephalopathy (HE), renal/metabolic, and infection-related readmissions. A score was developed using admission/discharge variables for the total sample, which was validated on a random half of the total population. Of the 1353 patients enrolled, 1177 were eligible on discharge and 1013 had 3-month outcomes. Readmissions occurred in 53% (n = 535; 316 with one, 219 with two or more), with consistent rates across sites. The leading causes were liver-related (n = 333; HE, renal/metabolic, and infections). Patients with cirrhosis and with worse Model for End-Stage Liver Disease score or diabetes, those taking prophylactic antibiotics, and those with prior HE were more likely to be readmitted. The admission model included Model for End-Stage Liver Disease and diabetes (c-statistic = 0.64, after split-validation 0.65). The discharge model included Model for End-Stage Liver Disease, proton pump inhibitor use, and lower length of stay (c-statistic = 0.65, after split-validation 0.70). Thirty percent of readmissions could not be predicted. Patients with liver-related readmissions consistently had index-stay nosocomial infections as a predictor for HE, renal/metabolic, and infection-associated readmissions (odds ratio = 1.9-3.0). CONCLUSIONS Three-month readmissions occurred in about half of discharged patients with cirrhosis, which were associated with cirrhosis severity, diabetes, and nosocomial infections; close monitoring of patients with advanced cirrhosis and prevention of nosocomial infections could reduce this burden. (Hepatology 2016;64:200-208).","author":[{"dropping-particle":"","family":"Bajaj","given":"Jasmohan S","non-dropping-particle":"","parse-names":false,"suffix":""},{"dropping-particle":"","family":"Reddy","given":"K Rajender","non-dropping-particle":"","parse-names":false,"suffix":""},{"dropping-particle":"","family":"Tandon","given":"Puneeta","non-dropping-particle":"","parse-names":false,"suffix":""},{"dropping-particle":"","family":"Wong","given":"Florence","non-dropping-particle":"","parse-names":false,"suffix":""},{"dropping-particle":"","family":"Kamath","given":"Patrick S","non-dropping-particle":"","parse-names":false,"suffix":""},{"dropping-particle":"","family":"Garcia-Tsao","given":"Guadalupe","non-dropping-particle":"","parse-names":false,"suffix":""},{"dropping-particle":"","family":"Maliakkal","given":"Benedict","non-dropping-particle":"","parse-names":false,"suffix":""},{"dropping-particle":"","family":"Biggins","given":"Scott W","non-dropping-particle":"","parse-names":false,"suffix":""},{"dropping-particle":"","family":"Thuluvath","given":"Paul J","non-dropping-particle":"","parse-names":false,"suffix":""},{"dropping-particle":"","family":"Fallon","given":"Michael B","non-dropping-particle":"","parse-names":false,"suffix":""},{"dropping-particle":"","family":"Subramanian","given":"Ram M","non-dropping-particle":"","parse-names":false,"suffix":""},{"dropping-particle":"","family":"Vargas","given":"Hugo","non-dropping-particle":"","parse-names":false,"suffix":""},{"dropping-particle":"","family":"Thacker","given":"Leroy R","non-dropping-particle":"","parse-names":false,"suffix":""},{"dropping-particle":"","family":"O'Leary","given":"Jacqueline G","non-dropping-particle":"","parse-names":false,"suffix":""},{"dropping-particle":"","family":"North American Consortium for the Study of End-Stage Liver Disease","given":"","non-dropping-particle":"","parse-names":false,"suffix":""}],"container-title":"Hepatology (Baltimore, Md.)","id":"ITEM-2","issue":"1","issued":{"date-parts":[["2016","7"]]},"page":"200-8","title":"The 3-month readmission rate remains unacceptably high in a large North American cohort of patients with cirrhosis.","type":"article-journal","volume":"64"},"uris":["http://www.mendeley.com/documents/?uuid=eed7b615-ca3a-4f5e-b0cc-cb864dbd3232"]},{"id":"ITEM-3","itemData":{"DOI":"10.1016/j.cgh.2016.04.009","ISSN":"1542-7714","PMID":"27085758","abstract":"BACKGROUND &amp; AIMS There have been few population-based studies of the rates of and reasons for readmission to the hospital within 30 days among patients with cirrhosis. METHODS We identified all adult patients with cirrhosis who were admitted in 2011 to hospitals in California, Florida Massachusetts, Mississippi, New York, and Washington (119,722 unique index admissions with cirrhosis). We analyzed data from the State Inpatient Databases, which are longitudinal all-payer databases. Data were linked to the American Hospital Association's national survey for hospital characteristics. Outcomes included readmission to any hospital within 30 and 90 days, and the reasons for readmission. RESULTS The 30- and 90-day rates of readmission were 12.9% and 21.2% overall, with limited variation among states. Among patients with more than 3 complications of cirrhosis, 24.2% were readmitted within 30 days and 35.9% were readmitted within 90 days. The presence of hepatic encephalopathy was most strongly associated with readmission within 30 and 90 days (odds ratio, 1.77 for each). Almost 1 in every 4 readmissions was to a different hospital than the one from which the patient was discharged. Among patients with alcoholic liver disease and a history of a complications of cirrhosis, the 2 most common reasons for readmission were acute complications of cirrhosis (in 41.7%) and substance abuse (in 25.0%). Conversely, the most common reasons for readmission of patients with a history of complications of cirrhosis without alcoholic liver disease were acute complications (in 41.0%) and cancer complications (in 16.2%). CONCLUSIONS A high proportion of patients with cirrhosis are readmitted to the hospital (often to a different hospital) within 30 or 90 days; encephalopathy is most strongly associated with readmission. Reasons for readmission differ based on the cause of liver disease, and there are opportunities for quality improvement.","author":[{"dropping-particle":"","family":"Tapper","given":"Elliot B","non-dropping-particle":"","parse-names":false,"suffix":""},{"dropping-particle":"","family":"Halbert","given":"Brian","non-dropping-particle":"","parse-names":false,"suffix":""},{"dropping-particle":"","family":"Mellinger","given":"Jessica","non-dropping-particle":"","parse-names":false,"suffix":""}],"container-title":"Clinical gastroenterology and hepatology : the official clinical practice journal of the American Gastroenterological Association","id":"ITEM-3","issue":"8","issued":{"date-parts":[["2016","8"]]},"page":"1181-1188.e2","title":"Rates of and Reasons for Hospital Readmissions in Patients With Cirrhosis: A Multistate Population-based Cohort Study.","type":"article-journal","volume":"14"},"uris":["http://www.mendeley.com/documents/?uuid=0db4961f-aeaa-42bf-9898-bb5bebbb3e18"]}],"mendeley":{"formattedCitation":"&lt;sup&gt;[4–6]&lt;/sup&gt;","plainTextFormattedCitation":"[4–6]","previouslyFormattedCitation":"&lt;sup&gt;[4–6]&lt;/sup&gt;"},"properties":{"noteIndex":0},"schema":"https://github.com/citation-style-language/schema/raw/master/csl-citation.json"}</w:instrText>
      </w:r>
      <w:r w:rsidR="003978F7" w:rsidRPr="00E10230">
        <w:rPr>
          <w:rFonts w:ascii="Book Antiqua" w:hAnsi="Book Antiqua" w:cs="Arial"/>
          <w:sz w:val="24"/>
          <w:szCs w:val="24"/>
        </w:rPr>
        <w:fldChar w:fldCharType="separate"/>
      </w:r>
      <w:r w:rsidR="003978F7" w:rsidRPr="00E10230">
        <w:rPr>
          <w:rFonts w:ascii="Book Antiqua" w:hAnsi="Book Antiqua" w:cs="Arial"/>
          <w:noProof/>
          <w:sz w:val="24"/>
          <w:szCs w:val="24"/>
          <w:vertAlign w:val="superscript"/>
        </w:rPr>
        <w:t>[4–6]</w:t>
      </w:r>
      <w:r w:rsidR="003978F7" w:rsidRPr="00E10230">
        <w:rPr>
          <w:rFonts w:ascii="Book Antiqua" w:hAnsi="Book Antiqua" w:cs="Arial"/>
          <w:sz w:val="24"/>
          <w:szCs w:val="24"/>
        </w:rPr>
        <w:fldChar w:fldCharType="end"/>
      </w:r>
      <w:r w:rsidRPr="00E10230">
        <w:rPr>
          <w:rFonts w:ascii="Book Antiqua" w:hAnsi="Book Antiqua" w:cs="Arial"/>
          <w:sz w:val="24"/>
          <w:szCs w:val="24"/>
        </w:rPr>
        <w:t>, reducing the in-patient mortality rates may be contributing to the number of readmissions following the index admission. However, our study was not designed to assess the number of readmissions in order to a</w:t>
      </w:r>
      <w:r w:rsidR="003978F7" w:rsidRPr="00E10230">
        <w:rPr>
          <w:rFonts w:ascii="Book Antiqua" w:hAnsi="Book Antiqua" w:cs="Arial"/>
          <w:sz w:val="24"/>
          <w:szCs w:val="24"/>
        </w:rPr>
        <w:t>ddress this possibility. Kanwal</w:t>
      </w:r>
      <w:r w:rsidRPr="00E10230">
        <w:rPr>
          <w:rFonts w:ascii="Book Antiqua" w:hAnsi="Book Antiqua" w:cs="Arial"/>
          <w:sz w:val="24"/>
          <w:szCs w:val="24"/>
        </w:rPr>
        <w:t xml:space="preserve"> </w:t>
      </w:r>
      <w:r w:rsidRPr="00E10230">
        <w:rPr>
          <w:rFonts w:ascii="Book Antiqua" w:hAnsi="Book Antiqua" w:cs="Arial"/>
          <w:i/>
          <w:sz w:val="24"/>
          <w:szCs w:val="24"/>
        </w:rPr>
        <w:t>et al</w:t>
      </w:r>
      <w:r w:rsidR="003978F7" w:rsidRPr="00E10230">
        <w:rPr>
          <w:rFonts w:ascii="Book Antiqua" w:hAnsi="Book Antiqua" w:cs="Arial"/>
          <w:sz w:val="24"/>
          <w:szCs w:val="24"/>
        </w:rPr>
        <w:fldChar w:fldCharType="begin" w:fldLock="1"/>
      </w:r>
      <w:r w:rsidR="003978F7" w:rsidRPr="00E10230">
        <w:rPr>
          <w:rFonts w:ascii="Book Antiqua" w:hAnsi="Book Antiqua" w:cs="Arial"/>
          <w:sz w:val="24"/>
          <w:szCs w:val="24"/>
        </w:rPr>
        <w:instrText>ADDIN CSL_CITATION {"citationItems":[{"id":"ITEM-1","itemData":{"DOI":"10.1038/ajg.2017.175","ISSN":"1572-0241","PMID":"28607480","abstract":"OBJECTIVES Recent data suggest decreasing in-patient mortality in patients hospitalized with cirrhosis. We sought to determine if improvements in short-term outcomes for patients with cirrhosis are associated with changes in longer-term outcomes. METHODS We examined temporal trends in 30 days and 1-year postdischarge mortality among patients hospitalized with cirrhosis at any of the 126 Veterans Administration hospitals from 2004 and 2013. We adjusted for a range of demographic, liver disease severity, and comorbidity-related factors to account for differences in patient cohorts over time. RESULTS We identified 109,358 unique patients who were hospitalized with cirrhosis between 2004 and 2013. In-hospital mortality decreased from 11.4 to 7.6%, whereas 1-year mortality decreased from 34.5 to 33.2%. Over a third of out-of-hospital deaths occurred within the first 30 days after discharge; 30-day mortality increased from 9.3 to 10.1%. After adjusting for patient factors, the odds of in-hospital mortality in 2013 were 30% lower (adjusted odds ratio (OR)=0.70, 95% confidence interval (CI), 0.64-0.78), 1-year mortality were 13% lower (adjusted OR=0.87, 95% CI=0.82-0.93), whereas the 30-day mortality were 10% higher than 2004 (adjusted OR=1.10, 95% CI=0.99-1.21), although the latter did not reach statistical significance. CONCLUSIONS In patients admitted with cirrhosis, reduction in in-hospital mortality was associated with less marked reduction in 1-year mortality, and an unchanged, if not higher, 30-day mortality following discharge. Our data suggest that some of the burden of mortality in cirrhosis has shifted from in-hospital to the immediate postdischarge period.","author":[{"dropping-particle":"","family":"Kanwal","given":"Fasiha","non-dropping-particle":"","parse-names":false,"suffix":""},{"dropping-particle":"","family":"Tansel","given":"Aylin","non-dropping-particle":"","parse-names":false,"suffix":""},{"dropping-particle":"","family":"Kramer","given":"Jennifer R","non-dropping-particle":"","parse-names":false,"suffix":""},{"dropping-particle":"","family":"Feng","given":"Hua","non-dropping-particle":"","parse-names":false,"suffix":""},{"dropping-particle":"","family":"Asch","given":"Steven M","non-dropping-particle":"","parse-names":false,"suffix":""},{"dropping-particle":"","family":"El-Serag","given":"Hashem B","non-dropping-particle":"","parse-names":false,"suffix":""}],"container-title":"The American journal of gastroenterology","id":"ITEM-1","issue":"8","issued":{"date-parts":[["2017","8"]]},"page":"1287-1297","title":"Trends in 30-Day and 1-Year Mortality Among Patients Hospitalized With Cirrhosis From 2004 to 2013.","type":"article-journal","volume":"112"},"uris":["http://www.mendeley.com/documents/?uuid=318b75fc-3e7d-46e3-936c-9fb067594de5"]}],"mendeley":{"formattedCitation":"&lt;sup&gt;[23]&lt;/sup&gt;","plainTextFormattedCitation":"[23]","previouslyFormattedCitation":"&lt;sup&gt;[23]&lt;/sup&gt;"},"properties":{"noteIndex":0},"schema":"https://github.com/citation-style-language/schema/raw/master/csl-citation.json"}</w:instrText>
      </w:r>
      <w:r w:rsidR="003978F7" w:rsidRPr="00E10230">
        <w:rPr>
          <w:rFonts w:ascii="Book Antiqua" w:hAnsi="Book Antiqua" w:cs="Arial"/>
          <w:sz w:val="24"/>
          <w:szCs w:val="24"/>
        </w:rPr>
        <w:fldChar w:fldCharType="separate"/>
      </w:r>
      <w:r w:rsidR="003978F7" w:rsidRPr="00E10230">
        <w:rPr>
          <w:rFonts w:ascii="Book Antiqua" w:hAnsi="Book Antiqua" w:cs="Arial"/>
          <w:noProof/>
          <w:sz w:val="24"/>
          <w:szCs w:val="24"/>
          <w:vertAlign w:val="superscript"/>
        </w:rPr>
        <w:t>[23]</w:t>
      </w:r>
      <w:r w:rsidR="003978F7" w:rsidRPr="00E10230">
        <w:rPr>
          <w:rFonts w:ascii="Book Antiqua" w:hAnsi="Book Antiqua" w:cs="Arial"/>
          <w:sz w:val="24"/>
          <w:szCs w:val="24"/>
        </w:rPr>
        <w:fldChar w:fldCharType="end"/>
      </w:r>
      <w:r w:rsidRPr="00E10230">
        <w:rPr>
          <w:rFonts w:ascii="Book Antiqua" w:hAnsi="Book Antiqua" w:cs="Arial"/>
          <w:sz w:val="24"/>
          <w:szCs w:val="24"/>
        </w:rPr>
        <w:t xml:space="preserve"> showed there is an increasing trend </w:t>
      </w:r>
      <w:r w:rsidRPr="00E10230">
        <w:rPr>
          <w:rFonts w:ascii="Book Antiqua" w:hAnsi="Book Antiqua" w:cs="Arial"/>
          <w:sz w:val="24"/>
          <w:szCs w:val="24"/>
        </w:rPr>
        <w:lastRenderedPageBreak/>
        <w:t>for post discharge mortality related to cirrhosis admission, which has likely replaced inpatient mortality. Therefore, decreasing inpatient mortality may not reflect actual improvement of care related to cirrhosis. Interestingly, TIPS showed significant decrease in the hospital LOS from 9.6 in 2005 to 8.0 in 2014 by 17% down (</w:t>
      </w:r>
      <w:r w:rsidR="008447E4" w:rsidRPr="00E10230">
        <w:rPr>
          <w:rFonts w:ascii="Book Antiqua" w:hAnsi="Book Antiqua" w:cs="Arial"/>
          <w:i/>
          <w:sz w:val="24"/>
          <w:szCs w:val="24"/>
        </w:rPr>
        <w:t>P</w:t>
      </w:r>
      <w:r w:rsidR="003978F7" w:rsidRPr="00E10230">
        <w:rPr>
          <w:rFonts w:ascii="Book Antiqua" w:eastAsiaTheme="minorEastAsia" w:hAnsi="Book Antiqua" w:cs="Arial"/>
          <w:i/>
          <w:sz w:val="24"/>
          <w:szCs w:val="24"/>
          <w:lang w:eastAsia="zh-CN"/>
        </w:rPr>
        <w:t xml:space="preserve"> </w:t>
      </w:r>
      <w:r w:rsidRPr="00E10230">
        <w:rPr>
          <w:rFonts w:ascii="Book Antiqua" w:hAnsi="Book Antiqua" w:cs="Arial"/>
          <w:sz w:val="24"/>
          <w:szCs w:val="24"/>
        </w:rPr>
        <w:t>&lt;</w:t>
      </w:r>
      <w:r w:rsidR="003978F7" w:rsidRPr="00E10230">
        <w:rPr>
          <w:rFonts w:ascii="Book Antiqua" w:eastAsiaTheme="minorEastAsia" w:hAnsi="Book Antiqua" w:cs="Arial"/>
          <w:sz w:val="24"/>
          <w:szCs w:val="24"/>
          <w:lang w:eastAsia="zh-CN"/>
        </w:rPr>
        <w:t xml:space="preserve"> </w:t>
      </w:r>
      <w:r w:rsidRPr="00E10230">
        <w:rPr>
          <w:rFonts w:ascii="Book Antiqua" w:hAnsi="Book Antiqua" w:cs="Arial"/>
          <w:sz w:val="24"/>
          <w:szCs w:val="24"/>
        </w:rPr>
        <w:t>0.04), but other cirrhosis-associated conditions did not play a significant role in the LOS. This finding is different from a previous study that evaluated TIPS from 1998 to 2012, which showed relatively constant LOS for TIPS-related admissions</w:t>
      </w:r>
      <w:r w:rsidR="003978F7" w:rsidRPr="00E10230">
        <w:rPr>
          <w:rFonts w:ascii="Book Antiqua" w:hAnsi="Book Antiqua" w:cs="Arial"/>
          <w:sz w:val="24"/>
          <w:szCs w:val="24"/>
        </w:rPr>
        <w:fldChar w:fldCharType="begin" w:fldLock="1"/>
      </w:r>
      <w:r w:rsidR="003978F7" w:rsidRPr="00E10230">
        <w:rPr>
          <w:rFonts w:ascii="Book Antiqua" w:hAnsi="Book Antiqua" w:cs="Arial"/>
          <w:sz w:val="24"/>
          <w:szCs w:val="24"/>
        </w:rPr>
        <w:instrText>ADDIN CSL_CITATION {"citationItems":[{"id":"ITEM-1","itemData":{"DOI":"10.3748/wjg.v22.i25.5780","ISSN":"2219-2840","PMID":"27433091","abstract":"AIM To evaluate and validate the national trends and predictors of in-patient mortality of transjugular intrahepatic portosystemic shunt (TIPS) in 15 years. METHODS Using the National Inpatient Sample which is a part of Health Cost and Utilization Project, we identified a discharge-weighted national estimate of 83884 TIPS procedures performed in the United States from 1998 to 2012 using international classification of diseases-9 procedural code 39.1. The demographic, hospital and co-morbility data were analyzed using a multivariant analysis. Using multi-nominal logistic regression analysis, we determined predictive factors related to increases in-hospital mortality. Comorbidity measures are in accordance to the Comorbidity Software designed by the Agency for Healthcare Research and Quality. RESULTS Overall, 12.3% of patients died during hospitalization with downward trend in-hospital mortality with the mean length of stay of 10.8 ± 13.1 d. Notable, African American patients (OR = 1.809 vs Caucasian patients, P &lt; 0.001), transferred patients (OR = 1.347 vs non-transferred, P &lt; 0.001), emergency admissions (OR = 3.032 vs elective cases, P &lt; 0.001), patients in the Northeast region (OR = 1.449 vs West, P &lt; 0.001) had significantly higher odds of in-hospital mortality. Number of diagnoses and number of procedures showed positive correlations with in-hospital death (OR = 1.249 per one increase in number of procedures). Patients diagnosed with acute respiratory failure (OR = 8.246), acute kidney failure (OR = 4.359), hepatic encephalopathy (OR = 2.217) and esophageal variceal bleeding (OR = 2.187) were at considerably higher odds of in-hospital death compared with ascites (OR = 0.136, P &lt; 0.001). Comorbidity measures with the highest odds of in-hospital death were fluid and electrolyte disorders (OR = 2.823), coagulopathy (OR = 2.016), and lymphoma (OR = 1.842). CONCLUSION The overall mortality of the TIPS procedure is steadily decreasing, though the length of stay has remained relatively constant. Specific patient ethnicity, location, transfer status, primary diagnosis and comorbidities correlate with increased odds of TIPS in-hospital death.","author":[{"dropping-particle":"","family":"Lee","given":"Edward Wolfgang","non-dropping-particle":"","parse-names":false,"suffix":""},{"dropping-particle":"","family":"Kuei","given":"Andrew","non-dropping-particle":"","parse-names":false,"suffix":""},{"dropping-particle":"","family":"Saab","given":"Sammy","non-dropping-particle":"","parse-names":false,"suffix":""},{"dropping-particle":"","family":"Busuttil","given":"Ronald W","non-dropping-particle":"","parse-names":false,"suffix":""},{"dropping-particle":"","family":"Durazo","given":"Francisco","non-dropping-particle":"","parse-names":false,"suffix":""},{"dropping-particle":"","family":"Han","given":"Steven-Huy","non-dropping-particle":"","parse-names":false,"suffix":""},{"dropping-particle":"","family":"El-Kabany","given":"Mohamed M","non-dropping-particle":"","parse-names":false,"suffix":""},{"dropping-particle":"","family":"McWilliams","given":"Justin P","non-dropping-particle":"","parse-names":false,"suffix":""},{"dropping-particle":"","family":"Kee","given":"Stephen T","non-dropping-particle":"","parse-names":false,"suffix":""}],"container-title":"World journal of gastroenterology","id":"ITEM-1","issue":"25","issued":{"date-parts":[["2016","7","7"]]},"page":"5780-9","title":"Nationwide trends and predictors of inpatient mortality in 83884 transjugular intrahepatic portosystemic shunt.","type":"article-journal","volume":"22"},"uris":["http://www.mendeley.com/documents/?uuid=43ef14d8-b824-4d88-9e1a-364910d04b24"]}],"mendeley":{"formattedCitation":"&lt;sup&gt;[24]&lt;/sup&gt;","plainTextFormattedCitation":"[24]","previouslyFormattedCitation":"&lt;sup&gt;[24]&lt;/sup&gt;"},"properties":{"noteIndex":0},"schema":"https://github.com/citation-style-language/schema/raw/master/csl-citation.json"}</w:instrText>
      </w:r>
      <w:r w:rsidR="003978F7" w:rsidRPr="00E10230">
        <w:rPr>
          <w:rFonts w:ascii="Book Antiqua" w:hAnsi="Book Antiqua" w:cs="Arial"/>
          <w:sz w:val="24"/>
          <w:szCs w:val="24"/>
        </w:rPr>
        <w:fldChar w:fldCharType="separate"/>
      </w:r>
      <w:r w:rsidR="003978F7" w:rsidRPr="00E10230">
        <w:rPr>
          <w:rFonts w:ascii="Book Antiqua" w:hAnsi="Book Antiqua" w:cs="Arial"/>
          <w:noProof/>
          <w:sz w:val="24"/>
          <w:szCs w:val="24"/>
          <w:vertAlign w:val="superscript"/>
        </w:rPr>
        <w:t>[24]</w:t>
      </w:r>
      <w:r w:rsidR="003978F7" w:rsidRPr="00E10230">
        <w:rPr>
          <w:rFonts w:ascii="Book Antiqua" w:hAnsi="Book Antiqua" w:cs="Arial"/>
          <w:sz w:val="24"/>
          <w:szCs w:val="24"/>
        </w:rPr>
        <w:fldChar w:fldCharType="end"/>
      </w:r>
      <w:r w:rsidRPr="00E10230">
        <w:rPr>
          <w:rFonts w:ascii="Book Antiqua" w:hAnsi="Book Antiqua" w:cs="Arial"/>
          <w:sz w:val="24"/>
          <w:szCs w:val="24"/>
        </w:rPr>
        <w:t>. TIPS had persistently high LOS compared to other diagnosis, however this comparison may not be appropriate as the ICD-9 code for TIPS was a procedure code rather than a diagnostic code. In addition, there was a recent trend of minimizing post-procedural hospital stays</w:t>
      </w:r>
      <w:r w:rsidR="003978F7" w:rsidRPr="00E10230">
        <w:rPr>
          <w:rFonts w:ascii="Book Antiqua" w:hAnsi="Book Antiqua" w:cs="Arial"/>
          <w:sz w:val="24"/>
          <w:szCs w:val="24"/>
        </w:rPr>
        <w:fldChar w:fldCharType="begin" w:fldLock="1"/>
      </w:r>
      <w:r w:rsidR="003978F7" w:rsidRPr="00E10230">
        <w:rPr>
          <w:rFonts w:ascii="Book Antiqua" w:hAnsi="Book Antiqua" w:cs="Arial"/>
          <w:sz w:val="24"/>
          <w:szCs w:val="24"/>
        </w:rPr>
        <w:instrText>ADDIN CSL_CITATION {"citationItems":[{"id":"ITEM-1","itemData":{"DOI":"10.1097/01.SLA.0000081094.66659.c3","ISSN":"0003-4932","PMID":"12894006","abstract":"OBJECTIVE Aimed at reducing surgical deaths, several recent initiatives have attempted to establish volume-based referral strategies in high-risk surgery. Although payers are leading the most visible of these efforts, it is unknown whether volume standards will also reduce resource use. METHODS We studied postoperative length of stay and 30-day readmission rate after 14 cardiovascular and cancer procedures using the 1994-1999 national Medicare database (total n = 2.5 million). We used regression techniques to examine the relationship between length of stay, 30-day readmission, and hospital volume, adjusting for age, gender, race, comorbidity score, admission acuity, and mean social security income. RESULTS Mean postoperative length of stay ranged from 3.4 days (carotid endarterectomy) to 19.6 days (esophagectomy). There was no consistent relationship between volume and mean length of stay; it significantly increased across volume strata for 7 of the 14 procedures and significantly decreased across volume strata for the other 7. Mean length of stay at very-low-volume and very-high-volume hospitals differed by more than 1 day for 6 procedures. Of these, the mean length of stay was shorter in high-volume hospitals for 3 procedures (pancreatic resection, esophagectomy, cystectomy), but longer for other procedures (aortic and mitral valve replacement, gastrectomy). The 30-day readmission rate also varied widely by procedure, ranging from 9.9% (nephrectomy) to 22.2% (mitral valve replacement). However, volume was not related to 30-day readmission rate with any procedure. CONCLUSION Although hospital volume may be an important predictor of operative mortality, it is not associated with resource use as reflected by length of stay or readmission rates.","author":[{"dropping-particle":"","family":"Goodney","given":"Philip P","non-dropping-particle":"","parse-names":false,"suffix":""},{"dropping-particle":"","family":"Stukel","given":"Therese A","non-dropping-particle":"","parse-names":false,"suffix":""},{"dropping-particle":"","family":"Lucas","given":"F Lee","non-dropping-particle":"","parse-names":false,"suffix":""},{"dropping-particle":"","family":"Finlayson","given":"Emily V A","non-dropping-particle":"","parse-names":false,"suffix":""},{"dropping-particle":"","family":"Birkmeyer","given":"John D","non-dropping-particle":"","parse-names":false,"suffix":""}],"container-title":"Annals of surgery","id":"ITEM-1","issue":"2","issued":{"date-parts":[["2003","8"]]},"page":"161-7","title":"Hospital volume, length of stay, and readmission rates in high-risk surgery.","type":"article-journal","volume":"238"},"uris":["http://www.mendeley.com/documents/?uuid=4ecf3e12-5262-4bd2-88af-b3cc189e0a2c"]}],"mendeley":{"formattedCitation":"&lt;sup&gt;[25]&lt;/sup&gt;","plainTextFormattedCitation":"[25]","previouslyFormattedCitation":"&lt;sup&gt;[25]&lt;/sup&gt;"},"properties":{"noteIndex":0},"schema":"https://github.com/citation-style-language/schema/raw/master/csl-citation.json"}</w:instrText>
      </w:r>
      <w:r w:rsidR="003978F7" w:rsidRPr="00E10230">
        <w:rPr>
          <w:rFonts w:ascii="Book Antiqua" w:hAnsi="Book Antiqua" w:cs="Arial"/>
          <w:sz w:val="24"/>
          <w:szCs w:val="24"/>
        </w:rPr>
        <w:fldChar w:fldCharType="separate"/>
      </w:r>
      <w:r w:rsidR="003978F7" w:rsidRPr="00E10230">
        <w:rPr>
          <w:rFonts w:ascii="Book Antiqua" w:hAnsi="Book Antiqua" w:cs="Arial"/>
          <w:noProof/>
          <w:sz w:val="24"/>
          <w:szCs w:val="24"/>
          <w:vertAlign w:val="superscript"/>
        </w:rPr>
        <w:t>[25]</w:t>
      </w:r>
      <w:r w:rsidR="003978F7" w:rsidRPr="00E10230">
        <w:rPr>
          <w:rFonts w:ascii="Book Antiqua" w:hAnsi="Book Antiqua" w:cs="Arial"/>
          <w:sz w:val="24"/>
          <w:szCs w:val="24"/>
        </w:rPr>
        <w:fldChar w:fldCharType="end"/>
      </w:r>
      <w:r w:rsidRPr="00E10230">
        <w:rPr>
          <w:rFonts w:ascii="Book Antiqua" w:hAnsi="Book Antiqua" w:cs="Arial"/>
          <w:sz w:val="24"/>
          <w:szCs w:val="24"/>
        </w:rPr>
        <w:t>.</w:t>
      </w:r>
    </w:p>
    <w:p w14:paraId="7EC6E5A9" w14:textId="77777777" w:rsidR="00704241" w:rsidRPr="00E10230" w:rsidRDefault="00704241" w:rsidP="00E10230">
      <w:pPr>
        <w:spacing w:after="0" w:line="360" w:lineRule="auto"/>
        <w:ind w:firstLineChars="100" w:firstLine="240"/>
        <w:jc w:val="both"/>
        <w:rPr>
          <w:rFonts w:ascii="Book Antiqua" w:hAnsi="Book Antiqua" w:cs="Arial"/>
          <w:sz w:val="24"/>
          <w:szCs w:val="24"/>
        </w:rPr>
      </w:pPr>
      <w:r w:rsidRPr="00E10230">
        <w:rPr>
          <w:rFonts w:ascii="Book Antiqua" w:hAnsi="Book Antiqua" w:cs="Arial"/>
          <w:sz w:val="24"/>
          <w:szCs w:val="24"/>
        </w:rPr>
        <w:t>Finally, our aggregate financial analysis suggests that mean charges of cirrhosis-associated conditions increased over a 10-year period after adjusting for inflation. A similar increased trend was also seen in the national all-cause hospitalization. However, increase in aggregate cost for primary diagnosis of EV, HC and SBP was disproportionately greater (45% increase) than the increase in aggregate cost for national trends (7% increase) after adjusting for inflation. This suggests that prevention of hospitalizations secondary to cirrhosis-associated conditions likely reduces overall health care cost.</w:t>
      </w:r>
    </w:p>
    <w:p w14:paraId="6204B120" w14:textId="2F6C15C6" w:rsidR="00704241" w:rsidRPr="00E10230" w:rsidRDefault="00704241" w:rsidP="00E10230">
      <w:pPr>
        <w:spacing w:after="0" w:line="360" w:lineRule="auto"/>
        <w:ind w:firstLineChars="100" w:firstLine="240"/>
        <w:jc w:val="both"/>
        <w:rPr>
          <w:rFonts w:ascii="Book Antiqua" w:eastAsiaTheme="minorEastAsia" w:hAnsi="Book Antiqua" w:cs="Arial"/>
          <w:sz w:val="24"/>
          <w:szCs w:val="24"/>
          <w:lang w:eastAsia="zh-CN"/>
        </w:rPr>
      </w:pPr>
      <w:r w:rsidRPr="00E10230">
        <w:rPr>
          <w:rFonts w:ascii="Book Antiqua" w:hAnsi="Book Antiqua" w:cs="Arial"/>
          <w:sz w:val="24"/>
          <w:szCs w:val="24"/>
        </w:rPr>
        <w:t xml:space="preserve">There are some limitations to our study, which are mostly associated with the lack of patient-level, detailed clinical information as a result of using an aggregate claims database. Also, we cannot rule out the possibility of temporal changes in the reporting bias for these conditions, since the reporting process for the discharge diagnoses may have become more specific over recent years with more prevalent use of electronic medical records. Therefore, it is unclear if increasing numbers of cirrhosis-associated discharges based on ICD-9 codes reflects actual increases in prevalence of the conditions </w:t>
      </w:r>
      <w:r w:rsidRPr="00E10230">
        <w:rPr>
          <w:rFonts w:ascii="Book Antiqua" w:hAnsi="Book Antiqua" w:cs="Arial"/>
          <w:i/>
          <w:sz w:val="24"/>
          <w:szCs w:val="24"/>
        </w:rPr>
        <w:t>vs</w:t>
      </w:r>
      <w:r w:rsidRPr="00E10230">
        <w:rPr>
          <w:rFonts w:ascii="Book Antiqua" w:hAnsi="Book Antiqua" w:cs="Arial"/>
          <w:sz w:val="24"/>
          <w:szCs w:val="24"/>
        </w:rPr>
        <w:t xml:space="preserve"> increase in more accurate reporting of these conditions. In addition, previous studies have not validated ICD-9 codes related to HC secondary to viral hepatitis. Therefore, use of unvalidated codes may skew results. Further prospective </w:t>
      </w:r>
      <w:r w:rsidRPr="00E10230">
        <w:rPr>
          <w:rFonts w:ascii="Book Antiqua" w:hAnsi="Book Antiqua" w:cs="Arial"/>
          <w:sz w:val="24"/>
          <w:szCs w:val="24"/>
        </w:rPr>
        <w:lastRenderedPageBreak/>
        <w:t>studies are needed to find the explanations of these trends. We also utilized ICD-9 diagnostic codes for HC, EV and SBP, and an ICD-9 procedure code was utilized for TIPS. Therefore, comparison between ICD-9 diagnostic codes and procedure codes may not reflect differences in the respective trends.</w:t>
      </w:r>
      <w:r w:rsidR="002446B5" w:rsidRPr="00E10230">
        <w:rPr>
          <w:rFonts w:ascii="Book Antiqua" w:hAnsi="Book Antiqua" w:cs="Arial"/>
          <w:sz w:val="24"/>
          <w:szCs w:val="24"/>
        </w:rPr>
        <w:t xml:space="preserve"> We understand that determining the reason for TIPS is important as prognosis may differ for different causes</w:t>
      </w:r>
      <w:r w:rsidR="00B05716" w:rsidRPr="00E10230">
        <w:rPr>
          <w:rFonts w:ascii="Book Antiqua" w:hAnsi="Book Antiqua" w:cs="Arial"/>
          <w:sz w:val="24"/>
          <w:szCs w:val="24"/>
        </w:rPr>
        <w:t>.</w:t>
      </w:r>
      <w:r w:rsidR="002446B5" w:rsidRPr="00E10230">
        <w:rPr>
          <w:rFonts w:ascii="Book Antiqua" w:hAnsi="Book Antiqua" w:cs="Arial"/>
          <w:sz w:val="24"/>
          <w:szCs w:val="24"/>
        </w:rPr>
        <w:t xml:space="preserve"> </w:t>
      </w:r>
      <w:r w:rsidR="00B05716" w:rsidRPr="00E10230">
        <w:rPr>
          <w:rFonts w:ascii="Book Antiqua" w:hAnsi="Book Antiqua" w:cs="Arial"/>
          <w:sz w:val="24"/>
          <w:szCs w:val="24"/>
        </w:rPr>
        <w:t>H</w:t>
      </w:r>
      <w:r w:rsidR="002446B5" w:rsidRPr="00E10230">
        <w:rPr>
          <w:rFonts w:ascii="Book Antiqua" w:hAnsi="Book Antiqua" w:cs="Arial"/>
          <w:sz w:val="24"/>
          <w:szCs w:val="24"/>
        </w:rPr>
        <w:t>owever, NIS data did not allow us to separate etiologies. Additional studies to look at this d</w:t>
      </w:r>
      <w:r w:rsidR="00E10230" w:rsidRPr="00E10230">
        <w:rPr>
          <w:rFonts w:ascii="Book Antiqua" w:hAnsi="Book Antiqua" w:cs="Arial"/>
          <w:sz w:val="24"/>
          <w:szCs w:val="24"/>
        </w:rPr>
        <w:t>ifference would be appropriate.</w:t>
      </w:r>
    </w:p>
    <w:p w14:paraId="0EFEFBC1" w14:textId="42D6740C" w:rsidR="00704241" w:rsidRPr="00E10230" w:rsidRDefault="00704241" w:rsidP="00E10230">
      <w:pPr>
        <w:spacing w:after="0" w:line="360" w:lineRule="auto"/>
        <w:ind w:firstLineChars="100" w:firstLine="240"/>
        <w:jc w:val="both"/>
        <w:rPr>
          <w:rFonts w:ascii="Book Antiqua" w:hAnsi="Book Antiqua" w:cs="Arial"/>
          <w:sz w:val="24"/>
          <w:szCs w:val="24"/>
        </w:rPr>
      </w:pPr>
      <w:r w:rsidRPr="00E10230">
        <w:rPr>
          <w:rFonts w:ascii="Book Antiqua" w:hAnsi="Book Antiqua" w:cs="Arial"/>
          <w:sz w:val="24"/>
          <w:szCs w:val="24"/>
        </w:rPr>
        <w:t>In summary, we observed significant temporal increase in hospitalization due to cirrhosis-associated complications except for TIPS</w:t>
      </w:r>
      <w:r w:rsidR="00E10230" w:rsidRPr="00E10230">
        <w:rPr>
          <w:rFonts w:ascii="Book Antiqua" w:hAnsi="Book Antiqua" w:cs="Arial"/>
          <w:sz w:val="24"/>
          <w:szCs w:val="24"/>
        </w:rPr>
        <w:fldChar w:fldCharType="begin" w:fldLock="1"/>
      </w:r>
      <w:r w:rsidR="00E10230" w:rsidRPr="00E10230">
        <w:rPr>
          <w:rFonts w:ascii="Book Antiqua" w:hAnsi="Book Antiqua" w:cs="Arial"/>
          <w:sz w:val="24"/>
          <w:szCs w:val="24"/>
        </w:rPr>
        <w:instrText>ADDIN CSL_CITATION {"citationItems":[{"id":"ITEM-1","itemData":{"DOI":"10.1111/j.1478-3231.2012.02830.x","ISSN":"1478-3231","PMID":"22679906","abstract":"BACKGROUND/AIMS Patients with cirrhosis are classified in a compensated and a decompensated stage. Portal hypertension is responsible for most of the complications of cirrhosis that mark the transition from compensated to decompensated cirrhosis. The objectives of this study were (a) to analyse survival of the different stages and substages of cirrhosis and (b) to examine the prognostic value of the hepatic venous pressure gradient (HVPG) at each of the stages. METHODS A total of 729 patients with suspected cirrhosis underwent routine measurement of portal pressure and systemic haemodynamics between 11/1995 and 12/2004. The primary end-point of the study was death, collected until November 30th, 2006. Multivariable analysis was performed using two models to determine predictors of death at each stage. RESULTS A total of 443 patients were included in the study. The 1-year mortality was 5.4% in compensated and 20.2% in decompensated patients. Compensated patients in stage 1 (no varices) had a longer survival than stage 2 patients (varices present) (P = 0.015). In decompensated patients, survival was not different between stage 3 (ascites, with or without varices) and stage 4 (variceal haemorrhage, with or without ascites). Age and HVPG (cut-off 10 mmHg) were independent predictors of death in compensated patients, whereas MELD was in decompensated patients. CONCLUSION Survival rates and predictors of death are different between patients with compensated and decompensated cirrhosis. Unlike the Italian cohort staging system, ascites is a better stratifying clinical event than variceal haemorrhage in patients with decompensated cirrhosis. The presence of clinically significant portal hypertension has prognostic value in compensated cirrhosis.","author":[{"dropping-particle":"","family":"Zipprich","given":"Alexander","non-dropping-particle":"","parse-names":false,"suffix":""},{"dropping-particle":"","family":"Garcia-Tsao","given":"Guadalupe","non-dropping-particle":"","parse-names":false,"suffix":""},{"dropping-particle":"","family":"Rogowski","given":"Sebastian","non-dropping-particle":"","parse-names":false,"suffix":""},{"dropping-particle":"","family":"Fleig","given":"Wolfgang E","non-dropping-particle":"","parse-names":false,"suffix":""},{"dropping-particle":"","family":"Seufferlein","given":"Thomas","non-dropping-particle":"","parse-names":false,"suffix":""},{"dropping-particle":"","family":"Dollinger","given":"Matthias M","non-dropping-particle":"","parse-names":false,"suffix":""}],"container-title":"Liver international : official journal of the International Association for the Study of the Liver","id":"ITEM-1","issue":"9","issued":{"date-parts":[["2012","10"]]},"page":"1407-14","title":"Prognostic indicators of survival in patients with compensated and decompensated cirrhosis.","type":"article-journal","volume":"32"},"uris":["http://www.mendeley.com/documents/?uuid=fb402ff0-d8a4-4e1e-b55b-25067d46c655"]},{"id":"ITEM-2","itemData":{"DOI":"10.1111/jgh.13917","ISSN":"08159319","PMID":"28768371","abstract":"BACKGROUND &amp;AIM Minimal hepatic encephalopathy (MHE) predicts poor prognosis and could reflect an advanced liver disease. We aimed to assess whether MHE could be a surrogate marker of a further liver disease. METHODS Prospective multicenter study including 320 cirrhotic patients, followed for up to 5 years, which were classified at baseline in: compensated cirrhosis without (stage 1) and with varices (stage 2), one decompensating event (stage 3), any second decompensating event (stage 4). Cirrhosis progression was defined by a transition towards a different stage (competing events: liver transplant due to hepatocellular carcinoma and non-liver-related death). MHE was detected by critical flicker frequency and psychometric tests. RESULTS MHE was diagnosed in 18.2% (57/314) of patients. Cirrhosis progression occurred in 38.1% (122/320) of patients, while liver transplant was required in 10.9% (35/320) and 19.1% (61/320) died. In competing risk regression, MHE was associated with disease progression: model 1 [sHR 2.34 (95%CI 1.58-3.46); p=0.0001]; model 2 [sHR 2.18 (95%CI 1.43-3.33); p=0.0001]; model 3 [sHR 2.48 (95%CI 1.63-3.76); p=0.0001]. The annual incidence rate of progression was higher in MHE patients: stage 1 (19.4 vs. 5.6 cases per 100 person-years); stage 2 (26.8 vs. 15.6); stage 3 (45.7 vs. 16.5); stage 4 (40.7 vs. 12.8). MHE showed a higher cumulative incidence of disease progression from the first year in decompensated and the third year in compensated cirrhosis. CONCLUSION MHE was associated with cirrhosis progression and showed a higher cumulative and annual incidence rate of disease progression. MHE could be a surrogate marker of disease progression, irrespective of cirrhosis status, identifying patients at risk of suffering a more aggressive cirrhosis form.","author":[{"dropping-particle":"","family":"Ampuero","given":"Javier","non-dropping-particle":"","parse-names":false,"suffix":""},{"dropping-particle":"","family":"Montoliú","given":"Carmina","non-dropping-particle":"","parse-names":false,"suffix":""},{"dropping-particle":"","family":"Simón-Talero","given":"Macarena","non-dropping-particle":"","parse-names":false,"suffix":""},{"dropping-particle":"","family":"Aguilera","given":"Virginia","non-dropping-particle":"","parse-names":false,"suffix":""},{"dropping-particle":"","family":"Millán","given":"Raquel","non-dropping-particle":"","parse-names":false,"suffix":""},{"dropping-particle":"","family":"Márquez","given":"Celina","non-dropping-particle":"","parse-names":false,"suffix":""},{"dropping-particle":"","family":"Jover","given":"Rodrigo","non-dropping-particle":"","parse-names":false,"suffix":""},{"dropping-particle":"","family":"Rico","given":"María Carmen","non-dropping-particle":"","parse-names":false,"suffix":""},{"dropping-particle":"","family":"Sendra","given":"Carmen","non-dropping-particle":"","parse-names":false,"suffix":""},{"dropping-particle":"","family":"Serra","given":"Miguel Ángel","non-dropping-particle":"","parse-names":false,"suffix":""},{"dropping-particle":"","family":"Romero-Gómez","given":"Manuel","non-dropping-particle":"","parse-names":false,"suffix":""}],"container-title":"Journal of Gastroenterology and Hepatology","id":"ITEM-2","issued":{"date-parts":[["2017","8","2"]]},"title":"Minimal hepatic encephalopathy identifies patients at risk of faster cirrhosis progression","type":"article-journal"},"uris":["http://www.mendeley.com/documents/?uuid=34927d2a-d2e3-4abf-8a9c-6e530693e59d"]}],"mendeley":{"formattedCitation":"&lt;sup&gt;[2,3]&lt;/sup&gt;","plainTextFormattedCitation":"[2,3]","previouslyFormattedCitation":"&lt;sup&gt;[2,3]&lt;/sup&gt;"},"properties":{"noteIndex":0},"schema":"https://github.com/citation-style-language/schema/raw/master/csl-citation.json"}</w:instrText>
      </w:r>
      <w:r w:rsidR="00E10230" w:rsidRPr="00E10230">
        <w:rPr>
          <w:rFonts w:ascii="Book Antiqua" w:hAnsi="Book Antiqua" w:cs="Arial"/>
          <w:sz w:val="24"/>
          <w:szCs w:val="24"/>
        </w:rPr>
        <w:fldChar w:fldCharType="separate"/>
      </w:r>
      <w:r w:rsidR="00E10230" w:rsidRPr="00E10230">
        <w:rPr>
          <w:rFonts w:ascii="Book Antiqua" w:hAnsi="Book Antiqua" w:cs="Arial"/>
          <w:noProof/>
          <w:sz w:val="24"/>
          <w:szCs w:val="24"/>
          <w:vertAlign w:val="superscript"/>
        </w:rPr>
        <w:t>[2,3]</w:t>
      </w:r>
      <w:r w:rsidR="00E10230" w:rsidRPr="00E10230">
        <w:rPr>
          <w:rFonts w:ascii="Book Antiqua" w:hAnsi="Book Antiqua" w:cs="Arial"/>
          <w:sz w:val="24"/>
          <w:szCs w:val="24"/>
        </w:rPr>
        <w:fldChar w:fldCharType="end"/>
      </w:r>
      <w:r w:rsidRPr="00E10230">
        <w:rPr>
          <w:rFonts w:ascii="Book Antiqua" w:hAnsi="Book Antiqua" w:cs="Arial"/>
          <w:sz w:val="24"/>
          <w:szCs w:val="24"/>
        </w:rPr>
        <w:t>. EV, HC and especially SBP had significant increases in aggregate hospitalization cost. Strategies to prevent readmission in the era of decreasing mortality rate are needed to effectively reduce healthcare cost.</w:t>
      </w:r>
    </w:p>
    <w:p w14:paraId="670CC85E" w14:textId="7283379D" w:rsidR="00FB1910" w:rsidRPr="00E10230" w:rsidRDefault="00704241" w:rsidP="00E10230">
      <w:pPr>
        <w:spacing w:after="0" w:line="360" w:lineRule="auto"/>
        <w:jc w:val="both"/>
        <w:rPr>
          <w:rFonts w:ascii="Book Antiqua" w:hAnsi="Book Antiqua" w:cs="Arial"/>
          <w:b/>
          <w:sz w:val="24"/>
          <w:szCs w:val="24"/>
        </w:rPr>
      </w:pPr>
      <w:r w:rsidRPr="00E10230" w:rsidDel="00704241">
        <w:rPr>
          <w:rFonts w:ascii="Book Antiqua" w:hAnsi="Book Antiqua" w:cs="Arial"/>
          <w:b/>
          <w:sz w:val="24"/>
          <w:szCs w:val="24"/>
        </w:rPr>
        <w:t xml:space="preserve"> </w:t>
      </w:r>
      <w:bookmarkEnd w:id="4"/>
    </w:p>
    <w:p w14:paraId="2EF97A39" w14:textId="63DD4EC6" w:rsidR="00544C5A" w:rsidRPr="00E10230" w:rsidRDefault="00544C5A" w:rsidP="00E10230">
      <w:pPr>
        <w:spacing w:after="0" w:line="360" w:lineRule="auto"/>
        <w:jc w:val="both"/>
        <w:rPr>
          <w:rFonts w:ascii="Book Antiqua" w:hAnsi="Book Antiqua" w:cs="Arial"/>
          <w:b/>
          <w:sz w:val="24"/>
          <w:szCs w:val="24"/>
        </w:rPr>
      </w:pPr>
      <w:r w:rsidRPr="00E10230">
        <w:rPr>
          <w:rFonts w:ascii="Book Antiqua" w:hAnsi="Book Antiqua" w:cs="Arial"/>
          <w:b/>
          <w:sz w:val="24"/>
          <w:szCs w:val="24"/>
        </w:rPr>
        <w:t>ARTICLE HIGHLIGHTS</w:t>
      </w:r>
    </w:p>
    <w:p w14:paraId="3C23E296" w14:textId="15D976E9" w:rsidR="00544C5A" w:rsidRPr="00E10230" w:rsidRDefault="00544C5A" w:rsidP="00E10230">
      <w:pPr>
        <w:spacing w:after="0" w:line="360" w:lineRule="auto"/>
        <w:jc w:val="both"/>
        <w:rPr>
          <w:rFonts w:ascii="Book Antiqua" w:hAnsi="Book Antiqua" w:cs="Arial"/>
          <w:b/>
          <w:i/>
          <w:sz w:val="24"/>
          <w:szCs w:val="24"/>
        </w:rPr>
      </w:pPr>
      <w:r w:rsidRPr="00E10230">
        <w:rPr>
          <w:rFonts w:ascii="Book Antiqua" w:hAnsi="Book Antiqua" w:cs="Arial"/>
          <w:b/>
          <w:i/>
          <w:sz w:val="24"/>
          <w:szCs w:val="24"/>
        </w:rPr>
        <w:t>Research background</w:t>
      </w:r>
    </w:p>
    <w:p w14:paraId="52B395E5" w14:textId="0530DA03" w:rsidR="00544C5A" w:rsidRPr="00E10230" w:rsidRDefault="00AF0195" w:rsidP="00E10230">
      <w:pPr>
        <w:spacing w:after="0" w:line="360" w:lineRule="auto"/>
        <w:jc w:val="both"/>
        <w:rPr>
          <w:rFonts w:ascii="Book Antiqua" w:hAnsi="Book Antiqua" w:cs="Arial"/>
          <w:sz w:val="24"/>
          <w:szCs w:val="24"/>
        </w:rPr>
      </w:pPr>
      <w:r w:rsidRPr="00E10230">
        <w:rPr>
          <w:rFonts w:ascii="Book Antiqua" w:hAnsi="Book Antiqua" w:cs="Arial"/>
          <w:sz w:val="24"/>
          <w:szCs w:val="24"/>
        </w:rPr>
        <w:t xml:space="preserve">There is limited data on recent temporal trends of cirrhosis associated conditions in the </w:t>
      </w:r>
      <w:r w:rsidR="00E10230" w:rsidRPr="00E10230">
        <w:rPr>
          <w:rFonts w:ascii="Book Antiqua" w:eastAsiaTheme="minorEastAsia" w:hAnsi="Book Antiqua" w:cs="Arial"/>
          <w:sz w:val="24"/>
          <w:szCs w:val="24"/>
          <w:lang w:eastAsia="zh-CN"/>
        </w:rPr>
        <w:t>United States</w:t>
      </w:r>
      <w:r w:rsidR="00222F37">
        <w:rPr>
          <w:rFonts w:ascii="Book Antiqua" w:eastAsiaTheme="minorEastAsia" w:hAnsi="Book Antiqua" w:cs="Arial" w:hint="eastAsia"/>
          <w:sz w:val="24"/>
          <w:szCs w:val="24"/>
          <w:lang w:eastAsia="zh-CN"/>
        </w:rPr>
        <w:t xml:space="preserve">, </w:t>
      </w:r>
      <w:r w:rsidR="00222F37" w:rsidRPr="00E10230">
        <w:rPr>
          <w:rFonts w:ascii="Book Antiqua" w:hAnsi="Book Antiqua" w:cs="Arial"/>
          <w:sz w:val="24"/>
          <w:szCs w:val="24"/>
        </w:rPr>
        <w:t xml:space="preserve">which </w:t>
      </w:r>
      <w:r w:rsidRPr="00E10230">
        <w:rPr>
          <w:rFonts w:ascii="Book Antiqua" w:hAnsi="Book Antiqua" w:cs="Arial"/>
          <w:sz w:val="24"/>
          <w:szCs w:val="24"/>
        </w:rPr>
        <w:t>is critical to identify problems related to hospitalizations.</w:t>
      </w:r>
    </w:p>
    <w:p w14:paraId="2C232E9A" w14:textId="5CBFA5F5" w:rsidR="00544C5A" w:rsidRPr="00222F37" w:rsidRDefault="00544C5A" w:rsidP="00E10230">
      <w:pPr>
        <w:spacing w:after="0" w:line="360" w:lineRule="auto"/>
        <w:jc w:val="both"/>
        <w:rPr>
          <w:rFonts w:ascii="Book Antiqua" w:hAnsi="Book Antiqua" w:cs="Arial"/>
          <w:sz w:val="24"/>
          <w:szCs w:val="24"/>
        </w:rPr>
      </w:pPr>
    </w:p>
    <w:p w14:paraId="3F4E83F1" w14:textId="50E8903C" w:rsidR="00544C5A" w:rsidRPr="00E10230" w:rsidRDefault="00544C5A" w:rsidP="00E10230">
      <w:pPr>
        <w:spacing w:after="0" w:line="360" w:lineRule="auto"/>
        <w:jc w:val="both"/>
        <w:rPr>
          <w:rFonts w:ascii="Book Antiqua" w:hAnsi="Book Antiqua" w:cs="Arial"/>
          <w:b/>
          <w:i/>
          <w:sz w:val="24"/>
          <w:szCs w:val="24"/>
        </w:rPr>
      </w:pPr>
      <w:r w:rsidRPr="00E10230">
        <w:rPr>
          <w:rFonts w:ascii="Book Antiqua" w:hAnsi="Book Antiqua" w:cs="Arial"/>
          <w:b/>
          <w:i/>
          <w:sz w:val="24"/>
          <w:szCs w:val="24"/>
        </w:rPr>
        <w:t>Research motivation</w:t>
      </w:r>
    </w:p>
    <w:p w14:paraId="04F21CA0" w14:textId="1E69854E" w:rsidR="00544C5A" w:rsidRPr="00E10230" w:rsidRDefault="00AF0195" w:rsidP="00E10230">
      <w:pPr>
        <w:spacing w:after="0" w:line="360" w:lineRule="auto"/>
        <w:jc w:val="both"/>
        <w:rPr>
          <w:rFonts w:ascii="Book Antiqua" w:eastAsiaTheme="minorEastAsia" w:hAnsi="Book Antiqua" w:cs="Arial"/>
          <w:sz w:val="24"/>
          <w:szCs w:val="24"/>
          <w:lang w:eastAsia="zh-CN"/>
        </w:rPr>
      </w:pPr>
      <w:r w:rsidRPr="00E10230">
        <w:rPr>
          <w:rFonts w:ascii="Book Antiqua" w:hAnsi="Book Antiqua" w:cs="Arial"/>
          <w:sz w:val="24"/>
          <w:szCs w:val="24"/>
        </w:rPr>
        <w:t xml:space="preserve">Healthcare cost reduction, especially in the </w:t>
      </w:r>
      <w:r w:rsidR="00E10230" w:rsidRPr="00E10230">
        <w:rPr>
          <w:rFonts w:ascii="Book Antiqua" w:eastAsiaTheme="minorEastAsia" w:hAnsi="Book Antiqua" w:cs="Arial"/>
          <w:sz w:val="24"/>
          <w:szCs w:val="24"/>
          <w:lang w:eastAsia="zh-CN"/>
        </w:rPr>
        <w:t>United States</w:t>
      </w:r>
      <w:r w:rsidRPr="00E10230">
        <w:rPr>
          <w:rFonts w:ascii="Book Antiqua" w:hAnsi="Book Antiqua" w:cs="Arial"/>
          <w:sz w:val="24"/>
          <w:szCs w:val="24"/>
        </w:rPr>
        <w:t>, is a current focus on providing cost-effective care. Recognizing problems in temporal trends enables to create action pl</w:t>
      </w:r>
      <w:r w:rsidR="00E10230" w:rsidRPr="00E10230">
        <w:rPr>
          <w:rFonts w:ascii="Book Antiqua" w:hAnsi="Book Antiqua" w:cs="Arial"/>
          <w:sz w:val="24"/>
          <w:szCs w:val="24"/>
        </w:rPr>
        <w:t>an to reduce unnecessary costs.</w:t>
      </w:r>
    </w:p>
    <w:p w14:paraId="6E6734ED" w14:textId="08664BFB" w:rsidR="00544C5A" w:rsidRPr="00E10230" w:rsidRDefault="00544C5A" w:rsidP="00E10230">
      <w:pPr>
        <w:spacing w:after="0" w:line="360" w:lineRule="auto"/>
        <w:jc w:val="both"/>
        <w:rPr>
          <w:rFonts w:ascii="Book Antiqua" w:hAnsi="Book Antiqua" w:cs="Arial"/>
          <w:sz w:val="24"/>
          <w:szCs w:val="24"/>
        </w:rPr>
      </w:pPr>
    </w:p>
    <w:p w14:paraId="73D22EC7" w14:textId="3F66A975" w:rsidR="00544C5A" w:rsidRPr="00E10230" w:rsidRDefault="00544C5A" w:rsidP="00E10230">
      <w:pPr>
        <w:spacing w:after="0" w:line="360" w:lineRule="auto"/>
        <w:jc w:val="both"/>
        <w:rPr>
          <w:rFonts w:ascii="Book Antiqua" w:hAnsi="Book Antiqua" w:cs="Arial"/>
          <w:b/>
          <w:i/>
          <w:sz w:val="24"/>
          <w:szCs w:val="24"/>
        </w:rPr>
      </w:pPr>
      <w:r w:rsidRPr="00E10230">
        <w:rPr>
          <w:rFonts w:ascii="Book Antiqua" w:hAnsi="Book Antiqua" w:cs="Arial"/>
          <w:b/>
          <w:i/>
          <w:sz w:val="24"/>
          <w:szCs w:val="24"/>
        </w:rPr>
        <w:t>Research objectives</w:t>
      </w:r>
    </w:p>
    <w:p w14:paraId="607FC8EA" w14:textId="198A0A46" w:rsidR="00544C5A" w:rsidRPr="00E10230" w:rsidRDefault="00AF0195" w:rsidP="00E10230">
      <w:pPr>
        <w:spacing w:after="0" w:line="360" w:lineRule="auto"/>
        <w:jc w:val="both"/>
        <w:rPr>
          <w:rFonts w:ascii="Book Antiqua" w:eastAsiaTheme="minorEastAsia" w:hAnsi="Book Antiqua" w:cs="Arial"/>
          <w:sz w:val="24"/>
          <w:szCs w:val="24"/>
          <w:lang w:eastAsia="zh-CN"/>
        </w:rPr>
      </w:pPr>
      <w:r w:rsidRPr="00E10230">
        <w:rPr>
          <w:rFonts w:ascii="Book Antiqua" w:hAnsi="Book Antiqua" w:cs="Arial"/>
          <w:sz w:val="24"/>
          <w:szCs w:val="24"/>
        </w:rPr>
        <w:t xml:space="preserve">We aim to conduct a descriptive study to identify </w:t>
      </w:r>
      <w:r w:rsidR="00C850CB" w:rsidRPr="00E10230">
        <w:rPr>
          <w:rFonts w:ascii="Book Antiqua" w:hAnsi="Book Antiqua" w:cs="Arial"/>
          <w:sz w:val="24"/>
          <w:szCs w:val="24"/>
        </w:rPr>
        <w:t>10-year</w:t>
      </w:r>
      <w:r w:rsidR="008A76BB" w:rsidRPr="00E10230">
        <w:rPr>
          <w:rFonts w:ascii="Book Antiqua" w:hAnsi="Book Antiqua" w:cs="Arial"/>
          <w:sz w:val="24"/>
          <w:szCs w:val="24"/>
        </w:rPr>
        <w:t xml:space="preserve"> temporal trends of cirrhosis associated conditions which can gu</w:t>
      </w:r>
      <w:r w:rsidR="00E10230" w:rsidRPr="00E10230">
        <w:rPr>
          <w:rFonts w:ascii="Book Antiqua" w:hAnsi="Book Antiqua" w:cs="Arial"/>
          <w:sz w:val="24"/>
          <w:szCs w:val="24"/>
        </w:rPr>
        <w:t>ide future prospective studies.</w:t>
      </w:r>
    </w:p>
    <w:p w14:paraId="6EC2B8AB" w14:textId="3F337494" w:rsidR="00544C5A" w:rsidRPr="00E10230" w:rsidRDefault="00544C5A" w:rsidP="00E10230">
      <w:pPr>
        <w:spacing w:after="0" w:line="360" w:lineRule="auto"/>
        <w:jc w:val="both"/>
        <w:rPr>
          <w:rFonts w:ascii="Book Antiqua" w:hAnsi="Book Antiqua" w:cs="Arial"/>
          <w:sz w:val="24"/>
          <w:szCs w:val="24"/>
        </w:rPr>
      </w:pPr>
    </w:p>
    <w:p w14:paraId="340C205E" w14:textId="786BACDD" w:rsidR="00544C5A" w:rsidRPr="00E10230" w:rsidRDefault="00544C5A" w:rsidP="00E10230">
      <w:pPr>
        <w:spacing w:after="0" w:line="360" w:lineRule="auto"/>
        <w:jc w:val="both"/>
        <w:rPr>
          <w:rFonts w:ascii="Book Antiqua" w:hAnsi="Book Antiqua" w:cs="Arial"/>
          <w:b/>
          <w:i/>
          <w:sz w:val="24"/>
          <w:szCs w:val="24"/>
        </w:rPr>
      </w:pPr>
      <w:r w:rsidRPr="00E10230">
        <w:rPr>
          <w:rFonts w:ascii="Book Antiqua" w:hAnsi="Book Antiqua" w:cs="Arial"/>
          <w:b/>
          <w:i/>
          <w:sz w:val="24"/>
          <w:szCs w:val="24"/>
        </w:rPr>
        <w:t>Research methods</w:t>
      </w:r>
    </w:p>
    <w:p w14:paraId="55D399BD" w14:textId="7DC82854" w:rsidR="00544C5A" w:rsidRPr="00E10230" w:rsidRDefault="008A76BB" w:rsidP="00E10230">
      <w:pPr>
        <w:spacing w:after="0" w:line="360" w:lineRule="auto"/>
        <w:jc w:val="both"/>
        <w:rPr>
          <w:rFonts w:ascii="Book Antiqua" w:hAnsi="Book Antiqua" w:cs="Arial"/>
          <w:sz w:val="24"/>
          <w:szCs w:val="24"/>
        </w:rPr>
      </w:pPr>
      <w:r w:rsidRPr="00E10230">
        <w:rPr>
          <w:rFonts w:ascii="Book Antiqua" w:hAnsi="Book Antiqua" w:cs="Arial"/>
          <w:sz w:val="24"/>
          <w:szCs w:val="24"/>
        </w:rPr>
        <w:t>We used publicly available National Inpatient Sample</w:t>
      </w:r>
      <w:r w:rsidR="00242877" w:rsidRPr="00E10230">
        <w:rPr>
          <w:rFonts w:ascii="Book Antiqua" w:hAnsi="Book Antiqua" w:cs="Arial"/>
          <w:sz w:val="24"/>
          <w:szCs w:val="24"/>
        </w:rPr>
        <w:t xml:space="preserve"> </w:t>
      </w:r>
      <w:r w:rsidRPr="00E10230">
        <w:rPr>
          <w:rFonts w:ascii="Book Antiqua" w:hAnsi="Book Antiqua" w:cs="Arial"/>
          <w:sz w:val="24"/>
          <w:szCs w:val="24"/>
        </w:rPr>
        <w:t xml:space="preserve">to conduct 10-year trends analysis of cirrhosis associated conditions identified by ICD-9 codes from 2005 to 2014. </w:t>
      </w:r>
      <w:r w:rsidRPr="00E10230">
        <w:rPr>
          <w:rFonts w:ascii="Book Antiqua" w:hAnsi="Book Antiqua" w:cs="Arial"/>
          <w:sz w:val="24"/>
          <w:szCs w:val="24"/>
        </w:rPr>
        <w:lastRenderedPageBreak/>
        <w:t>Simple linear regression and multiple regression models were utilized for statistical analysis.</w:t>
      </w:r>
    </w:p>
    <w:p w14:paraId="578CDEFB" w14:textId="52532FE7" w:rsidR="00544C5A" w:rsidRPr="00E10230" w:rsidRDefault="00544C5A" w:rsidP="00E10230">
      <w:pPr>
        <w:spacing w:after="0" w:line="360" w:lineRule="auto"/>
        <w:jc w:val="both"/>
        <w:rPr>
          <w:rFonts w:ascii="Book Antiqua" w:hAnsi="Book Antiqua" w:cs="Arial"/>
          <w:sz w:val="24"/>
          <w:szCs w:val="24"/>
        </w:rPr>
      </w:pPr>
    </w:p>
    <w:p w14:paraId="5C61A043" w14:textId="65E63A5B" w:rsidR="00544C5A" w:rsidRPr="00E10230" w:rsidRDefault="00544C5A" w:rsidP="00E10230">
      <w:pPr>
        <w:spacing w:after="0" w:line="360" w:lineRule="auto"/>
        <w:jc w:val="both"/>
        <w:rPr>
          <w:rFonts w:ascii="Book Antiqua" w:hAnsi="Book Antiqua" w:cs="Arial"/>
          <w:b/>
          <w:i/>
          <w:sz w:val="24"/>
          <w:szCs w:val="24"/>
        </w:rPr>
      </w:pPr>
      <w:r w:rsidRPr="00E10230">
        <w:rPr>
          <w:rFonts w:ascii="Book Antiqua" w:hAnsi="Book Antiqua" w:cs="Arial"/>
          <w:b/>
          <w:i/>
          <w:sz w:val="24"/>
          <w:szCs w:val="24"/>
        </w:rPr>
        <w:t>Research results</w:t>
      </w:r>
    </w:p>
    <w:p w14:paraId="4C59A813" w14:textId="2CFA22ED" w:rsidR="00544C5A" w:rsidRPr="00E10230" w:rsidRDefault="008A76BB" w:rsidP="00E10230">
      <w:pPr>
        <w:spacing w:after="0" w:line="360" w:lineRule="auto"/>
        <w:jc w:val="both"/>
        <w:rPr>
          <w:rFonts w:ascii="Book Antiqua" w:eastAsiaTheme="minorEastAsia" w:hAnsi="Book Antiqua" w:cs="Arial"/>
          <w:sz w:val="24"/>
          <w:szCs w:val="24"/>
          <w:lang w:eastAsia="zh-CN"/>
        </w:rPr>
      </w:pPr>
      <w:r w:rsidRPr="00E10230">
        <w:rPr>
          <w:rFonts w:ascii="Book Antiqua" w:hAnsi="Book Antiqua" w:cs="Arial"/>
          <w:sz w:val="24"/>
          <w:szCs w:val="24"/>
        </w:rPr>
        <w:t xml:space="preserve">The total number of discharges of </w:t>
      </w:r>
      <w:r w:rsidR="009F3CF1" w:rsidRPr="00E10230">
        <w:rPr>
          <w:rFonts w:ascii="Book Antiqua" w:hAnsi="Book Antiqua" w:cs="Arial"/>
          <w:sz w:val="24"/>
          <w:szCs w:val="24"/>
        </w:rPr>
        <w:t>Hepatic encephalopathy/coma (</w:t>
      </w:r>
      <w:r w:rsidRPr="00E10230">
        <w:rPr>
          <w:rFonts w:ascii="Book Antiqua" w:hAnsi="Book Antiqua" w:cs="Arial"/>
          <w:sz w:val="24"/>
          <w:szCs w:val="24"/>
        </w:rPr>
        <w:t>HC</w:t>
      </w:r>
      <w:r w:rsidR="009F3CF1" w:rsidRPr="00E10230">
        <w:rPr>
          <w:rFonts w:ascii="Book Antiqua" w:hAnsi="Book Antiqua" w:cs="Arial"/>
          <w:sz w:val="24"/>
          <w:szCs w:val="24"/>
        </w:rPr>
        <w:t>)</w:t>
      </w:r>
      <w:r w:rsidRPr="00E10230">
        <w:rPr>
          <w:rFonts w:ascii="Book Antiqua" w:hAnsi="Book Antiqua" w:cs="Arial"/>
          <w:sz w:val="24"/>
          <w:szCs w:val="24"/>
        </w:rPr>
        <w:t xml:space="preserve">, </w:t>
      </w:r>
      <w:r w:rsidR="009F3CF1" w:rsidRPr="00E10230">
        <w:rPr>
          <w:rFonts w:ascii="Book Antiqua" w:hAnsi="Book Antiqua" w:cs="Arial"/>
          <w:sz w:val="24"/>
          <w:szCs w:val="24"/>
        </w:rPr>
        <w:t>Spontaneous bacteria peritonitis (</w:t>
      </w:r>
      <w:r w:rsidRPr="00E10230">
        <w:rPr>
          <w:rFonts w:ascii="Book Antiqua" w:hAnsi="Book Antiqua" w:cs="Arial"/>
          <w:sz w:val="24"/>
          <w:szCs w:val="24"/>
        </w:rPr>
        <w:t>SBP</w:t>
      </w:r>
      <w:r w:rsidR="009F3CF1" w:rsidRPr="00E10230">
        <w:rPr>
          <w:rFonts w:ascii="Book Antiqua" w:hAnsi="Book Antiqua" w:cs="Arial"/>
          <w:sz w:val="24"/>
          <w:szCs w:val="24"/>
        </w:rPr>
        <w:t>)</w:t>
      </w:r>
      <w:r w:rsidRPr="00E10230">
        <w:rPr>
          <w:rFonts w:ascii="Book Antiqua" w:hAnsi="Book Antiqua" w:cs="Arial"/>
          <w:sz w:val="24"/>
          <w:szCs w:val="24"/>
        </w:rPr>
        <w:t xml:space="preserve"> and </w:t>
      </w:r>
      <w:r w:rsidR="009F3CF1" w:rsidRPr="00E10230">
        <w:rPr>
          <w:rFonts w:ascii="Book Antiqua" w:hAnsi="Book Antiqua" w:cs="Arial"/>
          <w:sz w:val="24"/>
          <w:szCs w:val="24"/>
        </w:rPr>
        <w:t>esophageal varices with bleeding (</w:t>
      </w:r>
      <w:r w:rsidRPr="00E10230">
        <w:rPr>
          <w:rFonts w:ascii="Book Antiqua" w:hAnsi="Book Antiqua" w:cs="Arial"/>
          <w:sz w:val="24"/>
          <w:szCs w:val="24"/>
        </w:rPr>
        <w:t>EV</w:t>
      </w:r>
      <w:r w:rsidR="009F3CF1" w:rsidRPr="00E10230">
        <w:rPr>
          <w:rFonts w:ascii="Book Antiqua" w:hAnsi="Book Antiqua" w:cs="Arial"/>
          <w:sz w:val="24"/>
          <w:szCs w:val="24"/>
        </w:rPr>
        <w:t>)</w:t>
      </w:r>
      <w:r w:rsidRPr="00E10230">
        <w:rPr>
          <w:rFonts w:ascii="Book Antiqua" w:hAnsi="Book Antiqua" w:cs="Arial"/>
          <w:sz w:val="24"/>
          <w:szCs w:val="24"/>
        </w:rPr>
        <w:t xml:space="preserve"> had significant increase. Notably, HC associated with viral hepatitis showed faster rate of increase of hospitalizations. Mortalities has decreased for HC, SBP and </w:t>
      </w:r>
      <w:r w:rsidR="009F3CF1" w:rsidRPr="00E10230">
        <w:rPr>
          <w:rFonts w:ascii="Book Antiqua" w:hAnsi="Book Antiqua" w:cs="Arial"/>
          <w:sz w:val="24"/>
          <w:szCs w:val="24"/>
        </w:rPr>
        <w:t>transjugular intrahepatic portosystemic shunt (</w:t>
      </w:r>
      <w:r w:rsidRPr="00E10230">
        <w:rPr>
          <w:rFonts w:ascii="Book Antiqua" w:hAnsi="Book Antiqua" w:cs="Arial"/>
          <w:sz w:val="24"/>
          <w:szCs w:val="24"/>
        </w:rPr>
        <w:t>TIPS</w:t>
      </w:r>
      <w:r w:rsidR="009F3CF1" w:rsidRPr="00E10230">
        <w:rPr>
          <w:rFonts w:ascii="Book Antiqua" w:hAnsi="Book Antiqua" w:cs="Arial"/>
          <w:sz w:val="24"/>
          <w:szCs w:val="24"/>
        </w:rPr>
        <w:t>)</w:t>
      </w:r>
      <w:r w:rsidRPr="00E10230">
        <w:rPr>
          <w:rFonts w:ascii="Book Antiqua" w:hAnsi="Book Antiqua" w:cs="Arial"/>
          <w:sz w:val="24"/>
          <w:szCs w:val="24"/>
        </w:rPr>
        <w:t xml:space="preserve">, but no change was observed for EV. Aggregate cost of hospitalizations for HC, EV and SBP had significant increase after adjustment for </w:t>
      </w:r>
      <w:r w:rsidR="00222F37" w:rsidRPr="00E10230">
        <w:rPr>
          <w:rFonts w:ascii="Book Antiqua" w:hAnsi="Book Antiqua" w:cs="Arial"/>
          <w:sz w:val="24"/>
          <w:szCs w:val="24"/>
        </w:rPr>
        <w:t>inflation;</w:t>
      </w:r>
      <w:r w:rsidRPr="00E10230">
        <w:rPr>
          <w:rFonts w:ascii="Book Antiqua" w:hAnsi="Book Antiqua" w:cs="Arial"/>
          <w:sz w:val="24"/>
          <w:szCs w:val="24"/>
        </w:rPr>
        <w:t xml:space="preserve"> however TIPS showed non-significant trends toward decr</w:t>
      </w:r>
      <w:r w:rsidR="00E10230" w:rsidRPr="00E10230">
        <w:rPr>
          <w:rFonts w:ascii="Book Antiqua" w:hAnsi="Book Antiqua" w:cs="Arial"/>
          <w:sz w:val="24"/>
          <w:szCs w:val="24"/>
        </w:rPr>
        <w:t>easing cost.</w:t>
      </w:r>
    </w:p>
    <w:p w14:paraId="3EAA88B9" w14:textId="2F4BFA39" w:rsidR="00544C5A" w:rsidRPr="00E10230" w:rsidRDefault="00544C5A" w:rsidP="00E10230">
      <w:pPr>
        <w:spacing w:after="0" w:line="360" w:lineRule="auto"/>
        <w:jc w:val="both"/>
        <w:rPr>
          <w:rFonts w:ascii="Book Antiqua" w:hAnsi="Book Antiqua" w:cs="Arial"/>
          <w:sz w:val="24"/>
          <w:szCs w:val="24"/>
        </w:rPr>
      </w:pPr>
    </w:p>
    <w:p w14:paraId="76BC34A4" w14:textId="02C3914E" w:rsidR="00544C5A" w:rsidRPr="00E10230" w:rsidRDefault="00544C5A" w:rsidP="00E10230">
      <w:pPr>
        <w:spacing w:after="0" w:line="360" w:lineRule="auto"/>
        <w:jc w:val="both"/>
        <w:rPr>
          <w:rFonts w:ascii="Book Antiqua" w:hAnsi="Book Antiqua" w:cs="Arial"/>
          <w:b/>
          <w:i/>
          <w:sz w:val="24"/>
          <w:szCs w:val="24"/>
        </w:rPr>
      </w:pPr>
      <w:r w:rsidRPr="00E10230">
        <w:rPr>
          <w:rFonts w:ascii="Book Antiqua" w:hAnsi="Book Antiqua" w:cs="Arial"/>
          <w:b/>
          <w:i/>
          <w:sz w:val="24"/>
          <w:szCs w:val="24"/>
        </w:rPr>
        <w:t>Research conclusions</w:t>
      </w:r>
    </w:p>
    <w:p w14:paraId="23AA12D6" w14:textId="545B26A9" w:rsidR="00544C5A" w:rsidRPr="00E10230" w:rsidRDefault="008A76BB" w:rsidP="00E10230">
      <w:pPr>
        <w:spacing w:after="0" w:line="360" w:lineRule="auto"/>
        <w:jc w:val="both"/>
        <w:rPr>
          <w:rFonts w:ascii="Book Antiqua" w:eastAsiaTheme="minorEastAsia" w:hAnsi="Book Antiqua" w:cs="Arial"/>
          <w:sz w:val="24"/>
          <w:szCs w:val="24"/>
          <w:lang w:eastAsia="zh-CN"/>
        </w:rPr>
      </w:pPr>
      <w:r w:rsidRPr="00E10230">
        <w:rPr>
          <w:rFonts w:ascii="Book Antiqua" w:hAnsi="Book Antiqua" w:cs="Arial"/>
          <w:sz w:val="24"/>
          <w:szCs w:val="24"/>
        </w:rPr>
        <w:t>The number of hospitalizations and costs for some of the cirrhosis-associated conditions increased.</w:t>
      </w:r>
      <w:r w:rsidR="00F36CB7" w:rsidRPr="00E10230">
        <w:rPr>
          <w:rFonts w:ascii="Book Antiqua" w:hAnsi="Book Antiqua" w:cs="Arial"/>
          <w:sz w:val="24"/>
          <w:szCs w:val="24"/>
        </w:rPr>
        <w:t xml:space="preserve"> Especially, HC related to viral hepatitis showed fast rate of increase which suggest appropriate treatment of viral hepatitis maybe necessary to reduce HC in these population.</w:t>
      </w:r>
      <w:r w:rsidRPr="00E10230">
        <w:rPr>
          <w:rFonts w:ascii="Book Antiqua" w:hAnsi="Book Antiqua" w:cs="Arial"/>
          <w:sz w:val="24"/>
          <w:szCs w:val="24"/>
        </w:rPr>
        <w:t xml:space="preserve"> </w:t>
      </w:r>
      <w:r w:rsidR="00F36CB7" w:rsidRPr="00E10230">
        <w:rPr>
          <w:rFonts w:ascii="Book Antiqua" w:hAnsi="Book Antiqua" w:cs="Arial"/>
          <w:sz w:val="24"/>
          <w:szCs w:val="24"/>
        </w:rPr>
        <w:t>In addition</w:t>
      </w:r>
      <w:r w:rsidRPr="00E10230">
        <w:rPr>
          <w:rFonts w:ascii="Book Antiqua" w:hAnsi="Book Antiqua" w:cs="Arial"/>
          <w:sz w:val="24"/>
          <w:szCs w:val="24"/>
        </w:rPr>
        <w:t>, the inpatient mortality rates for most of these conditions decreased.</w:t>
      </w:r>
    </w:p>
    <w:p w14:paraId="2162923D" w14:textId="5D90FD6F" w:rsidR="00544C5A" w:rsidRPr="00E10230" w:rsidRDefault="00544C5A" w:rsidP="00E10230">
      <w:pPr>
        <w:spacing w:after="0" w:line="360" w:lineRule="auto"/>
        <w:jc w:val="both"/>
        <w:rPr>
          <w:rFonts w:ascii="Book Antiqua" w:hAnsi="Book Antiqua" w:cs="Arial"/>
          <w:sz w:val="24"/>
          <w:szCs w:val="24"/>
        </w:rPr>
      </w:pPr>
    </w:p>
    <w:p w14:paraId="1E576BE9" w14:textId="5BC3212F" w:rsidR="00544C5A" w:rsidRPr="00E10230" w:rsidRDefault="00544C5A" w:rsidP="00E10230">
      <w:pPr>
        <w:spacing w:after="0" w:line="360" w:lineRule="auto"/>
        <w:jc w:val="both"/>
        <w:rPr>
          <w:rFonts w:ascii="Book Antiqua" w:hAnsi="Book Antiqua" w:cs="Arial"/>
          <w:b/>
          <w:i/>
          <w:sz w:val="24"/>
          <w:szCs w:val="24"/>
        </w:rPr>
      </w:pPr>
      <w:r w:rsidRPr="00E10230">
        <w:rPr>
          <w:rFonts w:ascii="Book Antiqua" w:hAnsi="Book Antiqua" w:cs="Arial"/>
          <w:b/>
          <w:i/>
          <w:sz w:val="24"/>
          <w:szCs w:val="24"/>
        </w:rPr>
        <w:t>Research perspectives</w:t>
      </w:r>
    </w:p>
    <w:p w14:paraId="101E2517" w14:textId="142F1433" w:rsidR="00544C5A" w:rsidRPr="00E10230" w:rsidRDefault="00F36CB7" w:rsidP="00E10230">
      <w:pPr>
        <w:spacing w:after="0" w:line="360" w:lineRule="auto"/>
        <w:jc w:val="both"/>
        <w:rPr>
          <w:rFonts w:ascii="Book Antiqua" w:hAnsi="Book Antiqua" w:cs="Arial"/>
          <w:sz w:val="24"/>
          <w:szCs w:val="24"/>
        </w:rPr>
      </w:pPr>
      <w:r w:rsidRPr="00E10230">
        <w:rPr>
          <w:rFonts w:ascii="Book Antiqua" w:hAnsi="Book Antiqua" w:cs="Arial"/>
          <w:sz w:val="24"/>
          <w:szCs w:val="24"/>
        </w:rPr>
        <w:t>Viral hepatitis</w:t>
      </w:r>
      <w:r w:rsidR="000B632F" w:rsidRPr="00E10230">
        <w:rPr>
          <w:rFonts w:ascii="Book Antiqua" w:hAnsi="Book Antiqua" w:cs="Arial"/>
          <w:sz w:val="24"/>
          <w:szCs w:val="24"/>
        </w:rPr>
        <w:t xml:space="preserve"> related cirrhosis</w:t>
      </w:r>
      <w:r w:rsidRPr="00E10230">
        <w:rPr>
          <w:rFonts w:ascii="Book Antiqua" w:hAnsi="Book Antiqua" w:cs="Arial"/>
          <w:sz w:val="24"/>
          <w:szCs w:val="24"/>
        </w:rPr>
        <w:t xml:space="preserve"> maybe contributing to high cost of hospitalization especially hospitalization related to HC. These findings suggest necessity of studies beyond 2014 after introduction of newer antiviral agents for hepatitis C as well as studies to identify trends of re-admission and post-hospitalization mortality.</w:t>
      </w:r>
    </w:p>
    <w:p w14:paraId="09027B91" w14:textId="77777777" w:rsidR="00E10230" w:rsidRPr="00E10230" w:rsidRDefault="00E10230" w:rsidP="00E10230">
      <w:pPr>
        <w:spacing w:after="0" w:line="360" w:lineRule="auto"/>
        <w:jc w:val="both"/>
        <w:rPr>
          <w:rFonts w:ascii="Book Antiqua" w:hAnsi="Book Antiqua" w:cs="Arial"/>
          <w:sz w:val="24"/>
          <w:szCs w:val="24"/>
        </w:rPr>
      </w:pPr>
      <w:r w:rsidRPr="00E10230">
        <w:rPr>
          <w:rFonts w:ascii="Book Antiqua" w:hAnsi="Book Antiqua" w:cs="Arial"/>
          <w:sz w:val="24"/>
          <w:szCs w:val="24"/>
        </w:rPr>
        <w:br w:type="page"/>
      </w:r>
    </w:p>
    <w:p w14:paraId="736A56E9" w14:textId="3EA77E7B" w:rsidR="00FB1910" w:rsidRPr="00E10230" w:rsidRDefault="00E10230" w:rsidP="00E10230">
      <w:pPr>
        <w:widowControl w:val="0"/>
        <w:autoSpaceDE w:val="0"/>
        <w:autoSpaceDN w:val="0"/>
        <w:adjustRightInd w:val="0"/>
        <w:spacing w:after="0" w:line="360" w:lineRule="auto"/>
        <w:jc w:val="both"/>
        <w:rPr>
          <w:rFonts w:ascii="Book Antiqua" w:hAnsi="Book Antiqua" w:cs="Arial"/>
          <w:b/>
          <w:sz w:val="24"/>
          <w:szCs w:val="24"/>
        </w:rPr>
      </w:pPr>
      <w:r w:rsidRPr="00E10230">
        <w:rPr>
          <w:rFonts w:ascii="Book Antiqua" w:hAnsi="Book Antiqua" w:cs="Arial"/>
          <w:b/>
          <w:sz w:val="24"/>
          <w:szCs w:val="24"/>
        </w:rPr>
        <w:lastRenderedPageBreak/>
        <w:t>REFERENCES</w:t>
      </w:r>
    </w:p>
    <w:p w14:paraId="6AC6BCE6" w14:textId="77777777" w:rsidR="00E10230" w:rsidRPr="00E10230" w:rsidRDefault="00E10230" w:rsidP="00E10230">
      <w:pPr>
        <w:spacing w:after="0" w:line="360" w:lineRule="auto"/>
        <w:jc w:val="both"/>
        <w:rPr>
          <w:rFonts w:ascii="Book Antiqua" w:hAnsi="Book Antiqua"/>
          <w:sz w:val="24"/>
          <w:szCs w:val="24"/>
        </w:rPr>
      </w:pPr>
      <w:r w:rsidRPr="00E10230">
        <w:rPr>
          <w:rFonts w:ascii="Book Antiqua" w:hAnsi="Book Antiqua"/>
          <w:sz w:val="24"/>
          <w:szCs w:val="24"/>
        </w:rPr>
        <w:t xml:space="preserve">1 </w:t>
      </w:r>
      <w:r w:rsidRPr="00E10230">
        <w:rPr>
          <w:rFonts w:ascii="Book Antiqua" w:hAnsi="Book Antiqua"/>
          <w:b/>
          <w:sz w:val="24"/>
          <w:szCs w:val="24"/>
        </w:rPr>
        <w:t>Kochanek KD</w:t>
      </w:r>
      <w:r w:rsidRPr="00E10230">
        <w:rPr>
          <w:rFonts w:ascii="Book Antiqua" w:hAnsi="Book Antiqua"/>
          <w:sz w:val="24"/>
          <w:szCs w:val="24"/>
        </w:rPr>
        <w:t xml:space="preserve">, Murphy SL, Xu J, Tejada-Vera B. Deaths: Final Data for 2014. </w:t>
      </w:r>
      <w:r w:rsidRPr="00E10230">
        <w:rPr>
          <w:rFonts w:ascii="Book Antiqua" w:hAnsi="Book Antiqua"/>
          <w:i/>
          <w:sz w:val="24"/>
          <w:szCs w:val="24"/>
        </w:rPr>
        <w:t>Natl Vital Stat Rep</w:t>
      </w:r>
      <w:r w:rsidRPr="00E10230">
        <w:rPr>
          <w:rFonts w:ascii="Book Antiqua" w:hAnsi="Book Antiqua"/>
          <w:sz w:val="24"/>
          <w:szCs w:val="24"/>
        </w:rPr>
        <w:t xml:space="preserve"> 2016; </w:t>
      </w:r>
      <w:r w:rsidRPr="00E10230">
        <w:rPr>
          <w:rFonts w:ascii="Book Antiqua" w:hAnsi="Book Antiqua"/>
          <w:b/>
          <w:sz w:val="24"/>
          <w:szCs w:val="24"/>
        </w:rPr>
        <w:t>65</w:t>
      </w:r>
      <w:r w:rsidRPr="00E10230">
        <w:rPr>
          <w:rFonts w:ascii="Book Antiqua" w:hAnsi="Book Antiqua"/>
          <w:sz w:val="24"/>
          <w:szCs w:val="24"/>
        </w:rPr>
        <w:t>: 1-122 [PMID: 27378572]</w:t>
      </w:r>
    </w:p>
    <w:p w14:paraId="6549C301" w14:textId="77777777" w:rsidR="00E10230" w:rsidRPr="00E10230" w:rsidRDefault="00E10230" w:rsidP="00E10230">
      <w:pPr>
        <w:spacing w:after="0" w:line="360" w:lineRule="auto"/>
        <w:jc w:val="both"/>
        <w:rPr>
          <w:rFonts w:ascii="Book Antiqua" w:hAnsi="Book Antiqua"/>
          <w:sz w:val="24"/>
          <w:szCs w:val="24"/>
        </w:rPr>
      </w:pPr>
      <w:r w:rsidRPr="00E10230">
        <w:rPr>
          <w:rFonts w:ascii="Book Antiqua" w:hAnsi="Book Antiqua"/>
          <w:sz w:val="24"/>
          <w:szCs w:val="24"/>
        </w:rPr>
        <w:t xml:space="preserve">2 </w:t>
      </w:r>
      <w:r w:rsidRPr="00E10230">
        <w:rPr>
          <w:rFonts w:ascii="Book Antiqua" w:hAnsi="Book Antiqua"/>
          <w:b/>
          <w:sz w:val="24"/>
          <w:szCs w:val="24"/>
        </w:rPr>
        <w:t>Zipprich A</w:t>
      </w:r>
      <w:r w:rsidRPr="00E10230">
        <w:rPr>
          <w:rFonts w:ascii="Book Antiqua" w:hAnsi="Book Antiqua"/>
          <w:sz w:val="24"/>
          <w:szCs w:val="24"/>
        </w:rPr>
        <w:t xml:space="preserve">, Garcia-Tsao G, Rogowski S, Fleig WE, Seufferlein T, Dollinger MM. Prognostic indicators of survival in patients with compensated and decompensated cirrhosis. </w:t>
      </w:r>
      <w:r w:rsidRPr="00E10230">
        <w:rPr>
          <w:rFonts w:ascii="Book Antiqua" w:hAnsi="Book Antiqua"/>
          <w:i/>
          <w:sz w:val="24"/>
          <w:szCs w:val="24"/>
        </w:rPr>
        <w:t>Liver Int</w:t>
      </w:r>
      <w:r w:rsidRPr="00E10230">
        <w:rPr>
          <w:rFonts w:ascii="Book Antiqua" w:hAnsi="Book Antiqua"/>
          <w:sz w:val="24"/>
          <w:szCs w:val="24"/>
        </w:rPr>
        <w:t xml:space="preserve"> 2012; </w:t>
      </w:r>
      <w:r w:rsidRPr="00E10230">
        <w:rPr>
          <w:rFonts w:ascii="Book Antiqua" w:hAnsi="Book Antiqua"/>
          <w:b/>
          <w:sz w:val="24"/>
          <w:szCs w:val="24"/>
        </w:rPr>
        <w:t>32</w:t>
      </w:r>
      <w:r w:rsidRPr="00E10230">
        <w:rPr>
          <w:rFonts w:ascii="Book Antiqua" w:hAnsi="Book Antiqua"/>
          <w:sz w:val="24"/>
          <w:szCs w:val="24"/>
        </w:rPr>
        <w:t>: 1407-1414 [PMID: 22679906 DOI: 10.1111/j.1478-3231.2012.02830.x]</w:t>
      </w:r>
    </w:p>
    <w:p w14:paraId="59CAFC84" w14:textId="77777777" w:rsidR="00E10230" w:rsidRPr="00E10230" w:rsidRDefault="00E10230" w:rsidP="00E10230">
      <w:pPr>
        <w:spacing w:after="0" w:line="360" w:lineRule="auto"/>
        <w:jc w:val="both"/>
        <w:rPr>
          <w:rFonts w:ascii="Book Antiqua" w:hAnsi="Book Antiqua"/>
          <w:sz w:val="24"/>
          <w:szCs w:val="24"/>
        </w:rPr>
      </w:pPr>
      <w:r w:rsidRPr="00E10230">
        <w:rPr>
          <w:rFonts w:ascii="Book Antiqua" w:hAnsi="Book Antiqua"/>
          <w:sz w:val="24"/>
          <w:szCs w:val="24"/>
        </w:rPr>
        <w:t xml:space="preserve">3 </w:t>
      </w:r>
      <w:r w:rsidRPr="00E10230">
        <w:rPr>
          <w:rFonts w:ascii="Book Antiqua" w:hAnsi="Book Antiqua"/>
          <w:b/>
          <w:sz w:val="24"/>
          <w:szCs w:val="24"/>
        </w:rPr>
        <w:t>Ampuero J</w:t>
      </w:r>
      <w:r w:rsidRPr="00E10230">
        <w:rPr>
          <w:rFonts w:ascii="Book Antiqua" w:hAnsi="Book Antiqua"/>
          <w:sz w:val="24"/>
          <w:szCs w:val="24"/>
        </w:rPr>
        <w:t xml:space="preserve">, Montoliú C, Simón-Talero M, Aguilera V, Millán R, Márquez C, Jover R, Rico MC, Sendra C, Serra MÁ, Romero-Gómez M. Minimal hepatic encephalopathy identifies patients at risk of faster cirrhosis progression. </w:t>
      </w:r>
      <w:r w:rsidRPr="00E10230">
        <w:rPr>
          <w:rFonts w:ascii="Book Antiqua" w:hAnsi="Book Antiqua"/>
          <w:i/>
          <w:sz w:val="24"/>
          <w:szCs w:val="24"/>
        </w:rPr>
        <w:t>J Gastroenterol Hepatol</w:t>
      </w:r>
      <w:r w:rsidRPr="00E10230">
        <w:rPr>
          <w:rFonts w:ascii="Book Antiqua" w:hAnsi="Book Antiqua"/>
          <w:sz w:val="24"/>
          <w:szCs w:val="24"/>
        </w:rPr>
        <w:t xml:space="preserve"> 2018; </w:t>
      </w:r>
      <w:r w:rsidRPr="00E10230">
        <w:rPr>
          <w:rFonts w:ascii="Book Antiqua" w:hAnsi="Book Antiqua"/>
          <w:b/>
          <w:sz w:val="24"/>
          <w:szCs w:val="24"/>
        </w:rPr>
        <w:t>33</w:t>
      </w:r>
      <w:r w:rsidRPr="00E10230">
        <w:rPr>
          <w:rFonts w:ascii="Book Antiqua" w:hAnsi="Book Antiqua"/>
          <w:sz w:val="24"/>
          <w:szCs w:val="24"/>
        </w:rPr>
        <w:t>: 718-725 [PMID: 28768371 DOI: 10.1111/jgh.13917]</w:t>
      </w:r>
    </w:p>
    <w:p w14:paraId="5B463728" w14:textId="77777777" w:rsidR="00E10230" w:rsidRPr="00E10230" w:rsidRDefault="00E10230" w:rsidP="00E10230">
      <w:pPr>
        <w:spacing w:after="0" w:line="360" w:lineRule="auto"/>
        <w:jc w:val="both"/>
        <w:rPr>
          <w:rFonts w:ascii="Book Antiqua" w:hAnsi="Book Antiqua"/>
          <w:sz w:val="24"/>
          <w:szCs w:val="24"/>
        </w:rPr>
      </w:pPr>
      <w:r w:rsidRPr="00E10230">
        <w:rPr>
          <w:rFonts w:ascii="Book Antiqua" w:hAnsi="Book Antiqua"/>
          <w:sz w:val="24"/>
          <w:szCs w:val="24"/>
        </w:rPr>
        <w:t xml:space="preserve">4 </w:t>
      </w:r>
      <w:r w:rsidRPr="00E10230">
        <w:rPr>
          <w:rFonts w:ascii="Book Antiqua" w:hAnsi="Book Antiqua"/>
          <w:b/>
          <w:sz w:val="24"/>
          <w:szCs w:val="24"/>
        </w:rPr>
        <w:t>Volk ML</w:t>
      </w:r>
      <w:r w:rsidRPr="00E10230">
        <w:rPr>
          <w:rFonts w:ascii="Book Antiqua" w:hAnsi="Book Antiqua"/>
          <w:sz w:val="24"/>
          <w:szCs w:val="24"/>
        </w:rPr>
        <w:t xml:space="preserve">, Tocco RS, Bazick J, Rakoski MO, Lok AS. Hospital readmissions among patients with decompensated cirrhosis. </w:t>
      </w:r>
      <w:r w:rsidRPr="00E10230">
        <w:rPr>
          <w:rFonts w:ascii="Book Antiqua" w:hAnsi="Book Antiqua"/>
          <w:i/>
          <w:sz w:val="24"/>
          <w:szCs w:val="24"/>
        </w:rPr>
        <w:t>Am J Gastroenterol</w:t>
      </w:r>
      <w:r w:rsidRPr="00E10230">
        <w:rPr>
          <w:rFonts w:ascii="Book Antiqua" w:hAnsi="Book Antiqua"/>
          <w:sz w:val="24"/>
          <w:szCs w:val="24"/>
        </w:rPr>
        <w:t xml:space="preserve"> 2012; </w:t>
      </w:r>
      <w:r w:rsidRPr="00E10230">
        <w:rPr>
          <w:rFonts w:ascii="Book Antiqua" w:hAnsi="Book Antiqua"/>
          <w:b/>
          <w:sz w:val="24"/>
          <w:szCs w:val="24"/>
        </w:rPr>
        <w:t>107</w:t>
      </w:r>
      <w:r w:rsidRPr="00E10230">
        <w:rPr>
          <w:rFonts w:ascii="Book Antiqua" w:hAnsi="Book Antiqua"/>
          <w:sz w:val="24"/>
          <w:szCs w:val="24"/>
        </w:rPr>
        <w:t>: 247-252 [PMID: 21931378 DOI: 10.1038/ajg.2011.314]</w:t>
      </w:r>
    </w:p>
    <w:p w14:paraId="2FBEE641" w14:textId="77777777" w:rsidR="00E10230" w:rsidRPr="00E10230" w:rsidRDefault="00E10230" w:rsidP="00E10230">
      <w:pPr>
        <w:spacing w:after="0" w:line="360" w:lineRule="auto"/>
        <w:jc w:val="both"/>
        <w:rPr>
          <w:rFonts w:ascii="Book Antiqua" w:hAnsi="Book Antiqua"/>
          <w:sz w:val="24"/>
          <w:szCs w:val="24"/>
        </w:rPr>
      </w:pPr>
      <w:r w:rsidRPr="00E10230">
        <w:rPr>
          <w:rFonts w:ascii="Book Antiqua" w:hAnsi="Book Antiqua"/>
          <w:sz w:val="24"/>
          <w:szCs w:val="24"/>
        </w:rPr>
        <w:t xml:space="preserve">5 </w:t>
      </w:r>
      <w:r w:rsidRPr="00E10230">
        <w:rPr>
          <w:rFonts w:ascii="Book Antiqua" w:hAnsi="Book Antiqua"/>
          <w:b/>
          <w:sz w:val="24"/>
          <w:szCs w:val="24"/>
        </w:rPr>
        <w:t>Bajaj JS</w:t>
      </w:r>
      <w:r w:rsidRPr="00E10230">
        <w:rPr>
          <w:rFonts w:ascii="Book Antiqua" w:hAnsi="Book Antiqua"/>
          <w:sz w:val="24"/>
          <w:szCs w:val="24"/>
        </w:rPr>
        <w:t xml:space="preserve">, Reddy KR, Tandon P, Wong F, Kamath PS, Garcia-Tsao G, Maliakkal B, Biggins SW, Thuluvath PJ, Fallon MB, Subramanian RM, Vargas H, Thacker LR, O'Leary JG; North American Consortium for the Study of End-Stage Liver Disease. The 3-month readmission rate remains unacceptably high in a large North American cohort of patients with cirrhosis. </w:t>
      </w:r>
      <w:r w:rsidRPr="00E10230">
        <w:rPr>
          <w:rFonts w:ascii="Book Antiqua" w:hAnsi="Book Antiqua"/>
          <w:i/>
          <w:sz w:val="24"/>
          <w:szCs w:val="24"/>
        </w:rPr>
        <w:t>Hepatology</w:t>
      </w:r>
      <w:r w:rsidRPr="00E10230">
        <w:rPr>
          <w:rFonts w:ascii="Book Antiqua" w:hAnsi="Book Antiqua"/>
          <w:sz w:val="24"/>
          <w:szCs w:val="24"/>
        </w:rPr>
        <w:t xml:space="preserve"> 2016; </w:t>
      </w:r>
      <w:r w:rsidRPr="00E10230">
        <w:rPr>
          <w:rFonts w:ascii="Book Antiqua" w:hAnsi="Book Antiqua"/>
          <w:b/>
          <w:sz w:val="24"/>
          <w:szCs w:val="24"/>
        </w:rPr>
        <w:t>64</w:t>
      </w:r>
      <w:r w:rsidRPr="00E10230">
        <w:rPr>
          <w:rFonts w:ascii="Book Antiqua" w:hAnsi="Book Antiqua"/>
          <w:sz w:val="24"/>
          <w:szCs w:val="24"/>
        </w:rPr>
        <w:t>: 200-208 [PMID: 26690389 DOI: 10.1002/hep.28414]</w:t>
      </w:r>
    </w:p>
    <w:p w14:paraId="49941498" w14:textId="258A35F5" w:rsidR="00E10230" w:rsidRPr="00E10230" w:rsidRDefault="00E10230" w:rsidP="00E10230">
      <w:pPr>
        <w:spacing w:after="0" w:line="360" w:lineRule="auto"/>
        <w:jc w:val="both"/>
        <w:rPr>
          <w:rFonts w:ascii="Book Antiqua" w:hAnsi="Book Antiqua"/>
          <w:sz w:val="24"/>
          <w:szCs w:val="24"/>
        </w:rPr>
      </w:pPr>
      <w:r w:rsidRPr="00E10230">
        <w:rPr>
          <w:rFonts w:ascii="Book Antiqua" w:hAnsi="Book Antiqua"/>
          <w:sz w:val="24"/>
          <w:szCs w:val="24"/>
        </w:rPr>
        <w:t xml:space="preserve">6 </w:t>
      </w:r>
      <w:r w:rsidRPr="00E10230">
        <w:rPr>
          <w:rFonts w:ascii="Book Antiqua" w:hAnsi="Book Antiqua"/>
          <w:b/>
          <w:sz w:val="24"/>
          <w:szCs w:val="24"/>
        </w:rPr>
        <w:t>Tapper EB</w:t>
      </w:r>
      <w:r w:rsidRPr="00E10230">
        <w:rPr>
          <w:rFonts w:ascii="Book Antiqua" w:hAnsi="Book Antiqua"/>
          <w:sz w:val="24"/>
          <w:szCs w:val="24"/>
        </w:rPr>
        <w:t>, Halbert B, Mellinger J. Rates of and Reasons for Hospital Readmissions in Patients With</w:t>
      </w:r>
      <w:r w:rsidR="002B65FA">
        <w:rPr>
          <w:rFonts w:ascii="Book Antiqua" w:eastAsiaTheme="minorEastAsia" w:hAnsi="Book Antiqua" w:hint="eastAsia"/>
          <w:sz w:val="24"/>
          <w:szCs w:val="24"/>
          <w:lang w:eastAsia="zh-CN"/>
        </w:rPr>
        <w:t xml:space="preserve"> </w:t>
      </w:r>
      <w:r w:rsidRPr="00E10230">
        <w:rPr>
          <w:rFonts w:ascii="Book Antiqua" w:hAnsi="Book Antiqua"/>
          <w:sz w:val="24"/>
          <w:szCs w:val="24"/>
        </w:rPr>
        <w:t xml:space="preserve">Cirrhosis: A Multistate Population-based Cohort Study. </w:t>
      </w:r>
      <w:r w:rsidRPr="00E10230">
        <w:rPr>
          <w:rFonts w:ascii="Book Antiqua" w:hAnsi="Book Antiqua"/>
          <w:i/>
          <w:sz w:val="24"/>
          <w:szCs w:val="24"/>
        </w:rPr>
        <w:t>Clin Gastroenterol Hepatol</w:t>
      </w:r>
      <w:r w:rsidRPr="00E10230">
        <w:rPr>
          <w:rFonts w:ascii="Book Antiqua" w:hAnsi="Book Antiqua"/>
          <w:sz w:val="24"/>
          <w:szCs w:val="24"/>
        </w:rPr>
        <w:t xml:space="preserve"> 2016; </w:t>
      </w:r>
      <w:r w:rsidRPr="00E10230">
        <w:rPr>
          <w:rFonts w:ascii="Book Antiqua" w:hAnsi="Book Antiqua"/>
          <w:b/>
          <w:sz w:val="24"/>
          <w:szCs w:val="24"/>
        </w:rPr>
        <w:t>14</w:t>
      </w:r>
      <w:r w:rsidRPr="00E10230">
        <w:rPr>
          <w:rFonts w:ascii="Book Antiqua" w:hAnsi="Book Antiqua"/>
          <w:sz w:val="24"/>
          <w:szCs w:val="24"/>
        </w:rPr>
        <w:t>: 1181-1188.e2 [PMID: 27085758 DOI: 10.1016/j.cgh.2016.04.009]</w:t>
      </w:r>
    </w:p>
    <w:p w14:paraId="50E6E1E9" w14:textId="77777777" w:rsidR="00E10230" w:rsidRPr="00E10230" w:rsidRDefault="00E10230" w:rsidP="00E10230">
      <w:pPr>
        <w:spacing w:after="0" w:line="360" w:lineRule="auto"/>
        <w:jc w:val="both"/>
        <w:rPr>
          <w:rFonts w:ascii="Book Antiqua" w:hAnsi="Book Antiqua"/>
          <w:sz w:val="24"/>
          <w:szCs w:val="24"/>
        </w:rPr>
      </w:pPr>
      <w:r w:rsidRPr="00E10230">
        <w:rPr>
          <w:rFonts w:ascii="Book Antiqua" w:hAnsi="Book Antiqua"/>
          <w:sz w:val="24"/>
          <w:szCs w:val="24"/>
        </w:rPr>
        <w:t xml:space="preserve">7 </w:t>
      </w:r>
      <w:r w:rsidRPr="00E10230">
        <w:rPr>
          <w:rFonts w:ascii="Book Antiqua" w:hAnsi="Book Antiqua"/>
          <w:b/>
          <w:sz w:val="24"/>
          <w:szCs w:val="24"/>
        </w:rPr>
        <w:t>Charatcharoenwitthaya P</w:t>
      </w:r>
      <w:r w:rsidRPr="00E10230">
        <w:rPr>
          <w:rFonts w:ascii="Book Antiqua" w:hAnsi="Book Antiqua"/>
          <w:sz w:val="24"/>
          <w:szCs w:val="24"/>
        </w:rPr>
        <w:t xml:space="preserve">, Soonthornworasiri N, Karaketklang K, Poovorawan K, Pan-Ngum W, Chotiyaputta W, Tanwandee T, Phaosawasdi K. Factors affecting mortality and resource use for hospitalized patients with cirrhosis: A population-based study. </w:t>
      </w:r>
      <w:r w:rsidRPr="00E10230">
        <w:rPr>
          <w:rFonts w:ascii="Book Antiqua" w:hAnsi="Book Antiqua"/>
          <w:i/>
          <w:sz w:val="24"/>
          <w:szCs w:val="24"/>
        </w:rPr>
        <w:t>Medicine (Baltimore)</w:t>
      </w:r>
      <w:r w:rsidRPr="00E10230">
        <w:rPr>
          <w:rFonts w:ascii="Book Antiqua" w:hAnsi="Book Antiqua"/>
          <w:sz w:val="24"/>
          <w:szCs w:val="24"/>
        </w:rPr>
        <w:t xml:space="preserve"> 2017; </w:t>
      </w:r>
      <w:r w:rsidRPr="00E10230">
        <w:rPr>
          <w:rFonts w:ascii="Book Antiqua" w:hAnsi="Book Antiqua"/>
          <w:b/>
          <w:sz w:val="24"/>
          <w:szCs w:val="24"/>
        </w:rPr>
        <w:t>96</w:t>
      </w:r>
      <w:r w:rsidRPr="00E10230">
        <w:rPr>
          <w:rFonts w:ascii="Book Antiqua" w:hAnsi="Book Antiqua"/>
          <w:sz w:val="24"/>
          <w:szCs w:val="24"/>
        </w:rPr>
        <w:t>: e7782 [PMID: 28796076 DOI: 10.1097/MD.0000000000007782]</w:t>
      </w:r>
    </w:p>
    <w:p w14:paraId="4475878E" w14:textId="77777777" w:rsidR="00E10230" w:rsidRPr="00E10230" w:rsidRDefault="00E10230" w:rsidP="00E10230">
      <w:pPr>
        <w:spacing w:after="0" w:line="360" w:lineRule="auto"/>
        <w:jc w:val="both"/>
        <w:rPr>
          <w:rFonts w:ascii="Book Antiqua" w:hAnsi="Book Antiqua"/>
          <w:sz w:val="24"/>
          <w:szCs w:val="24"/>
        </w:rPr>
      </w:pPr>
      <w:r w:rsidRPr="00E10230">
        <w:rPr>
          <w:rFonts w:ascii="Book Antiqua" w:hAnsi="Book Antiqua"/>
          <w:sz w:val="24"/>
          <w:szCs w:val="24"/>
        </w:rPr>
        <w:lastRenderedPageBreak/>
        <w:t xml:space="preserve">8 </w:t>
      </w:r>
      <w:r w:rsidRPr="00E10230">
        <w:rPr>
          <w:rFonts w:ascii="Book Antiqua" w:hAnsi="Book Antiqua"/>
          <w:b/>
          <w:sz w:val="24"/>
          <w:szCs w:val="24"/>
        </w:rPr>
        <w:t>Jamal MM</w:t>
      </w:r>
      <w:r w:rsidRPr="00E10230">
        <w:rPr>
          <w:rFonts w:ascii="Book Antiqua" w:hAnsi="Book Antiqua"/>
          <w:sz w:val="24"/>
          <w:szCs w:val="24"/>
        </w:rPr>
        <w:t xml:space="preserve">, Samarasena JB, Hashemzadeh M, Vega KJ. Declining hospitalization rate of esophageal variceal bleeding in the United States. </w:t>
      </w:r>
      <w:r w:rsidRPr="00E10230">
        <w:rPr>
          <w:rFonts w:ascii="Book Antiqua" w:hAnsi="Book Antiqua"/>
          <w:i/>
          <w:sz w:val="24"/>
          <w:szCs w:val="24"/>
        </w:rPr>
        <w:t>Clin Gastroenterol Hepatol</w:t>
      </w:r>
      <w:r w:rsidRPr="00E10230">
        <w:rPr>
          <w:rFonts w:ascii="Book Antiqua" w:hAnsi="Book Antiqua"/>
          <w:sz w:val="24"/>
          <w:szCs w:val="24"/>
        </w:rPr>
        <w:t xml:space="preserve"> 2008; </w:t>
      </w:r>
      <w:r w:rsidRPr="00E10230">
        <w:rPr>
          <w:rFonts w:ascii="Book Antiqua" w:hAnsi="Book Antiqua"/>
          <w:b/>
          <w:sz w:val="24"/>
          <w:szCs w:val="24"/>
        </w:rPr>
        <w:t>6</w:t>
      </w:r>
      <w:r w:rsidRPr="00E10230">
        <w:rPr>
          <w:rFonts w:ascii="Book Antiqua" w:hAnsi="Book Antiqua"/>
          <w:sz w:val="24"/>
          <w:szCs w:val="24"/>
        </w:rPr>
        <w:t>: 689-95; quiz 605 [PMID: 18456566 DOI: 10.1016/j.cgh.2008.02.049]</w:t>
      </w:r>
    </w:p>
    <w:p w14:paraId="6BDE193E" w14:textId="77777777" w:rsidR="00E10230" w:rsidRPr="00E10230" w:rsidRDefault="00E10230" w:rsidP="00E10230">
      <w:pPr>
        <w:spacing w:after="0" w:line="360" w:lineRule="auto"/>
        <w:jc w:val="both"/>
        <w:rPr>
          <w:rFonts w:ascii="Book Antiqua" w:hAnsi="Book Antiqua"/>
          <w:sz w:val="24"/>
          <w:szCs w:val="24"/>
        </w:rPr>
      </w:pPr>
      <w:r w:rsidRPr="00E10230">
        <w:rPr>
          <w:rFonts w:ascii="Book Antiqua" w:hAnsi="Book Antiqua"/>
          <w:sz w:val="24"/>
          <w:szCs w:val="24"/>
        </w:rPr>
        <w:t xml:space="preserve">9 </w:t>
      </w:r>
      <w:r w:rsidRPr="00E10230">
        <w:rPr>
          <w:rFonts w:ascii="Book Antiqua" w:hAnsi="Book Antiqua"/>
          <w:b/>
          <w:sz w:val="24"/>
          <w:szCs w:val="24"/>
        </w:rPr>
        <w:t>Lim N</w:t>
      </w:r>
      <w:r w:rsidRPr="00E10230">
        <w:rPr>
          <w:rFonts w:ascii="Book Antiqua" w:hAnsi="Book Antiqua"/>
          <w:sz w:val="24"/>
          <w:szCs w:val="24"/>
        </w:rPr>
        <w:t xml:space="preserve">, Desarno MJ, Lidofsky SD, Ganguly E. Hospitalization for variceal hemorrhage in an era with more prevalent cirrhosis. </w:t>
      </w:r>
      <w:r w:rsidRPr="00E10230">
        <w:rPr>
          <w:rFonts w:ascii="Book Antiqua" w:hAnsi="Book Antiqua"/>
          <w:i/>
          <w:sz w:val="24"/>
          <w:szCs w:val="24"/>
        </w:rPr>
        <w:t>World J Gastroenterol</w:t>
      </w:r>
      <w:r w:rsidRPr="00E10230">
        <w:rPr>
          <w:rFonts w:ascii="Book Antiqua" w:hAnsi="Book Antiqua"/>
          <w:sz w:val="24"/>
          <w:szCs w:val="24"/>
        </w:rPr>
        <w:t xml:space="preserve"> 2014; </w:t>
      </w:r>
      <w:r w:rsidRPr="00E10230">
        <w:rPr>
          <w:rFonts w:ascii="Book Antiqua" w:hAnsi="Book Antiqua"/>
          <w:b/>
          <w:sz w:val="24"/>
          <w:szCs w:val="24"/>
        </w:rPr>
        <w:t>20</w:t>
      </w:r>
      <w:r w:rsidRPr="00E10230">
        <w:rPr>
          <w:rFonts w:ascii="Book Antiqua" w:hAnsi="Book Antiqua"/>
          <w:sz w:val="24"/>
          <w:szCs w:val="24"/>
        </w:rPr>
        <w:t>: 11326-11332 [PMID: 25170218 DOI: 10.3748/wjg.v20.i32.11326]</w:t>
      </w:r>
    </w:p>
    <w:p w14:paraId="427B4461" w14:textId="77777777" w:rsidR="00E10230" w:rsidRPr="00E10230" w:rsidRDefault="00E10230" w:rsidP="00E10230">
      <w:pPr>
        <w:spacing w:after="0" w:line="360" w:lineRule="auto"/>
        <w:jc w:val="both"/>
        <w:rPr>
          <w:rFonts w:ascii="Book Antiqua" w:hAnsi="Book Antiqua"/>
          <w:sz w:val="24"/>
          <w:szCs w:val="24"/>
        </w:rPr>
      </w:pPr>
      <w:r w:rsidRPr="00E10230">
        <w:rPr>
          <w:rFonts w:ascii="Book Antiqua" w:hAnsi="Book Antiqua"/>
          <w:sz w:val="24"/>
          <w:szCs w:val="24"/>
        </w:rPr>
        <w:t xml:space="preserve">10 </w:t>
      </w:r>
      <w:r w:rsidRPr="00E10230">
        <w:rPr>
          <w:rFonts w:ascii="Book Antiqua" w:hAnsi="Book Antiqua"/>
          <w:b/>
          <w:sz w:val="24"/>
          <w:szCs w:val="24"/>
        </w:rPr>
        <w:t>Pant C</w:t>
      </w:r>
      <w:r w:rsidRPr="00E10230">
        <w:rPr>
          <w:rFonts w:ascii="Book Antiqua" w:hAnsi="Book Antiqua"/>
          <w:sz w:val="24"/>
          <w:szCs w:val="24"/>
        </w:rPr>
        <w:t xml:space="preserve">, Desai M, Deshpande A, Taylor R, Olyaee M, Gilroy R. Esophageal variceal bleeding in hospitalized patients with cirrhosis. </w:t>
      </w:r>
      <w:r w:rsidRPr="00E10230">
        <w:rPr>
          <w:rFonts w:ascii="Book Antiqua" w:hAnsi="Book Antiqua"/>
          <w:i/>
          <w:sz w:val="24"/>
          <w:szCs w:val="24"/>
        </w:rPr>
        <w:t>J Hosp Med</w:t>
      </w:r>
      <w:r w:rsidRPr="00E10230">
        <w:rPr>
          <w:rFonts w:ascii="Book Antiqua" w:hAnsi="Book Antiqua"/>
          <w:sz w:val="24"/>
          <w:szCs w:val="24"/>
        </w:rPr>
        <w:t xml:space="preserve"> 2015; </w:t>
      </w:r>
      <w:r w:rsidRPr="00E10230">
        <w:rPr>
          <w:rFonts w:ascii="Book Antiqua" w:hAnsi="Book Antiqua"/>
          <w:b/>
          <w:sz w:val="24"/>
          <w:szCs w:val="24"/>
        </w:rPr>
        <w:t>10</w:t>
      </w:r>
      <w:r w:rsidRPr="00E10230">
        <w:rPr>
          <w:rFonts w:ascii="Book Antiqua" w:hAnsi="Book Antiqua"/>
          <w:sz w:val="24"/>
          <w:szCs w:val="24"/>
        </w:rPr>
        <w:t>: 453-456 [PMID: 25976490 DOI: 10.1002/jhm.2360]</w:t>
      </w:r>
    </w:p>
    <w:p w14:paraId="0DFB0373" w14:textId="00014CC8" w:rsidR="00E10230" w:rsidRPr="002E77D0" w:rsidRDefault="002E7607" w:rsidP="00E10230">
      <w:pPr>
        <w:spacing w:after="0" w:line="360" w:lineRule="auto"/>
        <w:jc w:val="both"/>
        <w:rPr>
          <w:rFonts w:ascii="Book Antiqua" w:hAnsi="Book Antiqua"/>
          <w:sz w:val="24"/>
          <w:szCs w:val="24"/>
        </w:rPr>
      </w:pPr>
      <w:r w:rsidRPr="002E77D0">
        <w:rPr>
          <w:rFonts w:ascii="Book Antiqua" w:hAnsi="Book Antiqua"/>
          <w:sz w:val="24"/>
          <w:szCs w:val="24"/>
        </w:rPr>
        <w:t>11</w:t>
      </w:r>
      <w:r w:rsidR="00E10230" w:rsidRPr="002E77D0">
        <w:rPr>
          <w:rFonts w:ascii="Book Antiqua" w:hAnsi="Book Antiqua"/>
          <w:sz w:val="24"/>
          <w:szCs w:val="24"/>
        </w:rPr>
        <w:t xml:space="preserve"> </w:t>
      </w:r>
      <w:r w:rsidR="00E10230" w:rsidRPr="002E77D0">
        <w:rPr>
          <w:rFonts w:ascii="Book Antiqua" w:hAnsi="Book Antiqua"/>
          <w:b/>
          <w:sz w:val="24"/>
          <w:szCs w:val="24"/>
        </w:rPr>
        <w:t>Agency for Healthcare Research and Quality</w:t>
      </w:r>
      <w:r w:rsidR="00E10230" w:rsidRPr="002E77D0">
        <w:rPr>
          <w:rFonts w:ascii="Book Antiqua" w:hAnsi="Book Antiqua"/>
          <w:sz w:val="24"/>
          <w:szCs w:val="24"/>
        </w:rPr>
        <w:t>. Healthcare Cost and Utilization Project</w:t>
      </w:r>
      <w:r w:rsidR="00841111" w:rsidRPr="002E77D0">
        <w:rPr>
          <w:rFonts w:ascii="Book Antiqua" w:hAnsi="Book Antiqua"/>
          <w:sz w:val="24"/>
          <w:szCs w:val="24"/>
        </w:rPr>
        <w:t>.</w:t>
      </w:r>
      <w:r w:rsidR="00841111" w:rsidRPr="002E77D0">
        <w:rPr>
          <w:rFonts w:ascii="Book Antiqua" w:hAnsi="Book Antiqua"/>
          <w:bCs/>
          <w:color w:val="000000" w:themeColor="text1"/>
          <w:sz w:val="24"/>
          <w:szCs w:val="24"/>
        </w:rPr>
        <w:t xml:space="preserve"> Available from: </w:t>
      </w:r>
      <w:r w:rsidR="00440C7B" w:rsidRPr="002E77D0">
        <w:rPr>
          <w:rFonts w:ascii="Book Antiqua" w:eastAsiaTheme="minorEastAsia" w:hAnsi="Book Antiqua" w:hint="eastAsia"/>
          <w:bCs/>
          <w:color w:val="000000" w:themeColor="text1"/>
          <w:sz w:val="24"/>
          <w:szCs w:val="24"/>
          <w:lang w:eastAsia="zh-CN"/>
        </w:rPr>
        <w:t xml:space="preserve">URL: </w:t>
      </w:r>
      <w:r w:rsidR="00E10230" w:rsidRPr="002E77D0">
        <w:rPr>
          <w:rFonts w:ascii="Book Antiqua" w:hAnsi="Book Antiqua"/>
          <w:sz w:val="24"/>
          <w:szCs w:val="24"/>
        </w:rPr>
        <w:t>https://hcupnet.ahrq.gov/</w:t>
      </w:r>
    </w:p>
    <w:p w14:paraId="71C00DD1" w14:textId="4CEB4655" w:rsidR="00E10230" w:rsidRPr="00E10230" w:rsidRDefault="002E7607" w:rsidP="00E10230">
      <w:pPr>
        <w:spacing w:after="0" w:line="360" w:lineRule="auto"/>
        <w:jc w:val="both"/>
        <w:rPr>
          <w:rFonts w:ascii="Book Antiqua" w:hAnsi="Book Antiqua"/>
          <w:sz w:val="24"/>
          <w:szCs w:val="24"/>
        </w:rPr>
      </w:pPr>
      <w:r w:rsidRPr="002E77D0">
        <w:rPr>
          <w:rFonts w:ascii="Book Antiqua" w:hAnsi="Book Antiqua"/>
          <w:sz w:val="24"/>
          <w:szCs w:val="24"/>
        </w:rPr>
        <w:t>12</w:t>
      </w:r>
      <w:r w:rsidR="00E10230" w:rsidRPr="002E77D0">
        <w:rPr>
          <w:rFonts w:ascii="Book Antiqua" w:hAnsi="Book Antiqua"/>
          <w:sz w:val="24"/>
          <w:szCs w:val="24"/>
        </w:rPr>
        <w:t xml:space="preserve"> </w:t>
      </w:r>
      <w:r w:rsidR="00E10230" w:rsidRPr="002E77D0">
        <w:rPr>
          <w:rFonts w:ascii="Book Antiqua" w:hAnsi="Book Antiqua"/>
          <w:b/>
          <w:sz w:val="24"/>
          <w:szCs w:val="24"/>
        </w:rPr>
        <w:t>Agency for Healthcare Research and Quality</w:t>
      </w:r>
      <w:r w:rsidR="00E10230" w:rsidRPr="002E77D0">
        <w:rPr>
          <w:rFonts w:ascii="Book Antiqua" w:hAnsi="Book Antiqua"/>
          <w:sz w:val="24"/>
          <w:szCs w:val="24"/>
        </w:rPr>
        <w:t>. Healthcare cost and utilization project methods series</w:t>
      </w:r>
      <w:r w:rsidR="00841111" w:rsidRPr="002E77D0">
        <w:rPr>
          <w:rFonts w:ascii="Book Antiqua" w:eastAsiaTheme="minorEastAsia" w:hAnsi="Book Antiqua" w:hint="eastAsia"/>
          <w:sz w:val="24"/>
          <w:szCs w:val="24"/>
          <w:lang w:eastAsia="zh-CN"/>
        </w:rPr>
        <w:t>;</w:t>
      </w:r>
      <w:r w:rsidR="00E10230" w:rsidRPr="002E77D0">
        <w:rPr>
          <w:rFonts w:ascii="Book Antiqua" w:hAnsi="Book Antiqua"/>
          <w:sz w:val="24"/>
          <w:szCs w:val="24"/>
        </w:rPr>
        <w:t xml:space="preserve"> 201</w:t>
      </w:r>
      <w:r w:rsidR="00841111" w:rsidRPr="002E77D0">
        <w:rPr>
          <w:rFonts w:ascii="Book Antiqua" w:hAnsi="Book Antiqua"/>
          <w:sz w:val="24"/>
          <w:szCs w:val="24"/>
        </w:rPr>
        <w:t>1</w:t>
      </w:r>
      <w:r w:rsidR="00841111" w:rsidRPr="002E77D0">
        <w:rPr>
          <w:rFonts w:ascii="Book Antiqua" w:eastAsiaTheme="minorEastAsia" w:hAnsi="Book Antiqua" w:hint="eastAsia"/>
          <w:sz w:val="24"/>
          <w:szCs w:val="24"/>
          <w:lang w:eastAsia="zh-CN"/>
        </w:rPr>
        <w:t xml:space="preserve">. </w:t>
      </w:r>
      <w:r w:rsidR="00E10230" w:rsidRPr="002E77D0">
        <w:rPr>
          <w:rFonts w:ascii="Book Antiqua" w:hAnsi="Book Antiqua"/>
          <w:sz w:val="24"/>
          <w:szCs w:val="24"/>
        </w:rPr>
        <w:t xml:space="preserve">Available from: </w:t>
      </w:r>
      <w:r w:rsidR="00440C7B" w:rsidRPr="002E77D0">
        <w:rPr>
          <w:rFonts w:ascii="Book Antiqua" w:eastAsiaTheme="minorEastAsia" w:hAnsi="Book Antiqua" w:hint="eastAsia"/>
          <w:bCs/>
          <w:color w:val="000000" w:themeColor="text1"/>
          <w:sz w:val="24"/>
          <w:szCs w:val="24"/>
          <w:lang w:eastAsia="zh-CN"/>
        </w:rPr>
        <w:t xml:space="preserve">URL: </w:t>
      </w:r>
      <w:r w:rsidR="000257A5" w:rsidRPr="002E77D0">
        <w:rPr>
          <w:rFonts w:ascii="Book Antiqua" w:hAnsi="Book Antiqua"/>
          <w:sz w:val="24"/>
          <w:szCs w:val="24"/>
        </w:rPr>
        <w:t>https://www.hcup-us.ahrq.gov/reports/methods/methods.jsp</w:t>
      </w:r>
    </w:p>
    <w:p w14:paraId="6FDF1038" w14:textId="77777777" w:rsidR="00E10230" w:rsidRPr="00E10230" w:rsidRDefault="00E10230" w:rsidP="00E10230">
      <w:pPr>
        <w:spacing w:after="0" w:line="360" w:lineRule="auto"/>
        <w:jc w:val="both"/>
        <w:rPr>
          <w:rFonts w:ascii="Book Antiqua" w:hAnsi="Book Antiqua"/>
          <w:sz w:val="24"/>
          <w:szCs w:val="24"/>
        </w:rPr>
      </w:pPr>
      <w:r w:rsidRPr="00E10230">
        <w:rPr>
          <w:rFonts w:ascii="Book Antiqua" w:hAnsi="Book Antiqua"/>
          <w:sz w:val="24"/>
          <w:szCs w:val="24"/>
        </w:rPr>
        <w:t xml:space="preserve">13 </w:t>
      </w:r>
      <w:r w:rsidRPr="00E10230">
        <w:rPr>
          <w:rFonts w:ascii="Book Antiqua" w:hAnsi="Book Antiqua"/>
          <w:b/>
          <w:sz w:val="24"/>
          <w:szCs w:val="24"/>
        </w:rPr>
        <w:t>Allen AM</w:t>
      </w:r>
      <w:r w:rsidRPr="00E10230">
        <w:rPr>
          <w:rFonts w:ascii="Book Antiqua" w:hAnsi="Book Antiqua"/>
          <w:sz w:val="24"/>
          <w:szCs w:val="24"/>
        </w:rPr>
        <w:t xml:space="preserve">, Kim WR, Moriarty JP, Shah ND, Larson JJ, Kamath PS. Time trends in the health care burden and mortality of acute on chronic liver failure in the United States. </w:t>
      </w:r>
      <w:r w:rsidRPr="00E10230">
        <w:rPr>
          <w:rFonts w:ascii="Book Antiqua" w:hAnsi="Book Antiqua"/>
          <w:i/>
          <w:sz w:val="24"/>
          <w:szCs w:val="24"/>
        </w:rPr>
        <w:t>Hepatology</w:t>
      </w:r>
      <w:r w:rsidRPr="00E10230">
        <w:rPr>
          <w:rFonts w:ascii="Book Antiqua" w:hAnsi="Book Antiqua"/>
          <w:sz w:val="24"/>
          <w:szCs w:val="24"/>
        </w:rPr>
        <w:t xml:space="preserve"> 2016; </w:t>
      </w:r>
      <w:r w:rsidRPr="00E10230">
        <w:rPr>
          <w:rFonts w:ascii="Book Antiqua" w:hAnsi="Book Antiqua"/>
          <w:b/>
          <w:sz w:val="24"/>
          <w:szCs w:val="24"/>
        </w:rPr>
        <w:t>64</w:t>
      </w:r>
      <w:r w:rsidRPr="00E10230">
        <w:rPr>
          <w:rFonts w:ascii="Book Antiqua" w:hAnsi="Book Antiqua"/>
          <w:sz w:val="24"/>
          <w:szCs w:val="24"/>
        </w:rPr>
        <w:t>: 2165-2172 [PMID: 27696493 DOI: 10.1002/hep.28812]</w:t>
      </w:r>
    </w:p>
    <w:p w14:paraId="5B7E39F1" w14:textId="77777777" w:rsidR="00E10230" w:rsidRPr="00E10230" w:rsidRDefault="00E10230" w:rsidP="00E10230">
      <w:pPr>
        <w:spacing w:after="0" w:line="360" w:lineRule="auto"/>
        <w:jc w:val="both"/>
        <w:rPr>
          <w:rFonts w:ascii="Book Antiqua" w:hAnsi="Book Antiqua"/>
          <w:sz w:val="24"/>
          <w:szCs w:val="24"/>
        </w:rPr>
      </w:pPr>
      <w:r w:rsidRPr="00E10230">
        <w:rPr>
          <w:rFonts w:ascii="Book Antiqua" w:hAnsi="Book Antiqua"/>
          <w:sz w:val="24"/>
          <w:szCs w:val="24"/>
        </w:rPr>
        <w:t xml:space="preserve">14 </w:t>
      </w:r>
      <w:r w:rsidRPr="00E10230">
        <w:rPr>
          <w:rFonts w:ascii="Book Antiqua" w:hAnsi="Book Antiqua"/>
          <w:b/>
          <w:sz w:val="24"/>
          <w:szCs w:val="24"/>
        </w:rPr>
        <w:t>Wang YR</w:t>
      </w:r>
      <w:r w:rsidRPr="00E10230">
        <w:rPr>
          <w:rFonts w:ascii="Book Antiqua" w:hAnsi="Book Antiqua"/>
          <w:sz w:val="24"/>
          <w:szCs w:val="24"/>
        </w:rPr>
        <w:t xml:space="preserve">, Fisher RS, Parkman HP. Gastroparesis-related hospitalizations in the United States: trends, characteristics, and outcomes, 1995-2004. </w:t>
      </w:r>
      <w:r w:rsidRPr="00E10230">
        <w:rPr>
          <w:rFonts w:ascii="Book Antiqua" w:hAnsi="Book Antiqua"/>
          <w:i/>
          <w:sz w:val="24"/>
          <w:szCs w:val="24"/>
        </w:rPr>
        <w:t>Am J Gastroenterol</w:t>
      </w:r>
      <w:r w:rsidRPr="00E10230">
        <w:rPr>
          <w:rFonts w:ascii="Book Antiqua" w:hAnsi="Book Antiqua"/>
          <w:sz w:val="24"/>
          <w:szCs w:val="24"/>
        </w:rPr>
        <w:t xml:space="preserve"> 2008; </w:t>
      </w:r>
      <w:r w:rsidRPr="00E10230">
        <w:rPr>
          <w:rFonts w:ascii="Book Antiqua" w:hAnsi="Book Antiqua"/>
          <w:b/>
          <w:sz w:val="24"/>
          <w:szCs w:val="24"/>
        </w:rPr>
        <w:t>103</w:t>
      </w:r>
      <w:r w:rsidRPr="00E10230">
        <w:rPr>
          <w:rFonts w:ascii="Book Antiqua" w:hAnsi="Book Antiqua"/>
          <w:sz w:val="24"/>
          <w:szCs w:val="24"/>
        </w:rPr>
        <w:t>: 313-322 [PMID: 18047541 DOI: 10.1111/j.1572-0241.2007.01658.x]</w:t>
      </w:r>
    </w:p>
    <w:p w14:paraId="1481A74C" w14:textId="77777777" w:rsidR="00E10230" w:rsidRPr="00E10230" w:rsidRDefault="00E10230" w:rsidP="00E10230">
      <w:pPr>
        <w:spacing w:after="0" w:line="360" w:lineRule="auto"/>
        <w:jc w:val="both"/>
        <w:rPr>
          <w:rFonts w:ascii="Book Antiqua" w:hAnsi="Book Antiqua"/>
          <w:sz w:val="24"/>
          <w:szCs w:val="24"/>
        </w:rPr>
      </w:pPr>
      <w:r w:rsidRPr="00E10230">
        <w:rPr>
          <w:rFonts w:ascii="Book Antiqua" w:hAnsi="Book Antiqua"/>
          <w:sz w:val="24"/>
          <w:szCs w:val="24"/>
        </w:rPr>
        <w:t xml:space="preserve">15 </w:t>
      </w:r>
      <w:r w:rsidRPr="00E10230">
        <w:rPr>
          <w:rFonts w:ascii="Book Antiqua" w:hAnsi="Book Antiqua"/>
          <w:b/>
          <w:sz w:val="24"/>
          <w:szCs w:val="24"/>
        </w:rPr>
        <w:t>Zogg CK</w:t>
      </w:r>
      <w:r w:rsidRPr="00E10230">
        <w:rPr>
          <w:rFonts w:ascii="Book Antiqua" w:hAnsi="Book Antiqua"/>
          <w:sz w:val="24"/>
          <w:szCs w:val="24"/>
        </w:rPr>
        <w:t xml:space="preserve">, Najjar P, Diaz AJ, Zogg DL, Tsai TC, Rose JA Jr, Scott JW, Gani F, Alshaikh H, Canner JK, Schneider EB, Goldberg JE, Haider AH. Rethinking Priorities: Cost of Complications After Elective Colectomy. </w:t>
      </w:r>
      <w:r w:rsidRPr="00E10230">
        <w:rPr>
          <w:rFonts w:ascii="Book Antiqua" w:hAnsi="Book Antiqua"/>
          <w:i/>
          <w:sz w:val="24"/>
          <w:szCs w:val="24"/>
        </w:rPr>
        <w:t>Ann Surg</w:t>
      </w:r>
      <w:r w:rsidRPr="00E10230">
        <w:rPr>
          <w:rFonts w:ascii="Book Antiqua" w:hAnsi="Book Antiqua"/>
          <w:sz w:val="24"/>
          <w:szCs w:val="24"/>
        </w:rPr>
        <w:t xml:space="preserve"> 2016; </w:t>
      </w:r>
      <w:r w:rsidRPr="00E10230">
        <w:rPr>
          <w:rFonts w:ascii="Book Antiqua" w:hAnsi="Book Antiqua"/>
          <w:b/>
          <w:sz w:val="24"/>
          <w:szCs w:val="24"/>
        </w:rPr>
        <w:t>264</w:t>
      </w:r>
      <w:r w:rsidRPr="00E10230">
        <w:rPr>
          <w:rFonts w:ascii="Book Antiqua" w:hAnsi="Book Antiqua"/>
          <w:sz w:val="24"/>
          <w:szCs w:val="24"/>
        </w:rPr>
        <w:t>: 312-322 [PMID: 26501705 DOI: 10.1097/SLA.0000000000001511]</w:t>
      </w:r>
    </w:p>
    <w:p w14:paraId="4CFBD2CB" w14:textId="77777777" w:rsidR="00E10230" w:rsidRPr="00E10230" w:rsidRDefault="00E10230" w:rsidP="00E10230">
      <w:pPr>
        <w:spacing w:after="0" w:line="360" w:lineRule="auto"/>
        <w:jc w:val="both"/>
        <w:rPr>
          <w:rFonts w:ascii="Book Antiqua" w:hAnsi="Book Antiqua"/>
          <w:sz w:val="24"/>
          <w:szCs w:val="24"/>
        </w:rPr>
      </w:pPr>
      <w:r w:rsidRPr="00E10230">
        <w:rPr>
          <w:rFonts w:ascii="Book Antiqua" w:hAnsi="Book Antiqua"/>
          <w:sz w:val="24"/>
          <w:szCs w:val="24"/>
        </w:rPr>
        <w:t xml:space="preserve">16 </w:t>
      </w:r>
      <w:r w:rsidRPr="00E10230">
        <w:rPr>
          <w:rFonts w:ascii="Book Antiqua" w:hAnsi="Book Antiqua"/>
          <w:b/>
          <w:sz w:val="24"/>
          <w:szCs w:val="24"/>
        </w:rPr>
        <w:t>Reddy SK</w:t>
      </w:r>
      <w:r w:rsidRPr="00E10230">
        <w:rPr>
          <w:rFonts w:ascii="Book Antiqua" w:hAnsi="Book Antiqua"/>
          <w:sz w:val="24"/>
          <w:szCs w:val="24"/>
        </w:rPr>
        <w:t xml:space="preserve">, Zhan M, Alexander HR, El-Kamary SS. Nonalcoholic fatty liver disease is associated with benign gastrointestinal disorders. </w:t>
      </w:r>
      <w:r w:rsidRPr="00E10230">
        <w:rPr>
          <w:rFonts w:ascii="Book Antiqua" w:hAnsi="Book Antiqua"/>
          <w:i/>
          <w:sz w:val="24"/>
          <w:szCs w:val="24"/>
        </w:rPr>
        <w:t>World J Gastroenterol</w:t>
      </w:r>
      <w:r w:rsidRPr="00E10230">
        <w:rPr>
          <w:rFonts w:ascii="Book Antiqua" w:hAnsi="Book Antiqua"/>
          <w:sz w:val="24"/>
          <w:szCs w:val="24"/>
        </w:rPr>
        <w:t xml:space="preserve"> 2013; </w:t>
      </w:r>
      <w:r w:rsidRPr="00E10230">
        <w:rPr>
          <w:rFonts w:ascii="Book Antiqua" w:hAnsi="Book Antiqua"/>
          <w:b/>
          <w:sz w:val="24"/>
          <w:szCs w:val="24"/>
        </w:rPr>
        <w:t>19</w:t>
      </w:r>
      <w:r w:rsidRPr="00E10230">
        <w:rPr>
          <w:rFonts w:ascii="Book Antiqua" w:hAnsi="Book Antiqua"/>
          <w:sz w:val="24"/>
          <w:szCs w:val="24"/>
        </w:rPr>
        <w:t>: 8301-8311 [PMID: 24363521 DOI: 10.3748/wjg.v19.i45.8301]</w:t>
      </w:r>
    </w:p>
    <w:p w14:paraId="73D29AD2" w14:textId="77777777" w:rsidR="00E10230" w:rsidRPr="00E10230" w:rsidRDefault="00E10230" w:rsidP="00E10230">
      <w:pPr>
        <w:spacing w:after="0" w:line="360" w:lineRule="auto"/>
        <w:jc w:val="both"/>
        <w:rPr>
          <w:rFonts w:ascii="Book Antiqua" w:hAnsi="Book Antiqua"/>
          <w:sz w:val="24"/>
          <w:szCs w:val="24"/>
        </w:rPr>
      </w:pPr>
      <w:r w:rsidRPr="00E10230">
        <w:rPr>
          <w:rFonts w:ascii="Book Antiqua" w:hAnsi="Book Antiqua"/>
          <w:sz w:val="24"/>
          <w:szCs w:val="24"/>
        </w:rPr>
        <w:t xml:space="preserve">17 </w:t>
      </w:r>
      <w:r w:rsidRPr="00E10230">
        <w:rPr>
          <w:rFonts w:ascii="Book Antiqua" w:hAnsi="Book Antiqua"/>
          <w:b/>
          <w:sz w:val="24"/>
          <w:szCs w:val="24"/>
        </w:rPr>
        <w:t>Peck JR</w:t>
      </w:r>
      <w:r w:rsidRPr="00E10230">
        <w:rPr>
          <w:rFonts w:ascii="Book Antiqua" w:hAnsi="Book Antiqua"/>
          <w:sz w:val="24"/>
          <w:szCs w:val="24"/>
        </w:rPr>
        <w:t xml:space="preserve">, Latchana N, Michaels A, Hanje AJ, Hinton A, Elkhammas EA, Black SM, Mumtaz K. Diagnosis of morbid obesity may not impact healthcare utilization for </w:t>
      </w:r>
      <w:r w:rsidRPr="00E10230">
        <w:rPr>
          <w:rFonts w:ascii="Book Antiqua" w:hAnsi="Book Antiqua"/>
          <w:sz w:val="24"/>
          <w:szCs w:val="24"/>
        </w:rPr>
        <w:lastRenderedPageBreak/>
        <w:t xml:space="preserve">orthotopic liver transplantation: A propensity matched study. </w:t>
      </w:r>
      <w:r w:rsidRPr="00E10230">
        <w:rPr>
          <w:rFonts w:ascii="Book Antiqua" w:hAnsi="Book Antiqua"/>
          <w:i/>
          <w:sz w:val="24"/>
          <w:szCs w:val="24"/>
        </w:rPr>
        <w:t>World J Hepatol</w:t>
      </w:r>
      <w:r w:rsidRPr="00E10230">
        <w:rPr>
          <w:rFonts w:ascii="Book Antiqua" w:hAnsi="Book Antiqua"/>
          <w:sz w:val="24"/>
          <w:szCs w:val="24"/>
        </w:rPr>
        <w:t xml:space="preserve"> 2017; </w:t>
      </w:r>
      <w:r w:rsidRPr="00E10230">
        <w:rPr>
          <w:rFonts w:ascii="Book Antiqua" w:hAnsi="Book Antiqua"/>
          <w:b/>
          <w:sz w:val="24"/>
          <w:szCs w:val="24"/>
        </w:rPr>
        <w:t>9</w:t>
      </w:r>
      <w:r w:rsidRPr="00E10230">
        <w:rPr>
          <w:rFonts w:ascii="Book Antiqua" w:hAnsi="Book Antiqua"/>
          <w:sz w:val="24"/>
          <w:szCs w:val="24"/>
        </w:rPr>
        <w:t>: 595-602 [PMID: 28515845 DOI: 10.4254/wjh.v9.i12.595]</w:t>
      </w:r>
    </w:p>
    <w:p w14:paraId="718A6BC3" w14:textId="77777777" w:rsidR="00E10230" w:rsidRPr="00E10230" w:rsidRDefault="00E10230" w:rsidP="00E10230">
      <w:pPr>
        <w:spacing w:after="0" w:line="360" w:lineRule="auto"/>
        <w:jc w:val="both"/>
        <w:rPr>
          <w:rFonts w:ascii="Book Antiqua" w:hAnsi="Book Antiqua"/>
          <w:sz w:val="24"/>
          <w:szCs w:val="24"/>
        </w:rPr>
      </w:pPr>
      <w:r w:rsidRPr="00E10230">
        <w:rPr>
          <w:rFonts w:ascii="Book Antiqua" w:hAnsi="Book Antiqua"/>
          <w:sz w:val="24"/>
          <w:szCs w:val="24"/>
        </w:rPr>
        <w:t xml:space="preserve">18 </w:t>
      </w:r>
      <w:r w:rsidRPr="00E10230">
        <w:rPr>
          <w:rFonts w:ascii="Book Antiqua" w:hAnsi="Book Antiqua"/>
          <w:b/>
          <w:sz w:val="24"/>
          <w:szCs w:val="24"/>
        </w:rPr>
        <w:t>Khera R</w:t>
      </w:r>
      <w:r w:rsidRPr="00E10230">
        <w:rPr>
          <w:rFonts w:ascii="Book Antiqua" w:hAnsi="Book Antiqua"/>
          <w:sz w:val="24"/>
          <w:szCs w:val="24"/>
        </w:rPr>
        <w:t xml:space="preserve">, Angraal S, Couch T, Welsh JW, Nallamothu BK, Girotra S, Chan PS, Krumholz HM. Adherence to Methodological Standards in Research Using the National Inpatient Sample. </w:t>
      </w:r>
      <w:r w:rsidRPr="00E10230">
        <w:rPr>
          <w:rFonts w:ascii="Book Antiqua" w:hAnsi="Book Antiqua"/>
          <w:i/>
          <w:sz w:val="24"/>
          <w:szCs w:val="24"/>
        </w:rPr>
        <w:t>JAMA</w:t>
      </w:r>
      <w:r w:rsidRPr="00E10230">
        <w:rPr>
          <w:rFonts w:ascii="Book Antiqua" w:hAnsi="Book Antiqua"/>
          <w:sz w:val="24"/>
          <w:szCs w:val="24"/>
        </w:rPr>
        <w:t xml:space="preserve"> 2017; </w:t>
      </w:r>
      <w:r w:rsidRPr="00E10230">
        <w:rPr>
          <w:rFonts w:ascii="Book Antiqua" w:hAnsi="Book Antiqua"/>
          <w:b/>
          <w:sz w:val="24"/>
          <w:szCs w:val="24"/>
        </w:rPr>
        <w:t>318</w:t>
      </w:r>
      <w:r w:rsidRPr="00E10230">
        <w:rPr>
          <w:rFonts w:ascii="Book Antiqua" w:hAnsi="Book Antiqua"/>
          <w:sz w:val="24"/>
          <w:szCs w:val="24"/>
        </w:rPr>
        <w:t>: 2011-2018 [PMID: 29183077 DOI: 10.1001/jama.2017.17653]</w:t>
      </w:r>
    </w:p>
    <w:p w14:paraId="6655133F" w14:textId="77777777" w:rsidR="00E10230" w:rsidRPr="00E10230" w:rsidRDefault="00E10230" w:rsidP="00E10230">
      <w:pPr>
        <w:spacing w:after="0" w:line="360" w:lineRule="auto"/>
        <w:jc w:val="both"/>
        <w:rPr>
          <w:rFonts w:ascii="Book Antiqua" w:hAnsi="Book Antiqua"/>
          <w:sz w:val="24"/>
          <w:szCs w:val="24"/>
        </w:rPr>
      </w:pPr>
      <w:r w:rsidRPr="00E10230">
        <w:rPr>
          <w:rFonts w:ascii="Book Antiqua" w:hAnsi="Book Antiqua"/>
          <w:sz w:val="24"/>
          <w:szCs w:val="24"/>
        </w:rPr>
        <w:t xml:space="preserve">19 </w:t>
      </w:r>
      <w:r w:rsidRPr="00E10230">
        <w:rPr>
          <w:rFonts w:ascii="Book Antiqua" w:hAnsi="Book Antiqua"/>
          <w:b/>
          <w:sz w:val="24"/>
          <w:szCs w:val="24"/>
        </w:rPr>
        <w:t>Nehra MS</w:t>
      </w:r>
      <w:r w:rsidRPr="00E10230">
        <w:rPr>
          <w:rFonts w:ascii="Book Antiqua" w:hAnsi="Book Antiqua"/>
          <w:sz w:val="24"/>
          <w:szCs w:val="24"/>
        </w:rPr>
        <w:t xml:space="preserve">, Ma Y, Clark C, Amarasingham R, Rockey DC, Singal AG. Use of administrative claims data for identifying patients with cirrhosis. </w:t>
      </w:r>
      <w:r w:rsidRPr="00E10230">
        <w:rPr>
          <w:rFonts w:ascii="Book Antiqua" w:hAnsi="Book Antiqua"/>
          <w:i/>
          <w:sz w:val="24"/>
          <w:szCs w:val="24"/>
        </w:rPr>
        <w:t>J Clin Gastroenterol</w:t>
      </w:r>
      <w:r w:rsidRPr="00E10230">
        <w:rPr>
          <w:rFonts w:ascii="Book Antiqua" w:hAnsi="Book Antiqua"/>
          <w:sz w:val="24"/>
          <w:szCs w:val="24"/>
        </w:rPr>
        <w:t xml:space="preserve"> 2013; </w:t>
      </w:r>
      <w:r w:rsidRPr="00E10230">
        <w:rPr>
          <w:rFonts w:ascii="Book Antiqua" w:hAnsi="Book Antiqua"/>
          <w:b/>
          <w:sz w:val="24"/>
          <w:szCs w:val="24"/>
        </w:rPr>
        <w:t>47</w:t>
      </w:r>
      <w:r w:rsidRPr="00E10230">
        <w:rPr>
          <w:rFonts w:ascii="Book Antiqua" w:hAnsi="Book Antiqua"/>
          <w:sz w:val="24"/>
          <w:szCs w:val="24"/>
        </w:rPr>
        <w:t>: e50-e54 [PMID: 23090041 DOI: 10.1097/MCG.0b013e3182688d2f]</w:t>
      </w:r>
    </w:p>
    <w:p w14:paraId="68D03804" w14:textId="77777777" w:rsidR="00E10230" w:rsidRPr="00E10230" w:rsidRDefault="00E10230" w:rsidP="00E10230">
      <w:pPr>
        <w:spacing w:after="0" w:line="360" w:lineRule="auto"/>
        <w:jc w:val="both"/>
        <w:rPr>
          <w:rFonts w:ascii="Book Antiqua" w:hAnsi="Book Antiqua"/>
          <w:sz w:val="24"/>
          <w:szCs w:val="24"/>
        </w:rPr>
      </w:pPr>
      <w:r w:rsidRPr="00E10230">
        <w:rPr>
          <w:rFonts w:ascii="Book Antiqua" w:hAnsi="Book Antiqua"/>
          <w:sz w:val="24"/>
          <w:szCs w:val="24"/>
        </w:rPr>
        <w:t xml:space="preserve">20 </w:t>
      </w:r>
      <w:r w:rsidRPr="00E10230">
        <w:rPr>
          <w:rFonts w:ascii="Book Antiqua" w:hAnsi="Book Antiqua"/>
          <w:b/>
          <w:sz w:val="24"/>
          <w:szCs w:val="24"/>
        </w:rPr>
        <w:t>Perla RJ</w:t>
      </w:r>
      <w:r w:rsidRPr="00E10230">
        <w:rPr>
          <w:rFonts w:ascii="Book Antiqua" w:hAnsi="Book Antiqua"/>
          <w:sz w:val="24"/>
          <w:szCs w:val="24"/>
        </w:rPr>
        <w:t xml:space="preserve">, Provost LP, Murray SK. The run chart: a simple analytical tool for learning from variation in healthcare processes. </w:t>
      </w:r>
      <w:r w:rsidRPr="00E10230">
        <w:rPr>
          <w:rFonts w:ascii="Book Antiqua" w:hAnsi="Book Antiqua"/>
          <w:i/>
          <w:sz w:val="24"/>
          <w:szCs w:val="24"/>
        </w:rPr>
        <w:t>BMJ Qual Saf</w:t>
      </w:r>
      <w:r w:rsidRPr="00E10230">
        <w:rPr>
          <w:rFonts w:ascii="Book Antiqua" w:hAnsi="Book Antiqua"/>
          <w:sz w:val="24"/>
          <w:szCs w:val="24"/>
        </w:rPr>
        <w:t xml:space="preserve"> 2011; </w:t>
      </w:r>
      <w:r w:rsidRPr="00E10230">
        <w:rPr>
          <w:rFonts w:ascii="Book Antiqua" w:hAnsi="Book Antiqua"/>
          <w:b/>
          <w:sz w:val="24"/>
          <w:szCs w:val="24"/>
        </w:rPr>
        <w:t>20</w:t>
      </w:r>
      <w:r w:rsidRPr="00E10230">
        <w:rPr>
          <w:rFonts w:ascii="Book Antiqua" w:hAnsi="Book Antiqua"/>
          <w:sz w:val="24"/>
          <w:szCs w:val="24"/>
        </w:rPr>
        <w:t>: 46-51 [PMID: 21228075 DOI: 10.1136/bmjqs.2009.037895]</w:t>
      </w:r>
    </w:p>
    <w:p w14:paraId="1701F362" w14:textId="77777777" w:rsidR="00E10230" w:rsidRPr="00E10230" w:rsidRDefault="00E10230" w:rsidP="00E10230">
      <w:pPr>
        <w:spacing w:after="0" w:line="360" w:lineRule="auto"/>
        <w:jc w:val="both"/>
        <w:rPr>
          <w:rFonts w:ascii="Book Antiqua" w:hAnsi="Book Antiqua"/>
          <w:sz w:val="24"/>
          <w:szCs w:val="24"/>
        </w:rPr>
      </w:pPr>
      <w:r w:rsidRPr="00E10230">
        <w:rPr>
          <w:rFonts w:ascii="Book Antiqua" w:hAnsi="Book Antiqua"/>
          <w:sz w:val="24"/>
          <w:szCs w:val="24"/>
        </w:rPr>
        <w:t xml:space="preserve">21 </w:t>
      </w:r>
      <w:r w:rsidRPr="00E10230">
        <w:rPr>
          <w:rFonts w:ascii="Book Antiqua" w:hAnsi="Book Antiqua"/>
          <w:b/>
          <w:sz w:val="24"/>
          <w:szCs w:val="24"/>
        </w:rPr>
        <w:t>Mumtaz K</w:t>
      </w:r>
      <w:r w:rsidRPr="00E10230">
        <w:rPr>
          <w:rFonts w:ascii="Book Antiqua" w:hAnsi="Book Antiqua"/>
          <w:sz w:val="24"/>
          <w:szCs w:val="24"/>
        </w:rPr>
        <w:t xml:space="preserve">, Ahmed US, Abid S, Baig N, Hamid S, Jafri W. Precipitating factors and the outcome of hepatic encephalopathy in liver cirrhosis. </w:t>
      </w:r>
      <w:r w:rsidRPr="00E10230">
        <w:rPr>
          <w:rFonts w:ascii="Book Antiqua" w:hAnsi="Book Antiqua"/>
          <w:i/>
          <w:sz w:val="24"/>
          <w:szCs w:val="24"/>
        </w:rPr>
        <w:t>J Coll Physicians Surg Pak</w:t>
      </w:r>
      <w:r w:rsidRPr="00E10230">
        <w:rPr>
          <w:rFonts w:ascii="Book Antiqua" w:hAnsi="Book Antiqua"/>
          <w:sz w:val="24"/>
          <w:szCs w:val="24"/>
        </w:rPr>
        <w:t xml:space="preserve"> 2010; </w:t>
      </w:r>
      <w:r w:rsidRPr="00E10230">
        <w:rPr>
          <w:rFonts w:ascii="Book Antiqua" w:hAnsi="Book Antiqua"/>
          <w:b/>
          <w:sz w:val="24"/>
          <w:szCs w:val="24"/>
        </w:rPr>
        <w:t>20</w:t>
      </w:r>
      <w:r w:rsidRPr="00E10230">
        <w:rPr>
          <w:rFonts w:ascii="Book Antiqua" w:hAnsi="Book Antiqua"/>
          <w:sz w:val="24"/>
          <w:szCs w:val="24"/>
        </w:rPr>
        <w:t>: 514-518 [PMID: 20688015 DOI: 08.2010/JCPSP.514518]</w:t>
      </w:r>
    </w:p>
    <w:p w14:paraId="40E2A8BB" w14:textId="77777777" w:rsidR="00E10230" w:rsidRPr="00E10230" w:rsidRDefault="00E10230" w:rsidP="00E10230">
      <w:pPr>
        <w:spacing w:after="0" w:line="360" w:lineRule="auto"/>
        <w:jc w:val="both"/>
        <w:rPr>
          <w:rFonts w:ascii="Book Antiqua" w:hAnsi="Book Antiqua"/>
          <w:sz w:val="24"/>
          <w:szCs w:val="24"/>
        </w:rPr>
      </w:pPr>
      <w:r w:rsidRPr="00E10230">
        <w:rPr>
          <w:rFonts w:ascii="Book Antiqua" w:hAnsi="Book Antiqua"/>
          <w:sz w:val="24"/>
          <w:szCs w:val="24"/>
        </w:rPr>
        <w:t xml:space="preserve">22 </w:t>
      </w:r>
      <w:r w:rsidRPr="00E10230">
        <w:rPr>
          <w:rFonts w:ascii="Book Antiqua" w:hAnsi="Book Antiqua"/>
          <w:b/>
          <w:sz w:val="24"/>
          <w:szCs w:val="24"/>
        </w:rPr>
        <w:t>Kim D</w:t>
      </w:r>
      <w:r w:rsidRPr="00E10230">
        <w:rPr>
          <w:rFonts w:ascii="Book Antiqua" w:hAnsi="Book Antiqua"/>
          <w:sz w:val="24"/>
          <w:szCs w:val="24"/>
        </w:rPr>
        <w:t xml:space="preserve">, Li AA, Gadiparthi C, Khan MA, Cholankeril G, Glenn JS, Ahmed A. Changing Trends in Etiology-Based Annual Mortality From Chronic Liver Disease, From 2007 Through 2016. </w:t>
      </w:r>
      <w:r w:rsidRPr="00E10230">
        <w:rPr>
          <w:rFonts w:ascii="Book Antiqua" w:hAnsi="Book Antiqua"/>
          <w:i/>
          <w:sz w:val="24"/>
          <w:szCs w:val="24"/>
        </w:rPr>
        <w:t>Gastroenterology</w:t>
      </w:r>
      <w:r w:rsidRPr="00E10230">
        <w:rPr>
          <w:rFonts w:ascii="Book Antiqua" w:hAnsi="Book Antiqua"/>
          <w:sz w:val="24"/>
          <w:szCs w:val="24"/>
        </w:rPr>
        <w:t xml:space="preserve"> 2018; </w:t>
      </w:r>
      <w:r w:rsidRPr="00E10230">
        <w:rPr>
          <w:rFonts w:ascii="Book Antiqua" w:hAnsi="Book Antiqua"/>
          <w:b/>
          <w:sz w:val="24"/>
          <w:szCs w:val="24"/>
        </w:rPr>
        <w:t>155</w:t>
      </w:r>
      <w:r w:rsidRPr="00E10230">
        <w:rPr>
          <w:rFonts w:ascii="Book Antiqua" w:hAnsi="Book Antiqua"/>
          <w:sz w:val="24"/>
          <w:szCs w:val="24"/>
        </w:rPr>
        <w:t>: 1154-1163.e3 [PMID: 30009816 DOI: 10.1053/j.gastro.2018.07.008]</w:t>
      </w:r>
    </w:p>
    <w:p w14:paraId="526FD544" w14:textId="77777777" w:rsidR="00E10230" w:rsidRPr="00E10230" w:rsidRDefault="00E10230" w:rsidP="00E10230">
      <w:pPr>
        <w:spacing w:after="0" w:line="360" w:lineRule="auto"/>
        <w:jc w:val="both"/>
        <w:rPr>
          <w:rFonts w:ascii="Book Antiqua" w:hAnsi="Book Antiqua"/>
          <w:sz w:val="24"/>
          <w:szCs w:val="24"/>
        </w:rPr>
      </w:pPr>
      <w:r w:rsidRPr="00E10230">
        <w:rPr>
          <w:rFonts w:ascii="Book Antiqua" w:hAnsi="Book Antiqua"/>
          <w:sz w:val="24"/>
          <w:szCs w:val="24"/>
        </w:rPr>
        <w:t xml:space="preserve">23 </w:t>
      </w:r>
      <w:r w:rsidRPr="00E10230">
        <w:rPr>
          <w:rFonts w:ascii="Book Antiqua" w:hAnsi="Book Antiqua"/>
          <w:b/>
          <w:sz w:val="24"/>
          <w:szCs w:val="24"/>
        </w:rPr>
        <w:t>Kanwal F</w:t>
      </w:r>
      <w:r w:rsidRPr="00E10230">
        <w:rPr>
          <w:rFonts w:ascii="Book Antiqua" w:hAnsi="Book Antiqua"/>
          <w:sz w:val="24"/>
          <w:szCs w:val="24"/>
        </w:rPr>
        <w:t xml:space="preserve">, Tansel A, Kramer JR, Feng H, Asch SM, El-Serag HB. Trends in 30-Day and 1-Year Mortality Among Patients Hospitalized With Cirrhosis From 2004 to 2013. </w:t>
      </w:r>
      <w:r w:rsidRPr="00E10230">
        <w:rPr>
          <w:rFonts w:ascii="Book Antiqua" w:hAnsi="Book Antiqua"/>
          <w:i/>
          <w:sz w:val="24"/>
          <w:szCs w:val="24"/>
        </w:rPr>
        <w:t>Am J Gastroenterol</w:t>
      </w:r>
      <w:r w:rsidRPr="00E10230">
        <w:rPr>
          <w:rFonts w:ascii="Book Antiqua" w:hAnsi="Book Antiqua"/>
          <w:sz w:val="24"/>
          <w:szCs w:val="24"/>
        </w:rPr>
        <w:t xml:space="preserve"> 2017; </w:t>
      </w:r>
      <w:r w:rsidRPr="00E10230">
        <w:rPr>
          <w:rFonts w:ascii="Book Antiqua" w:hAnsi="Book Antiqua"/>
          <w:b/>
          <w:sz w:val="24"/>
          <w:szCs w:val="24"/>
        </w:rPr>
        <w:t>112</w:t>
      </w:r>
      <w:r w:rsidRPr="00E10230">
        <w:rPr>
          <w:rFonts w:ascii="Book Antiqua" w:hAnsi="Book Antiqua"/>
          <w:sz w:val="24"/>
          <w:szCs w:val="24"/>
        </w:rPr>
        <w:t>: 1287-1297 [PMID: 28607480 DOI: 10.1038/ajg.2017.175]</w:t>
      </w:r>
    </w:p>
    <w:p w14:paraId="2755688C" w14:textId="77777777" w:rsidR="00E10230" w:rsidRPr="00E10230" w:rsidRDefault="00E10230" w:rsidP="00E10230">
      <w:pPr>
        <w:spacing w:after="0" w:line="360" w:lineRule="auto"/>
        <w:jc w:val="both"/>
        <w:rPr>
          <w:rFonts w:ascii="Book Antiqua" w:hAnsi="Book Antiqua"/>
          <w:sz w:val="24"/>
          <w:szCs w:val="24"/>
        </w:rPr>
      </w:pPr>
      <w:r w:rsidRPr="00E10230">
        <w:rPr>
          <w:rFonts w:ascii="Book Antiqua" w:hAnsi="Book Antiqua"/>
          <w:sz w:val="24"/>
          <w:szCs w:val="24"/>
        </w:rPr>
        <w:t xml:space="preserve">24 </w:t>
      </w:r>
      <w:r w:rsidRPr="00E10230">
        <w:rPr>
          <w:rFonts w:ascii="Book Antiqua" w:hAnsi="Book Antiqua"/>
          <w:b/>
          <w:sz w:val="24"/>
          <w:szCs w:val="24"/>
        </w:rPr>
        <w:t>Lee EW</w:t>
      </w:r>
      <w:r w:rsidRPr="00E10230">
        <w:rPr>
          <w:rFonts w:ascii="Book Antiqua" w:hAnsi="Book Antiqua"/>
          <w:sz w:val="24"/>
          <w:szCs w:val="24"/>
        </w:rPr>
        <w:t xml:space="preserve">, Kuei A, Saab S, Busuttil RW, Durazo F, Han SH, El-Kabany MM, McWilliams JP, Kee ST. Nationwide trends and predictors of inpatient mortality in 83884 transjugular intrahepatic portosystemic shunt. </w:t>
      </w:r>
      <w:r w:rsidRPr="00E10230">
        <w:rPr>
          <w:rFonts w:ascii="Book Antiqua" w:hAnsi="Book Antiqua"/>
          <w:i/>
          <w:sz w:val="24"/>
          <w:szCs w:val="24"/>
        </w:rPr>
        <w:t>World J Gastroenterol</w:t>
      </w:r>
      <w:r w:rsidRPr="00E10230">
        <w:rPr>
          <w:rFonts w:ascii="Book Antiqua" w:hAnsi="Book Antiqua"/>
          <w:sz w:val="24"/>
          <w:szCs w:val="24"/>
        </w:rPr>
        <w:t xml:space="preserve"> 2016; </w:t>
      </w:r>
      <w:r w:rsidRPr="00E10230">
        <w:rPr>
          <w:rFonts w:ascii="Book Antiqua" w:hAnsi="Book Antiqua"/>
          <w:b/>
          <w:sz w:val="24"/>
          <w:szCs w:val="24"/>
        </w:rPr>
        <w:t>22</w:t>
      </w:r>
      <w:r w:rsidRPr="00E10230">
        <w:rPr>
          <w:rFonts w:ascii="Book Antiqua" w:hAnsi="Book Antiqua"/>
          <w:sz w:val="24"/>
          <w:szCs w:val="24"/>
        </w:rPr>
        <w:t>: 5780-5789 [PMID: 27433091 DOI: 10.3748/wjg.v22.i25.5780]</w:t>
      </w:r>
    </w:p>
    <w:p w14:paraId="12988A58" w14:textId="77777777" w:rsidR="00E10230" w:rsidRDefault="00E10230" w:rsidP="00E10230">
      <w:pPr>
        <w:spacing w:after="0" w:line="360" w:lineRule="auto"/>
        <w:jc w:val="both"/>
        <w:rPr>
          <w:rFonts w:ascii="Book Antiqua" w:eastAsiaTheme="minorEastAsia" w:hAnsi="Book Antiqua"/>
          <w:sz w:val="24"/>
          <w:szCs w:val="24"/>
          <w:lang w:eastAsia="zh-CN"/>
        </w:rPr>
      </w:pPr>
      <w:r w:rsidRPr="00E10230">
        <w:rPr>
          <w:rFonts w:ascii="Book Antiqua" w:hAnsi="Book Antiqua"/>
          <w:sz w:val="24"/>
          <w:szCs w:val="24"/>
        </w:rPr>
        <w:t xml:space="preserve">25 </w:t>
      </w:r>
      <w:r w:rsidRPr="00E10230">
        <w:rPr>
          <w:rFonts w:ascii="Book Antiqua" w:hAnsi="Book Antiqua"/>
          <w:b/>
          <w:sz w:val="24"/>
          <w:szCs w:val="24"/>
        </w:rPr>
        <w:t>Goodney PP</w:t>
      </w:r>
      <w:r w:rsidRPr="00E10230">
        <w:rPr>
          <w:rFonts w:ascii="Book Antiqua" w:hAnsi="Book Antiqua"/>
          <w:sz w:val="24"/>
          <w:szCs w:val="24"/>
        </w:rPr>
        <w:t xml:space="preserve">, Stukel TA, Lucas FL, Finlayson EV, Birkmeyer JD. Hospital volume, length of stay, and readmission rates in high-risk surgery. </w:t>
      </w:r>
      <w:r w:rsidRPr="00E10230">
        <w:rPr>
          <w:rFonts w:ascii="Book Antiqua" w:hAnsi="Book Antiqua"/>
          <w:i/>
          <w:sz w:val="24"/>
          <w:szCs w:val="24"/>
        </w:rPr>
        <w:t>Ann Surg</w:t>
      </w:r>
      <w:r w:rsidRPr="00E10230">
        <w:rPr>
          <w:rFonts w:ascii="Book Antiqua" w:hAnsi="Book Antiqua"/>
          <w:sz w:val="24"/>
          <w:szCs w:val="24"/>
        </w:rPr>
        <w:t xml:space="preserve"> 2003; </w:t>
      </w:r>
      <w:r w:rsidRPr="00E10230">
        <w:rPr>
          <w:rFonts w:ascii="Book Antiqua" w:hAnsi="Book Antiqua"/>
          <w:b/>
          <w:sz w:val="24"/>
          <w:szCs w:val="24"/>
        </w:rPr>
        <w:t>238</w:t>
      </w:r>
      <w:r w:rsidRPr="00E10230">
        <w:rPr>
          <w:rFonts w:ascii="Book Antiqua" w:hAnsi="Book Antiqua"/>
          <w:sz w:val="24"/>
          <w:szCs w:val="24"/>
        </w:rPr>
        <w:t>: 161-167 [PMID: 12894006 DOI: 10.1097/01.SLA.0000081094.66659.c3]</w:t>
      </w:r>
    </w:p>
    <w:p w14:paraId="131AB086" w14:textId="77777777" w:rsidR="00222F37" w:rsidRPr="00222F37" w:rsidRDefault="00222F37" w:rsidP="00E10230">
      <w:pPr>
        <w:spacing w:after="0" w:line="360" w:lineRule="auto"/>
        <w:jc w:val="both"/>
        <w:rPr>
          <w:rFonts w:ascii="Book Antiqua" w:eastAsiaTheme="minorEastAsia" w:hAnsi="Book Antiqua"/>
          <w:sz w:val="24"/>
          <w:szCs w:val="24"/>
          <w:lang w:eastAsia="zh-CN"/>
        </w:rPr>
      </w:pPr>
    </w:p>
    <w:p w14:paraId="1FC2CFEA" w14:textId="12F48EC1" w:rsidR="00222F37" w:rsidRPr="002E77D0" w:rsidRDefault="00222F37" w:rsidP="00222F37">
      <w:pPr>
        <w:suppressAutoHyphens/>
        <w:spacing w:after="0" w:line="360" w:lineRule="auto"/>
        <w:ind w:right="120"/>
        <w:jc w:val="both"/>
        <w:rPr>
          <w:rFonts w:ascii="Book Antiqua" w:eastAsiaTheme="minorEastAsia" w:hAnsi="Book Antiqua" w:cs="Mangal" w:hint="eastAsia"/>
          <w:bCs/>
          <w:color w:val="000000" w:themeColor="text1"/>
          <w:kern w:val="1"/>
          <w:sz w:val="24"/>
          <w:szCs w:val="24"/>
          <w:lang w:val="it-IT" w:eastAsia="zh-CN" w:bidi="hi-IN"/>
        </w:rPr>
      </w:pPr>
      <w:bookmarkStart w:id="17" w:name="OLE_LINK480"/>
      <w:bookmarkStart w:id="18" w:name="OLE_LINK502"/>
      <w:bookmarkStart w:id="19" w:name="OLE_LINK1021"/>
      <w:bookmarkStart w:id="20" w:name="OLE_LINK1022"/>
      <w:bookmarkStart w:id="21" w:name="OLE_LINK1023"/>
      <w:bookmarkStart w:id="22" w:name="OLE_LINK1064"/>
      <w:bookmarkStart w:id="23" w:name="OLE_LINK1065"/>
      <w:bookmarkStart w:id="24" w:name="OLE_LINK1156"/>
      <w:bookmarkStart w:id="25" w:name="OLE_LINK1157"/>
      <w:bookmarkStart w:id="26" w:name="OLE_LINK1158"/>
      <w:bookmarkStart w:id="27" w:name="OLE_LINK1159"/>
      <w:bookmarkStart w:id="28" w:name="OLE_LINK1185"/>
      <w:bookmarkStart w:id="29" w:name="OLE_LINK958"/>
      <w:bookmarkStart w:id="30" w:name="OLE_LINK959"/>
      <w:bookmarkStart w:id="31" w:name="OLE_LINK962"/>
      <w:bookmarkStart w:id="32" w:name="OLE_LINK1127"/>
      <w:bookmarkStart w:id="33" w:name="OLE_LINK945"/>
      <w:bookmarkStart w:id="34" w:name="OLE_LINK946"/>
      <w:bookmarkStart w:id="35" w:name="OLE_LINK947"/>
      <w:bookmarkStart w:id="36" w:name="OLE_LINK987"/>
      <w:bookmarkStart w:id="37" w:name="OLE_LINK1035"/>
      <w:bookmarkStart w:id="38" w:name="OLE_LINK1036"/>
      <w:bookmarkStart w:id="39" w:name="OLE_LINK1038"/>
      <w:bookmarkStart w:id="40" w:name="OLE_LINK1039"/>
      <w:bookmarkStart w:id="41" w:name="OLE_LINK1040"/>
      <w:bookmarkStart w:id="42" w:name="OLE_LINK1041"/>
      <w:bookmarkStart w:id="43" w:name="OLE_LINK1042"/>
      <w:bookmarkStart w:id="44" w:name="OLE_LINK1043"/>
      <w:bookmarkStart w:id="45" w:name="OLE_LINK1044"/>
      <w:bookmarkStart w:id="46" w:name="OLE_LINK1071"/>
      <w:bookmarkStart w:id="47" w:name="OLE_LINK1072"/>
      <w:bookmarkStart w:id="48" w:name="OLE_LINK968"/>
      <w:bookmarkStart w:id="49" w:name="OLE_LINK1260"/>
      <w:bookmarkStart w:id="50" w:name="OLE_LINK1261"/>
      <w:bookmarkStart w:id="51" w:name="OLE_LINK1264"/>
      <w:bookmarkStart w:id="52" w:name="OLE_LINK1265"/>
      <w:bookmarkStart w:id="53" w:name="OLE_LINK1266"/>
      <w:bookmarkStart w:id="54" w:name="OLE_LINK1282"/>
      <w:bookmarkStart w:id="55" w:name="OLE_LINK1800"/>
      <w:bookmarkStart w:id="56" w:name="OLE_LINK1801"/>
      <w:bookmarkStart w:id="57" w:name="OLE_LINK1802"/>
      <w:bookmarkStart w:id="58" w:name="OLE_LINK1803"/>
      <w:bookmarkStart w:id="59" w:name="OLE_LINK1843"/>
      <w:bookmarkStart w:id="60" w:name="OLE_LINK1844"/>
      <w:bookmarkStart w:id="61" w:name="OLE_LINK1845"/>
      <w:bookmarkStart w:id="62" w:name="OLE_LINK1636"/>
      <w:bookmarkStart w:id="63" w:name="OLE_LINK1755"/>
      <w:bookmarkStart w:id="64" w:name="OLE_LINK1806"/>
      <w:bookmarkStart w:id="65" w:name="OLE_LINK1807"/>
      <w:bookmarkStart w:id="66" w:name="OLE_LINK1811"/>
      <w:bookmarkStart w:id="67" w:name="OLE_LINK1812"/>
      <w:bookmarkStart w:id="68" w:name="OLE_LINK1813"/>
      <w:bookmarkStart w:id="69" w:name="OLE_LINK1962"/>
      <w:bookmarkStart w:id="70" w:name="OLE_LINK1963"/>
      <w:bookmarkStart w:id="71" w:name="OLE_LINK1964"/>
      <w:bookmarkStart w:id="72" w:name="OLE_LINK2162"/>
      <w:bookmarkStart w:id="73" w:name="OLE_LINK2198"/>
      <w:bookmarkStart w:id="74" w:name="OLE_LINK2199"/>
      <w:bookmarkStart w:id="75" w:name="OLE_LINK2200"/>
      <w:bookmarkStart w:id="76" w:name="OLE_LINK2090"/>
      <w:r w:rsidRPr="00FD22BB">
        <w:rPr>
          <w:rFonts w:ascii="Book Antiqua" w:eastAsia="Lucida Sans Unicode" w:hAnsi="Book Antiqua" w:cs="Arial"/>
          <w:b/>
          <w:noProof/>
          <w:color w:val="000000" w:themeColor="text1"/>
          <w:kern w:val="1"/>
          <w:sz w:val="24"/>
          <w:szCs w:val="24"/>
          <w:lang w:val="it-IT" w:eastAsia="hi-IN" w:bidi="hi-IN"/>
        </w:rPr>
        <w:t>P-Reviewer</w:t>
      </w:r>
      <w:r w:rsidRPr="00FD22BB">
        <w:rPr>
          <w:rFonts w:ascii="Book Antiqua" w:hAnsi="Book Antiqua" w:cs="Arial"/>
          <w:b/>
          <w:noProof/>
          <w:color w:val="000000" w:themeColor="text1"/>
          <w:kern w:val="1"/>
          <w:sz w:val="24"/>
          <w:szCs w:val="24"/>
          <w:lang w:val="it-IT" w:bidi="hi-IN"/>
        </w:rPr>
        <w:t>:</w:t>
      </w:r>
      <w:r w:rsidRPr="00FD22BB">
        <w:rPr>
          <w:rFonts w:ascii="Book Antiqua" w:hAnsi="Book Antiqua" w:cs="Arial"/>
          <w:noProof/>
          <w:color w:val="000000" w:themeColor="text1"/>
          <w:kern w:val="1"/>
          <w:sz w:val="24"/>
          <w:szCs w:val="24"/>
          <w:lang w:val="it-IT" w:bidi="hi-IN"/>
        </w:rPr>
        <w:t xml:space="preserve"> </w:t>
      </w:r>
      <w:r w:rsidRPr="00FD22BB">
        <w:rPr>
          <w:rFonts w:ascii="Book Antiqua" w:eastAsia="宋体" w:hAnsi="Book Antiqua" w:cs="Arial"/>
          <w:noProof/>
          <w:color w:val="000000" w:themeColor="text1"/>
          <w:kern w:val="1"/>
          <w:sz w:val="24"/>
          <w:szCs w:val="24"/>
          <w:lang w:val="it-IT" w:eastAsia="zh-CN" w:bidi="hi-IN"/>
        </w:rPr>
        <w:t xml:space="preserve">Silva </w:t>
      </w:r>
      <w:r>
        <w:rPr>
          <w:rFonts w:ascii="Book Antiqua" w:eastAsia="宋体" w:hAnsi="Book Antiqua" w:cs="Arial" w:hint="eastAsia"/>
          <w:noProof/>
          <w:color w:val="000000" w:themeColor="text1"/>
          <w:kern w:val="1"/>
          <w:sz w:val="24"/>
          <w:szCs w:val="24"/>
          <w:lang w:val="it-IT" w:eastAsia="zh-CN" w:bidi="hi-IN"/>
        </w:rPr>
        <w:t xml:space="preserve">LD, </w:t>
      </w:r>
      <w:r w:rsidRPr="00222F37">
        <w:rPr>
          <w:rFonts w:ascii="Book Antiqua" w:eastAsia="宋体" w:hAnsi="Book Antiqua" w:cs="Arial"/>
          <w:noProof/>
          <w:color w:val="000000" w:themeColor="text1"/>
          <w:kern w:val="1"/>
          <w:sz w:val="24"/>
          <w:szCs w:val="24"/>
          <w:lang w:val="it-IT" w:eastAsia="zh-CN" w:bidi="hi-IN"/>
        </w:rPr>
        <w:t>Loustaud-Ratti</w:t>
      </w:r>
      <w:r>
        <w:rPr>
          <w:rFonts w:ascii="Book Antiqua" w:eastAsia="宋体" w:hAnsi="Book Antiqua" w:cs="Arial" w:hint="eastAsia"/>
          <w:noProof/>
          <w:color w:val="000000" w:themeColor="text1"/>
          <w:kern w:val="1"/>
          <w:sz w:val="24"/>
          <w:szCs w:val="24"/>
          <w:lang w:val="it-IT" w:eastAsia="zh-CN" w:bidi="hi-IN"/>
        </w:rPr>
        <w:t xml:space="preserve"> V</w:t>
      </w:r>
      <w:r w:rsidRPr="00FD22BB">
        <w:rPr>
          <w:rFonts w:ascii="Book Antiqua" w:eastAsia="宋体" w:hAnsi="Book Antiqua" w:cs="Arial"/>
          <w:noProof/>
          <w:color w:val="000000" w:themeColor="text1"/>
          <w:kern w:val="1"/>
          <w:sz w:val="24"/>
          <w:szCs w:val="24"/>
          <w:lang w:val="it-IT" w:eastAsia="zh-CN" w:bidi="hi-IN"/>
        </w:rPr>
        <w:t xml:space="preserve"> </w:t>
      </w:r>
      <w:r w:rsidRPr="00FD22BB">
        <w:rPr>
          <w:rFonts w:ascii="Book Antiqua" w:eastAsia="Lucida Sans Unicode" w:hAnsi="Book Antiqua" w:cs="Mangal"/>
          <w:b/>
          <w:bCs/>
          <w:color w:val="000000" w:themeColor="text1"/>
          <w:kern w:val="1"/>
          <w:sz w:val="24"/>
          <w:szCs w:val="24"/>
          <w:lang w:val="it-IT" w:eastAsia="hi-IN" w:bidi="hi-IN"/>
        </w:rPr>
        <w:t>S-Editor</w:t>
      </w:r>
      <w:r w:rsidRPr="00FD22BB">
        <w:rPr>
          <w:rFonts w:ascii="Book Antiqua" w:hAnsi="Book Antiqua" w:cs="Mangal"/>
          <w:b/>
          <w:bCs/>
          <w:color w:val="000000" w:themeColor="text1"/>
          <w:kern w:val="1"/>
          <w:sz w:val="24"/>
          <w:szCs w:val="24"/>
          <w:lang w:val="it-IT" w:bidi="hi-IN"/>
        </w:rPr>
        <w:t>:</w:t>
      </w:r>
      <w:r w:rsidRPr="00FD22BB">
        <w:rPr>
          <w:rFonts w:ascii="Book Antiqua" w:eastAsia="Lucida Sans Unicode" w:hAnsi="Book Antiqua" w:cs="Mangal"/>
          <w:bCs/>
          <w:color w:val="000000" w:themeColor="text1"/>
          <w:kern w:val="1"/>
          <w:sz w:val="24"/>
          <w:szCs w:val="24"/>
          <w:lang w:val="it-IT" w:eastAsia="hi-IN" w:bidi="hi-IN"/>
        </w:rPr>
        <w:t xml:space="preserve"> </w:t>
      </w:r>
      <w:r w:rsidRPr="00FD22BB">
        <w:rPr>
          <w:rFonts w:ascii="Book Antiqua" w:hAnsi="Book Antiqua" w:cs="Mangal"/>
          <w:bCs/>
          <w:color w:val="000000" w:themeColor="text1"/>
          <w:kern w:val="1"/>
          <w:sz w:val="24"/>
          <w:szCs w:val="24"/>
          <w:lang w:val="it-IT" w:bidi="hi-IN"/>
        </w:rPr>
        <w:t>Dou Y</w:t>
      </w:r>
      <w:r w:rsidRPr="00FD22BB">
        <w:rPr>
          <w:rFonts w:ascii="Book Antiqua" w:eastAsia="Lucida Sans Unicode" w:hAnsi="Book Antiqua" w:cs="Mangal"/>
          <w:b/>
          <w:bCs/>
          <w:color w:val="000000" w:themeColor="text1"/>
          <w:kern w:val="1"/>
          <w:sz w:val="24"/>
          <w:szCs w:val="24"/>
          <w:lang w:val="it-IT" w:eastAsia="hi-IN" w:bidi="hi-IN"/>
        </w:rPr>
        <w:t xml:space="preserve"> L-Editor</w:t>
      </w:r>
      <w:r w:rsidRPr="00FD22BB">
        <w:rPr>
          <w:rFonts w:ascii="Book Antiqua" w:hAnsi="Book Antiqua" w:cs="Mangal"/>
          <w:b/>
          <w:bCs/>
          <w:color w:val="000000" w:themeColor="text1"/>
          <w:kern w:val="1"/>
          <w:sz w:val="24"/>
          <w:szCs w:val="24"/>
          <w:lang w:val="it-IT" w:bidi="hi-IN"/>
        </w:rPr>
        <w:t>:</w:t>
      </w:r>
      <w:r w:rsidRPr="00FD22BB">
        <w:rPr>
          <w:rFonts w:ascii="Book Antiqua" w:eastAsia="Lucida Sans Unicode" w:hAnsi="Book Antiqua" w:cs="Mangal"/>
          <w:b/>
          <w:bCs/>
          <w:color w:val="000000" w:themeColor="text1"/>
          <w:kern w:val="1"/>
          <w:sz w:val="24"/>
          <w:szCs w:val="24"/>
          <w:lang w:val="it-IT" w:eastAsia="hi-IN" w:bidi="hi-IN"/>
        </w:rPr>
        <w:t xml:space="preserve"> </w:t>
      </w:r>
      <w:r w:rsidR="002E77D0" w:rsidRPr="002E77D0">
        <w:rPr>
          <w:rFonts w:ascii="Book Antiqua" w:eastAsiaTheme="minorEastAsia" w:hAnsi="Book Antiqua" w:cs="Mangal" w:hint="eastAsia"/>
          <w:bCs/>
          <w:color w:val="000000" w:themeColor="text1"/>
          <w:kern w:val="1"/>
          <w:sz w:val="24"/>
          <w:szCs w:val="24"/>
          <w:lang w:val="it-IT" w:eastAsia="zh-CN" w:bidi="hi-IN"/>
        </w:rPr>
        <w:t>A</w:t>
      </w:r>
      <w:r w:rsidR="002E77D0">
        <w:rPr>
          <w:rFonts w:ascii="Book Antiqua" w:eastAsiaTheme="minorEastAsia" w:hAnsi="Book Antiqua" w:cs="Mangal" w:hint="eastAsia"/>
          <w:b/>
          <w:bCs/>
          <w:color w:val="000000" w:themeColor="text1"/>
          <w:kern w:val="1"/>
          <w:sz w:val="24"/>
          <w:szCs w:val="24"/>
          <w:lang w:val="it-IT" w:eastAsia="zh-CN" w:bidi="hi-IN"/>
        </w:rPr>
        <w:t xml:space="preserve"> </w:t>
      </w:r>
      <w:r w:rsidRPr="00FD22BB">
        <w:rPr>
          <w:rFonts w:ascii="Book Antiqua" w:eastAsia="Lucida Sans Unicode" w:hAnsi="Book Antiqua" w:cs="Mangal"/>
          <w:b/>
          <w:bCs/>
          <w:color w:val="000000" w:themeColor="text1"/>
          <w:kern w:val="1"/>
          <w:sz w:val="24"/>
          <w:szCs w:val="24"/>
          <w:lang w:val="it-IT" w:eastAsia="hi-IN" w:bidi="hi-IN"/>
        </w:rPr>
        <w:t>E-Editor</w:t>
      </w:r>
      <w:r w:rsidRPr="00FD22BB">
        <w:rPr>
          <w:rFonts w:ascii="Book Antiqua" w:hAnsi="Book Antiqua" w:cs="Mangal"/>
          <w:b/>
          <w:bCs/>
          <w:color w:val="000000" w:themeColor="text1"/>
          <w:kern w:val="1"/>
          <w:sz w:val="24"/>
          <w:szCs w:val="24"/>
          <w:lang w:val="it-IT" w:bidi="hi-IN"/>
        </w:rPr>
        <w:t>:</w:t>
      </w:r>
      <w:r w:rsidR="002E77D0">
        <w:rPr>
          <w:rFonts w:ascii="Book Antiqua" w:eastAsiaTheme="minorEastAsia" w:hAnsi="Book Antiqua" w:cs="Mangal" w:hint="eastAsia"/>
          <w:b/>
          <w:bCs/>
          <w:color w:val="000000" w:themeColor="text1"/>
          <w:kern w:val="1"/>
          <w:sz w:val="24"/>
          <w:szCs w:val="24"/>
          <w:lang w:val="it-IT" w:eastAsia="zh-CN" w:bidi="hi-IN"/>
        </w:rPr>
        <w:t xml:space="preserve"> </w:t>
      </w:r>
      <w:r w:rsidR="002E77D0" w:rsidRPr="002E77D0">
        <w:rPr>
          <w:rFonts w:ascii="Book Antiqua" w:eastAsiaTheme="minorEastAsia" w:hAnsi="Book Antiqua" w:cs="Mangal" w:hint="eastAsia"/>
          <w:bCs/>
          <w:color w:val="000000" w:themeColor="text1"/>
          <w:kern w:val="1"/>
          <w:sz w:val="24"/>
          <w:szCs w:val="24"/>
          <w:lang w:val="it-IT" w:eastAsia="zh-CN" w:bidi="hi-IN"/>
        </w:rPr>
        <w:t>Tan WW</w:t>
      </w:r>
      <w:bookmarkStart w:id="77" w:name="_GoBack"/>
      <w:bookmarkEnd w:id="77"/>
    </w:p>
    <w:p w14:paraId="0FAF098B" w14:textId="77777777" w:rsidR="00222F37" w:rsidRPr="00FD22BB" w:rsidRDefault="00222F37" w:rsidP="00222F37">
      <w:pPr>
        <w:suppressAutoHyphens/>
        <w:spacing w:after="0" w:line="360" w:lineRule="auto"/>
        <w:ind w:right="120"/>
        <w:jc w:val="both"/>
        <w:rPr>
          <w:rFonts w:ascii="Book Antiqua" w:hAnsi="Book Antiqua" w:cs="Mangal"/>
          <w:b/>
          <w:bCs/>
          <w:color w:val="000000" w:themeColor="text1"/>
          <w:kern w:val="1"/>
          <w:sz w:val="24"/>
          <w:szCs w:val="24"/>
          <w:lang w:val="it-IT" w:bidi="hi-IN"/>
        </w:rPr>
      </w:pPr>
    </w:p>
    <w:p w14:paraId="490DE28D" w14:textId="77777777" w:rsidR="00222F37" w:rsidRPr="00FD22BB" w:rsidRDefault="00222F37" w:rsidP="00222F37">
      <w:pPr>
        <w:shd w:val="clear" w:color="auto" w:fill="FFFFFF"/>
        <w:snapToGrid w:val="0"/>
        <w:spacing w:after="0" w:line="360" w:lineRule="auto"/>
        <w:jc w:val="both"/>
        <w:rPr>
          <w:rFonts w:ascii="Book Antiqua" w:hAnsi="Book Antiqua" w:cs="Helvetica"/>
          <w:b/>
          <w:color w:val="000000" w:themeColor="text1"/>
          <w:sz w:val="24"/>
          <w:szCs w:val="24"/>
        </w:rPr>
      </w:pPr>
      <w:r w:rsidRPr="00FD22BB">
        <w:rPr>
          <w:rFonts w:ascii="Book Antiqua" w:hAnsi="Book Antiqua" w:cs="Helvetica"/>
          <w:b/>
          <w:color w:val="000000" w:themeColor="text1"/>
          <w:sz w:val="24"/>
          <w:szCs w:val="24"/>
        </w:rPr>
        <w:t xml:space="preserve">Specialty type: </w:t>
      </w:r>
      <w:r w:rsidRPr="00FD22BB">
        <w:rPr>
          <w:rFonts w:ascii="Book Antiqua" w:eastAsia="微软雅黑" w:hAnsi="Book Antiqua" w:cs="宋体"/>
          <w:sz w:val="24"/>
          <w:szCs w:val="24"/>
        </w:rPr>
        <w:t>Gastroenterology and hepatology</w:t>
      </w:r>
    </w:p>
    <w:p w14:paraId="34B918E2" w14:textId="65A1AFDF" w:rsidR="00222F37" w:rsidRPr="00FD22BB" w:rsidRDefault="00222F37" w:rsidP="00222F37">
      <w:pPr>
        <w:shd w:val="clear" w:color="auto" w:fill="FFFFFF"/>
        <w:snapToGrid w:val="0"/>
        <w:spacing w:after="0" w:line="360" w:lineRule="auto"/>
        <w:jc w:val="both"/>
        <w:rPr>
          <w:rFonts w:ascii="Book Antiqua" w:hAnsi="Book Antiqua" w:cs="Helvetica"/>
          <w:b/>
          <w:color w:val="000000" w:themeColor="text1"/>
          <w:sz w:val="24"/>
          <w:szCs w:val="24"/>
        </w:rPr>
      </w:pPr>
      <w:r w:rsidRPr="00FD22BB">
        <w:rPr>
          <w:rFonts w:ascii="Book Antiqua" w:hAnsi="Book Antiqua" w:cs="Helvetica"/>
          <w:b/>
          <w:color w:val="000000" w:themeColor="text1"/>
          <w:sz w:val="24"/>
          <w:szCs w:val="24"/>
        </w:rPr>
        <w:t xml:space="preserve">Country of origin: </w:t>
      </w:r>
      <w:r w:rsidRPr="00222F37">
        <w:rPr>
          <w:rFonts w:ascii="Book Antiqua" w:hAnsi="Book Antiqua" w:cs="Helvetica"/>
          <w:color w:val="000000" w:themeColor="text1"/>
          <w:sz w:val="24"/>
          <w:szCs w:val="24"/>
        </w:rPr>
        <w:t>United States</w:t>
      </w:r>
    </w:p>
    <w:p w14:paraId="3BFC71E4" w14:textId="77777777" w:rsidR="00222F37" w:rsidRPr="00FD22BB" w:rsidRDefault="00222F37" w:rsidP="00222F37">
      <w:pPr>
        <w:shd w:val="clear" w:color="auto" w:fill="FFFFFF"/>
        <w:snapToGrid w:val="0"/>
        <w:spacing w:after="0" w:line="360" w:lineRule="auto"/>
        <w:jc w:val="both"/>
        <w:rPr>
          <w:rFonts w:ascii="Book Antiqua" w:hAnsi="Book Antiqua" w:cs="Helvetica"/>
          <w:b/>
          <w:color w:val="000000" w:themeColor="text1"/>
          <w:sz w:val="24"/>
          <w:szCs w:val="24"/>
        </w:rPr>
      </w:pPr>
      <w:r w:rsidRPr="00FD22BB">
        <w:rPr>
          <w:rFonts w:ascii="Book Antiqua" w:hAnsi="Book Antiqua" w:cs="Helvetica"/>
          <w:b/>
          <w:color w:val="000000" w:themeColor="text1"/>
          <w:sz w:val="24"/>
          <w:szCs w:val="24"/>
        </w:rPr>
        <w:t>Peer-review report classification</w:t>
      </w:r>
    </w:p>
    <w:p w14:paraId="5EA9FEDC" w14:textId="77777777" w:rsidR="00222F37" w:rsidRPr="00FD22BB" w:rsidRDefault="00222F37" w:rsidP="00222F37">
      <w:pPr>
        <w:shd w:val="clear" w:color="auto" w:fill="FFFFFF"/>
        <w:snapToGrid w:val="0"/>
        <w:spacing w:after="0" w:line="360" w:lineRule="auto"/>
        <w:jc w:val="both"/>
        <w:rPr>
          <w:rFonts w:ascii="Book Antiqua" w:hAnsi="Book Antiqua" w:cs="Helvetica"/>
          <w:color w:val="000000" w:themeColor="text1"/>
          <w:sz w:val="24"/>
          <w:szCs w:val="24"/>
        </w:rPr>
      </w:pPr>
      <w:r w:rsidRPr="00FD22BB">
        <w:rPr>
          <w:rFonts w:ascii="Book Antiqua" w:hAnsi="Book Antiqua" w:cs="Helvetica"/>
          <w:color w:val="000000" w:themeColor="text1"/>
          <w:sz w:val="24"/>
          <w:szCs w:val="24"/>
        </w:rPr>
        <w:t>Grade A (Excellent): 0</w:t>
      </w:r>
    </w:p>
    <w:p w14:paraId="3AA31F41" w14:textId="77777777" w:rsidR="00222F37" w:rsidRPr="00FD22BB" w:rsidRDefault="00222F37" w:rsidP="00222F37">
      <w:pPr>
        <w:shd w:val="clear" w:color="auto" w:fill="FFFFFF"/>
        <w:snapToGrid w:val="0"/>
        <w:spacing w:after="0" w:line="360" w:lineRule="auto"/>
        <w:jc w:val="both"/>
        <w:rPr>
          <w:rFonts w:ascii="Book Antiqua" w:hAnsi="Book Antiqua" w:cs="Helvetica"/>
          <w:color w:val="000000" w:themeColor="text1"/>
          <w:sz w:val="24"/>
          <w:szCs w:val="24"/>
        </w:rPr>
      </w:pPr>
      <w:r w:rsidRPr="00FD22BB">
        <w:rPr>
          <w:rFonts w:ascii="Book Antiqua" w:hAnsi="Book Antiqua" w:cs="Helvetica"/>
          <w:color w:val="000000" w:themeColor="text1"/>
          <w:sz w:val="24"/>
          <w:szCs w:val="24"/>
        </w:rPr>
        <w:t xml:space="preserve">Grade B (Very good): </w:t>
      </w:r>
      <w:r w:rsidRPr="00FD22BB">
        <w:rPr>
          <w:rFonts w:ascii="Book Antiqua" w:eastAsia="宋体" w:hAnsi="Book Antiqua" w:cs="Helvetica"/>
          <w:color w:val="000000" w:themeColor="text1"/>
          <w:sz w:val="24"/>
          <w:szCs w:val="24"/>
          <w:lang w:eastAsia="zh-CN"/>
        </w:rPr>
        <w:t>0</w:t>
      </w:r>
    </w:p>
    <w:p w14:paraId="1EF2D895" w14:textId="77777777" w:rsidR="00222F37" w:rsidRPr="00FD22BB" w:rsidRDefault="00222F37" w:rsidP="00222F37">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FD22BB">
        <w:rPr>
          <w:rFonts w:ascii="Book Antiqua" w:hAnsi="Book Antiqua" w:cs="Helvetica"/>
          <w:color w:val="000000" w:themeColor="text1"/>
          <w:sz w:val="24"/>
          <w:szCs w:val="24"/>
        </w:rPr>
        <w:t>Grade C (Good):</w:t>
      </w:r>
      <w:r w:rsidRPr="00FD22BB">
        <w:rPr>
          <w:rFonts w:ascii="Book Antiqua" w:eastAsia="宋体" w:hAnsi="Book Antiqua" w:cs="Helvetica"/>
          <w:color w:val="000000" w:themeColor="text1"/>
          <w:sz w:val="24"/>
          <w:szCs w:val="24"/>
          <w:lang w:eastAsia="zh-CN"/>
        </w:rPr>
        <w:t xml:space="preserve"> C</w:t>
      </w:r>
    </w:p>
    <w:p w14:paraId="656B890B" w14:textId="21F7731A" w:rsidR="00222F37" w:rsidRPr="00FD22BB" w:rsidRDefault="00222F37" w:rsidP="00222F37">
      <w:pPr>
        <w:shd w:val="clear" w:color="auto" w:fill="FFFFFF"/>
        <w:snapToGrid w:val="0"/>
        <w:spacing w:after="0" w:line="360" w:lineRule="auto"/>
        <w:jc w:val="both"/>
        <w:rPr>
          <w:rFonts w:ascii="Book Antiqua" w:eastAsia="宋体" w:hAnsi="Book Antiqua" w:cs="Helvetica"/>
          <w:color w:val="000000" w:themeColor="text1"/>
          <w:sz w:val="24"/>
          <w:szCs w:val="24"/>
          <w:lang w:eastAsia="zh-CN"/>
        </w:rPr>
      </w:pPr>
      <w:r w:rsidRPr="00FD22BB">
        <w:rPr>
          <w:rFonts w:ascii="Book Antiqua" w:hAnsi="Book Antiqua" w:cs="Helvetica"/>
          <w:color w:val="000000" w:themeColor="text1"/>
          <w:sz w:val="24"/>
          <w:szCs w:val="24"/>
        </w:rPr>
        <w:t xml:space="preserve">Grade D (Fair): </w:t>
      </w:r>
      <w:bookmarkEnd w:id="17"/>
      <w:bookmarkEnd w:id="18"/>
      <w:r w:rsidRPr="00FD22BB">
        <w:rPr>
          <w:rFonts w:ascii="Book Antiqua" w:eastAsia="宋体" w:hAnsi="Book Antiqua" w:cs="Helvetica"/>
          <w:color w:val="000000" w:themeColor="text1"/>
          <w:sz w:val="24"/>
          <w:szCs w:val="24"/>
          <w:lang w:eastAsia="zh-CN"/>
        </w:rPr>
        <w:t>D</w:t>
      </w:r>
    </w:p>
    <w:p w14:paraId="69755EAF" w14:textId="77777777" w:rsidR="00222F37" w:rsidRPr="00FD22BB" w:rsidRDefault="00222F37" w:rsidP="00222F37">
      <w:pPr>
        <w:shd w:val="clear" w:color="auto" w:fill="FFFFFF"/>
        <w:snapToGrid w:val="0"/>
        <w:spacing w:after="0" w:line="360" w:lineRule="auto"/>
        <w:jc w:val="both"/>
        <w:rPr>
          <w:rFonts w:ascii="Book Antiqua" w:hAnsi="Book Antiqua" w:cs="Helvetica"/>
          <w:color w:val="000000" w:themeColor="text1"/>
          <w:sz w:val="24"/>
          <w:szCs w:val="24"/>
        </w:rPr>
      </w:pPr>
      <w:r w:rsidRPr="00FD22BB">
        <w:rPr>
          <w:rFonts w:ascii="Book Antiqua" w:hAnsi="Book Antiqua" w:cs="Helvetica"/>
          <w:color w:val="000000" w:themeColor="text1"/>
          <w:sz w:val="24"/>
          <w:szCs w:val="24"/>
        </w:rPr>
        <w:t xml:space="preserve">Grade E (Poor): </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FD22BB">
        <w:rPr>
          <w:rFonts w:ascii="Book Antiqua" w:hAnsi="Book Antiqua" w:cs="Helvetica"/>
          <w:color w:val="000000" w:themeColor="text1"/>
          <w:sz w:val="24"/>
          <w:szCs w:val="24"/>
        </w:rPr>
        <w:t>0</w:t>
      </w:r>
    </w:p>
    <w:p w14:paraId="3556F218" w14:textId="20334ABB" w:rsidR="00E27D0C" w:rsidRPr="00222F37" w:rsidRDefault="00E27D0C" w:rsidP="00E10230">
      <w:pPr>
        <w:widowControl w:val="0"/>
        <w:autoSpaceDE w:val="0"/>
        <w:autoSpaceDN w:val="0"/>
        <w:adjustRightInd w:val="0"/>
        <w:spacing w:after="0" w:line="360" w:lineRule="auto"/>
        <w:jc w:val="both"/>
        <w:rPr>
          <w:rFonts w:ascii="Book Antiqua" w:hAnsi="Book Antiqua" w:cs="Arial"/>
          <w:noProof/>
          <w:sz w:val="24"/>
          <w:szCs w:val="24"/>
        </w:rPr>
      </w:pPr>
    </w:p>
    <w:p w14:paraId="6392422E" w14:textId="45885783" w:rsidR="000207F2" w:rsidRPr="00E10230" w:rsidRDefault="00DC6490" w:rsidP="00E10230">
      <w:pPr>
        <w:tabs>
          <w:tab w:val="left" w:pos="3090"/>
        </w:tabs>
        <w:spacing w:after="0" w:line="360" w:lineRule="auto"/>
        <w:jc w:val="both"/>
        <w:rPr>
          <w:rFonts w:ascii="Book Antiqua" w:hAnsi="Book Antiqua" w:cs="Arial"/>
          <w:b/>
          <w:sz w:val="24"/>
          <w:szCs w:val="24"/>
        </w:rPr>
      </w:pPr>
      <w:r w:rsidRPr="00E10230">
        <w:rPr>
          <w:rFonts w:ascii="Book Antiqua" w:hAnsi="Book Antiqua"/>
          <w:sz w:val="24"/>
          <w:szCs w:val="24"/>
        </w:rPr>
        <w:br w:type="page"/>
      </w:r>
      <w:r w:rsidR="00854DBE">
        <w:rPr>
          <w:rFonts w:ascii="Book Antiqua" w:hAnsi="Book Antiqua" w:cs="Arial"/>
          <w:b/>
          <w:noProof/>
          <w:sz w:val="24"/>
          <w:szCs w:val="24"/>
          <w:lang w:eastAsia="zh-CN"/>
        </w:rPr>
        <w:lastRenderedPageBreak/>
        <w:drawing>
          <wp:inline distT="0" distB="0" distL="0" distR="0" wp14:anchorId="1A922844" wp14:editId="16E9FA46">
            <wp:extent cx="5943600" cy="334327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713-Image-File-revision_011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7D01D924" w14:textId="61E19DA9" w:rsidR="00B14942" w:rsidRPr="001A46E6" w:rsidRDefault="00DC6490" w:rsidP="00E10230">
      <w:pPr>
        <w:tabs>
          <w:tab w:val="left" w:pos="3090"/>
        </w:tabs>
        <w:spacing w:after="0" w:line="360" w:lineRule="auto"/>
        <w:jc w:val="both"/>
        <w:rPr>
          <w:rFonts w:ascii="Book Antiqua" w:eastAsiaTheme="minorEastAsia" w:hAnsi="Book Antiqua" w:cs="Arial"/>
          <w:sz w:val="24"/>
          <w:szCs w:val="24"/>
          <w:lang w:eastAsia="zh-CN"/>
        </w:rPr>
      </w:pPr>
      <w:r w:rsidRPr="00E10230">
        <w:rPr>
          <w:rFonts w:ascii="Book Antiqua" w:hAnsi="Book Antiqua" w:cs="Arial"/>
          <w:b/>
          <w:sz w:val="24"/>
          <w:szCs w:val="24"/>
        </w:rPr>
        <w:t>Figure 1 10-year temporal trends of discharges.</w:t>
      </w:r>
      <w:r w:rsidRPr="00E10230">
        <w:rPr>
          <w:rFonts w:ascii="Book Antiqua" w:hAnsi="Book Antiqua" w:cs="Arial"/>
          <w:sz w:val="24"/>
          <w:szCs w:val="24"/>
        </w:rPr>
        <w:t xml:space="preserve"> </w:t>
      </w:r>
      <w:r w:rsidR="00854DBE">
        <w:rPr>
          <w:rFonts w:ascii="Book Antiqua" w:eastAsiaTheme="minorEastAsia" w:hAnsi="Book Antiqua" w:cs="Arial" w:hint="eastAsia"/>
          <w:sz w:val="24"/>
          <w:szCs w:val="24"/>
          <w:lang w:eastAsia="zh-CN"/>
        </w:rPr>
        <w:t xml:space="preserve">A: </w:t>
      </w:r>
      <w:r w:rsidRPr="00E10230">
        <w:rPr>
          <w:rFonts w:ascii="Book Antiqua" w:hAnsi="Book Antiqua" w:cs="Arial"/>
          <w:sz w:val="24"/>
          <w:szCs w:val="24"/>
        </w:rPr>
        <w:t>Percent changes of discharge numbers compare to 2005</w:t>
      </w:r>
      <w:r w:rsidR="001A46E6">
        <w:rPr>
          <w:rFonts w:ascii="Book Antiqua" w:eastAsiaTheme="minorEastAsia" w:hAnsi="Book Antiqua" w:cs="Arial" w:hint="eastAsia"/>
          <w:sz w:val="24"/>
          <w:szCs w:val="24"/>
          <w:lang w:eastAsia="zh-CN"/>
        </w:rPr>
        <w:t>;</w:t>
      </w:r>
      <w:r w:rsidRPr="00E10230">
        <w:rPr>
          <w:rFonts w:ascii="Book Antiqua" w:hAnsi="Book Antiqua" w:cs="Arial"/>
          <w:sz w:val="24"/>
          <w:szCs w:val="24"/>
        </w:rPr>
        <w:t xml:space="preserve"> </w:t>
      </w:r>
      <w:r w:rsidR="001A46E6">
        <w:rPr>
          <w:rFonts w:ascii="Book Antiqua" w:eastAsiaTheme="minorEastAsia" w:hAnsi="Book Antiqua" w:cs="Arial" w:hint="eastAsia"/>
          <w:sz w:val="24"/>
          <w:szCs w:val="24"/>
          <w:lang w:eastAsia="zh-CN"/>
        </w:rPr>
        <w:t xml:space="preserve">B: </w:t>
      </w:r>
      <w:r w:rsidR="001A46E6" w:rsidRPr="00E10230">
        <w:rPr>
          <w:rFonts w:ascii="Book Antiqua" w:hAnsi="Book Antiqua" w:cs="Arial"/>
          <w:sz w:val="24"/>
          <w:szCs w:val="24"/>
        </w:rPr>
        <w:t>Percent changes of discharge numbers compare to 2005</w:t>
      </w:r>
      <w:r w:rsidRPr="00E10230">
        <w:rPr>
          <w:rFonts w:ascii="Book Antiqua" w:hAnsi="Book Antiqua" w:cs="Arial"/>
          <w:sz w:val="24"/>
          <w:szCs w:val="24"/>
        </w:rPr>
        <w:t xml:space="preserve"> without SBP</w:t>
      </w:r>
      <w:r w:rsidR="001A46E6">
        <w:rPr>
          <w:rFonts w:ascii="Book Antiqua" w:eastAsiaTheme="minorEastAsia" w:hAnsi="Book Antiqua" w:cs="Arial" w:hint="eastAsia"/>
          <w:sz w:val="24"/>
          <w:szCs w:val="24"/>
          <w:lang w:eastAsia="zh-CN"/>
        </w:rPr>
        <w:t>;</w:t>
      </w:r>
      <w:r w:rsidRPr="00E10230">
        <w:rPr>
          <w:rFonts w:ascii="Book Antiqua" w:hAnsi="Book Antiqua" w:cs="Arial"/>
          <w:sz w:val="24"/>
          <w:szCs w:val="24"/>
        </w:rPr>
        <w:t xml:space="preserve"> </w:t>
      </w:r>
      <w:r w:rsidR="001A46E6">
        <w:rPr>
          <w:rFonts w:ascii="Book Antiqua" w:eastAsiaTheme="minorEastAsia" w:hAnsi="Book Antiqua" w:cs="Arial" w:hint="eastAsia"/>
          <w:sz w:val="24"/>
          <w:szCs w:val="24"/>
          <w:lang w:eastAsia="zh-CN"/>
        </w:rPr>
        <w:t xml:space="preserve">C: </w:t>
      </w:r>
      <w:r w:rsidRPr="00E10230">
        <w:rPr>
          <w:rFonts w:ascii="Book Antiqua" w:hAnsi="Book Antiqua" w:cs="Arial"/>
          <w:sz w:val="24"/>
          <w:szCs w:val="24"/>
        </w:rPr>
        <w:t xml:space="preserve">Discharge volume for cirrhosis associated conditions. </w:t>
      </w:r>
      <w:r w:rsidR="00CA7F26" w:rsidRPr="00E10230">
        <w:rPr>
          <w:rFonts w:ascii="Book Antiqua" w:hAnsi="Book Antiqua" w:cs="Arial"/>
          <w:sz w:val="24"/>
          <w:szCs w:val="24"/>
        </w:rPr>
        <w:t>From 2005 to 2014, the primary diagnosis of four cirrhosis related pathologies were all trending up except TIPS</w:t>
      </w:r>
      <w:r w:rsidR="00E10230">
        <w:rPr>
          <w:rFonts w:ascii="Book Antiqua" w:hAnsi="Book Antiqua" w:cs="Arial"/>
          <w:sz w:val="24"/>
          <w:szCs w:val="24"/>
        </w:rPr>
        <w:t>.</w:t>
      </w:r>
      <w:r w:rsidR="001A46E6">
        <w:rPr>
          <w:rFonts w:ascii="Book Antiqua" w:eastAsiaTheme="minorEastAsia" w:hAnsi="Book Antiqua" w:cs="Arial" w:hint="eastAsia"/>
          <w:sz w:val="24"/>
          <w:szCs w:val="24"/>
          <w:lang w:eastAsia="zh-CN"/>
        </w:rPr>
        <w:t xml:space="preserve"> EV:</w:t>
      </w:r>
      <w:r w:rsidR="001A46E6" w:rsidRPr="001A46E6">
        <w:rPr>
          <w:rFonts w:ascii="Book Antiqua" w:hAnsi="Book Antiqua" w:cs="Arial"/>
          <w:sz w:val="24"/>
          <w:szCs w:val="24"/>
        </w:rPr>
        <w:t xml:space="preserve"> </w:t>
      </w:r>
      <w:r w:rsidR="001A46E6" w:rsidRPr="00E10230">
        <w:rPr>
          <w:rFonts w:ascii="Book Antiqua" w:hAnsi="Book Antiqua" w:cs="Arial"/>
          <w:sz w:val="24"/>
          <w:szCs w:val="24"/>
        </w:rPr>
        <w:t>Esophageal varices with bleeding</w:t>
      </w:r>
      <w:r w:rsidR="001A46E6">
        <w:rPr>
          <w:rFonts w:ascii="Book Antiqua" w:eastAsiaTheme="minorEastAsia" w:hAnsi="Book Antiqua" w:cs="Arial" w:hint="eastAsia"/>
          <w:sz w:val="24"/>
          <w:szCs w:val="24"/>
          <w:lang w:eastAsia="zh-CN"/>
        </w:rPr>
        <w:t>; HC:</w:t>
      </w:r>
      <w:r w:rsidR="001A46E6" w:rsidRPr="001A46E6">
        <w:rPr>
          <w:rFonts w:ascii="Book Antiqua" w:hAnsi="Book Antiqua" w:cs="Arial"/>
          <w:sz w:val="24"/>
          <w:szCs w:val="24"/>
        </w:rPr>
        <w:t xml:space="preserve"> </w:t>
      </w:r>
      <w:r w:rsidR="001A46E6" w:rsidRPr="00E10230">
        <w:rPr>
          <w:rFonts w:ascii="Book Antiqua" w:hAnsi="Book Antiqua" w:cs="Arial"/>
          <w:sz w:val="24"/>
          <w:szCs w:val="24"/>
        </w:rPr>
        <w:t>Hepatic encephalopathy/coma</w:t>
      </w:r>
      <w:r w:rsidR="001A46E6">
        <w:rPr>
          <w:rFonts w:ascii="Book Antiqua" w:eastAsiaTheme="minorEastAsia" w:hAnsi="Book Antiqua" w:cs="Arial" w:hint="eastAsia"/>
          <w:sz w:val="24"/>
          <w:szCs w:val="24"/>
          <w:lang w:eastAsia="zh-CN"/>
        </w:rPr>
        <w:t xml:space="preserve">; TIPS: </w:t>
      </w:r>
      <w:r w:rsidR="001A46E6" w:rsidRPr="00E10230">
        <w:rPr>
          <w:rFonts w:ascii="Book Antiqua" w:hAnsi="Book Antiqua" w:cs="Arial"/>
          <w:sz w:val="24"/>
          <w:szCs w:val="24"/>
        </w:rPr>
        <w:t>Transjugular intrahepatic portosystemic shunt</w:t>
      </w:r>
      <w:r w:rsidR="001A46E6">
        <w:rPr>
          <w:rFonts w:ascii="Book Antiqua" w:eastAsiaTheme="minorEastAsia" w:hAnsi="Book Antiqua" w:cs="Arial" w:hint="eastAsia"/>
          <w:sz w:val="24"/>
          <w:szCs w:val="24"/>
          <w:lang w:eastAsia="zh-CN"/>
        </w:rPr>
        <w:t xml:space="preserve">; SBP: </w:t>
      </w:r>
      <w:r w:rsidR="00B77439" w:rsidRPr="00E10230">
        <w:rPr>
          <w:rFonts w:ascii="Book Antiqua" w:hAnsi="Book Antiqua" w:cs="Arial"/>
          <w:sz w:val="24"/>
          <w:szCs w:val="24"/>
        </w:rPr>
        <w:t xml:space="preserve">Spontaneous </w:t>
      </w:r>
      <w:r w:rsidR="001A46E6" w:rsidRPr="00E10230">
        <w:rPr>
          <w:rFonts w:ascii="Book Antiqua" w:hAnsi="Book Antiqua" w:cs="Arial"/>
          <w:sz w:val="24"/>
          <w:szCs w:val="24"/>
        </w:rPr>
        <w:t>bacterial peritonitis</w:t>
      </w:r>
      <w:r w:rsidR="001A46E6">
        <w:rPr>
          <w:rFonts w:ascii="Book Antiqua" w:eastAsiaTheme="minorEastAsia" w:hAnsi="Book Antiqua" w:cs="Arial" w:hint="eastAsia"/>
          <w:sz w:val="24"/>
          <w:szCs w:val="24"/>
          <w:lang w:eastAsia="zh-CN"/>
        </w:rPr>
        <w:t>.</w:t>
      </w:r>
    </w:p>
    <w:p w14:paraId="4AF432A3" w14:textId="77777777" w:rsidR="00B14942" w:rsidRPr="00E10230" w:rsidRDefault="00B14942" w:rsidP="00E10230">
      <w:pPr>
        <w:tabs>
          <w:tab w:val="left" w:pos="3090"/>
        </w:tabs>
        <w:spacing w:after="0" w:line="360" w:lineRule="auto"/>
        <w:jc w:val="both"/>
        <w:rPr>
          <w:rFonts w:ascii="Book Antiqua" w:hAnsi="Book Antiqua" w:cs="Arial"/>
          <w:sz w:val="24"/>
          <w:szCs w:val="24"/>
        </w:rPr>
      </w:pPr>
    </w:p>
    <w:p w14:paraId="15477B19" w14:textId="008E8C4D" w:rsidR="000207F2" w:rsidRPr="00E10230" w:rsidRDefault="00B14942" w:rsidP="00E10230">
      <w:pPr>
        <w:widowControl w:val="0"/>
        <w:autoSpaceDE w:val="0"/>
        <w:autoSpaceDN w:val="0"/>
        <w:adjustRightInd w:val="0"/>
        <w:spacing w:after="0" w:line="360" w:lineRule="auto"/>
        <w:jc w:val="both"/>
        <w:rPr>
          <w:rFonts w:ascii="Book Antiqua" w:hAnsi="Book Antiqua" w:cs="Arial"/>
          <w:sz w:val="24"/>
          <w:szCs w:val="24"/>
        </w:rPr>
      </w:pPr>
      <w:r w:rsidRPr="00E10230">
        <w:rPr>
          <w:rFonts w:ascii="Book Antiqua" w:hAnsi="Book Antiqua" w:cs="Arial"/>
          <w:b/>
          <w:sz w:val="24"/>
          <w:szCs w:val="24"/>
        </w:rPr>
        <w:br w:type="page"/>
      </w:r>
      <w:r w:rsidR="001A46E6">
        <w:rPr>
          <w:rFonts w:ascii="Book Antiqua" w:hAnsi="Book Antiqua" w:cs="Arial"/>
          <w:noProof/>
          <w:sz w:val="24"/>
          <w:szCs w:val="24"/>
          <w:lang w:eastAsia="zh-CN"/>
        </w:rPr>
        <w:lastRenderedPageBreak/>
        <w:drawing>
          <wp:inline distT="0" distB="0" distL="0" distR="0" wp14:anchorId="77A91C25" wp14:editId="4F795708">
            <wp:extent cx="5943600" cy="334327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713-Image-File-revision.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21615C1F" w14:textId="4B7308DA" w:rsidR="00B14942" w:rsidRPr="001A46E6" w:rsidRDefault="00DC6490" w:rsidP="001A46E6">
      <w:pPr>
        <w:tabs>
          <w:tab w:val="left" w:pos="3090"/>
        </w:tabs>
        <w:spacing w:after="0" w:line="360" w:lineRule="auto"/>
        <w:jc w:val="both"/>
        <w:rPr>
          <w:rFonts w:ascii="Book Antiqua" w:eastAsiaTheme="minorEastAsia" w:hAnsi="Book Antiqua" w:cs="Arial"/>
          <w:sz w:val="24"/>
          <w:szCs w:val="24"/>
          <w:lang w:eastAsia="zh-CN"/>
        </w:rPr>
      </w:pPr>
      <w:r w:rsidRPr="00E10230">
        <w:rPr>
          <w:rFonts w:ascii="Book Antiqua" w:hAnsi="Book Antiqua" w:cs="Arial"/>
          <w:b/>
          <w:sz w:val="24"/>
          <w:szCs w:val="24"/>
        </w:rPr>
        <w:t>Figure 2 10-year temporal trends of mortality rates.</w:t>
      </w:r>
      <w:r w:rsidR="000938F4" w:rsidRPr="00E10230">
        <w:rPr>
          <w:rFonts w:ascii="Book Antiqua" w:hAnsi="Book Antiqua" w:cs="Arial"/>
          <w:b/>
          <w:sz w:val="24"/>
          <w:szCs w:val="24"/>
        </w:rPr>
        <w:t xml:space="preserve"> </w:t>
      </w:r>
      <w:r w:rsidR="000938F4" w:rsidRPr="00E10230">
        <w:rPr>
          <w:rFonts w:ascii="Book Antiqua" w:hAnsi="Book Antiqua" w:cs="Arial"/>
          <w:sz w:val="24"/>
          <w:szCs w:val="24"/>
        </w:rPr>
        <w:t xml:space="preserve">In-hospital mortality rates for each condition significantly decreased from 2005 to 2014 except for </w:t>
      </w:r>
      <w:r w:rsidR="001A46E6" w:rsidRPr="00E10230">
        <w:rPr>
          <w:rFonts w:ascii="Book Antiqua" w:hAnsi="Book Antiqua" w:cs="Arial"/>
          <w:sz w:val="24"/>
          <w:szCs w:val="24"/>
        </w:rPr>
        <w:t>esophageal varices with bleeding</w:t>
      </w:r>
      <w:r w:rsidR="000938F4" w:rsidRPr="00E10230">
        <w:rPr>
          <w:rFonts w:ascii="Book Antiqua" w:hAnsi="Book Antiqua" w:cs="Arial"/>
          <w:sz w:val="24"/>
          <w:szCs w:val="24"/>
        </w:rPr>
        <w:t>.</w:t>
      </w:r>
      <w:r w:rsidR="001A46E6" w:rsidRPr="001A46E6">
        <w:rPr>
          <w:rFonts w:ascii="Book Antiqua" w:eastAsiaTheme="minorEastAsia" w:hAnsi="Book Antiqua" w:cs="Arial" w:hint="eastAsia"/>
          <w:sz w:val="24"/>
          <w:szCs w:val="24"/>
          <w:lang w:eastAsia="zh-CN"/>
        </w:rPr>
        <w:t xml:space="preserve"> </w:t>
      </w:r>
      <w:r w:rsidR="001A46E6">
        <w:rPr>
          <w:rFonts w:ascii="Book Antiqua" w:eastAsiaTheme="minorEastAsia" w:hAnsi="Book Antiqua" w:cs="Arial" w:hint="eastAsia"/>
          <w:sz w:val="24"/>
          <w:szCs w:val="24"/>
          <w:lang w:eastAsia="zh-CN"/>
        </w:rPr>
        <w:t>EV:</w:t>
      </w:r>
      <w:r w:rsidR="001A46E6" w:rsidRPr="001A46E6">
        <w:rPr>
          <w:rFonts w:ascii="Book Antiqua" w:hAnsi="Book Antiqua" w:cs="Arial"/>
          <w:sz w:val="24"/>
          <w:szCs w:val="24"/>
        </w:rPr>
        <w:t xml:space="preserve"> </w:t>
      </w:r>
      <w:r w:rsidR="001A46E6" w:rsidRPr="00E10230">
        <w:rPr>
          <w:rFonts w:ascii="Book Antiqua" w:hAnsi="Book Antiqua" w:cs="Arial"/>
          <w:sz w:val="24"/>
          <w:szCs w:val="24"/>
        </w:rPr>
        <w:t>Esophageal varices with bleeding</w:t>
      </w:r>
      <w:r w:rsidR="001A46E6">
        <w:rPr>
          <w:rFonts w:ascii="Book Antiqua" w:eastAsiaTheme="minorEastAsia" w:hAnsi="Book Antiqua" w:cs="Arial" w:hint="eastAsia"/>
          <w:sz w:val="24"/>
          <w:szCs w:val="24"/>
          <w:lang w:eastAsia="zh-CN"/>
        </w:rPr>
        <w:t>; HC:</w:t>
      </w:r>
      <w:r w:rsidR="001A46E6" w:rsidRPr="001A46E6">
        <w:rPr>
          <w:rFonts w:ascii="Book Antiqua" w:hAnsi="Book Antiqua" w:cs="Arial"/>
          <w:sz w:val="24"/>
          <w:szCs w:val="24"/>
        </w:rPr>
        <w:t xml:space="preserve"> </w:t>
      </w:r>
      <w:r w:rsidR="001A46E6" w:rsidRPr="00E10230">
        <w:rPr>
          <w:rFonts w:ascii="Book Antiqua" w:hAnsi="Book Antiqua" w:cs="Arial"/>
          <w:sz w:val="24"/>
          <w:szCs w:val="24"/>
        </w:rPr>
        <w:t>Hepatic encephalopathy/coma</w:t>
      </w:r>
      <w:r w:rsidR="001A46E6">
        <w:rPr>
          <w:rFonts w:ascii="Book Antiqua" w:eastAsiaTheme="minorEastAsia" w:hAnsi="Book Antiqua" w:cs="Arial" w:hint="eastAsia"/>
          <w:sz w:val="24"/>
          <w:szCs w:val="24"/>
          <w:lang w:eastAsia="zh-CN"/>
        </w:rPr>
        <w:t xml:space="preserve">; TIPS: </w:t>
      </w:r>
      <w:r w:rsidR="001A46E6" w:rsidRPr="00E10230">
        <w:rPr>
          <w:rFonts w:ascii="Book Antiqua" w:hAnsi="Book Antiqua" w:cs="Arial"/>
          <w:sz w:val="24"/>
          <w:szCs w:val="24"/>
        </w:rPr>
        <w:t>Transjugular intrahepatic portosystemic shunt</w:t>
      </w:r>
      <w:r w:rsidR="001A46E6">
        <w:rPr>
          <w:rFonts w:ascii="Book Antiqua" w:eastAsiaTheme="minorEastAsia" w:hAnsi="Book Antiqua" w:cs="Arial" w:hint="eastAsia"/>
          <w:sz w:val="24"/>
          <w:szCs w:val="24"/>
          <w:lang w:eastAsia="zh-CN"/>
        </w:rPr>
        <w:t xml:space="preserve">; SBP: </w:t>
      </w:r>
      <w:r w:rsidR="00B77439" w:rsidRPr="00E10230">
        <w:rPr>
          <w:rFonts w:ascii="Book Antiqua" w:hAnsi="Book Antiqua" w:cs="Arial"/>
          <w:sz w:val="24"/>
          <w:szCs w:val="24"/>
        </w:rPr>
        <w:t xml:space="preserve">Spontaneous </w:t>
      </w:r>
      <w:r w:rsidR="001A46E6" w:rsidRPr="00E10230">
        <w:rPr>
          <w:rFonts w:ascii="Book Antiqua" w:hAnsi="Book Antiqua" w:cs="Arial"/>
          <w:sz w:val="24"/>
          <w:szCs w:val="24"/>
        </w:rPr>
        <w:t>bacterial peritonitis</w:t>
      </w:r>
      <w:r w:rsidR="001A46E6">
        <w:rPr>
          <w:rFonts w:ascii="Book Antiqua" w:eastAsiaTheme="minorEastAsia" w:hAnsi="Book Antiqua" w:cs="Arial" w:hint="eastAsia"/>
          <w:sz w:val="24"/>
          <w:szCs w:val="24"/>
          <w:lang w:eastAsia="zh-CN"/>
        </w:rPr>
        <w:t>.</w:t>
      </w:r>
    </w:p>
    <w:p w14:paraId="4CDA7171" w14:textId="16F94877" w:rsidR="001A46E6" w:rsidRPr="001A46E6" w:rsidRDefault="008C7366" w:rsidP="001A46E6">
      <w:pPr>
        <w:tabs>
          <w:tab w:val="left" w:pos="3090"/>
        </w:tabs>
        <w:spacing w:after="0" w:line="360" w:lineRule="auto"/>
        <w:jc w:val="both"/>
        <w:rPr>
          <w:rFonts w:ascii="Book Antiqua" w:eastAsiaTheme="minorEastAsia" w:hAnsi="Book Antiqua" w:cs="Arial"/>
          <w:sz w:val="24"/>
          <w:szCs w:val="24"/>
          <w:lang w:eastAsia="zh-CN"/>
        </w:rPr>
      </w:pPr>
      <w:r w:rsidRPr="00E10230">
        <w:rPr>
          <w:rFonts w:ascii="Book Antiqua" w:hAnsi="Book Antiqua" w:cs="Arial"/>
          <w:b/>
          <w:sz w:val="24"/>
          <w:szCs w:val="24"/>
        </w:rPr>
        <w:br w:type="page"/>
      </w:r>
      <w:r w:rsidR="001A46E6">
        <w:rPr>
          <w:rFonts w:ascii="Book Antiqua" w:hAnsi="Book Antiqua" w:cs="Arial"/>
          <w:b/>
          <w:noProof/>
          <w:sz w:val="24"/>
          <w:szCs w:val="24"/>
          <w:lang w:eastAsia="zh-CN"/>
        </w:rPr>
        <w:lastRenderedPageBreak/>
        <w:drawing>
          <wp:inline distT="0" distB="0" distL="0" distR="0" wp14:anchorId="1A669621" wp14:editId="3B9444AB">
            <wp:extent cx="5943600" cy="334327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713-Image-File-revision_0113.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r w:rsidR="001A46E6">
        <w:rPr>
          <w:rFonts w:ascii="Book Antiqua" w:hAnsi="Book Antiqua" w:cs="Arial"/>
          <w:b/>
          <w:sz w:val="24"/>
          <w:szCs w:val="24"/>
        </w:rPr>
        <w:t>Figure 3</w:t>
      </w:r>
      <w:r w:rsidR="001037DF" w:rsidRPr="00E10230">
        <w:rPr>
          <w:rFonts w:ascii="Book Antiqua" w:hAnsi="Book Antiqua" w:cs="Arial"/>
          <w:b/>
          <w:sz w:val="24"/>
          <w:szCs w:val="24"/>
        </w:rPr>
        <w:t xml:space="preserve"> </w:t>
      </w:r>
      <w:r w:rsidR="001037DF" w:rsidRPr="001A46E6">
        <w:rPr>
          <w:rFonts w:ascii="Book Antiqua" w:hAnsi="Book Antiqua" w:cs="Arial"/>
          <w:b/>
          <w:sz w:val="24"/>
          <w:szCs w:val="24"/>
        </w:rPr>
        <w:t xml:space="preserve">10-year temporal trends of mean </w:t>
      </w:r>
      <w:r w:rsidR="001A46E6" w:rsidRPr="001A46E6">
        <w:rPr>
          <w:rFonts w:ascii="Book Antiqua" w:hAnsi="Book Antiqua" w:cs="Arial"/>
          <w:b/>
          <w:sz w:val="24"/>
          <w:szCs w:val="24"/>
        </w:rPr>
        <w:t>length of stay</w:t>
      </w:r>
      <w:r w:rsidR="001037DF" w:rsidRPr="001A46E6">
        <w:rPr>
          <w:rFonts w:ascii="Book Antiqua" w:hAnsi="Book Antiqua" w:cs="Arial"/>
          <w:b/>
          <w:sz w:val="24"/>
          <w:szCs w:val="24"/>
        </w:rPr>
        <w:t xml:space="preserve"> and mean ages.</w:t>
      </w:r>
      <w:r w:rsidR="000938F4" w:rsidRPr="00E10230">
        <w:rPr>
          <w:rFonts w:ascii="Book Antiqua" w:hAnsi="Book Antiqua" w:cs="Arial"/>
          <w:sz w:val="24"/>
          <w:szCs w:val="24"/>
        </w:rPr>
        <w:t xml:space="preserve"> </w:t>
      </w:r>
      <w:r w:rsidR="001A46E6">
        <w:rPr>
          <w:rFonts w:ascii="Book Antiqua" w:eastAsiaTheme="minorEastAsia" w:hAnsi="Book Antiqua" w:cs="Arial" w:hint="eastAsia"/>
          <w:sz w:val="24"/>
          <w:szCs w:val="24"/>
          <w:lang w:eastAsia="zh-CN"/>
        </w:rPr>
        <w:t>A:</w:t>
      </w:r>
      <w:r w:rsidR="001A46E6" w:rsidRPr="001A46E6">
        <w:rPr>
          <w:rFonts w:ascii="Book Antiqua" w:hAnsi="Book Antiqua" w:cs="Arial"/>
          <w:sz w:val="24"/>
          <w:szCs w:val="24"/>
        </w:rPr>
        <w:t xml:space="preserve"> </w:t>
      </w:r>
      <w:r w:rsidR="001A46E6" w:rsidRPr="00E10230">
        <w:rPr>
          <w:rFonts w:ascii="Book Antiqua" w:hAnsi="Book Antiqua" w:cs="Arial"/>
          <w:sz w:val="24"/>
          <w:szCs w:val="24"/>
        </w:rPr>
        <w:t>10-year temporal trends of mean length of stay (LOS)</w:t>
      </w:r>
      <w:r w:rsidR="001A46E6">
        <w:rPr>
          <w:rFonts w:ascii="Book Antiqua" w:eastAsiaTheme="minorEastAsia" w:hAnsi="Book Antiqua" w:cs="Arial" w:hint="eastAsia"/>
          <w:sz w:val="24"/>
          <w:szCs w:val="24"/>
          <w:lang w:eastAsia="zh-CN"/>
        </w:rPr>
        <w:t xml:space="preserve">; B: </w:t>
      </w:r>
      <w:r w:rsidR="001A46E6" w:rsidRPr="00E10230">
        <w:rPr>
          <w:rFonts w:ascii="Book Antiqua" w:hAnsi="Book Antiqua" w:cs="Arial"/>
          <w:sz w:val="24"/>
          <w:szCs w:val="24"/>
        </w:rPr>
        <w:t>10-year temporal trends of mean ages</w:t>
      </w:r>
      <w:r w:rsidR="001A46E6">
        <w:rPr>
          <w:rFonts w:ascii="Book Antiqua" w:eastAsiaTheme="minorEastAsia" w:hAnsi="Book Antiqua" w:cs="Arial" w:hint="eastAsia"/>
          <w:sz w:val="24"/>
          <w:szCs w:val="24"/>
          <w:lang w:eastAsia="zh-CN"/>
        </w:rPr>
        <w:t xml:space="preserve">. </w:t>
      </w:r>
      <w:r w:rsidR="000938F4" w:rsidRPr="00E10230">
        <w:rPr>
          <w:rFonts w:ascii="Book Antiqua" w:hAnsi="Book Antiqua" w:cs="Arial"/>
          <w:sz w:val="24"/>
          <w:szCs w:val="24"/>
        </w:rPr>
        <w:t xml:space="preserve">Mean LOS for </w:t>
      </w:r>
      <w:r w:rsidR="001A46E6" w:rsidRPr="00E10230">
        <w:rPr>
          <w:rFonts w:ascii="Book Antiqua" w:hAnsi="Book Antiqua" w:cs="Arial"/>
          <w:sz w:val="24"/>
          <w:szCs w:val="24"/>
        </w:rPr>
        <w:t>transjugular intrahepatic portosystemic shunt (TIPS)</w:t>
      </w:r>
      <w:r w:rsidR="000938F4" w:rsidRPr="00E10230">
        <w:rPr>
          <w:rFonts w:ascii="Book Antiqua" w:hAnsi="Book Antiqua" w:cs="Arial"/>
          <w:sz w:val="24"/>
          <w:szCs w:val="24"/>
        </w:rPr>
        <w:t xml:space="preserve"> decreased from 9.6 d in 2005 to 8.0 in 2014 with 17%. However, other cirrhosis related conditions and national LOS did not show any significant changes. TIPS had persistently higher LOS as compared to other conditions. Mean ages of cirrhosis-associated conditions were consistently higher than national average, and HC persistently had the highest mean age.</w:t>
      </w:r>
      <w:r w:rsidR="001A46E6">
        <w:rPr>
          <w:rFonts w:ascii="Book Antiqua" w:eastAsiaTheme="minorEastAsia" w:hAnsi="Book Antiqua" w:cs="Arial" w:hint="eastAsia"/>
          <w:sz w:val="24"/>
          <w:szCs w:val="24"/>
          <w:lang w:eastAsia="zh-CN"/>
        </w:rPr>
        <w:t xml:space="preserve"> EV:</w:t>
      </w:r>
      <w:r w:rsidR="001A46E6" w:rsidRPr="001A46E6">
        <w:rPr>
          <w:rFonts w:ascii="Book Antiqua" w:hAnsi="Book Antiqua" w:cs="Arial"/>
          <w:sz w:val="24"/>
          <w:szCs w:val="24"/>
        </w:rPr>
        <w:t xml:space="preserve"> </w:t>
      </w:r>
      <w:r w:rsidR="001A46E6" w:rsidRPr="00E10230">
        <w:rPr>
          <w:rFonts w:ascii="Book Antiqua" w:hAnsi="Book Antiqua" w:cs="Arial"/>
          <w:sz w:val="24"/>
          <w:szCs w:val="24"/>
        </w:rPr>
        <w:t>Esophageal varices with bleeding</w:t>
      </w:r>
      <w:r w:rsidR="001A46E6">
        <w:rPr>
          <w:rFonts w:ascii="Book Antiqua" w:eastAsiaTheme="minorEastAsia" w:hAnsi="Book Antiqua" w:cs="Arial" w:hint="eastAsia"/>
          <w:sz w:val="24"/>
          <w:szCs w:val="24"/>
          <w:lang w:eastAsia="zh-CN"/>
        </w:rPr>
        <w:t>; HC:</w:t>
      </w:r>
      <w:r w:rsidR="001A46E6" w:rsidRPr="001A46E6">
        <w:rPr>
          <w:rFonts w:ascii="Book Antiqua" w:hAnsi="Book Antiqua" w:cs="Arial"/>
          <w:sz w:val="24"/>
          <w:szCs w:val="24"/>
        </w:rPr>
        <w:t xml:space="preserve"> </w:t>
      </w:r>
      <w:r w:rsidR="001A46E6" w:rsidRPr="00E10230">
        <w:rPr>
          <w:rFonts w:ascii="Book Antiqua" w:hAnsi="Book Antiqua" w:cs="Arial"/>
          <w:sz w:val="24"/>
          <w:szCs w:val="24"/>
        </w:rPr>
        <w:t>Hepatic encephalopathy/coma</w:t>
      </w:r>
      <w:r w:rsidR="001A46E6">
        <w:rPr>
          <w:rFonts w:ascii="Book Antiqua" w:eastAsiaTheme="minorEastAsia" w:hAnsi="Book Antiqua" w:cs="Arial" w:hint="eastAsia"/>
          <w:sz w:val="24"/>
          <w:szCs w:val="24"/>
          <w:lang w:eastAsia="zh-CN"/>
        </w:rPr>
        <w:t xml:space="preserve">; TIPS: </w:t>
      </w:r>
      <w:r w:rsidR="001A46E6" w:rsidRPr="00E10230">
        <w:rPr>
          <w:rFonts w:ascii="Book Antiqua" w:hAnsi="Book Antiqua" w:cs="Arial"/>
          <w:sz w:val="24"/>
          <w:szCs w:val="24"/>
        </w:rPr>
        <w:t>Transjugular intrahepatic portosystemic shunt</w:t>
      </w:r>
      <w:r w:rsidR="001A46E6">
        <w:rPr>
          <w:rFonts w:ascii="Book Antiqua" w:eastAsiaTheme="minorEastAsia" w:hAnsi="Book Antiqua" w:cs="Arial" w:hint="eastAsia"/>
          <w:sz w:val="24"/>
          <w:szCs w:val="24"/>
          <w:lang w:eastAsia="zh-CN"/>
        </w:rPr>
        <w:t xml:space="preserve">; SBP: </w:t>
      </w:r>
      <w:r w:rsidR="00B77439" w:rsidRPr="00E10230">
        <w:rPr>
          <w:rFonts w:ascii="Book Antiqua" w:hAnsi="Book Antiqua" w:cs="Arial"/>
          <w:sz w:val="24"/>
          <w:szCs w:val="24"/>
        </w:rPr>
        <w:t xml:space="preserve">Spontaneous </w:t>
      </w:r>
      <w:r w:rsidR="001A46E6" w:rsidRPr="00E10230">
        <w:rPr>
          <w:rFonts w:ascii="Book Antiqua" w:hAnsi="Book Antiqua" w:cs="Arial"/>
          <w:sz w:val="24"/>
          <w:szCs w:val="24"/>
        </w:rPr>
        <w:t>bacterial peritonitis</w:t>
      </w:r>
      <w:r w:rsidR="001A46E6">
        <w:rPr>
          <w:rFonts w:ascii="Book Antiqua" w:eastAsiaTheme="minorEastAsia" w:hAnsi="Book Antiqua" w:cs="Arial" w:hint="eastAsia"/>
          <w:sz w:val="24"/>
          <w:szCs w:val="24"/>
          <w:lang w:eastAsia="zh-CN"/>
        </w:rPr>
        <w:t>.</w:t>
      </w:r>
    </w:p>
    <w:p w14:paraId="2F17D872" w14:textId="4C03E7A5" w:rsidR="000938F4" w:rsidRPr="001A46E6" w:rsidRDefault="000938F4" w:rsidP="00E10230">
      <w:pPr>
        <w:spacing w:after="0" w:line="360" w:lineRule="auto"/>
        <w:jc w:val="both"/>
        <w:rPr>
          <w:rFonts w:ascii="Book Antiqua" w:eastAsiaTheme="minorEastAsia" w:hAnsi="Book Antiqua" w:cs="Arial"/>
          <w:sz w:val="24"/>
          <w:szCs w:val="24"/>
          <w:lang w:eastAsia="zh-CN"/>
        </w:rPr>
      </w:pPr>
    </w:p>
    <w:p w14:paraId="40D75652" w14:textId="77777777" w:rsidR="001037DF" w:rsidRPr="00E10230" w:rsidRDefault="001037DF" w:rsidP="00E10230">
      <w:pPr>
        <w:widowControl w:val="0"/>
        <w:autoSpaceDE w:val="0"/>
        <w:autoSpaceDN w:val="0"/>
        <w:adjustRightInd w:val="0"/>
        <w:spacing w:after="0" w:line="360" w:lineRule="auto"/>
        <w:jc w:val="both"/>
        <w:rPr>
          <w:rFonts w:ascii="Book Antiqua" w:hAnsi="Book Antiqua" w:cs="Arial"/>
          <w:sz w:val="24"/>
          <w:szCs w:val="24"/>
        </w:rPr>
      </w:pPr>
    </w:p>
    <w:p w14:paraId="20175784" w14:textId="77777777" w:rsidR="008C7366" w:rsidRPr="00E10230" w:rsidRDefault="008C7366" w:rsidP="00E10230">
      <w:pPr>
        <w:widowControl w:val="0"/>
        <w:autoSpaceDE w:val="0"/>
        <w:autoSpaceDN w:val="0"/>
        <w:adjustRightInd w:val="0"/>
        <w:spacing w:after="0" w:line="360" w:lineRule="auto"/>
        <w:jc w:val="both"/>
        <w:rPr>
          <w:rFonts w:ascii="Book Antiqua" w:hAnsi="Book Antiqua" w:cs="Arial"/>
          <w:b/>
          <w:sz w:val="24"/>
          <w:szCs w:val="24"/>
        </w:rPr>
      </w:pPr>
    </w:p>
    <w:p w14:paraId="3A85209F" w14:textId="77777777" w:rsidR="008C7366" w:rsidRPr="00E10230" w:rsidRDefault="008C7366" w:rsidP="00E10230">
      <w:pPr>
        <w:widowControl w:val="0"/>
        <w:autoSpaceDE w:val="0"/>
        <w:autoSpaceDN w:val="0"/>
        <w:adjustRightInd w:val="0"/>
        <w:spacing w:after="0" w:line="360" w:lineRule="auto"/>
        <w:jc w:val="both"/>
        <w:rPr>
          <w:rFonts w:ascii="Book Antiqua" w:hAnsi="Book Antiqua" w:cs="Arial"/>
          <w:b/>
          <w:sz w:val="24"/>
          <w:szCs w:val="24"/>
        </w:rPr>
      </w:pPr>
    </w:p>
    <w:p w14:paraId="4D344AB0" w14:textId="5A18D59B" w:rsidR="008C7366" w:rsidRPr="00B77439" w:rsidRDefault="008C7366" w:rsidP="00B77439">
      <w:pPr>
        <w:tabs>
          <w:tab w:val="left" w:pos="3090"/>
        </w:tabs>
        <w:spacing w:after="0" w:line="360" w:lineRule="auto"/>
        <w:jc w:val="both"/>
        <w:rPr>
          <w:rFonts w:ascii="Book Antiqua" w:eastAsiaTheme="minorEastAsia" w:hAnsi="Book Antiqua" w:cs="Arial"/>
          <w:sz w:val="24"/>
          <w:szCs w:val="24"/>
          <w:lang w:eastAsia="zh-CN"/>
        </w:rPr>
      </w:pPr>
      <w:r w:rsidRPr="00E10230">
        <w:rPr>
          <w:rFonts w:ascii="Book Antiqua" w:hAnsi="Book Antiqua" w:cs="Arial"/>
          <w:b/>
          <w:sz w:val="24"/>
          <w:szCs w:val="24"/>
        </w:rPr>
        <w:br w:type="page"/>
      </w:r>
      <w:r w:rsidR="001A46E6">
        <w:rPr>
          <w:rFonts w:ascii="Book Antiqua" w:hAnsi="Book Antiqua" w:cs="Arial"/>
          <w:b/>
          <w:noProof/>
          <w:sz w:val="24"/>
          <w:szCs w:val="24"/>
          <w:lang w:eastAsia="zh-CN"/>
        </w:rPr>
        <w:lastRenderedPageBreak/>
        <w:drawing>
          <wp:inline distT="0" distB="0" distL="0" distR="0" wp14:anchorId="28E5682C" wp14:editId="41C3BB19">
            <wp:extent cx="5943600" cy="3343275"/>
            <wp:effectExtent l="0" t="0" r="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713-Image-File-revision_0123.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r w:rsidR="00DC6490" w:rsidRPr="00E10230">
        <w:rPr>
          <w:rFonts w:ascii="Book Antiqua" w:hAnsi="Book Antiqua" w:cs="Arial"/>
          <w:b/>
          <w:sz w:val="24"/>
          <w:szCs w:val="24"/>
        </w:rPr>
        <w:t xml:space="preserve">Figure </w:t>
      </w:r>
      <w:r w:rsidR="009870AA" w:rsidRPr="00B77439">
        <w:rPr>
          <w:rFonts w:ascii="Book Antiqua" w:hAnsi="Book Antiqua" w:cs="Arial"/>
          <w:b/>
          <w:sz w:val="24"/>
          <w:szCs w:val="24"/>
        </w:rPr>
        <w:t>4</w:t>
      </w:r>
      <w:r w:rsidR="00B77439">
        <w:rPr>
          <w:rFonts w:ascii="Book Antiqua" w:eastAsiaTheme="minorEastAsia" w:hAnsi="Book Antiqua" w:cs="Arial" w:hint="eastAsia"/>
          <w:b/>
          <w:sz w:val="24"/>
          <w:szCs w:val="24"/>
          <w:lang w:eastAsia="zh-CN"/>
        </w:rPr>
        <w:t xml:space="preserve"> </w:t>
      </w:r>
      <w:r w:rsidR="00DC6490" w:rsidRPr="00B77439">
        <w:rPr>
          <w:rFonts w:ascii="Book Antiqua" w:hAnsi="Book Antiqua" w:cs="Arial"/>
          <w:b/>
          <w:sz w:val="24"/>
          <w:szCs w:val="24"/>
        </w:rPr>
        <w:t>Inflation adjusted 10-year temporal trends of mean charges and mean costs.</w:t>
      </w:r>
      <w:r w:rsidR="000938F4" w:rsidRPr="00E10230">
        <w:rPr>
          <w:rFonts w:ascii="Book Antiqua" w:hAnsi="Book Antiqua" w:cs="Arial"/>
          <w:sz w:val="24"/>
          <w:szCs w:val="24"/>
        </w:rPr>
        <w:t xml:space="preserve"> </w:t>
      </w:r>
      <w:r w:rsidR="00B77439">
        <w:rPr>
          <w:rFonts w:ascii="Book Antiqua" w:eastAsiaTheme="minorEastAsia" w:hAnsi="Book Antiqua" w:cs="Arial" w:hint="eastAsia"/>
          <w:sz w:val="24"/>
          <w:szCs w:val="24"/>
          <w:lang w:eastAsia="zh-CN"/>
        </w:rPr>
        <w:t>A:</w:t>
      </w:r>
      <w:r w:rsidR="000938F4" w:rsidRPr="00E10230">
        <w:rPr>
          <w:rFonts w:ascii="Book Antiqua" w:hAnsi="Book Antiqua" w:cs="Arial"/>
          <w:sz w:val="24"/>
          <w:szCs w:val="24"/>
        </w:rPr>
        <w:t xml:space="preserve"> </w:t>
      </w:r>
      <w:r w:rsidR="00B77439" w:rsidRPr="00E10230">
        <w:rPr>
          <w:rFonts w:ascii="Book Antiqua" w:hAnsi="Book Antiqua" w:cs="Arial"/>
          <w:sz w:val="24"/>
          <w:szCs w:val="24"/>
        </w:rPr>
        <w:t xml:space="preserve">Shows </w:t>
      </w:r>
      <w:r w:rsidR="000938F4" w:rsidRPr="00E10230">
        <w:rPr>
          <w:rFonts w:ascii="Book Antiqua" w:hAnsi="Book Antiqua" w:cs="Arial"/>
          <w:sz w:val="24"/>
          <w:szCs w:val="24"/>
        </w:rPr>
        <w:t>mean charges of four cirrhosis-associated conditions that have been increasing more than 30% compared to 2005 data, after adjustment for inflation</w:t>
      </w:r>
      <w:r w:rsidR="00B77439">
        <w:rPr>
          <w:rFonts w:ascii="Book Antiqua" w:eastAsiaTheme="minorEastAsia" w:hAnsi="Book Antiqua" w:cs="Arial" w:hint="eastAsia"/>
          <w:sz w:val="24"/>
          <w:szCs w:val="24"/>
          <w:lang w:eastAsia="zh-CN"/>
        </w:rPr>
        <w:t>;</w:t>
      </w:r>
      <w:r w:rsidR="000938F4" w:rsidRPr="00E10230">
        <w:rPr>
          <w:rFonts w:ascii="Book Antiqua" w:hAnsi="Book Antiqua" w:cs="Arial"/>
          <w:sz w:val="24"/>
          <w:szCs w:val="24"/>
        </w:rPr>
        <w:t xml:space="preserve"> </w:t>
      </w:r>
      <w:r w:rsidR="00B77439">
        <w:rPr>
          <w:rFonts w:ascii="Book Antiqua" w:eastAsiaTheme="minorEastAsia" w:hAnsi="Book Antiqua" w:cs="Arial" w:hint="eastAsia"/>
          <w:sz w:val="24"/>
          <w:szCs w:val="24"/>
          <w:lang w:eastAsia="zh-CN"/>
        </w:rPr>
        <w:t>B:</w:t>
      </w:r>
      <w:r w:rsidR="000938F4" w:rsidRPr="00E10230">
        <w:rPr>
          <w:rFonts w:ascii="Book Antiqua" w:hAnsi="Book Antiqua" w:cs="Arial"/>
          <w:sz w:val="24"/>
          <w:szCs w:val="24"/>
        </w:rPr>
        <w:t xml:space="preserve"> </w:t>
      </w:r>
      <w:r w:rsidR="00B77439" w:rsidRPr="00E10230">
        <w:rPr>
          <w:rFonts w:ascii="Book Antiqua" w:hAnsi="Book Antiqua" w:cs="Arial"/>
          <w:sz w:val="24"/>
          <w:szCs w:val="24"/>
        </w:rPr>
        <w:t xml:space="preserve">Demonstrates </w:t>
      </w:r>
      <w:r w:rsidR="000938F4" w:rsidRPr="00E10230">
        <w:rPr>
          <w:rFonts w:ascii="Book Antiqua" w:hAnsi="Book Antiqua" w:cs="Arial"/>
          <w:sz w:val="24"/>
          <w:szCs w:val="24"/>
        </w:rPr>
        <w:t xml:space="preserve">that </w:t>
      </w:r>
      <w:r w:rsidR="001A46E6" w:rsidRPr="00E10230">
        <w:rPr>
          <w:rFonts w:ascii="Book Antiqua" w:hAnsi="Book Antiqua" w:cs="Arial"/>
          <w:sz w:val="24"/>
          <w:szCs w:val="24"/>
        </w:rPr>
        <w:t>transjugular intrahepatic portosystemic shunt (TIPS)</w:t>
      </w:r>
      <w:r w:rsidR="000938F4" w:rsidRPr="00E10230">
        <w:rPr>
          <w:rFonts w:ascii="Book Antiqua" w:hAnsi="Book Antiqua" w:cs="Arial"/>
          <w:sz w:val="24"/>
          <w:szCs w:val="24"/>
        </w:rPr>
        <w:t xml:space="preserve"> has persistently higher cost related to hospitalizations. Compared to mean charges, mean costs had less variation over time. The mean costs of TIPS, EV and SBP did not increase significantly over time (all </w:t>
      </w:r>
      <w:r w:rsidR="000938F4" w:rsidRPr="001A46E6">
        <w:rPr>
          <w:rFonts w:ascii="Book Antiqua" w:hAnsi="Book Antiqua" w:cs="Arial"/>
          <w:i/>
          <w:sz w:val="24"/>
          <w:szCs w:val="24"/>
        </w:rPr>
        <w:t>P</w:t>
      </w:r>
      <w:r w:rsidR="001A46E6">
        <w:rPr>
          <w:rFonts w:ascii="Book Antiqua" w:eastAsiaTheme="minorEastAsia" w:hAnsi="Book Antiqua" w:cs="Arial" w:hint="eastAsia"/>
          <w:sz w:val="24"/>
          <w:szCs w:val="24"/>
          <w:lang w:eastAsia="zh-CN"/>
        </w:rPr>
        <w:t xml:space="preserve"> </w:t>
      </w:r>
      <w:r w:rsidR="000938F4" w:rsidRPr="00E10230">
        <w:rPr>
          <w:rFonts w:ascii="Book Antiqua" w:hAnsi="Book Antiqua" w:cs="Arial"/>
          <w:sz w:val="24"/>
          <w:szCs w:val="24"/>
        </w:rPr>
        <w:t>&gt;</w:t>
      </w:r>
      <w:r w:rsidR="001A46E6">
        <w:rPr>
          <w:rFonts w:ascii="Book Antiqua" w:eastAsiaTheme="minorEastAsia" w:hAnsi="Book Antiqua" w:cs="Arial" w:hint="eastAsia"/>
          <w:sz w:val="24"/>
          <w:szCs w:val="24"/>
          <w:lang w:eastAsia="zh-CN"/>
        </w:rPr>
        <w:t xml:space="preserve"> </w:t>
      </w:r>
      <w:r w:rsidR="000938F4" w:rsidRPr="00E10230">
        <w:rPr>
          <w:rFonts w:ascii="Book Antiqua" w:hAnsi="Book Antiqua" w:cs="Arial"/>
          <w:sz w:val="24"/>
          <w:szCs w:val="24"/>
        </w:rPr>
        <w:t xml:space="preserve">0.15). </w:t>
      </w:r>
      <w:r w:rsidR="001A46E6">
        <w:rPr>
          <w:rFonts w:ascii="Book Antiqua" w:eastAsiaTheme="minorEastAsia" w:hAnsi="Book Antiqua" w:cs="Arial" w:hint="eastAsia"/>
          <w:sz w:val="24"/>
          <w:szCs w:val="24"/>
          <w:lang w:eastAsia="zh-CN"/>
        </w:rPr>
        <w:t>EV:</w:t>
      </w:r>
      <w:r w:rsidR="001A46E6" w:rsidRPr="001A46E6">
        <w:rPr>
          <w:rFonts w:ascii="Book Antiqua" w:hAnsi="Book Antiqua" w:cs="Arial"/>
          <w:sz w:val="24"/>
          <w:szCs w:val="24"/>
        </w:rPr>
        <w:t xml:space="preserve"> </w:t>
      </w:r>
      <w:r w:rsidR="001A46E6" w:rsidRPr="00E10230">
        <w:rPr>
          <w:rFonts w:ascii="Book Antiqua" w:hAnsi="Book Antiqua" w:cs="Arial"/>
          <w:sz w:val="24"/>
          <w:szCs w:val="24"/>
        </w:rPr>
        <w:t>Esophageal varices with bleeding</w:t>
      </w:r>
      <w:r w:rsidR="001A46E6">
        <w:rPr>
          <w:rFonts w:ascii="Book Antiqua" w:eastAsiaTheme="minorEastAsia" w:hAnsi="Book Antiqua" w:cs="Arial" w:hint="eastAsia"/>
          <w:sz w:val="24"/>
          <w:szCs w:val="24"/>
          <w:lang w:eastAsia="zh-CN"/>
        </w:rPr>
        <w:t>; HC:</w:t>
      </w:r>
      <w:r w:rsidR="001A46E6" w:rsidRPr="001A46E6">
        <w:rPr>
          <w:rFonts w:ascii="Book Antiqua" w:hAnsi="Book Antiqua" w:cs="Arial"/>
          <w:sz w:val="24"/>
          <w:szCs w:val="24"/>
        </w:rPr>
        <w:t xml:space="preserve"> </w:t>
      </w:r>
      <w:r w:rsidR="001A46E6" w:rsidRPr="00E10230">
        <w:rPr>
          <w:rFonts w:ascii="Book Antiqua" w:hAnsi="Book Antiqua" w:cs="Arial"/>
          <w:sz w:val="24"/>
          <w:szCs w:val="24"/>
        </w:rPr>
        <w:t>Hepatic encephalopathy/coma</w:t>
      </w:r>
      <w:r w:rsidR="001A46E6">
        <w:rPr>
          <w:rFonts w:ascii="Book Antiqua" w:eastAsiaTheme="minorEastAsia" w:hAnsi="Book Antiqua" w:cs="Arial" w:hint="eastAsia"/>
          <w:sz w:val="24"/>
          <w:szCs w:val="24"/>
          <w:lang w:eastAsia="zh-CN"/>
        </w:rPr>
        <w:t xml:space="preserve">; TIPS: </w:t>
      </w:r>
      <w:r w:rsidR="001A46E6" w:rsidRPr="00E10230">
        <w:rPr>
          <w:rFonts w:ascii="Book Antiqua" w:hAnsi="Book Antiqua" w:cs="Arial"/>
          <w:sz w:val="24"/>
          <w:szCs w:val="24"/>
        </w:rPr>
        <w:t>Transjugular intrahepatic portosystemic shunt</w:t>
      </w:r>
      <w:r w:rsidR="001A46E6">
        <w:rPr>
          <w:rFonts w:ascii="Book Antiqua" w:eastAsiaTheme="minorEastAsia" w:hAnsi="Book Antiqua" w:cs="Arial" w:hint="eastAsia"/>
          <w:sz w:val="24"/>
          <w:szCs w:val="24"/>
          <w:lang w:eastAsia="zh-CN"/>
        </w:rPr>
        <w:t xml:space="preserve">; SBP: </w:t>
      </w:r>
      <w:r w:rsidR="00B77439" w:rsidRPr="00E10230">
        <w:rPr>
          <w:rFonts w:ascii="Book Antiqua" w:hAnsi="Book Antiqua" w:cs="Arial"/>
          <w:sz w:val="24"/>
          <w:szCs w:val="24"/>
        </w:rPr>
        <w:t xml:space="preserve">Spontaneous </w:t>
      </w:r>
      <w:r w:rsidR="001A46E6" w:rsidRPr="00E10230">
        <w:rPr>
          <w:rFonts w:ascii="Book Antiqua" w:hAnsi="Book Antiqua" w:cs="Arial"/>
          <w:sz w:val="24"/>
          <w:szCs w:val="24"/>
        </w:rPr>
        <w:t>bacterial peritonitis</w:t>
      </w:r>
      <w:r w:rsidR="001A46E6">
        <w:rPr>
          <w:rFonts w:ascii="Book Antiqua" w:eastAsiaTheme="minorEastAsia" w:hAnsi="Book Antiqua" w:cs="Arial" w:hint="eastAsia"/>
          <w:sz w:val="24"/>
          <w:szCs w:val="24"/>
          <w:lang w:eastAsia="zh-CN"/>
        </w:rPr>
        <w:t>.</w:t>
      </w:r>
    </w:p>
    <w:p w14:paraId="56301D3E" w14:textId="1938B5DC" w:rsidR="00F377E9" w:rsidRPr="002E7607" w:rsidDel="00CE570C" w:rsidRDefault="008C7366" w:rsidP="002E7607">
      <w:pPr>
        <w:widowControl w:val="0"/>
        <w:autoSpaceDE w:val="0"/>
        <w:autoSpaceDN w:val="0"/>
        <w:adjustRightInd w:val="0"/>
        <w:spacing w:after="0" w:line="360" w:lineRule="auto"/>
        <w:jc w:val="both"/>
        <w:rPr>
          <w:rFonts w:ascii="Book Antiqua" w:eastAsiaTheme="minorEastAsia" w:hAnsi="Book Antiqua" w:cs="Arial"/>
          <w:sz w:val="24"/>
          <w:szCs w:val="24"/>
          <w:lang w:eastAsia="zh-CN"/>
        </w:rPr>
      </w:pPr>
      <w:r w:rsidRPr="00E10230">
        <w:rPr>
          <w:rFonts w:ascii="Book Antiqua" w:hAnsi="Book Antiqua" w:cs="Arial"/>
          <w:b/>
          <w:sz w:val="24"/>
          <w:szCs w:val="24"/>
        </w:rPr>
        <w:br w:type="page"/>
      </w:r>
      <w:r w:rsidR="00B77439">
        <w:rPr>
          <w:rFonts w:ascii="Book Antiqua" w:hAnsi="Book Antiqua" w:cs="Arial"/>
          <w:b/>
          <w:noProof/>
          <w:sz w:val="24"/>
          <w:szCs w:val="24"/>
          <w:lang w:eastAsia="zh-CN"/>
        </w:rPr>
        <w:lastRenderedPageBreak/>
        <w:drawing>
          <wp:inline distT="0" distB="0" distL="0" distR="0" wp14:anchorId="74520AEB" wp14:editId="7EEDB567">
            <wp:extent cx="5943600" cy="334327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713-Image-File-revision_0130.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r w:rsidR="00DC6490" w:rsidRPr="00E10230">
        <w:rPr>
          <w:rFonts w:ascii="Book Antiqua" w:hAnsi="Book Antiqua" w:cs="Arial"/>
          <w:b/>
          <w:sz w:val="24"/>
          <w:szCs w:val="24"/>
        </w:rPr>
        <w:t xml:space="preserve">Figure </w:t>
      </w:r>
      <w:r w:rsidR="009870AA" w:rsidRPr="00E10230">
        <w:rPr>
          <w:rFonts w:ascii="Book Antiqua" w:hAnsi="Book Antiqua" w:cs="Arial"/>
          <w:b/>
          <w:sz w:val="24"/>
          <w:szCs w:val="24"/>
        </w:rPr>
        <w:t>5</w:t>
      </w:r>
      <w:r w:rsidR="00B77439">
        <w:rPr>
          <w:rFonts w:ascii="Book Antiqua" w:eastAsiaTheme="minorEastAsia" w:hAnsi="Book Antiqua" w:cs="Arial" w:hint="eastAsia"/>
          <w:sz w:val="24"/>
          <w:szCs w:val="24"/>
          <w:lang w:eastAsia="zh-CN"/>
        </w:rPr>
        <w:t xml:space="preserve"> </w:t>
      </w:r>
      <w:r w:rsidR="00DC6490" w:rsidRPr="00B77439">
        <w:rPr>
          <w:rFonts w:ascii="Book Antiqua" w:hAnsi="Book Antiqua" w:cs="Arial"/>
          <w:b/>
          <w:sz w:val="24"/>
          <w:szCs w:val="24"/>
        </w:rPr>
        <w:t>Inflation adjusted 10-year temporal</w:t>
      </w:r>
      <w:r w:rsidR="00B77439" w:rsidRPr="00B77439">
        <w:rPr>
          <w:rFonts w:ascii="Book Antiqua" w:hAnsi="Book Antiqua" w:cs="Arial"/>
          <w:b/>
          <w:sz w:val="24"/>
          <w:szCs w:val="24"/>
        </w:rPr>
        <w:t xml:space="preserve"> trends of aggregate charges and aggregate costs</w:t>
      </w:r>
      <w:r w:rsidR="00DC6490" w:rsidRPr="00B77439">
        <w:rPr>
          <w:rFonts w:ascii="Book Antiqua" w:hAnsi="Book Antiqua" w:cs="Arial"/>
          <w:b/>
          <w:sz w:val="24"/>
          <w:szCs w:val="24"/>
        </w:rPr>
        <w:t>. Same fig</w:t>
      </w:r>
      <w:r w:rsidR="00B77439" w:rsidRPr="00B77439">
        <w:rPr>
          <w:rFonts w:ascii="Book Antiqua" w:hAnsi="Book Antiqua" w:cs="Arial"/>
          <w:b/>
          <w:sz w:val="24"/>
          <w:szCs w:val="24"/>
        </w:rPr>
        <w:t>ures without SBP for charges and costs</w:t>
      </w:r>
      <w:r w:rsidR="00DC6490" w:rsidRPr="00B77439">
        <w:rPr>
          <w:rFonts w:ascii="Book Antiqua" w:hAnsi="Book Antiqua" w:cs="Arial"/>
          <w:b/>
          <w:sz w:val="24"/>
          <w:szCs w:val="24"/>
        </w:rPr>
        <w:t>.</w:t>
      </w:r>
      <w:r w:rsidR="00DC6490" w:rsidRPr="00E10230">
        <w:rPr>
          <w:rFonts w:ascii="Book Antiqua" w:hAnsi="Book Antiqua" w:cs="Arial"/>
          <w:sz w:val="24"/>
          <w:szCs w:val="24"/>
        </w:rPr>
        <w:t xml:space="preserve"> </w:t>
      </w:r>
      <w:r w:rsidR="00B77439">
        <w:rPr>
          <w:rFonts w:ascii="Book Antiqua" w:eastAsiaTheme="minorEastAsia" w:hAnsi="Book Antiqua" w:cs="Arial" w:hint="eastAsia"/>
          <w:sz w:val="24"/>
          <w:szCs w:val="24"/>
          <w:lang w:eastAsia="zh-CN"/>
        </w:rPr>
        <w:t xml:space="preserve">A and B: </w:t>
      </w:r>
      <w:r w:rsidR="002E71EC" w:rsidRPr="00E10230">
        <w:rPr>
          <w:rFonts w:ascii="Book Antiqua" w:hAnsi="Book Antiqua" w:cs="Arial"/>
          <w:sz w:val="24"/>
          <w:szCs w:val="24"/>
        </w:rPr>
        <w:t xml:space="preserve">After adjustment for inflation, aggregate charges for hospitalizations related to HC, SBP, </w:t>
      </w:r>
      <w:r w:rsidR="001A46E6" w:rsidRPr="00E10230">
        <w:rPr>
          <w:rFonts w:ascii="Book Antiqua" w:hAnsi="Book Antiqua" w:cs="Arial"/>
          <w:sz w:val="24"/>
          <w:szCs w:val="24"/>
        </w:rPr>
        <w:t>transjugular intrahepatic portosystemic shunt (TIPS)</w:t>
      </w:r>
      <w:r w:rsidR="002E71EC" w:rsidRPr="00E10230">
        <w:rPr>
          <w:rFonts w:ascii="Book Antiqua" w:hAnsi="Book Antiqua" w:cs="Arial"/>
          <w:sz w:val="24"/>
          <w:szCs w:val="24"/>
        </w:rPr>
        <w:t xml:space="preserve"> and national increased from 2005 to 2014 except EV</w:t>
      </w:r>
      <w:r w:rsidR="00B77439">
        <w:rPr>
          <w:rFonts w:ascii="Book Antiqua" w:eastAsiaTheme="minorEastAsia" w:hAnsi="Book Antiqua" w:cs="Arial" w:hint="eastAsia"/>
          <w:sz w:val="24"/>
          <w:szCs w:val="24"/>
          <w:lang w:eastAsia="zh-CN"/>
        </w:rPr>
        <w:t>;</w:t>
      </w:r>
      <w:r w:rsidR="002E71EC" w:rsidRPr="00E10230">
        <w:rPr>
          <w:rFonts w:ascii="Book Antiqua" w:hAnsi="Book Antiqua" w:cs="Arial"/>
          <w:sz w:val="24"/>
          <w:szCs w:val="24"/>
        </w:rPr>
        <w:t xml:space="preserve"> </w:t>
      </w:r>
      <w:r w:rsidR="00B77439">
        <w:rPr>
          <w:rFonts w:ascii="Book Antiqua" w:eastAsiaTheme="minorEastAsia" w:hAnsi="Book Antiqua" w:cs="Arial" w:hint="eastAsia"/>
          <w:sz w:val="24"/>
          <w:szCs w:val="24"/>
          <w:lang w:eastAsia="zh-CN"/>
        </w:rPr>
        <w:t xml:space="preserve">C and D: </w:t>
      </w:r>
      <w:r w:rsidR="002E71EC" w:rsidRPr="00E10230">
        <w:rPr>
          <w:rFonts w:ascii="Book Antiqua" w:hAnsi="Book Antiqua" w:cs="Arial"/>
          <w:sz w:val="24"/>
          <w:szCs w:val="24"/>
        </w:rPr>
        <w:t>Inflation adjusted aggregate costs of hospitalization for EV, HC, SBP and national increased from 2005 to 2014, while TIPS trended toward a decreased.</w:t>
      </w:r>
      <w:r w:rsidR="00B77439" w:rsidRPr="00B77439">
        <w:rPr>
          <w:rFonts w:ascii="Book Antiqua" w:eastAsiaTheme="minorEastAsia" w:hAnsi="Book Antiqua" w:cs="Arial" w:hint="eastAsia"/>
          <w:sz w:val="24"/>
          <w:szCs w:val="24"/>
          <w:lang w:eastAsia="zh-CN"/>
        </w:rPr>
        <w:t xml:space="preserve"> </w:t>
      </w:r>
      <w:r w:rsidR="00B77439">
        <w:rPr>
          <w:rFonts w:ascii="Book Antiqua" w:eastAsiaTheme="minorEastAsia" w:hAnsi="Book Antiqua" w:cs="Arial" w:hint="eastAsia"/>
          <w:sz w:val="24"/>
          <w:szCs w:val="24"/>
          <w:lang w:eastAsia="zh-CN"/>
        </w:rPr>
        <w:t>EV:</w:t>
      </w:r>
      <w:r w:rsidR="00B77439" w:rsidRPr="001A46E6">
        <w:rPr>
          <w:rFonts w:ascii="Book Antiqua" w:hAnsi="Book Antiqua" w:cs="Arial"/>
          <w:sz w:val="24"/>
          <w:szCs w:val="24"/>
        </w:rPr>
        <w:t xml:space="preserve"> </w:t>
      </w:r>
      <w:r w:rsidR="00B77439" w:rsidRPr="00E10230">
        <w:rPr>
          <w:rFonts w:ascii="Book Antiqua" w:hAnsi="Book Antiqua" w:cs="Arial"/>
          <w:sz w:val="24"/>
          <w:szCs w:val="24"/>
        </w:rPr>
        <w:t>Esophageal varices with bleeding</w:t>
      </w:r>
      <w:r w:rsidR="00B77439">
        <w:rPr>
          <w:rFonts w:ascii="Book Antiqua" w:eastAsiaTheme="minorEastAsia" w:hAnsi="Book Antiqua" w:cs="Arial" w:hint="eastAsia"/>
          <w:sz w:val="24"/>
          <w:szCs w:val="24"/>
          <w:lang w:eastAsia="zh-CN"/>
        </w:rPr>
        <w:t>; HC:</w:t>
      </w:r>
      <w:r w:rsidR="00B77439" w:rsidRPr="001A46E6">
        <w:rPr>
          <w:rFonts w:ascii="Book Antiqua" w:hAnsi="Book Antiqua" w:cs="Arial"/>
          <w:sz w:val="24"/>
          <w:szCs w:val="24"/>
        </w:rPr>
        <w:t xml:space="preserve"> </w:t>
      </w:r>
      <w:r w:rsidR="00B77439" w:rsidRPr="00E10230">
        <w:rPr>
          <w:rFonts w:ascii="Book Antiqua" w:hAnsi="Book Antiqua" w:cs="Arial"/>
          <w:sz w:val="24"/>
          <w:szCs w:val="24"/>
        </w:rPr>
        <w:t>Hepatic encephalopathy/coma</w:t>
      </w:r>
      <w:r w:rsidR="00B77439">
        <w:rPr>
          <w:rFonts w:ascii="Book Antiqua" w:eastAsiaTheme="minorEastAsia" w:hAnsi="Book Antiqua" w:cs="Arial" w:hint="eastAsia"/>
          <w:sz w:val="24"/>
          <w:szCs w:val="24"/>
          <w:lang w:eastAsia="zh-CN"/>
        </w:rPr>
        <w:t xml:space="preserve">; TIPS: </w:t>
      </w:r>
      <w:r w:rsidR="00B77439" w:rsidRPr="00E10230">
        <w:rPr>
          <w:rFonts w:ascii="Book Antiqua" w:hAnsi="Book Antiqua" w:cs="Arial"/>
          <w:sz w:val="24"/>
          <w:szCs w:val="24"/>
        </w:rPr>
        <w:t>Transjugular intrahepatic portosystemic shunt</w:t>
      </w:r>
      <w:r w:rsidR="00B77439">
        <w:rPr>
          <w:rFonts w:ascii="Book Antiqua" w:eastAsiaTheme="minorEastAsia" w:hAnsi="Book Antiqua" w:cs="Arial" w:hint="eastAsia"/>
          <w:sz w:val="24"/>
          <w:szCs w:val="24"/>
          <w:lang w:eastAsia="zh-CN"/>
        </w:rPr>
        <w:t xml:space="preserve">; SBP: </w:t>
      </w:r>
      <w:r w:rsidR="00B77439" w:rsidRPr="00E10230">
        <w:rPr>
          <w:rFonts w:ascii="Book Antiqua" w:hAnsi="Book Antiqua" w:cs="Arial"/>
          <w:sz w:val="24"/>
          <w:szCs w:val="24"/>
        </w:rPr>
        <w:t>Spontaneous bacterial peritonitis</w:t>
      </w:r>
      <w:r w:rsidR="00B77439">
        <w:rPr>
          <w:rFonts w:ascii="Book Antiqua" w:eastAsiaTheme="minorEastAsia" w:hAnsi="Book Antiqua" w:cs="Arial" w:hint="eastAsia"/>
          <w:sz w:val="24"/>
          <w:szCs w:val="24"/>
          <w:lang w:eastAsia="zh-CN"/>
        </w:rPr>
        <w:t>.</w:t>
      </w:r>
    </w:p>
    <w:p w14:paraId="0EDEB323" w14:textId="77777777" w:rsidR="00A00A81" w:rsidRDefault="00A00A81" w:rsidP="00E10230">
      <w:pPr>
        <w:spacing w:after="0" w:line="360" w:lineRule="auto"/>
        <w:jc w:val="both"/>
        <w:rPr>
          <w:rFonts w:ascii="Book Antiqua" w:eastAsiaTheme="minorEastAsia" w:hAnsi="Book Antiqua"/>
          <w:sz w:val="24"/>
          <w:szCs w:val="24"/>
          <w:lang w:eastAsia="zh-CN"/>
        </w:rPr>
      </w:pPr>
      <w:r w:rsidRPr="00E10230">
        <w:rPr>
          <w:rFonts w:ascii="Book Antiqua" w:hAnsi="Book Antiqua"/>
          <w:sz w:val="24"/>
          <w:szCs w:val="24"/>
        </w:rPr>
        <w:br w:type="page"/>
      </w:r>
    </w:p>
    <w:p w14:paraId="599F7A9B" w14:textId="73104108" w:rsidR="002E7607" w:rsidRPr="002E7607" w:rsidRDefault="002E7607" w:rsidP="00E10230">
      <w:pPr>
        <w:spacing w:after="0" w:line="360" w:lineRule="auto"/>
        <w:jc w:val="both"/>
        <w:rPr>
          <w:rFonts w:ascii="Book Antiqua" w:eastAsiaTheme="minorEastAsia" w:hAnsi="Book Antiqua"/>
          <w:b/>
          <w:sz w:val="24"/>
          <w:szCs w:val="24"/>
          <w:lang w:eastAsia="zh-CN"/>
        </w:rPr>
      </w:pPr>
      <w:r w:rsidRPr="00E10230">
        <w:rPr>
          <w:rFonts w:ascii="Book Antiqua" w:hAnsi="Book Antiqua" w:cs="Arial"/>
          <w:b/>
          <w:sz w:val="24"/>
          <w:szCs w:val="24"/>
        </w:rPr>
        <w:lastRenderedPageBreak/>
        <w:t xml:space="preserve">Table 1 </w:t>
      </w:r>
      <w:r w:rsidRPr="002E7607">
        <w:rPr>
          <w:rFonts w:ascii="Book Antiqua" w:hAnsi="Book Antiqua" w:cs="Arial"/>
          <w:b/>
          <w:sz w:val="24"/>
          <w:szCs w:val="24"/>
        </w:rPr>
        <w:t>Number of all discharges, aggregate cost ($), percent of male (%), mean age, age distribution, payer type, bed size</w:t>
      </w:r>
    </w:p>
    <w:tbl>
      <w:tblPr>
        <w:tblW w:w="5000" w:type="pct"/>
        <w:jc w:val="center"/>
        <w:tblBorders>
          <w:top w:val="single" w:sz="4" w:space="0" w:color="auto"/>
          <w:bottom w:val="single" w:sz="4" w:space="0" w:color="auto"/>
        </w:tblBorders>
        <w:tblLook w:val="04A0" w:firstRow="1" w:lastRow="0" w:firstColumn="1" w:lastColumn="0" w:noHBand="0" w:noVBand="1"/>
      </w:tblPr>
      <w:tblGrid>
        <w:gridCol w:w="2067"/>
        <w:gridCol w:w="1093"/>
        <w:gridCol w:w="781"/>
        <w:gridCol w:w="894"/>
        <w:gridCol w:w="981"/>
        <w:gridCol w:w="996"/>
        <w:gridCol w:w="881"/>
        <w:gridCol w:w="996"/>
        <w:gridCol w:w="887"/>
      </w:tblGrid>
      <w:tr w:rsidR="00F377E9" w:rsidRPr="00E10230" w14:paraId="3EFC524C" w14:textId="77777777" w:rsidTr="002E7607">
        <w:trPr>
          <w:trHeight w:val="476"/>
          <w:jc w:val="center"/>
        </w:trPr>
        <w:tc>
          <w:tcPr>
            <w:tcW w:w="1079" w:type="pct"/>
            <w:tcBorders>
              <w:top w:val="single" w:sz="4" w:space="0" w:color="auto"/>
              <w:bottom w:val="single" w:sz="4" w:space="0" w:color="auto"/>
            </w:tcBorders>
            <w:shd w:val="clear" w:color="auto" w:fill="auto"/>
            <w:noWrap/>
            <w:vAlign w:val="center"/>
            <w:hideMark/>
          </w:tcPr>
          <w:p w14:paraId="108AF081" w14:textId="77777777" w:rsidR="00F377E9" w:rsidRPr="002E7607" w:rsidRDefault="00F377E9" w:rsidP="00E10230">
            <w:pPr>
              <w:spacing w:after="0" w:line="360" w:lineRule="auto"/>
              <w:jc w:val="both"/>
              <w:rPr>
                <w:rFonts w:ascii="Book Antiqua" w:eastAsia="Times New Roman" w:hAnsi="Book Antiqua" w:cs="Arial"/>
                <w:b/>
                <w:color w:val="000000"/>
                <w:sz w:val="24"/>
                <w:szCs w:val="24"/>
              </w:rPr>
            </w:pPr>
            <w:r w:rsidRPr="002E7607">
              <w:rPr>
                <w:rFonts w:ascii="Book Antiqua" w:eastAsia="Times New Roman" w:hAnsi="Book Antiqua" w:cs="Arial"/>
                <w:b/>
                <w:color w:val="000000"/>
                <w:sz w:val="24"/>
                <w:szCs w:val="24"/>
              </w:rPr>
              <w:t>Diagnosis (2005)</w:t>
            </w:r>
          </w:p>
        </w:tc>
        <w:tc>
          <w:tcPr>
            <w:tcW w:w="978" w:type="pct"/>
            <w:gridSpan w:val="2"/>
            <w:tcBorders>
              <w:top w:val="single" w:sz="4" w:space="0" w:color="auto"/>
              <w:bottom w:val="single" w:sz="4" w:space="0" w:color="auto"/>
            </w:tcBorders>
            <w:shd w:val="clear" w:color="auto" w:fill="auto"/>
            <w:noWrap/>
            <w:vAlign w:val="center"/>
            <w:hideMark/>
          </w:tcPr>
          <w:p w14:paraId="3D392D7A" w14:textId="77777777" w:rsidR="00F377E9" w:rsidRPr="002E7607" w:rsidRDefault="00F377E9" w:rsidP="00E10230">
            <w:pPr>
              <w:spacing w:after="0" w:line="360" w:lineRule="auto"/>
              <w:jc w:val="both"/>
              <w:rPr>
                <w:rFonts w:ascii="Book Antiqua" w:eastAsia="Times New Roman" w:hAnsi="Book Antiqua" w:cs="Arial"/>
                <w:b/>
                <w:color w:val="000000"/>
                <w:sz w:val="24"/>
                <w:szCs w:val="24"/>
              </w:rPr>
            </w:pPr>
            <w:r w:rsidRPr="002E7607">
              <w:rPr>
                <w:rFonts w:ascii="Book Antiqua" w:eastAsia="Times New Roman" w:hAnsi="Book Antiqua" w:cs="Arial"/>
                <w:b/>
                <w:color w:val="000000"/>
                <w:sz w:val="24"/>
                <w:szCs w:val="24"/>
              </w:rPr>
              <w:t>HC</w:t>
            </w:r>
          </w:p>
        </w:tc>
        <w:tc>
          <w:tcPr>
            <w:tcW w:w="979" w:type="pct"/>
            <w:gridSpan w:val="2"/>
            <w:tcBorders>
              <w:top w:val="single" w:sz="4" w:space="0" w:color="auto"/>
              <w:bottom w:val="single" w:sz="4" w:space="0" w:color="auto"/>
            </w:tcBorders>
            <w:shd w:val="clear" w:color="auto" w:fill="auto"/>
            <w:noWrap/>
            <w:vAlign w:val="center"/>
            <w:hideMark/>
          </w:tcPr>
          <w:p w14:paraId="55926607" w14:textId="77777777" w:rsidR="00F377E9" w:rsidRPr="002E7607" w:rsidRDefault="00F377E9" w:rsidP="00E10230">
            <w:pPr>
              <w:spacing w:after="0" w:line="360" w:lineRule="auto"/>
              <w:jc w:val="both"/>
              <w:rPr>
                <w:rFonts w:ascii="Book Antiqua" w:eastAsia="Times New Roman" w:hAnsi="Book Antiqua" w:cs="Arial"/>
                <w:b/>
                <w:color w:val="000000"/>
                <w:sz w:val="24"/>
                <w:szCs w:val="24"/>
              </w:rPr>
            </w:pPr>
            <w:r w:rsidRPr="002E7607">
              <w:rPr>
                <w:rFonts w:ascii="Book Antiqua" w:eastAsia="Times New Roman" w:hAnsi="Book Antiqua" w:cs="Arial"/>
                <w:b/>
                <w:color w:val="000000"/>
                <w:sz w:val="24"/>
                <w:szCs w:val="24"/>
              </w:rPr>
              <w:t>SBP</w:t>
            </w:r>
          </w:p>
        </w:tc>
        <w:tc>
          <w:tcPr>
            <w:tcW w:w="980" w:type="pct"/>
            <w:gridSpan w:val="2"/>
            <w:tcBorders>
              <w:top w:val="single" w:sz="4" w:space="0" w:color="auto"/>
              <w:bottom w:val="single" w:sz="4" w:space="0" w:color="auto"/>
            </w:tcBorders>
            <w:shd w:val="clear" w:color="auto" w:fill="auto"/>
            <w:noWrap/>
            <w:vAlign w:val="center"/>
            <w:hideMark/>
          </w:tcPr>
          <w:p w14:paraId="6C610A09" w14:textId="77777777" w:rsidR="00F377E9" w:rsidRPr="002E7607" w:rsidRDefault="00F377E9" w:rsidP="00E10230">
            <w:pPr>
              <w:spacing w:after="0" w:line="360" w:lineRule="auto"/>
              <w:jc w:val="both"/>
              <w:rPr>
                <w:rFonts w:ascii="Book Antiqua" w:eastAsia="Times New Roman" w:hAnsi="Book Antiqua" w:cs="Arial"/>
                <w:b/>
                <w:color w:val="000000"/>
                <w:sz w:val="24"/>
                <w:szCs w:val="24"/>
              </w:rPr>
            </w:pPr>
            <w:r w:rsidRPr="002E7607">
              <w:rPr>
                <w:rFonts w:ascii="Book Antiqua" w:eastAsia="Times New Roman" w:hAnsi="Book Antiqua" w:cs="Arial"/>
                <w:b/>
                <w:color w:val="000000"/>
                <w:sz w:val="24"/>
                <w:szCs w:val="24"/>
              </w:rPr>
              <w:t>EV</w:t>
            </w:r>
          </w:p>
        </w:tc>
        <w:tc>
          <w:tcPr>
            <w:tcW w:w="983" w:type="pct"/>
            <w:gridSpan w:val="2"/>
            <w:tcBorders>
              <w:top w:val="single" w:sz="4" w:space="0" w:color="auto"/>
              <w:bottom w:val="single" w:sz="4" w:space="0" w:color="auto"/>
            </w:tcBorders>
            <w:shd w:val="clear" w:color="auto" w:fill="auto"/>
            <w:noWrap/>
            <w:vAlign w:val="center"/>
            <w:hideMark/>
          </w:tcPr>
          <w:p w14:paraId="61CADFE6" w14:textId="77777777" w:rsidR="00F377E9" w:rsidRPr="002E7607" w:rsidRDefault="00F377E9" w:rsidP="00E10230">
            <w:pPr>
              <w:spacing w:after="0" w:line="360" w:lineRule="auto"/>
              <w:jc w:val="both"/>
              <w:rPr>
                <w:rFonts w:ascii="Book Antiqua" w:eastAsia="Times New Roman" w:hAnsi="Book Antiqua" w:cs="Arial"/>
                <w:b/>
                <w:color w:val="000000"/>
                <w:sz w:val="24"/>
                <w:szCs w:val="24"/>
              </w:rPr>
            </w:pPr>
            <w:r w:rsidRPr="002E7607">
              <w:rPr>
                <w:rFonts w:ascii="Book Antiqua" w:eastAsia="Times New Roman" w:hAnsi="Book Antiqua" w:cs="Arial"/>
                <w:b/>
                <w:color w:val="000000"/>
                <w:sz w:val="24"/>
                <w:szCs w:val="24"/>
              </w:rPr>
              <w:t>TIPS</w:t>
            </w:r>
          </w:p>
        </w:tc>
      </w:tr>
      <w:tr w:rsidR="00F377E9" w:rsidRPr="00E10230" w14:paraId="26D00BE1" w14:textId="77777777" w:rsidTr="002E7607">
        <w:trPr>
          <w:trHeight w:val="499"/>
          <w:jc w:val="center"/>
        </w:trPr>
        <w:tc>
          <w:tcPr>
            <w:tcW w:w="1079" w:type="pct"/>
            <w:tcBorders>
              <w:top w:val="single" w:sz="4" w:space="0" w:color="auto"/>
            </w:tcBorders>
            <w:shd w:val="clear" w:color="auto" w:fill="auto"/>
            <w:noWrap/>
            <w:vAlign w:val="center"/>
            <w:hideMark/>
          </w:tcPr>
          <w:p w14:paraId="70EDFBFB" w14:textId="77777777" w:rsidR="00F377E9" w:rsidRPr="002E7607" w:rsidRDefault="00F377E9" w:rsidP="00E10230">
            <w:pPr>
              <w:spacing w:after="0" w:line="360" w:lineRule="auto"/>
              <w:jc w:val="both"/>
              <w:rPr>
                <w:rFonts w:ascii="Book Antiqua" w:eastAsia="Times New Roman" w:hAnsi="Book Antiqua" w:cs="Arial"/>
                <w:bCs/>
                <w:color w:val="000000"/>
                <w:sz w:val="24"/>
                <w:szCs w:val="24"/>
              </w:rPr>
            </w:pPr>
            <w:r w:rsidRPr="002E7607">
              <w:rPr>
                <w:rFonts w:ascii="Book Antiqua" w:eastAsia="Times New Roman" w:hAnsi="Book Antiqua" w:cs="Arial"/>
                <w:bCs/>
                <w:color w:val="000000"/>
                <w:sz w:val="24"/>
                <w:szCs w:val="24"/>
              </w:rPr>
              <w:t>All discharges</w:t>
            </w:r>
          </w:p>
        </w:tc>
        <w:tc>
          <w:tcPr>
            <w:tcW w:w="978" w:type="pct"/>
            <w:gridSpan w:val="2"/>
            <w:tcBorders>
              <w:top w:val="single" w:sz="4" w:space="0" w:color="auto"/>
            </w:tcBorders>
            <w:shd w:val="clear" w:color="auto" w:fill="auto"/>
            <w:noWrap/>
            <w:vAlign w:val="center"/>
            <w:hideMark/>
          </w:tcPr>
          <w:p w14:paraId="74E8CC3C"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47268</w:t>
            </w:r>
          </w:p>
        </w:tc>
        <w:tc>
          <w:tcPr>
            <w:tcW w:w="979" w:type="pct"/>
            <w:gridSpan w:val="2"/>
            <w:tcBorders>
              <w:top w:val="single" w:sz="4" w:space="0" w:color="auto"/>
            </w:tcBorders>
            <w:shd w:val="clear" w:color="auto" w:fill="auto"/>
            <w:noWrap/>
            <w:vAlign w:val="center"/>
            <w:hideMark/>
          </w:tcPr>
          <w:p w14:paraId="21F003F9"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821</w:t>
            </w:r>
          </w:p>
        </w:tc>
        <w:tc>
          <w:tcPr>
            <w:tcW w:w="980" w:type="pct"/>
            <w:gridSpan w:val="2"/>
            <w:tcBorders>
              <w:top w:val="single" w:sz="4" w:space="0" w:color="auto"/>
            </w:tcBorders>
            <w:shd w:val="clear" w:color="auto" w:fill="auto"/>
            <w:noWrap/>
            <w:vAlign w:val="center"/>
            <w:hideMark/>
          </w:tcPr>
          <w:p w14:paraId="0FD529C6"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3942</w:t>
            </w:r>
          </w:p>
        </w:tc>
        <w:tc>
          <w:tcPr>
            <w:tcW w:w="983" w:type="pct"/>
            <w:gridSpan w:val="2"/>
            <w:tcBorders>
              <w:top w:val="single" w:sz="4" w:space="0" w:color="auto"/>
            </w:tcBorders>
            <w:shd w:val="clear" w:color="auto" w:fill="auto"/>
            <w:noWrap/>
            <w:vAlign w:val="center"/>
            <w:hideMark/>
          </w:tcPr>
          <w:p w14:paraId="7FB03AE3"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4079</w:t>
            </w:r>
          </w:p>
        </w:tc>
      </w:tr>
      <w:tr w:rsidR="00F377E9" w:rsidRPr="00E10230" w14:paraId="20215B9D" w14:textId="77777777" w:rsidTr="002E7607">
        <w:trPr>
          <w:trHeight w:val="499"/>
          <w:jc w:val="center"/>
        </w:trPr>
        <w:tc>
          <w:tcPr>
            <w:tcW w:w="1079" w:type="pct"/>
            <w:shd w:val="clear" w:color="auto" w:fill="auto"/>
            <w:noWrap/>
            <w:vAlign w:val="center"/>
            <w:hideMark/>
          </w:tcPr>
          <w:p w14:paraId="1664827E" w14:textId="6DE7EC35" w:rsidR="00F377E9" w:rsidRPr="002E7607" w:rsidRDefault="00F377E9" w:rsidP="00E10230">
            <w:pPr>
              <w:spacing w:after="0" w:line="360" w:lineRule="auto"/>
              <w:jc w:val="both"/>
              <w:rPr>
                <w:rFonts w:ascii="Book Antiqua" w:eastAsiaTheme="minorEastAsia" w:hAnsi="Book Antiqua" w:cs="Arial"/>
                <w:bCs/>
                <w:color w:val="000000"/>
                <w:sz w:val="24"/>
                <w:szCs w:val="24"/>
                <w:lang w:eastAsia="zh-CN"/>
              </w:rPr>
            </w:pPr>
            <w:r w:rsidRPr="002E7607">
              <w:rPr>
                <w:rFonts w:ascii="Book Antiqua" w:eastAsia="Times New Roman" w:hAnsi="Book Antiqua" w:cs="Arial"/>
                <w:bCs/>
                <w:color w:val="000000"/>
                <w:sz w:val="24"/>
                <w:szCs w:val="24"/>
              </w:rPr>
              <w:t xml:space="preserve">Male </w:t>
            </w:r>
            <w:r w:rsidR="002E7607">
              <w:rPr>
                <w:rFonts w:ascii="Book Antiqua" w:eastAsiaTheme="minorEastAsia" w:hAnsi="Book Antiqua" w:cs="Arial" w:hint="eastAsia"/>
                <w:bCs/>
                <w:color w:val="000000"/>
                <w:sz w:val="24"/>
                <w:szCs w:val="24"/>
                <w:lang w:eastAsia="zh-CN"/>
              </w:rPr>
              <w:t>(</w:t>
            </w:r>
            <w:r w:rsidRPr="002E7607">
              <w:rPr>
                <w:rFonts w:ascii="Book Antiqua" w:eastAsia="Times New Roman" w:hAnsi="Book Antiqua" w:cs="Arial"/>
                <w:bCs/>
                <w:color w:val="000000"/>
                <w:sz w:val="24"/>
                <w:szCs w:val="24"/>
              </w:rPr>
              <w:t>%</w:t>
            </w:r>
            <w:r w:rsidR="002E7607">
              <w:rPr>
                <w:rFonts w:ascii="Book Antiqua" w:eastAsiaTheme="minorEastAsia" w:hAnsi="Book Antiqua" w:cs="Arial" w:hint="eastAsia"/>
                <w:bCs/>
                <w:color w:val="000000"/>
                <w:sz w:val="24"/>
                <w:szCs w:val="24"/>
                <w:lang w:eastAsia="zh-CN"/>
              </w:rPr>
              <w:t>)</w:t>
            </w:r>
          </w:p>
        </w:tc>
        <w:tc>
          <w:tcPr>
            <w:tcW w:w="978" w:type="pct"/>
            <w:gridSpan w:val="2"/>
            <w:shd w:val="clear" w:color="auto" w:fill="auto"/>
            <w:noWrap/>
            <w:vAlign w:val="center"/>
            <w:hideMark/>
          </w:tcPr>
          <w:p w14:paraId="28EEE7C1"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61.4</w:t>
            </w:r>
          </w:p>
        </w:tc>
        <w:tc>
          <w:tcPr>
            <w:tcW w:w="979" w:type="pct"/>
            <w:gridSpan w:val="2"/>
            <w:shd w:val="clear" w:color="auto" w:fill="auto"/>
            <w:noWrap/>
            <w:vAlign w:val="center"/>
            <w:hideMark/>
          </w:tcPr>
          <w:p w14:paraId="703D91A1"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66.7</w:t>
            </w:r>
          </w:p>
        </w:tc>
        <w:tc>
          <w:tcPr>
            <w:tcW w:w="980" w:type="pct"/>
            <w:gridSpan w:val="2"/>
            <w:shd w:val="clear" w:color="auto" w:fill="auto"/>
            <w:noWrap/>
            <w:vAlign w:val="center"/>
            <w:hideMark/>
          </w:tcPr>
          <w:p w14:paraId="0508C860"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67.7</w:t>
            </w:r>
          </w:p>
        </w:tc>
        <w:tc>
          <w:tcPr>
            <w:tcW w:w="983" w:type="pct"/>
            <w:gridSpan w:val="2"/>
            <w:shd w:val="clear" w:color="auto" w:fill="auto"/>
            <w:noWrap/>
            <w:vAlign w:val="center"/>
            <w:hideMark/>
          </w:tcPr>
          <w:p w14:paraId="3CFBBA28"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66.5</w:t>
            </w:r>
          </w:p>
        </w:tc>
      </w:tr>
      <w:tr w:rsidR="00F377E9" w:rsidRPr="00E10230" w14:paraId="35E6BD19" w14:textId="77777777" w:rsidTr="002E7607">
        <w:trPr>
          <w:trHeight w:val="499"/>
          <w:jc w:val="center"/>
        </w:trPr>
        <w:tc>
          <w:tcPr>
            <w:tcW w:w="1079" w:type="pct"/>
            <w:shd w:val="clear" w:color="auto" w:fill="auto"/>
            <w:noWrap/>
            <w:vAlign w:val="center"/>
            <w:hideMark/>
          </w:tcPr>
          <w:p w14:paraId="3AC449A9" w14:textId="77777777" w:rsidR="00F377E9" w:rsidRPr="002E7607" w:rsidRDefault="00F377E9" w:rsidP="00E10230">
            <w:pPr>
              <w:spacing w:after="0" w:line="360" w:lineRule="auto"/>
              <w:jc w:val="both"/>
              <w:rPr>
                <w:rFonts w:ascii="Book Antiqua" w:eastAsia="Times New Roman" w:hAnsi="Book Antiqua" w:cs="Arial"/>
                <w:bCs/>
                <w:color w:val="000000"/>
                <w:sz w:val="24"/>
                <w:szCs w:val="24"/>
              </w:rPr>
            </w:pPr>
            <w:r w:rsidRPr="002E7607">
              <w:rPr>
                <w:rFonts w:ascii="Book Antiqua" w:eastAsia="Times New Roman" w:hAnsi="Book Antiqua" w:cs="Arial"/>
                <w:bCs/>
                <w:color w:val="000000"/>
                <w:sz w:val="24"/>
                <w:szCs w:val="24"/>
              </w:rPr>
              <w:t>Age, mean</w:t>
            </w:r>
          </w:p>
        </w:tc>
        <w:tc>
          <w:tcPr>
            <w:tcW w:w="978" w:type="pct"/>
            <w:gridSpan w:val="2"/>
            <w:shd w:val="clear" w:color="auto" w:fill="auto"/>
            <w:noWrap/>
            <w:vAlign w:val="center"/>
            <w:hideMark/>
          </w:tcPr>
          <w:p w14:paraId="174AB801"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57.9</w:t>
            </w:r>
          </w:p>
        </w:tc>
        <w:tc>
          <w:tcPr>
            <w:tcW w:w="979" w:type="pct"/>
            <w:gridSpan w:val="2"/>
            <w:shd w:val="clear" w:color="auto" w:fill="auto"/>
            <w:noWrap/>
            <w:vAlign w:val="center"/>
            <w:hideMark/>
          </w:tcPr>
          <w:p w14:paraId="2881CF83"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54.2</w:t>
            </w:r>
          </w:p>
        </w:tc>
        <w:tc>
          <w:tcPr>
            <w:tcW w:w="980" w:type="pct"/>
            <w:gridSpan w:val="2"/>
            <w:shd w:val="clear" w:color="auto" w:fill="auto"/>
            <w:noWrap/>
            <w:vAlign w:val="center"/>
            <w:hideMark/>
          </w:tcPr>
          <w:p w14:paraId="1702A391"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56.6</w:t>
            </w:r>
          </w:p>
        </w:tc>
        <w:tc>
          <w:tcPr>
            <w:tcW w:w="983" w:type="pct"/>
            <w:gridSpan w:val="2"/>
            <w:shd w:val="clear" w:color="auto" w:fill="auto"/>
            <w:noWrap/>
            <w:vAlign w:val="center"/>
            <w:hideMark/>
          </w:tcPr>
          <w:p w14:paraId="5B49B662"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55.2</w:t>
            </w:r>
          </w:p>
        </w:tc>
      </w:tr>
      <w:tr w:rsidR="00F377E9" w:rsidRPr="00E10230" w14:paraId="725D0FCD" w14:textId="77777777" w:rsidTr="002E7607">
        <w:trPr>
          <w:trHeight w:val="499"/>
          <w:jc w:val="center"/>
        </w:trPr>
        <w:tc>
          <w:tcPr>
            <w:tcW w:w="1079" w:type="pct"/>
            <w:shd w:val="clear" w:color="auto" w:fill="auto"/>
            <w:noWrap/>
            <w:vAlign w:val="center"/>
            <w:hideMark/>
          </w:tcPr>
          <w:p w14:paraId="6FF12658" w14:textId="77777777" w:rsidR="00F377E9" w:rsidRPr="002E7607" w:rsidRDefault="00F377E9" w:rsidP="00E10230">
            <w:pPr>
              <w:spacing w:after="0" w:line="360" w:lineRule="auto"/>
              <w:jc w:val="both"/>
              <w:rPr>
                <w:rFonts w:ascii="Book Antiqua" w:eastAsia="Times New Roman" w:hAnsi="Book Antiqua" w:cs="Arial"/>
                <w:bCs/>
                <w:color w:val="000000"/>
                <w:sz w:val="24"/>
                <w:szCs w:val="24"/>
              </w:rPr>
            </w:pPr>
            <w:r w:rsidRPr="002E7607">
              <w:rPr>
                <w:rFonts w:ascii="Book Antiqua" w:eastAsia="Times New Roman" w:hAnsi="Book Antiqua" w:cs="Arial"/>
                <w:bCs/>
                <w:color w:val="000000"/>
                <w:sz w:val="24"/>
                <w:szCs w:val="24"/>
              </w:rPr>
              <w:t>Age</w:t>
            </w:r>
          </w:p>
        </w:tc>
        <w:tc>
          <w:tcPr>
            <w:tcW w:w="571" w:type="pct"/>
            <w:shd w:val="clear" w:color="auto" w:fill="auto"/>
            <w:noWrap/>
            <w:vAlign w:val="center"/>
            <w:hideMark/>
          </w:tcPr>
          <w:p w14:paraId="1158FC00" w14:textId="76E64975" w:rsidR="00F377E9" w:rsidRPr="002E7607" w:rsidRDefault="002E7607" w:rsidP="00E10230">
            <w:pPr>
              <w:spacing w:after="0" w:line="360" w:lineRule="auto"/>
              <w:jc w:val="both"/>
              <w:rPr>
                <w:rFonts w:ascii="Book Antiqua" w:eastAsia="Times New Roman" w:hAnsi="Book Antiqua" w:cs="Arial"/>
                <w:bCs/>
                <w:i/>
                <w:color w:val="000000"/>
                <w:sz w:val="24"/>
                <w:szCs w:val="24"/>
              </w:rPr>
            </w:pPr>
            <w:r w:rsidRPr="002E7607">
              <w:rPr>
                <w:rFonts w:ascii="Book Antiqua" w:eastAsia="Times New Roman" w:hAnsi="Book Antiqua" w:cs="Arial"/>
                <w:bCs/>
                <w:i/>
                <w:color w:val="000000"/>
                <w:sz w:val="24"/>
                <w:szCs w:val="24"/>
              </w:rPr>
              <w:t>n</w:t>
            </w:r>
          </w:p>
        </w:tc>
        <w:tc>
          <w:tcPr>
            <w:tcW w:w="408" w:type="pct"/>
            <w:shd w:val="clear" w:color="auto" w:fill="auto"/>
            <w:noWrap/>
            <w:vAlign w:val="center"/>
            <w:hideMark/>
          </w:tcPr>
          <w:p w14:paraId="1DC8538F" w14:textId="77777777" w:rsidR="00F377E9" w:rsidRPr="00E10230" w:rsidRDefault="00F377E9" w:rsidP="00E10230">
            <w:pPr>
              <w:spacing w:after="0" w:line="360" w:lineRule="auto"/>
              <w:jc w:val="both"/>
              <w:rPr>
                <w:rFonts w:ascii="Book Antiqua" w:eastAsia="Times New Roman" w:hAnsi="Book Antiqua" w:cs="Arial"/>
                <w:b/>
                <w:bCs/>
                <w:color w:val="000000"/>
                <w:sz w:val="24"/>
                <w:szCs w:val="24"/>
              </w:rPr>
            </w:pPr>
            <w:r w:rsidRPr="00E10230">
              <w:rPr>
                <w:rFonts w:ascii="Book Antiqua" w:eastAsia="Times New Roman" w:hAnsi="Book Antiqua" w:cs="Arial"/>
                <w:b/>
                <w:bCs/>
                <w:color w:val="000000"/>
                <w:sz w:val="24"/>
                <w:szCs w:val="24"/>
              </w:rPr>
              <w:t>%</w:t>
            </w:r>
          </w:p>
        </w:tc>
        <w:tc>
          <w:tcPr>
            <w:tcW w:w="467" w:type="pct"/>
            <w:shd w:val="clear" w:color="auto" w:fill="auto"/>
            <w:noWrap/>
            <w:vAlign w:val="center"/>
            <w:hideMark/>
          </w:tcPr>
          <w:p w14:paraId="293A5A56" w14:textId="6FA56F63" w:rsidR="00F377E9" w:rsidRPr="00E10230" w:rsidRDefault="002E7607" w:rsidP="00E10230">
            <w:pPr>
              <w:spacing w:after="0" w:line="360" w:lineRule="auto"/>
              <w:jc w:val="both"/>
              <w:rPr>
                <w:rFonts w:ascii="Book Antiqua" w:eastAsia="Times New Roman" w:hAnsi="Book Antiqua" w:cs="Arial"/>
                <w:b/>
                <w:bCs/>
                <w:color w:val="000000"/>
                <w:sz w:val="24"/>
                <w:szCs w:val="24"/>
              </w:rPr>
            </w:pPr>
            <w:r w:rsidRPr="002E7607">
              <w:rPr>
                <w:rFonts w:ascii="Book Antiqua" w:eastAsia="Times New Roman" w:hAnsi="Book Antiqua" w:cs="Arial"/>
                <w:bCs/>
                <w:i/>
                <w:color w:val="000000"/>
                <w:sz w:val="24"/>
                <w:szCs w:val="24"/>
              </w:rPr>
              <w:t>n</w:t>
            </w:r>
          </w:p>
        </w:tc>
        <w:tc>
          <w:tcPr>
            <w:tcW w:w="512" w:type="pct"/>
            <w:shd w:val="clear" w:color="auto" w:fill="auto"/>
            <w:noWrap/>
            <w:vAlign w:val="center"/>
            <w:hideMark/>
          </w:tcPr>
          <w:p w14:paraId="3EA8505C" w14:textId="77777777" w:rsidR="00F377E9" w:rsidRPr="00E10230" w:rsidRDefault="00F377E9" w:rsidP="00E10230">
            <w:pPr>
              <w:spacing w:after="0" w:line="360" w:lineRule="auto"/>
              <w:jc w:val="both"/>
              <w:rPr>
                <w:rFonts w:ascii="Book Antiqua" w:eastAsia="Times New Roman" w:hAnsi="Book Antiqua" w:cs="Arial"/>
                <w:b/>
                <w:bCs/>
                <w:color w:val="000000"/>
                <w:sz w:val="24"/>
                <w:szCs w:val="24"/>
              </w:rPr>
            </w:pPr>
            <w:r w:rsidRPr="00E10230">
              <w:rPr>
                <w:rFonts w:ascii="Book Antiqua" w:eastAsia="Times New Roman" w:hAnsi="Book Antiqua" w:cs="Arial"/>
                <w:b/>
                <w:bCs/>
                <w:color w:val="000000"/>
                <w:sz w:val="24"/>
                <w:szCs w:val="24"/>
              </w:rPr>
              <w:t>%</w:t>
            </w:r>
          </w:p>
        </w:tc>
        <w:tc>
          <w:tcPr>
            <w:tcW w:w="520" w:type="pct"/>
            <w:shd w:val="clear" w:color="auto" w:fill="auto"/>
            <w:noWrap/>
            <w:vAlign w:val="center"/>
            <w:hideMark/>
          </w:tcPr>
          <w:p w14:paraId="5A1FBF53" w14:textId="30BFFFE8" w:rsidR="00F377E9" w:rsidRPr="00E10230" w:rsidRDefault="002E7607" w:rsidP="00E10230">
            <w:pPr>
              <w:spacing w:after="0" w:line="360" w:lineRule="auto"/>
              <w:jc w:val="both"/>
              <w:rPr>
                <w:rFonts w:ascii="Book Antiqua" w:eastAsia="Times New Roman" w:hAnsi="Book Antiqua" w:cs="Arial"/>
                <w:b/>
                <w:bCs/>
                <w:color w:val="000000"/>
                <w:sz w:val="24"/>
                <w:szCs w:val="24"/>
              </w:rPr>
            </w:pPr>
            <w:r w:rsidRPr="002E7607">
              <w:rPr>
                <w:rFonts w:ascii="Book Antiqua" w:eastAsia="Times New Roman" w:hAnsi="Book Antiqua" w:cs="Arial"/>
                <w:bCs/>
                <w:i/>
                <w:color w:val="000000"/>
                <w:sz w:val="24"/>
                <w:szCs w:val="24"/>
              </w:rPr>
              <w:t>n</w:t>
            </w:r>
          </w:p>
        </w:tc>
        <w:tc>
          <w:tcPr>
            <w:tcW w:w="460" w:type="pct"/>
            <w:shd w:val="clear" w:color="auto" w:fill="auto"/>
            <w:noWrap/>
            <w:vAlign w:val="center"/>
            <w:hideMark/>
          </w:tcPr>
          <w:p w14:paraId="0EFBAE32" w14:textId="77777777" w:rsidR="00F377E9" w:rsidRPr="00E10230" w:rsidRDefault="00F377E9" w:rsidP="00E10230">
            <w:pPr>
              <w:spacing w:after="0" w:line="360" w:lineRule="auto"/>
              <w:jc w:val="both"/>
              <w:rPr>
                <w:rFonts w:ascii="Book Antiqua" w:eastAsia="Times New Roman" w:hAnsi="Book Antiqua" w:cs="Arial"/>
                <w:b/>
                <w:bCs/>
                <w:color w:val="000000"/>
                <w:sz w:val="24"/>
                <w:szCs w:val="24"/>
              </w:rPr>
            </w:pPr>
            <w:r w:rsidRPr="00E10230">
              <w:rPr>
                <w:rFonts w:ascii="Book Antiqua" w:eastAsia="Times New Roman" w:hAnsi="Book Antiqua" w:cs="Arial"/>
                <w:b/>
                <w:bCs/>
                <w:color w:val="000000"/>
                <w:sz w:val="24"/>
                <w:szCs w:val="24"/>
              </w:rPr>
              <w:t>%</w:t>
            </w:r>
          </w:p>
        </w:tc>
        <w:tc>
          <w:tcPr>
            <w:tcW w:w="520" w:type="pct"/>
            <w:shd w:val="clear" w:color="auto" w:fill="auto"/>
            <w:noWrap/>
            <w:vAlign w:val="center"/>
            <w:hideMark/>
          </w:tcPr>
          <w:p w14:paraId="68565BE0" w14:textId="5239066D" w:rsidR="00F377E9" w:rsidRPr="00E10230" w:rsidRDefault="002E7607" w:rsidP="00E10230">
            <w:pPr>
              <w:spacing w:after="0" w:line="360" w:lineRule="auto"/>
              <w:jc w:val="both"/>
              <w:rPr>
                <w:rFonts w:ascii="Book Antiqua" w:eastAsia="Times New Roman" w:hAnsi="Book Antiqua" w:cs="Arial"/>
                <w:b/>
                <w:bCs/>
                <w:color w:val="000000"/>
                <w:sz w:val="24"/>
                <w:szCs w:val="24"/>
              </w:rPr>
            </w:pPr>
            <w:r w:rsidRPr="002E7607">
              <w:rPr>
                <w:rFonts w:ascii="Book Antiqua" w:eastAsia="Times New Roman" w:hAnsi="Book Antiqua" w:cs="Arial"/>
                <w:bCs/>
                <w:i/>
                <w:color w:val="000000"/>
                <w:sz w:val="24"/>
                <w:szCs w:val="24"/>
              </w:rPr>
              <w:t>n</w:t>
            </w:r>
          </w:p>
        </w:tc>
        <w:tc>
          <w:tcPr>
            <w:tcW w:w="463" w:type="pct"/>
            <w:shd w:val="clear" w:color="auto" w:fill="auto"/>
            <w:noWrap/>
            <w:vAlign w:val="center"/>
            <w:hideMark/>
          </w:tcPr>
          <w:p w14:paraId="540F848E" w14:textId="77777777" w:rsidR="00F377E9" w:rsidRPr="00E10230" w:rsidRDefault="00F377E9" w:rsidP="00E10230">
            <w:pPr>
              <w:spacing w:after="0" w:line="360" w:lineRule="auto"/>
              <w:jc w:val="both"/>
              <w:rPr>
                <w:rFonts w:ascii="Book Antiqua" w:eastAsia="Times New Roman" w:hAnsi="Book Antiqua" w:cs="Arial"/>
                <w:b/>
                <w:bCs/>
                <w:color w:val="000000"/>
                <w:sz w:val="24"/>
                <w:szCs w:val="24"/>
              </w:rPr>
            </w:pPr>
            <w:r w:rsidRPr="00E10230">
              <w:rPr>
                <w:rFonts w:ascii="Book Antiqua" w:eastAsia="Times New Roman" w:hAnsi="Book Antiqua" w:cs="Arial"/>
                <w:b/>
                <w:bCs/>
                <w:color w:val="000000"/>
                <w:sz w:val="24"/>
                <w:szCs w:val="24"/>
              </w:rPr>
              <w:t>%</w:t>
            </w:r>
          </w:p>
        </w:tc>
      </w:tr>
      <w:tr w:rsidR="00F377E9" w:rsidRPr="00E10230" w14:paraId="198A5491" w14:textId="77777777" w:rsidTr="002E7607">
        <w:trPr>
          <w:trHeight w:val="499"/>
          <w:jc w:val="center"/>
        </w:trPr>
        <w:tc>
          <w:tcPr>
            <w:tcW w:w="1079" w:type="pct"/>
            <w:shd w:val="clear" w:color="auto" w:fill="auto"/>
            <w:noWrap/>
            <w:vAlign w:val="center"/>
            <w:hideMark/>
          </w:tcPr>
          <w:p w14:paraId="773431F7" w14:textId="77777777" w:rsidR="00F377E9" w:rsidRPr="002E7607" w:rsidRDefault="00F377E9" w:rsidP="00E10230">
            <w:pPr>
              <w:spacing w:after="0" w:line="360" w:lineRule="auto"/>
              <w:jc w:val="both"/>
              <w:rPr>
                <w:rFonts w:ascii="Book Antiqua" w:eastAsia="Times New Roman" w:hAnsi="Book Antiqua" w:cs="Arial"/>
                <w:color w:val="000000"/>
                <w:sz w:val="24"/>
                <w:szCs w:val="24"/>
              </w:rPr>
            </w:pPr>
            <w:r w:rsidRPr="002E7607">
              <w:rPr>
                <w:rFonts w:ascii="Book Antiqua" w:eastAsia="Times New Roman" w:hAnsi="Book Antiqua" w:cs="Arial"/>
                <w:color w:val="000000"/>
                <w:sz w:val="24"/>
                <w:szCs w:val="24"/>
              </w:rPr>
              <w:t>18-44</w:t>
            </w:r>
          </w:p>
        </w:tc>
        <w:tc>
          <w:tcPr>
            <w:tcW w:w="571" w:type="pct"/>
            <w:shd w:val="clear" w:color="auto" w:fill="auto"/>
            <w:noWrap/>
            <w:vAlign w:val="center"/>
            <w:hideMark/>
          </w:tcPr>
          <w:p w14:paraId="286DD2BC"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4648</w:t>
            </w:r>
          </w:p>
        </w:tc>
        <w:tc>
          <w:tcPr>
            <w:tcW w:w="408" w:type="pct"/>
            <w:shd w:val="clear" w:color="auto" w:fill="auto"/>
            <w:noWrap/>
            <w:vAlign w:val="center"/>
            <w:hideMark/>
          </w:tcPr>
          <w:p w14:paraId="183A2F78"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9.8</w:t>
            </w:r>
          </w:p>
        </w:tc>
        <w:tc>
          <w:tcPr>
            <w:tcW w:w="467" w:type="pct"/>
            <w:shd w:val="clear" w:color="auto" w:fill="auto"/>
            <w:noWrap/>
            <w:vAlign w:val="center"/>
            <w:hideMark/>
          </w:tcPr>
          <w:p w14:paraId="0B3BD8C7"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136</w:t>
            </w:r>
          </w:p>
        </w:tc>
        <w:tc>
          <w:tcPr>
            <w:tcW w:w="512" w:type="pct"/>
            <w:shd w:val="clear" w:color="auto" w:fill="auto"/>
            <w:noWrap/>
            <w:vAlign w:val="center"/>
            <w:hideMark/>
          </w:tcPr>
          <w:p w14:paraId="11F7F707"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16.6</w:t>
            </w:r>
          </w:p>
        </w:tc>
        <w:tc>
          <w:tcPr>
            <w:tcW w:w="520" w:type="pct"/>
            <w:shd w:val="clear" w:color="auto" w:fill="auto"/>
            <w:noWrap/>
            <w:vAlign w:val="center"/>
            <w:hideMark/>
          </w:tcPr>
          <w:p w14:paraId="70CC8BE0"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566</w:t>
            </w:r>
          </w:p>
        </w:tc>
        <w:tc>
          <w:tcPr>
            <w:tcW w:w="460" w:type="pct"/>
            <w:shd w:val="clear" w:color="auto" w:fill="auto"/>
            <w:noWrap/>
            <w:vAlign w:val="center"/>
            <w:hideMark/>
          </w:tcPr>
          <w:p w14:paraId="721F0363"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14.4</w:t>
            </w:r>
          </w:p>
        </w:tc>
        <w:tc>
          <w:tcPr>
            <w:tcW w:w="520" w:type="pct"/>
            <w:shd w:val="clear" w:color="auto" w:fill="auto"/>
            <w:noWrap/>
            <w:vAlign w:val="center"/>
            <w:hideMark/>
          </w:tcPr>
          <w:p w14:paraId="2AD1E646"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479</w:t>
            </w:r>
          </w:p>
        </w:tc>
        <w:tc>
          <w:tcPr>
            <w:tcW w:w="463" w:type="pct"/>
            <w:shd w:val="clear" w:color="auto" w:fill="auto"/>
            <w:noWrap/>
            <w:vAlign w:val="center"/>
            <w:hideMark/>
          </w:tcPr>
          <w:p w14:paraId="517BE844"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11.8</w:t>
            </w:r>
          </w:p>
        </w:tc>
      </w:tr>
      <w:tr w:rsidR="00F377E9" w:rsidRPr="00E10230" w14:paraId="2D01E8E8" w14:textId="77777777" w:rsidTr="002E7607">
        <w:trPr>
          <w:trHeight w:val="499"/>
          <w:jc w:val="center"/>
        </w:trPr>
        <w:tc>
          <w:tcPr>
            <w:tcW w:w="1079" w:type="pct"/>
            <w:shd w:val="clear" w:color="auto" w:fill="auto"/>
            <w:noWrap/>
            <w:vAlign w:val="center"/>
            <w:hideMark/>
          </w:tcPr>
          <w:p w14:paraId="6ADB0CAD" w14:textId="77777777" w:rsidR="00F377E9" w:rsidRPr="002E7607" w:rsidRDefault="00F377E9" w:rsidP="00E10230">
            <w:pPr>
              <w:spacing w:after="0" w:line="360" w:lineRule="auto"/>
              <w:jc w:val="both"/>
              <w:rPr>
                <w:rFonts w:ascii="Book Antiqua" w:eastAsia="Times New Roman" w:hAnsi="Book Antiqua" w:cs="Arial"/>
                <w:color w:val="000000"/>
                <w:sz w:val="24"/>
                <w:szCs w:val="24"/>
              </w:rPr>
            </w:pPr>
            <w:r w:rsidRPr="002E7607">
              <w:rPr>
                <w:rFonts w:ascii="Book Antiqua" w:eastAsia="Times New Roman" w:hAnsi="Book Antiqua" w:cs="Arial"/>
                <w:color w:val="000000"/>
                <w:sz w:val="24"/>
                <w:szCs w:val="24"/>
              </w:rPr>
              <w:t>45-64</w:t>
            </w:r>
          </w:p>
        </w:tc>
        <w:tc>
          <w:tcPr>
            <w:tcW w:w="571" w:type="pct"/>
            <w:shd w:val="clear" w:color="auto" w:fill="auto"/>
            <w:noWrap/>
            <w:vAlign w:val="center"/>
            <w:hideMark/>
          </w:tcPr>
          <w:p w14:paraId="7082260E"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29350</w:t>
            </w:r>
          </w:p>
        </w:tc>
        <w:tc>
          <w:tcPr>
            <w:tcW w:w="408" w:type="pct"/>
            <w:shd w:val="clear" w:color="auto" w:fill="auto"/>
            <w:noWrap/>
            <w:vAlign w:val="center"/>
            <w:hideMark/>
          </w:tcPr>
          <w:p w14:paraId="4BFAE5CA"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62.1</w:t>
            </w:r>
          </w:p>
        </w:tc>
        <w:tc>
          <w:tcPr>
            <w:tcW w:w="467" w:type="pct"/>
            <w:shd w:val="clear" w:color="auto" w:fill="auto"/>
            <w:noWrap/>
            <w:vAlign w:val="center"/>
            <w:hideMark/>
          </w:tcPr>
          <w:p w14:paraId="734E5637"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471</w:t>
            </w:r>
          </w:p>
        </w:tc>
        <w:tc>
          <w:tcPr>
            <w:tcW w:w="512" w:type="pct"/>
            <w:shd w:val="clear" w:color="auto" w:fill="auto"/>
            <w:noWrap/>
            <w:vAlign w:val="center"/>
            <w:hideMark/>
          </w:tcPr>
          <w:p w14:paraId="1F4E6209"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57.4</w:t>
            </w:r>
          </w:p>
        </w:tc>
        <w:tc>
          <w:tcPr>
            <w:tcW w:w="520" w:type="pct"/>
            <w:shd w:val="clear" w:color="auto" w:fill="auto"/>
            <w:noWrap/>
            <w:vAlign w:val="center"/>
            <w:hideMark/>
          </w:tcPr>
          <w:p w14:paraId="1D13B608"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2196</w:t>
            </w:r>
          </w:p>
        </w:tc>
        <w:tc>
          <w:tcPr>
            <w:tcW w:w="460" w:type="pct"/>
            <w:shd w:val="clear" w:color="auto" w:fill="auto"/>
            <w:noWrap/>
            <w:vAlign w:val="center"/>
            <w:hideMark/>
          </w:tcPr>
          <w:p w14:paraId="183B24AE"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55.7</w:t>
            </w:r>
          </w:p>
        </w:tc>
        <w:tc>
          <w:tcPr>
            <w:tcW w:w="520" w:type="pct"/>
            <w:shd w:val="clear" w:color="auto" w:fill="auto"/>
            <w:noWrap/>
            <w:vAlign w:val="center"/>
            <w:hideMark/>
          </w:tcPr>
          <w:p w14:paraId="2FFADD89"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2600</w:t>
            </w:r>
          </w:p>
        </w:tc>
        <w:tc>
          <w:tcPr>
            <w:tcW w:w="463" w:type="pct"/>
            <w:shd w:val="clear" w:color="auto" w:fill="auto"/>
            <w:noWrap/>
            <w:vAlign w:val="center"/>
            <w:hideMark/>
          </w:tcPr>
          <w:p w14:paraId="46119EB2"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63.7</w:t>
            </w:r>
          </w:p>
        </w:tc>
      </w:tr>
      <w:tr w:rsidR="00F377E9" w:rsidRPr="00E10230" w14:paraId="6FE5EE52" w14:textId="77777777" w:rsidTr="002E7607">
        <w:trPr>
          <w:trHeight w:val="499"/>
          <w:jc w:val="center"/>
        </w:trPr>
        <w:tc>
          <w:tcPr>
            <w:tcW w:w="1079" w:type="pct"/>
            <w:shd w:val="clear" w:color="auto" w:fill="auto"/>
            <w:noWrap/>
            <w:vAlign w:val="center"/>
            <w:hideMark/>
          </w:tcPr>
          <w:p w14:paraId="3D50E8BE" w14:textId="77777777" w:rsidR="00F377E9" w:rsidRPr="002E7607" w:rsidRDefault="00F377E9" w:rsidP="00E10230">
            <w:pPr>
              <w:spacing w:after="0" w:line="360" w:lineRule="auto"/>
              <w:jc w:val="both"/>
              <w:rPr>
                <w:rFonts w:ascii="Book Antiqua" w:eastAsia="Times New Roman" w:hAnsi="Book Antiqua" w:cs="Arial"/>
                <w:color w:val="000000"/>
                <w:sz w:val="24"/>
                <w:szCs w:val="24"/>
              </w:rPr>
            </w:pPr>
            <w:r w:rsidRPr="002E7607">
              <w:rPr>
                <w:rFonts w:ascii="Book Antiqua" w:eastAsia="Times New Roman" w:hAnsi="Book Antiqua" w:cs="Arial"/>
                <w:color w:val="000000"/>
                <w:sz w:val="24"/>
                <w:szCs w:val="24"/>
              </w:rPr>
              <w:t>65-84</w:t>
            </w:r>
          </w:p>
        </w:tc>
        <w:tc>
          <w:tcPr>
            <w:tcW w:w="571" w:type="pct"/>
            <w:shd w:val="clear" w:color="auto" w:fill="auto"/>
            <w:noWrap/>
            <w:vAlign w:val="center"/>
            <w:hideMark/>
          </w:tcPr>
          <w:p w14:paraId="63FDA068"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12623</w:t>
            </w:r>
          </w:p>
        </w:tc>
        <w:tc>
          <w:tcPr>
            <w:tcW w:w="408" w:type="pct"/>
            <w:shd w:val="clear" w:color="auto" w:fill="auto"/>
            <w:noWrap/>
            <w:vAlign w:val="center"/>
            <w:hideMark/>
          </w:tcPr>
          <w:p w14:paraId="13FF9864"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26.7</w:t>
            </w:r>
          </w:p>
        </w:tc>
        <w:tc>
          <w:tcPr>
            <w:tcW w:w="467" w:type="pct"/>
            <w:shd w:val="clear" w:color="auto" w:fill="auto"/>
            <w:noWrap/>
            <w:vAlign w:val="center"/>
            <w:hideMark/>
          </w:tcPr>
          <w:p w14:paraId="4F85E94D"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189</w:t>
            </w:r>
          </w:p>
        </w:tc>
        <w:tc>
          <w:tcPr>
            <w:tcW w:w="512" w:type="pct"/>
            <w:shd w:val="clear" w:color="auto" w:fill="auto"/>
            <w:noWrap/>
            <w:vAlign w:val="center"/>
            <w:hideMark/>
          </w:tcPr>
          <w:p w14:paraId="5F5418EB"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23.0</w:t>
            </w:r>
          </w:p>
        </w:tc>
        <w:tc>
          <w:tcPr>
            <w:tcW w:w="520" w:type="pct"/>
            <w:shd w:val="clear" w:color="auto" w:fill="auto"/>
            <w:noWrap/>
            <w:vAlign w:val="center"/>
            <w:hideMark/>
          </w:tcPr>
          <w:p w14:paraId="384CE96E"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996</w:t>
            </w:r>
          </w:p>
        </w:tc>
        <w:tc>
          <w:tcPr>
            <w:tcW w:w="460" w:type="pct"/>
            <w:shd w:val="clear" w:color="auto" w:fill="auto"/>
            <w:noWrap/>
            <w:vAlign w:val="center"/>
            <w:hideMark/>
          </w:tcPr>
          <w:p w14:paraId="79A3F6AD"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25.3</w:t>
            </w:r>
          </w:p>
        </w:tc>
        <w:tc>
          <w:tcPr>
            <w:tcW w:w="520" w:type="pct"/>
            <w:shd w:val="clear" w:color="auto" w:fill="auto"/>
            <w:noWrap/>
            <w:vAlign w:val="center"/>
            <w:hideMark/>
          </w:tcPr>
          <w:p w14:paraId="223B4342"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888</w:t>
            </w:r>
          </w:p>
        </w:tc>
        <w:tc>
          <w:tcPr>
            <w:tcW w:w="463" w:type="pct"/>
            <w:shd w:val="clear" w:color="auto" w:fill="auto"/>
            <w:noWrap/>
            <w:vAlign w:val="center"/>
            <w:hideMark/>
          </w:tcPr>
          <w:p w14:paraId="569010EB"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21.8</w:t>
            </w:r>
          </w:p>
        </w:tc>
      </w:tr>
      <w:tr w:rsidR="00F377E9" w:rsidRPr="00E10230" w14:paraId="2D39A9DC" w14:textId="77777777" w:rsidTr="002E7607">
        <w:trPr>
          <w:trHeight w:val="499"/>
          <w:jc w:val="center"/>
        </w:trPr>
        <w:tc>
          <w:tcPr>
            <w:tcW w:w="1079" w:type="pct"/>
            <w:shd w:val="clear" w:color="auto" w:fill="auto"/>
            <w:noWrap/>
            <w:vAlign w:val="center"/>
            <w:hideMark/>
          </w:tcPr>
          <w:p w14:paraId="62F4AFA8" w14:textId="77777777" w:rsidR="00F377E9" w:rsidRPr="002E7607" w:rsidRDefault="00F377E9" w:rsidP="00E10230">
            <w:pPr>
              <w:spacing w:after="0" w:line="360" w:lineRule="auto"/>
              <w:jc w:val="both"/>
              <w:rPr>
                <w:rFonts w:ascii="Book Antiqua" w:eastAsia="Times New Roman" w:hAnsi="Book Antiqua" w:cs="Arial"/>
                <w:color w:val="000000"/>
                <w:sz w:val="24"/>
                <w:szCs w:val="24"/>
              </w:rPr>
            </w:pPr>
            <w:r w:rsidRPr="002E7607">
              <w:rPr>
                <w:rFonts w:ascii="Book Antiqua" w:eastAsia="Times New Roman" w:hAnsi="Book Antiqua" w:cs="Arial"/>
                <w:color w:val="000000"/>
                <w:sz w:val="24"/>
                <w:szCs w:val="24"/>
              </w:rPr>
              <w:t>85+</w:t>
            </w:r>
          </w:p>
        </w:tc>
        <w:tc>
          <w:tcPr>
            <w:tcW w:w="571" w:type="pct"/>
            <w:shd w:val="clear" w:color="auto" w:fill="auto"/>
            <w:noWrap/>
            <w:vAlign w:val="center"/>
            <w:hideMark/>
          </w:tcPr>
          <w:p w14:paraId="6003A136"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622</w:t>
            </w:r>
          </w:p>
        </w:tc>
        <w:tc>
          <w:tcPr>
            <w:tcW w:w="408" w:type="pct"/>
            <w:shd w:val="clear" w:color="auto" w:fill="auto"/>
            <w:noWrap/>
            <w:vAlign w:val="center"/>
            <w:hideMark/>
          </w:tcPr>
          <w:p w14:paraId="064C8503"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1.3</w:t>
            </w:r>
          </w:p>
        </w:tc>
        <w:tc>
          <w:tcPr>
            <w:tcW w:w="467" w:type="pct"/>
            <w:shd w:val="clear" w:color="auto" w:fill="auto"/>
            <w:noWrap/>
            <w:vAlign w:val="center"/>
            <w:hideMark/>
          </w:tcPr>
          <w:p w14:paraId="40978940"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N/A</w:t>
            </w:r>
          </w:p>
        </w:tc>
        <w:tc>
          <w:tcPr>
            <w:tcW w:w="512" w:type="pct"/>
            <w:shd w:val="clear" w:color="auto" w:fill="auto"/>
            <w:noWrap/>
            <w:vAlign w:val="center"/>
            <w:hideMark/>
          </w:tcPr>
          <w:p w14:paraId="107928D4"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N/A</w:t>
            </w:r>
          </w:p>
        </w:tc>
        <w:tc>
          <w:tcPr>
            <w:tcW w:w="520" w:type="pct"/>
            <w:shd w:val="clear" w:color="auto" w:fill="auto"/>
            <w:noWrap/>
            <w:vAlign w:val="center"/>
            <w:hideMark/>
          </w:tcPr>
          <w:p w14:paraId="132018EC"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122</w:t>
            </w:r>
          </w:p>
        </w:tc>
        <w:tc>
          <w:tcPr>
            <w:tcW w:w="460" w:type="pct"/>
            <w:shd w:val="clear" w:color="auto" w:fill="auto"/>
            <w:noWrap/>
            <w:vAlign w:val="center"/>
            <w:hideMark/>
          </w:tcPr>
          <w:p w14:paraId="5168C949"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3.1</w:t>
            </w:r>
          </w:p>
        </w:tc>
        <w:tc>
          <w:tcPr>
            <w:tcW w:w="520" w:type="pct"/>
            <w:shd w:val="clear" w:color="auto" w:fill="auto"/>
            <w:noWrap/>
            <w:vAlign w:val="center"/>
            <w:hideMark/>
          </w:tcPr>
          <w:p w14:paraId="3BFECE29"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N/A</w:t>
            </w:r>
          </w:p>
        </w:tc>
        <w:tc>
          <w:tcPr>
            <w:tcW w:w="463" w:type="pct"/>
            <w:shd w:val="clear" w:color="auto" w:fill="auto"/>
            <w:noWrap/>
            <w:vAlign w:val="center"/>
            <w:hideMark/>
          </w:tcPr>
          <w:p w14:paraId="3937D02A"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N/A</w:t>
            </w:r>
          </w:p>
        </w:tc>
      </w:tr>
      <w:tr w:rsidR="00F377E9" w:rsidRPr="00E10230" w14:paraId="703C26E7" w14:textId="77777777" w:rsidTr="002E7607">
        <w:trPr>
          <w:trHeight w:val="499"/>
          <w:jc w:val="center"/>
        </w:trPr>
        <w:tc>
          <w:tcPr>
            <w:tcW w:w="5000" w:type="pct"/>
            <w:gridSpan w:val="9"/>
            <w:shd w:val="clear" w:color="auto" w:fill="auto"/>
            <w:noWrap/>
            <w:vAlign w:val="center"/>
            <w:hideMark/>
          </w:tcPr>
          <w:p w14:paraId="18362528" w14:textId="77777777" w:rsidR="00F377E9" w:rsidRPr="002E7607" w:rsidRDefault="00F377E9" w:rsidP="00E10230">
            <w:pPr>
              <w:spacing w:after="0" w:line="360" w:lineRule="auto"/>
              <w:jc w:val="both"/>
              <w:rPr>
                <w:rFonts w:ascii="Book Antiqua" w:eastAsia="Times New Roman" w:hAnsi="Book Antiqua" w:cs="Arial"/>
                <w:bCs/>
                <w:color w:val="000000"/>
                <w:sz w:val="24"/>
                <w:szCs w:val="24"/>
              </w:rPr>
            </w:pPr>
            <w:r w:rsidRPr="002E7607">
              <w:rPr>
                <w:rFonts w:ascii="Book Antiqua" w:eastAsia="Times New Roman" w:hAnsi="Book Antiqua" w:cs="Arial"/>
                <w:bCs/>
                <w:color w:val="000000"/>
                <w:sz w:val="24"/>
                <w:szCs w:val="24"/>
              </w:rPr>
              <w:t>Payer</w:t>
            </w:r>
          </w:p>
        </w:tc>
      </w:tr>
      <w:tr w:rsidR="00F377E9" w:rsidRPr="00E10230" w14:paraId="5C2CBCC6" w14:textId="77777777" w:rsidTr="002E7607">
        <w:trPr>
          <w:trHeight w:val="499"/>
          <w:jc w:val="center"/>
        </w:trPr>
        <w:tc>
          <w:tcPr>
            <w:tcW w:w="1079" w:type="pct"/>
            <w:shd w:val="clear" w:color="auto" w:fill="auto"/>
            <w:noWrap/>
            <w:vAlign w:val="center"/>
            <w:hideMark/>
          </w:tcPr>
          <w:p w14:paraId="4EAD4EAC" w14:textId="77777777" w:rsidR="00F377E9" w:rsidRPr="002E7607" w:rsidRDefault="00F377E9" w:rsidP="00E10230">
            <w:pPr>
              <w:spacing w:after="0" w:line="360" w:lineRule="auto"/>
              <w:jc w:val="both"/>
              <w:rPr>
                <w:rFonts w:ascii="Book Antiqua" w:eastAsia="Times New Roman" w:hAnsi="Book Antiqua" w:cs="Arial"/>
                <w:color w:val="000000"/>
                <w:sz w:val="24"/>
                <w:szCs w:val="24"/>
              </w:rPr>
            </w:pPr>
            <w:r w:rsidRPr="002E7607">
              <w:rPr>
                <w:rFonts w:ascii="Book Antiqua" w:eastAsia="Times New Roman" w:hAnsi="Book Antiqua" w:cs="Arial"/>
                <w:color w:val="000000"/>
                <w:sz w:val="24"/>
                <w:szCs w:val="24"/>
              </w:rPr>
              <w:t>Medicare</w:t>
            </w:r>
          </w:p>
        </w:tc>
        <w:tc>
          <w:tcPr>
            <w:tcW w:w="571" w:type="pct"/>
            <w:shd w:val="clear" w:color="auto" w:fill="auto"/>
            <w:noWrap/>
            <w:vAlign w:val="center"/>
            <w:hideMark/>
          </w:tcPr>
          <w:p w14:paraId="69B005E8"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20002</w:t>
            </w:r>
          </w:p>
        </w:tc>
        <w:tc>
          <w:tcPr>
            <w:tcW w:w="408" w:type="pct"/>
            <w:shd w:val="clear" w:color="auto" w:fill="auto"/>
            <w:noWrap/>
            <w:vAlign w:val="center"/>
            <w:hideMark/>
          </w:tcPr>
          <w:p w14:paraId="20DF84ED"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42.3</w:t>
            </w:r>
          </w:p>
        </w:tc>
        <w:tc>
          <w:tcPr>
            <w:tcW w:w="467" w:type="pct"/>
            <w:shd w:val="clear" w:color="auto" w:fill="auto"/>
            <w:noWrap/>
            <w:vAlign w:val="center"/>
            <w:hideMark/>
          </w:tcPr>
          <w:p w14:paraId="39FB444D"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338</w:t>
            </w:r>
          </w:p>
        </w:tc>
        <w:tc>
          <w:tcPr>
            <w:tcW w:w="512" w:type="pct"/>
            <w:shd w:val="clear" w:color="auto" w:fill="auto"/>
            <w:noWrap/>
            <w:vAlign w:val="center"/>
            <w:hideMark/>
          </w:tcPr>
          <w:p w14:paraId="77780D65"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41.2</w:t>
            </w:r>
          </w:p>
        </w:tc>
        <w:tc>
          <w:tcPr>
            <w:tcW w:w="520" w:type="pct"/>
            <w:shd w:val="clear" w:color="auto" w:fill="auto"/>
            <w:noWrap/>
            <w:vAlign w:val="center"/>
            <w:hideMark/>
          </w:tcPr>
          <w:p w14:paraId="53A6CA36"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1298</w:t>
            </w:r>
          </w:p>
        </w:tc>
        <w:tc>
          <w:tcPr>
            <w:tcW w:w="460" w:type="pct"/>
            <w:shd w:val="clear" w:color="auto" w:fill="auto"/>
            <w:noWrap/>
            <w:vAlign w:val="center"/>
            <w:hideMark/>
          </w:tcPr>
          <w:p w14:paraId="40A85076"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32.9</w:t>
            </w:r>
          </w:p>
        </w:tc>
        <w:tc>
          <w:tcPr>
            <w:tcW w:w="520" w:type="pct"/>
            <w:shd w:val="clear" w:color="auto" w:fill="auto"/>
            <w:noWrap/>
            <w:vAlign w:val="center"/>
            <w:hideMark/>
          </w:tcPr>
          <w:p w14:paraId="1423865A"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1243</w:t>
            </w:r>
          </w:p>
        </w:tc>
        <w:tc>
          <w:tcPr>
            <w:tcW w:w="463" w:type="pct"/>
            <w:shd w:val="clear" w:color="auto" w:fill="auto"/>
            <w:noWrap/>
            <w:vAlign w:val="center"/>
            <w:hideMark/>
          </w:tcPr>
          <w:p w14:paraId="31E5E91D"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30.5</w:t>
            </w:r>
          </w:p>
        </w:tc>
      </w:tr>
      <w:tr w:rsidR="00F377E9" w:rsidRPr="00E10230" w14:paraId="5EA46476" w14:textId="77777777" w:rsidTr="002E7607">
        <w:trPr>
          <w:trHeight w:val="499"/>
          <w:jc w:val="center"/>
        </w:trPr>
        <w:tc>
          <w:tcPr>
            <w:tcW w:w="1079" w:type="pct"/>
            <w:shd w:val="clear" w:color="auto" w:fill="auto"/>
            <w:noWrap/>
            <w:vAlign w:val="center"/>
            <w:hideMark/>
          </w:tcPr>
          <w:p w14:paraId="3B52DD75" w14:textId="77777777" w:rsidR="00F377E9" w:rsidRPr="002E7607" w:rsidRDefault="00F377E9" w:rsidP="00E10230">
            <w:pPr>
              <w:spacing w:after="0" w:line="360" w:lineRule="auto"/>
              <w:jc w:val="both"/>
              <w:rPr>
                <w:rFonts w:ascii="Book Antiqua" w:eastAsia="Times New Roman" w:hAnsi="Book Antiqua" w:cs="Arial"/>
                <w:color w:val="000000"/>
                <w:sz w:val="24"/>
                <w:szCs w:val="24"/>
              </w:rPr>
            </w:pPr>
            <w:r w:rsidRPr="002E7607">
              <w:rPr>
                <w:rFonts w:ascii="Book Antiqua" w:eastAsia="Times New Roman" w:hAnsi="Book Antiqua" w:cs="Arial"/>
                <w:color w:val="000000"/>
                <w:sz w:val="24"/>
                <w:szCs w:val="24"/>
              </w:rPr>
              <w:t>Medicaid</w:t>
            </w:r>
          </w:p>
        </w:tc>
        <w:tc>
          <w:tcPr>
            <w:tcW w:w="571" w:type="pct"/>
            <w:shd w:val="clear" w:color="auto" w:fill="auto"/>
            <w:noWrap/>
            <w:vAlign w:val="center"/>
            <w:hideMark/>
          </w:tcPr>
          <w:p w14:paraId="7506B00F"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11819</w:t>
            </w:r>
          </w:p>
        </w:tc>
        <w:tc>
          <w:tcPr>
            <w:tcW w:w="408" w:type="pct"/>
            <w:shd w:val="clear" w:color="auto" w:fill="auto"/>
            <w:noWrap/>
            <w:vAlign w:val="center"/>
            <w:hideMark/>
          </w:tcPr>
          <w:p w14:paraId="1C9D387F"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25.0</w:t>
            </w:r>
          </w:p>
        </w:tc>
        <w:tc>
          <w:tcPr>
            <w:tcW w:w="467" w:type="pct"/>
            <w:shd w:val="clear" w:color="auto" w:fill="auto"/>
            <w:noWrap/>
            <w:vAlign w:val="center"/>
            <w:hideMark/>
          </w:tcPr>
          <w:p w14:paraId="568D1C27"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181</w:t>
            </w:r>
          </w:p>
        </w:tc>
        <w:tc>
          <w:tcPr>
            <w:tcW w:w="512" w:type="pct"/>
            <w:shd w:val="clear" w:color="auto" w:fill="auto"/>
            <w:noWrap/>
            <w:vAlign w:val="center"/>
            <w:hideMark/>
          </w:tcPr>
          <w:p w14:paraId="7E7DF0F6"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22.1</w:t>
            </w:r>
          </w:p>
        </w:tc>
        <w:tc>
          <w:tcPr>
            <w:tcW w:w="520" w:type="pct"/>
            <w:shd w:val="clear" w:color="auto" w:fill="auto"/>
            <w:noWrap/>
            <w:vAlign w:val="center"/>
            <w:hideMark/>
          </w:tcPr>
          <w:p w14:paraId="409203AE"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639</w:t>
            </w:r>
          </w:p>
        </w:tc>
        <w:tc>
          <w:tcPr>
            <w:tcW w:w="460" w:type="pct"/>
            <w:shd w:val="clear" w:color="auto" w:fill="auto"/>
            <w:noWrap/>
            <w:vAlign w:val="center"/>
            <w:hideMark/>
          </w:tcPr>
          <w:p w14:paraId="3CA3FCDB"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16.2</w:t>
            </w:r>
          </w:p>
        </w:tc>
        <w:tc>
          <w:tcPr>
            <w:tcW w:w="520" w:type="pct"/>
            <w:shd w:val="clear" w:color="auto" w:fill="auto"/>
            <w:noWrap/>
            <w:vAlign w:val="center"/>
            <w:hideMark/>
          </w:tcPr>
          <w:p w14:paraId="7A2844CE"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870</w:t>
            </w:r>
          </w:p>
        </w:tc>
        <w:tc>
          <w:tcPr>
            <w:tcW w:w="463" w:type="pct"/>
            <w:shd w:val="clear" w:color="auto" w:fill="auto"/>
            <w:noWrap/>
            <w:vAlign w:val="center"/>
            <w:hideMark/>
          </w:tcPr>
          <w:p w14:paraId="75E49E93"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21.3</w:t>
            </w:r>
          </w:p>
        </w:tc>
      </w:tr>
      <w:tr w:rsidR="00F377E9" w:rsidRPr="00E10230" w14:paraId="1F2A9982" w14:textId="77777777" w:rsidTr="002E7607">
        <w:trPr>
          <w:trHeight w:val="499"/>
          <w:jc w:val="center"/>
        </w:trPr>
        <w:tc>
          <w:tcPr>
            <w:tcW w:w="1079" w:type="pct"/>
            <w:shd w:val="clear" w:color="auto" w:fill="auto"/>
            <w:noWrap/>
            <w:vAlign w:val="center"/>
            <w:hideMark/>
          </w:tcPr>
          <w:p w14:paraId="63AEF4D5" w14:textId="77777777" w:rsidR="00F377E9" w:rsidRPr="002E7607" w:rsidRDefault="00F377E9" w:rsidP="00E10230">
            <w:pPr>
              <w:spacing w:after="0" w:line="360" w:lineRule="auto"/>
              <w:jc w:val="both"/>
              <w:rPr>
                <w:rFonts w:ascii="Book Antiqua" w:eastAsia="Times New Roman" w:hAnsi="Book Antiqua" w:cs="Arial"/>
                <w:color w:val="000000"/>
                <w:sz w:val="24"/>
                <w:szCs w:val="24"/>
              </w:rPr>
            </w:pPr>
            <w:r w:rsidRPr="002E7607">
              <w:rPr>
                <w:rFonts w:ascii="Book Antiqua" w:eastAsia="Times New Roman" w:hAnsi="Book Antiqua" w:cs="Arial"/>
                <w:color w:val="000000"/>
                <w:sz w:val="24"/>
                <w:szCs w:val="24"/>
              </w:rPr>
              <w:t>Private insurance</w:t>
            </w:r>
          </w:p>
        </w:tc>
        <w:tc>
          <w:tcPr>
            <w:tcW w:w="571" w:type="pct"/>
            <w:shd w:val="clear" w:color="auto" w:fill="auto"/>
            <w:noWrap/>
            <w:vAlign w:val="center"/>
            <w:hideMark/>
          </w:tcPr>
          <w:p w14:paraId="49F373C8"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10833</w:t>
            </w:r>
          </w:p>
        </w:tc>
        <w:tc>
          <w:tcPr>
            <w:tcW w:w="408" w:type="pct"/>
            <w:shd w:val="clear" w:color="auto" w:fill="auto"/>
            <w:noWrap/>
            <w:vAlign w:val="center"/>
            <w:hideMark/>
          </w:tcPr>
          <w:p w14:paraId="1BADA8C8"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22.9</w:t>
            </w:r>
          </w:p>
        </w:tc>
        <w:tc>
          <w:tcPr>
            <w:tcW w:w="467" w:type="pct"/>
            <w:shd w:val="clear" w:color="auto" w:fill="auto"/>
            <w:noWrap/>
            <w:vAlign w:val="center"/>
            <w:hideMark/>
          </w:tcPr>
          <w:p w14:paraId="7030D46C"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193</w:t>
            </w:r>
          </w:p>
        </w:tc>
        <w:tc>
          <w:tcPr>
            <w:tcW w:w="512" w:type="pct"/>
            <w:shd w:val="clear" w:color="auto" w:fill="auto"/>
            <w:noWrap/>
            <w:vAlign w:val="center"/>
            <w:hideMark/>
          </w:tcPr>
          <w:p w14:paraId="1C523649"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23.5</w:t>
            </w:r>
          </w:p>
        </w:tc>
        <w:tc>
          <w:tcPr>
            <w:tcW w:w="520" w:type="pct"/>
            <w:shd w:val="clear" w:color="auto" w:fill="auto"/>
            <w:noWrap/>
            <w:vAlign w:val="center"/>
            <w:hideMark/>
          </w:tcPr>
          <w:p w14:paraId="18F95C86"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1271</w:t>
            </w:r>
          </w:p>
        </w:tc>
        <w:tc>
          <w:tcPr>
            <w:tcW w:w="460" w:type="pct"/>
            <w:shd w:val="clear" w:color="auto" w:fill="auto"/>
            <w:noWrap/>
            <w:vAlign w:val="center"/>
            <w:hideMark/>
          </w:tcPr>
          <w:p w14:paraId="315F3787"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32.2</w:t>
            </w:r>
          </w:p>
        </w:tc>
        <w:tc>
          <w:tcPr>
            <w:tcW w:w="520" w:type="pct"/>
            <w:shd w:val="clear" w:color="auto" w:fill="auto"/>
            <w:noWrap/>
            <w:vAlign w:val="center"/>
            <w:hideMark/>
          </w:tcPr>
          <w:p w14:paraId="2CE20E63"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1555</w:t>
            </w:r>
          </w:p>
        </w:tc>
        <w:tc>
          <w:tcPr>
            <w:tcW w:w="463" w:type="pct"/>
            <w:shd w:val="clear" w:color="auto" w:fill="auto"/>
            <w:noWrap/>
            <w:vAlign w:val="center"/>
            <w:hideMark/>
          </w:tcPr>
          <w:p w14:paraId="774EA55B"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38.1</w:t>
            </w:r>
          </w:p>
        </w:tc>
      </w:tr>
      <w:tr w:rsidR="00F377E9" w:rsidRPr="00E10230" w14:paraId="5F24ADBD" w14:textId="77777777" w:rsidTr="002E7607">
        <w:trPr>
          <w:trHeight w:val="499"/>
          <w:jc w:val="center"/>
        </w:trPr>
        <w:tc>
          <w:tcPr>
            <w:tcW w:w="1079" w:type="pct"/>
            <w:shd w:val="clear" w:color="auto" w:fill="auto"/>
            <w:noWrap/>
            <w:vAlign w:val="center"/>
            <w:hideMark/>
          </w:tcPr>
          <w:p w14:paraId="404FD709" w14:textId="77777777" w:rsidR="00F377E9" w:rsidRPr="002E7607" w:rsidRDefault="00F377E9" w:rsidP="00E10230">
            <w:pPr>
              <w:spacing w:after="0" w:line="360" w:lineRule="auto"/>
              <w:jc w:val="both"/>
              <w:rPr>
                <w:rFonts w:ascii="Book Antiqua" w:eastAsia="Times New Roman" w:hAnsi="Book Antiqua" w:cs="Arial"/>
                <w:color w:val="000000"/>
                <w:sz w:val="24"/>
                <w:szCs w:val="24"/>
              </w:rPr>
            </w:pPr>
            <w:r w:rsidRPr="002E7607">
              <w:rPr>
                <w:rFonts w:ascii="Book Antiqua" w:eastAsia="Times New Roman" w:hAnsi="Book Antiqua" w:cs="Arial"/>
                <w:color w:val="000000"/>
                <w:sz w:val="24"/>
                <w:szCs w:val="24"/>
              </w:rPr>
              <w:t>Uninsured</w:t>
            </w:r>
          </w:p>
        </w:tc>
        <w:tc>
          <w:tcPr>
            <w:tcW w:w="571" w:type="pct"/>
            <w:shd w:val="clear" w:color="auto" w:fill="auto"/>
            <w:noWrap/>
            <w:vAlign w:val="center"/>
            <w:hideMark/>
          </w:tcPr>
          <w:p w14:paraId="51F940B2"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2785</w:t>
            </w:r>
          </w:p>
        </w:tc>
        <w:tc>
          <w:tcPr>
            <w:tcW w:w="408" w:type="pct"/>
            <w:shd w:val="clear" w:color="auto" w:fill="auto"/>
            <w:noWrap/>
            <w:vAlign w:val="center"/>
            <w:hideMark/>
          </w:tcPr>
          <w:p w14:paraId="6233D0FE"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5.9</w:t>
            </w:r>
          </w:p>
        </w:tc>
        <w:tc>
          <w:tcPr>
            <w:tcW w:w="467" w:type="pct"/>
            <w:shd w:val="clear" w:color="auto" w:fill="auto"/>
            <w:noWrap/>
            <w:vAlign w:val="center"/>
            <w:hideMark/>
          </w:tcPr>
          <w:p w14:paraId="78E5826D"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65</w:t>
            </w:r>
          </w:p>
        </w:tc>
        <w:tc>
          <w:tcPr>
            <w:tcW w:w="512" w:type="pct"/>
            <w:shd w:val="clear" w:color="auto" w:fill="auto"/>
            <w:noWrap/>
            <w:vAlign w:val="center"/>
            <w:hideMark/>
          </w:tcPr>
          <w:p w14:paraId="17C98DDB"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7.9</w:t>
            </w:r>
          </w:p>
        </w:tc>
        <w:tc>
          <w:tcPr>
            <w:tcW w:w="520" w:type="pct"/>
            <w:shd w:val="clear" w:color="auto" w:fill="auto"/>
            <w:noWrap/>
            <w:vAlign w:val="center"/>
            <w:hideMark/>
          </w:tcPr>
          <w:p w14:paraId="2A53C095"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537</w:t>
            </w:r>
          </w:p>
        </w:tc>
        <w:tc>
          <w:tcPr>
            <w:tcW w:w="460" w:type="pct"/>
            <w:shd w:val="clear" w:color="auto" w:fill="auto"/>
            <w:noWrap/>
            <w:vAlign w:val="center"/>
            <w:hideMark/>
          </w:tcPr>
          <w:p w14:paraId="6A0FEC8B"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13.6</w:t>
            </w:r>
          </w:p>
        </w:tc>
        <w:tc>
          <w:tcPr>
            <w:tcW w:w="520" w:type="pct"/>
            <w:shd w:val="clear" w:color="auto" w:fill="auto"/>
            <w:noWrap/>
            <w:vAlign w:val="center"/>
            <w:hideMark/>
          </w:tcPr>
          <w:p w14:paraId="7FF27738"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237</w:t>
            </w:r>
          </w:p>
        </w:tc>
        <w:tc>
          <w:tcPr>
            <w:tcW w:w="463" w:type="pct"/>
            <w:shd w:val="clear" w:color="auto" w:fill="auto"/>
            <w:noWrap/>
            <w:vAlign w:val="center"/>
            <w:hideMark/>
          </w:tcPr>
          <w:p w14:paraId="13D4A0AC"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5.8</w:t>
            </w:r>
          </w:p>
        </w:tc>
      </w:tr>
      <w:tr w:rsidR="00F377E9" w:rsidRPr="00E10230" w14:paraId="51CEBC5B" w14:textId="77777777" w:rsidTr="002E7607">
        <w:trPr>
          <w:trHeight w:val="499"/>
          <w:jc w:val="center"/>
        </w:trPr>
        <w:tc>
          <w:tcPr>
            <w:tcW w:w="1079" w:type="pct"/>
            <w:shd w:val="clear" w:color="auto" w:fill="auto"/>
            <w:noWrap/>
            <w:vAlign w:val="center"/>
            <w:hideMark/>
          </w:tcPr>
          <w:p w14:paraId="1D2A21E6" w14:textId="77777777" w:rsidR="00F377E9" w:rsidRPr="002E7607" w:rsidRDefault="00F377E9" w:rsidP="00E10230">
            <w:pPr>
              <w:spacing w:after="0" w:line="360" w:lineRule="auto"/>
              <w:jc w:val="both"/>
              <w:rPr>
                <w:rFonts w:ascii="Book Antiqua" w:eastAsia="Times New Roman" w:hAnsi="Book Antiqua" w:cs="Arial"/>
                <w:color w:val="000000"/>
                <w:sz w:val="24"/>
                <w:szCs w:val="24"/>
              </w:rPr>
            </w:pPr>
            <w:r w:rsidRPr="002E7607">
              <w:rPr>
                <w:rFonts w:ascii="Book Antiqua" w:eastAsia="Times New Roman" w:hAnsi="Book Antiqua" w:cs="Arial"/>
                <w:color w:val="000000"/>
                <w:sz w:val="24"/>
                <w:szCs w:val="24"/>
              </w:rPr>
              <w:t>Other</w:t>
            </w:r>
          </w:p>
        </w:tc>
        <w:tc>
          <w:tcPr>
            <w:tcW w:w="571" w:type="pct"/>
            <w:shd w:val="clear" w:color="auto" w:fill="auto"/>
            <w:noWrap/>
            <w:vAlign w:val="center"/>
            <w:hideMark/>
          </w:tcPr>
          <w:p w14:paraId="74634028"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1782</w:t>
            </w:r>
          </w:p>
        </w:tc>
        <w:tc>
          <w:tcPr>
            <w:tcW w:w="408" w:type="pct"/>
            <w:shd w:val="clear" w:color="auto" w:fill="auto"/>
            <w:noWrap/>
            <w:vAlign w:val="center"/>
            <w:hideMark/>
          </w:tcPr>
          <w:p w14:paraId="1EA122F0"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3.8</w:t>
            </w:r>
          </w:p>
        </w:tc>
        <w:tc>
          <w:tcPr>
            <w:tcW w:w="467" w:type="pct"/>
            <w:shd w:val="clear" w:color="auto" w:fill="auto"/>
            <w:noWrap/>
            <w:vAlign w:val="center"/>
            <w:hideMark/>
          </w:tcPr>
          <w:p w14:paraId="26C613F3"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N/A</w:t>
            </w:r>
          </w:p>
        </w:tc>
        <w:tc>
          <w:tcPr>
            <w:tcW w:w="512" w:type="pct"/>
            <w:shd w:val="clear" w:color="auto" w:fill="auto"/>
            <w:noWrap/>
            <w:vAlign w:val="center"/>
            <w:hideMark/>
          </w:tcPr>
          <w:p w14:paraId="17F8250D"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N/A</w:t>
            </w:r>
          </w:p>
        </w:tc>
        <w:tc>
          <w:tcPr>
            <w:tcW w:w="520" w:type="pct"/>
            <w:shd w:val="clear" w:color="auto" w:fill="auto"/>
            <w:noWrap/>
            <w:vAlign w:val="center"/>
            <w:hideMark/>
          </w:tcPr>
          <w:p w14:paraId="25B21A0C"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192</w:t>
            </w:r>
          </w:p>
        </w:tc>
        <w:tc>
          <w:tcPr>
            <w:tcW w:w="460" w:type="pct"/>
            <w:shd w:val="clear" w:color="auto" w:fill="auto"/>
            <w:noWrap/>
            <w:vAlign w:val="center"/>
            <w:hideMark/>
          </w:tcPr>
          <w:p w14:paraId="3C9E0C49"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4.9</w:t>
            </w:r>
          </w:p>
        </w:tc>
        <w:tc>
          <w:tcPr>
            <w:tcW w:w="520" w:type="pct"/>
            <w:shd w:val="clear" w:color="auto" w:fill="auto"/>
            <w:noWrap/>
            <w:vAlign w:val="center"/>
            <w:hideMark/>
          </w:tcPr>
          <w:p w14:paraId="164A22C4"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174</w:t>
            </w:r>
          </w:p>
        </w:tc>
        <w:tc>
          <w:tcPr>
            <w:tcW w:w="463" w:type="pct"/>
            <w:shd w:val="clear" w:color="auto" w:fill="auto"/>
            <w:noWrap/>
            <w:vAlign w:val="center"/>
            <w:hideMark/>
          </w:tcPr>
          <w:p w14:paraId="35246F4D"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4.3</w:t>
            </w:r>
          </w:p>
        </w:tc>
      </w:tr>
      <w:tr w:rsidR="00F377E9" w:rsidRPr="00E10230" w14:paraId="01A4EEEB" w14:textId="77777777" w:rsidTr="002E7607">
        <w:trPr>
          <w:trHeight w:val="499"/>
          <w:jc w:val="center"/>
        </w:trPr>
        <w:tc>
          <w:tcPr>
            <w:tcW w:w="1079" w:type="pct"/>
            <w:shd w:val="clear" w:color="auto" w:fill="auto"/>
            <w:noWrap/>
            <w:vAlign w:val="center"/>
            <w:hideMark/>
          </w:tcPr>
          <w:p w14:paraId="031CD1AB" w14:textId="77777777" w:rsidR="00F377E9" w:rsidRPr="002E7607" w:rsidRDefault="00F377E9" w:rsidP="00E10230">
            <w:pPr>
              <w:spacing w:after="0" w:line="360" w:lineRule="auto"/>
              <w:jc w:val="both"/>
              <w:rPr>
                <w:rFonts w:ascii="Book Antiqua" w:eastAsia="Times New Roman" w:hAnsi="Book Antiqua" w:cs="Arial"/>
                <w:color w:val="000000"/>
                <w:sz w:val="24"/>
                <w:szCs w:val="24"/>
              </w:rPr>
            </w:pPr>
            <w:r w:rsidRPr="002E7607">
              <w:rPr>
                <w:rFonts w:ascii="Book Antiqua" w:eastAsia="Times New Roman" w:hAnsi="Book Antiqua" w:cs="Arial"/>
                <w:color w:val="000000"/>
                <w:sz w:val="24"/>
                <w:szCs w:val="24"/>
              </w:rPr>
              <w:t>Missing</w:t>
            </w:r>
          </w:p>
        </w:tc>
        <w:tc>
          <w:tcPr>
            <w:tcW w:w="571" w:type="pct"/>
            <w:shd w:val="clear" w:color="auto" w:fill="auto"/>
            <w:noWrap/>
            <w:vAlign w:val="center"/>
            <w:hideMark/>
          </w:tcPr>
          <w:p w14:paraId="03A44219"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N/A</w:t>
            </w:r>
          </w:p>
        </w:tc>
        <w:tc>
          <w:tcPr>
            <w:tcW w:w="408" w:type="pct"/>
            <w:shd w:val="clear" w:color="auto" w:fill="auto"/>
            <w:noWrap/>
            <w:vAlign w:val="center"/>
            <w:hideMark/>
          </w:tcPr>
          <w:p w14:paraId="4F887CAB"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N/A</w:t>
            </w:r>
          </w:p>
        </w:tc>
        <w:tc>
          <w:tcPr>
            <w:tcW w:w="467" w:type="pct"/>
            <w:shd w:val="clear" w:color="auto" w:fill="auto"/>
            <w:noWrap/>
            <w:vAlign w:val="center"/>
            <w:hideMark/>
          </w:tcPr>
          <w:p w14:paraId="422396CF"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N/A</w:t>
            </w:r>
          </w:p>
        </w:tc>
        <w:tc>
          <w:tcPr>
            <w:tcW w:w="512" w:type="pct"/>
            <w:shd w:val="clear" w:color="auto" w:fill="auto"/>
            <w:noWrap/>
            <w:vAlign w:val="center"/>
            <w:hideMark/>
          </w:tcPr>
          <w:p w14:paraId="6A5D66ED"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N/A</w:t>
            </w:r>
          </w:p>
        </w:tc>
        <w:tc>
          <w:tcPr>
            <w:tcW w:w="520" w:type="pct"/>
            <w:shd w:val="clear" w:color="auto" w:fill="auto"/>
            <w:noWrap/>
            <w:vAlign w:val="center"/>
            <w:hideMark/>
          </w:tcPr>
          <w:p w14:paraId="1C42893C"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N/A</w:t>
            </w:r>
          </w:p>
        </w:tc>
        <w:tc>
          <w:tcPr>
            <w:tcW w:w="460" w:type="pct"/>
            <w:shd w:val="clear" w:color="auto" w:fill="auto"/>
            <w:noWrap/>
            <w:vAlign w:val="center"/>
            <w:hideMark/>
          </w:tcPr>
          <w:p w14:paraId="3F97954B"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N/A</w:t>
            </w:r>
          </w:p>
        </w:tc>
        <w:tc>
          <w:tcPr>
            <w:tcW w:w="520" w:type="pct"/>
            <w:shd w:val="clear" w:color="auto" w:fill="auto"/>
            <w:noWrap/>
            <w:vAlign w:val="center"/>
            <w:hideMark/>
          </w:tcPr>
          <w:p w14:paraId="35473790"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N/A</w:t>
            </w:r>
          </w:p>
        </w:tc>
        <w:tc>
          <w:tcPr>
            <w:tcW w:w="463" w:type="pct"/>
            <w:shd w:val="clear" w:color="auto" w:fill="auto"/>
            <w:noWrap/>
            <w:vAlign w:val="center"/>
            <w:hideMark/>
          </w:tcPr>
          <w:p w14:paraId="082B5693"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N/A</w:t>
            </w:r>
          </w:p>
        </w:tc>
      </w:tr>
      <w:tr w:rsidR="00F377E9" w:rsidRPr="00E10230" w14:paraId="36640F14" w14:textId="77777777" w:rsidTr="002E7607">
        <w:trPr>
          <w:trHeight w:val="499"/>
          <w:jc w:val="center"/>
        </w:trPr>
        <w:tc>
          <w:tcPr>
            <w:tcW w:w="5000" w:type="pct"/>
            <w:gridSpan w:val="9"/>
            <w:shd w:val="clear" w:color="auto" w:fill="auto"/>
            <w:noWrap/>
            <w:vAlign w:val="center"/>
            <w:hideMark/>
          </w:tcPr>
          <w:p w14:paraId="2F6E529D" w14:textId="77777777" w:rsidR="00F377E9" w:rsidRPr="002E7607" w:rsidRDefault="00F377E9" w:rsidP="00E10230">
            <w:pPr>
              <w:spacing w:after="0" w:line="360" w:lineRule="auto"/>
              <w:jc w:val="both"/>
              <w:rPr>
                <w:rFonts w:ascii="Book Antiqua" w:eastAsia="Times New Roman" w:hAnsi="Book Antiqua" w:cs="Arial"/>
                <w:bCs/>
                <w:color w:val="000000"/>
                <w:sz w:val="24"/>
                <w:szCs w:val="24"/>
              </w:rPr>
            </w:pPr>
            <w:r w:rsidRPr="002E7607">
              <w:rPr>
                <w:rFonts w:ascii="Book Antiqua" w:eastAsia="Times New Roman" w:hAnsi="Book Antiqua" w:cs="Arial"/>
                <w:bCs/>
                <w:color w:val="000000"/>
                <w:sz w:val="24"/>
                <w:szCs w:val="24"/>
              </w:rPr>
              <w:t>Bed sizes</w:t>
            </w:r>
          </w:p>
        </w:tc>
      </w:tr>
      <w:tr w:rsidR="00F377E9" w:rsidRPr="00E10230" w14:paraId="591BE8AD" w14:textId="77777777" w:rsidTr="002E7607">
        <w:trPr>
          <w:trHeight w:val="499"/>
          <w:jc w:val="center"/>
        </w:trPr>
        <w:tc>
          <w:tcPr>
            <w:tcW w:w="1079" w:type="pct"/>
            <w:shd w:val="clear" w:color="auto" w:fill="auto"/>
            <w:noWrap/>
            <w:vAlign w:val="center"/>
            <w:hideMark/>
          </w:tcPr>
          <w:p w14:paraId="37A34087" w14:textId="77777777" w:rsidR="00F377E9" w:rsidRPr="002E7607" w:rsidRDefault="00F377E9" w:rsidP="00E10230">
            <w:pPr>
              <w:spacing w:after="0" w:line="360" w:lineRule="auto"/>
              <w:jc w:val="both"/>
              <w:rPr>
                <w:rFonts w:ascii="Book Antiqua" w:eastAsia="Times New Roman" w:hAnsi="Book Antiqua" w:cs="Arial"/>
                <w:color w:val="000000"/>
                <w:sz w:val="24"/>
                <w:szCs w:val="24"/>
              </w:rPr>
            </w:pPr>
            <w:r w:rsidRPr="002E7607">
              <w:rPr>
                <w:rFonts w:ascii="Book Antiqua" w:eastAsia="Times New Roman" w:hAnsi="Book Antiqua" w:cs="Arial"/>
                <w:color w:val="000000"/>
                <w:sz w:val="24"/>
                <w:szCs w:val="24"/>
              </w:rPr>
              <w:t>Small</w:t>
            </w:r>
          </w:p>
        </w:tc>
        <w:tc>
          <w:tcPr>
            <w:tcW w:w="571" w:type="pct"/>
            <w:shd w:val="clear" w:color="auto" w:fill="auto"/>
            <w:noWrap/>
            <w:vAlign w:val="center"/>
            <w:hideMark/>
          </w:tcPr>
          <w:p w14:paraId="0CEF5D81"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4869</w:t>
            </w:r>
          </w:p>
        </w:tc>
        <w:tc>
          <w:tcPr>
            <w:tcW w:w="408" w:type="pct"/>
            <w:shd w:val="clear" w:color="auto" w:fill="auto"/>
            <w:noWrap/>
            <w:vAlign w:val="center"/>
            <w:hideMark/>
          </w:tcPr>
          <w:p w14:paraId="55E2C4E6"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10.3</w:t>
            </w:r>
          </w:p>
        </w:tc>
        <w:tc>
          <w:tcPr>
            <w:tcW w:w="467" w:type="pct"/>
            <w:shd w:val="clear" w:color="auto" w:fill="auto"/>
            <w:noWrap/>
            <w:vAlign w:val="center"/>
            <w:hideMark/>
          </w:tcPr>
          <w:p w14:paraId="77A89DBE"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111</w:t>
            </w:r>
          </w:p>
        </w:tc>
        <w:tc>
          <w:tcPr>
            <w:tcW w:w="512" w:type="pct"/>
            <w:shd w:val="clear" w:color="auto" w:fill="auto"/>
            <w:noWrap/>
            <w:vAlign w:val="center"/>
            <w:hideMark/>
          </w:tcPr>
          <w:p w14:paraId="1AB87B56"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13.5</w:t>
            </w:r>
          </w:p>
        </w:tc>
        <w:tc>
          <w:tcPr>
            <w:tcW w:w="520" w:type="pct"/>
            <w:shd w:val="clear" w:color="auto" w:fill="auto"/>
            <w:noWrap/>
            <w:vAlign w:val="center"/>
            <w:hideMark/>
          </w:tcPr>
          <w:p w14:paraId="326048B7"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520</w:t>
            </w:r>
          </w:p>
        </w:tc>
        <w:tc>
          <w:tcPr>
            <w:tcW w:w="460" w:type="pct"/>
            <w:shd w:val="clear" w:color="auto" w:fill="auto"/>
            <w:noWrap/>
            <w:vAlign w:val="center"/>
            <w:hideMark/>
          </w:tcPr>
          <w:p w14:paraId="32D27058"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13.2</w:t>
            </w:r>
          </w:p>
        </w:tc>
        <w:tc>
          <w:tcPr>
            <w:tcW w:w="520" w:type="pct"/>
            <w:shd w:val="clear" w:color="auto" w:fill="auto"/>
            <w:noWrap/>
            <w:vAlign w:val="center"/>
            <w:hideMark/>
          </w:tcPr>
          <w:p w14:paraId="4E2CADF8"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55</w:t>
            </w:r>
          </w:p>
        </w:tc>
        <w:tc>
          <w:tcPr>
            <w:tcW w:w="463" w:type="pct"/>
            <w:shd w:val="clear" w:color="auto" w:fill="auto"/>
            <w:noWrap/>
            <w:vAlign w:val="center"/>
            <w:hideMark/>
          </w:tcPr>
          <w:p w14:paraId="231AE04E"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1.3</w:t>
            </w:r>
          </w:p>
        </w:tc>
      </w:tr>
      <w:tr w:rsidR="00F377E9" w:rsidRPr="00E10230" w14:paraId="0E141A53" w14:textId="77777777" w:rsidTr="002E7607">
        <w:trPr>
          <w:trHeight w:val="499"/>
          <w:jc w:val="center"/>
        </w:trPr>
        <w:tc>
          <w:tcPr>
            <w:tcW w:w="1079" w:type="pct"/>
            <w:shd w:val="clear" w:color="auto" w:fill="auto"/>
            <w:noWrap/>
            <w:vAlign w:val="center"/>
            <w:hideMark/>
          </w:tcPr>
          <w:p w14:paraId="1EBA149C" w14:textId="77777777" w:rsidR="00F377E9" w:rsidRPr="002E7607" w:rsidRDefault="00F377E9" w:rsidP="00E10230">
            <w:pPr>
              <w:spacing w:after="0" w:line="360" w:lineRule="auto"/>
              <w:jc w:val="both"/>
              <w:rPr>
                <w:rFonts w:ascii="Book Antiqua" w:eastAsia="Times New Roman" w:hAnsi="Book Antiqua" w:cs="Arial"/>
                <w:color w:val="000000"/>
                <w:sz w:val="24"/>
                <w:szCs w:val="24"/>
              </w:rPr>
            </w:pPr>
            <w:r w:rsidRPr="002E7607">
              <w:rPr>
                <w:rFonts w:ascii="Book Antiqua" w:eastAsia="Times New Roman" w:hAnsi="Book Antiqua" w:cs="Arial"/>
                <w:color w:val="000000"/>
                <w:sz w:val="24"/>
                <w:szCs w:val="24"/>
              </w:rPr>
              <w:t>Medium</w:t>
            </w:r>
          </w:p>
        </w:tc>
        <w:tc>
          <w:tcPr>
            <w:tcW w:w="571" w:type="pct"/>
            <w:shd w:val="clear" w:color="auto" w:fill="auto"/>
            <w:noWrap/>
            <w:vAlign w:val="center"/>
            <w:hideMark/>
          </w:tcPr>
          <w:p w14:paraId="63B55D64"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12046</w:t>
            </w:r>
          </w:p>
        </w:tc>
        <w:tc>
          <w:tcPr>
            <w:tcW w:w="408" w:type="pct"/>
            <w:shd w:val="clear" w:color="auto" w:fill="auto"/>
            <w:noWrap/>
            <w:vAlign w:val="center"/>
            <w:hideMark/>
          </w:tcPr>
          <w:p w14:paraId="3FCCB26D"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25.5</w:t>
            </w:r>
          </w:p>
        </w:tc>
        <w:tc>
          <w:tcPr>
            <w:tcW w:w="467" w:type="pct"/>
            <w:shd w:val="clear" w:color="auto" w:fill="auto"/>
            <w:noWrap/>
            <w:vAlign w:val="center"/>
            <w:hideMark/>
          </w:tcPr>
          <w:p w14:paraId="2AE5C50F"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167</w:t>
            </w:r>
          </w:p>
        </w:tc>
        <w:tc>
          <w:tcPr>
            <w:tcW w:w="512" w:type="pct"/>
            <w:shd w:val="clear" w:color="auto" w:fill="auto"/>
            <w:noWrap/>
            <w:vAlign w:val="center"/>
            <w:hideMark/>
          </w:tcPr>
          <w:p w14:paraId="4BC59289"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20.4</w:t>
            </w:r>
          </w:p>
        </w:tc>
        <w:tc>
          <w:tcPr>
            <w:tcW w:w="520" w:type="pct"/>
            <w:shd w:val="clear" w:color="auto" w:fill="auto"/>
            <w:noWrap/>
            <w:vAlign w:val="center"/>
            <w:hideMark/>
          </w:tcPr>
          <w:p w14:paraId="7593738C"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1017</w:t>
            </w:r>
          </w:p>
        </w:tc>
        <w:tc>
          <w:tcPr>
            <w:tcW w:w="460" w:type="pct"/>
            <w:shd w:val="clear" w:color="auto" w:fill="auto"/>
            <w:noWrap/>
            <w:vAlign w:val="center"/>
            <w:hideMark/>
          </w:tcPr>
          <w:p w14:paraId="34C4C3A3"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25.8</w:t>
            </w:r>
          </w:p>
        </w:tc>
        <w:tc>
          <w:tcPr>
            <w:tcW w:w="520" w:type="pct"/>
            <w:shd w:val="clear" w:color="auto" w:fill="auto"/>
            <w:noWrap/>
            <w:vAlign w:val="center"/>
            <w:hideMark/>
          </w:tcPr>
          <w:p w14:paraId="7B920EC4"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861</w:t>
            </w:r>
          </w:p>
        </w:tc>
        <w:tc>
          <w:tcPr>
            <w:tcW w:w="463" w:type="pct"/>
            <w:shd w:val="clear" w:color="auto" w:fill="auto"/>
            <w:noWrap/>
            <w:vAlign w:val="center"/>
            <w:hideMark/>
          </w:tcPr>
          <w:p w14:paraId="2D4D6B24"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21.1</w:t>
            </w:r>
          </w:p>
        </w:tc>
      </w:tr>
      <w:tr w:rsidR="00F377E9" w:rsidRPr="00E10230" w14:paraId="2230F0EE" w14:textId="77777777" w:rsidTr="002E7607">
        <w:trPr>
          <w:trHeight w:val="499"/>
          <w:jc w:val="center"/>
        </w:trPr>
        <w:tc>
          <w:tcPr>
            <w:tcW w:w="1079" w:type="pct"/>
            <w:shd w:val="clear" w:color="auto" w:fill="auto"/>
            <w:noWrap/>
            <w:vAlign w:val="center"/>
            <w:hideMark/>
          </w:tcPr>
          <w:p w14:paraId="34429840" w14:textId="77777777" w:rsidR="00F377E9" w:rsidRPr="002E7607" w:rsidRDefault="00F377E9" w:rsidP="00E10230">
            <w:pPr>
              <w:spacing w:after="0" w:line="360" w:lineRule="auto"/>
              <w:jc w:val="both"/>
              <w:rPr>
                <w:rFonts w:ascii="Book Antiqua" w:eastAsia="Times New Roman" w:hAnsi="Book Antiqua" w:cs="Arial"/>
                <w:color w:val="000000"/>
                <w:sz w:val="24"/>
                <w:szCs w:val="24"/>
              </w:rPr>
            </w:pPr>
            <w:r w:rsidRPr="002E7607">
              <w:rPr>
                <w:rFonts w:ascii="Book Antiqua" w:eastAsia="Times New Roman" w:hAnsi="Book Antiqua" w:cs="Arial"/>
                <w:color w:val="000000"/>
                <w:sz w:val="24"/>
                <w:szCs w:val="24"/>
              </w:rPr>
              <w:t>Large</w:t>
            </w:r>
          </w:p>
        </w:tc>
        <w:tc>
          <w:tcPr>
            <w:tcW w:w="571" w:type="pct"/>
            <w:shd w:val="clear" w:color="auto" w:fill="auto"/>
            <w:noWrap/>
            <w:vAlign w:val="center"/>
            <w:hideMark/>
          </w:tcPr>
          <w:p w14:paraId="79D7AEA1"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30354</w:t>
            </w:r>
          </w:p>
        </w:tc>
        <w:tc>
          <w:tcPr>
            <w:tcW w:w="408" w:type="pct"/>
            <w:shd w:val="clear" w:color="auto" w:fill="auto"/>
            <w:noWrap/>
            <w:vAlign w:val="center"/>
            <w:hideMark/>
          </w:tcPr>
          <w:p w14:paraId="62535F75"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64.2</w:t>
            </w:r>
          </w:p>
        </w:tc>
        <w:tc>
          <w:tcPr>
            <w:tcW w:w="467" w:type="pct"/>
            <w:shd w:val="clear" w:color="auto" w:fill="auto"/>
            <w:noWrap/>
            <w:vAlign w:val="center"/>
            <w:hideMark/>
          </w:tcPr>
          <w:p w14:paraId="3381E6D8"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543</w:t>
            </w:r>
          </w:p>
        </w:tc>
        <w:tc>
          <w:tcPr>
            <w:tcW w:w="512" w:type="pct"/>
            <w:shd w:val="clear" w:color="auto" w:fill="auto"/>
            <w:noWrap/>
            <w:vAlign w:val="center"/>
            <w:hideMark/>
          </w:tcPr>
          <w:p w14:paraId="1981B00F"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66.1</w:t>
            </w:r>
          </w:p>
        </w:tc>
        <w:tc>
          <w:tcPr>
            <w:tcW w:w="520" w:type="pct"/>
            <w:shd w:val="clear" w:color="auto" w:fill="auto"/>
            <w:noWrap/>
            <w:vAlign w:val="center"/>
            <w:hideMark/>
          </w:tcPr>
          <w:p w14:paraId="1F4BDCC8"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2405</w:t>
            </w:r>
          </w:p>
        </w:tc>
        <w:tc>
          <w:tcPr>
            <w:tcW w:w="460" w:type="pct"/>
            <w:shd w:val="clear" w:color="auto" w:fill="auto"/>
            <w:noWrap/>
            <w:vAlign w:val="center"/>
            <w:hideMark/>
          </w:tcPr>
          <w:p w14:paraId="3C61BA60"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61.0</w:t>
            </w:r>
          </w:p>
        </w:tc>
        <w:tc>
          <w:tcPr>
            <w:tcW w:w="520" w:type="pct"/>
            <w:shd w:val="clear" w:color="auto" w:fill="auto"/>
            <w:noWrap/>
            <w:vAlign w:val="center"/>
            <w:hideMark/>
          </w:tcPr>
          <w:p w14:paraId="0C37C6ED"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3163</w:t>
            </w:r>
          </w:p>
        </w:tc>
        <w:tc>
          <w:tcPr>
            <w:tcW w:w="463" w:type="pct"/>
            <w:shd w:val="clear" w:color="auto" w:fill="auto"/>
            <w:noWrap/>
            <w:vAlign w:val="center"/>
            <w:hideMark/>
          </w:tcPr>
          <w:p w14:paraId="52D7219A"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77.5</w:t>
            </w:r>
          </w:p>
        </w:tc>
      </w:tr>
    </w:tbl>
    <w:p w14:paraId="371834BA" w14:textId="6F94096A" w:rsidR="00F377E9" w:rsidRPr="00E10230" w:rsidRDefault="002E7607" w:rsidP="00E10230">
      <w:pPr>
        <w:spacing w:after="0" w:line="360" w:lineRule="auto"/>
        <w:jc w:val="both"/>
        <w:rPr>
          <w:rFonts w:ascii="Book Antiqua" w:hAnsi="Book Antiqua" w:cs="Arial"/>
          <w:b/>
          <w:sz w:val="24"/>
          <w:szCs w:val="24"/>
        </w:rPr>
      </w:pPr>
      <w:r w:rsidRPr="002E7607">
        <w:rPr>
          <w:rFonts w:ascii="Book Antiqua" w:eastAsiaTheme="minorEastAsia" w:hAnsi="Book Antiqua" w:cs="Arial" w:hint="eastAsia"/>
          <w:i/>
          <w:sz w:val="24"/>
          <w:szCs w:val="24"/>
          <w:lang w:eastAsia="zh-CN"/>
        </w:rPr>
        <w:t>n</w:t>
      </w:r>
      <w:r w:rsidR="00DC6490" w:rsidRPr="00E10230">
        <w:rPr>
          <w:rFonts w:ascii="Book Antiqua" w:hAnsi="Book Antiqua" w:cs="Arial"/>
          <w:sz w:val="24"/>
          <w:szCs w:val="24"/>
        </w:rPr>
        <w:t xml:space="preserve">: </w:t>
      </w:r>
      <w:r w:rsidRPr="00E10230">
        <w:rPr>
          <w:rFonts w:ascii="Book Antiqua" w:hAnsi="Book Antiqua" w:cs="Arial"/>
          <w:sz w:val="24"/>
          <w:szCs w:val="24"/>
        </w:rPr>
        <w:t>Number</w:t>
      </w:r>
      <w:r>
        <w:rPr>
          <w:rFonts w:ascii="Book Antiqua" w:eastAsiaTheme="minorEastAsia" w:hAnsi="Book Antiqua" w:cs="Arial" w:hint="eastAsia"/>
          <w:sz w:val="24"/>
          <w:szCs w:val="24"/>
          <w:lang w:eastAsia="zh-CN"/>
        </w:rPr>
        <w:t>;</w:t>
      </w:r>
      <w:r w:rsidR="00DC6490" w:rsidRPr="00E10230">
        <w:rPr>
          <w:rFonts w:ascii="Book Antiqua" w:hAnsi="Book Antiqua" w:cs="Arial"/>
          <w:sz w:val="24"/>
          <w:szCs w:val="24"/>
        </w:rPr>
        <w:t xml:space="preserve"> N/A: Not available</w:t>
      </w:r>
      <w:r>
        <w:rPr>
          <w:rFonts w:ascii="Book Antiqua" w:eastAsiaTheme="minorEastAsia" w:hAnsi="Book Antiqua" w:cs="Arial" w:hint="eastAsia"/>
          <w:sz w:val="24"/>
          <w:szCs w:val="24"/>
          <w:lang w:eastAsia="zh-CN"/>
        </w:rPr>
        <w:t>;</w:t>
      </w:r>
      <w:r w:rsidR="00DC6490" w:rsidRPr="00E10230">
        <w:rPr>
          <w:rFonts w:ascii="Book Antiqua" w:hAnsi="Book Antiqua" w:cs="Arial"/>
          <w:b/>
          <w:sz w:val="24"/>
          <w:szCs w:val="24"/>
        </w:rPr>
        <w:t xml:space="preserve"> </w:t>
      </w:r>
      <w:r w:rsidR="00DC6490" w:rsidRPr="00E10230">
        <w:rPr>
          <w:rFonts w:ascii="Book Antiqua" w:hAnsi="Book Antiqua" w:cs="Arial"/>
          <w:sz w:val="24"/>
          <w:szCs w:val="24"/>
        </w:rPr>
        <w:t>HC: Hepatic coma</w:t>
      </w:r>
      <w:r>
        <w:rPr>
          <w:rFonts w:ascii="Book Antiqua" w:eastAsiaTheme="minorEastAsia" w:hAnsi="Book Antiqua" w:cs="Arial" w:hint="eastAsia"/>
          <w:sz w:val="24"/>
          <w:szCs w:val="24"/>
          <w:lang w:eastAsia="zh-CN"/>
        </w:rPr>
        <w:t>;</w:t>
      </w:r>
      <w:r w:rsidR="00DC6490" w:rsidRPr="00E10230">
        <w:rPr>
          <w:rFonts w:ascii="Book Antiqua" w:hAnsi="Book Antiqua" w:cs="Arial"/>
          <w:sz w:val="24"/>
          <w:szCs w:val="24"/>
        </w:rPr>
        <w:t xml:space="preserve"> SBP: </w:t>
      </w:r>
      <w:r w:rsidRPr="00E10230">
        <w:rPr>
          <w:rFonts w:ascii="Book Antiqua" w:hAnsi="Book Antiqua" w:cs="Arial"/>
          <w:sz w:val="24"/>
          <w:szCs w:val="24"/>
        </w:rPr>
        <w:t xml:space="preserve">Spontaneous </w:t>
      </w:r>
      <w:r w:rsidR="00DC6490" w:rsidRPr="00E10230">
        <w:rPr>
          <w:rFonts w:ascii="Book Antiqua" w:hAnsi="Book Antiqua" w:cs="Arial"/>
          <w:sz w:val="24"/>
          <w:szCs w:val="24"/>
        </w:rPr>
        <w:t>bacterial peritonitis</w:t>
      </w:r>
      <w:r>
        <w:rPr>
          <w:rFonts w:ascii="Book Antiqua" w:eastAsiaTheme="minorEastAsia" w:hAnsi="Book Antiqua" w:cs="Arial" w:hint="eastAsia"/>
          <w:sz w:val="24"/>
          <w:szCs w:val="24"/>
          <w:lang w:eastAsia="zh-CN"/>
        </w:rPr>
        <w:t>;</w:t>
      </w:r>
      <w:r w:rsidR="00DC6490" w:rsidRPr="00E10230">
        <w:rPr>
          <w:rFonts w:ascii="Book Antiqua" w:hAnsi="Book Antiqua" w:cs="Arial"/>
          <w:sz w:val="24"/>
          <w:szCs w:val="24"/>
        </w:rPr>
        <w:t xml:space="preserve"> EV: Esophageal varices</w:t>
      </w:r>
      <w:r>
        <w:rPr>
          <w:rFonts w:ascii="Book Antiqua" w:eastAsiaTheme="minorEastAsia" w:hAnsi="Book Antiqua" w:cs="Arial" w:hint="eastAsia"/>
          <w:sz w:val="24"/>
          <w:szCs w:val="24"/>
          <w:lang w:eastAsia="zh-CN"/>
        </w:rPr>
        <w:t>;</w:t>
      </w:r>
      <w:r w:rsidR="00DC6490" w:rsidRPr="00E10230">
        <w:rPr>
          <w:rFonts w:ascii="Book Antiqua" w:hAnsi="Book Antiqua" w:cs="Arial"/>
          <w:sz w:val="24"/>
          <w:szCs w:val="24"/>
        </w:rPr>
        <w:t xml:space="preserve"> TIPS: </w:t>
      </w:r>
      <w:r w:rsidRPr="00E10230">
        <w:rPr>
          <w:rFonts w:ascii="Book Antiqua" w:hAnsi="Book Antiqua" w:cs="Arial"/>
          <w:sz w:val="24"/>
          <w:szCs w:val="24"/>
        </w:rPr>
        <w:t xml:space="preserve">Transjugular </w:t>
      </w:r>
      <w:r w:rsidR="00DC6490" w:rsidRPr="00E10230">
        <w:rPr>
          <w:rFonts w:ascii="Book Antiqua" w:hAnsi="Book Antiqua" w:cs="Arial"/>
          <w:sz w:val="24"/>
          <w:szCs w:val="24"/>
        </w:rPr>
        <w:t xml:space="preserve">intrahepatic </w:t>
      </w:r>
      <w:r w:rsidR="00CB0883" w:rsidRPr="00E10230">
        <w:rPr>
          <w:rFonts w:ascii="Book Antiqua" w:hAnsi="Book Antiqua" w:cs="Arial"/>
          <w:sz w:val="24"/>
          <w:szCs w:val="24"/>
        </w:rPr>
        <w:t>portosystemic</w:t>
      </w:r>
      <w:r w:rsidR="00DC6490" w:rsidRPr="00E10230">
        <w:rPr>
          <w:rFonts w:ascii="Book Antiqua" w:hAnsi="Book Antiqua" w:cs="Arial"/>
          <w:sz w:val="24"/>
          <w:szCs w:val="24"/>
        </w:rPr>
        <w:t xml:space="preserve"> shunt.</w:t>
      </w:r>
    </w:p>
    <w:p w14:paraId="0CFB5AAA" w14:textId="77777777" w:rsidR="002E7607" w:rsidRDefault="002E7607">
      <w:pPr>
        <w:rPr>
          <w:rFonts w:eastAsiaTheme="minorEastAsia"/>
          <w:lang w:eastAsia="zh-CN"/>
        </w:rPr>
      </w:pPr>
      <w:r>
        <w:br w:type="page"/>
      </w:r>
    </w:p>
    <w:p w14:paraId="093A6BD2" w14:textId="260A9C67" w:rsidR="002E7607" w:rsidRPr="002E7607" w:rsidRDefault="002E7607">
      <w:pPr>
        <w:rPr>
          <w:rFonts w:eastAsiaTheme="minorEastAsia"/>
          <w:lang w:eastAsia="zh-CN"/>
        </w:rPr>
      </w:pPr>
      <w:r w:rsidRPr="00E10230">
        <w:rPr>
          <w:rFonts w:ascii="Book Antiqua" w:hAnsi="Book Antiqua" w:cs="Arial"/>
          <w:b/>
          <w:sz w:val="24"/>
          <w:szCs w:val="24"/>
        </w:rPr>
        <w:lastRenderedPageBreak/>
        <w:t>Table 2</w:t>
      </w:r>
      <w:r w:rsidRPr="002E7607">
        <w:rPr>
          <w:rFonts w:ascii="Book Antiqua" w:hAnsi="Book Antiqua" w:cs="Arial"/>
          <w:b/>
          <w:sz w:val="24"/>
          <w:szCs w:val="24"/>
        </w:rPr>
        <w:t xml:space="preserve"> Number of all discharges, aggregate cost ($), percent of male (%), mean age, age distribution, payer type, bed size</w:t>
      </w:r>
    </w:p>
    <w:tbl>
      <w:tblPr>
        <w:tblW w:w="5000" w:type="pct"/>
        <w:jc w:val="center"/>
        <w:tblBorders>
          <w:top w:val="single" w:sz="4" w:space="0" w:color="auto"/>
          <w:bottom w:val="single" w:sz="4" w:space="0" w:color="auto"/>
        </w:tblBorders>
        <w:tblLook w:val="04A0" w:firstRow="1" w:lastRow="0" w:firstColumn="1" w:lastColumn="0" w:noHBand="0" w:noVBand="1"/>
      </w:tblPr>
      <w:tblGrid>
        <w:gridCol w:w="2067"/>
        <w:gridCol w:w="1204"/>
        <w:gridCol w:w="665"/>
        <w:gridCol w:w="1005"/>
        <w:gridCol w:w="885"/>
        <w:gridCol w:w="998"/>
        <w:gridCol w:w="881"/>
        <w:gridCol w:w="994"/>
        <w:gridCol w:w="877"/>
      </w:tblGrid>
      <w:tr w:rsidR="00F377E9" w:rsidRPr="00E10230" w14:paraId="798AA041" w14:textId="77777777" w:rsidTr="002E7607">
        <w:trPr>
          <w:trHeight w:val="474"/>
          <w:jc w:val="center"/>
        </w:trPr>
        <w:tc>
          <w:tcPr>
            <w:tcW w:w="1079" w:type="pct"/>
            <w:tcBorders>
              <w:top w:val="single" w:sz="4" w:space="0" w:color="auto"/>
              <w:bottom w:val="single" w:sz="4" w:space="0" w:color="auto"/>
            </w:tcBorders>
            <w:shd w:val="clear" w:color="auto" w:fill="auto"/>
            <w:noWrap/>
            <w:vAlign w:val="center"/>
            <w:hideMark/>
          </w:tcPr>
          <w:p w14:paraId="36AB8A27" w14:textId="49C7B1C3" w:rsidR="00F377E9" w:rsidRPr="002E7607" w:rsidRDefault="00F377E9" w:rsidP="00E10230">
            <w:pPr>
              <w:spacing w:after="0" w:line="360" w:lineRule="auto"/>
              <w:jc w:val="both"/>
              <w:rPr>
                <w:rFonts w:ascii="Book Antiqua" w:eastAsia="Times New Roman" w:hAnsi="Book Antiqua" w:cs="Arial"/>
                <w:b/>
                <w:color w:val="000000"/>
                <w:sz w:val="24"/>
                <w:szCs w:val="24"/>
              </w:rPr>
            </w:pPr>
            <w:r w:rsidRPr="002E7607">
              <w:rPr>
                <w:rFonts w:ascii="Book Antiqua" w:eastAsia="Times New Roman" w:hAnsi="Book Antiqua" w:cs="Arial"/>
                <w:b/>
                <w:color w:val="000000"/>
                <w:sz w:val="24"/>
                <w:szCs w:val="24"/>
              </w:rPr>
              <w:t>Diagnosis (2014)</w:t>
            </w:r>
          </w:p>
        </w:tc>
        <w:tc>
          <w:tcPr>
            <w:tcW w:w="975" w:type="pct"/>
            <w:gridSpan w:val="2"/>
            <w:tcBorders>
              <w:top w:val="single" w:sz="4" w:space="0" w:color="auto"/>
              <w:bottom w:val="single" w:sz="4" w:space="0" w:color="auto"/>
            </w:tcBorders>
            <w:shd w:val="clear" w:color="auto" w:fill="auto"/>
            <w:noWrap/>
            <w:vAlign w:val="center"/>
            <w:hideMark/>
          </w:tcPr>
          <w:p w14:paraId="6DDFD80D" w14:textId="77777777" w:rsidR="00F377E9" w:rsidRPr="002E7607" w:rsidRDefault="00F377E9" w:rsidP="00E10230">
            <w:pPr>
              <w:spacing w:after="0" w:line="360" w:lineRule="auto"/>
              <w:jc w:val="both"/>
              <w:rPr>
                <w:rFonts w:ascii="Book Antiqua" w:eastAsia="Times New Roman" w:hAnsi="Book Antiqua" w:cs="Arial"/>
                <w:b/>
                <w:color w:val="000000"/>
                <w:sz w:val="24"/>
                <w:szCs w:val="24"/>
              </w:rPr>
            </w:pPr>
            <w:r w:rsidRPr="002E7607">
              <w:rPr>
                <w:rFonts w:ascii="Book Antiqua" w:eastAsia="Times New Roman" w:hAnsi="Book Antiqua" w:cs="Arial"/>
                <w:b/>
                <w:color w:val="000000"/>
                <w:sz w:val="24"/>
                <w:szCs w:val="24"/>
              </w:rPr>
              <w:t>HC</w:t>
            </w:r>
          </w:p>
        </w:tc>
        <w:tc>
          <w:tcPr>
            <w:tcW w:w="986" w:type="pct"/>
            <w:gridSpan w:val="2"/>
            <w:tcBorders>
              <w:top w:val="single" w:sz="4" w:space="0" w:color="auto"/>
              <w:bottom w:val="single" w:sz="4" w:space="0" w:color="auto"/>
            </w:tcBorders>
            <w:shd w:val="clear" w:color="auto" w:fill="auto"/>
            <w:noWrap/>
            <w:vAlign w:val="center"/>
            <w:hideMark/>
          </w:tcPr>
          <w:p w14:paraId="3F705B6A" w14:textId="77777777" w:rsidR="00F377E9" w:rsidRPr="002E7607" w:rsidRDefault="00F377E9" w:rsidP="00E10230">
            <w:pPr>
              <w:spacing w:after="0" w:line="360" w:lineRule="auto"/>
              <w:jc w:val="both"/>
              <w:rPr>
                <w:rFonts w:ascii="Book Antiqua" w:eastAsia="Times New Roman" w:hAnsi="Book Antiqua" w:cs="Arial"/>
                <w:b/>
                <w:color w:val="000000"/>
                <w:sz w:val="24"/>
                <w:szCs w:val="24"/>
              </w:rPr>
            </w:pPr>
            <w:r w:rsidRPr="002E7607">
              <w:rPr>
                <w:rFonts w:ascii="Book Antiqua" w:eastAsia="Times New Roman" w:hAnsi="Book Antiqua" w:cs="Arial"/>
                <w:b/>
                <w:color w:val="000000"/>
                <w:sz w:val="24"/>
                <w:szCs w:val="24"/>
              </w:rPr>
              <w:t>SBP</w:t>
            </w:r>
          </w:p>
        </w:tc>
        <w:tc>
          <w:tcPr>
            <w:tcW w:w="981" w:type="pct"/>
            <w:gridSpan w:val="2"/>
            <w:tcBorders>
              <w:top w:val="single" w:sz="4" w:space="0" w:color="auto"/>
              <w:bottom w:val="single" w:sz="4" w:space="0" w:color="auto"/>
            </w:tcBorders>
            <w:shd w:val="clear" w:color="auto" w:fill="auto"/>
            <w:noWrap/>
            <w:vAlign w:val="center"/>
            <w:hideMark/>
          </w:tcPr>
          <w:p w14:paraId="546FD28A" w14:textId="77777777" w:rsidR="00F377E9" w:rsidRPr="002E7607" w:rsidRDefault="00F377E9" w:rsidP="00E10230">
            <w:pPr>
              <w:spacing w:after="0" w:line="360" w:lineRule="auto"/>
              <w:jc w:val="both"/>
              <w:rPr>
                <w:rFonts w:ascii="Book Antiqua" w:eastAsia="Times New Roman" w:hAnsi="Book Antiqua" w:cs="Arial"/>
                <w:b/>
                <w:color w:val="000000"/>
                <w:sz w:val="24"/>
                <w:szCs w:val="24"/>
              </w:rPr>
            </w:pPr>
            <w:r w:rsidRPr="002E7607">
              <w:rPr>
                <w:rFonts w:ascii="Book Antiqua" w:eastAsia="Times New Roman" w:hAnsi="Book Antiqua" w:cs="Arial"/>
                <w:b/>
                <w:color w:val="000000"/>
                <w:sz w:val="24"/>
                <w:szCs w:val="24"/>
              </w:rPr>
              <w:t>EV</w:t>
            </w:r>
          </w:p>
        </w:tc>
        <w:tc>
          <w:tcPr>
            <w:tcW w:w="978" w:type="pct"/>
            <w:gridSpan w:val="2"/>
            <w:tcBorders>
              <w:top w:val="single" w:sz="4" w:space="0" w:color="auto"/>
              <w:bottom w:val="single" w:sz="4" w:space="0" w:color="auto"/>
            </w:tcBorders>
            <w:shd w:val="clear" w:color="auto" w:fill="auto"/>
            <w:noWrap/>
            <w:vAlign w:val="center"/>
            <w:hideMark/>
          </w:tcPr>
          <w:p w14:paraId="60ECDA96" w14:textId="77777777" w:rsidR="00F377E9" w:rsidRPr="002E7607" w:rsidRDefault="00F377E9" w:rsidP="00E10230">
            <w:pPr>
              <w:spacing w:after="0" w:line="360" w:lineRule="auto"/>
              <w:jc w:val="both"/>
              <w:rPr>
                <w:rFonts w:ascii="Book Antiqua" w:eastAsia="Times New Roman" w:hAnsi="Book Antiqua" w:cs="Arial"/>
                <w:b/>
                <w:color w:val="000000"/>
                <w:sz w:val="24"/>
                <w:szCs w:val="24"/>
              </w:rPr>
            </w:pPr>
            <w:r w:rsidRPr="002E7607">
              <w:rPr>
                <w:rFonts w:ascii="Book Antiqua" w:eastAsia="Times New Roman" w:hAnsi="Book Antiqua" w:cs="Arial"/>
                <w:b/>
                <w:color w:val="000000"/>
                <w:sz w:val="24"/>
                <w:szCs w:val="24"/>
              </w:rPr>
              <w:t>TIPS</w:t>
            </w:r>
          </w:p>
        </w:tc>
      </w:tr>
      <w:tr w:rsidR="00F377E9" w:rsidRPr="00E10230" w14:paraId="5440BFEB" w14:textId="77777777" w:rsidTr="002E7607">
        <w:trPr>
          <w:trHeight w:val="497"/>
          <w:jc w:val="center"/>
        </w:trPr>
        <w:tc>
          <w:tcPr>
            <w:tcW w:w="1079" w:type="pct"/>
            <w:tcBorders>
              <w:top w:val="single" w:sz="4" w:space="0" w:color="auto"/>
            </w:tcBorders>
            <w:shd w:val="clear" w:color="auto" w:fill="auto"/>
            <w:noWrap/>
            <w:vAlign w:val="center"/>
            <w:hideMark/>
          </w:tcPr>
          <w:p w14:paraId="5632CFCE" w14:textId="77777777" w:rsidR="00F377E9" w:rsidRPr="002E7607" w:rsidRDefault="00F377E9" w:rsidP="00E10230">
            <w:pPr>
              <w:spacing w:after="0" w:line="360" w:lineRule="auto"/>
              <w:jc w:val="both"/>
              <w:rPr>
                <w:rFonts w:ascii="Book Antiqua" w:eastAsia="Times New Roman" w:hAnsi="Book Antiqua" w:cs="Arial"/>
                <w:bCs/>
                <w:color w:val="000000"/>
                <w:sz w:val="24"/>
                <w:szCs w:val="24"/>
              </w:rPr>
            </w:pPr>
            <w:r w:rsidRPr="002E7607">
              <w:rPr>
                <w:rFonts w:ascii="Book Antiqua" w:eastAsia="Times New Roman" w:hAnsi="Book Antiqua" w:cs="Arial"/>
                <w:bCs/>
                <w:color w:val="000000"/>
                <w:sz w:val="24"/>
                <w:szCs w:val="24"/>
              </w:rPr>
              <w:t>All discharges</w:t>
            </w:r>
          </w:p>
        </w:tc>
        <w:tc>
          <w:tcPr>
            <w:tcW w:w="975" w:type="pct"/>
            <w:gridSpan w:val="2"/>
            <w:tcBorders>
              <w:top w:val="single" w:sz="4" w:space="0" w:color="auto"/>
            </w:tcBorders>
            <w:shd w:val="clear" w:color="auto" w:fill="auto"/>
            <w:noWrap/>
            <w:vAlign w:val="center"/>
            <w:hideMark/>
          </w:tcPr>
          <w:p w14:paraId="765AE4C7"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80470</w:t>
            </w:r>
          </w:p>
        </w:tc>
        <w:tc>
          <w:tcPr>
            <w:tcW w:w="986" w:type="pct"/>
            <w:gridSpan w:val="2"/>
            <w:tcBorders>
              <w:top w:val="single" w:sz="4" w:space="0" w:color="auto"/>
            </w:tcBorders>
            <w:shd w:val="clear" w:color="auto" w:fill="auto"/>
            <w:noWrap/>
            <w:vAlign w:val="center"/>
            <w:hideMark/>
          </w:tcPr>
          <w:p w14:paraId="1807A96C"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7545</w:t>
            </w:r>
          </w:p>
        </w:tc>
        <w:tc>
          <w:tcPr>
            <w:tcW w:w="981" w:type="pct"/>
            <w:gridSpan w:val="2"/>
            <w:tcBorders>
              <w:top w:val="single" w:sz="4" w:space="0" w:color="auto"/>
            </w:tcBorders>
            <w:shd w:val="clear" w:color="auto" w:fill="auto"/>
            <w:noWrap/>
            <w:vAlign w:val="center"/>
            <w:hideMark/>
          </w:tcPr>
          <w:p w14:paraId="78FB42E9"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4305</w:t>
            </w:r>
          </w:p>
        </w:tc>
        <w:tc>
          <w:tcPr>
            <w:tcW w:w="978" w:type="pct"/>
            <w:gridSpan w:val="2"/>
            <w:tcBorders>
              <w:top w:val="single" w:sz="4" w:space="0" w:color="auto"/>
            </w:tcBorders>
            <w:shd w:val="clear" w:color="auto" w:fill="auto"/>
            <w:noWrap/>
            <w:vAlign w:val="center"/>
            <w:hideMark/>
          </w:tcPr>
          <w:p w14:paraId="5A42EB11"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4060</w:t>
            </w:r>
          </w:p>
        </w:tc>
      </w:tr>
      <w:tr w:rsidR="00F377E9" w:rsidRPr="00E10230" w14:paraId="5FCA7B22" w14:textId="77777777" w:rsidTr="002E7607">
        <w:trPr>
          <w:trHeight w:val="497"/>
          <w:jc w:val="center"/>
        </w:trPr>
        <w:tc>
          <w:tcPr>
            <w:tcW w:w="1079" w:type="pct"/>
            <w:shd w:val="clear" w:color="auto" w:fill="auto"/>
            <w:noWrap/>
            <w:vAlign w:val="center"/>
            <w:hideMark/>
          </w:tcPr>
          <w:p w14:paraId="530F84EB" w14:textId="24758308" w:rsidR="00F377E9" w:rsidRPr="002E7607" w:rsidRDefault="00F377E9" w:rsidP="00E10230">
            <w:pPr>
              <w:spacing w:after="0" w:line="360" w:lineRule="auto"/>
              <w:jc w:val="both"/>
              <w:rPr>
                <w:rFonts w:ascii="Book Antiqua" w:eastAsiaTheme="minorEastAsia" w:hAnsi="Book Antiqua" w:cs="Arial"/>
                <w:bCs/>
                <w:color w:val="000000"/>
                <w:sz w:val="24"/>
                <w:szCs w:val="24"/>
                <w:lang w:eastAsia="zh-CN"/>
              </w:rPr>
            </w:pPr>
            <w:r w:rsidRPr="002E7607">
              <w:rPr>
                <w:rFonts w:ascii="Book Antiqua" w:eastAsia="Times New Roman" w:hAnsi="Book Antiqua" w:cs="Arial"/>
                <w:bCs/>
                <w:color w:val="000000"/>
                <w:sz w:val="24"/>
                <w:szCs w:val="24"/>
              </w:rPr>
              <w:t xml:space="preserve">Male </w:t>
            </w:r>
            <w:r w:rsidR="002E7607">
              <w:rPr>
                <w:rFonts w:ascii="Book Antiqua" w:eastAsiaTheme="minorEastAsia" w:hAnsi="Book Antiqua" w:cs="Arial" w:hint="eastAsia"/>
                <w:bCs/>
                <w:color w:val="000000"/>
                <w:sz w:val="24"/>
                <w:szCs w:val="24"/>
                <w:lang w:eastAsia="zh-CN"/>
              </w:rPr>
              <w:t>(</w:t>
            </w:r>
            <w:r w:rsidRPr="002E7607">
              <w:rPr>
                <w:rFonts w:ascii="Book Antiqua" w:eastAsia="Times New Roman" w:hAnsi="Book Antiqua" w:cs="Arial"/>
                <w:bCs/>
                <w:color w:val="000000"/>
                <w:sz w:val="24"/>
                <w:szCs w:val="24"/>
              </w:rPr>
              <w:t>%</w:t>
            </w:r>
            <w:r w:rsidR="002E7607">
              <w:rPr>
                <w:rFonts w:ascii="Book Antiqua" w:eastAsiaTheme="minorEastAsia" w:hAnsi="Book Antiqua" w:cs="Arial" w:hint="eastAsia"/>
                <w:bCs/>
                <w:color w:val="000000"/>
                <w:sz w:val="24"/>
                <w:szCs w:val="24"/>
                <w:lang w:eastAsia="zh-CN"/>
              </w:rPr>
              <w:t>)</w:t>
            </w:r>
          </w:p>
        </w:tc>
        <w:tc>
          <w:tcPr>
            <w:tcW w:w="975" w:type="pct"/>
            <w:gridSpan w:val="2"/>
            <w:shd w:val="clear" w:color="auto" w:fill="auto"/>
            <w:noWrap/>
            <w:vAlign w:val="center"/>
            <w:hideMark/>
          </w:tcPr>
          <w:p w14:paraId="156B1074"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60.4</w:t>
            </w:r>
          </w:p>
        </w:tc>
        <w:tc>
          <w:tcPr>
            <w:tcW w:w="986" w:type="pct"/>
            <w:gridSpan w:val="2"/>
            <w:shd w:val="clear" w:color="auto" w:fill="auto"/>
            <w:noWrap/>
            <w:vAlign w:val="center"/>
            <w:hideMark/>
          </w:tcPr>
          <w:p w14:paraId="4762E6E4"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62.5</w:t>
            </w:r>
          </w:p>
        </w:tc>
        <w:tc>
          <w:tcPr>
            <w:tcW w:w="981" w:type="pct"/>
            <w:gridSpan w:val="2"/>
            <w:shd w:val="clear" w:color="auto" w:fill="auto"/>
            <w:noWrap/>
            <w:vAlign w:val="center"/>
            <w:hideMark/>
          </w:tcPr>
          <w:p w14:paraId="38408DDF"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65.5</w:t>
            </w:r>
          </w:p>
        </w:tc>
        <w:tc>
          <w:tcPr>
            <w:tcW w:w="978" w:type="pct"/>
            <w:gridSpan w:val="2"/>
            <w:shd w:val="clear" w:color="auto" w:fill="auto"/>
            <w:noWrap/>
            <w:vAlign w:val="center"/>
            <w:hideMark/>
          </w:tcPr>
          <w:p w14:paraId="1F8F8412"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64.3</w:t>
            </w:r>
          </w:p>
        </w:tc>
      </w:tr>
      <w:tr w:rsidR="00F377E9" w:rsidRPr="00E10230" w14:paraId="68ED271B" w14:textId="77777777" w:rsidTr="002E7607">
        <w:trPr>
          <w:trHeight w:val="497"/>
          <w:jc w:val="center"/>
        </w:trPr>
        <w:tc>
          <w:tcPr>
            <w:tcW w:w="1079" w:type="pct"/>
            <w:shd w:val="clear" w:color="auto" w:fill="auto"/>
            <w:noWrap/>
            <w:vAlign w:val="center"/>
            <w:hideMark/>
          </w:tcPr>
          <w:p w14:paraId="75E2A3F6" w14:textId="77777777" w:rsidR="00F377E9" w:rsidRPr="002E7607" w:rsidRDefault="00F377E9" w:rsidP="00E10230">
            <w:pPr>
              <w:spacing w:after="0" w:line="360" w:lineRule="auto"/>
              <w:jc w:val="both"/>
              <w:rPr>
                <w:rFonts w:ascii="Book Antiqua" w:eastAsia="Times New Roman" w:hAnsi="Book Antiqua" w:cs="Arial"/>
                <w:bCs/>
                <w:color w:val="000000"/>
                <w:sz w:val="24"/>
                <w:szCs w:val="24"/>
              </w:rPr>
            </w:pPr>
            <w:r w:rsidRPr="002E7607">
              <w:rPr>
                <w:rFonts w:ascii="Book Antiqua" w:eastAsia="Times New Roman" w:hAnsi="Book Antiqua" w:cs="Arial"/>
                <w:bCs/>
                <w:color w:val="000000"/>
                <w:sz w:val="24"/>
                <w:szCs w:val="24"/>
              </w:rPr>
              <w:t>Age, mean</w:t>
            </w:r>
          </w:p>
        </w:tc>
        <w:tc>
          <w:tcPr>
            <w:tcW w:w="975" w:type="pct"/>
            <w:gridSpan w:val="2"/>
            <w:shd w:val="clear" w:color="auto" w:fill="auto"/>
            <w:noWrap/>
            <w:vAlign w:val="center"/>
            <w:hideMark/>
          </w:tcPr>
          <w:p w14:paraId="12B901B1"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59.7</w:t>
            </w:r>
          </w:p>
        </w:tc>
        <w:tc>
          <w:tcPr>
            <w:tcW w:w="986" w:type="pct"/>
            <w:gridSpan w:val="2"/>
            <w:shd w:val="clear" w:color="auto" w:fill="auto"/>
            <w:noWrap/>
            <w:vAlign w:val="center"/>
            <w:hideMark/>
          </w:tcPr>
          <w:p w14:paraId="5E829760"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56.3</w:t>
            </w:r>
          </w:p>
        </w:tc>
        <w:tc>
          <w:tcPr>
            <w:tcW w:w="981" w:type="pct"/>
            <w:gridSpan w:val="2"/>
            <w:shd w:val="clear" w:color="auto" w:fill="auto"/>
            <w:noWrap/>
            <w:vAlign w:val="center"/>
            <w:hideMark/>
          </w:tcPr>
          <w:p w14:paraId="52F620EE"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57.0</w:t>
            </w:r>
          </w:p>
        </w:tc>
        <w:tc>
          <w:tcPr>
            <w:tcW w:w="978" w:type="pct"/>
            <w:gridSpan w:val="2"/>
            <w:shd w:val="clear" w:color="auto" w:fill="auto"/>
            <w:noWrap/>
            <w:vAlign w:val="center"/>
            <w:hideMark/>
          </w:tcPr>
          <w:p w14:paraId="475A293F"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56.1</w:t>
            </w:r>
          </w:p>
        </w:tc>
      </w:tr>
      <w:tr w:rsidR="00F377E9" w:rsidRPr="00E10230" w14:paraId="453BF884" w14:textId="77777777" w:rsidTr="002E7607">
        <w:trPr>
          <w:trHeight w:val="497"/>
          <w:jc w:val="center"/>
        </w:trPr>
        <w:tc>
          <w:tcPr>
            <w:tcW w:w="1079" w:type="pct"/>
            <w:shd w:val="clear" w:color="auto" w:fill="auto"/>
            <w:noWrap/>
            <w:vAlign w:val="center"/>
            <w:hideMark/>
          </w:tcPr>
          <w:p w14:paraId="6D02331D" w14:textId="77777777" w:rsidR="00F377E9" w:rsidRPr="002E7607" w:rsidRDefault="00F377E9" w:rsidP="00E10230">
            <w:pPr>
              <w:spacing w:after="0" w:line="360" w:lineRule="auto"/>
              <w:jc w:val="both"/>
              <w:rPr>
                <w:rFonts w:ascii="Book Antiqua" w:eastAsia="Times New Roman" w:hAnsi="Book Antiqua" w:cs="Arial"/>
                <w:bCs/>
                <w:color w:val="000000"/>
                <w:sz w:val="24"/>
                <w:szCs w:val="24"/>
              </w:rPr>
            </w:pPr>
            <w:r w:rsidRPr="002E7607">
              <w:rPr>
                <w:rFonts w:ascii="Book Antiqua" w:eastAsia="Times New Roman" w:hAnsi="Book Antiqua" w:cs="Arial"/>
                <w:bCs/>
                <w:color w:val="000000"/>
                <w:sz w:val="24"/>
                <w:szCs w:val="24"/>
              </w:rPr>
              <w:t>Age</w:t>
            </w:r>
          </w:p>
        </w:tc>
        <w:tc>
          <w:tcPr>
            <w:tcW w:w="629" w:type="pct"/>
            <w:shd w:val="clear" w:color="auto" w:fill="auto"/>
            <w:noWrap/>
            <w:vAlign w:val="center"/>
            <w:hideMark/>
          </w:tcPr>
          <w:p w14:paraId="086FC67E" w14:textId="0B470C2E" w:rsidR="00F377E9" w:rsidRPr="002E7607" w:rsidRDefault="002E7607" w:rsidP="00E10230">
            <w:pPr>
              <w:spacing w:after="0" w:line="360" w:lineRule="auto"/>
              <w:jc w:val="both"/>
              <w:rPr>
                <w:rFonts w:ascii="Book Antiqua" w:eastAsia="Times New Roman" w:hAnsi="Book Antiqua" w:cs="Arial"/>
                <w:bCs/>
                <w:i/>
                <w:color w:val="000000"/>
                <w:sz w:val="24"/>
                <w:szCs w:val="24"/>
              </w:rPr>
            </w:pPr>
            <w:r w:rsidRPr="002E7607">
              <w:rPr>
                <w:rFonts w:ascii="Book Antiqua" w:eastAsia="Times New Roman" w:hAnsi="Book Antiqua" w:cs="Arial"/>
                <w:bCs/>
                <w:i/>
                <w:color w:val="000000"/>
                <w:sz w:val="24"/>
                <w:szCs w:val="24"/>
              </w:rPr>
              <w:t>n</w:t>
            </w:r>
          </w:p>
        </w:tc>
        <w:tc>
          <w:tcPr>
            <w:tcW w:w="347" w:type="pct"/>
            <w:shd w:val="clear" w:color="auto" w:fill="auto"/>
            <w:noWrap/>
            <w:vAlign w:val="center"/>
            <w:hideMark/>
          </w:tcPr>
          <w:p w14:paraId="431E7311" w14:textId="77777777" w:rsidR="00F377E9" w:rsidRPr="00E10230" w:rsidRDefault="00F377E9" w:rsidP="00E10230">
            <w:pPr>
              <w:spacing w:after="0" w:line="360" w:lineRule="auto"/>
              <w:jc w:val="both"/>
              <w:rPr>
                <w:rFonts w:ascii="Book Antiqua" w:eastAsia="Times New Roman" w:hAnsi="Book Antiqua" w:cs="Arial"/>
                <w:b/>
                <w:bCs/>
                <w:color w:val="000000"/>
                <w:sz w:val="24"/>
                <w:szCs w:val="24"/>
              </w:rPr>
            </w:pPr>
            <w:r w:rsidRPr="00E10230">
              <w:rPr>
                <w:rFonts w:ascii="Book Antiqua" w:eastAsia="Times New Roman" w:hAnsi="Book Antiqua" w:cs="Arial"/>
                <w:b/>
                <w:bCs/>
                <w:color w:val="000000"/>
                <w:sz w:val="24"/>
                <w:szCs w:val="24"/>
              </w:rPr>
              <w:t>%</w:t>
            </w:r>
          </w:p>
        </w:tc>
        <w:tc>
          <w:tcPr>
            <w:tcW w:w="525" w:type="pct"/>
            <w:shd w:val="clear" w:color="auto" w:fill="auto"/>
            <w:noWrap/>
            <w:vAlign w:val="center"/>
            <w:hideMark/>
          </w:tcPr>
          <w:p w14:paraId="02311BDC" w14:textId="1B38D4B1" w:rsidR="00F377E9" w:rsidRPr="002E7607" w:rsidRDefault="002E7607" w:rsidP="00E10230">
            <w:pPr>
              <w:spacing w:after="0" w:line="360" w:lineRule="auto"/>
              <w:jc w:val="both"/>
              <w:rPr>
                <w:rFonts w:ascii="Book Antiqua" w:eastAsia="Times New Roman" w:hAnsi="Book Antiqua" w:cs="Arial"/>
                <w:bCs/>
                <w:i/>
                <w:color w:val="000000"/>
                <w:sz w:val="24"/>
                <w:szCs w:val="24"/>
              </w:rPr>
            </w:pPr>
            <w:r w:rsidRPr="002E7607">
              <w:rPr>
                <w:rFonts w:ascii="Book Antiqua" w:eastAsia="Times New Roman" w:hAnsi="Book Antiqua" w:cs="Arial"/>
                <w:bCs/>
                <w:i/>
                <w:color w:val="000000"/>
                <w:sz w:val="24"/>
                <w:szCs w:val="24"/>
              </w:rPr>
              <w:t>n</w:t>
            </w:r>
          </w:p>
        </w:tc>
        <w:tc>
          <w:tcPr>
            <w:tcW w:w="462" w:type="pct"/>
            <w:shd w:val="clear" w:color="auto" w:fill="auto"/>
            <w:noWrap/>
            <w:vAlign w:val="center"/>
            <w:hideMark/>
          </w:tcPr>
          <w:p w14:paraId="310681BE" w14:textId="77777777" w:rsidR="00F377E9" w:rsidRPr="00E10230" w:rsidRDefault="00F377E9" w:rsidP="00E10230">
            <w:pPr>
              <w:spacing w:after="0" w:line="360" w:lineRule="auto"/>
              <w:jc w:val="both"/>
              <w:rPr>
                <w:rFonts w:ascii="Book Antiqua" w:eastAsia="Times New Roman" w:hAnsi="Book Antiqua" w:cs="Arial"/>
                <w:b/>
                <w:bCs/>
                <w:color w:val="000000"/>
                <w:sz w:val="24"/>
                <w:szCs w:val="24"/>
              </w:rPr>
            </w:pPr>
            <w:r w:rsidRPr="00E10230">
              <w:rPr>
                <w:rFonts w:ascii="Book Antiqua" w:eastAsia="Times New Roman" w:hAnsi="Book Antiqua" w:cs="Arial"/>
                <w:b/>
                <w:bCs/>
                <w:color w:val="000000"/>
                <w:sz w:val="24"/>
                <w:szCs w:val="24"/>
              </w:rPr>
              <w:t>%</w:t>
            </w:r>
          </w:p>
        </w:tc>
        <w:tc>
          <w:tcPr>
            <w:tcW w:w="521" w:type="pct"/>
            <w:shd w:val="clear" w:color="auto" w:fill="auto"/>
            <w:noWrap/>
            <w:vAlign w:val="center"/>
            <w:hideMark/>
          </w:tcPr>
          <w:p w14:paraId="61AC200E" w14:textId="4C8C9B3F" w:rsidR="00F377E9" w:rsidRPr="002E7607" w:rsidRDefault="002E7607" w:rsidP="00E10230">
            <w:pPr>
              <w:spacing w:after="0" w:line="360" w:lineRule="auto"/>
              <w:jc w:val="both"/>
              <w:rPr>
                <w:rFonts w:ascii="Book Antiqua" w:eastAsia="Times New Roman" w:hAnsi="Book Antiqua" w:cs="Arial"/>
                <w:bCs/>
                <w:i/>
                <w:color w:val="000000"/>
                <w:sz w:val="24"/>
                <w:szCs w:val="24"/>
              </w:rPr>
            </w:pPr>
            <w:r w:rsidRPr="002E7607">
              <w:rPr>
                <w:rFonts w:ascii="Book Antiqua" w:eastAsia="Times New Roman" w:hAnsi="Book Antiqua" w:cs="Arial"/>
                <w:bCs/>
                <w:i/>
                <w:color w:val="000000"/>
                <w:sz w:val="24"/>
                <w:szCs w:val="24"/>
              </w:rPr>
              <w:t>n</w:t>
            </w:r>
          </w:p>
        </w:tc>
        <w:tc>
          <w:tcPr>
            <w:tcW w:w="460" w:type="pct"/>
            <w:shd w:val="clear" w:color="auto" w:fill="auto"/>
            <w:noWrap/>
            <w:vAlign w:val="center"/>
            <w:hideMark/>
          </w:tcPr>
          <w:p w14:paraId="23569540" w14:textId="77777777" w:rsidR="00F377E9" w:rsidRPr="00E10230" w:rsidRDefault="00F377E9" w:rsidP="00E10230">
            <w:pPr>
              <w:spacing w:after="0" w:line="360" w:lineRule="auto"/>
              <w:jc w:val="both"/>
              <w:rPr>
                <w:rFonts w:ascii="Book Antiqua" w:eastAsia="Times New Roman" w:hAnsi="Book Antiqua" w:cs="Arial"/>
                <w:b/>
                <w:bCs/>
                <w:color w:val="000000"/>
                <w:sz w:val="24"/>
                <w:szCs w:val="24"/>
              </w:rPr>
            </w:pPr>
            <w:r w:rsidRPr="00E10230">
              <w:rPr>
                <w:rFonts w:ascii="Book Antiqua" w:eastAsia="Times New Roman" w:hAnsi="Book Antiqua" w:cs="Arial"/>
                <w:b/>
                <w:bCs/>
                <w:color w:val="000000"/>
                <w:sz w:val="24"/>
                <w:szCs w:val="24"/>
              </w:rPr>
              <w:t>%</w:t>
            </w:r>
          </w:p>
        </w:tc>
        <w:tc>
          <w:tcPr>
            <w:tcW w:w="519" w:type="pct"/>
            <w:shd w:val="clear" w:color="auto" w:fill="auto"/>
            <w:noWrap/>
            <w:vAlign w:val="center"/>
            <w:hideMark/>
          </w:tcPr>
          <w:p w14:paraId="4BA87BC3" w14:textId="50A4B423" w:rsidR="00F377E9" w:rsidRPr="002E7607" w:rsidRDefault="002E7607" w:rsidP="00E10230">
            <w:pPr>
              <w:spacing w:after="0" w:line="360" w:lineRule="auto"/>
              <w:jc w:val="both"/>
              <w:rPr>
                <w:rFonts w:ascii="Book Antiqua" w:eastAsia="Times New Roman" w:hAnsi="Book Antiqua" w:cs="Arial"/>
                <w:bCs/>
                <w:i/>
                <w:color w:val="000000"/>
                <w:sz w:val="24"/>
                <w:szCs w:val="24"/>
              </w:rPr>
            </w:pPr>
            <w:r w:rsidRPr="002E7607">
              <w:rPr>
                <w:rFonts w:ascii="Book Antiqua" w:eastAsia="Times New Roman" w:hAnsi="Book Antiqua" w:cs="Arial"/>
                <w:bCs/>
                <w:i/>
                <w:color w:val="000000"/>
                <w:sz w:val="24"/>
                <w:szCs w:val="24"/>
              </w:rPr>
              <w:t>n</w:t>
            </w:r>
          </w:p>
        </w:tc>
        <w:tc>
          <w:tcPr>
            <w:tcW w:w="459" w:type="pct"/>
            <w:shd w:val="clear" w:color="auto" w:fill="auto"/>
            <w:noWrap/>
            <w:vAlign w:val="center"/>
            <w:hideMark/>
          </w:tcPr>
          <w:p w14:paraId="19A0B492" w14:textId="77777777" w:rsidR="00F377E9" w:rsidRPr="00E10230" w:rsidRDefault="00F377E9" w:rsidP="00E10230">
            <w:pPr>
              <w:spacing w:after="0" w:line="360" w:lineRule="auto"/>
              <w:jc w:val="both"/>
              <w:rPr>
                <w:rFonts w:ascii="Book Antiqua" w:eastAsia="Times New Roman" w:hAnsi="Book Antiqua" w:cs="Arial"/>
                <w:b/>
                <w:bCs/>
                <w:color w:val="000000"/>
                <w:sz w:val="24"/>
                <w:szCs w:val="24"/>
              </w:rPr>
            </w:pPr>
            <w:r w:rsidRPr="00E10230">
              <w:rPr>
                <w:rFonts w:ascii="Book Antiqua" w:eastAsia="Times New Roman" w:hAnsi="Book Antiqua" w:cs="Arial"/>
                <w:b/>
                <w:bCs/>
                <w:color w:val="000000"/>
                <w:sz w:val="24"/>
                <w:szCs w:val="24"/>
              </w:rPr>
              <w:t>%</w:t>
            </w:r>
          </w:p>
        </w:tc>
      </w:tr>
      <w:tr w:rsidR="00F377E9" w:rsidRPr="00E10230" w14:paraId="1858CDAF" w14:textId="77777777" w:rsidTr="002E7607">
        <w:trPr>
          <w:trHeight w:val="497"/>
          <w:jc w:val="center"/>
        </w:trPr>
        <w:tc>
          <w:tcPr>
            <w:tcW w:w="1079" w:type="pct"/>
            <w:shd w:val="clear" w:color="auto" w:fill="auto"/>
            <w:noWrap/>
            <w:vAlign w:val="center"/>
            <w:hideMark/>
          </w:tcPr>
          <w:p w14:paraId="28B9B1A0" w14:textId="77777777" w:rsidR="00F377E9" w:rsidRPr="002E7607" w:rsidRDefault="00F377E9" w:rsidP="00E10230">
            <w:pPr>
              <w:spacing w:after="0" w:line="360" w:lineRule="auto"/>
              <w:jc w:val="both"/>
              <w:rPr>
                <w:rFonts w:ascii="Book Antiqua" w:eastAsia="Times New Roman" w:hAnsi="Book Antiqua" w:cs="Arial"/>
                <w:color w:val="000000"/>
                <w:sz w:val="24"/>
                <w:szCs w:val="24"/>
              </w:rPr>
            </w:pPr>
            <w:r w:rsidRPr="002E7607">
              <w:rPr>
                <w:rFonts w:ascii="Book Antiqua" w:eastAsia="Times New Roman" w:hAnsi="Book Antiqua" w:cs="Arial"/>
                <w:color w:val="000000"/>
                <w:sz w:val="24"/>
                <w:szCs w:val="24"/>
              </w:rPr>
              <w:t>18-44</w:t>
            </w:r>
          </w:p>
        </w:tc>
        <w:tc>
          <w:tcPr>
            <w:tcW w:w="629" w:type="pct"/>
            <w:shd w:val="clear" w:color="auto" w:fill="auto"/>
            <w:noWrap/>
            <w:vAlign w:val="center"/>
            <w:hideMark/>
          </w:tcPr>
          <w:p w14:paraId="76E02083"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5525</w:t>
            </w:r>
          </w:p>
        </w:tc>
        <w:tc>
          <w:tcPr>
            <w:tcW w:w="347" w:type="pct"/>
            <w:shd w:val="clear" w:color="auto" w:fill="auto"/>
            <w:noWrap/>
            <w:vAlign w:val="center"/>
            <w:hideMark/>
          </w:tcPr>
          <w:p w14:paraId="0F4C362E"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6.9</w:t>
            </w:r>
          </w:p>
        </w:tc>
        <w:tc>
          <w:tcPr>
            <w:tcW w:w="525" w:type="pct"/>
            <w:shd w:val="clear" w:color="auto" w:fill="auto"/>
            <w:noWrap/>
            <w:vAlign w:val="center"/>
            <w:hideMark/>
          </w:tcPr>
          <w:p w14:paraId="79C74E76"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945</w:t>
            </w:r>
          </w:p>
        </w:tc>
        <w:tc>
          <w:tcPr>
            <w:tcW w:w="462" w:type="pct"/>
            <w:shd w:val="clear" w:color="auto" w:fill="auto"/>
            <w:noWrap/>
            <w:vAlign w:val="center"/>
            <w:hideMark/>
          </w:tcPr>
          <w:p w14:paraId="6E19F735"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12.5</w:t>
            </w:r>
          </w:p>
        </w:tc>
        <w:tc>
          <w:tcPr>
            <w:tcW w:w="521" w:type="pct"/>
            <w:shd w:val="clear" w:color="auto" w:fill="auto"/>
            <w:noWrap/>
            <w:vAlign w:val="center"/>
            <w:hideMark/>
          </w:tcPr>
          <w:p w14:paraId="752D8D48"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600</w:t>
            </w:r>
          </w:p>
        </w:tc>
        <w:tc>
          <w:tcPr>
            <w:tcW w:w="460" w:type="pct"/>
            <w:shd w:val="clear" w:color="auto" w:fill="auto"/>
            <w:noWrap/>
            <w:vAlign w:val="center"/>
            <w:hideMark/>
          </w:tcPr>
          <w:p w14:paraId="6F920C0C"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13.9</w:t>
            </w:r>
          </w:p>
        </w:tc>
        <w:tc>
          <w:tcPr>
            <w:tcW w:w="519" w:type="pct"/>
            <w:shd w:val="clear" w:color="auto" w:fill="auto"/>
            <w:noWrap/>
            <w:vAlign w:val="center"/>
            <w:hideMark/>
          </w:tcPr>
          <w:p w14:paraId="50E5232B"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425</w:t>
            </w:r>
          </w:p>
        </w:tc>
        <w:tc>
          <w:tcPr>
            <w:tcW w:w="459" w:type="pct"/>
            <w:shd w:val="clear" w:color="auto" w:fill="auto"/>
            <w:noWrap/>
            <w:vAlign w:val="center"/>
            <w:hideMark/>
          </w:tcPr>
          <w:p w14:paraId="0182F760" w14:textId="77777777" w:rsidR="00F377E9" w:rsidRPr="00E10230" w:rsidRDefault="00F377E9" w:rsidP="00E10230">
            <w:pPr>
              <w:spacing w:after="0" w:line="360" w:lineRule="auto"/>
              <w:jc w:val="both"/>
              <w:rPr>
                <w:rFonts w:ascii="Book Antiqua" w:eastAsia="Times New Roman" w:hAnsi="Book Antiqua" w:cs="Arial"/>
                <w:color w:val="000000"/>
                <w:sz w:val="24"/>
                <w:szCs w:val="24"/>
              </w:rPr>
            </w:pPr>
            <w:r w:rsidRPr="00E10230">
              <w:rPr>
                <w:rFonts w:ascii="Book Antiqua" w:eastAsia="Times New Roman" w:hAnsi="Book Antiqua" w:cs="Arial"/>
                <w:color w:val="000000"/>
                <w:sz w:val="24"/>
                <w:szCs w:val="24"/>
              </w:rPr>
              <w:t>10.5</w:t>
            </w:r>
          </w:p>
        </w:tc>
      </w:tr>
      <w:tr w:rsidR="00F377E9" w:rsidRPr="00E10230" w14:paraId="23A3B77F" w14:textId="77777777" w:rsidTr="002E7607">
        <w:trPr>
          <w:trHeight w:val="497"/>
          <w:jc w:val="center"/>
        </w:trPr>
        <w:tc>
          <w:tcPr>
            <w:tcW w:w="1079" w:type="pct"/>
            <w:shd w:val="clear" w:color="auto" w:fill="auto"/>
            <w:noWrap/>
            <w:vAlign w:val="center"/>
            <w:hideMark/>
          </w:tcPr>
          <w:p w14:paraId="21D761B5" w14:textId="77777777" w:rsidR="00F377E9" w:rsidRPr="002E7607" w:rsidRDefault="00F377E9" w:rsidP="00E10230">
            <w:pPr>
              <w:spacing w:after="0" w:line="360" w:lineRule="auto"/>
              <w:jc w:val="both"/>
              <w:rPr>
                <w:rFonts w:ascii="Book Antiqua" w:eastAsia="Times New Roman" w:hAnsi="Book Antiqua" w:cs="Arial"/>
                <w:color w:val="000000"/>
                <w:sz w:val="24"/>
                <w:szCs w:val="24"/>
              </w:rPr>
            </w:pPr>
            <w:r w:rsidRPr="002E7607">
              <w:rPr>
                <w:rFonts w:ascii="Book Antiqua" w:eastAsia="Times New Roman" w:hAnsi="Book Antiqua" w:cs="Arial"/>
                <w:color w:val="000000"/>
                <w:sz w:val="24"/>
                <w:szCs w:val="24"/>
              </w:rPr>
              <w:t>45-64</w:t>
            </w:r>
          </w:p>
        </w:tc>
        <w:tc>
          <w:tcPr>
            <w:tcW w:w="629" w:type="pct"/>
            <w:shd w:val="clear" w:color="auto" w:fill="auto"/>
            <w:noWrap/>
            <w:vAlign w:val="center"/>
            <w:hideMark/>
          </w:tcPr>
          <w:p w14:paraId="5ECC2565"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50085</w:t>
            </w:r>
          </w:p>
        </w:tc>
        <w:tc>
          <w:tcPr>
            <w:tcW w:w="347" w:type="pct"/>
            <w:shd w:val="clear" w:color="auto" w:fill="auto"/>
            <w:noWrap/>
            <w:vAlign w:val="center"/>
            <w:hideMark/>
          </w:tcPr>
          <w:p w14:paraId="58C38492"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62.2</w:t>
            </w:r>
          </w:p>
        </w:tc>
        <w:tc>
          <w:tcPr>
            <w:tcW w:w="525" w:type="pct"/>
            <w:shd w:val="clear" w:color="auto" w:fill="auto"/>
            <w:noWrap/>
            <w:vAlign w:val="center"/>
            <w:hideMark/>
          </w:tcPr>
          <w:p w14:paraId="5FC1B459"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4715</w:t>
            </w:r>
          </w:p>
        </w:tc>
        <w:tc>
          <w:tcPr>
            <w:tcW w:w="462" w:type="pct"/>
            <w:shd w:val="clear" w:color="auto" w:fill="auto"/>
            <w:noWrap/>
            <w:vAlign w:val="center"/>
            <w:hideMark/>
          </w:tcPr>
          <w:p w14:paraId="253095F9"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62.5</w:t>
            </w:r>
          </w:p>
        </w:tc>
        <w:tc>
          <w:tcPr>
            <w:tcW w:w="521" w:type="pct"/>
            <w:shd w:val="clear" w:color="auto" w:fill="auto"/>
            <w:noWrap/>
            <w:vAlign w:val="center"/>
            <w:hideMark/>
          </w:tcPr>
          <w:p w14:paraId="53F62A8D"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2540</w:t>
            </w:r>
          </w:p>
        </w:tc>
        <w:tc>
          <w:tcPr>
            <w:tcW w:w="460" w:type="pct"/>
            <w:shd w:val="clear" w:color="auto" w:fill="auto"/>
            <w:noWrap/>
            <w:vAlign w:val="center"/>
            <w:hideMark/>
          </w:tcPr>
          <w:p w14:paraId="25CB4CCC"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59.0</w:t>
            </w:r>
          </w:p>
        </w:tc>
        <w:tc>
          <w:tcPr>
            <w:tcW w:w="519" w:type="pct"/>
            <w:shd w:val="clear" w:color="auto" w:fill="auto"/>
            <w:noWrap/>
            <w:vAlign w:val="center"/>
            <w:hideMark/>
          </w:tcPr>
          <w:p w14:paraId="034E0554"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2660</w:t>
            </w:r>
          </w:p>
        </w:tc>
        <w:tc>
          <w:tcPr>
            <w:tcW w:w="459" w:type="pct"/>
            <w:shd w:val="clear" w:color="auto" w:fill="auto"/>
            <w:noWrap/>
            <w:vAlign w:val="center"/>
            <w:hideMark/>
          </w:tcPr>
          <w:p w14:paraId="632F2B79"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65.5</w:t>
            </w:r>
          </w:p>
        </w:tc>
      </w:tr>
      <w:tr w:rsidR="00F377E9" w:rsidRPr="00E10230" w14:paraId="2A35CBD0" w14:textId="77777777" w:rsidTr="002E7607">
        <w:trPr>
          <w:trHeight w:val="497"/>
          <w:jc w:val="center"/>
        </w:trPr>
        <w:tc>
          <w:tcPr>
            <w:tcW w:w="1079" w:type="pct"/>
            <w:shd w:val="clear" w:color="auto" w:fill="auto"/>
            <w:noWrap/>
            <w:vAlign w:val="center"/>
            <w:hideMark/>
          </w:tcPr>
          <w:p w14:paraId="5AC35B40" w14:textId="77777777" w:rsidR="00F377E9" w:rsidRPr="002E7607" w:rsidRDefault="00F377E9" w:rsidP="00E10230">
            <w:pPr>
              <w:spacing w:after="0" w:line="360" w:lineRule="auto"/>
              <w:jc w:val="both"/>
              <w:rPr>
                <w:rFonts w:ascii="Book Antiqua" w:eastAsia="Times New Roman" w:hAnsi="Book Antiqua" w:cs="Arial"/>
                <w:color w:val="000000"/>
                <w:sz w:val="24"/>
                <w:szCs w:val="24"/>
              </w:rPr>
            </w:pPr>
            <w:r w:rsidRPr="002E7607">
              <w:rPr>
                <w:rFonts w:ascii="Book Antiqua" w:eastAsia="Times New Roman" w:hAnsi="Book Antiqua" w:cs="Arial"/>
                <w:color w:val="000000"/>
                <w:sz w:val="24"/>
                <w:szCs w:val="24"/>
              </w:rPr>
              <w:t>65-84</w:t>
            </w:r>
          </w:p>
        </w:tc>
        <w:tc>
          <w:tcPr>
            <w:tcW w:w="629" w:type="pct"/>
            <w:shd w:val="clear" w:color="auto" w:fill="auto"/>
            <w:noWrap/>
            <w:vAlign w:val="center"/>
            <w:hideMark/>
          </w:tcPr>
          <w:p w14:paraId="13909778"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23770</w:t>
            </w:r>
          </w:p>
        </w:tc>
        <w:tc>
          <w:tcPr>
            <w:tcW w:w="347" w:type="pct"/>
            <w:shd w:val="clear" w:color="auto" w:fill="auto"/>
            <w:noWrap/>
            <w:vAlign w:val="center"/>
            <w:hideMark/>
          </w:tcPr>
          <w:p w14:paraId="2D0F9BAE"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29.5</w:t>
            </w:r>
          </w:p>
        </w:tc>
        <w:tc>
          <w:tcPr>
            <w:tcW w:w="525" w:type="pct"/>
            <w:shd w:val="clear" w:color="auto" w:fill="auto"/>
            <w:noWrap/>
            <w:vAlign w:val="center"/>
            <w:hideMark/>
          </w:tcPr>
          <w:p w14:paraId="4AD427D2"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1680</w:t>
            </w:r>
          </w:p>
        </w:tc>
        <w:tc>
          <w:tcPr>
            <w:tcW w:w="462" w:type="pct"/>
            <w:shd w:val="clear" w:color="auto" w:fill="auto"/>
            <w:noWrap/>
            <w:vAlign w:val="center"/>
            <w:hideMark/>
          </w:tcPr>
          <w:p w14:paraId="48087350"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22.3</w:t>
            </w:r>
          </w:p>
        </w:tc>
        <w:tc>
          <w:tcPr>
            <w:tcW w:w="521" w:type="pct"/>
            <w:shd w:val="clear" w:color="auto" w:fill="auto"/>
            <w:noWrap/>
            <w:vAlign w:val="center"/>
            <w:hideMark/>
          </w:tcPr>
          <w:p w14:paraId="073C9D9B"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1000</w:t>
            </w:r>
          </w:p>
        </w:tc>
        <w:tc>
          <w:tcPr>
            <w:tcW w:w="460" w:type="pct"/>
            <w:shd w:val="clear" w:color="auto" w:fill="auto"/>
            <w:noWrap/>
            <w:vAlign w:val="center"/>
            <w:hideMark/>
          </w:tcPr>
          <w:p w14:paraId="3B76F91C"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23.2</w:t>
            </w:r>
          </w:p>
        </w:tc>
        <w:tc>
          <w:tcPr>
            <w:tcW w:w="519" w:type="pct"/>
            <w:shd w:val="clear" w:color="auto" w:fill="auto"/>
            <w:noWrap/>
            <w:vAlign w:val="center"/>
            <w:hideMark/>
          </w:tcPr>
          <w:p w14:paraId="5E3F6AAE"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885</w:t>
            </w:r>
          </w:p>
        </w:tc>
        <w:tc>
          <w:tcPr>
            <w:tcW w:w="459" w:type="pct"/>
            <w:shd w:val="clear" w:color="auto" w:fill="auto"/>
            <w:noWrap/>
            <w:vAlign w:val="center"/>
            <w:hideMark/>
          </w:tcPr>
          <w:p w14:paraId="41EC884D"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21.8</w:t>
            </w:r>
          </w:p>
        </w:tc>
      </w:tr>
      <w:tr w:rsidR="00F377E9" w:rsidRPr="00E10230" w14:paraId="3BBA0013" w14:textId="77777777" w:rsidTr="002E7607">
        <w:trPr>
          <w:trHeight w:val="497"/>
          <w:jc w:val="center"/>
        </w:trPr>
        <w:tc>
          <w:tcPr>
            <w:tcW w:w="1079" w:type="pct"/>
            <w:shd w:val="clear" w:color="auto" w:fill="auto"/>
            <w:noWrap/>
            <w:vAlign w:val="center"/>
            <w:hideMark/>
          </w:tcPr>
          <w:p w14:paraId="6CD8BC3B" w14:textId="77777777" w:rsidR="00F377E9" w:rsidRPr="002E7607" w:rsidRDefault="00F377E9" w:rsidP="00E10230">
            <w:pPr>
              <w:spacing w:after="0" w:line="360" w:lineRule="auto"/>
              <w:jc w:val="both"/>
              <w:rPr>
                <w:rFonts w:ascii="Book Antiqua" w:eastAsia="Times New Roman" w:hAnsi="Book Antiqua" w:cs="Arial"/>
                <w:color w:val="000000"/>
                <w:sz w:val="24"/>
                <w:szCs w:val="24"/>
              </w:rPr>
            </w:pPr>
            <w:r w:rsidRPr="002E7607">
              <w:rPr>
                <w:rFonts w:ascii="Book Antiqua" w:eastAsia="Times New Roman" w:hAnsi="Book Antiqua" w:cs="Arial"/>
                <w:color w:val="000000"/>
                <w:sz w:val="24"/>
                <w:szCs w:val="24"/>
              </w:rPr>
              <w:t>85+</w:t>
            </w:r>
          </w:p>
        </w:tc>
        <w:tc>
          <w:tcPr>
            <w:tcW w:w="629" w:type="pct"/>
            <w:shd w:val="clear" w:color="auto" w:fill="auto"/>
            <w:noWrap/>
            <w:vAlign w:val="center"/>
            <w:hideMark/>
          </w:tcPr>
          <w:p w14:paraId="51BA2330"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1080</w:t>
            </w:r>
          </w:p>
        </w:tc>
        <w:tc>
          <w:tcPr>
            <w:tcW w:w="347" w:type="pct"/>
            <w:shd w:val="clear" w:color="auto" w:fill="auto"/>
            <w:noWrap/>
            <w:vAlign w:val="center"/>
            <w:hideMark/>
          </w:tcPr>
          <w:p w14:paraId="6CE4B6BC"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1.3</w:t>
            </w:r>
          </w:p>
        </w:tc>
        <w:tc>
          <w:tcPr>
            <w:tcW w:w="525" w:type="pct"/>
            <w:shd w:val="clear" w:color="auto" w:fill="auto"/>
            <w:noWrap/>
            <w:vAlign w:val="center"/>
            <w:hideMark/>
          </w:tcPr>
          <w:p w14:paraId="1D434362"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105</w:t>
            </w:r>
          </w:p>
        </w:tc>
        <w:tc>
          <w:tcPr>
            <w:tcW w:w="462" w:type="pct"/>
            <w:shd w:val="clear" w:color="auto" w:fill="auto"/>
            <w:noWrap/>
            <w:vAlign w:val="center"/>
            <w:hideMark/>
          </w:tcPr>
          <w:p w14:paraId="387CCE75"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1.4</w:t>
            </w:r>
          </w:p>
        </w:tc>
        <w:tc>
          <w:tcPr>
            <w:tcW w:w="521" w:type="pct"/>
            <w:shd w:val="clear" w:color="auto" w:fill="auto"/>
            <w:noWrap/>
            <w:vAlign w:val="center"/>
            <w:hideMark/>
          </w:tcPr>
          <w:p w14:paraId="27093FC3"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125</w:t>
            </w:r>
          </w:p>
        </w:tc>
        <w:tc>
          <w:tcPr>
            <w:tcW w:w="460" w:type="pct"/>
            <w:shd w:val="clear" w:color="auto" w:fill="auto"/>
            <w:noWrap/>
            <w:vAlign w:val="center"/>
            <w:hideMark/>
          </w:tcPr>
          <w:p w14:paraId="28DFECD7"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2.9</w:t>
            </w:r>
          </w:p>
        </w:tc>
        <w:tc>
          <w:tcPr>
            <w:tcW w:w="519" w:type="pct"/>
            <w:shd w:val="clear" w:color="auto" w:fill="auto"/>
            <w:noWrap/>
            <w:vAlign w:val="center"/>
            <w:hideMark/>
          </w:tcPr>
          <w:p w14:paraId="318DB525"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N/A</w:t>
            </w:r>
          </w:p>
        </w:tc>
        <w:tc>
          <w:tcPr>
            <w:tcW w:w="459" w:type="pct"/>
            <w:shd w:val="clear" w:color="auto" w:fill="auto"/>
            <w:noWrap/>
            <w:vAlign w:val="center"/>
            <w:hideMark/>
          </w:tcPr>
          <w:p w14:paraId="246B1965"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N/A</w:t>
            </w:r>
          </w:p>
        </w:tc>
      </w:tr>
      <w:tr w:rsidR="00F377E9" w:rsidRPr="00E10230" w14:paraId="783F5821" w14:textId="77777777" w:rsidTr="002E7607">
        <w:trPr>
          <w:trHeight w:val="497"/>
          <w:jc w:val="center"/>
        </w:trPr>
        <w:tc>
          <w:tcPr>
            <w:tcW w:w="5000" w:type="pct"/>
            <w:gridSpan w:val="9"/>
            <w:shd w:val="clear" w:color="auto" w:fill="auto"/>
            <w:noWrap/>
            <w:vAlign w:val="center"/>
            <w:hideMark/>
          </w:tcPr>
          <w:p w14:paraId="69A19E35" w14:textId="77777777" w:rsidR="00F377E9" w:rsidRPr="002E7607" w:rsidRDefault="00F377E9" w:rsidP="00E10230">
            <w:pPr>
              <w:spacing w:after="0" w:line="360" w:lineRule="auto"/>
              <w:jc w:val="both"/>
              <w:rPr>
                <w:rFonts w:ascii="Book Antiqua" w:eastAsia="Times New Roman" w:hAnsi="Book Antiqua" w:cs="Arial"/>
                <w:bCs/>
                <w:color w:val="000000"/>
                <w:sz w:val="24"/>
                <w:szCs w:val="24"/>
              </w:rPr>
            </w:pPr>
            <w:r w:rsidRPr="002E7607">
              <w:rPr>
                <w:rFonts w:ascii="Book Antiqua" w:eastAsia="Times New Roman" w:hAnsi="Book Antiqua" w:cs="Arial"/>
                <w:bCs/>
                <w:color w:val="000000"/>
                <w:sz w:val="24"/>
                <w:szCs w:val="24"/>
              </w:rPr>
              <w:t>Payer</w:t>
            </w:r>
          </w:p>
        </w:tc>
      </w:tr>
      <w:tr w:rsidR="00F377E9" w:rsidRPr="00E10230" w14:paraId="4E6EC023" w14:textId="77777777" w:rsidTr="002E7607">
        <w:trPr>
          <w:trHeight w:val="497"/>
          <w:jc w:val="center"/>
        </w:trPr>
        <w:tc>
          <w:tcPr>
            <w:tcW w:w="1079" w:type="pct"/>
            <w:shd w:val="clear" w:color="auto" w:fill="auto"/>
            <w:noWrap/>
            <w:vAlign w:val="center"/>
            <w:hideMark/>
          </w:tcPr>
          <w:p w14:paraId="3124D403" w14:textId="77777777" w:rsidR="00F377E9" w:rsidRPr="002E7607" w:rsidRDefault="00F377E9" w:rsidP="00E10230">
            <w:pPr>
              <w:spacing w:after="0" w:line="360" w:lineRule="auto"/>
              <w:jc w:val="both"/>
              <w:rPr>
                <w:rFonts w:ascii="Book Antiqua" w:eastAsia="Times New Roman" w:hAnsi="Book Antiqua" w:cs="Arial"/>
                <w:color w:val="000000"/>
                <w:sz w:val="24"/>
                <w:szCs w:val="24"/>
              </w:rPr>
            </w:pPr>
            <w:r w:rsidRPr="002E7607">
              <w:rPr>
                <w:rFonts w:ascii="Book Antiqua" w:eastAsia="Times New Roman" w:hAnsi="Book Antiqua" w:cs="Arial"/>
                <w:color w:val="000000"/>
                <w:sz w:val="24"/>
                <w:szCs w:val="24"/>
              </w:rPr>
              <w:t>Medicare</w:t>
            </w:r>
          </w:p>
        </w:tc>
        <w:tc>
          <w:tcPr>
            <w:tcW w:w="629" w:type="pct"/>
            <w:shd w:val="clear" w:color="auto" w:fill="auto"/>
            <w:noWrap/>
            <w:vAlign w:val="center"/>
            <w:hideMark/>
          </w:tcPr>
          <w:p w14:paraId="6CE651D3"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38995</w:t>
            </w:r>
          </w:p>
        </w:tc>
        <w:tc>
          <w:tcPr>
            <w:tcW w:w="347" w:type="pct"/>
            <w:shd w:val="clear" w:color="auto" w:fill="auto"/>
            <w:noWrap/>
            <w:vAlign w:val="center"/>
            <w:hideMark/>
          </w:tcPr>
          <w:p w14:paraId="5ADE0A94"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48.5</w:t>
            </w:r>
          </w:p>
        </w:tc>
        <w:tc>
          <w:tcPr>
            <w:tcW w:w="525" w:type="pct"/>
            <w:shd w:val="clear" w:color="auto" w:fill="auto"/>
            <w:noWrap/>
            <w:vAlign w:val="center"/>
            <w:hideMark/>
          </w:tcPr>
          <w:p w14:paraId="1348C495"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3005</w:t>
            </w:r>
          </w:p>
        </w:tc>
        <w:tc>
          <w:tcPr>
            <w:tcW w:w="462" w:type="pct"/>
            <w:shd w:val="clear" w:color="auto" w:fill="auto"/>
            <w:noWrap/>
            <w:vAlign w:val="center"/>
            <w:hideMark/>
          </w:tcPr>
          <w:p w14:paraId="69AA426C"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39.8</w:t>
            </w:r>
          </w:p>
        </w:tc>
        <w:tc>
          <w:tcPr>
            <w:tcW w:w="521" w:type="pct"/>
            <w:shd w:val="clear" w:color="auto" w:fill="auto"/>
            <w:noWrap/>
            <w:vAlign w:val="center"/>
            <w:hideMark/>
          </w:tcPr>
          <w:p w14:paraId="43C30F36"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1445</w:t>
            </w:r>
          </w:p>
        </w:tc>
        <w:tc>
          <w:tcPr>
            <w:tcW w:w="460" w:type="pct"/>
            <w:shd w:val="clear" w:color="auto" w:fill="auto"/>
            <w:noWrap/>
            <w:vAlign w:val="center"/>
            <w:hideMark/>
          </w:tcPr>
          <w:p w14:paraId="2D2B6CA0"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33.6</w:t>
            </w:r>
          </w:p>
        </w:tc>
        <w:tc>
          <w:tcPr>
            <w:tcW w:w="519" w:type="pct"/>
            <w:shd w:val="clear" w:color="auto" w:fill="auto"/>
            <w:noWrap/>
            <w:vAlign w:val="center"/>
            <w:hideMark/>
          </w:tcPr>
          <w:p w14:paraId="75F30014"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1455</w:t>
            </w:r>
          </w:p>
        </w:tc>
        <w:tc>
          <w:tcPr>
            <w:tcW w:w="459" w:type="pct"/>
            <w:shd w:val="clear" w:color="auto" w:fill="auto"/>
            <w:noWrap/>
            <w:vAlign w:val="center"/>
            <w:hideMark/>
          </w:tcPr>
          <w:p w14:paraId="0656E3D3"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35.8</w:t>
            </w:r>
          </w:p>
        </w:tc>
      </w:tr>
      <w:tr w:rsidR="00F377E9" w:rsidRPr="00E10230" w14:paraId="5258CC77" w14:textId="77777777" w:rsidTr="002E7607">
        <w:trPr>
          <w:trHeight w:val="497"/>
          <w:jc w:val="center"/>
        </w:trPr>
        <w:tc>
          <w:tcPr>
            <w:tcW w:w="1079" w:type="pct"/>
            <w:shd w:val="clear" w:color="auto" w:fill="auto"/>
            <w:noWrap/>
            <w:vAlign w:val="center"/>
            <w:hideMark/>
          </w:tcPr>
          <w:p w14:paraId="09CDD82F" w14:textId="77777777" w:rsidR="00F377E9" w:rsidRPr="002E7607" w:rsidRDefault="00F377E9" w:rsidP="00E10230">
            <w:pPr>
              <w:spacing w:after="0" w:line="360" w:lineRule="auto"/>
              <w:jc w:val="both"/>
              <w:rPr>
                <w:rFonts w:ascii="Book Antiqua" w:eastAsia="Times New Roman" w:hAnsi="Book Antiqua" w:cs="Arial"/>
                <w:color w:val="000000"/>
                <w:sz w:val="24"/>
                <w:szCs w:val="24"/>
              </w:rPr>
            </w:pPr>
            <w:r w:rsidRPr="002E7607">
              <w:rPr>
                <w:rFonts w:ascii="Book Antiqua" w:eastAsia="Times New Roman" w:hAnsi="Book Antiqua" w:cs="Arial"/>
                <w:color w:val="000000"/>
                <w:sz w:val="24"/>
                <w:szCs w:val="24"/>
              </w:rPr>
              <w:t>Medicaid</w:t>
            </w:r>
          </w:p>
        </w:tc>
        <w:tc>
          <w:tcPr>
            <w:tcW w:w="629" w:type="pct"/>
            <w:shd w:val="clear" w:color="auto" w:fill="auto"/>
            <w:noWrap/>
            <w:vAlign w:val="center"/>
            <w:hideMark/>
          </w:tcPr>
          <w:p w14:paraId="38EB31E8"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19545</w:t>
            </w:r>
          </w:p>
        </w:tc>
        <w:tc>
          <w:tcPr>
            <w:tcW w:w="347" w:type="pct"/>
            <w:shd w:val="clear" w:color="auto" w:fill="auto"/>
            <w:noWrap/>
            <w:vAlign w:val="center"/>
            <w:hideMark/>
          </w:tcPr>
          <w:p w14:paraId="31E658EA"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24.3</w:t>
            </w:r>
          </w:p>
        </w:tc>
        <w:tc>
          <w:tcPr>
            <w:tcW w:w="525" w:type="pct"/>
            <w:shd w:val="clear" w:color="auto" w:fill="auto"/>
            <w:noWrap/>
            <w:vAlign w:val="center"/>
            <w:hideMark/>
          </w:tcPr>
          <w:p w14:paraId="6CEDD55B"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2005</w:t>
            </w:r>
          </w:p>
        </w:tc>
        <w:tc>
          <w:tcPr>
            <w:tcW w:w="462" w:type="pct"/>
            <w:shd w:val="clear" w:color="auto" w:fill="auto"/>
            <w:noWrap/>
            <w:vAlign w:val="center"/>
            <w:hideMark/>
          </w:tcPr>
          <w:p w14:paraId="7B1F07C7"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26.6</w:t>
            </w:r>
          </w:p>
        </w:tc>
        <w:tc>
          <w:tcPr>
            <w:tcW w:w="521" w:type="pct"/>
            <w:shd w:val="clear" w:color="auto" w:fill="auto"/>
            <w:noWrap/>
            <w:vAlign w:val="center"/>
            <w:hideMark/>
          </w:tcPr>
          <w:p w14:paraId="707A6A15"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985</w:t>
            </w:r>
          </w:p>
        </w:tc>
        <w:tc>
          <w:tcPr>
            <w:tcW w:w="460" w:type="pct"/>
            <w:shd w:val="clear" w:color="auto" w:fill="auto"/>
            <w:noWrap/>
            <w:vAlign w:val="center"/>
            <w:hideMark/>
          </w:tcPr>
          <w:p w14:paraId="23448D29"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22.9</w:t>
            </w:r>
          </w:p>
        </w:tc>
        <w:tc>
          <w:tcPr>
            <w:tcW w:w="519" w:type="pct"/>
            <w:shd w:val="clear" w:color="auto" w:fill="auto"/>
            <w:noWrap/>
            <w:vAlign w:val="center"/>
            <w:hideMark/>
          </w:tcPr>
          <w:p w14:paraId="17E8162B"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990</w:t>
            </w:r>
          </w:p>
        </w:tc>
        <w:tc>
          <w:tcPr>
            <w:tcW w:w="459" w:type="pct"/>
            <w:shd w:val="clear" w:color="auto" w:fill="auto"/>
            <w:noWrap/>
            <w:vAlign w:val="center"/>
            <w:hideMark/>
          </w:tcPr>
          <w:p w14:paraId="3DA732E8"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24.4</w:t>
            </w:r>
          </w:p>
        </w:tc>
      </w:tr>
      <w:tr w:rsidR="00F377E9" w:rsidRPr="00E10230" w14:paraId="049CBA20" w14:textId="77777777" w:rsidTr="002E7607">
        <w:trPr>
          <w:trHeight w:val="497"/>
          <w:jc w:val="center"/>
        </w:trPr>
        <w:tc>
          <w:tcPr>
            <w:tcW w:w="1079" w:type="pct"/>
            <w:shd w:val="clear" w:color="auto" w:fill="auto"/>
            <w:noWrap/>
            <w:vAlign w:val="center"/>
            <w:hideMark/>
          </w:tcPr>
          <w:p w14:paraId="33A8D76F" w14:textId="77777777" w:rsidR="00F377E9" w:rsidRPr="002E7607" w:rsidRDefault="00F377E9" w:rsidP="00E10230">
            <w:pPr>
              <w:spacing w:after="0" w:line="360" w:lineRule="auto"/>
              <w:jc w:val="both"/>
              <w:rPr>
                <w:rFonts w:ascii="Book Antiqua" w:eastAsia="Times New Roman" w:hAnsi="Book Antiqua" w:cs="Arial"/>
                <w:color w:val="000000"/>
                <w:sz w:val="24"/>
                <w:szCs w:val="24"/>
              </w:rPr>
            </w:pPr>
            <w:r w:rsidRPr="002E7607">
              <w:rPr>
                <w:rFonts w:ascii="Book Antiqua" w:eastAsia="Times New Roman" w:hAnsi="Book Antiqua" w:cs="Arial"/>
                <w:color w:val="000000"/>
                <w:sz w:val="24"/>
                <w:szCs w:val="24"/>
              </w:rPr>
              <w:t>Private insurance</w:t>
            </w:r>
          </w:p>
        </w:tc>
        <w:tc>
          <w:tcPr>
            <w:tcW w:w="629" w:type="pct"/>
            <w:shd w:val="clear" w:color="auto" w:fill="auto"/>
            <w:noWrap/>
            <w:vAlign w:val="center"/>
            <w:hideMark/>
          </w:tcPr>
          <w:p w14:paraId="6F5D8DDF"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15745</w:t>
            </w:r>
          </w:p>
        </w:tc>
        <w:tc>
          <w:tcPr>
            <w:tcW w:w="347" w:type="pct"/>
            <w:shd w:val="clear" w:color="auto" w:fill="auto"/>
            <w:noWrap/>
            <w:vAlign w:val="center"/>
            <w:hideMark/>
          </w:tcPr>
          <w:p w14:paraId="731887F7"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19.6</w:t>
            </w:r>
          </w:p>
        </w:tc>
        <w:tc>
          <w:tcPr>
            <w:tcW w:w="525" w:type="pct"/>
            <w:shd w:val="clear" w:color="auto" w:fill="auto"/>
            <w:noWrap/>
            <w:vAlign w:val="center"/>
            <w:hideMark/>
          </w:tcPr>
          <w:p w14:paraId="0F24F490"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1940</w:t>
            </w:r>
          </w:p>
        </w:tc>
        <w:tc>
          <w:tcPr>
            <w:tcW w:w="462" w:type="pct"/>
            <w:shd w:val="clear" w:color="auto" w:fill="auto"/>
            <w:noWrap/>
            <w:vAlign w:val="center"/>
            <w:hideMark/>
          </w:tcPr>
          <w:p w14:paraId="17C6E619"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25.7</w:t>
            </w:r>
          </w:p>
        </w:tc>
        <w:tc>
          <w:tcPr>
            <w:tcW w:w="521" w:type="pct"/>
            <w:shd w:val="clear" w:color="auto" w:fill="auto"/>
            <w:noWrap/>
            <w:vAlign w:val="center"/>
            <w:hideMark/>
          </w:tcPr>
          <w:p w14:paraId="4475FFE2"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1225</w:t>
            </w:r>
          </w:p>
        </w:tc>
        <w:tc>
          <w:tcPr>
            <w:tcW w:w="460" w:type="pct"/>
            <w:shd w:val="clear" w:color="auto" w:fill="auto"/>
            <w:noWrap/>
            <w:vAlign w:val="center"/>
            <w:hideMark/>
          </w:tcPr>
          <w:p w14:paraId="7DE660C8"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28.5</w:t>
            </w:r>
          </w:p>
        </w:tc>
        <w:tc>
          <w:tcPr>
            <w:tcW w:w="519" w:type="pct"/>
            <w:shd w:val="clear" w:color="auto" w:fill="auto"/>
            <w:noWrap/>
            <w:vAlign w:val="center"/>
            <w:hideMark/>
          </w:tcPr>
          <w:p w14:paraId="0A1BD724"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1200</w:t>
            </w:r>
          </w:p>
        </w:tc>
        <w:tc>
          <w:tcPr>
            <w:tcW w:w="459" w:type="pct"/>
            <w:shd w:val="clear" w:color="auto" w:fill="auto"/>
            <w:noWrap/>
            <w:vAlign w:val="center"/>
            <w:hideMark/>
          </w:tcPr>
          <w:p w14:paraId="69192491"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29.6</w:t>
            </w:r>
          </w:p>
        </w:tc>
      </w:tr>
      <w:tr w:rsidR="00F377E9" w:rsidRPr="00E10230" w14:paraId="6C28EF4E" w14:textId="77777777" w:rsidTr="002E7607">
        <w:trPr>
          <w:trHeight w:val="497"/>
          <w:jc w:val="center"/>
        </w:trPr>
        <w:tc>
          <w:tcPr>
            <w:tcW w:w="1079" w:type="pct"/>
            <w:shd w:val="clear" w:color="auto" w:fill="auto"/>
            <w:noWrap/>
            <w:vAlign w:val="center"/>
            <w:hideMark/>
          </w:tcPr>
          <w:p w14:paraId="0B9D233D" w14:textId="77777777" w:rsidR="00F377E9" w:rsidRPr="002E7607" w:rsidRDefault="00F377E9" w:rsidP="00E10230">
            <w:pPr>
              <w:spacing w:after="0" w:line="360" w:lineRule="auto"/>
              <w:jc w:val="both"/>
              <w:rPr>
                <w:rFonts w:ascii="Book Antiqua" w:eastAsia="Times New Roman" w:hAnsi="Book Antiqua" w:cs="Arial"/>
                <w:color w:val="000000"/>
                <w:sz w:val="24"/>
                <w:szCs w:val="24"/>
              </w:rPr>
            </w:pPr>
            <w:r w:rsidRPr="002E7607">
              <w:rPr>
                <w:rFonts w:ascii="Book Antiqua" w:eastAsia="Times New Roman" w:hAnsi="Book Antiqua" w:cs="Arial"/>
                <w:color w:val="000000"/>
                <w:sz w:val="24"/>
                <w:szCs w:val="24"/>
              </w:rPr>
              <w:t>Uninsured</w:t>
            </w:r>
          </w:p>
        </w:tc>
        <w:tc>
          <w:tcPr>
            <w:tcW w:w="629" w:type="pct"/>
            <w:shd w:val="clear" w:color="auto" w:fill="auto"/>
            <w:noWrap/>
            <w:vAlign w:val="center"/>
            <w:hideMark/>
          </w:tcPr>
          <w:p w14:paraId="265D84D2"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3240</w:t>
            </w:r>
          </w:p>
        </w:tc>
        <w:tc>
          <w:tcPr>
            <w:tcW w:w="347" w:type="pct"/>
            <w:shd w:val="clear" w:color="auto" w:fill="auto"/>
            <w:noWrap/>
            <w:vAlign w:val="center"/>
            <w:hideMark/>
          </w:tcPr>
          <w:p w14:paraId="6CBD45D3"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4.0</w:t>
            </w:r>
          </w:p>
        </w:tc>
        <w:tc>
          <w:tcPr>
            <w:tcW w:w="525" w:type="pct"/>
            <w:shd w:val="clear" w:color="auto" w:fill="auto"/>
            <w:noWrap/>
            <w:vAlign w:val="center"/>
            <w:hideMark/>
          </w:tcPr>
          <w:p w14:paraId="342CB22E"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360</w:t>
            </w:r>
          </w:p>
        </w:tc>
        <w:tc>
          <w:tcPr>
            <w:tcW w:w="462" w:type="pct"/>
            <w:shd w:val="clear" w:color="auto" w:fill="auto"/>
            <w:noWrap/>
            <w:vAlign w:val="center"/>
            <w:hideMark/>
          </w:tcPr>
          <w:p w14:paraId="31BC525F"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4.8</w:t>
            </w:r>
          </w:p>
        </w:tc>
        <w:tc>
          <w:tcPr>
            <w:tcW w:w="521" w:type="pct"/>
            <w:shd w:val="clear" w:color="auto" w:fill="auto"/>
            <w:noWrap/>
            <w:vAlign w:val="center"/>
            <w:hideMark/>
          </w:tcPr>
          <w:p w14:paraId="20B0E12D"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470</w:t>
            </w:r>
          </w:p>
        </w:tc>
        <w:tc>
          <w:tcPr>
            <w:tcW w:w="460" w:type="pct"/>
            <w:shd w:val="clear" w:color="auto" w:fill="auto"/>
            <w:noWrap/>
            <w:vAlign w:val="center"/>
            <w:hideMark/>
          </w:tcPr>
          <w:p w14:paraId="3CBB4CF2"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10.9</w:t>
            </w:r>
          </w:p>
        </w:tc>
        <w:tc>
          <w:tcPr>
            <w:tcW w:w="519" w:type="pct"/>
            <w:shd w:val="clear" w:color="auto" w:fill="auto"/>
            <w:noWrap/>
            <w:vAlign w:val="center"/>
            <w:hideMark/>
          </w:tcPr>
          <w:p w14:paraId="7883B255"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270</w:t>
            </w:r>
          </w:p>
        </w:tc>
        <w:tc>
          <w:tcPr>
            <w:tcW w:w="459" w:type="pct"/>
            <w:shd w:val="clear" w:color="auto" w:fill="auto"/>
            <w:noWrap/>
            <w:vAlign w:val="center"/>
            <w:hideMark/>
          </w:tcPr>
          <w:p w14:paraId="6F5D5F96"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6.7</w:t>
            </w:r>
          </w:p>
        </w:tc>
      </w:tr>
      <w:tr w:rsidR="00F377E9" w:rsidRPr="00E10230" w14:paraId="22B8ECDD" w14:textId="77777777" w:rsidTr="002E7607">
        <w:trPr>
          <w:trHeight w:val="497"/>
          <w:jc w:val="center"/>
        </w:trPr>
        <w:tc>
          <w:tcPr>
            <w:tcW w:w="1079" w:type="pct"/>
            <w:shd w:val="clear" w:color="auto" w:fill="auto"/>
            <w:noWrap/>
            <w:vAlign w:val="center"/>
            <w:hideMark/>
          </w:tcPr>
          <w:p w14:paraId="7971803D" w14:textId="77777777" w:rsidR="00F377E9" w:rsidRPr="002E7607" w:rsidRDefault="00F377E9" w:rsidP="00E10230">
            <w:pPr>
              <w:spacing w:after="0" w:line="360" w:lineRule="auto"/>
              <w:jc w:val="both"/>
              <w:rPr>
                <w:rFonts w:ascii="Book Antiqua" w:eastAsia="Times New Roman" w:hAnsi="Book Antiqua" w:cs="Arial"/>
                <w:color w:val="000000"/>
                <w:sz w:val="24"/>
                <w:szCs w:val="24"/>
              </w:rPr>
            </w:pPr>
            <w:r w:rsidRPr="002E7607">
              <w:rPr>
                <w:rFonts w:ascii="Book Antiqua" w:eastAsia="Times New Roman" w:hAnsi="Book Antiqua" w:cs="Arial"/>
                <w:color w:val="000000"/>
                <w:sz w:val="24"/>
                <w:szCs w:val="24"/>
              </w:rPr>
              <w:t>Other</w:t>
            </w:r>
          </w:p>
        </w:tc>
        <w:tc>
          <w:tcPr>
            <w:tcW w:w="629" w:type="pct"/>
            <w:shd w:val="clear" w:color="auto" w:fill="auto"/>
            <w:noWrap/>
            <w:vAlign w:val="center"/>
            <w:hideMark/>
          </w:tcPr>
          <w:p w14:paraId="12519C93"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2715</w:t>
            </w:r>
          </w:p>
        </w:tc>
        <w:tc>
          <w:tcPr>
            <w:tcW w:w="347" w:type="pct"/>
            <w:shd w:val="clear" w:color="auto" w:fill="auto"/>
            <w:noWrap/>
            <w:vAlign w:val="center"/>
            <w:hideMark/>
          </w:tcPr>
          <w:p w14:paraId="5FF062FB"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3.4</w:t>
            </w:r>
          </w:p>
        </w:tc>
        <w:tc>
          <w:tcPr>
            <w:tcW w:w="525" w:type="pct"/>
            <w:shd w:val="clear" w:color="auto" w:fill="auto"/>
            <w:noWrap/>
            <w:vAlign w:val="center"/>
            <w:hideMark/>
          </w:tcPr>
          <w:p w14:paraId="24121E23"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220</w:t>
            </w:r>
          </w:p>
        </w:tc>
        <w:tc>
          <w:tcPr>
            <w:tcW w:w="462" w:type="pct"/>
            <w:shd w:val="clear" w:color="auto" w:fill="auto"/>
            <w:noWrap/>
            <w:vAlign w:val="center"/>
            <w:hideMark/>
          </w:tcPr>
          <w:p w14:paraId="661AEE38"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2.9</w:t>
            </w:r>
          </w:p>
        </w:tc>
        <w:tc>
          <w:tcPr>
            <w:tcW w:w="521" w:type="pct"/>
            <w:shd w:val="clear" w:color="auto" w:fill="auto"/>
            <w:noWrap/>
            <w:vAlign w:val="center"/>
            <w:hideMark/>
          </w:tcPr>
          <w:p w14:paraId="3231BB74"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175</w:t>
            </w:r>
          </w:p>
        </w:tc>
        <w:tc>
          <w:tcPr>
            <w:tcW w:w="460" w:type="pct"/>
            <w:shd w:val="clear" w:color="auto" w:fill="auto"/>
            <w:noWrap/>
            <w:vAlign w:val="center"/>
            <w:hideMark/>
          </w:tcPr>
          <w:p w14:paraId="38F11434"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4.1</w:t>
            </w:r>
          </w:p>
        </w:tc>
        <w:tc>
          <w:tcPr>
            <w:tcW w:w="519" w:type="pct"/>
            <w:shd w:val="clear" w:color="auto" w:fill="auto"/>
            <w:noWrap/>
            <w:vAlign w:val="center"/>
            <w:hideMark/>
          </w:tcPr>
          <w:p w14:paraId="13A0D82C"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125</w:t>
            </w:r>
          </w:p>
        </w:tc>
        <w:tc>
          <w:tcPr>
            <w:tcW w:w="459" w:type="pct"/>
            <w:shd w:val="clear" w:color="auto" w:fill="auto"/>
            <w:noWrap/>
            <w:vAlign w:val="center"/>
            <w:hideMark/>
          </w:tcPr>
          <w:p w14:paraId="1C91DC30"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3.1</w:t>
            </w:r>
          </w:p>
        </w:tc>
      </w:tr>
      <w:tr w:rsidR="00F377E9" w:rsidRPr="00E10230" w14:paraId="7E209F78" w14:textId="77777777" w:rsidTr="002E7607">
        <w:trPr>
          <w:trHeight w:val="497"/>
          <w:jc w:val="center"/>
        </w:trPr>
        <w:tc>
          <w:tcPr>
            <w:tcW w:w="1079" w:type="pct"/>
            <w:shd w:val="clear" w:color="auto" w:fill="auto"/>
            <w:noWrap/>
            <w:vAlign w:val="center"/>
            <w:hideMark/>
          </w:tcPr>
          <w:p w14:paraId="2B63A271" w14:textId="77777777" w:rsidR="00F377E9" w:rsidRPr="002E7607" w:rsidRDefault="00F377E9" w:rsidP="00E10230">
            <w:pPr>
              <w:spacing w:after="0" w:line="360" w:lineRule="auto"/>
              <w:jc w:val="both"/>
              <w:rPr>
                <w:rFonts w:ascii="Book Antiqua" w:eastAsia="Times New Roman" w:hAnsi="Book Antiqua" w:cs="Arial"/>
                <w:color w:val="000000"/>
                <w:sz w:val="24"/>
                <w:szCs w:val="24"/>
              </w:rPr>
            </w:pPr>
            <w:r w:rsidRPr="002E7607">
              <w:rPr>
                <w:rFonts w:ascii="Book Antiqua" w:eastAsia="Times New Roman" w:hAnsi="Book Antiqua" w:cs="Arial"/>
                <w:color w:val="000000"/>
                <w:sz w:val="24"/>
                <w:szCs w:val="24"/>
              </w:rPr>
              <w:t>Missing</w:t>
            </w:r>
          </w:p>
        </w:tc>
        <w:tc>
          <w:tcPr>
            <w:tcW w:w="629" w:type="pct"/>
            <w:shd w:val="clear" w:color="auto" w:fill="auto"/>
            <w:noWrap/>
            <w:vAlign w:val="center"/>
            <w:hideMark/>
          </w:tcPr>
          <w:p w14:paraId="285B9FD2"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229.999</w:t>
            </w:r>
          </w:p>
        </w:tc>
        <w:tc>
          <w:tcPr>
            <w:tcW w:w="347" w:type="pct"/>
            <w:shd w:val="clear" w:color="auto" w:fill="auto"/>
            <w:noWrap/>
            <w:vAlign w:val="center"/>
            <w:hideMark/>
          </w:tcPr>
          <w:p w14:paraId="5E0EFBCD"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0.3</w:t>
            </w:r>
          </w:p>
        </w:tc>
        <w:tc>
          <w:tcPr>
            <w:tcW w:w="525" w:type="pct"/>
            <w:shd w:val="clear" w:color="auto" w:fill="auto"/>
            <w:noWrap/>
            <w:vAlign w:val="center"/>
            <w:hideMark/>
          </w:tcPr>
          <w:p w14:paraId="7FDED05E"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N/A</w:t>
            </w:r>
          </w:p>
        </w:tc>
        <w:tc>
          <w:tcPr>
            <w:tcW w:w="462" w:type="pct"/>
            <w:shd w:val="clear" w:color="auto" w:fill="auto"/>
            <w:noWrap/>
            <w:vAlign w:val="center"/>
            <w:hideMark/>
          </w:tcPr>
          <w:p w14:paraId="21ECB1BE"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N/A</w:t>
            </w:r>
          </w:p>
        </w:tc>
        <w:tc>
          <w:tcPr>
            <w:tcW w:w="521" w:type="pct"/>
            <w:shd w:val="clear" w:color="auto" w:fill="auto"/>
            <w:noWrap/>
            <w:vAlign w:val="center"/>
            <w:hideMark/>
          </w:tcPr>
          <w:p w14:paraId="106B88CA"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N/A</w:t>
            </w:r>
          </w:p>
        </w:tc>
        <w:tc>
          <w:tcPr>
            <w:tcW w:w="460" w:type="pct"/>
            <w:shd w:val="clear" w:color="auto" w:fill="auto"/>
            <w:noWrap/>
            <w:vAlign w:val="center"/>
            <w:hideMark/>
          </w:tcPr>
          <w:p w14:paraId="086B5ACB"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N/A</w:t>
            </w:r>
          </w:p>
        </w:tc>
        <w:tc>
          <w:tcPr>
            <w:tcW w:w="519" w:type="pct"/>
            <w:shd w:val="clear" w:color="auto" w:fill="auto"/>
            <w:noWrap/>
            <w:vAlign w:val="center"/>
            <w:hideMark/>
          </w:tcPr>
          <w:p w14:paraId="1986D412"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N/A</w:t>
            </w:r>
          </w:p>
        </w:tc>
        <w:tc>
          <w:tcPr>
            <w:tcW w:w="459" w:type="pct"/>
            <w:shd w:val="clear" w:color="auto" w:fill="auto"/>
            <w:noWrap/>
            <w:vAlign w:val="center"/>
            <w:hideMark/>
          </w:tcPr>
          <w:p w14:paraId="64828476"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N/A</w:t>
            </w:r>
          </w:p>
        </w:tc>
      </w:tr>
      <w:tr w:rsidR="00F377E9" w:rsidRPr="00E10230" w14:paraId="4D130567" w14:textId="77777777" w:rsidTr="002E7607">
        <w:trPr>
          <w:trHeight w:val="497"/>
          <w:jc w:val="center"/>
        </w:trPr>
        <w:tc>
          <w:tcPr>
            <w:tcW w:w="5000" w:type="pct"/>
            <w:gridSpan w:val="9"/>
            <w:shd w:val="clear" w:color="auto" w:fill="auto"/>
            <w:noWrap/>
            <w:vAlign w:val="center"/>
            <w:hideMark/>
          </w:tcPr>
          <w:p w14:paraId="4492C16B" w14:textId="77777777" w:rsidR="00F377E9" w:rsidRPr="002E7607" w:rsidRDefault="00F377E9" w:rsidP="00E10230">
            <w:pPr>
              <w:spacing w:after="0" w:line="360" w:lineRule="auto"/>
              <w:jc w:val="both"/>
              <w:rPr>
                <w:rFonts w:ascii="Book Antiqua" w:eastAsia="Times New Roman" w:hAnsi="Book Antiqua" w:cs="Arial"/>
                <w:bCs/>
                <w:color w:val="000000"/>
                <w:sz w:val="24"/>
                <w:szCs w:val="24"/>
              </w:rPr>
            </w:pPr>
            <w:r w:rsidRPr="002E7607">
              <w:rPr>
                <w:rFonts w:ascii="Book Antiqua" w:eastAsia="Times New Roman" w:hAnsi="Book Antiqua" w:cs="Arial"/>
                <w:bCs/>
                <w:color w:val="000000"/>
                <w:sz w:val="24"/>
                <w:szCs w:val="24"/>
              </w:rPr>
              <w:t>Bed sizes</w:t>
            </w:r>
          </w:p>
        </w:tc>
      </w:tr>
      <w:tr w:rsidR="00F377E9" w:rsidRPr="00E10230" w14:paraId="104774FB" w14:textId="77777777" w:rsidTr="002E7607">
        <w:trPr>
          <w:trHeight w:val="497"/>
          <w:jc w:val="center"/>
        </w:trPr>
        <w:tc>
          <w:tcPr>
            <w:tcW w:w="1079" w:type="pct"/>
            <w:shd w:val="clear" w:color="auto" w:fill="auto"/>
            <w:noWrap/>
            <w:vAlign w:val="center"/>
            <w:hideMark/>
          </w:tcPr>
          <w:p w14:paraId="6DC330F5" w14:textId="77777777" w:rsidR="00F377E9" w:rsidRPr="002E7607" w:rsidRDefault="00F377E9" w:rsidP="00E10230">
            <w:pPr>
              <w:spacing w:after="0" w:line="360" w:lineRule="auto"/>
              <w:jc w:val="both"/>
              <w:rPr>
                <w:rFonts w:ascii="Book Antiqua" w:eastAsia="Times New Roman" w:hAnsi="Book Antiqua" w:cs="Arial"/>
                <w:color w:val="000000"/>
                <w:sz w:val="24"/>
                <w:szCs w:val="24"/>
              </w:rPr>
            </w:pPr>
            <w:r w:rsidRPr="002E7607">
              <w:rPr>
                <w:rFonts w:ascii="Book Antiqua" w:eastAsia="Times New Roman" w:hAnsi="Book Antiqua" w:cs="Arial"/>
                <w:color w:val="000000"/>
                <w:sz w:val="24"/>
                <w:szCs w:val="24"/>
              </w:rPr>
              <w:t>Small</w:t>
            </w:r>
          </w:p>
        </w:tc>
        <w:tc>
          <w:tcPr>
            <w:tcW w:w="629" w:type="pct"/>
            <w:shd w:val="clear" w:color="auto" w:fill="auto"/>
            <w:noWrap/>
            <w:vAlign w:val="center"/>
            <w:hideMark/>
          </w:tcPr>
          <w:p w14:paraId="743A2076"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13620</w:t>
            </w:r>
          </w:p>
        </w:tc>
        <w:tc>
          <w:tcPr>
            <w:tcW w:w="347" w:type="pct"/>
            <w:shd w:val="clear" w:color="auto" w:fill="auto"/>
            <w:noWrap/>
            <w:vAlign w:val="center"/>
            <w:hideMark/>
          </w:tcPr>
          <w:p w14:paraId="74FC39A3"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16.9</w:t>
            </w:r>
          </w:p>
        </w:tc>
        <w:tc>
          <w:tcPr>
            <w:tcW w:w="525" w:type="pct"/>
            <w:shd w:val="clear" w:color="auto" w:fill="auto"/>
            <w:noWrap/>
            <w:vAlign w:val="center"/>
            <w:hideMark/>
          </w:tcPr>
          <w:p w14:paraId="0B3C1C47"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1065</w:t>
            </w:r>
          </w:p>
        </w:tc>
        <w:tc>
          <w:tcPr>
            <w:tcW w:w="462" w:type="pct"/>
            <w:shd w:val="clear" w:color="auto" w:fill="auto"/>
            <w:noWrap/>
            <w:vAlign w:val="center"/>
            <w:hideMark/>
          </w:tcPr>
          <w:p w14:paraId="1C157F3A"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14.1</w:t>
            </w:r>
          </w:p>
        </w:tc>
        <w:tc>
          <w:tcPr>
            <w:tcW w:w="521" w:type="pct"/>
            <w:shd w:val="clear" w:color="auto" w:fill="auto"/>
            <w:noWrap/>
            <w:vAlign w:val="center"/>
            <w:hideMark/>
          </w:tcPr>
          <w:p w14:paraId="7FBE86B8"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830</w:t>
            </w:r>
          </w:p>
        </w:tc>
        <w:tc>
          <w:tcPr>
            <w:tcW w:w="460" w:type="pct"/>
            <w:shd w:val="clear" w:color="auto" w:fill="auto"/>
            <w:noWrap/>
            <w:vAlign w:val="center"/>
            <w:hideMark/>
          </w:tcPr>
          <w:p w14:paraId="4B4338F4"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19.3</w:t>
            </w:r>
          </w:p>
        </w:tc>
        <w:tc>
          <w:tcPr>
            <w:tcW w:w="519" w:type="pct"/>
            <w:shd w:val="clear" w:color="auto" w:fill="auto"/>
            <w:noWrap/>
            <w:vAlign w:val="center"/>
            <w:hideMark/>
          </w:tcPr>
          <w:p w14:paraId="6CECC912"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255</w:t>
            </w:r>
          </w:p>
        </w:tc>
        <w:tc>
          <w:tcPr>
            <w:tcW w:w="459" w:type="pct"/>
            <w:shd w:val="clear" w:color="auto" w:fill="auto"/>
            <w:noWrap/>
            <w:vAlign w:val="center"/>
            <w:hideMark/>
          </w:tcPr>
          <w:p w14:paraId="52EAAEF9"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6.3</w:t>
            </w:r>
          </w:p>
        </w:tc>
      </w:tr>
      <w:tr w:rsidR="00F377E9" w:rsidRPr="00E10230" w14:paraId="0ED0C394" w14:textId="77777777" w:rsidTr="002E7607">
        <w:trPr>
          <w:trHeight w:val="497"/>
          <w:jc w:val="center"/>
        </w:trPr>
        <w:tc>
          <w:tcPr>
            <w:tcW w:w="1079" w:type="pct"/>
            <w:shd w:val="clear" w:color="auto" w:fill="auto"/>
            <w:noWrap/>
            <w:vAlign w:val="center"/>
            <w:hideMark/>
          </w:tcPr>
          <w:p w14:paraId="205F7197" w14:textId="77777777" w:rsidR="00F377E9" w:rsidRPr="002E7607" w:rsidRDefault="00F377E9" w:rsidP="00E10230">
            <w:pPr>
              <w:spacing w:after="0" w:line="360" w:lineRule="auto"/>
              <w:jc w:val="both"/>
              <w:rPr>
                <w:rFonts w:ascii="Book Antiqua" w:eastAsia="Times New Roman" w:hAnsi="Book Antiqua" w:cs="Arial"/>
                <w:color w:val="000000"/>
                <w:sz w:val="24"/>
                <w:szCs w:val="24"/>
              </w:rPr>
            </w:pPr>
            <w:r w:rsidRPr="002E7607">
              <w:rPr>
                <w:rFonts w:ascii="Book Antiqua" w:eastAsia="Times New Roman" w:hAnsi="Book Antiqua" w:cs="Arial"/>
                <w:color w:val="000000"/>
                <w:sz w:val="24"/>
                <w:szCs w:val="24"/>
              </w:rPr>
              <w:t>Medium</w:t>
            </w:r>
          </w:p>
        </w:tc>
        <w:tc>
          <w:tcPr>
            <w:tcW w:w="629" w:type="pct"/>
            <w:shd w:val="clear" w:color="auto" w:fill="auto"/>
            <w:noWrap/>
            <w:vAlign w:val="center"/>
            <w:hideMark/>
          </w:tcPr>
          <w:p w14:paraId="08956E5F"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23280</w:t>
            </w:r>
          </w:p>
        </w:tc>
        <w:tc>
          <w:tcPr>
            <w:tcW w:w="347" w:type="pct"/>
            <w:shd w:val="clear" w:color="auto" w:fill="auto"/>
            <w:noWrap/>
            <w:vAlign w:val="center"/>
            <w:hideMark/>
          </w:tcPr>
          <w:p w14:paraId="67B7F50C"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28.9</w:t>
            </w:r>
          </w:p>
        </w:tc>
        <w:tc>
          <w:tcPr>
            <w:tcW w:w="525" w:type="pct"/>
            <w:shd w:val="clear" w:color="auto" w:fill="auto"/>
            <w:noWrap/>
            <w:vAlign w:val="center"/>
            <w:hideMark/>
          </w:tcPr>
          <w:p w14:paraId="1740B297"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2060</w:t>
            </w:r>
          </w:p>
        </w:tc>
        <w:tc>
          <w:tcPr>
            <w:tcW w:w="462" w:type="pct"/>
            <w:shd w:val="clear" w:color="auto" w:fill="auto"/>
            <w:noWrap/>
            <w:vAlign w:val="center"/>
            <w:hideMark/>
          </w:tcPr>
          <w:p w14:paraId="28100D8B"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27.3</w:t>
            </w:r>
          </w:p>
        </w:tc>
        <w:tc>
          <w:tcPr>
            <w:tcW w:w="521" w:type="pct"/>
            <w:shd w:val="clear" w:color="auto" w:fill="auto"/>
            <w:noWrap/>
            <w:vAlign w:val="center"/>
            <w:hideMark/>
          </w:tcPr>
          <w:p w14:paraId="0AE45A4D"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1265</w:t>
            </w:r>
          </w:p>
        </w:tc>
        <w:tc>
          <w:tcPr>
            <w:tcW w:w="460" w:type="pct"/>
            <w:shd w:val="clear" w:color="auto" w:fill="auto"/>
            <w:noWrap/>
            <w:vAlign w:val="center"/>
            <w:hideMark/>
          </w:tcPr>
          <w:p w14:paraId="7568F66A"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29.4</w:t>
            </w:r>
          </w:p>
        </w:tc>
        <w:tc>
          <w:tcPr>
            <w:tcW w:w="519" w:type="pct"/>
            <w:shd w:val="clear" w:color="auto" w:fill="auto"/>
            <w:noWrap/>
            <w:vAlign w:val="center"/>
            <w:hideMark/>
          </w:tcPr>
          <w:p w14:paraId="56C2346C"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1000</w:t>
            </w:r>
          </w:p>
        </w:tc>
        <w:tc>
          <w:tcPr>
            <w:tcW w:w="459" w:type="pct"/>
            <w:shd w:val="clear" w:color="auto" w:fill="auto"/>
            <w:noWrap/>
            <w:vAlign w:val="center"/>
            <w:hideMark/>
          </w:tcPr>
          <w:p w14:paraId="7361ED12"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24.6</w:t>
            </w:r>
          </w:p>
        </w:tc>
      </w:tr>
      <w:tr w:rsidR="00F377E9" w:rsidRPr="00E10230" w14:paraId="197642E6" w14:textId="77777777" w:rsidTr="002E7607">
        <w:trPr>
          <w:trHeight w:val="497"/>
          <w:jc w:val="center"/>
        </w:trPr>
        <w:tc>
          <w:tcPr>
            <w:tcW w:w="1079" w:type="pct"/>
            <w:shd w:val="clear" w:color="auto" w:fill="auto"/>
            <w:noWrap/>
            <w:vAlign w:val="center"/>
            <w:hideMark/>
          </w:tcPr>
          <w:p w14:paraId="79EBB7F0" w14:textId="77777777" w:rsidR="00F377E9" w:rsidRPr="002E7607" w:rsidRDefault="00F377E9" w:rsidP="00E10230">
            <w:pPr>
              <w:spacing w:after="0" w:line="360" w:lineRule="auto"/>
              <w:jc w:val="both"/>
              <w:rPr>
                <w:rFonts w:ascii="Book Antiqua" w:eastAsia="Times New Roman" w:hAnsi="Book Antiqua" w:cs="Arial"/>
                <w:color w:val="000000"/>
                <w:sz w:val="24"/>
                <w:szCs w:val="24"/>
              </w:rPr>
            </w:pPr>
            <w:r w:rsidRPr="002E7607">
              <w:rPr>
                <w:rFonts w:ascii="Book Antiqua" w:eastAsia="Times New Roman" w:hAnsi="Book Antiqua" w:cs="Arial"/>
                <w:color w:val="000000"/>
                <w:sz w:val="24"/>
                <w:szCs w:val="24"/>
              </w:rPr>
              <w:t>Large</w:t>
            </w:r>
          </w:p>
        </w:tc>
        <w:tc>
          <w:tcPr>
            <w:tcW w:w="629" w:type="pct"/>
            <w:shd w:val="clear" w:color="auto" w:fill="auto"/>
            <w:noWrap/>
            <w:vAlign w:val="center"/>
            <w:hideMark/>
          </w:tcPr>
          <w:p w14:paraId="62FC74B6"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43570</w:t>
            </w:r>
          </w:p>
        </w:tc>
        <w:tc>
          <w:tcPr>
            <w:tcW w:w="347" w:type="pct"/>
            <w:shd w:val="clear" w:color="auto" w:fill="auto"/>
            <w:noWrap/>
            <w:vAlign w:val="center"/>
            <w:hideMark/>
          </w:tcPr>
          <w:p w14:paraId="0A165425"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54.1</w:t>
            </w:r>
          </w:p>
        </w:tc>
        <w:tc>
          <w:tcPr>
            <w:tcW w:w="525" w:type="pct"/>
            <w:shd w:val="clear" w:color="auto" w:fill="auto"/>
            <w:noWrap/>
            <w:vAlign w:val="center"/>
            <w:hideMark/>
          </w:tcPr>
          <w:p w14:paraId="15A6C3BF"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4420</w:t>
            </w:r>
          </w:p>
        </w:tc>
        <w:tc>
          <w:tcPr>
            <w:tcW w:w="462" w:type="pct"/>
            <w:shd w:val="clear" w:color="auto" w:fill="auto"/>
            <w:noWrap/>
            <w:vAlign w:val="center"/>
            <w:hideMark/>
          </w:tcPr>
          <w:p w14:paraId="39B0219F"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58.6</w:t>
            </w:r>
          </w:p>
        </w:tc>
        <w:tc>
          <w:tcPr>
            <w:tcW w:w="521" w:type="pct"/>
            <w:shd w:val="clear" w:color="auto" w:fill="auto"/>
            <w:noWrap/>
            <w:vAlign w:val="center"/>
            <w:hideMark/>
          </w:tcPr>
          <w:p w14:paraId="3506A32F"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2210</w:t>
            </w:r>
          </w:p>
        </w:tc>
        <w:tc>
          <w:tcPr>
            <w:tcW w:w="460" w:type="pct"/>
            <w:shd w:val="clear" w:color="auto" w:fill="auto"/>
            <w:noWrap/>
            <w:vAlign w:val="center"/>
            <w:hideMark/>
          </w:tcPr>
          <w:p w14:paraId="5AAF146B"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51.3</w:t>
            </w:r>
          </w:p>
        </w:tc>
        <w:tc>
          <w:tcPr>
            <w:tcW w:w="519" w:type="pct"/>
            <w:shd w:val="clear" w:color="auto" w:fill="auto"/>
            <w:noWrap/>
            <w:vAlign w:val="center"/>
            <w:hideMark/>
          </w:tcPr>
          <w:p w14:paraId="09AF3E9E"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2805</w:t>
            </w:r>
          </w:p>
        </w:tc>
        <w:tc>
          <w:tcPr>
            <w:tcW w:w="459" w:type="pct"/>
            <w:shd w:val="clear" w:color="auto" w:fill="auto"/>
            <w:noWrap/>
            <w:vAlign w:val="center"/>
            <w:hideMark/>
          </w:tcPr>
          <w:p w14:paraId="2301DC89" w14:textId="77777777" w:rsidR="00F377E9" w:rsidRPr="00E10230" w:rsidRDefault="00F377E9" w:rsidP="00E10230">
            <w:pPr>
              <w:spacing w:after="0" w:line="360" w:lineRule="auto"/>
              <w:jc w:val="both"/>
              <w:rPr>
                <w:rFonts w:ascii="Book Antiqua" w:eastAsia="Times New Roman" w:hAnsi="Book Antiqua" w:cs="Arial"/>
                <w:sz w:val="24"/>
                <w:szCs w:val="24"/>
              </w:rPr>
            </w:pPr>
            <w:r w:rsidRPr="00E10230">
              <w:rPr>
                <w:rFonts w:ascii="Book Antiqua" w:eastAsia="Times New Roman" w:hAnsi="Book Antiqua" w:cs="Arial"/>
                <w:sz w:val="24"/>
                <w:szCs w:val="24"/>
              </w:rPr>
              <w:t>69.1</w:t>
            </w:r>
          </w:p>
        </w:tc>
      </w:tr>
    </w:tbl>
    <w:p w14:paraId="051281FF" w14:textId="742EBB4E" w:rsidR="00427F39" w:rsidRPr="002E7607" w:rsidRDefault="002E7607" w:rsidP="00E10230">
      <w:pPr>
        <w:spacing w:after="0" w:line="360" w:lineRule="auto"/>
        <w:jc w:val="both"/>
        <w:rPr>
          <w:rFonts w:ascii="Book Antiqua" w:eastAsiaTheme="minorEastAsia" w:hAnsi="Book Antiqua"/>
          <w:sz w:val="24"/>
          <w:szCs w:val="24"/>
          <w:lang w:eastAsia="zh-CN"/>
        </w:rPr>
      </w:pPr>
      <w:r w:rsidRPr="002E7607">
        <w:rPr>
          <w:rFonts w:ascii="Book Antiqua" w:eastAsiaTheme="minorEastAsia" w:hAnsi="Book Antiqua" w:cs="Arial" w:hint="eastAsia"/>
          <w:i/>
          <w:sz w:val="24"/>
          <w:szCs w:val="24"/>
          <w:lang w:eastAsia="zh-CN"/>
        </w:rPr>
        <w:t>n</w:t>
      </w:r>
      <w:r w:rsidR="00DC6490" w:rsidRPr="00E10230">
        <w:rPr>
          <w:rFonts w:ascii="Book Antiqua" w:hAnsi="Book Antiqua" w:cs="Arial"/>
          <w:sz w:val="24"/>
          <w:szCs w:val="24"/>
        </w:rPr>
        <w:t>: number</w:t>
      </w:r>
      <w:r>
        <w:rPr>
          <w:rFonts w:ascii="Book Antiqua" w:eastAsiaTheme="minorEastAsia" w:hAnsi="Book Antiqua" w:cs="Arial" w:hint="eastAsia"/>
          <w:sz w:val="24"/>
          <w:szCs w:val="24"/>
          <w:lang w:eastAsia="zh-CN"/>
        </w:rPr>
        <w:t>;</w:t>
      </w:r>
      <w:r w:rsidR="00DC6490" w:rsidRPr="00E10230">
        <w:rPr>
          <w:rFonts w:ascii="Book Antiqua" w:hAnsi="Book Antiqua" w:cs="Arial"/>
          <w:sz w:val="24"/>
          <w:szCs w:val="24"/>
        </w:rPr>
        <w:t xml:space="preserve"> N/A: Not available</w:t>
      </w:r>
      <w:r>
        <w:rPr>
          <w:rFonts w:ascii="Book Antiqua" w:eastAsiaTheme="minorEastAsia" w:hAnsi="Book Antiqua" w:cs="Arial" w:hint="eastAsia"/>
          <w:sz w:val="24"/>
          <w:szCs w:val="24"/>
          <w:lang w:eastAsia="zh-CN"/>
        </w:rPr>
        <w:t>;</w:t>
      </w:r>
      <w:r w:rsidR="00DC6490" w:rsidRPr="00E10230">
        <w:rPr>
          <w:rFonts w:ascii="Book Antiqua" w:hAnsi="Book Antiqua" w:cs="Arial"/>
          <w:b/>
          <w:sz w:val="24"/>
          <w:szCs w:val="24"/>
        </w:rPr>
        <w:t xml:space="preserve"> </w:t>
      </w:r>
      <w:r w:rsidR="00DC6490" w:rsidRPr="00E10230">
        <w:rPr>
          <w:rFonts w:ascii="Book Antiqua" w:hAnsi="Book Antiqua" w:cs="Arial"/>
          <w:sz w:val="24"/>
          <w:szCs w:val="24"/>
        </w:rPr>
        <w:t>HC: Hepatic coma</w:t>
      </w:r>
      <w:r>
        <w:rPr>
          <w:rFonts w:ascii="Book Antiqua" w:eastAsiaTheme="minorEastAsia" w:hAnsi="Book Antiqua" w:cs="Arial" w:hint="eastAsia"/>
          <w:sz w:val="24"/>
          <w:szCs w:val="24"/>
          <w:lang w:eastAsia="zh-CN"/>
        </w:rPr>
        <w:t>;</w:t>
      </w:r>
      <w:r w:rsidR="00DC6490" w:rsidRPr="00E10230">
        <w:rPr>
          <w:rFonts w:ascii="Book Antiqua" w:hAnsi="Book Antiqua" w:cs="Arial"/>
          <w:sz w:val="24"/>
          <w:szCs w:val="24"/>
        </w:rPr>
        <w:t xml:space="preserve"> SBP: </w:t>
      </w:r>
      <w:r w:rsidRPr="00E10230">
        <w:rPr>
          <w:rFonts w:ascii="Book Antiqua" w:hAnsi="Book Antiqua" w:cs="Arial"/>
          <w:sz w:val="24"/>
          <w:szCs w:val="24"/>
        </w:rPr>
        <w:t xml:space="preserve">Spontaneous </w:t>
      </w:r>
      <w:r w:rsidR="00DC6490" w:rsidRPr="00E10230">
        <w:rPr>
          <w:rFonts w:ascii="Book Antiqua" w:hAnsi="Book Antiqua" w:cs="Arial"/>
          <w:sz w:val="24"/>
          <w:szCs w:val="24"/>
        </w:rPr>
        <w:t>bacterial peritonitis</w:t>
      </w:r>
      <w:r>
        <w:rPr>
          <w:rFonts w:ascii="Book Antiqua" w:eastAsiaTheme="minorEastAsia" w:hAnsi="Book Antiqua" w:cs="Arial" w:hint="eastAsia"/>
          <w:sz w:val="24"/>
          <w:szCs w:val="24"/>
          <w:lang w:eastAsia="zh-CN"/>
        </w:rPr>
        <w:t>;</w:t>
      </w:r>
      <w:r w:rsidR="00DC6490" w:rsidRPr="00E10230">
        <w:rPr>
          <w:rFonts w:ascii="Book Antiqua" w:hAnsi="Book Antiqua" w:cs="Arial"/>
          <w:sz w:val="24"/>
          <w:szCs w:val="24"/>
        </w:rPr>
        <w:t xml:space="preserve"> EV: Esophageal varices</w:t>
      </w:r>
      <w:r>
        <w:rPr>
          <w:rFonts w:ascii="Book Antiqua" w:eastAsiaTheme="minorEastAsia" w:hAnsi="Book Antiqua" w:cs="Arial" w:hint="eastAsia"/>
          <w:sz w:val="24"/>
          <w:szCs w:val="24"/>
          <w:lang w:eastAsia="zh-CN"/>
        </w:rPr>
        <w:t>;</w:t>
      </w:r>
      <w:r w:rsidR="00DC6490" w:rsidRPr="00E10230">
        <w:rPr>
          <w:rFonts w:ascii="Book Antiqua" w:hAnsi="Book Antiqua" w:cs="Arial"/>
          <w:sz w:val="24"/>
          <w:szCs w:val="24"/>
        </w:rPr>
        <w:t xml:space="preserve"> TIPS: </w:t>
      </w:r>
      <w:r w:rsidRPr="00E10230">
        <w:rPr>
          <w:rFonts w:ascii="Book Antiqua" w:hAnsi="Book Antiqua" w:cs="Arial"/>
          <w:sz w:val="24"/>
          <w:szCs w:val="24"/>
        </w:rPr>
        <w:t xml:space="preserve">Transjugular </w:t>
      </w:r>
      <w:r w:rsidR="00DC6490" w:rsidRPr="00E10230">
        <w:rPr>
          <w:rFonts w:ascii="Book Antiqua" w:hAnsi="Book Antiqua" w:cs="Arial"/>
          <w:sz w:val="24"/>
          <w:szCs w:val="24"/>
        </w:rPr>
        <w:t xml:space="preserve">intrahepatic </w:t>
      </w:r>
      <w:r w:rsidR="00CB0883" w:rsidRPr="00E10230">
        <w:rPr>
          <w:rFonts w:ascii="Book Antiqua" w:hAnsi="Book Antiqua" w:cs="Arial"/>
          <w:sz w:val="24"/>
          <w:szCs w:val="24"/>
        </w:rPr>
        <w:t>portosystemic</w:t>
      </w:r>
      <w:r w:rsidR="00DC6490" w:rsidRPr="00E10230">
        <w:rPr>
          <w:rFonts w:ascii="Book Antiqua" w:hAnsi="Book Antiqua" w:cs="Arial"/>
          <w:sz w:val="24"/>
          <w:szCs w:val="24"/>
        </w:rPr>
        <w:t xml:space="preserve"> shunt.</w:t>
      </w:r>
    </w:p>
    <w:sectPr w:rsidR="00427F39" w:rsidRPr="002E7607" w:rsidSect="00276822">
      <w:headerReference w:type="default" r:id="rId15"/>
      <w:footerReference w:type="defaul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D7044" w14:textId="77777777" w:rsidR="00E13872" w:rsidRDefault="00E13872" w:rsidP="00DC6490">
      <w:pPr>
        <w:spacing w:after="0" w:line="240" w:lineRule="auto"/>
      </w:pPr>
      <w:r>
        <w:separator/>
      </w:r>
    </w:p>
  </w:endnote>
  <w:endnote w:type="continuationSeparator" w:id="0">
    <w:p w14:paraId="3079E44F" w14:textId="77777777" w:rsidR="00E13872" w:rsidRDefault="00E13872" w:rsidP="00DC6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Yu Mincho">
    <w:altName w:val="MS Mincho"/>
    <w:panose1 w:val="00000000000000000000"/>
    <w:charset w:val="80"/>
    <w:family w:val="roman"/>
    <w:notTrueType/>
    <w:pitch w:val="variable"/>
    <w:sig w:usb0="00000000" w:usb1="2AC7FCFF" w:usb2="00000012" w:usb3="00000000" w:csb0="0002009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E6C83" w14:textId="10B8624F" w:rsidR="00490603" w:rsidRDefault="00490603">
    <w:pPr>
      <w:pStyle w:val="ac"/>
      <w:jc w:val="right"/>
    </w:pPr>
    <w:r>
      <w:fldChar w:fldCharType="begin"/>
    </w:r>
    <w:r>
      <w:instrText xml:space="preserve"> PAGE   \* MERGEFORMAT </w:instrText>
    </w:r>
    <w:r>
      <w:fldChar w:fldCharType="separate"/>
    </w:r>
    <w:r w:rsidR="002E77D0">
      <w:rPr>
        <w:noProof/>
      </w:rPr>
      <w:t>18</w:t>
    </w:r>
    <w:r>
      <w:rPr>
        <w:noProof/>
      </w:rPr>
      <w:fldChar w:fldCharType="end"/>
    </w:r>
  </w:p>
  <w:p w14:paraId="1275957D" w14:textId="77777777" w:rsidR="00490603" w:rsidRDefault="0049060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667C6" w14:textId="01FECA89" w:rsidR="00490603" w:rsidRDefault="00490603">
    <w:pPr>
      <w:pStyle w:val="ac"/>
      <w:jc w:val="right"/>
    </w:pPr>
    <w:r>
      <w:fldChar w:fldCharType="begin"/>
    </w:r>
    <w:r>
      <w:instrText xml:space="preserve"> PAGE   \* MERGEFORMAT </w:instrText>
    </w:r>
    <w:r>
      <w:fldChar w:fldCharType="separate"/>
    </w:r>
    <w:r w:rsidR="002E77D0">
      <w:rPr>
        <w:noProof/>
      </w:rPr>
      <w:t>1</w:t>
    </w:r>
    <w:r>
      <w:rPr>
        <w:noProof/>
      </w:rPr>
      <w:fldChar w:fldCharType="end"/>
    </w:r>
  </w:p>
  <w:p w14:paraId="2B67D4E6" w14:textId="77777777" w:rsidR="00490603" w:rsidRDefault="0049060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A19AE" w14:textId="77777777" w:rsidR="00E13872" w:rsidRDefault="00E13872" w:rsidP="00DC6490">
      <w:pPr>
        <w:spacing w:after="0" w:line="240" w:lineRule="auto"/>
      </w:pPr>
      <w:r>
        <w:separator/>
      </w:r>
    </w:p>
  </w:footnote>
  <w:footnote w:type="continuationSeparator" w:id="0">
    <w:p w14:paraId="2EA2E710" w14:textId="77777777" w:rsidR="00E13872" w:rsidRDefault="00E13872" w:rsidP="00DC64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F8439" w14:textId="77777777" w:rsidR="00490603" w:rsidRDefault="00490603">
    <w:pPr>
      <w:pStyle w:val="ab"/>
      <w:jc w:val="right"/>
    </w:pPr>
  </w:p>
  <w:p w14:paraId="1A004C69" w14:textId="77777777" w:rsidR="00490603" w:rsidRDefault="0049060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B05"/>
    <w:multiLevelType w:val="multilevel"/>
    <w:tmpl w:val="D632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637353"/>
    <w:multiLevelType w:val="hybridMultilevel"/>
    <w:tmpl w:val="EAF4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B340E"/>
    <w:multiLevelType w:val="hybridMultilevel"/>
    <w:tmpl w:val="9884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B73EB8"/>
    <w:multiLevelType w:val="hybridMultilevel"/>
    <w:tmpl w:val="95382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CA1273"/>
    <w:multiLevelType w:val="multilevel"/>
    <w:tmpl w:val="CE34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D8"/>
    <w:rsid w:val="00000E26"/>
    <w:rsid w:val="00003D1E"/>
    <w:rsid w:val="000074EB"/>
    <w:rsid w:val="0001520C"/>
    <w:rsid w:val="00016FA5"/>
    <w:rsid w:val="00020293"/>
    <w:rsid w:val="000207F2"/>
    <w:rsid w:val="000223B8"/>
    <w:rsid w:val="00022DE8"/>
    <w:rsid w:val="00023F18"/>
    <w:rsid w:val="000257A5"/>
    <w:rsid w:val="0003006D"/>
    <w:rsid w:val="000366E5"/>
    <w:rsid w:val="00036A6B"/>
    <w:rsid w:val="00044AFD"/>
    <w:rsid w:val="00051CAF"/>
    <w:rsid w:val="00062124"/>
    <w:rsid w:val="00070113"/>
    <w:rsid w:val="0007514D"/>
    <w:rsid w:val="00081DA1"/>
    <w:rsid w:val="00081DB0"/>
    <w:rsid w:val="0009026B"/>
    <w:rsid w:val="000938F4"/>
    <w:rsid w:val="000A42CC"/>
    <w:rsid w:val="000B19FC"/>
    <w:rsid w:val="000B632F"/>
    <w:rsid w:val="000B65EE"/>
    <w:rsid w:val="000C42D8"/>
    <w:rsid w:val="000E3EA8"/>
    <w:rsid w:val="0010004A"/>
    <w:rsid w:val="0010024E"/>
    <w:rsid w:val="00100637"/>
    <w:rsid w:val="001037DF"/>
    <w:rsid w:val="001154FF"/>
    <w:rsid w:val="001156B1"/>
    <w:rsid w:val="00130C64"/>
    <w:rsid w:val="001413B1"/>
    <w:rsid w:val="00141D23"/>
    <w:rsid w:val="001425E6"/>
    <w:rsid w:val="00152773"/>
    <w:rsid w:val="0015327B"/>
    <w:rsid w:val="001563AA"/>
    <w:rsid w:val="0015697E"/>
    <w:rsid w:val="0016459E"/>
    <w:rsid w:val="00167A12"/>
    <w:rsid w:val="00174464"/>
    <w:rsid w:val="00174AA4"/>
    <w:rsid w:val="00177135"/>
    <w:rsid w:val="001772DA"/>
    <w:rsid w:val="001805D9"/>
    <w:rsid w:val="001829C9"/>
    <w:rsid w:val="001829EB"/>
    <w:rsid w:val="00183B7E"/>
    <w:rsid w:val="00185678"/>
    <w:rsid w:val="00185984"/>
    <w:rsid w:val="001878EC"/>
    <w:rsid w:val="001A46E6"/>
    <w:rsid w:val="001B63C5"/>
    <w:rsid w:val="001B6BC1"/>
    <w:rsid w:val="001C3B4E"/>
    <w:rsid w:val="001D07F5"/>
    <w:rsid w:val="001D523E"/>
    <w:rsid w:val="001E4418"/>
    <w:rsid w:val="001E4C71"/>
    <w:rsid w:val="001F1046"/>
    <w:rsid w:val="001F480E"/>
    <w:rsid w:val="001F6543"/>
    <w:rsid w:val="002208F2"/>
    <w:rsid w:val="00222F37"/>
    <w:rsid w:val="00226A4D"/>
    <w:rsid w:val="0023364C"/>
    <w:rsid w:val="002358E5"/>
    <w:rsid w:val="00242877"/>
    <w:rsid w:val="00243881"/>
    <w:rsid w:val="00243A4A"/>
    <w:rsid w:val="002446B5"/>
    <w:rsid w:val="00252406"/>
    <w:rsid w:val="002619C8"/>
    <w:rsid w:val="00273390"/>
    <w:rsid w:val="0027584F"/>
    <w:rsid w:val="00276822"/>
    <w:rsid w:val="00277D4C"/>
    <w:rsid w:val="002824D8"/>
    <w:rsid w:val="00283AAD"/>
    <w:rsid w:val="00283E17"/>
    <w:rsid w:val="002A6DE4"/>
    <w:rsid w:val="002B03A7"/>
    <w:rsid w:val="002B1A20"/>
    <w:rsid w:val="002B65FA"/>
    <w:rsid w:val="002B6E6F"/>
    <w:rsid w:val="002B7CF6"/>
    <w:rsid w:val="002C2EA4"/>
    <w:rsid w:val="002D0739"/>
    <w:rsid w:val="002D575F"/>
    <w:rsid w:val="002E71EC"/>
    <w:rsid w:val="002E7607"/>
    <w:rsid w:val="002E77D0"/>
    <w:rsid w:val="002F32C0"/>
    <w:rsid w:val="00304E4A"/>
    <w:rsid w:val="00305C5B"/>
    <w:rsid w:val="00305EEF"/>
    <w:rsid w:val="00321756"/>
    <w:rsid w:val="00321BFC"/>
    <w:rsid w:val="00322688"/>
    <w:rsid w:val="003237CA"/>
    <w:rsid w:val="00324054"/>
    <w:rsid w:val="00324276"/>
    <w:rsid w:val="00324AD6"/>
    <w:rsid w:val="00326EE8"/>
    <w:rsid w:val="0033592E"/>
    <w:rsid w:val="003410D0"/>
    <w:rsid w:val="00342C41"/>
    <w:rsid w:val="003559C5"/>
    <w:rsid w:val="00355A33"/>
    <w:rsid w:val="003568F5"/>
    <w:rsid w:val="003664ED"/>
    <w:rsid w:val="003724CA"/>
    <w:rsid w:val="00380D1F"/>
    <w:rsid w:val="003833C6"/>
    <w:rsid w:val="00392E00"/>
    <w:rsid w:val="00394254"/>
    <w:rsid w:val="003978F7"/>
    <w:rsid w:val="003A183D"/>
    <w:rsid w:val="003A458D"/>
    <w:rsid w:val="003B130A"/>
    <w:rsid w:val="003B2467"/>
    <w:rsid w:val="003B506A"/>
    <w:rsid w:val="003B6AA8"/>
    <w:rsid w:val="003C1D75"/>
    <w:rsid w:val="003F113C"/>
    <w:rsid w:val="00413A14"/>
    <w:rsid w:val="004156B2"/>
    <w:rsid w:val="00421B68"/>
    <w:rsid w:val="00422A61"/>
    <w:rsid w:val="004242DC"/>
    <w:rsid w:val="004264F1"/>
    <w:rsid w:val="00427F39"/>
    <w:rsid w:val="00430D19"/>
    <w:rsid w:val="00431F43"/>
    <w:rsid w:val="00434B94"/>
    <w:rsid w:val="00440C7B"/>
    <w:rsid w:val="00441F70"/>
    <w:rsid w:val="0044415C"/>
    <w:rsid w:val="00450400"/>
    <w:rsid w:val="0045556D"/>
    <w:rsid w:val="0045564B"/>
    <w:rsid w:val="00457546"/>
    <w:rsid w:val="00461437"/>
    <w:rsid w:val="00461E3F"/>
    <w:rsid w:val="004649A0"/>
    <w:rsid w:val="0046624F"/>
    <w:rsid w:val="00466FD0"/>
    <w:rsid w:val="00466FD2"/>
    <w:rsid w:val="00477A24"/>
    <w:rsid w:val="00481017"/>
    <w:rsid w:val="00482C89"/>
    <w:rsid w:val="004832AE"/>
    <w:rsid w:val="004868DA"/>
    <w:rsid w:val="00487AA4"/>
    <w:rsid w:val="00490603"/>
    <w:rsid w:val="004924D8"/>
    <w:rsid w:val="00492B6F"/>
    <w:rsid w:val="004A4FFC"/>
    <w:rsid w:val="004B1073"/>
    <w:rsid w:val="004B5F91"/>
    <w:rsid w:val="004B5FFD"/>
    <w:rsid w:val="004C3424"/>
    <w:rsid w:val="004C7408"/>
    <w:rsid w:val="004C7441"/>
    <w:rsid w:val="004C7BA1"/>
    <w:rsid w:val="004C7BC9"/>
    <w:rsid w:val="004D5A52"/>
    <w:rsid w:val="004D7A93"/>
    <w:rsid w:val="004E1509"/>
    <w:rsid w:val="004E19C0"/>
    <w:rsid w:val="004E367E"/>
    <w:rsid w:val="004E5AA3"/>
    <w:rsid w:val="004E7834"/>
    <w:rsid w:val="005003CE"/>
    <w:rsid w:val="00505C1B"/>
    <w:rsid w:val="00505F06"/>
    <w:rsid w:val="00507E0D"/>
    <w:rsid w:val="00515E4E"/>
    <w:rsid w:val="00520C39"/>
    <w:rsid w:val="005272FD"/>
    <w:rsid w:val="00532524"/>
    <w:rsid w:val="0053775A"/>
    <w:rsid w:val="00540461"/>
    <w:rsid w:val="0054466E"/>
    <w:rsid w:val="00544B7A"/>
    <w:rsid w:val="00544C5A"/>
    <w:rsid w:val="00561674"/>
    <w:rsid w:val="00565873"/>
    <w:rsid w:val="00565982"/>
    <w:rsid w:val="0056704A"/>
    <w:rsid w:val="00575030"/>
    <w:rsid w:val="00576C2F"/>
    <w:rsid w:val="00597D45"/>
    <w:rsid w:val="005A1552"/>
    <w:rsid w:val="005A2DF8"/>
    <w:rsid w:val="005A6953"/>
    <w:rsid w:val="005A7C9D"/>
    <w:rsid w:val="005B3326"/>
    <w:rsid w:val="005B4891"/>
    <w:rsid w:val="005B5667"/>
    <w:rsid w:val="005C394F"/>
    <w:rsid w:val="005D5847"/>
    <w:rsid w:val="005D7263"/>
    <w:rsid w:val="005E5F57"/>
    <w:rsid w:val="005F5EC3"/>
    <w:rsid w:val="0060147C"/>
    <w:rsid w:val="006124CC"/>
    <w:rsid w:val="006137FE"/>
    <w:rsid w:val="0061554C"/>
    <w:rsid w:val="00631404"/>
    <w:rsid w:val="00634C20"/>
    <w:rsid w:val="006372D8"/>
    <w:rsid w:val="006400E4"/>
    <w:rsid w:val="00642D97"/>
    <w:rsid w:val="00646201"/>
    <w:rsid w:val="0064756E"/>
    <w:rsid w:val="0065173A"/>
    <w:rsid w:val="006518EF"/>
    <w:rsid w:val="00656D94"/>
    <w:rsid w:val="0065724F"/>
    <w:rsid w:val="006574B4"/>
    <w:rsid w:val="00675918"/>
    <w:rsid w:val="00680ADC"/>
    <w:rsid w:val="00681459"/>
    <w:rsid w:val="00681C84"/>
    <w:rsid w:val="006834BD"/>
    <w:rsid w:val="0069150A"/>
    <w:rsid w:val="0069296E"/>
    <w:rsid w:val="0069426D"/>
    <w:rsid w:val="006A3480"/>
    <w:rsid w:val="006A3A06"/>
    <w:rsid w:val="006A6D1B"/>
    <w:rsid w:val="006B1C1D"/>
    <w:rsid w:val="006B7826"/>
    <w:rsid w:val="006C49EB"/>
    <w:rsid w:val="006C4A72"/>
    <w:rsid w:val="006D6A69"/>
    <w:rsid w:val="006D6C5C"/>
    <w:rsid w:val="006D7196"/>
    <w:rsid w:val="006E3977"/>
    <w:rsid w:val="006E6918"/>
    <w:rsid w:val="006E78BA"/>
    <w:rsid w:val="00702386"/>
    <w:rsid w:val="00704241"/>
    <w:rsid w:val="00707706"/>
    <w:rsid w:val="00716530"/>
    <w:rsid w:val="0073134F"/>
    <w:rsid w:val="00732004"/>
    <w:rsid w:val="00735AEF"/>
    <w:rsid w:val="00737D14"/>
    <w:rsid w:val="00744E11"/>
    <w:rsid w:val="00754575"/>
    <w:rsid w:val="00756E54"/>
    <w:rsid w:val="00762479"/>
    <w:rsid w:val="00762707"/>
    <w:rsid w:val="0076725D"/>
    <w:rsid w:val="00780475"/>
    <w:rsid w:val="00784E5A"/>
    <w:rsid w:val="0079155F"/>
    <w:rsid w:val="007976AF"/>
    <w:rsid w:val="007A019D"/>
    <w:rsid w:val="007A221F"/>
    <w:rsid w:val="007A3C52"/>
    <w:rsid w:val="007B3406"/>
    <w:rsid w:val="007B5534"/>
    <w:rsid w:val="007C0134"/>
    <w:rsid w:val="007E10F4"/>
    <w:rsid w:val="007E2A79"/>
    <w:rsid w:val="007E3D20"/>
    <w:rsid w:val="007F20BC"/>
    <w:rsid w:val="007F2501"/>
    <w:rsid w:val="007F29DC"/>
    <w:rsid w:val="00806FFE"/>
    <w:rsid w:val="00810964"/>
    <w:rsid w:val="008167AC"/>
    <w:rsid w:val="008361FB"/>
    <w:rsid w:val="00841111"/>
    <w:rsid w:val="008447E4"/>
    <w:rsid w:val="00847E5F"/>
    <w:rsid w:val="00850803"/>
    <w:rsid w:val="00854427"/>
    <w:rsid w:val="00854DBE"/>
    <w:rsid w:val="008626E4"/>
    <w:rsid w:val="0087199A"/>
    <w:rsid w:val="00877470"/>
    <w:rsid w:val="00891D84"/>
    <w:rsid w:val="008A14D1"/>
    <w:rsid w:val="008A4190"/>
    <w:rsid w:val="008A76BB"/>
    <w:rsid w:val="008B26DA"/>
    <w:rsid w:val="008B2750"/>
    <w:rsid w:val="008B3452"/>
    <w:rsid w:val="008B68C8"/>
    <w:rsid w:val="008C050C"/>
    <w:rsid w:val="008C09C6"/>
    <w:rsid w:val="008C5BC9"/>
    <w:rsid w:val="008C7366"/>
    <w:rsid w:val="008D03BE"/>
    <w:rsid w:val="008D12C2"/>
    <w:rsid w:val="008D2D2E"/>
    <w:rsid w:val="008E2914"/>
    <w:rsid w:val="008E4FD0"/>
    <w:rsid w:val="008E6AEC"/>
    <w:rsid w:val="008F0651"/>
    <w:rsid w:val="008F7A5E"/>
    <w:rsid w:val="009110B6"/>
    <w:rsid w:val="009150BD"/>
    <w:rsid w:val="0092098F"/>
    <w:rsid w:val="00923D98"/>
    <w:rsid w:val="009302E7"/>
    <w:rsid w:val="00942FD5"/>
    <w:rsid w:val="009564B3"/>
    <w:rsid w:val="0095793C"/>
    <w:rsid w:val="009634AD"/>
    <w:rsid w:val="0096723B"/>
    <w:rsid w:val="00976DBE"/>
    <w:rsid w:val="00980FB2"/>
    <w:rsid w:val="009857E2"/>
    <w:rsid w:val="00985849"/>
    <w:rsid w:val="009870AA"/>
    <w:rsid w:val="00990482"/>
    <w:rsid w:val="00997CE1"/>
    <w:rsid w:val="009A5338"/>
    <w:rsid w:val="009C2678"/>
    <w:rsid w:val="009D430B"/>
    <w:rsid w:val="009E16B5"/>
    <w:rsid w:val="009F0079"/>
    <w:rsid w:val="009F3CF1"/>
    <w:rsid w:val="009F451B"/>
    <w:rsid w:val="00A000CA"/>
    <w:rsid w:val="00A00A81"/>
    <w:rsid w:val="00A0186B"/>
    <w:rsid w:val="00A03275"/>
    <w:rsid w:val="00A11905"/>
    <w:rsid w:val="00A14FFC"/>
    <w:rsid w:val="00A153C4"/>
    <w:rsid w:val="00A211CD"/>
    <w:rsid w:val="00A26B43"/>
    <w:rsid w:val="00A44018"/>
    <w:rsid w:val="00A44156"/>
    <w:rsid w:val="00A46B12"/>
    <w:rsid w:val="00A47415"/>
    <w:rsid w:val="00A51C8A"/>
    <w:rsid w:val="00A5702E"/>
    <w:rsid w:val="00A71C4B"/>
    <w:rsid w:val="00A75DD0"/>
    <w:rsid w:val="00A76C1A"/>
    <w:rsid w:val="00A86E5F"/>
    <w:rsid w:val="00A91080"/>
    <w:rsid w:val="00AA4E84"/>
    <w:rsid w:val="00AB0446"/>
    <w:rsid w:val="00AB1176"/>
    <w:rsid w:val="00AB2557"/>
    <w:rsid w:val="00AB4C6D"/>
    <w:rsid w:val="00AC0BE4"/>
    <w:rsid w:val="00AE2224"/>
    <w:rsid w:val="00AE6C7F"/>
    <w:rsid w:val="00AE78C8"/>
    <w:rsid w:val="00AF0195"/>
    <w:rsid w:val="00AF73DA"/>
    <w:rsid w:val="00B00F69"/>
    <w:rsid w:val="00B03BE2"/>
    <w:rsid w:val="00B04FFD"/>
    <w:rsid w:val="00B05716"/>
    <w:rsid w:val="00B13533"/>
    <w:rsid w:val="00B14942"/>
    <w:rsid w:val="00B37D3F"/>
    <w:rsid w:val="00B43097"/>
    <w:rsid w:val="00B53BFD"/>
    <w:rsid w:val="00B540CE"/>
    <w:rsid w:val="00B54F14"/>
    <w:rsid w:val="00B60AA1"/>
    <w:rsid w:val="00B62D02"/>
    <w:rsid w:val="00B636CC"/>
    <w:rsid w:val="00B65DB2"/>
    <w:rsid w:val="00B67925"/>
    <w:rsid w:val="00B724D5"/>
    <w:rsid w:val="00B754DA"/>
    <w:rsid w:val="00B77439"/>
    <w:rsid w:val="00B7764E"/>
    <w:rsid w:val="00B9014A"/>
    <w:rsid w:val="00B948C3"/>
    <w:rsid w:val="00B950D9"/>
    <w:rsid w:val="00BA26CF"/>
    <w:rsid w:val="00BA52BE"/>
    <w:rsid w:val="00BA5884"/>
    <w:rsid w:val="00BB6BBD"/>
    <w:rsid w:val="00BC6BEF"/>
    <w:rsid w:val="00BD3795"/>
    <w:rsid w:val="00BE08A9"/>
    <w:rsid w:val="00BE48FC"/>
    <w:rsid w:val="00BE4AA7"/>
    <w:rsid w:val="00BF2D67"/>
    <w:rsid w:val="00BF55B0"/>
    <w:rsid w:val="00C0386A"/>
    <w:rsid w:val="00C03A15"/>
    <w:rsid w:val="00C10688"/>
    <w:rsid w:val="00C136C0"/>
    <w:rsid w:val="00C13F69"/>
    <w:rsid w:val="00C15170"/>
    <w:rsid w:val="00C173DD"/>
    <w:rsid w:val="00C20F84"/>
    <w:rsid w:val="00C20FC5"/>
    <w:rsid w:val="00C211AE"/>
    <w:rsid w:val="00C2215F"/>
    <w:rsid w:val="00C266F8"/>
    <w:rsid w:val="00C33A14"/>
    <w:rsid w:val="00C35701"/>
    <w:rsid w:val="00C36AD0"/>
    <w:rsid w:val="00C37119"/>
    <w:rsid w:val="00C37994"/>
    <w:rsid w:val="00C37B69"/>
    <w:rsid w:val="00C42C4B"/>
    <w:rsid w:val="00C44A45"/>
    <w:rsid w:val="00C56640"/>
    <w:rsid w:val="00C6120C"/>
    <w:rsid w:val="00C61907"/>
    <w:rsid w:val="00C64291"/>
    <w:rsid w:val="00C64579"/>
    <w:rsid w:val="00C724DB"/>
    <w:rsid w:val="00C73607"/>
    <w:rsid w:val="00C73A94"/>
    <w:rsid w:val="00C7497D"/>
    <w:rsid w:val="00C763ED"/>
    <w:rsid w:val="00C850CB"/>
    <w:rsid w:val="00C867E3"/>
    <w:rsid w:val="00C914E5"/>
    <w:rsid w:val="00C91EAA"/>
    <w:rsid w:val="00C963AE"/>
    <w:rsid w:val="00CA1DBF"/>
    <w:rsid w:val="00CA2629"/>
    <w:rsid w:val="00CA5DF1"/>
    <w:rsid w:val="00CA7F26"/>
    <w:rsid w:val="00CB0883"/>
    <w:rsid w:val="00CB0CD2"/>
    <w:rsid w:val="00CC1621"/>
    <w:rsid w:val="00CC5BC9"/>
    <w:rsid w:val="00CD4529"/>
    <w:rsid w:val="00CE097D"/>
    <w:rsid w:val="00CE1E8E"/>
    <w:rsid w:val="00CE570C"/>
    <w:rsid w:val="00CE6265"/>
    <w:rsid w:val="00CE6AFF"/>
    <w:rsid w:val="00CF02CB"/>
    <w:rsid w:val="00CF308B"/>
    <w:rsid w:val="00CF3DC8"/>
    <w:rsid w:val="00CF3F33"/>
    <w:rsid w:val="00CF6CA4"/>
    <w:rsid w:val="00D04F59"/>
    <w:rsid w:val="00D12312"/>
    <w:rsid w:val="00D22B5B"/>
    <w:rsid w:val="00D233B7"/>
    <w:rsid w:val="00D270D0"/>
    <w:rsid w:val="00D32646"/>
    <w:rsid w:val="00D419C0"/>
    <w:rsid w:val="00D4373F"/>
    <w:rsid w:val="00D454C3"/>
    <w:rsid w:val="00D561AE"/>
    <w:rsid w:val="00D57048"/>
    <w:rsid w:val="00D572CF"/>
    <w:rsid w:val="00D63FA6"/>
    <w:rsid w:val="00D66E3A"/>
    <w:rsid w:val="00D752A7"/>
    <w:rsid w:val="00D91FC3"/>
    <w:rsid w:val="00DA52C5"/>
    <w:rsid w:val="00DA6214"/>
    <w:rsid w:val="00DC23D7"/>
    <w:rsid w:val="00DC24F4"/>
    <w:rsid w:val="00DC4477"/>
    <w:rsid w:val="00DC6490"/>
    <w:rsid w:val="00DD319B"/>
    <w:rsid w:val="00DE7E75"/>
    <w:rsid w:val="00DF1D42"/>
    <w:rsid w:val="00E04181"/>
    <w:rsid w:val="00E10230"/>
    <w:rsid w:val="00E10CB9"/>
    <w:rsid w:val="00E13228"/>
    <w:rsid w:val="00E13872"/>
    <w:rsid w:val="00E239A2"/>
    <w:rsid w:val="00E27D0C"/>
    <w:rsid w:val="00E43AB7"/>
    <w:rsid w:val="00E45304"/>
    <w:rsid w:val="00E5775F"/>
    <w:rsid w:val="00E6134C"/>
    <w:rsid w:val="00E61B63"/>
    <w:rsid w:val="00E75EF9"/>
    <w:rsid w:val="00E81D18"/>
    <w:rsid w:val="00E84094"/>
    <w:rsid w:val="00E920A7"/>
    <w:rsid w:val="00EA16A5"/>
    <w:rsid w:val="00EA16F1"/>
    <w:rsid w:val="00EA224E"/>
    <w:rsid w:val="00EA3EAB"/>
    <w:rsid w:val="00EA65FE"/>
    <w:rsid w:val="00EB3BCE"/>
    <w:rsid w:val="00EB5FFF"/>
    <w:rsid w:val="00EC5EEF"/>
    <w:rsid w:val="00EE35EF"/>
    <w:rsid w:val="00EF0B05"/>
    <w:rsid w:val="00EF161C"/>
    <w:rsid w:val="00EF3B3B"/>
    <w:rsid w:val="00F00F22"/>
    <w:rsid w:val="00F06F02"/>
    <w:rsid w:val="00F301CA"/>
    <w:rsid w:val="00F36CB7"/>
    <w:rsid w:val="00F377E9"/>
    <w:rsid w:val="00F37C00"/>
    <w:rsid w:val="00F4408A"/>
    <w:rsid w:val="00F46C3C"/>
    <w:rsid w:val="00F55AD1"/>
    <w:rsid w:val="00F60BE3"/>
    <w:rsid w:val="00F64C94"/>
    <w:rsid w:val="00F66CE7"/>
    <w:rsid w:val="00F71C40"/>
    <w:rsid w:val="00F83FF0"/>
    <w:rsid w:val="00F84A39"/>
    <w:rsid w:val="00F86024"/>
    <w:rsid w:val="00F86319"/>
    <w:rsid w:val="00F87273"/>
    <w:rsid w:val="00F91FB9"/>
    <w:rsid w:val="00F97522"/>
    <w:rsid w:val="00FA3844"/>
    <w:rsid w:val="00FA465D"/>
    <w:rsid w:val="00FA7394"/>
    <w:rsid w:val="00FB1910"/>
    <w:rsid w:val="00FB3816"/>
    <w:rsid w:val="00FC1CA6"/>
    <w:rsid w:val="00FC36A8"/>
    <w:rsid w:val="00FC3799"/>
    <w:rsid w:val="00FC402C"/>
    <w:rsid w:val="00FC7D4A"/>
    <w:rsid w:val="00FD2544"/>
    <w:rsid w:val="00FD2B2A"/>
    <w:rsid w:val="00FE3CFC"/>
    <w:rsid w:val="00FE5BDF"/>
    <w:rsid w:val="00FE6FFD"/>
    <w:rsid w:val="00FF2339"/>
    <w:rsid w:val="00FF2442"/>
    <w:rsid w:val="00FF506C"/>
    <w:rsid w:val="00FF6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6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Yu Mincho"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FB1910"/>
    <w:pPr>
      <w:spacing w:after="160" w:line="259" w:lineRule="auto"/>
    </w:pPr>
    <w:rPr>
      <w:sz w:val="22"/>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FB1910"/>
    <w:rPr>
      <w:sz w:val="16"/>
      <w:szCs w:val="16"/>
    </w:rPr>
  </w:style>
  <w:style w:type="paragraph" w:styleId="a4">
    <w:name w:val="annotation text"/>
    <w:basedOn w:val="a"/>
    <w:link w:val="Char"/>
    <w:uiPriority w:val="99"/>
    <w:unhideWhenUsed/>
    <w:qFormat/>
    <w:rsid w:val="00FB1910"/>
    <w:pPr>
      <w:spacing w:line="240" w:lineRule="auto"/>
    </w:pPr>
    <w:rPr>
      <w:sz w:val="20"/>
      <w:szCs w:val="20"/>
    </w:rPr>
  </w:style>
  <w:style w:type="character" w:customStyle="1" w:styleId="Char">
    <w:name w:val="批注文字 Char"/>
    <w:link w:val="a4"/>
    <w:uiPriority w:val="99"/>
    <w:qFormat/>
    <w:rsid w:val="00FB1910"/>
    <w:rPr>
      <w:sz w:val="20"/>
      <w:szCs w:val="20"/>
    </w:rPr>
  </w:style>
  <w:style w:type="paragraph" w:styleId="a5">
    <w:name w:val="annotation subject"/>
    <w:basedOn w:val="a4"/>
    <w:next w:val="a4"/>
    <w:link w:val="Char0"/>
    <w:uiPriority w:val="99"/>
    <w:semiHidden/>
    <w:unhideWhenUsed/>
    <w:rsid w:val="00FB1910"/>
    <w:rPr>
      <w:b/>
      <w:bCs/>
    </w:rPr>
  </w:style>
  <w:style w:type="character" w:customStyle="1" w:styleId="Char0">
    <w:name w:val="批注主题 Char"/>
    <w:link w:val="a5"/>
    <w:uiPriority w:val="99"/>
    <w:semiHidden/>
    <w:rsid w:val="00FB1910"/>
    <w:rPr>
      <w:b/>
      <w:bCs/>
      <w:sz w:val="20"/>
      <w:szCs w:val="20"/>
    </w:rPr>
  </w:style>
  <w:style w:type="paragraph" w:styleId="a6">
    <w:name w:val="Balloon Text"/>
    <w:basedOn w:val="a"/>
    <w:link w:val="Char1"/>
    <w:uiPriority w:val="99"/>
    <w:semiHidden/>
    <w:unhideWhenUsed/>
    <w:rsid w:val="00FB1910"/>
    <w:pPr>
      <w:spacing w:after="0" w:line="240" w:lineRule="auto"/>
    </w:pPr>
    <w:rPr>
      <w:rFonts w:ascii="Segoe UI" w:hAnsi="Segoe UI" w:cs="Segoe UI"/>
      <w:sz w:val="18"/>
      <w:szCs w:val="18"/>
    </w:rPr>
  </w:style>
  <w:style w:type="character" w:customStyle="1" w:styleId="Char1">
    <w:name w:val="批注框文本 Char"/>
    <w:link w:val="a6"/>
    <w:uiPriority w:val="99"/>
    <w:semiHidden/>
    <w:rsid w:val="00FB1910"/>
    <w:rPr>
      <w:rFonts w:ascii="Segoe UI" w:hAnsi="Segoe UI" w:cs="Segoe UI"/>
      <w:sz w:val="18"/>
      <w:szCs w:val="18"/>
    </w:rPr>
  </w:style>
  <w:style w:type="character" w:styleId="a7">
    <w:name w:val="Hyperlink"/>
    <w:uiPriority w:val="99"/>
    <w:unhideWhenUsed/>
    <w:rsid w:val="00B00F69"/>
    <w:rPr>
      <w:color w:val="0563C1"/>
      <w:u w:val="single"/>
    </w:rPr>
  </w:style>
  <w:style w:type="character" w:customStyle="1" w:styleId="UnresolvedMention1">
    <w:name w:val="Unresolved Mention1"/>
    <w:uiPriority w:val="99"/>
    <w:semiHidden/>
    <w:unhideWhenUsed/>
    <w:rsid w:val="00B00F69"/>
    <w:rPr>
      <w:color w:val="808080"/>
      <w:shd w:val="clear" w:color="auto" w:fill="E6E6E6"/>
    </w:rPr>
  </w:style>
  <w:style w:type="character" w:styleId="a8">
    <w:name w:val="Emphasis"/>
    <w:uiPriority w:val="20"/>
    <w:qFormat/>
    <w:rsid w:val="00B00F69"/>
    <w:rPr>
      <w:i/>
      <w:iCs/>
    </w:rPr>
  </w:style>
  <w:style w:type="character" w:styleId="a9">
    <w:name w:val="Strong"/>
    <w:uiPriority w:val="22"/>
    <w:qFormat/>
    <w:rsid w:val="00B00F69"/>
    <w:rPr>
      <w:b/>
      <w:bCs/>
    </w:rPr>
  </w:style>
  <w:style w:type="paragraph" w:customStyle="1" w:styleId="ColorfulList-Accent11">
    <w:name w:val="Colorful List - Accent 11"/>
    <w:basedOn w:val="a"/>
    <w:uiPriority w:val="34"/>
    <w:qFormat/>
    <w:rsid w:val="00A0186B"/>
    <w:pPr>
      <w:ind w:left="720"/>
      <w:contextualSpacing/>
    </w:pPr>
  </w:style>
  <w:style w:type="character" w:styleId="aa">
    <w:name w:val="FollowedHyperlink"/>
    <w:uiPriority w:val="99"/>
    <w:semiHidden/>
    <w:unhideWhenUsed/>
    <w:rsid w:val="00681C84"/>
    <w:rPr>
      <w:color w:val="954F72"/>
      <w:u w:val="single"/>
    </w:rPr>
  </w:style>
  <w:style w:type="paragraph" w:styleId="ab">
    <w:name w:val="header"/>
    <w:basedOn w:val="a"/>
    <w:link w:val="Char2"/>
    <w:uiPriority w:val="99"/>
    <w:unhideWhenUsed/>
    <w:rsid w:val="00DC6490"/>
    <w:pPr>
      <w:tabs>
        <w:tab w:val="center" w:pos="4680"/>
        <w:tab w:val="right" w:pos="9360"/>
      </w:tabs>
      <w:spacing w:after="0" w:line="240" w:lineRule="auto"/>
    </w:pPr>
  </w:style>
  <w:style w:type="character" w:customStyle="1" w:styleId="Char2">
    <w:name w:val="页眉 Char"/>
    <w:basedOn w:val="a0"/>
    <w:link w:val="ab"/>
    <w:uiPriority w:val="99"/>
    <w:rsid w:val="00DC6490"/>
  </w:style>
  <w:style w:type="paragraph" w:styleId="ac">
    <w:name w:val="footer"/>
    <w:basedOn w:val="a"/>
    <w:link w:val="Char3"/>
    <w:uiPriority w:val="99"/>
    <w:unhideWhenUsed/>
    <w:rsid w:val="00DC6490"/>
    <w:pPr>
      <w:tabs>
        <w:tab w:val="center" w:pos="4680"/>
        <w:tab w:val="right" w:pos="9360"/>
      </w:tabs>
      <w:spacing w:after="0" w:line="240" w:lineRule="auto"/>
    </w:pPr>
  </w:style>
  <w:style w:type="character" w:customStyle="1" w:styleId="Char3">
    <w:name w:val="页脚 Char"/>
    <w:basedOn w:val="a0"/>
    <w:link w:val="ac"/>
    <w:uiPriority w:val="99"/>
    <w:rsid w:val="00DC6490"/>
  </w:style>
  <w:style w:type="character" w:customStyle="1" w:styleId="UnresolvedMention2">
    <w:name w:val="Unresolved Mention2"/>
    <w:uiPriority w:val="99"/>
    <w:semiHidden/>
    <w:unhideWhenUsed/>
    <w:rsid w:val="00544B7A"/>
    <w:rPr>
      <w:color w:val="808080"/>
      <w:shd w:val="clear" w:color="auto" w:fill="E6E6E6"/>
    </w:rPr>
  </w:style>
  <w:style w:type="character" w:styleId="ad">
    <w:name w:val="line number"/>
    <w:uiPriority w:val="99"/>
    <w:semiHidden/>
    <w:unhideWhenUsed/>
    <w:rsid w:val="00062124"/>
  </w:style>
  <w:style w:type="paragraph" w:customStyle="1" w:styleId="1">
    <w:name w:val="正文1"/>
    <w:uiPriority w:val="99"/>
    <w:rsid w:val="005A1552"/>
    <w:pPr>
      <w:spacing w:line="276" w:lineRule="auto"/>
    </w:pPr>
    <w:rPr>
      <w:rFonts w:ascii="Arial" w:eastAsia="宋体" w:hAnsi="Arial" w:cs="Arial"/>
      <w:color w:val="000000"/>
      <w:sz w:val="22"/>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Yu Mincho"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FB1910"/>
    <w:pPr>
      <w:spacing w:after="160" w:line="259" w:lineRule="auto"/>
    </w:pPr>
    <w:rPr>
      <w:sz w:val="22"/>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FB1910"/>
    <w:rPr>
      <w:sz w:val="16"/>
      <w:szCs w:val="16"/>
    </w:rPr>
  </w:style>
  <w:style w:type="paragraph" w:styleId="a4">
    <w:name w:val="annotation text"/>
    <w:basedOn w:val="a"/>
    <w:link w:val="Char"/>
    <w:uiPriority w:val="99"/>
    <w:unhideWhenUsed/>
    <w:qFormat/>
    <w:rsid w:val="00FB1910"/>
    <w:pPr>
      <w:spacing w:line="240" w:lineRule="auto"/>
    </w:pPr>
    <w:rPr>
      <w:sz w:val="20"/>
      <w:szCs w:val="20"/>
    </w:rPr>
  </w:style>
  <w:style w:type="character" w:customStyle="1" w:styleId="Char">
    <w:name w:val="批注文字 Char"/>
    <w:link w:val="a4"/>
    <w:uiPriority w:val="99"/>
    <w:qFormat/>
    <w:rsid w:val="00FB1910"/>
    <w:rPr>
      <w:sz w:val="20"/>
      <w:szCs w:val="20"/>
    </w:rPr>
  </w:style>
  <w:style w:type="paragraph" w:styleId="a5">
    <w:name w:val="annotation subject"/>
    <w:basedOn w:val="a4"/>
    <w:next w:val="a4"/>
    <w:link w:val="Char0"/>
    <w:uiPriority w:val="99"/>
    <w:semiHidden/>
    <w:unhideWhenUsed/>
    <w:rsid w:val="00FB1910"/>
    <w:rPr>
      <w:b/>
      <w:bCs/>
    </w:rPr>
  </w:style>
  <w:style w:type="character" w:customStyle="1" w:styleId="Char0">
    <w:name w:val="批注主题 Char"/>
    <w:link w:val="a5"/>
    <w:uiPriority w:val="99"/>
    <w:semiHidden/>
    <w:rsid w:val="00FB1910"/>
    <w:rPr>
      <w:b/>
      <w:bCs/>
      <w:sz w:val="20"/>
      <w:szCs w:val="20"/>
    </w:rPr>
  </w:style>
  <w:style w:type="paragraph" w:styleId="a6">
    <w:name w:val="Balloon Text"/>
    <w:basedOn w:val="a"/>
    <w:link w:val="Char1"/>
    <w:uiPriority w:val="99"/>
    <w:semiHidden/>
    <w:unhideWhenUsed/>
    <w:rsid w:val="00FB1910"/>
    <w:pPr>
      <w:spacing w:after="0" w:line="240" w:lineRule="auto"/>
    </w:pPr>
    <w:rPr>
      <w:rFonts w:ascii="Segoe UI" w:hAnsi="Segoe UI" w:cs="Segoe UI"/>
      <w:sz w:val="18"/>
      <w:szCs w:val="18"/>
    </w:rPr>
  </w:style>
  <w:style w:type="character" w:customStyle="1" w:styleId="Char1">
    <w:name w:val="批注框文本 Char"/>
    <w:link w:val="a6"/>
    <w:uiPriority w:val="99"/>
    <w:semiHidden/>
    <w:rsid w:val="00FB1910"/>
    <w:rPr>
      <w:rFonts w:ascii="Segoe UI" w:hAnsi="Segoe UI" w:cs="Segoe UI"/>
      <w:sz w:val="18"/>
      <w:szCs w:val="18"/>
    </w:rPr>
  </w:style>
  <w:style w:type="character" w:styleId="a7">
    <w:name w:val="Hyperlink"/>
    <w:uiPriority w:val="99"/>
    <w:unhideWhenUsed/>
    <w:rsid w:val="00B00F69"/>
    <w:rPr>
      <w:color w:val="0563C1"/>
      <w:u w:val="single"/>
    </w:rPr>
  </w:style>
  <w:style w:type="character" w:customStyle="1" w:styleId="UnresolvedMention1">
    <w:name w:val="Unresolved Mention1"/>
    <w:uiPriority w:val="99"/>
    <w:semiHidden/>
    <w:unhideWhenUsed/>
    <w:rsid w:val="00B00F69"/>
    <w:rPr>
      <w:color w:val="808080"/>
      <w:shd w:val="clear" w:color="auto" w:fill="E6E6E6"/>
    </w:rPr>
  </w:style>
  <w:style w:type="character" w:styleId="a8">
    <w:name w:val="Emphasis"/>
    <w:uiPriority w:val="20"/>
    <w:qFormat/>
    <w:rsid w:val="00B00F69"/>
    <w:rPr>
      <w:i/>
      <w:iCs/>
    </w:rPr>
  </w:style>
  <w:style w:type="character" w:styleId="a9">
    <w:name w:val="Strong"/>
    <w:uiPriority w:val="22"/>
    <w:qFormat/>
    <w:rsid w:val="00B00F69"/>
    <w:rPr>
      <w:b/>
      <w:bCs/>
    </w:rPr>
  </w:style>
  <w:style w:type="paragraph" w:customStyle="1" w:styleId="ColorfulList-Accent11">
    <w:name w:val="Colorful List - Accent 11"/>
    <w:basedOn w:val="a"/>
    <w:uiPriority w:val="34"/>
    <w:qFormat/>
    <w:rsid w:val="00A0186B"/>
    <w:pPr>
      <w:ind w:left="720"/>
      <w:contextualSpacing/>
    </w:pPr>
  </w:style>
  <w:style w:type="character" w:styleId="aa">
    <w:name w:val="FollowedHyperlink"/>
    <w:uiPriority w:val="99"/>
    <w:semiHidden/>
    <w:unhideWhenUsed/>
    <w:rsid w:val="00681C84"/>
    <w:rPr>
      <w:color w:val="954F72"/>
      <w:u w:val="single"/>
    </w:rPr>
  </w:style>
  <w:style w:type="paragraph" w:styleId="ab">
    <w:name w:val="header"/>
    <w:basedOn w:val="a"/>
    <w:link w:val="Char2"/>
    <w:uiPriority w:val="99"/>
    <w:unhideWhenUsed/>
    <w:rsid w:val="00DC6490"/>
    <w:pPr>
      <w:tabs>
        <w:tab w:val="center" w:pos="4680"/>
        <w:tab w:val="right" w:pos="9360"/>
      </w:tabs>
      <w:spacing w:after="0" w:line="240" w:lineRule="auto"/>
    </w:pPr>
  </w:style>
  <w:style w:type="character" w:customStyle="1" w:styleId="Char2">
    <w:name w:val="页眉 Char"/>
    <w:basedOn w:val="a0"/>
    <w:link w:val="ab"/>
    <w:uiPriority w:val="99"/>
    <w:rsid w:val="00DC6490"/>
  </w:style>
  <w:style w:type="paragraph" w:styleId="ac">
    <w:name w:val="footer"/>
    <w:basedOn w:val="a"/>
    <w:link w:val="Char3"/>
    <w:uiPriority w:val="99"/>
    <w:unhideWhenUsed/>
    <w:rsid w:val="00DC6490"/>
    <w:pPr>
      <w:tabs>
        <w:tab w:val="center" w:pos="4680"/>
        <w:tab w:val="right" w:pos="9360"/>
      </w:tabs>
      <w:spacing w:after="0" w:line="240" w:lineRule="auto"/>
    </w:pPr>
  </w:style>
  <w:style w:type="character" w:customStyle="1" w:styleId="Char3">
    <w:name w:val="页脚 Char"/>
    <w:basedOn w:val="a0"/>
    <w:link w:val="ac"/>
    <w:uiPriority w:val="99"/>
    <w:rsid w:val="00DC6490"/>
  </w:style>
  <w:style w:type="character" w:customStyle="1" w:styleId="UnresolvedMention2">
    <w:name w:val="Unresolved Mention2"/>
    <w:uiPriority w:val="99"/>
    <w:semiHidden/>
    <w:unhideWhenUsed/>
    <w:rsid w:val="00544B7A"/>
    <w:rPr>
      <w:color w:val="808080"/>
      <w:shd w:val="clear" w:color="auto" w:fill="E6E6E6"/>
    </w:rPr>
  </w:style>
  <w:style w:type="character" w:styleId="ad">
    <w:name w:val="line number"/>
    <w:uiPriority w:val="99"/>
    <w:semiHidden/>
    <w:unhideWhenUsed/>
    <w:rsid w:val="00062124"/>
  </w:style>
  <w:style w:type="paragraph" w:customStyle="1" w:styleId="1">
    <w:name w:val="正文1"/>
    <w:uiPriority w:val="99"/>
    <w:rsid w:val="005A1552"/>
    <w:pPr>
      <w:spacing w:line="276" w:lineRule="auto"/>
    </w:pPr>
    <w:rPr>
      <w:rFonts w:ascii="Arial" w:eastAsia="宋体" w:hAnsi="Arial" w:cs="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55471">
      <w:bodyDiv w:val="1"/>
      <w:marLeft w:val="0"/>
      <w:marRight w:val="0"/>
      <w:marTop w:val="0"/>
      <w:marBottom w:val="0"/>
      <w:divBdr>
        <w:top w:val="none" w:sz="0" w:space="0" w:color="auto"/>
        <w:left w:val="none" w:sz="0" w:space="0" w:color="auto"/>
        <w:bottom w:val="none" w:sz="0" w:space="0" w:color="auto"/>
        <w:right w:val="none" w:sz="0" w:space="0" w:color="auto"/>
      </w:divBdr>
    </w:div>
    <w:div w:id="295993077">
      <w:bodyDiv w:val="1"/>
      <w:marLeft w:val="0"/>
      <w:marRight w:val="0"/>
      <w:marTop w:val="0"/>
      <w:marBottom w:val="0"/>
      <w:divBdr>
        <w:top w:val="none" w:sz="0" w:space="0" w:color="auto"/>
        <w:left w:val="none" w:sz="0" w:space="0" w:color="auto"/>
        <w:bottom w:val="none" w:sz="0" w:space="0" w:color="auto"/>
        <w:right w:val="none" w:sz="0" w:space="0" w:color="auto"/>
      </w:divBdr>
    </w:div>
    <w:div w:id="551696558">
      <w:bodyDiv w:val="1"/>
      <w:marLeft w:val="0"/>
      <w:marRight w:val="0"/>
      <w:marTop w:val="0"/>
      <w:marBottom w:val="0"/>
      <w:divBdr>
        <w:top w:val="none" w:sz="0" w:space="0" w:color="auto"/>
        <w:left w:val="none" w:sz="0" w:space="0" w:color="auto"/>
        <w:bottom w:val="none" w:sz="0" w:space="0" w:color="auto"/>
        <w:right w:val="none" w:sz="0" w:space="0" w:color="auto"/>
      </w:divBdr>
    </w:div>
    <w:div w:id="843741026">
      <w:bodyDiv w:val="1"/>
      <w:marLeft w:val="0"/>
      <w:marRight w:val="0"/>
      <w:marTop w:val="0"/>
      <w:marBottom w:val="0"/>
      <w:divBdr>
        <w:top w:val="none" w:sz="0" w:space="0" w:color="auto"/>
        <w:left w:val="none" w:sz="0" w:space="0" w:color="auto"/>
        <w:bottom w:val="none" w:sz="0" w:space="0" w:color="auto"/>
        <w:right w:val="none" w:sz="0" w:space="0" w:color="auto"/>
      </w:divBdr>
    </w:div>
    <w:div w:id="1882017420">
      <w:bodyDiv w:val="1"/>
      <w:marLeft w:val="120"/>
      <w:marRight w:val="120"/>
      <w:marTop w:val="0"/>
      <w:marBottom w:val="0"/>
      <w:divBdr>
        <w:top w:val="none" w:sz="0" w:space="0" w:color="auto"/>
        <w:left w:val="none" w:sz="0" w:space="0" w:color="auto"/>
        <w:bottom w:val="none" w:sz="0" w:space="0" w:color="auto"/>
        <w:right w:val="none" w:sz="0" w:space="0" w:color="auto"/>
      </w:divBdr>
      <w:divsChild>
        <w:div w:id="1781338520">
          <w:marLeft w:val="0"/>
          <w:marRight w:val="0"/>
          <w:marTop w:val="0"/>
          <w:marBottom w:val="0"/>
          <w:divBdr>
            <w:top w:val="none" w:sz="0" w:space="0" w:color="auto"/>
            <w:left w:val="none" w:sz="0" w:space="0" w:color="auto"/>
            <w:bottom w:val="none" w:sz="0" w:space="0" w:color="auto"/>
            <w:right w:val="none" w:sz="0" w:space="0" w:color="auto"/>
          </w:divBdr>
          <w:divsChild>
            <w:div w:id="3740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tif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tif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tif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sempoku@hawaii.edu" TargetMode="External"/><Relationship Id="rId14" Type="http://schemas.openxmlformats.org/officeDocument/2006/relationships/image" Target="media/image5.tif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88AA2-5A72-4222-83EB-B7AA25206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26213</Words>
  <Characters>149418</Characters>
  <Application>Microsoft Office Word</Application>
  <DocSecurity>0</DocSecurity>
  <Lines>1245</Lines>
  <Paragraphs>350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175281</CharactersWithSpaces>
  <SharedDoc>false</SharedDoc>
  <HLinks>
    <vt:vector size="6" baseType="variant">
      <vt:variant>
        <vt:i4>5308530</vt:i4>
      </vt:variant>
      <vt:variant>
        <vt:i4>0</vt:i4>
      </vt:variant>
      <vt:variant>
        <vt:i4>0</vt:i4>
      </vt:variant>
      <vt:variant>
        <vt:i4>5</vt:i4>
      </vt:variant>
      <vt:variant>
        <vt:lpwstr>mailto:tsempoku@hawaii.edu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Tomoki Sempokuya</dc:creator>
  <cp:lastModifiedBy>user</cp:lastModifiedBy>
  <cp:revision>2</cp:revision>
  <cp:lastPrinted>2018-03-02T02:03:00Z</cp:lastPrinted>
  <dcterms:created xsi:type="dcterms:W3CDTF">2019-01-27T03:30:00Z</dcterms:created>
  <dcterms:modified xsi:type="dcterms:W3CDTF">2019-01-27T03:30:00Z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http://www.zotero.org/styles/jama</vt:lpwstr>
  </property>
  <property fmtid="{D5CDD505-2E9C-101B-9397-08002B2CF9AE}" pid="17" name="Mendeley Recent Style Name 7_1">
    <vt:lpwstr>JAMA (The Journal of the American Medical Association)</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Unique User Id_1">
    <vt:lpwstr>08b717a6-32f6-3a3f-8276-106342c225e1</vt:lpwstr>
  </property>
  <property fmtid="{D5CDD505-2E9C-101B-9397-08002B2CF9AE}" pid="24" name="Mendeley Citation Style_1">
    <vt:lpwstr>http://www.zotero.org/styles/world-journal-of-gastroenterology</vt:lpwstr>
  </property>
</Properties>
</file>