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CFFD6A" w14:textId="515A96EA" w:rsidR="003D1700" w:rsidRPr="00141E92" w:rsidRDefault="005300D1" w:rsidP="003F50D4">
      <w:pPr>
        <w:snapToGrid w:val="0"/>
        <w:spacing w:line="360" w:lineRule="auto"/>
        <w:jc w:val="both"/>
        <w:outlineLvl w:val="0"/>
        <w:rPr>
          <w:rFonts w:ascii="Book Antiqua" w:hAnsi="Book Antiqua"/>
          <w:b/>
          <w:i/>
          <w:sz w:val="24"/>
          <w:szCs w:val="24"/>
          <w:shd w:val="clear" w:color="auto" w:fill="FFFFFF"/>
        </w:rPr>
      </w:pPr>
      <w:r w:rsidRPr="00141E92">
        <w:rPr>
          <w:rFonts w:ascii="Book Antiqua" w:hAnsi="Book Antiqua"/>
          <w:b/>
          <w:sz w:val="24"/>
          <w:szCs w:val="24"/>
        </w:rPr>
        <w:t>Name of Journal:</w:t>
      </w:r>
      <w:r w:rsidRPr="00141E92">
        <w:rPr>
          <w:rFonts w:ascii="Book Antiqua" w:hAnsi="Book Antiqua"/>
          <w:sz w:val="24"/>
          <w:szCs w:val="24"/>
        </w:rPr>
        <w:t xml:space="preserve"> </w:t>
      </w:r>
      <w:r w:rsidRPr="00141E92">
        <w:rPr>
          <w:rFonts w:ascii="Book Antiqua" w:hAnsi="Book Antiqua"/>
          <w:b/>
          <w:i/>
          <w:sz w:val="24"/>
          <w:szCs w:val="24"/>
        </w:rPr>
        <w:t xml:space="preserve">World Journal of Gastroenterology </w:t>
      </w:r>
    </w:p>
    <w:p w14:paraId="405F2DBE" w14:textId="5822FA08" w:rsidR="003D1700" w:rsidRPr="00141E92" w:rsidRDefault="003D1700" w:rsidP="003F50D4">
      <w:pPr>
        <w:pStyle w:val="10"/>
        <w:adjustRightInd w:val="0"/>
        <w:snapToGrid w:val="0"/>
        <w:spacing w:line="360" w:lineRule="auto"/>
        <w:jc w:val="both"/>
        <w:outlineLvl w:val="0"/>
        <w:rPr>
          <w:rFonts w:ascii="Book Antiqua" w:hAnsi="Book Antiqua" w:cs="Times New Roman"/>
          <w:b/>
          <w:i/>
          <w:color w:val="000000" w:themeColor="text1"/>
          <w:sz w:val="24"/>
          <w:szCs w:val="24"/>
          <w:highlight w:val="white"/>
          <w:lang w:val="en-US" w:eastAsia="zh-CN"/>
        </w:rPr>
      </w:pPr>
      <w:bookmarkStart w:id="0" w:name="OLE_LINK485"/>
      <w:bookmarkStart w:id="1" w:name="OLE_LINK486"/>
      <w:bookmarkStart w:id="2" w:name="OLE_LINK661"/>
      <w:bookmarkStart w:id="3" w:name="OLE_LINK768"/>
      <w:bookmarkStart w:id="4" w:name="OLE_LINK514"/>
      <w:bookmarkStart w:id="5" w:name="OLE_LINK515"/>
      <w:bookmarkStart w:id="6" w:name="OLE_LINK13"/>
      <w:r w:rsidRPr="00141E92">
        <w:rPr>
          <w:rFonts w:ascii="Book Antiqua" w:hAnsi="Book Antiqua" w:cs="Times New Roman"/>
          <w:b/>
          <w:color w:val="000000" w:themeColor="text1"/>
          <w:sz w:val="24"/>
          <w:szCs w:val="24"/>
          <w:highlight w:val="white"/>
          <w:lang w:val="en-US" w:eastAsia="zh-CN"/>
        </w:rPr>
        <w:t>Manuscript NO:</w:t>
      </w:r>
      <w:bookmarkEnd w:id="0"/>
      <w:bookmarkEnd w:id="1"/>
      <w:bookmarkEnd w:id="2"/>
      <w:bookmarkEnd w:id="3"/>
      <w:r w:rsidRPr="00141E92">
        <w:rPr>
          <w:rFonts w:ascii="Book Antiqua" w:hAnsi="Book Antiqua" w:cs="Times New Roman"/>
          <w:b/>
          <w:color w:val="000000" w:themeColor="text1"/>
          <w:sz w:val="24"/>
          <w:szCs w:val="24"/>
          <w:highlight w:val="white"/>
          <w:lang w:val="en-US" w:eastAsia="zh-CN"/>
        </w:rPr>
        <w:t xml:space="preserve"> </w:t>
      </w:r>
      <w:r w:rsidR="00D147F9" w:rsidRPr="00141E92">
        <w:rPr>
          <w:rFonts w:ascii="Book Antiqua" w:hAnsi="Book Antiqua" w:cs="Times New Roman"/>
          <w:b/>
          <w:color w:val="000000" w:themeColor="text1"/>
          <w:sz w:val="24"/>
          <w:szCs w:val="24"/>
          <w:highlight w:val="white"/>
          <w:lang w:val="en-US" w:eastAsia="zh-CN"/>
        </w:rPr>
        <w:t>42941</w:t>
      </w:r>
    </w:p>
    <w:bookmarkEnd w:id="4"/>
    <w:bookmarkEnd w:id="5"/>
    <w:bookmarkEnd w:id="6"/>
    <w:p w14:paraId="53807C59" w14:textId="1BB45634" w:rsidR="005300D1" w:rsidRPr="00141E92" w:rsidRDefault="005300D1"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shd w:val="clear" w:color="auto" w:fill="FFFFFF"/>
        </w:rPr>
        <w:t>Manuscript Type</w:t>
      </w:r>
      <w:r w:rsidRPr="00141E92">
        <w:rPr>
          <w:rFonts w:ascii="Book Antiqua" w:hAnsi="Book Antiqua"/>
          <w:b/>
          <w:sz w:val="24"/>
          <w:szCs w:val="24"/>
        </w:rPr>
        <w:t>:</w:t>
      </w:r>
      <w:r w:rsidRPr="00141E92">
        <w:rPr>
          <w:rFonts w:ascii="Book Antiqua" w:hAnsi="Book Antiqua"/>
          <w:sz w:val="24"/>
          <w:szCs w:val="24"/>
        </w:rPr>
        <w:t xml:space="preserve"> </w:t>
      </w:r>
      <w:r w:rsidR="00141E92">
        <w:rPr>
          <w:rFonts w:ascii="Book Antiqua" w:hAnsi="Book Antiqua"/>
          <w:b/>
          <w:sz w:val="24"/>
          <w:szCs w:val="24"/>
        </w:rPr>
        <w:t>ORIGINAL ARTICLE</w:t>
      </w:r>
    </w:p>
    <w:p w14:paraId="0415165D" w14:textId="77777777" w:rsidR="00141E92" w:rsidRDefault="00141E92" w:rsidP="008530E2">
      <w:pPr>
        <w:snapToGrid w:val="0"/>
        <w:spacing w:line="360" w:lineRule="auto"/>
        <w:jc w:val="both"/>
        <w:rPr>
          <w:rFonts w:ascii="Book Antiqua" w:hAnsi="Book Antiqua"/>
          <w:b/>
          <w:sz w:val="24"/>
          <w:szCs w:val="24"/>
        </w:rPr>
      </w:pPr>
    </w:p>
    <w:p w14:paraId="3807926D" w14:textId="515A9935" w:rsidR="00141E92" w:rsidRPr="00141E92" w:rsidRDefault="00141E92"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Basic Study</w:t>
      </w:r>
    </w:p>
    <w:p w14:paraId="099A13D6" w14:textId="07952668" w:rsidR="005300D1" w:rsidRPr="00141E92" w:rsidRDefault="0011295B" w:rsidP="008530E2">
      <w:pPr>
        <w:snapToGrid w:val="0"/>
        <w:spacing w:line="360" w:lineRule="auto"/>
        <w:jc w:val="both"/>
        <w:rPr>
          <w:rFonts w:ascii="Book Antiqua" w:hAnsi="Book Antiqua"/>
          <w:b/>
          <w:sz w:val="24"/>
          <w:szCs w:val="24"/>
        </w:rPr>
      </w:pPr>
      <w:bookmarkStart w:id="7" w:name="OLE_LINK19"/>
      <w:bookmarkStart w:id="8" w:name="OLE_LINK20"/>
      <w:r w:rsidRPr="00141E92">
        <w:rPr>
          <w:rFonts w:ascii="Book Antiqua" w:hAnsi="Book Antiqua"/>
          <w:b/>
          <w:sz w:val="24"/>
          <w:szCs w:val="24"/>
        </w:rPr>
        <w:t>Hu</w:t>
      </w:r>
      <w:r w:rsidR="00141E92">
        <w:rPr>
          <w:rFonts w:ascii="Book Antiqua" w:hAnsi="Book Antiqua"/>
          <w:b/>
          <w:sz w:val="24"/>
          <w:szCs w:val="24"/>
        </w:rPr>
        <w:t xml:space="preserve">man antigen </w:t>
      </w:r>
      <w:r w:rsidRPr="00141E92">
        <w:rPr>
          <w:rFonts w:ascii="Book Antiqua" w:hAnsi="Book Antiqua"/>
          <w:b/>
          <w:sz w:val="24"/>
          <w:szCs w:val="24"/>
        </w:rPr>
        <w:t>R mediated post-transcriptional regulation of inhibitors of apoptosis</w:t>
      </w:r>
      <w:r w:rsidR="005300D1" w:rsidRPr="00141E92">
        <w:rPr>
          <w:rFonts w:ascii="Book Antiqua" w:hAnsi="Book Antiqua"/>
          <w:b/>
          <w:sz w:val="24"/>
          <w:szCs w:val="24"/>
        </w:rPr>
        <w:t xml:space="preserve"> proteins </w:t>
      </w:r>
      <w:r w:rsidR="00D43D4E" w:rsidRPr="00141E92">
        <w:rPr>
          <w:rFonts w:ascii="Book Antiqua" w:hAnsi="Book Antiqua"/>
          <w:b/>
          <w:sz w:val="24"/>
          <w:szCs w:val="24"/>
        </w:rPr>
        <w:t>in</w:t>
      </w:r>
      <w:r w:rsidRPr="00141E92">
        <w:rPr>
          <w:rFonts w:ascii="Book Antiqua" w:hAnsi="Book Antiqua"/>
          <w:b/>
          <w:sz w:val="24"/>
          <w:szCs w:val="24"/>
        </w:rPr>
        <w:t xml:space="preserve"> pancreatic cancer</w:t>
      </w:r>
      <w:bookmarkEnd w:id="7"/>
      <w:bookmarkEnd w:id="8"/>
    </w:p>
    <w:p w14:paraId="705BDB75" w14:textId="77777777" w:rsidR="00141E92" w:rsidRDefault="00141E92" w:rsidP="008530E2">
      <w:pPr>
        <w:pStyle w:val="10"/>
        <w:adjustRightInd w:val="0"/>
        <w:snapToGrid w:val="0"/>
        <w:spacing w:line="360" w:lineRule="auto"/>
        <w:jc w:val="both"/>
        <w:rPr>
          <w:rFonts w:ascii="Book Antiqua" w:hAnsi="Book Antiqua" w:cs="Times New Roman"/>
          <w:b/>
          <w:color w:val="FF0000"/>
          <w:sz w:val="24"/>
          <w:szCs w:val="24"/>
          <w:highlight w:val="white"/>
          <w:lang w:val="en-US" w:eastAsia="zh-CN"/>
        </w:rPr>
      </w:pPr>
      <w:bookmarkStart w:id="9" w:name="OLE_LINK217"/>
      <w:bookmarkStart w:id="10" w:name="OLE_LINK266"/>
    </w:p>
    <w:p w14:paraId="5FC1DB4D" w14:textId="19527F5D" w:rsidR="00D147F9" w:rsidRPr="00141E92" w:rsidRDefault="00D147F9" w:rsidP="003F50D4">
      <w:pPr>
        <w:pStyle w:val="10"/>
        <w:adjustRightInd w:val="0"/>
        <w:snapToGrid w:val="0"/>
        <w:spacing w:line="360" w:lineRule="auto"/>
        <w:jc w:val="both"/>
        <w:outlineLvl w:val="0"/>
        <w:rPr>
          <w:rFonts w:ascii="Book Antiqua" w:hAnsi="Book Antiqua" w:cs="Times New Roman"/>
          <w:color w:val="000000" w:themeColor="text1"/>
          <w:sz w:val="24"/>
          <w:szCs w:val="24"/>
          <w:highlight w:val="white"/>
          <w:lang w:val="en-US" w:eastAsia="zh-CN"/>
        </w:rPr>
      </w:pPr>
      <w:proofErr w:type="spellStart"/>
      <w:r w:rsidRPr="00141E92">
        <w:rPr>
          <w:rFonts w:ascii="Book Antiqua" w:hAnsi="Book Antiqua" w:cs="Times New Roman"/>
          <w:color w:val="000000" w:themeColor="text1"/>
          <w:sz w:val="24"/>
          <w:szCs w:val="24"/>
          <w:highlight w:val="white"/>
          <w:lang w:val="en-US" w:eastAsia="zh-CN"/>
        </w:rPr>
        <w:t>Lukosiute-Urboniene</w:t>
      </w:r>
      <w:proofErr w:type="spellEnd"/>
      <w:r w:rsidR="0086019B" w:rsidRPr="00141E92">
        <w:rPr>
          <w:rFonts w:ascii="Book Antiqua" w:hAnsi="Book Antiqua" w:cs="Times New Roman"/>
          <w:color w:val="000000" w:themeColor="text1"/>
          <w:sz w:val="24"/>
          <w:szCs w:val="24"/>
          <w:highlight w:val="white"/>
          <w:lang w:val="en-US" w:eastAsia="zh-CN"/>
        </w:rPr>
        <w:t xml:space="preserve"> A</w:t>
      </w:r>
      <w:r w:rsidRPr="00141E92">
        <w:rPr>
          <w:rFonts w:ascii="Book Antiqua" w:hAnsi="Book Antiqua" w:cs="Times New Roman"/>
          <w:color w:val="000000" w:themeColor="text1"/>
          <w:sz w:val="24"/>
          <w:szCs w:val="24"/>
          <w:highlight w:val="white"/>
          <w:lang w:val="en-US" w:eastAsia="zh-CN"/>
        </w:rPr>
        <w:t xml:space="preserve"> </w:t>
      </w:r>
      <w:r w:rsidRPr="00141E92">
        <w:rPr>
          <w:rFonts w:ascii="Book Antiqua" w:hAnsi="Book Antiqua" w:cs="Times New Roman"/>
          <w:i/>
          <w:color w:val="000000" w:themeColor="text1"/>
          <w:sz w:val="24"/>
          <w:szCs w:val="24"/>
          <w:highlight w:val="white"/>
          <w:lang w:val="en-US" w:eastAsia="zh-CN"/>
        </w:rPr>
        <w:t>et al</w:t>
      </w:r>
      <w:r w:rsidRPr="00141E92">
        <w:rPr>
          <w:rFonts w:ascii="Book Antiqua" w:hAnsi="Book Antiqua" w:cs="Times New Roman"/>
          <w:color w:val="000000" w:themeColor="text1"/>
          <w:sz w:val="24"/>
          <w:szCs w:val="24"/>
          <w:highlight w:val="white"/>
          <w:lang w:val="en-US" w:eastAsia="zh-CN"/>
        </w:rPr>
        <w:t xml:space="preserve">. </w:t>
      </w:r>
      <w:proofErr w:type="spellStart"/>
      <w:r w:rsidRPr="00141E92">
        <w:rPr>
          <w:rFonts w:ascii="Book Antiqua" w:hAnsi="Book Antiqua" w:cs="Times New Roman"/>
          <w:color w:val="000000" w:themeColor="text1"/>
          <w:sz w:val="24"/>
          <w:szCs w:val="24"/>
          <w:highlight w:val="white"/>
          <w:lang w:val="en-US" w:eastAsia="zh-CN"/>
        </w:rPr>
        <w:t>HuR</w:t>
      </w:r>
      <w:proofErr w:type="spellEnd"/>
      <w:r w:rsidRPr="00141E92">
        <w:rPr>
          <w:rFonts w:ascii="Book Antiqua" w:hAnsi="Book Antiqua" w:cs="Times New Roman"/>
          <w:color w:val="000000" w:themeColor="text1"/>
          <w:sz w:val="24"/>
          <w:szCs w:val="24"/>
          <w:highlight w:val="white"/>
          <w:lang w:val="en-US" w:eastAsia="zh-CN"/>
        </w:rPr>
        <w:t xml:space="preserve">/IAP regulation in </w:t>
      </w:r>
      <w:r w:rsidR="002B2741" w:rsidRPr="00141E92">
        <w:rPr>
          <w:rFonts w:ascii="Book Antiqua" w:hAnsi="Book Antiqua" w:cs="Times New Roman"/>
          <w:color w:val="000000" w:themeColor="text1"/>
          <w:sz w:val="24"/>
          <w:szCs w:val="24"/>
          <w:highlight w:val="white"/>
          <w:lang w:val="en-US" w:eastAsia="zh-CN"/>
        </w:rPr>
        <w:t>pancreatic cancer</w:t>
      </w:r>
    </w:p>
    <w:bookmarkEnd w:id="9"/>
    <w:bookmarkEnd w:id="10"/>
    <w:p w14:paraId="1E6A9EE7" w14:textId="77777777" w:rsidR="003D1700" w:rsidRPr="00141E92" w:rsidRDefault="003D1700" w:rsidP="008530E2">
      <w:pPr>
        <w:snapToGrid w:val="0"/>
        <w:spacing w:line="360" w:lineRule="auto"/>
        <w:jc w:val="both"/>
        <w:rPr>
          <w:rFonts w:ascii="Book Antiqua" w:hAnsi="Book Antiqua"/>
          <w:b/>
          <w:sz w:val="24"/>
          <w:szCs w:val="24"/>
        </w:rPr>
      </w:pPr>
    </w:p>
    <w:p w14:paraId="471C5F28" w14:textId="2D0F2969" w:rsidR="00B13285" w:rsidRPr="00141E92" w:rsidRDefault="00B13285" w:rsidP="008530E2">
      <w:pPr>
        <w:pStyle w:val="a3"/>
        <w:snapToGrid w:val="0"/>
        <w:spacing w:before="0" w:beforeAutospacing="0" w:after="0" w:afterAutospacing="0" w:line="360" w:lineRule="auto"/>
        <w:jc w:val="both"/>
        <w:rPr>
          <w:rFonts w:ascii="Book Antiqua" w:hAnsi="Book Antiqua"/>
          <w:sz w:val="24"/>
          <w:szCs w:val="24"/>
        </w:rPr>
      </w:pPr>
      <w:proofErr w:type="spellStart"/>
      <w:r w:rsidRPr="00141E92">
        <w:rPr>
          <w:rFonts w:ascii="Book Antiqua" w:hAnsi="Book Antiqua"/>
          <w:sz w:val="24"/>
          <w:szCs w:val="24"/>
        </w:rPr>
        <w:t>Ausra</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Lukosiute-Urboniene</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Aldona</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Jasukaitiene</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Giedre</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Silkuniene</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Vidmantas</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Barauskas</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Antanas</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Gulbinas</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Zilvinas</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Dambrauskas</w:t>
      </w:r>
      <w:proofErr w:type="spellEnd"/>
    </w:p>
    <w:p w14:paraId="7FEF250A" w14:textId="77777777" w:rsidR="00141E92" w:rsidRPr="00141E92" w:rsidRDefault="00141E92" w:rsidP="008530E2">
      <w:pPr>
        <w:pStyle w:val="a3"/>
        <w:snapToGrid w:val="0"/>
        <w:spacing w:before="0" w:beforeAutospacing="0" w:after="0" w:afterAutospacing="0" w:line="360" w:lineRule="auto"/>
        <w:jc w:val="both"/>
        <w:rPr>
          <w:rFonts w:ascii="Book Antiqua" w:hAnsi="Book Antiqua"/>
          <w:b/>
          <w:sz w:val="24"/>
          <w:szCs w:val="24"/>
        </w:rPr>
      </w:pPr>
    </w:p>
    <w:p w14:paraId="6DA4D457" w14:textId="23993FA2" w:rsidR="005300D1" w:rsidRDefault="005300D1" w:rsidP="008530E2">
      <w:pPr>
        <w:pStyle w:val="a3"/>
        <w:snapToGrid w:val="0"/>
        <w:spacing w:before="0" w:beforeAutospacing="0" w:after="0" w:afterAutospacing="0" w:line="360" w:lineRule="auto"/>
        <w:jc w:val="both"/>
        <w:rPr>
          <w:rFonts w:ascii="Book Antiqua" w:hAnsi="Book Antiqua" w:cs="TimesNewRomanPSMT"/>
          <w:sz w:val="24"/>
          <w:szCs w:val="24"/>
        </w:rPr>
      </w:pPr>
      <w:proofErr w:type="spellStart"/>
      <w:r w:rsidRPr="00141E92">
        <w:rPr>
          <w:rFonts w:ascii="Book Antiqua" w:hAnsi="Book Antiqua"/>
          <w:b/>
          <w:sz w:val="24"/>
          <w:szCs w:val="24"/>
        </w:rPr>
        <w:t>Ausra</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Lukosiute-Urboniene</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Aldona</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Jasukaitiene</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Giedre</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Silkuniene</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Antanas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Gulbinas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Zilvinas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Dambrauskas</w:t>
      </w:r>
      <w:proofErr w:type="spellEnd"/>
      <w:r w:rsidRPr="00141E92">
        <w:rPr>
          <w:rFonts w:ascii="Book Antiqua" w:hAnsi="Book Antiqua"/>
          <w:b/>
          <w:sz w:val="24"/>
          <w:szCs w:val="24"/>
        </w:rPr>
        <w:t xml:space="preserve">, </w:t>
      </w:r>
      <w:r w:rsidR="008763A6" w:rsidRPr="00141E92">
        <w:rPr>
          <w:rFonts w:ascii="Book Antiqua" w:hAnsi="Book Antiqua" w:cs="TimesNewRomanPSMT"/>
          <w:sz w:val="24"/>
          <w:szCs w:val="24"/>
        </w:rPr>
        <w:t>Institute for Digestive System Research, Lithuanian University of Health Sciences, Kaunas</w:t>
      </w:r>
      <w:r w:rsidR="00141E92">
        <w:rPr>
          <w:rFonts w:ascii="Book Antiqua" w:hAnsi="Book Antiqua" w:cs="TimesNewRomanPSMT"/>
          <w:sz w:val="24"/>
          <w:szCs w:val="24"/>
        </w:rPr>
        <w:t xml:space="preserve"> </w:t>
      </w:r>
      <w:r w:rsidR="00141E92" w:rsidRPr="00141E92">
        <w:rPr>
          <w:rFonts w:ascii="Book Antiqua" w:hAnsi="Book Antiqua" w:cs="TimesNewRomanPSMT"/>
          <w:sz w:val="24"/>
          <w:szCs w:val="24"/>
        </w:rPr>
        <w:t>50161</w:t>
      </w:r>
      <w:r w:rsidR="00141E92">
        <w:rPr>
          <w:rFonts w:ascii="Book Antiqua" w:hAnsi="Book Antiqua" w:cs="TimesNewRomanPSMT"/>
          <w:sz w:val="24"/>
          <w:szCs w:val="24"/>
        </w:rPr>
        <w:t>, Lithuania</w:t>
      </w:r>
    </w:p>
    <w:p w14:paraId="1B1C313A" w14:textId="77777777" w:rsidR="00141E92" w:rsidRPr="00141E92" w:rsidRDefault="00141E92" w:rsidP="008530E2">
      <w:pPr>
        <w:pStyle w:val="a3"/>
        <w:snapToGrid w:val="0"/>
        <w:spacing w:before="0" w:beforeAutospacing="0" w:after="0" w:afterAutospacing="0" w:line="360" w:lineRule="auto"/>
        <w:jc w:val="both"/>
        <w:rPr>
          <w:rFonts w:ascii="Book Antiqua" w:hAnsi="Book Antiqua"/>
          <w:sz w:val="24"/>
          <w:szCs w:val="24"/>
        </w:rPr>
      </w:pPr>
    </w:p>
    <w:p w14:paraId="2C84214F" w14:textId="36D2C607" w:rsidR="008763A6" w:rsidRDefault="008763A6" w:rsidP="008530E2">
      <w:pPr>
        <w:snapToGrid w:val="0"/>
        <w:spacing w:line="360" w:lineRule="auto"/>
        <w:jc w:val="both"/>
        <w:rPr>
          <w:rFonts w:ascii="Book Antiqua" w:hAnsi="Book Antiqua" w:cs="TimesNewRomanPSMT"/>
          <w:sz w:val="24"/>
          <w:szCs w:val="24"/>
        </w:rPr>
      </w:pPr>
      <w:proofErr w:type="spellStart"/>
      <w:r w:rsidRPr="00141E92">
        <w:rPr>
          <w:rFonts w:ascii="Book Antiqua" w:hAnsi="Book Antiqua"/>
          <w:b/>
          <w:sz w:val="24"/>
          <w:szCs w:val="24"/>
        </w:rPr>
        <w:t>Ausra</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Lukosiute-Urboniene</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Vidmantas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Barauskas</w:t>
      </w:r>
      <w:proofErr w:type="spellEnd"/>
      <w:r w:rsidRPr="00141E92">
        <w:rPr>
          <w:rFonts w:ascii="Book Antiqua" w:hAnsi="Book Antiqua"/>
          <w:b/>
          <w:sz w:val="24"/>
          <w:szCs w:val="24"/>
        </w:rPr>
        <w:t xml:space="preserve">, </w:t>
      </w:r>
      <w:r w:rsidRPr="00141E92">
        <w:rPr>
          <w:rFonts w:ascii="Book Antiqua" w:hAnsi="Book Antiqua"/>
          <w:sz w:val="24"/>
          <w:szCs w:val="24"/>
        </w:rPr>
        <w:t xml:space="preserve">Department of </w:t>
      </w:r>
      <w:r w:rsidR="00581936" w:rsidRPr="00141E92">
        <w:rPr>
          <w:rFonts w:ascii="Book Antiqua" w:hAnsi="Book Antiqua"/>
          <w:sz w:val="24"/>
          <w:szCs w:val="24"/>
        </w:rPr>
        <w:t>Pediatric</w:t>
      </w:r>
      <w:r w:rsidRPr="00141E92">
        <w:rPr>
          <w:rFonts w:ascii="Book Antiqua" w:hAnsi="Book Antiqua"/>
          <w:sz w:val="24"/>
          <w:szCs w:val="24"/>
        </w:rPr>
        <w:t xml:space="preserve"> Surgery, </w:t>
      </w:r>
      <w:r w:rsidRPr="00141E92">
        <w:rPr>
          <w:rFonts w:ascii="Book Antiqua" w:hAnsi="Book Antiqua"/>
          <w:bCs/>
          <w:color w:val="0E1011"/>
          <w:sz w:val="24"/>
          <w:szCs w:val="24"/>
        </w:rPr>
        <w:t xml:space="preserve">Lithuanian </w:t>
      </w:r>
      <w:r w:rsidR="0012635A" w:rsidRPr="00141E92">
        <w:rPr>
          <w:rFonts w:ascii="Book Antiqua" w:hAnsi="Book Antiqua"/>
          <w:bCs/>
          <w:color w:val="0E1011"/>
          <w:sz w:val="24"/>
          <w:szCs w:val="24"/>
        </w:rPr>
        <w:t>U</w:t>
      </w:r>
      <w:r w:rsidRPr="00141E92">
        <w:rPr>
          <w:rFonts w:ascii="Book Antiqua" w:hAnsi="Book Antiqua"/>
          <w:bCs/>
          <w:color w:val="0E1011"/>
          <w:sz w:val="24"/>
          <w:szCs w:val="24"/>
        </w:rPr>
        <w:t xml:space="preserve">niversity of </w:t>
      </w:r>
      <w:r w:rsidR="006B37F1" w:rsidRPr="00141E92">
        <w:rPr>
          <w:rFonts w:ascii="Book Antiqua" w:hAnsi="Book Antiqua"/>
          <w:bCs/>
          <w:color w:val="0E1011"/>
          <w:sz w:val="24"/>
          <w:szCs w:val="24"/>
        </w:rPr>
        <w:t>H</w:t>
      </w:r>
      <w:r w:rsidRPr="00141E92">
        <w:rPr>
          <w:rFonts w:ascii="Book Antiqua" w:hAnsi="Book Antiqua"/>
          <w:bCs/>
          <w:color w:val="0E1011"/>
          <w:sz w:val="24"/>
          <w:szCs w:val="24"/>
        </w:rPr>
        <w:t xml:space="preserve">ealth </w:t>
      </w:r>
      <w:r w:rsidR="006B37F1" w:rsidRPr="00141E92">
        <w:rPr>
          <w:rFonts w:ascii="Book Antiqua" w:hAnsi="Book Antiqua"/>
          <w:bCs/>
          <w:color w:val="0E1011"/>
          <w:sz w:val="24"/>
          <w:szCs w:val="24"/>
        </w:rPr>
        <w:t>S</w:t>
      </w:r>
      <w:r w:rsidRPr="00141E92">
        <w:rPr>
          <w:rFonts w:ascii="Book Antiqua" w:hAnsi="Book Antiqua"/>
          <w:bCs/>
          <w:color w:val="0E1011"/>
          <w:sz w:val="24"/>
          <w:szCs w:val="24"/>
        </w:rPr>
        <w:t>cience</w:t>
      </w:r>
      <w:r w:rsidR="00581936" w:rsidRPr="00141E92">
        <w:rPr>
          <w:rFonts w:ascii="Book Antiqua" w:hAnsi="Book Antiqua"/>
          <w:bCs/>
          <w:color w:val="0E1011"/>
          <w:sz w:val="24"/>
          <w:szCs w:val="24"/>
        </w:rPr>
        <w:t>s</w:t>
      </w:r>
      <w:r w:rsidRPr="00141E92">
        <w:rPr>
          <w:rFonts w:ascii="Book Antiqua" w:hAnsi="Book Antiqua"/>
          <w:color w:val="0E1011"/>
          <w:sz w:val="24"/>
          <w:szCs w:val="24"/>
        </w:rPr>
        <w:t>,</w:t>
      </w:r>
      <w:r w:rsidRPr="00141E92">
        <w:rPr>
          <w:rFonts w:ascii="Book Antiqua" w:hAnsi="Book Antiqua"/>
          <w:color w:val="0E1011"/>
          <w:sz w:val="24"/>
          <w:szCs w:val="24"/>
          <w:shd w:val="clear" w:color="auto" w:fill="FFFFFF"/>
        </w:rPr>
        <w:t xml:space="preserve"> </w:t>
      </w:r>
      <w:r w:rsidRPr="00141E92">
        <w:rPr>
          <w:rFonts w:ascii="Book Antiqua" w:hAnsi="Book Antiqua" w:cs="TimesNewRomanPSMT"/>
          <w:sz w:val="24"/>
          <w:szCs w:val="24"/>
        </w:rPr>
        <w:t>Kaunas</w:t>
      </w:r>
      <w:r w:rsidR="00141E92">
        <w:rPr>
          <w:rFonts w:ascii="Book Antiqua" w:hAnsi="Book Antiqua" w:cs="TimesNewRomanPSMT"/>
          <w:sz w:val="24"/>
          <w:szCs w:val="24"/>
        </w:rPr>
        <w:t xml:space="preserve"> </w:t>
      </w:r>
      <w:r w:rsidR="00141E92" w:rsidRPr="00141E92">
        <w:rPr>
          <w:rFonts w:ascii="Book Antiqua" w:hAnsi="Book Antiqua" w:cs="TimesNewRomanPSMT"/>
          <w:sz w:val="24"/>
          <w:szCs w:val="24"/>
        </w:rPr>
        <w:t>50161</w:t>
      </w:r>
      <w:r w:rsidRPr="00141E92">
        <w:rPr>
          <w:rFonts w:ascii="Book Antiqua" w:hAnsi="Book Antiqua" w:cs="TimesNewRomanPSMT"/>
          <w:sz w:val="24"/>
          <w:szCs w:val="24"/>
        </w:rPr>
        <w:t>, Lithuania</w:t>
      </w:r>
    </w:p>
    <w:p w14:paraId="4F03BBF4" w14:textId="77777777" w:rsidR="00141E92" w:rsidRPr="00141E92" w:rsidRDefault="00141E92" w:rsidP="008530E2">
      <w:pPr>
        <w:snapToGrid w:val="0"/>
        <w:spacing w:line="360" w:lineRule="auto"/>
        <w:jc w:val="both"/>
        <w:rPr>
          <w:rFonts w:ascii="Book Antiqua" w:hAnsi="Book Antiqua"/>
          <w:sz w:val="24"/>
          <w:szCs w:val="24"/>
        </w:rPr>
      </w:pPr>
    </w:p>
    <w:p w14:paraId="51037A41" w14:textId="5E42583B" w:rsidR="005300D1" w:rsidRDefault="005300D1" w:rsidP="008530E2">
      <w:pPr>
        <w:snapToGrid w:val="0"/>
        <w:spacing w:line="360" w:lineRule="auto"/>
        <w:jc w:val="both"/>
        <w:rPr>
          <w:rFonts w:ascii="Book Antiqua" w:hAnsi="Book Antiqua" w:cs="TimesNewRomanPSMT"/>
          <w:sz w:val="24"/>
          <w:szCs w:val="24"/>
        </w:rPr>
      </w:pPr>
      <w:proofErr w:type="spellStart"/>
      <w:r w:rsidRPr="00141E92">
        <w:rPr>
          <w:rFonts w:ascii="Book Antiqua" w:hAnsi="Book Antiqua"/>
          <w:b/>
          <w:sz w:val="24"/>
          <w:szCs w:val="24"/>
        </w:rPr>
        <w:t>Antanas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Gulbinas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Zilvinas</w:t>
      </w:r>
      <w:proofErr w:type="spellEnd"/>
      <w:r w:rsidRPr="00141E92">
        <w:rPr>
          <w:rFonts w:ascii="Book Antiqua" w:hAnsi="Book Antiqua"/>
          <w:b/>
          <w:sz w:val="24"/>
          <w:szCs w:val="24"/>
        </w:rPr>
        <w:t xml:space="preserve"> </w:t>
      </w:r>
      <w:proofErr w:type="spellStart"/>
      <w:r w:rsidRPr="00141E92">
        <w:rPr>
          <w:rFonts w:ascii="Book Antiqua" w:hAnsi="Book Antiqua"/>
          <w:b/>
          <w:sz w:val="24"/>
          <w:szCs w:val="24"/>
        </w:rPr>
        <w:t>Dambrauskas</w:t>
      </w:r>
      <w:proofErr w:type="spellEnd"/>
      <w:r w:rsidRPr="00141E92">
        <w:rPr>
          <w:rFonts w:ascii="Book Antiqua" w:hAnsi="Book Antiqua"/>
          <w:b/>
          <w:sz w:val="24"/>
          <w:szCs w:val="24"/>
        </w:rPr>
        <w:t xml:space="preserve">, </w:t>
      </w:r>
      <w:r w:rsidRPr="00141E92">
        <w:rPr>
          <w:rFonts w:ascii="Book Antiqua" w:hAnsi="Book Antiqua"/>
          <w:sz w:val="24"/>
          <w:szCs w:val="24"/>
        </w:rPr>
        <w:t xml:space="preserve">Department of General Surgery, </w:t>
      </w:r>
      <w:r w:rsidRPr="00141E92">
        <w:rPr>
          <w:rFonts w:ascii="Book Antiqua" w:hAnsi="Book Antiqua"/>
          <w:bCs/>
          <w:color w:val="0E1011"/>
          <w:sz w:val="24"/>
          <w:szCs w:val="24"/>
        </w:rPr>
        <w:t xml:space="preserve">Lithuanian </w:t>
      </w:r>
      <w:r w:rsidR="0012635A" w:rsidRPr="00141E92">
        <w:rPr>
          <w:rFonts w:ascii="Book Antiqua" w:hAnsi="Book Antiqua"/>
          <w:bCs/>
          <w:color w:val="0E1011"/>
          <w:sz w:val="24"/>
          <w:szCs w:val="24"/>
        </w:rPr>
        <w:t>U</w:t>
      </w:r>
      <w:r w:rsidRPr="00141E92">
        <w:rPr>
          <w:rFonts w:ascii="Book Antiqua" w:hAnsi="Book Antiqua"/>
          <w:bCs/>
          <w:color w:val="0E1011"/>
          <w:sz w:val="24"/>
          <w:szCs w:val="24"/>
        </w:rPr>
        <w:t xml:space="preserve">niversity of </w:t>
      </w:r>
      <w:r w:rsidR="0012635A" w:rsidRPr="00141E92">
        <w:rPr>
          <w:rFonts w:ascii="Book Antiqua" w:hAnsi="Book Antiqua"/>
          <w:bCs/>
          <w:color w:val="0E1011"/>
          <w:sz w:val="24"/>
          <w:szCs w:val="24"/>
        </w:rPr>
        <w:t>H</w:t>
      </w:r>
      <w:r w:rsidRPr="00141E92">
        <w:rPr>
          <w:rFonts w:ascii="Book Antiqua" w:hAnsi="Book Antiqua"/>
          <w:bCs/>
          <w:color w:val="0E1011"/>
          <w:sz w:val="24"/>
          <w:szCs w:val="24"/>
        </w:rPr>
        <w:t xml:space="preserve">ealth </w:t>
      </w:r>
      <w:r w:rsidR="0012635A" w:rsidRPr="00141E92">
        <w:rPr>
          <w:rFonts w:ascii="Book Antiqua" w:hAnsi="Book Antiqua"/>
          <w:bCs/>
          <w:color w:val="0E1011"/>
          <w:sz w:val="24"/>
          <w:szCs w:val="24"/>
        </w:rPr>
        <w:t>S</w:t>
      </w:r>
      <w:r w:rsidRPr="00141E92">
        <w:rPr>
          <w:rFonts w:ascii="Book Antiqua" w:hAnsi="Book Antiqua"/>
          <w:bCs/>
          <w:color w:val="0E1011"/>
          <w:sz w:val="24"/>
          <w:szCs w:val="24"/>
        </w:rPr>
        <w:t>ciences</w:t>
      </w:r>
      <w:r w:rsidRPr="00141E92">
        <w:rPr>
          <w:rFonts w:ascii="Book Antiqua" w:hAnsi="Book Antiqua"/>
          <w:color w:val="0E1011"/>
          <w:sz w:val="24"/>
          <w:szCs w:val="24"/>
        </w:rPr>
        <w:t>,</w:t>
      </w:r>
      <w:r w:rsidRPr="00141E92">
        <w:rPr>
          <w:rFonts w:ascii="Book Antiqua" w:hAnsi="Book Antiqua"/>
          <w:color w:val="0E1011"/>
          <w:sz w:val="24"/>
          <w:szCs w:val="24"/>
          <w:shd w:val="clear" w:color="auto" w:fill="FFFFFF"/>
        </w:rPr>
        <w:t xml:space="preserve"> </w:t>
      </w:r>
      <w:r w:rsidR="008763A6" w:rsidRPr="00141E92">
        <w:rPr>
          <w:rFonts w:ascii="Book Antiqua" w:hAnsi="Book Antiqua" w:cs="TimesNewRomanPSMT"/>
          <w:sz w:val="24"/>
          <w:szCs w:val="24"/>
        </w:rPr>
        <w:t>Kaunas</w:t>
      </w:r>
      <w:r w:rsidR="00141E92">
        <w:rPr>
          <w:rFonts w:ascii="Book Antiqua" w:hAnsi="Book Antiqua" w:cs="TimesNewRomanPSMT"/>
          <w:sz w:val="24"/>
          <w:szCs w:val="24"/>
        </w:rPr>
        <w:t xml:space="preserve"> </w:t>
      </w:r>
      <w:r w:rsidR="00141E92" w:rsidRPr="00141E92">
        <w:rPr>
          <w:rFonts w:ascii="Book Antiqua" w:hAnsi="Book Antiqua" w:cs="TimesNewRomanPSMT"/>
          <w:sz w:val="24"/>
          <w:szCs w:val="24"/>
        </w:rPr>
        <w:t>50161</w:t>
      </w:r>
      <w:r w:rsidR="008763A6" w:rsidRPr="00141E92">
        <w:rPr>
          <w:rFonts w:ascii="Book Antiqua" w:hAnsi="Book Antiqua" w:cs="TimesNewRomanPSMT"/>
          <w:sz w:val="24"/>
          <w:szCs w:val="24"/>
        </w:rPr>
        <w:t>, Lithuania</w:t>
      </w:r>
    </w:p>
    <w:p w14:paraId="086B63F8" w14:textId="77777777" w:rsidR="003F50D4" w:rsidRPr="00141E92" w:rsidRDefault="003F50D4" w:rsidP="008530E2">
      <w:pPr>
        <w:snapToGrid w:val="0"/>
        <w:spacing w:line="360" w:lineRule="auto"/>
        <w:jc w:val="both"/>
        <w:rPr>
          <w:rFonts w:ascii="Book Antiqua" w:hAnsi="Book Antiqua"/>
          <w:b/>
          <w:sz w:val="24"/>
          <w:szCs w:val="24"/>
        </w:rPr>
      </w:pPr>
    </w:p>
    <w:p w14:paraId="5B34EAD7" w14:textId="593885BD" w:rsidR="00B4233C" w:rsidRPr="00141E92" w:rsidRDefault="003D258B" w:rsidP="008530E2">
      <w:pPr>
        <w:snapToGrid w:val="0"/>
        <w:spacing w:line="360" w:lineRule="auto"/>
        <w:jc w:val="both"/>
        <w:rPr>
          <w:rFonts w:ascii="Book Antiqua" w:hAnsi="Book Antiqua"/>
          <w:color w:val="000000" w:themeColor="text1"/>
          <w:sz w:val="24"/>
          <w:szCs w:val="24"/>
        </w:rPr>
      </w:pPr>
      <w:r w:rsidRPr="00141E92">
        <w:rPr>
          <w:rFonts w:ascii="Book Antiqua" w:hAnsi="Book Antiqua"/>
          <w:b/>
          <w:color w:val="000000" w:themeColor="text1"/>
          <w:sz w:val="24"/>
          <w:szCs w:val="24"/>
          <w:shd w:val="clear" w:color="auto" w:fill="FFFFFF"/>
        </w:rPr>
        <w:t>ORCID number:</w:t>
      </w:r>
      <w:r w:rsidRPr="00141E92">
        <w:rPr>
          <w:rFonts w:ascii="Book Antiqua" w:hAnsi="Book Antiqua"/>
          <w:b/>
          <w:color w:val="000000" w:themeColor="text1"/>
          <w:sz w:val="24"/>
          <w:szCs w:val="24"/>
        </w:rPr>
        <w:t xml:space="preserve"> </w:t>
      </w:r>
      <w:proofErr w:type="spellStart"/>
      <w:r w:rsidR="008E3274" w:rsidRPr="00141E92">
        <w:rPr>
          <w:rFonts w:ascii="Book Antiqua" w:hAnsi="Book Antiqua"/>
          <w:color w:val="000000" w:themeColor="text1"/>
          <w:sz w:val="24"/>
          <w:szCs w:val="24"/>
        </w:rPr>
        <w:t>Ausra</w:t>
      </w:r>
      <w:proofErr w:type="spellEnd"/>
      <w:r w:rsidR="008E3274" w:rsidRPr="00141E92">
        <w:rPr>
          <w:rFonts w:ascii="Book Antiqua" w:hAnsi="Book Antiqua"/>
          <w:color w:val="000000" w:themeColor="text1"/>
          <w:sz w:val="24"/>
          <w:szCs w:val="24"/>
        </w:rPr>
        <w:t xml:space="preserve"> </w:t>
      </w:r>
      <w:proofErr w:type="spellStart"/>
      <w:r w:rsidR="008E3274" w:rsidRPr="00141E92">
        <w:rPr>
          <w:rFonts w:ascii="Book Antiqua" w:hAnsi="Book Antiqua"/>
          <w:color w:val="000000" w:themeColor="text1"/>
          <w:sz w:val="24"/>
          <w:szCs w:val="24"/>
        </w:rPr>
        <w:t>Lukosiute-Urboniene</w:t>
      </w:r>
      <w:proofErr w:type="spellEnd"/>
      <w:r w:rsidR="008E3274" w:rsidRPr="00141E92">
        <w:rPr>
          <w:rFonts w:ascii="Book Antiqua" w:hAnsi="Book Antiqua"/>
          <w:color w:val="000000" w:themeColor="text1"/>
          <w:sz w:val="24"/>
          <w:szCs w:val="24"/>
        </w:rPr>
        <w:t xml:space="preserve"> (</w:t>
      </w:r>
      <w:r w:rsidR="008E3274" w:rsidRPr="00141E92">
        <w:rPr>
          <w:rFonts w:ascii="Book Antiqua" w:hAnsi="Book Antiqua" w:cs="Arial"/>
          <w:color w:val="000000" w:themeColor="text1"/>
          <w:sz w:val="24"/>
          <w:szCs w:val="24"/>
        </w:rPr>
        <w:t>0000-0002-6624-0686</w:t>
      </w:r>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Aldona</w:t>
      </w:r>
      <w:proofErr w:type="spellEnd"/>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Jasukaitiene</w:t>
      </w:r>
      <w:proofErr w:type="spellEnd"/>
      <w:r w:rsidR="00B4233C" w:rsidRPr="00141E92">
        <w:rPr>
          <w:rFonts w:ascii="Book Antiqua" w:hAnsi="Book Antiqua"/>
          <w:color w:val="000000" w:themeColor="text1"/>
          <w:sz w:val="24"/>
          <w:szCs w:val="24"/>
        </w:rPr>
        <w:t xml:space="preserve"> (0000-0002-4606-1963);</w:t>
      </w:r>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Giedre</w:t>
      </w:r>
      <w:proofErr w:type="spellEnd"/>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Silkuniene</w:t>
      </w:r>
      <w:proofErr w:type="spellEnd"/>
      <w:r w:rsidR="002F537F" w:rsidRPr="00141E92">
        <w:rPr>
          <w:rFonts w:ascii="Book Antiqua" w:hAnsi="Book Antiqua"/>
          <w:color w:val="000000" w:themeColor="text1"/>
          <w:sz w:val="24"/>
          <w:szCs w:val="24"/>
        </w:rPr>
        <w:t xml:space="preserve"> (0000-0001-8436-9718)</w:t>
      </w:r>
      <w:r w:rsidR="00B4233C" w:rsidRPr="00141E92">
        <w:rPr>
          <w:rFonts w:ascii="Book Antiqua" w:hAnsi="Book Antiqua"/>
          <w:color w:val="000000" w:themeColor="text1"/>
          <w:sz w:val="24"/>
          <w:szCs w:val="24"/>
        </w:rPr>
        <w:t>;</w:t>
      </w:r>
      <w:r w:rsidRPr="00141E92">
        <w:rPr>
          <w:rFonts w:ascii="Book Antiqua" w:hAnsi="Book Antiqua"/>
          <w:color w:val="000000" w:themeColor="text1"/>
          <w:sz w:val="24"/>
          <w:szCs w:val="24"/>
        </w:rPr>
        <w:t xml:space="preserve"> </w:t>
      </w:r>
      <w:proofErr w:type="spellStart"/>
      <w:r w:rsidR="00C217B2" w:rsidRPr="00141E92">
        <w:rPr>
          <w:rFonts w:ascii="Book Antiqua" w:hAnsi="Book Antiqua"/>
          <w:color w:val="000000" w:themeColor="text1"/>
          <w:sz w:val="24"/>
          <w:szCs w:val="24"/>
        </w:rPr>
        <w:t>Vidmantas</w:t>
      </w:r>
      <w:proofErr w:type="spellEnd"/>
      <w:r w:rsidR="00C217B2" w:rsidRPr="00141E92">
        <w:rPr>
          <w:rFonts w:ascii="Book Antiqua" w:hAnsi="Book Antiqua"/>
          <w:color w:val="000000" w:themeColor="text1"/>
          <w:sz w:val="24"/>
          <w:szCs w:val="24"/>
        </w:rPr>
        <w:t xml:space="preserve"> </w:t>
      </w:r>
      <w:proofErr w:type="spellStart"/>
      <w:r w:rsidR="00C217B2" w:rsidRPr="00141E92">
        <w:rPr>
          <w:rFonts w:ascii="Book Antiqua" w:hAnsi="Book Antiqua"/>
          <w:color w:val="000000" w:themeColor="text1"/>
          <w:sz w:val="24"/>
          <w:szCs w:val="24"/>
        </w:rPr>
        <w:t>Barauskas</w:t>
      </w:r>
      <w:proofErr w:type="spellEnd"/>
      <w:r w:rsidR="00C217B2" w:rsidRPr="00141E92">
        <w:rPr>
          <w:rFonts w:ascii="Book Antiqua" w:hAnsi="Book Antiqua"/>
          <w:color w:val="000000" w:themeColor="text1"/>
          <w:sz w:val="24"/>
          <w:szCs w:val="24"/>
        </w:rPr>
        <w:t xml:space="preserve"> (</w:t>
      </w:r>
      <w:hyperlink r:id="rId9" w:history="1">
        <w:r w:rsidR="00C217B2" w:rsidRPr="00141E92">
          <w:rPr>
            <w:rStyle w:val="af"/>
            <w:rFonts w:ascii="Book Antiqua" w:hAnsi="Book Antiqua" w:cs="Arial"/>
            <w:color w:val="000000" w:themeColor="text1"/>
            <w:sz w:val="24"/>
            <w:szCs w:val="24"/>
            <w:u w:val="none"/>
          </w:rPr>
          <w:t>0000-0002-7332-5995</w:t>
        </w:r>
      </w:hyperlink>
      <w:r w:rsidR="00B4233C" w:rsidRPr="00141E92">
        <w:rPr>
          <w:rFonts w:ascii="Book Antiqua" w:hAnsi="Book Antiqua"/>
          <w:color w:val="000000" w:themeColor="text1"/>
          <w:sz w:val="24"/>
          <w:szCs w:val="24"/>
        </w:rPr>
        <w:t>);</w:t>
      </w:r>
      <w:r w:rsidR="00AD5BD3"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Antanas</w:t>
      </w:r>
      <w:proofErr w:type="spellEnd"/>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Gulbinas</w:t>
      </w:r>
      <w:proofErr w:type="spellEnd"/>
      <w:r w:rsidR="00B4233C" w:rsidRPr="00141E92">
        <w:rPr>
          <w:rFonts w:ascii="Book Antiqua" w:hAnsi="Book Antiqua"/>
          <w:color w:val="000000" w:themeColor="text1"/>
          <w:sz w:val="24"/>
          <w:szCs w:val="24"/>
        </w:rPr>
        <w:t xml:space="preserve"> (0000-0002-6683-1339);</w:t>
      </w:r>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Zilvinas</w:t>
      </w:r>
      <w:proofErr w:type="spellEnd"/>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Dambrauskas</w:t>
      </w:r>
      <w:proofErr w:type="spellEnd"/>
      <w:r w:rsidR="00B4233C" w:rsidRPr="00141E92">
        <w:rPr>
          <w:rFonts w:ascii="Book Antiqua" w:hAnsi="Book Antiqua"/>
          <w:color w:val="000000" w:themeColor="text1"/>
          <w:sz w:val="24"/>
          <w:szCs w:val="24"/>
        </w:rPr>
        <w:t xml:space="preserve"> (0000-0003-2173-1294).</w:t>
      </w:r>
    </w:p>
    <w:p w14:paraId="166E4C2B" w14:textId="1A472334" w:rsidR="003D258B" w:rsidRPr="00141E92" w:rsidRDefault="003D258B" w:rsidP="008530E2">
      <w:pPr>
        <w:snapToGrid w:val="0"/>
        <w:spacing w:line="360" w:lineRule="auto"/>
        <w:jc w:val="both"/>
        <w:rPr>
          <w:rFonts w:ascii="Book Antiqua" w:hAnsi="Book Antiqua"/>
          <w:sz w:val="24"/>
          <w:szCs w:val="24"/>
        </w:rPr>
      </w:pPr>
    </w:p>
    <w:p w14:paraId="7F6384B5" w14:textId="768EFE7E" w:rsidR="005300D1" w:rsidRDefault="003D258B" w:rsidP="008530E2">
      <w:pPr>
        <w:snapToGrid w:val="0"/>
        <w:spacing w:line="360" w:lineRule="auto"/>
        <w:jc w:val="both"/>
        <w:rPr>
          <w:rFonts w:ascii="Book Antiqua" w:hAnsi="Book Antiqua" w:cs="TimesNewRomanPSMT"/>
          <w:sz w:val="24"/>
          <w:szCs w:val="24"/>
        </w:rPr>
      </w:pPr>
      <w:r w:rsidRPr="00141E92">
        <w:rPr>
          <w:rFonts w:ascii="Book Antiqua" w:hAnsi="Book Antiqua"/>
          <w:b/>
          <w:sz w:val="24"/>
          <w:szCs w:val="24"/>
        </w:rPr>
        <w:t xml:space="preserve">Author contributions: </w:t>
      </w:r>
      <w:proofErr w:type="spellStart"/>
      <w:r w:rsidRPr="00141E92">
        <w:rPr>
          <w:rFonts w:ascii="Book Antiqua" w:hAnsi="Book Antiqua"/>
          <w:sz w:val="24"/>
          <w:szCs w:val="24"/>
        </w:rPr>
        <w:t>Lukosiute-Urbonien</w:t>
      </w:r>
      <w:r w:rsidR="003F50D4">
        <w:rPr>
          <w:rFonts w:ascii="Book Antiqua" w:hAnsi="Book Antiqua"/>
          <w:sz w:val="24"/>
          <w:szCs w:val="24"/>
        </w:rPr>
        <w:t>e</w:t>
      </w:r>
      <w:proofErr w:type="spellEnd"/>
      <w:r w:rsidR="003F50D4">
        <w:rPr>
          <w:rFonts w:ascii="Book Antiqua" w:hAnsi="Book Antiqua"/>
          <w:sz w:val="24"/>
          <w:szCs w:val="24"/>
        </w:rPr>
        <w:t xml:space="preserve"> A carried out the molecular reverse transcription </w:t>
      </w:r>
      <w:r w:rsidRPr="00141E92">
        <w:rPr>
          <w:rFonts w:ascii="Book Antiqua" w:hAnsi="Book Antiqua"/>
          <w:sz w:val="24"/>
          <w:szCs w:val="24"/>
        </w:rPr>
        <w:t xml:space="preserve">PCR and </w:t>
      </w:r>
      <w:proofErr w:type="spellStart"/>
      <w:r w:rsidRPr="00141E92">
        <w:rPr>
          <w:rFonts w:ascii="Book Antiqua" w:hAnsi="Book Antiqua"/>
          <w:sz w:val="24"/>
          <w:szCs w:val="24"/>
        </w:rPr>
        <w:t>immunohistological</w:t>
      </w:r>
      <w:proofErr w:type="spellEnd"/>
      <w:r w:rsidRPr="00141E92">
        <w:rPr>
          <w:rFonts w:ascii="Book Antiqua" w:hAnsi="Book Antiqua"/>
          <w:sz w:val="24"/>
          <w:szCs w:val="24"/>
        </w:rPr>
        <w:t xml:space="preserve"> studies, analyzed the data and drafted the manuscript; </w:t>
      </w:r>
      <w:proofErr w:type="spellStart"/>
      <w:r w:rsidRPr="00141E92">
        <w:rPr>
          <w:rFonts w:ascii="Book Antiqua" w:hAnsi="Book Antiqua"/>
          <w:sz w:val="24"/>
          <w:szCs w:val="24"/>
        </w:rPr>
        <w:t>Jasukaitiene</w:t>
      </w:r>
      <w:proofErr w:type="spellEnd"/>
      <w:r w:rsidRPr="00141E92">
        <w:rPr>
          <w:rFonts w:ascii="Book Antiqua" w:hAnsi="Book Antiqua"/>
          <w:sz w:val="24"/>
          <w:szCs w:val="24"/>
        </w:rPr>
        <w:t xml:space="preserve"> A </w:t>
      </w:r>
      <w:r w:rsidRPr="00141E92">
        <w:rPr>
          <w:rFonts w:ascii="Book Antiqua" w:hAnsi="Book Antiqua" w:cs="TimesNewRomanPSMT"/>
          <w:sz w:val="24"/>
          <w:szCs w:val="24"/>
        </w:rPr>
        <w:t xml:space="preserve">maintained cell cultures and did the transfection </w:t>
      </w:r>
      <w:r w:rsidRPr="00141E92">
        <w:rPr>
          <w:rFonts w:ascii="Book Antiqua" w:hAnsi="Book Antiqua" w:cs="TimesNewRomanPSMT"/>
          <w:sz w:val="24"/>
          <w:szCs w:val="24"/>
        </w:rPr>
        <w:lastRenderedPageBreak/>
        <w:t>experiments</w:t>
      </w:r>
      <w:r w:rsidRPr="00141E92">
        <w:rPr>
          <w:rFonts w:ascii="Book Antiqua" w:hAnsi="Book Antiqua"/>
          <w:sz w:val="24"/>
          <w:szCs w:val="24"/>
        </w:rPr>
        <w:t xml:space="preserve">; </w:t>
      </w:r>
      <w:proofErr w:type="spellStart"/>
      <w:r w:rsidRPr="00141E92">
        <w:rPr>
          <w:rFonts w:ascii="Book Antiqua" w:hAnsi="Book Antiqua"/>
          <w:sz w:val="24"/>
          <w:szCs w:val="24"/>
        </w:rPr>
        <w:t>Silkuniene</w:t>
      </w:r>
      <w:proofErr w:type="spellEnd"/>
      <w:r w:rsidRPr="00141E92">
        <w:rPr>
          <w:rFonts w:ascii="Book Antiqua" w:hAnsi="Book Antiqua"/>
          <w:sz w:val="24"/>
          <w:szCs w:val="24"/>
        </w:rPr>
        <w:t xml:space="preserve"> G </w:t>
      </w:r>
      <w:r w:rsidRPr="00141E92">
        <w:rPr>
          <w:rFonts w:ascii="Book Antiqua" w:hAnsi="Book Antiqua" w:cs="TimesNewRomanPSMT"/>
          <w:sz w:val="24"/>
          <w:szCs w:val="24"/>
        </w:rPr>
        <w:t>performed the western blot analysis</w:t>
      </w:r>
      <w:r w:rsidRPr="00141E92">
        <w:rPr>
          <w:rFonts w:ascii="Book Antiqua" w:hAnsi="Book Antiqua"/>
          <w:sz w:val="24"/>
          <w:szCs w:val="24"/>
        </w:rPr>
        <w:t xml:space="preserve">, </w:t>
      </w:r>
      <w:proofErr w:type="spellStart"/>
      <w:r w:rsidRPr="00141E92">
        <w:rPr>
          <w:rFonts w:ascii="Book Antiqua" w:hAnsi="Book Antiqua"/>
          <w:sz w:val="24"/>
          <w:szCs w:val="24"/>
        </w:rPr>
        <w:t>Barauskas</w:t>
      </w:r>
      <w:proofErr w:type="spellEnd"/>
      <w:r w:rsidRPr="00141E92">
        <w:rPr>
          <w:rFonts w:ascii="Book Antiqua" w:hAnsi="Book Antiqua"/>
          <w:sz w:val="24"/>
          <w:szCs w:val="24"/>
        </w:rPr>
        <w:t xml:space="preserve"> V </w:t>
      </w:r>
      <w:r w:rsidRPr="00141E92">
        <w:rPr>
          <w:rFonts w:ascii="Book Antiqua" w:hAnsi="Book Antiqua" w:cs="TimesNewRomanPSMT"/>
          <w:sz w:val="24"/>
          <w:szCs w:val="24"/>
        </w:rPr>
        <w:t>helped to draft the manuscript</w:t>
      </w:r>
      <w:r w:rsidRPr="00141E92">
        <w:rPr>
          <w:rFonts w:ascii="Book Antiqua" w:hAnsi="Book Antiqua"/>
          <w:sz w:val="24"/>
          <w:szCs w:val="24"/>
        </w:rPr>
        <w:t xml:space="preserve">; </w:t>
      </w:r>
      <w:proofErr w:type="spellStart"/>
      <w:r w:rsidRPr="00141E92">
        <w:rPr>
          <w:rFonts w:ascii="Book Antiqua" w:hAnsi="Book Antiqua"/>
          <w:sz w:val="24"/>
          <w:szCs w:val="24"/>
        </w:rPr>
        <w:t>Gulbinas</w:t>
      </w:r>
      <w:proofErr w:type="spellEnd"/>
      <w:r w:rsidRPr="00141E92">
        <w:rPr>
          <w:rFonts w:ascii="Book Antiqua" w:hAnsi="Book Antiqua"/>
          <w:sz w:val="24"/>
          <w:szCs w:val="24"/>
        </w:rPr>
        <w:t xml:space="preserve"> A and </w:t>
      </w:r>
      <w:proofErr w:type="spellStart"/>
      <w:r w:rsidRPr="00141E92">
        <w:rPr>
          <w:rFonts w:ascii="Book Antiqua" w:hAnsi="Book Antiqua" w:cs="TimesNewRomanPSMT"/>
          <w:sz w:val="24"/>
          <w:szCs w:val="24"/>
        </w:rPr>
        <w:t>Dambrauskas</w:t>
      </w:r>
      <w:proofErr w:type="spellEnd"/>
      <w:r w:rsidRPr="00141E92">
        <w:rPr>
          <w:rFonts w:ascii="Book Antiqua" w:hAnsi="Book Antiqua" w:cs="TimesNewRomanPSMT"/>
          <w:sz w:val="24"/>
          <w:szCs w:val="24"/>
        </w:rPr>
        <w:t xml:space="preserve"> Z designed and coordinate the study; All authors read and</w:t>
      </w:r>
      <w:r w:rsidR="003F50D4">
        <w:rPr>
          <w:rFonts w:ascii="Book Antiqua" w:hAnsi="Book Antiqua" w:cs="TimesNewRomanPSMT"/>
          <w:sz w:val="24"/>
          <w:szCs w:val="24"/>
        </w:rPr>
        <w:t xml:space="preserve"> approved the final manuscript.</w:t>
      </w:r>
    </w:p>
    <w:p w14:paraId="5C67009A" w14:textId="77777777" w:rsidR="003F50D4" w:rsidRPr="00141E92" w:rsidRDefault="003F50D4" w:rsidP="008530E2">
      <w:pPr>
        <w:snapToGrid w:val="0"/>
        <w:spacing w:line="360" w:lineRule="auto"/>
        <w:jc w:val="both"/>
        <w:rPr>
          <w:rFonts w:ascii="Book Antiqua" w:hAnsi="Book Antiqua" w:cs="TimesNewRomanPSMT"/>
          <w:sz w:val="24"/>
          <w:szCs w:val="24"/>
        </w:rPr>
      </w:pPr>
    </w:p>
    <w:p w14:paraId="5B6E0F4B" w14:textId="30B09244" w:rsidR="007E4A65" w:rsidRPr="00141E92" w:rsidRDefault="007E4A65" w:rsidP="008530E2">
      <w:pPr>
        <w:pStyle w:val="a3"/>
        <w:snapToGrid w:val="0"/>
        <w:spacing w:before="0" w:beforeAutospacing="0" w:after="0" w:afterAutospacing="0" w:line="360" w:lineRule="auto"/>
        <w:jc w:val="both"/>
        <w:rPr>
          <w:rFonts w:ascii="Book Antiqua" w:eastAsia="Times New Roman" w:hAnsi="Book Antiqua" w:cs="Times New Roman"/>
          <w:color w:val="auto"/>
          <w:sz w:val="24"/>
          <w:szCs w:val="24"/>
        </w:rPr>
      </w:pPr>
      <w:r w:rsidRPr="00141E92">
        <w:rPr>
          <w:rFonts w:ascii="Book Antiqua" w:hAnsi="Book Antiqua"/>
          <w:b/>
          <w:sz w:val="24"/>
          <w:szCs w:val="24"/>
        </w:rPr>
        <w:t>Institutional review board statement:</w:t>
      </w:r>
      <w:r w:rsidRPr="00141E92">
        <w:rPr>
          <w:rFonts w:ascii="Book Antiqua" w:hAnsi="Book Antiqua"/>
          <w:sz w:val="24"/>
          <w:szCs w:val="24"/>
        </w:rPr>
        <w:t xml:space="preserve"> </w:t>
      </w:r>
      <w:r w:rsidRPr="00141E92">
        <w:rPr>
          <w:rFonts w:ascii="Book Antiqua" w:hAnsi="Book Antiqua" w:cs="TimesNewRomanPSMT"/>
          <w:sz w:val="24"/>
          <w:szCs w:val="24"/>
        </w:rPr>
        <w:t>Ethical approval was issued by the Ethics Committee of the Lithuanian University of Health S</w:t>
      </w:r>
      <w:r w:rsidR="003F50D4">
        <w:rPr>
          <w:rFonts w:ascii="Book Antiqua" w:hAnsi="Book Antiqua" w:cs="TimesNewRomanPSMT"/>
          <w:sz w:val="24"/>
          <w:szCs w:val="24"/>
        </w:rPr>
        <w:t>ciences, No</w:t>
      </w:r>
      <w:r w:rsidR="00F41FBC" w:rsidRPr="00141E92">
        <w:rPr>
          <w:rFonts w:ascii="Book Antiqua" w:hAnsi="Book Antiqua" w:cs="TimesNewRomanPSMT"/>
          <w:sz w:val="24"/>
          <w:szCs w:val="24"/>
        </w:rPr>
        <w:t>. BE-2-10</w:t>
      </w:r>
      <w:r w:rsidRPr="00141E92">
        <w:rPr>
          <w:rFonts w:ascii="Book Antiqua" w:hAnsi="Book Antiqua" w:cs="TimesNewRomanPSMT"/>
          <w:sz w:val="24"/>
          <w:szCs w:val="24"/>
        </w:rPr>
        <w:t xml:space="preserve">. </w:t>
      </w:r>
      <w:r w:rsidR="002B2741" w:rsidRPr="00141E92">
        <w:rPr>
          <w:rFonts w:ascii="Book Antiqua" w:eastAsia="Times New Roman" w:hAnsi="Book Antiqua" w:cs="Times New Roman"/>
          <w:color w:val="111111"/>
          <w:sz w:val="24"/>
          <w:szCs w:val="24"/>
        </w:rPr>
        <w:t xml:space="preserve">Consent for the use of surgical tissue specimens for the research purposes was obtained from all the patients or their representatives. </w:t>
      </w:r>
    </w:p>
    <w:p w14:paraId="66C60CDA" w14:textId="77777777" w:rsidR="003F50D4" w:rsidRDefault="003F50D4" w:rsidP="003F50D4">
      <w:pPr>
        <w:snapToGrid w:val="0"/>
        <w:spacing w:line="360" w:lineRule="auto"/>
        <w:jc w:val="both"/>
        <w:outlineLvl w:val="0"/>
        <w:rPr>
          <w:rFonts w:ascii="Book Antiqua" w:hAnsi="Book Antiqua"/>
          <w:b/>
          <w:sz w:val="24"/>
          <w:szCs w:val="24"/>
        </w:rPr>
      </w:pPr>
    </w:p>
    <w:p w14:paraId="12BDCC83" w14:textId="56C13EEB" w:rsidR="007E4A65" w:rsidRPr="00141E92" w:rsidRDefault="007E4A65" w:rsidP="003F50D4">
      <w:pPr>
        <w:snapToGrid w:val="0"/>
        <w:spacing w:line="360" w:lineRule="auto"/>
        <w:jc w:val="both"/>
        <w:outlineLvl w:val="0"/>
        <w:rPr>
          <w:rFonts w:ascii="Book Antiqua" w:hAnsi="Book Antiqua"/>
          <w:sz w:val="24"/>
          <w:szCs w:val="24"/>
          <w:lang w:eastAsia="zh-CN"/>
        </w:rPr>
      </w:pPr>
      <w:r w:rsidRPr="00141E92">
        <w:rPr>
          <w:rFonts w:ascii="Book Antiqua" w:hAnsi="Book Antiqua"/>
          <w:b/>
          <w:sz w:val="24"/>
          <w:szCs w:val="24"/>
        </w:rPr>
        <w:t xml:space="preserve">Conflict-of-interest statement: </w:t>
      </w:r>
      <w:r w:rsidR="003F50D4">
        <w:rPr>
          <w:rFonts w:ascii="Book Antiqua" w:hAnsi="Book Antiqua" w:cs="Times New Roman"/>
          <w:sz w:val="24"/>
          <w:szCs w:val="24"/>
        </w:rPr>
        <w:t>A</w:t>
      </w:r>
      <w:r w:rsidR="00F41FBC" w:rsidRPr="00141E92">
        <w:rPr>
          <w:rFonts w:ascii="Book Antiqua" w:hAnsi="Book Antiqua" w:cs="Times New Roman"/>
          <w:sz w:val="24"/>
          <w:szCs w:val="24"/>
        </w:rPr>
        <w:t>ll authors have nothing to disclose</w:t>
      </w:r>
      <w:r w:rsidR="00F61D82">
        <w:rPr>
          <w:rFonts w:ascii="Book Antiqua" w:hAnsi="Book Antiqua" w:cs="Times New Roman" w:hint="eastAsia"/>
          <w:sz w:val="24"/>
          <w:szCs w:val="24"/>
          <w:lang w:eastAsia="zh-CN"/>
        </w:rPr>
        <w:t>.</w:t>
      </w:r>
    </w:p>
    <w:p w14:paraId="56E7E262" w14:textId="77777777" w:rsidR="003F50D4" w:rsidRDefault="003F50D4" w:rsidP="003F50D4">
      <w:pPr>
        <w:snapToGrid w:val="0"/>
        <w:spacing w:line="360" w:lineRule="auto"/>
        <w:jc w:val="both"/>
        <w:outlineLvl w:val="0"/>
        <w:rPr>
          <w:rFonts w:ascii="Book Antiqua" w:hAnsi="Book Antiqua"/>
          <w:b/>
          <w:sz w:val="24"/>
          <w:szCs w:val="24"/>
        </w:rPr>
      </w:pPr>
    </w:p>
    <w:p w14:paraId="271761C1" w14:textId="4E97AAEA" w:rsidR="00F41FBC" w:rsidRPr="00141E92" w:rsidRDefault="007E4A65" w:rsidP="003F50D4">
      <w:pPr>
        <w:snapToGrid w:val="0"/>
        <w:spacing w:line="360" w:lineRule="auto"/>
        <w:jc w:val="both"/>
        <w:outlineLvl w:val="0"/>
        <w:rPr>
          <w:rFonts w:ascii="Book Antiqua" w:hAnsi="Book Antiqua"/>
          <w:sz w:val="24"/>
          <w:szCs w:val="24"/>
          <w:lang w:eastAsia="zh-CN"/>
        </w:rPr>
      </w:pPr>
      <w:r w:rsidRPr="00141E92">
        <w:rPr>
          <w:rFonts w:ascii="Book Antiqua" w:hAnsi="Book Antiqua"/>
          <w:b/>
          <w:sz w:val="24"/>
          <w:szCs w:val="24"/>
        </w:rPr>
        <w:t xml:space="preserve">Data sharing statement: </w:t>
      </w:r>
      <w:r w:rsidR="003F50D4">
        <w:rPr>
          <w:rFonts w:ascii="Book Antiqua" w:hAnsi="Book Antiqua"/>
          <w:sz w:val="24"/>
          <w:szCs w:val="24"/>
        </w:rPr>
        <w:t>N</w:t>
      </w:r>
      <w:r w:rsidR="00650CD6" w:rsidRPr="00141E92">
        <w:rPr>
          <w:rFonts w:ascii="Book Antiqua" w:hAnsi="Book Antiqua"/>
          <w:sz w:val="24"/>
          <w:szCs w:val="24"/>
        </w:rPr>
        <w:t>o additional data are availabl</w:t>
      </w:r>
      <w:r w:rsidR="00F41FBC" w:rsidRPr="00141E92">
        <w:rPr>
          <w:rFonts w:ascii="Book Antiqua" w:hAnsi="Book Antiqua"/>
          <w:sz w:val="24"/>
          <w:szCs w:val="24"/>
        </w:rPr>
        <w:t>e</w:t>
      </w:r>
      <w:r w:rsidR="00F61D82">
        <w:rPr>
          <w:rFonts w:ascii="Book Antiqua" w:hAnsi="Book Antiqua" w:hint="eastAsia"/>
          <w:sz w:val="24"/>
          <w:szCs w:val="24"/>
          <w:lang w:eastAsia="zh-CN"/>
        </w:rPr>
        <w:t>.</w:t>
      </w:r>
    </w:p>
    <w:p w14:paraId="18E4A59E" w14:textId="77777777" w:rsidR="003F50D4" w:rsidRDefault="003F50D4" w:rsidP="003F50D4">
      <w:pPr>
        <w:pStyle w:val="a3"/>
        <w:snapToGrid w:val="0"/>
        <w:spacing w:before="0" w:beforeAutospacing="0" w:after="0" w:afterAutospacing="0" w:line="360" w:lineRule="auto"/>
        <w:jc w:val="both"/>
        <w:outlineLvl w:val="0"/>
        <w:rPr>
          <w:rFonts w:ascii="Book Antiqua" w:hAnsi="Book Antiqua"/>
          <w:b/>
          <w:sz w:val="24"/>
          <w:szCs w:val="24"/>
        </w:rPr>
      </w:pPr>
    </w:p>
    <w:p w14:paraId="02CD27F8" w14:textId="2F49CDA3" w:rsidR="00F41FBC" w:rsidRPr="003F50D4" w:rsidRDefault="007E4A65" w:rsidP="003F50D4">
      <w:pPr>
        <w:pStyle w:val="a3"/>
        <w:snapToGrid w:val="0"/>
        <w:spacing w:before="0" w:beforeAutospacing="0" w:after="0" w:afterAutospacing="0" w:line="360" w:lineRule="auto"/>
        <w:jc w:val="both"/>
        <w:outlineLvl w:val="0"/>
        <w:rPr>
          <w:rFonts w:ascii="Book Antiqua" w:hAnsi="Book Antiqua"/>
          <w:sz w:val="24"/>
          <w:szCs w:val="24"/>
        </w:rPr>
      </w:pPr>
      <w:r w:rsidRPr="00141E92">
        <w:rPr>
          <w:rFonts w:ascii="Book Antiqua" w:hAnsi="Book Antiqua"/>
          <w:b/>
          <w:sz w:val="24"/>
          <w:szCs w:val="24"/>
        </w:rPr>
        <w:t xml:space="preserve">ARRIVE guidelines statement: </w:t>
      </w:r>
      <w:r w:rsidR="003F50D4" w:rsidRPr="003F50D4">
        <w:rPr>
          <w:rFonts w:ascii="Book Antiqua" w:hAnsi="Book Antiqua"/>
          <w:sz w:val="24"/>
          <w:szCs w:val="24"/>
        </w:rPr>
        <w:t>We’ve read the ARRIVE guidelines and prepared the manuscript accordingly.</w:t>
      </w:r>
    </w:p>
    <w:p w14:paraId="3E827EDE" w14:textId="77777777" w:rsidR="003F50D4" w:rsidRPr="00141E92" w:rsidRDefault="003F50D4" w:rsidP="003F50D4">
      <w:pPr>
        <w:pStyle w:val="a3"/>
        <w:snapToGrid w:val="0"/>
        <w:spacing w:before="0" w:beforeAutospacing="0" w:after="0" w:afterAutospacing="0" w:line="360" w:lineRule="auto"/>
        <w:jc w:val="both"/>
        <w:outlineLvl w:val="0"/>
        <w:rPr>
          <w:rFonts w:ascii="Book Antiqua" w:eastAsia="Times New Roman" w:hAnsi="Book Antiqua" w:cs="Times New Roman"/>
          <w:color w:val="auto"/>
          <w:sz w:val="24"/>
          <w:szCs w:val="24"/>
        </w:rPr>
      </w:pPr>
    </w:p>
    <w:p w14:paraId="0A0F3B75" w14:textId="5B3EE38B" w:rsidR="002B2741" w:rsidRPr="00141E92" w:rsidRDefault="002B2741" w:rsidP="008530E2">
      <w:pPr>
        <w:pStyle w:val="a3"/>
        <w:snapToGrid w:val="0"/>
        <w:spacing w:before="0" w:beforeAutospacing="0" w:after="0" w:afterAutospacing="0" w:line="360" w:lineRule="auto"/>
        <w:jc w:val="both"/>
        <w:rPr>
          <w:rFonts w:ascii="Book Antiqua" w:eastAsia="Times New Roman" w:hAnsi="Book Antiqua" w:cs="Times New Roman"/>
          <w:color w:val="auto"/>
          <w:sz w:val="24"/>
          <w:szCs w:val="24"/>
        </w:rPr>
      </w:pPr>
      <w:r w:rsidRPr="00141E92">
        <w:rPr>
          <w:rFonts w:ascii="Book Antiqua" w:eastAsia="Times New Roman" w:hAnsi="Book Antiqua" w:cs="Times New Roman"/>
          <w:b/>
          <w:color w:val="auto"/>
          <w:sz w:val="24"/>
          <w:szCs w:val="24"/>
        </w:rPr>
        <w:t xml:space="preserve">Open-Access: </w:t>
      </w:r>
      <w:bookmarkStart w:id="11" w:name="OLE_LINK26"/>
      <w:r w:rsidRPr="00141E92">
        <w:rPr>
          <w:rFonts w:ascii="Book Antiqua" w:eastAsia="Times New Roman" w:hAnsi="Book Antiqua" w:cs="Times New Roman"/>
          <w:color w:val="auto"/>
          <w:sz w:val="24"/>
          <w:szCs w:val="24"/>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 commercially, and license their derivative works on different terms, provided the original work is properly cited and the use is non-commercial. See: http://creativecommons.org/licenses/by-nc/4.0/</w:t>
      </w:r>
      <w:bookmarkEnd w:id="11"/>
      <w:r w:rsidRPr="00141E92">
        <w:rPr>
          <w:rFonts w:ascii="Book Antiqua" w:eastAsia="Times New Roman" w:hAnsi="Book Antiqua" w:cs="Times New Roman"/>
          <w:color w:val="auto"/>
          <w:sz w:val="24"/>
          <w:szCs w:val="24"/>
        </w:rPr>
        <w:t xml:space="preserve"> </w:t>
      </w:r>
    </w:p>
    <w:p w14:paraId="00E7F959" w14:textId="77777777" w:rsidR="003F50D4" w:rsidRDefault="003F50D4" w:rsidP="003F50D4">
      <w:pPr>
        <w:snapToGrid w:val="0"/>
        <w:spacing w:line="360" w:lineRule="auto"/>
        <w:jc w:val="both"/>
        <w:rPr>
          <w:rFonts w:ascii="Book Antiqua" w:hAnsi="Book Antiqua"/>
          <w:b/>
          <w:sz w:val="24"/>
          <w:szCs w:val="24"/>
        </w:rPr>
      </w:pPr>
    </w:p>
    <w:p w14:paraId="5E55791D" w14:textId="38976A72" w:rsidR="003F50D4" w:rsidRDefault="003F50D4" w:rsidP="003F50D4">
      <w:pPr>
        <w:snapToGrid w:val="0"/>
        <w:spacing w:line="360" w:lineRule="auto"/>
        <w:jc w:val="both"/>
        <w:rPr>
          <w:rFonts w:ascii="Book Antiqua" w:hAnsi="Book Antiqua" w:cs="Times New Roman"/>
          <w:bCs/>
          <w:color w:val="auto"/>
          <w:sz w:val="24"/>
          <w:szCs w:val="24"/>
        </w:rPr>
      </w:pPr>
      <w:r w:rsidRPr="004F57C6">
        <w:rPr>
          <w:rFonts w:ascii="Book Antiqua" w:hAnsi="Book Antiqua" w:cs="Times New Roman"/>
          <w:b/>
          <w:bCs/>
          <w:color w:val="auto"/>
          <w:sz w:val="24"/>
          <w:szCs w:val="24"/>
          <w:highlight w:val="white"/>
        </w:rPr>
        <w:t>Manuscript source:</w:t>
      </w:r>
      <w:r w:rsidRPr="004F57C6">
        <w:rPr>
          <w:rFonts w:ascii="Book Antiqua" w:hAnsi="Book Antiqua" w:cs="Times New Roman" w:hint="eastAsia"/>
          <w:b/>
          <w:bCs/>
          <w:color w:val="auto"/>
          <w:sz w:val="24"/>
          <w:szCs w:val="24"/>
          <w:highlight w:val="white"/>
          <w:lang w:eastAsia="zh-CN"/>
        </w:rPr>
        <w:t xml:space="preserve"> </w:t>
      </w:r>
      <w:r w:rsidRPr="004F57C6">
        <w:rPr>
          <w:rFonts w:ascii="Book Antiqua" w:hAnsi="Book Antiqua" w:cs="Times New Roman"/>
          <w:bCs/>
          <w:color w:val="auto"/>
          <w:sz w:val="24"/>
          <w:szCs w:val="24"/>
          <w:highlight w:val="white"/>
        </w:rPr>
        <w:t>Unsolicited manuscript</w:t>
      </w:r>
    </w:p>
    <w:p w14:paraId="6638A2F9" w14:textId="77777777" w:rsidR="003F50D4" w:rsidRDefault="003F50D4" w:rsidP="003F50D4">
      <w:pPr>
        <w:snapToGrid w:val="0"/>
        <w:spacing w:line="360" w:lineRule="auto"/>
        <w:jc w:val="both"/>
        <w:rPr>
          <w:rFonts w:ascii="Book Antiqua" w:hAnsi="Book Antiqua"/>
          <w:b/>
          <w:sz w:val="24"/>
          <w:szCs w:val="24"/>
        </w:rPr>
      </w:pPr>
    </w:p>
    <w:p w14:paraId="72DF18DC" w14:textId="3F300716" w:rsidR="007E4A65" w:rsidRPr="00141E92" w:rsidRDefault="003F50D4" w:rsidP="008530E2">
      <w:pPr>
        <w:snapToGrid w:val="0"/>
        <w:spacing w:line="360" w:lineRule="auto"/>
        <w:jc w:val="both"/>
        <w:rPr>
          <w:rFonts w:ascii="Book Antiqua" w:hAnsi="Book Antiqua"/>
          <w:sz w:val="24"/>
          <w:szCs w:val="24"/>
        </w:rPr>
      </w:pPr>
      <w:r>
        <w:rPr>
          <w:rFonts w:ascii="Book Antiqua" w:hAnsi="Book Antiqua"/>
          <w:b/>
          <w:sz w:val="24"/>
          <w:szCs w:val="24"/>
        </w:rPr>
        <w:t>Corresponding author</w:t>
      </w:r>
      <w:r w:rsidR="007E4A65" w:rsidRPr="00141E92">
        <w:rPr>
          <w:rFonts w:ascii="Book Antiqua" w:hAnsi="Book Antiqua"/>
          <w:b/>
          <w:sz w:val="24"/>
          <w:szCs w:val="24"/>
        </w:rPr>
        <w:t xml:space="preserve"> to:</w:t>
      </w:r>
      <w:r w:rsidR="007E4A65" w:rsidRPr="00141E92">
        <w:rPr>
          <w:rFonts w:ascii="Book Antiqua" w:hAnsi="Book Antiqua"/>
          <w:sz w:val="24"/>
          <w:szCs w:val="24"/>
        </w:rPr>
        <w:t xml:space="preserve"> </w:t>
      </w:r>
      <w:proofErr w:type="spellStart"/>
      <w:r w:rsidR="007E4A65" w:rsidRPr="00141E92">
        <w:rPr>
          <w:rFonts w:ascii="Book Antiqua" w:hAnsi="Book Antiqua"/>
          <w:b/>
          <w:sz w:val="24"/>
          <w:szCs w:val="24"/>
        </w:rPr>
        <w:t>Ausra</w:t>
      </w:r>
      <w:proofErr w:type="spellEnd"/>
      <w:r w:rsidR="007E4A65" w:rsidRPr="00141E92">
        <w:rPr>
          <w:rFonts w:ascii="Book Antiqua" w:hAnsi="Book Antiqua"/>
          <w:b/>
          <w:sz w:val="24"/>
          <w:szCs w:val="24"/>
        </w:rPr>
        <w:t xml:space="preserve"> </w:t>
      </w:r>
      <w:proofErr w:type="spellStart"/>
      <w:r w:rsidR="007E4A65" w:rsidRPr="00141E92">
        <w:rPr>
          <w:rFonts w:ascii="Book Antiqua" w:hAnsi="Book Antiqua"/>
          <w:b/>
          <w:sz w:val="24"/>
          <w:szCs w:val="24"/>
        </w:rPr>
        <w:t>Lukosiute-Urboniene</w:t>
      </w:r>
      <w:proofErr w:type="spellEnd"/>
      <w:r w:rsidR="007E4A65" w:rsidRPr="003F50D4">
        <w:rPr>
          <w:rFonts w:ascii="Book Antiqua" w:hAnsi="Book Antiqua"/>
          <w:b/>
          <w:sz w:val="24"/>
          <w:szCs w:val="24"/>
        </w:rPr>
        <w:t>,</w:t>
      </w:r>
      <w:r w:rsidR="001E4751" w:rsidRPr="00141E92">
        <w:rPr>
          <w:rFonts w:ascii="Book Antiqua" w:hAnsi="Book Antiqua"/>
          <w:sz w:val="24"/>
          <w:szCs w:val="24"/>
        </w:rPr>
        <w:t xml:space="preserve"> </w:t>
      </w:r>
      <w:r w:rsidR="001E4751" w:rsidRPr="00141E92">
        <w:rPr>
          <w:rFonts w:ascii="Book Antiqua" w:hAnsi="Book Antiqua"/>
          <w:b/>
          <w:sz w:val="24"/>
          <w:szCs w:val="24"/>
        </w:rPr>
        <w:t>MD</w:t>
      </w:r>
      <w:r w:rsidR="001E4751" w:rsidRPr="003F50D4">
        <w:rPr>
          <w:rFonts w:ascii="Book Antiqua" w:hAnsi="Book Antiqua"/>
          <w:b/>
          <w:sz w:val="24"/>
          <w:szCs w:val="24"/>
        </w:rPr>
        <w:t>,</w:t>
      </w:r>
      <w:r w:rsidRPr="003F50D4">
        <w:rPr>
          <w:rFonts w:ascii="Book Antiqua" w:hAnsi="Book Antiqua"/>
          <w:b/>
          <w:sz w:val="24"/>
          <w:szCs w:val="24"/>
        </w:rPr>
        <w:t xml:space="preserve"> Doctor, Surgeon,</w:t>
      </w:r>
      <w:r w:rsidR="001E4751" w:rsidRPr="00141E92">
        <w:rPr>
          <w:rFonts w:ascii="Book Antiqua" w:hAnsi="Book Antiqua"/>
          <w:sz w:val="24"/>
          <w:szCs w:val="24"/>
        </w:rPr>
        <w:t xml:space="preserve"> </w:t>
      </w:r>
      <w:bookmarkStart w:id="12" w:name="OLE_LINK21"/>
      <w:bookmarkStart w:id="13" w:name="OLE_LINK22"/>
      <w:r w:rsidR="007E4A65" w:rsidRPr="00141E92">
        <w:rPr>
          <w:rFonts w:ascii="Book Antiqua" w:hAnsi="Book Antiqua" w:cs="TimesNewRomanPSMT"/>
          <w:sz w:val="24"/>
          <w:szCs w:val="24"/>
        </w:rPr>
        <w:t>Institute for Digestive System Research</w:t>
      </w:r>
      <w:bookmarkEnd w:id="12"/>
      <w:bookmarkEnd w:id="13"/>
      <w:r w:rsidR="007E4A65" w:rsidRPr="00141E92">
        <w:rPr>
          <w:rFonts w:ascii="Book Antiqua" w:hAnsi="Book Antiqua" w:cs="TimesNewRomanPSMT"/>
          <w:sz w:val="24"/>
          <w:szCs w:val="24"/>
        </w:rPr>
        <w:t>, Lithuanian University of Health Sciences</w:t>
      </w:r>
      <w:r>
        <w:rPr>
          <w:rFonts w:ascii="Book Antiqua" w:hAnsi="Book Antiqua" w:cs="TimesNewRomanPSMT"/>
          <w:sz w:val="24"/>
          <w:szCs w:val="24"/>
        </w:rPr>
        <w:t xml:space="preserve">, </w:t>
      </w:r>
      <w:bookmarkStart w:id="14" w:name="OLE_LINK25"/>
      <w:proofErr w:type="spellStart"/>
      <w:r>
        <w:rPr>
          <w:rFonts w:ascii="Book Antiqua" w:hAnsi="Book Antiqua" w:cs="TimesNewRomanPSMT"/>
          <w:sz w:val="24"/>
          <w:szCs w:val="24"/>
        </w:rPr>
        <w:t>Eiveniu</w:t>
      </w:r>
      <w:proofErr w:type="spellEnd"/>
      <w:r>
        <w:rPr>
          <w:rFonts w:ascii="Book Antiqua" w:hAnsi="Book Antiqua" w:cs="TimesNewRomanPSMT"/>
          <w:sz w:val="24"/>
          <w:szCs w:val="24"/>
        </w:rPr>
        <w:t xml:space="preserve"> Street</w:t>
      </w:r>
      <w:r w:rsidR="008C4B76" w:rsidRPr="00141E92">
        <w:rPr>
          <w:rFonts w:ascii="Book Antiqua" w:hAnsi="Book Antiqua" w:cs="TimesNewRomanPSMT"/>
          <w:sz w:val="24"/>
          <w:szCs w:val="24"/>
        </w:rPr>
        <w:t xml:space="preserve"> 4</w:t>
      </w:r>
      <w:bookmarkEnd w:id="14"/>
      <w:r w:rsidR="008C4B76" w:rsidRPr="00141E92">
        <w:rPr>
          <w:rFonts w:ascii="Book Antiqua" w:hAnsi="Book Antiqua" w:cs="TimesNewRomanPSMT"/>
          <w:sz w:val="24"/>
          <w:szCs w:val="24"/>
        </w:rPr>
        <w:t>, Kaunas</w:t>
      </w:r>
      <w:r>
        <w:rPr>
          <w:rFonts w:ascii="Book Antiqua" w:hAnsi="Book Antiqua" w:cs="TimesNewRomanPSMT"/>
          <w:sz w:val="24"/>
          <w:szCs w:val="24"/>
        </w:rPr>
        <w:t xml:space="preserve"> </w:t>
      </w:r>
      <w:r w:rsidRPr="00141E92">
        <w:rPr>
          <w:rFonts w:ascii="Book Antiqua" w:hAnsi="Book Antiqua" w:cs="TimesNewRomanPSMT"/>
          <w:sz w:val="24"/>
          <w:szCs w:val="24"/>
        </w:rPr>
        <w:t>50161</w:t>
      </w:r>
      <w:r w:rsidR="008C4B76" w:rsidRPr="00141E92">
        <w:rPr>
          <w:rFonts w:ascii="Book Antiqua" w:hAnsi="Book Antiqua" w:cs="TimesNewRomanPSMT"/>
          <w:sz w:val="24"/>
          <w:szCs w:val="24"/>
        </w:rPr>
        <w:t xml:space="preserve">, </w:t>
      </w:r>
      <w:r w:rsidR="007E4A65" w:rsidRPr="00141E92">
        <w:rPr>
          <w:rFonts w:ascii="Book Antiqua" w:hAnsi="Book Antiqua" w:cs="TimesNewRomanPSMT"/>
          <w:sz w:val="24"/>
          <w:szCs w:val="24"/>
        </w:rPr>
        <w:t xml:space="preserve">Lithuania. </w:t>
      </w:r>
      <w:hyperlink r:id="rId10" w:history="1">
        <w:r w:rsidR="007E4A65" w:rsidRPr="00141E92">
          <w:rPr>
            <w:rStyle w:val="af"/>
            <w:rFonts w:ascii="Book Antiqua" w:hAnsi="Book Antiqua" w:cs="TimesNewRomanPSMT"/>
            <w:sz w:val="24"/>
            <w:szCs w:val="24"/>
          </w:rPr>
          <w:t>ausra.urboniene2@lsmuni.lt</w:t>
        </w:r>
      </w:hyperlink>
    </w:p>
    <w:p w14:paraId="1114CF8E" w14:textId="42B43794" w:rsidR="003D258B" w:rsidRPr="00141E92" w:rsidRDefault="007E4A65" w:rsidP="003F50D4">
      <w:pPr>
        <w:pStyle w:val="a3"/>
        <w:snapToGrid w:val="0"/>
        <w:spacing w:before="0" w:beforeAutospacing="0" w:after="0" w:afterAutospacing="0" w:line="360" w:lineRule="auto"/>
        <w:jc w:val="both"/>
        <w:outlineLvl w:val="0"/>
        <w:rPr>
          <w:rFonts w:ascii="Book Antiqua" w:hAnsi="Book Antiqua" w:cs="TimesNewRomanPSMT"/>
          <w:sz w:val="24"/>
          <w:szCs w:val="24"/>
        </w:rPr>
      </w:pPr>
      <w:r w:rsidRPr="00141E92">
        <w:rPr>
          <w:rFonts w:ascii="Book Antiqua" w:hAnsi="Book Antiqua" w:cs="TimesNewRomanPSMT"/>
          <w:b/>
          <w:sz w:val="24"/>
          <w:szCs w:val="24"/>
        </w:rPr>
        <w:t xml:space="preserve">Telephone: </w:t>
      </w:r>
      <w:r w:rsidRPr="00141E92">
        <w:rPr>
          <w:rFonts w:ascii="Book Antiqua" w:hAnsi="Book Antiqua" w:cs="TimesNewRomanPSMT"/>
          <w:sz w:val="24"/>
          <w:szCs w:val="24"/>
        </w:rPr>
        <w:t>+370</w:t>
      </w:r>
      <w:r w:rsidR="003F50D4">
        <w:rPr>
          <w:rFonts w:ascii="Book Antiqua" w:hAnsi="Book Antiqua" w:cs="TimesNewRomanPSMT"/>
          <w:sz w:val="24"/>
          <w:szCs w:val="24"/>
        </w:rPr>
        <w:t>-</w:t>
      </w:r>
      <w:r w:rsidRPr="00141E92">
        <w:rPr>
          <w:rFonts w:ascii="Book Antiqua" w:hAnsi="Book Antiqua" w:cs="TimesNewRomanPSMT"/>
          <w:sz w:val="24"/>
          <w:szCs w:val="24"/>
        </w:rPr>
        <w:t>67</w:t>
      </w:r>
      <w:r w:rsidR="00301365">
        <w:rPr>
          <w:rFonts w:ascii="Book Antiqua" w:hAnsi="Book Antiqua" w:cs="TimesNewRomanPSMT"/>
          <w:sz w:val="24"/>
          <w:szCs w:val="24"/>
        </w:rPr>
        <w:t>-</w:t>
      </w:r>
      <w:r w:rsidRPr="00141E92">
        <w:rPr>
          <w:rFonts w:ascii="Book Antiqua" w:hAnsi="Book Antiqua" w:cs="TimesNewRomanPSMT"/>
          <w:sz w:val="24"/>
          <w:szCs w:val="24"/>
        </w:rPr>
        <w:t>429833</w:t>
      </w:r>
    </w:p>
    <w:p w14:paraId="47A4F15C" w14:textId="5ABD1B43" w:rsidR="003D1700" w:rsidRDefault="003D1700" w:rsidP="008530E2">
      <w:pPr>
        <w:pStyle w:val="a3"/>
        <w:snapToGrid w:val="0"/>
        <w:spacing w:before="0" w:beforeAutospacing="0" w:after="0" w:afterAutospacing="0" w:line="360" w:lineRule="auto"/>
        <w:jc w:val="both"/>
        <w:rPr>
          <w:rFonts w:ascii="Book Antiqua" w:hAnsi="Book Antiqua"/>
          <w:sz w:val="24"/>
          <w:szCs w:val="24"/>
        </w:rPr>
      </w:pPr>
      <w:r w:rsidRPr="003F50D4">
        <w:rPr>
          <w:rFonts w:ascii="Book Antiqua" w:hAnsi="Book Antiqua" w:cs="TimesNewRomanPSMT"/>
          <w:b/>
          <w:sz w:val="24"/>
          <w:szCs w:val="24"/>
        </w:rPr>
        <w:t xml:space="preserve">Fax: </w:t>
      </w:r>
      <w:r w:rsidR="00242878" w:rsidRPr="00141E92">
        <w:rPr>
          <w:rFonts w:ascii="Book Antiqua" w:hAnsi="Book Antiqua"/>
          <w:sz w:val="24"/>
          <w:szCs w:val="24"/>
        </w:rPr>
        <w:t>+370-37-326375</w:t>
      </w:r>
    </w:p>
    <w:p w14:paraId="53432A33" w14:textId="77777777" w:rsidR="003F50D4" w:rsidRPr="003F50D4" w:rsidRDefault="003F50D4" w:rsidP="003F50D4">
      <w:pPr>
        <w:pStyle w:val="a3"/>
        <w:snapToGrid w:val="0"/>
        <w:spacing w:before="0" w:beforeAutospacing="0" w:after="0" w:afterAutospacing="0" w:line="360" w:lineRule="auto"/>
        <w:jc w:val="both"/>
        <w:rPr>
          <w:rFonts w:ascii="Book Antiqua" w:hAnsi="Book Antiqua"/>
          <w:sz w:val="24"/>
          <w:szCs w:val="24"/>
        </w:rPr>
      </w:pPr>
    </w:p>
    <w:p w14:paraId="24B7641E" w14:textId="6B496DD3" w:rsidR="003F50D4" w:rsidRPr="003F50D4" w:rsidRDefault="003F50D4" w:rsidP="003F50D4">
      <w:pPr>
        <w:snapToGrid w:val="0"/>
        <w:spacing w:line="360" w:lineRule="auto"/>
        <w:jc w:val="both"/>
        <w:rPr>
          <w:rFonts w:ascii="Book Antiqua" w:hAnsi="Book Antiqua"/>
          <w:b/>
          <w:sz w:val="24"/>
          <w:szCs w:val="24"/>
        </w:rPr>
      </w:pPr>
      <w:bookmarkStart w:id="15" w:name="OLE_LINK14"/>
      <w:bookmarkStart w:id="16" w:name="OLE_LINK16"/>
      <w:bookmarkStart w:id="17" w:name="OLE_LINK51"/>
      <w:bookmarkStart w:id="18" w:name="OLE_LINK27"/>
      <w:r w:rsidRPr="003F50D4">
        <w:rPr>
          <w:rFonts w:ascii="Book Antiqua" w:hAnsi="Book Antiqua"/>
          <w:b/>
          <w:sz w:val="24"/>
          <w:szCs w:val="24"/>
        </w:rPr>
        <w:t xml:space="preserve">Received: </w:t>
      </w:r>
      <w:r>
        <w:rPr>
          <w:rFonts w:ascii="Book Antiqua" w:hAnsi="Book Antiqua"/>
          <w:sz w:val="24"/>
          <w:szCs w:val="24"/>
        </w:rPr>
        <w:t>October</w:t>
      </w:r>
      <w:r>
        <w:rPr>
          <w:rFonts w:ascii="Book Antiqua" w:eastAsia="DengXian" w:hAnsi="Book Antiqua"/>
          <w:sz w:val="24"/>
          <w:szCs w:val="24"/>
        </w:rPr>
        <w:t xml:space="preserve"> 18</w:t>
      </w:r>
      <w:r w:rsidRPr="003F50D4">
        <w:rPr>
          <w:rFonts w:ascii="Book Antiqua" w:eastAsia="DengXian" w:hAnsi="Book Antiqua"/>
          <w:sz w:val="24"/>
          <w:szCs w:val="24"/>
        </w:rPr>
        <w:t>, 2018</w:t>
      </w:r>
      <w:r w:rsidRPr="003F50D4">
        <w:rPr>
          <w:rFonts w:ascii="Book Antiqua" w:hAnsi="Book Antiqua"/>
          <w:b/>
          <w:sz w:val="24"/>
          <w:szCs w:val="24"/>
        </w:rPr>
        <w:t xml:space="preserve">  </w:t>
      </w:r>
    </w:p>
    <w:p w14:paraId="2A889AC2" w14:textId="7ADDFED7" w:rsidR="003F50D4" w:rsidRPr="003F50D4" w:rsidRDefault="003F50D4" w:rsidP="003F50D4">
      <w:pPr>
        <w:snapToGrid w:val="0"/>
        <w:spacing w:line="360" w:lineRule="auto"/>
        <w:jc w:val="both"/>
        <w:rPr>
          <w:rFonts w:ascii="Book Antiqua" w:eastAsia="DengXian" w:hAnsi="Book Antiqua"/>
          <w:b/>
          <w:sz w:val="24"/>
          <w:szCs w:val="24"/>
        </w:rPr>
      </w:pPr>
      <w:r w:rsidRPr="003F50D4">
        <w:rPr>
          <w:rFonts w:ascii="Book Antiqua" w:hAnsi="Book Antiqua"/>
          <w:b/>
          <w:sz w:val="24"/>
          <w:szCs w:val="24"/>
        </w:rPr>
        <w:t>Peer-review started:</w:t>
      </w:r>
      <w:r w:rsidRPr="003F50D4">
        <w:rPr>
          <w:rFonts w:ascii="Book Antiqua" w:eastAsia="DengXian" w:hAnsi="Book Antiqua"/>
          <w:b/>
          <w:sz w:val="24"/>
          <w:szCs w:val="24"/>
        </w:rPr>
        <w:t xml:space="preserve"> </w:t>
      </w:r>
      <w:r>
        <w:rPr>
          <w:rFonts w:ascii="Book Antiqua" w:hAnsi="Book Antiqua"/>
          <w:sz w:val="24"/>
          <w:szCs w:val="24"/>
        </w:rPr>
        <w:t>October</w:t>
      </w:r>
      <w:r>
        <w:rPr>
          <w:rFonts w:ascii="Book Antiqua" w:eastAsia="DengXian" w:hAnsi="Book Antiqua"/>
          <w:sz w:val="24"/>
          <w:szCs w:val="24"/>
        </w:rPr>
        <w:t xml:space="preserve"> 18</w:t>
      </w:r>
      <w:r w:rsidRPr="003F50D4">
        <w:rPr>
          <w:rFonts w:ascii="Book Antiqua" w:eastAsia="DengXian" w:hAnsi="Book Antiqua"/>
          <w:sz w:val="24"/>
          <w:szCs w:val="24"/>
        </w:rPr>
        <w:t>, 2018</w:t>
      </w:r>
    </w:p>
    <w:p w14:paraId="55A5BF5F" w14:textId="1E41917A" w:rsidR="003F50D4" w:rsidRPr="003F50D4" w:rsidRDefault="003F50D4" w:rsidP="003F50D4">
      <w:pPr>
        <w:snapToGrid w:val="0"/>
        <w:spacing w:line="360" w:lineRule="auto"/>
        <w:jc w:val="both"/>
        <w:rPr>
          <w:rFonts w:ascii="Book Antiqua" w:eastAsia="DengXian" w:hAnsi="Book Antiqua"/>
          <w:b/>
          <w:sz w:val="24"/>
          <w:szCs w:val="24"/>
        </w:rPr>
      </w:pPr>
      <w:r w:rsidRPr="003F50D4">
        <w:rPr>
          <w:rFonts w:ascii="Book Antiqua" w:hAnsi="Book Antiqua"/>
          <w:b/>
          <w:sz w:val="24"/>
          <w:szCs w:val="24"/>
        </w:rPr>
        <w:t>First decision:</w:t>
      </w:r>
      <w:r w:rsidRPr="003F50D4">
        <w:rPr>
          <w:rFonts w:ascii="Book Antiqua" w:eastAsia="DengXian" w:hAnsi="Book Antiqua"/>
          <w:b/>
          <w:sz w:val="24"/>
          <w:szCs w:val="24"/>
        </w:rPr>
        <w:t xml:space="preserve"> </w:t>
      </w:r>
      <w:r>
        <w:rPr>
          <w:rFonts w:ascii="Book Antiqua" w:hAnsi="Book Antiqua"/>
          <w:sz w:val="24"/>
          <w:szCs w:val="24"/>
        </w:rPr>
        <w:t>November</w:t>
      </w:r>
      <w:r>
        <w:rPr>
          <w:rFonts w:ascii="Book Antiqua" w:eastAsia="DengXian" w:hAnsi="Book Antiqua"/>
          <w:sz w:val="24"/>
          <w:szCs w:val="24"/>
        </w:rPr>
        <w:t xml:space="preserve"> 1</w:t>
      </w:r>
      <w:r w:rsidRPr="003F50D4">
        <w:rPr>
          <w:rFonts w:ascii="Book Antiqua" w:eastAsia="DengXian" w:hAnsi="Book Antiqua"/>
          <w:sz w:val="24"/>
          <w:szCs w:val="24"/>
        </w:rPr>
        <w:t>, 2018</w:t>
      </w:r>
    </w:p>
    <w:p w14:paraId="52AB7082" w14:textId="095A5DDD" w:rsidR="003F50D4" w:rsidRPr="003F50D4" w:rsidRDefault="003F50D4" w:rsidP="003F50D4">
      <w:pPr>
        <w:snapToGrid w:val="0"/>
        <w:spacing w:line="360" w:lineRule="auto"/>
        <w:jc w:val="both"/>
        <w:rPr>
          <w:rFonts w:ascii="Book Antiqua" w:hAnsi="Book Antiqua"/>
          <w:b/>
          <w:sz w:val="24"/>
          <w:szCs w:val="24"/>
        </w:rPr>
      </w:pPr>
      <w:r w:rsidRPr="003F50D4">
        <w:rPr>
          <w:rFonts w:ascii="Book Antiqua" w:hAnsi="Book Antiqua"/>
          <w:b/>
          <w:sz w:val="24"/>
          <w:szCs w:val="24"/>
        </w:rPr>
        <w:t xml:space="preserve">Revised: </w:t>
      </w:r>
      <w:r>
        <w:rPr>
          <w:rFonts w:ascii="Book Antiqua" w:hAnsi="Book Antiqua"/>
          <w:sz w:val="24"/>
          <w:szCs w:val="24"/>
        </w:rPr>
        <w:t>November 6</w:t>
      </w:r>
      <w:r w:rsidRPr="003F50D4">
        <w:rPr>
          <w:rFonts w:ascii="Book Antiqua" w:hAnsi="Book Antiqua"/>
          <w:sz w:val="24"/>
          <w:szCs w:val="24"/>
        </w:rPr>
        <w:t xml:space="preserve">, 2018 </w:t>
      </w:r>
    </w:p>
    <w:p w14:paraId="160812A1" w14:textId="00EBA0A0" w:rsidR="003F50D4" w:rsidRPr="003F50D4" w:rsidRDefault="003F50D4" w:rsidP="003F50D4">
      <w:pPr>
        <w:snapToGrid w:val="0"/>
        <w:spacing w:line="360" w:lineRule="auto"/>
        <w:jc w:val="both"/>
        <w:rPr>
          <w:rFonts w:ascii="Book Antiqua" w:hAnsi="Book Antiqua"/>
          <w:b/>
          <w:sz w:val="24"/>
          <w:szCs w:val="24"/>
        </w:rPr>
      </w:pPr>
      <w:r w:rsidRPr="003F50D4">
        <w:rPr>
          <w:rFonts w:ascii="Book Antiqua" w:hAnsi="Book Antiqua"/>
          <w:b/>
          <w:sz w:val="24"/>
          <w:szCs w:val="24"/>
        </w:rPr>
        <w:t xml:space="preserve">Accepted: </w:t>
      </w:r>
      <w:r w:rsidR="00196A99" w:rsidRPr="00196A99">
        <w:rPr>
          <w:rFonts w:ascii="Book Antiqua" w:hAnsi="Book Antiqua"/>
          <w:sz w:val="24"/>
          <w:szCs w:val="24"/>
        </w:rPr>
        <w:t>November 16, 2018</w:t>
      </w:r>
    </w:p>
    <w:p w14:paraId="4EBF7770" w14:textId="0911C3D5" w:rsidR="003F50D4" w:rsidRPr="003F50D4" w:rsidRDefault="003F50D4" w:rsidP="003F50D4">
      <w:pPr>
        <w:snapToGrid w:val="0"/>
        <w:spacing w:line="360" w:lineRule="auto"/>
        <w:jc w:val="both"/>
        <w:rPr>
          <w:rFonts w:ascii="Book Antiqua" w:hAnsi="Book Antiqua"/>
          <w:b/>
          <w:sz w:val="24"/>
          <w:szCs w:val="24"/>
        </w:rPr>
      </w:pPr>
      <w:r w:rsidRPr="003F50D4">
        <w:rPr>
          <w:rFonts w:ascii="Book Antiqua" w:hAnsi="Book Antiqua"/>
          <w:b/>
          <w:sz w:val="24"/>
          <w:szCs w:val="24"/>
        </w:rPr>
        <w:t>Article in press:</w:t>
      </w:r>
      <w:r w:rsidR="005A46CE" w:rsidRPr="003F50D4">
        <w:rPr>
          <w:rFonts w:ascii="Book Antiqua" w:hAnsi="Book Antiqua"/>
          <w:b/>
          <w:sz w:val="24"/>
          <w:szCs w:val="24"/>
        </w:rPr>
        <w:t xml:space="preserve"> </w:t>
      </w:r>
      <w:r w:rsidR="005A46CE" w:rsidRPr="00196A99">
        <w:rPr>
          <w:rFonts w:ascii="Book Antiqua" w:hAnsi="Book Antiqua"/>
          <w:sz w:val="24"/>
          <w:szCs w:val="24"/>
        </w:rPr>
        <w:t>November 16, 2018</w:t>
      </w:r>
    </w:p>
    <w:p w14:paraId="52B6D100" w14:textId="35F6668E" w:rsidR="003F50D4" w:rsidRPr="003F50D4" w:rsidRDefault="003F50D4" w:rsidP="003F50D4">
      <w:pPr>
        <w:pStyle w:val="a3"/>
        <w:snapToGrid w:val="0"/>
        <w:spacing w:before="0" w:beforeAutospacing="0" w:after="0" w:afterAutospacing="0" w:line="360" w:lineRule="auto"/>
        <w:jc w:val="both"/>
        <w:rPr>
          <w:rFonts w:ascii="Book Antiqua" w:hAnsi="Book Antiqua" w:cs="TimesNewRomanPSMT"/>
          <w:sz w:val="24"/>
          <w:szCs w:val="24"/>
          <w:lang w:eastAsia="zh-CN"/>
        </w:rPr>
      </w:pPr>
      <w:r w:rsidRPr="003F50D4">
        <w:rPr>
          <w:rFonts w:ascii="Book Antiqua" w:hAnsi="Book Antiqua"/>
          <w:b/>
          <w:sz w:val="24"/>
          <w:szCs w:val="24"/>
        </w:rPr>
        <w:t>Published online:</w:t>
      </w:r>
      <w:bookmarkEnd w:id="15"/>
      <w:bookmarkEnd w:id="16"/>
      <w:bookmarkEnd w:id="17"/>
      <w:bookmarkEnd w:id="18"/>
      <w:r w:rsidR="005A46CE">
        <w:rPr>
          <w:rFonts w:ascii="Book Antiqua" w:hAnsi="Book Antiqua" w:hint="eastAsia"/>
          <w:b/>
          <w:sz w:val="24"/>
          <w:szCs w:val="24"/>
          <w:lang w:eastAsia="zh-CN"/>
        </w:rPr>
        <w:t xml:space="preserve"> </w:t>
      </w:r>
      <w:r w:rsidR="005A46CE" w:rsidRPr="005A46CE">
        <w:rPr>
          <w:rFonts w:ascii="Book Antiqua" w:hAnsi="Book Antiqua"/>
          <w:sz w:val="24"/>
          <w:szCs w:val="24"/>
          <w:lang w:eastAsia="zh-CN"/>
        </w:rPr>
        <w:t>January 14, 2019</w:t>
      </w:r>
    </w:p>
    <w:p w14:paraId="6B3D5251" w14:textId="2A8BD5CD" w:rsidR="001E4751" w:rsidRPr="00141E92" w:rsidRDefault="001E4751" w:rsidP="003F50D4">
      <w:pPr>
        <w:snapToGrid w:val="0"/>
        <w:spacing w:line="360" w:lineRule="auto"/>
        <w:jc w:val="both"/>
        <w:rPr>
          <w:rFonts w:ascii="Book Antiqua" w:hAnsi="Book Antiqua"/>
          <w:b/>
          <w:sz w:val="24"/>
          <w:szCs w:val="24"/>
        </w:rPr>
      </w:pPr>
      <w:r w:rsidRPr="003F50D4">
        <w:rPr>
          <w:rFonts w:ascii="Book Antiqua" w:hAnsi="Book Antiqua"/>
          <w:b/>
          <w:sz w:val="24"/>
          <w:szCs w:val="24"/>
        </w:rPr>
        <w:br w:type="page"/>
      </w:r>
    </w:p>
    <w:p w14:paraId="66451CAE" w14:textId="6B288B10" w:rsidR="0011295B" w:rsidRPr="00141E92" w:rsidRDefault="0011295B"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A</w:t>
      </w:r>
      <w:r w:rsidR="001E4751" w:rsidRPr="00141E92">
        <w:rPr>
          <w:rFonts w:ascii="Book Antiqua" w:hAnsi="Book Antiqua"/>
          <w:b/>
          <w:sz w:val="24"/>
          <w:szCs w:val="24"/>
        </w:rPr>
        <w:t>bstract</w:t>
      </w:r>
    </w:p>
    <w:p w14:paraId="7D213482" w14:textId="6553D31E" w:rsidR="001E4751" w:rsidRPr="00141E92" w:rsidRDefault="001E4751"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AIM</w:t>
      </w:r>
      <w:r w:rsidR="00671394" w:rsidRPr="00141E92">
        <w:rPr>
          <w:rFonts w:ascii="Book Antiqua" w:hAnsi="Book Antiqua"/>
          <w:b/>
          <w:i/>
          <w:sz w:val="24"/>
          <w:szCs w:val="24"/>
        </w:rPr>
        <w:t xml:space="preserve"> </w:t>
      </w:r>
    </w:p>
    <w:p w14:paraId="71476C94" w14:textId="13A3A83A" w:rsidR="00455450" w:rsidRPr="00141E92" w:rsidRDefault="00455450" w:rsidP="008530E2">
      <w:pPr>
        <w:snapToGrid w:val="0"/>
        <w:spacing w:line="360" w:lineRule="auto"/>
        <w:jc w:val="both"/>
        <w:rPr>
          <w:rFonts w:ascii="Book Antiqua" w:hAnsi="Book Antiqua"/>
          <w:b/>
          <w:sz w:val="24"/>
          <w:szCs w:val="24"/>
          <w:u w:val="single"/>
        </w:rPr>
      </w:pPr>
      <w:r w:rsidRPr="00141E92">
        <w:rPr>
          <w:rFonts w:ascii="Book Antiqua" w:hAnsi="Book Antiqua"/>
          <w:sz w:val="24"/>
          <w:szCs w:val="24"/>
        </w:rPr>
        <w:t xml:space="preserve">To determine the association of </w:t>
      </w:r>
      <w:r w:rsidR="003F50D4">
        <w:rPr>
          <w:rFonts w:ascii="Book Antiqua" w:hAnsi="Book Antiqua" w:cs="Times"/>
          <w:color w:val="000000" w:themeColor="text1"/>
          <w:sz w:val="24"/>
          <w:szCs w:val="24"/>
        </w:rPr>
        <w:t>h</w:t>
      </w:r>
      <w:r w:rsidR="009B4B74" w:rsidRPr="00141E92">
        <w:rPr>
          <w:rFonts w:ascii="Book Antiqua" w:hAnsi="Book Antiqua" w:cs="Times"/>
          <w:color w:val="000000" w:themeColor="text1"/>
          <w:sz w:val="24"/>
          <w:szCs w:val="24"/>
        </w:rPr>
        <w:t>u</w:t>
      </w:r>
      <w:r w:rsidR="003B4F68" w:rsidRPr="00141E92">
        <w:rPr>
          <w:rFonts w:ascii="Book Antiqua" w:hAnsi="Book Antiqua" w:cs="Times"/>
          <w:color w:val="000000" w:themeColor="text1"/>
          <w:sz w:val="24"/>
          <w:szCs w:val="24"/>
        </w:rPr>
        <w:t>man</w:t>
      </w:r>
      <w:r w:rsidR="009B4B74" w:rsidRPr="00141E92">
        <w:rPr>
          <w:rFonts w:ascii="Book Antiqua" w:hAnsi="Book Antiqua" w:cs="Times"/>
          <w:color w:val="000000" w:themeColor="text1"/>
          <w:sz w:val="24"/>
          <w:szCs w:val="24"/>
        </w:rPr>
        <w:t xml:space="preserve"> antigen R (</w:t>
      </w:r>
      <w:proofErr w:type="spellStart"/>
      <w:r w:rsidR="00510756" w:rsidRPr="00141E92">
        <w:rPr>
          <w:rFonts w:ascii="Book Antiqua" w:hAnsi="Book Antiqua"/>
          <w:sz w:val="24"/>
          <w:szCs w:val="24"/>
        </w:rPr>
        <w:t>HuR</w:t>
      </w:r>
      <w:proofErr w:type="spellEnd"/>
      <w:r w:rsidR="009B4B74" w:rsidRPr="00141E92">
        <w:rPr>
          <w:rFonts w:ascii="Book Antiqua" w:hAnsi="Book Antiqua"/>
          <w:sz w:val="24"/>
          <w:szCs w:val="24"/>
        </w:rPr>
        <w:t>)</w:t>
      </w:r>
      <w:r w:rsidR="00510756" w:rsidRPr="00141E92">
        <w:rPr>
          <w:rFonts w:ascii="Book Antiqua" w:hAnsi="Book Antiqua"/>
          <w:sz w:val="24"/>
          <w:szCs w:val="24"/>
        </w:rPr>
        <w:t xml:space="preserve"> and </w:t>
      </w:r>
      <w:r w:rsidR="009B6230">
        <w:rPr>
          <w:rFonts w:ascii="Book Antiqua" w:hAnsi="Book Antiqua" w:cs="Times"/>
          <w:color w:val="000000" w:themeColor="text1"/>
          <w:sz w:val="24"/>
          <w:szCs w:val="24"/>
        </w:rPr>
        <w:t>i</w:t>
      </w:r>
      <w:r w:rsidR="00317391" w:rsidRPr="00141E92">
        <w:rPr>
          <w:rFonts w:ascii="Book Antiqua" w:hAnsi="Book Antiqua" w:cs="Times"/>
          <w:color w:val="000000" w:themeColor="text1"/>
          <w:sz w:val="24"/>
          <w:szCs w:val="24"/>
        </w:rPr>
        <w:t>nhibitor</w:t>
      </w:r>
      <w:r w:rsidR="00C06B7B" w:rsidRPr="00141E92">
        <w:rPr>
          <w:rFonts w:ascii="Book Antiqua" w:hAnsi="Book Antiqua" w:cs="Times"/>
          <w:color w:val="000000" w:themeColor="text1"/>
          <w:sz w:val="24"/>
          <w:szCs w:val="24"/>
        </w:rPr>
        <w:t>s</w:t>
      </w:r>
      <w:r w:rsidR="00317391" w:rsidRPr="00141E92">
        <w:rPr>
          <w:rFonts w:ascii="Book Antiqua" w:hAnsi="Book Antiqua" w:cs="Times"/>
          <w:color w:val="000000" w:themeColor="text1"/>
          <w:sz w:val="24"/>
          <w:szCs w:val="24"/>
        </w:rPr>
        <w:t xml:space="preserve"> of apoptosis proteins </w:t>
      </w:r>
      <w:r w:rsidR="009B6230" w:rsidRPr="00141E92">
        <w:rPr>
          <w:rFonts w:ascii="Book Antiqua" w:hAnsi="Book Antiqua" w:cs="Times"/>
          <w:color w:val="000000" w:themeColor="text1"/>
          <w:sz w:val="24"/>
          <w:szCs w:val="24"/>
        </w:rPr>
        <w:t>(</w:t>
      </w:r>
      <w:r w:rsidR="009B6230" w:rsidRPr="00141E92">
        <w:rPr>
          <w:rFonts w:ascii="Book Antiqua" w:hAnsi="Book Antiqua"/>
          <w:color w:val="000000" w:themeColor="text1"/>
          <w:sz w:val="24"/>
          <w:szCs w:val="24"/>
        </w:rPr>
        <w:t>IAP1, IAP2)</w:t>
      </w:r>
      <w:r w:rsidR="009B6230">
        <w:rPr>
          <w:rFonts w:ascii="Book Antiqua" w:hAnsi="Book Antiqua"/>
          <w:color w:val="000000" w:themeColor="text1"/>
          <w:sz w:val="24"/>
          <w:szCs w:val="24"/>
        </w:rPr>
        <w:t xml:space="preserve"> </w:t>
      </w:r>
      <w:r w:rsidRPr="00141E92">
        <w:rPr>
          <w:rFonts w:ascii="Book Antiqua" w:hAnsi="Book Antiqua"/>
          <w:sz w:val="24"/>
          <w:szCs w:val="24"/>
        </w:rPr>
        <w:t xml:space="preserve">and prognosis </w:t>
      </w:r>
      <w:r w:rsidR="00326581" w:rsidRPr="00141E92">
        <w:rPr>
          <w:rFonts w:ascii="Book Antiqua" w:hAnsi="Book Antiqua"/>
          <w:sz w:val="24"/>
          <w:szCs w:val="24"/>
        </w:rPr>
        <w:t>in</w:t>
      </w:r>
      <w:r w:rsidRPr="00141E92">
        <w:rPr>
          <w:rFonts w:ascii="Book Antiqua" w:hAnsi="Book Antiqua"/>
          <w:sz w:val="24"/>
          <w:szCs w:val="24"/>
        </w:rPr>
        <w:t xml:space="preserve"> </w:t>
      </w:r>
      <w:r w:rsidR="0073475F" w:rsidRPr="00141E92">
        <w:rPr>
          <w:rFonts w:ascii="Book Antiqua" w:hAnsi="Book Antiqua"/>
          <w:sz w:val="24"/>
          <w:szCs w:val="24"/>
        </w:rPr>
        <w:t xml:space="preserve">pancreatic </w:t>
      </w:r>
      <w:r w:rsidR="00110CC3" w:rsidRPr="00141E92">
        <w:rPr>
          <w:rFonts w:ascii="Book Antiqua" w:hAnsi="Book Antiqua"/>
          <w:sz w:val="24"/>
          <w:szCs w:val="24"/>
        </w:rPr>
        <w:t>cancer</w:t>
      </w:r>
      <w:r w:rsidRPr="00141E92">
        <w:rPr>
          <w:rFonts w:ascii="Book Antiqua" w:hAnsi="Book Antiqua"/>
          <w:sz w:val="24"/>
          <w:szCs w:val="24"/>
        </w:rPr>
        <w:t>.</w:t>
      </w:r>
    </w:p>
    <w:p w14:paraId="4221E9D2" w14:textId="77777777" w:rsidR="00CD0E09" w:rsidRPr="00141E92" w:rsidRDefault="00CD0E09" w:rsidP="008530E2">
      <w:pPr>
        <w:snapToGrid w:val="0"/>
        <w:spacing w:line="360" w:lineRule="auto"/>
        <w:jc w:val="both"/>
        <w:rPr>
          <w:rFonts w:ascii="Book Antiqua" w:hAnsi="Book Antiqua"/>
          <w:b/>
          <w:i/>
          <w:sz w:val="24"/>
          <w:szCs w:val="24"/>
        </w:rPr>
      </w:pPr>
    </w:p>
    <w:p w14:paraId="58B9FD57" w14:textId="493404CF" w:rsidR="00455450" w:rsidRPr="00141E92" w:rsidRDefault="00455450"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METHODS</w:t>
      </w:r>
    </w:p>
    <w:p w14:paraId="017C6777" w14:textId="2C1F8E90" w:rsidR="00455450" w:rsidRPr="00141E92" w:rsidRDefault="006F6826" w:rsidP="008530E2">
      <w:pPr>
        <w:pStyle w:val="a3"/>
        <w:snapToGrid w:val="0"/>
        <w:spacing w:before="0" w:beforeAutospacing="0" w:after="0" w:afterAutospacing="0" w:line="360" w:lineRule="auto"/>
        <w:jc w:val="both"/>
        <w:rPr>
          <w:rFonts w:ascii="Book Antiqua" w:hAnsi="Book Antiqua" w:cs="Times New Roman"/>
          <w:color w:val="auto"/>
          <w:sz w:val="24"/>
          <w:szCs w:val="24"/>
        </w:rPr>
      </w:pPr>
      <w:r w:rsidRPr="00141E92">
        <w:rPr>
          <w:rFonts w:ascii="Book Antiqua" w:hAnsi="Book Antiqua"/>
          <w:color w:val="000000" w:themeColor="text1"/>
          <w:sz w:val="24"/>
          <w:szCs w:val="24"/>
        </w:rPr>
        <w:t>P</w:t>
      </w:r>
      <w:r w:rsidR="00CD0E09" w:rsidRPr="00141E92">
        <w:rPr>
          <w:rFonts w:ascii="Book Antiqua" w:hAnsi="Book Antiqua"/>
          <w:color w:val="000000" w:themeColor="text1"/>
          <w:sz w:val="24"/>
          <w:szCs w:val="24"/>
        </w:rPr>
        <w:t xml:space="preserve">rotein </w:t>
      </w:r>
      <w:r w:rsidR="00455450" w:rsidRPr="00141E92">
        <w:rPr>
          <w:rFonts w:ascii="Book Antiqua" w:hAnsi="Book Antiqua"/>
          <w:color w:val="000000" w:themeColor="text1"/>
          <w:sz w:val="24"/>
          <w:szCs w:val="24"/>
        </w:rPr>
        <w:t xml:space="preserve">and mRNA expression levels of </w:t>
      </w:r>
      <w:r w:rsidR="009B6230" w:rsidRPr="00141E92">
        <w:rPr>
          <w:rFonts w:ascii="Book Antiqua" w:hAnsi="Book Antiqua"/>
          <w:color w:val="000000" w:themeColor="text1"/>
          <w:sz w:val="24"/>
          <w:szCs w:val="24"/>
        </w:rPr>
        <w:t>IAP1, IAP2</w:t>
      </w:r>
      <w:r w:rsidR="00455450" w:rsidRPr="00141E92">
        <w:rPr>
          <w:rFonts w:ascii="Book Antiqua" w:hAnsi="Book Antiqua"/>
          <w:color w:val="000000" w:themeColor="text1"/>
          <w:sz w:val="24"/>
          <w:szCs w:val="24"/>
        </w:rPr>
        <w:t xml:space="preserve"> and </w:t>
      </w:r>
      <w:proofErr w:type="spellStart"/>
      <w:r w:rsidR="00455450" w:rsidRPr="00141E92">
        <w:rPr>
          <w:rFonts w:ascii="Book Antiqua" w:hAnsi="Book Antiqua"/>
          <w:color w:val="000000" w:themeColor="text1"/>
          <w:sz w:val="24"/>
          <w:szCs w:val="24"/>
        </w:rPr>
        <w:t>HuR</w:t>
      </w:r>
      <w:proofErr w:type="spellEnd"/>
      <w:r w:rsidR="00455450"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 xml:space="preserve">in </w:t>
      </w:r>
      <w:bookmarkStart w:id="19" w:name="OLE_LINK1"/>
      <w:r w:rsidR="00601EAE" w:rsidRPr="00141E92">
        <w:rPr>
          <w:rFonts w:ascii="Book Antiqua" w:hAnsi="Book Antiqua"/>
          <w:color w:val="000000" w:themeColor="text1"/>
          <w:sz w:val="24"/>
          <w:szCs w:val="24"/>
        </w:rPr>
        <w:t>pancreatic ductal adenocarcinoma</w:t>
      </w:r>
      <w:bookmarkEnd w:id="19"/>
      <w:r w:rsidR="00601EAE" w:rsidRPr="00141E92">
        <w:rPr>
          <w:rFonts w:ascii="Book Antiqua" w:hAnsi="Book Antiqua"/>
          <w:color w:val="000000" w:themeColor="text1"/>
          <w:sz w:val="24"/>
          <w:szCs w:val="24"/>
        </w:rPr>
        <w:t xml:space="preserve"> (</w:t>
      </w:r>
      <w:r w:rsidRPr="00141E92">
        <w:rPr>
          <w:rFonts w:ascii="Book Antiqua" w:hAnsi="Book Antiqua"/>
          <w:sz w:val="24"/>
          <w:szCs w:val="24"/>
        </w:rPr>
        <w:t>PDAC</w:t>
      </w:r>
      <w:r w:rsidR="00601EAE" w:rsidRPr="00141E92">
        <w:rPr>
          <w:rFonts w:ascii="Book Antiqua" w:hAnsi="Book Antiqua"/>
          <w:sz w:val="24"/>
          <w:szCs w:val="24"/>
        </w:rPr>
        <w:t>)</w:t>
      </w:r>
      <w:r w:rsidRPr="00141E92">
        <w:rPr>
          <w:rFonts w:ascii="Book Antiqua" w:hAnsi="Book Antiqua"/>
          <w:color w:val="000000" w:themeColor="text1"/>
          <w:sz w:val="24"/>
          <w:szCs w:val="24"/>
        </w:rPr>
        <w:t xml:space="preserve"> </w:t>
      </w:r>
      <w:r w:rsidR="00455450" w:rsidRPr="00141E92">
        <w:rPr>
          <w:rFonts w:ascii="Book Antiqua" w:hAnsi="Book Antiqua"/>
          <w:color w:val="000000" w:themeColor="text1"/>
          <w:sz w:val="24"/>
          <w:szCs w:val="24"/>
        </w:rPr>
        <w:t xml:space="preserve">were compared with normal pancreatic tissue. </w:t>
      </w:r>
      <w:r w:rsidR="00455450" w:rsidRPr="00141E92">
        <w:rPr>
          <w:rFonts w:ascii="Book Antiqua" w:hAnsi="Book Antiqua" w:cs="Calibri"/>
          <w:sz w:val="24"/>
          <w:szCs w:val="24"/>
        </w:rPr>
        <w:t>T</w:t>
      </w:r>
      <w:r w:rsidR="00455450" w:rsidRPr="00141E92">
        <w:rPr>
          <w:rFonts w:ascii="Book Antiqua" w:hAnsi="Book Antiqua"/>
          <w:sz w:val="24"/>
          <w:szCs w:val="24"/>
        </w:rPr>
        <w:t xml:space="preserve">he correlations among IAP1/IAP2 and </w:t>
      </w:r>
      <w:proofErr w:type="spellStart"/>
      <w:r w:rsidR="00455450" w:rsidRPr="00141E92">
        <w:rPr>
          <w:rFonts w:ascii="Book Antiqua" w:hAnsi="Book Antiqua"/>
          <w:sz w:val="24"/>
          <w:szCs w:val="24"/>
        </w:rPr>
        <w:t>HuR</w:t>
      </w:r>
      <w:proofErr w:type="spellEnd"/>
      <w:r w:rsidR="00455450" w:rsidRPr="00141E92">
        <w:rPr>
          <w:rFonts w:ascii="Book Antiqua" w:hAnsi="Book Antiqua"/>
          <w:sz w:val="24"/>
          <w:szCs w:val="24"/>
        </w:rPr>
        <w:t xml:space="preserve"> as well as their respective correlations with clinicopathological parameters were analyzed. </w:t>
      </w:r>
      <w:r w:rsidR="00455450" w:rsidRPr="00141E92">
        <w:rPr>
          <w:rFonts w:ascii="Book Antiqua" w:hAnsi="Book Antiqua" w:cs="Calibri"/>
          <w:sz w:val="24"/>
          <w:szCs w:val="24"/>
        </w:rPr>
        <w:t>The Kaplan-Meier method and log-rank tests were used for survival analysis.</w:t>
      </w:r>
      <w:r w:rsidR="00CF7BC2" w:rsidRPr="00141E92">
        <w:rPr>
          <w:rFonts w:ascii="Book Antiqua" w:hAnsi="Book Antiqua" w:cs="Calibri"/>
          <w:sz w:val="24"/>
          <w:szCs w:val="24"/>
        </w:rPr>
        <w:t xml:space="preserve"> </w:t>
      </w:r>
      <w:r w:rsidRPr="00141E92">
        <w:rPr>
          <w:rFonts w:ascii="Book Antiqua" w:hAnsi="Book Antiqua"/>
          <w:sz w:val="24"/>
          <w:szCs w:val="24"/>
        </w:rPr>
        <w:t>I</w:t>
      </w:r>
      <w:r w:rsidR="00455450" w:rsidRPr="00141E92">
        <w:rPr>
          <w:rFonts w:ascii="Book Antiqua" w:hAnsi="Book Antiqua"/>
          <w:sz w:val="24"/>
          <w:szCs w:val="24"/>
        </w:rPr>
        <w:t>mmunoprecipitation assay w</w:t>
      </w:r>
      <w:r w:rsidRPr="00141E92">
        <w:rPr>
          <w:rFonts w:ascii="Book Antiqua" w:hAnsi="Book Antiqua"/>
          <w:sz w:val="24"/>
          <w:szCs w:val="24"/>
        </w:rPr>
        <w:t>as</w:t>
      </w:r>
      <w:r w:rsidR="00455450" w:rsidRPr="00141E92">
        <w:rPr>
          <w:rFonts w:ascii="Book Antiqua" w:hAnsi="Book Antiqua"/>
          <w:sz w:val="24"/>
          <w:szCs w:val="24"/>
        </w:rPr>
        <w:t xml:space="preserve"> performed</w:t>
      </w:r>
      <w:r w:rsidRPr="00141E92">
        <w:rPr>
          <w:rFonts w:ascii="Book Antiqua" w:hAnsi="Book Antiqua"/>
          <w:sz w:val="24"/>
          <w:szCs w:val="24"/>
        </w:rPr>
        <w:t xml:space="preserve"> to demonstrate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binding to IAP1, IAP2 mRNA</w:t>
      </w:r>
      <w:r w:rsidR="00455450" w:rsidRPr="00141E92">
        <w:rPr>
          <w:rFonts w:ascii="Book Antiqua" w:hAnsi="Book Antiqua"/>
          <w:sz w:val="24"/>
          <w:szCs w:val="24"/>
        </w:rPr>
        <w:t xml:space="preserve">. </w:t>
      </w:r>
      <w:r w:rsidR="00455450" w:rsidRPr="00141E92">
        <w:rPr>
          <w:rFonts w:ascii="Book Antiqua" w:hAnsi="Book Antiqua" w:cs="Verdana"/>
          <w:sz w:val="24"/>
          <w:szCs w:val="24"/>
        </w:rPr>
        <w:t xml:space="preserve">PANC1 </w:t>
      </w:r>
      <w:r w:rsidR="00FC6A79" w:rsidRPr="00141E92">
        <w:rPr>
          <w:rFonts w:ascii="Book Antiqua" w:hAnsi="Book Antiqua" w:cs="Verdana"/>
          <w:sz w:val="24"/>
          <w:szCs w:val="24"/>
        </w:rPr>
        <w:t xml:space="preserve">cells </w:t>
      </w:r>
      <w:r w:rsidR="00455450" w:rsidRPr="00141E92">
        <w:rPr>
          <w:rFonts w:ascii="Book Antiqua" w:hAnsi="Book Antiqua" w:cs="Verdana"/>
          <w:sz w:val="24"/>
          <w:szCs w:val="24"/>
        </w:rPr>
        <w:t>were transfected with either anti-</w:t>
      </w:r>
      <w:proofErr w:type="spellStart"/>
      <w:r w:rsidR="00455450" w:rsidRPr="00141E92">
        <w:rPr>
          <w:rFonts w:ascii="Book Antiqua" w:hAnsi="Book Antiqua" w:cs="Verdana"/>
          <w:sz w:val="24"/>
          <w:szCs w:val="24"/>
        </w:rPr>
        <w:t>HuR</w:t>
      </w:r>
      <w:proofErr w:type="spellEnd"/>
      <w:r w:rsidR="00455450" w:rsidRPr="00141E92">
        <w:rPr>
          <w:rFonts w:ascii="Book Antiqua" w:hAnsi="Book Antiqua" w:cs="Verdana"/>
          <w:sz w:val="24"/>
          <w:szCs w:val="24"/>
        </w:rPr>
        <w:t xml:space="preserve"> </w:t>
      </w:r>
      <w:proofErr w:type="spellStart"/>
      <w:r w:rsidR="00455450" w:rsidRPr="00141E92">
        <w:rPr>
          <w:rFonts w:ascii="Book Antiqua" w:hAnsi="Book Antiqua" w:cs="Verdana"/>
          <w:sz w:val="24"/>
          <w:szCs w:val="24"/>
        </w:rPr>
        <w:t>siRNA</w:t>
      </w:r>
      <w:proofErr w:type="spellEnd"/>
      <w:r w:rsidR="00455450" w:rsidRPr="00141E92">
        <w:rPr>
          <w:rFonts w:ascii="Book Antiqua" w:hAnsi="Book Antiqua" w:cs="Verdana"/>
          <w:sz w:val="24"/>
          <w:szCs w:val="24"/>
        </w:rPr>
        <w:t xml:space="preserve"> or control siRNA for 72 h and </w:t>
      </w:r>
      <w:r w:rsidR="0073475F" w:rsidRPr="00141E92">
        <w:rPr>
          <w:rFonts w:ascii="Book Antiqua" w:hAnsi="Book Antiqua"/>
          <w:sz w:val="24"/>
          <w:szCs w:val="24"/>
        </w:rPr>
        <w:t>quantitative reverse transcription polymerase chain reaction (</w:t>
      </w:r>
      <w:r w:rsidR="00455450" w:rsidRPr="00141E92">
        <w:rPr>
          <w:rFonts w:ascii="Book Antiqua" w:hAnsi="Book Antiqua" w:cs="Verdana"/>
          <w:sz w:val="24"/>
          <w:szCs w:val="24"/>
        </w:rPr>
        <w:t>RT-PCR</w:t>
      </w:r>
      <w:r w:rsidR="0073475F" w:rsidRPr="00141E92">
        <w:rPr>
          <w:rFonts w:ascii="Book Antiqua" w:hAnsi="Book Antiqua" w:cs="Verdana"/>
          <w:sz w:val="24"/>
          <w:szCs w:val="24"/>
        </w:rPr>
        <w:t>)</w:t>
      </w:r>
      <w:r w:rsidR="009B6230">
        <w:rPr>
          <w:rFonts w:ascii="Book Antiqua" w:hAnsi="Book Antiqua" w:cs="Verdana"/>
          <w:sz w:val="24"/>
          <w:szCs w:val="24"/>
        </w:rPr>
        <w:t>, w</w:t>
      </w:r>
      <w:r w:rsidR="00455450" w:rsidRPr="00141E92">
        <w:rPr>
          <w:rFonts w:ascii="Book Antiqua" w:hAnsi="Book Antiqua" w:cs="Verdana"/>
          <w:sz w:val="24"/>
          <w:szCs w:val="24"/>
        </w:rPr>
        <w:t xml:space="preserve">estern blot analysis </w:t>
      </w:r>
      <w:r w:rsidR="009B6230" w:rsidRPr="00141E92">
        <w:rPr>
          <w:rFonts w:ascii="Book Antiqua" w:hAnsi="Book Antiqua" w:cs="Verdana"/>
          <w:sz w:val="24"/>
          <w:szCs w:val="24"/>
        </w:rPr>
        <w:t>was</w:t>
      </w:r>
      <w:r w:rsidR="00455450" w:rsidRPr="00141E92">
        <w:rPr>
          <w:rFonts w:ascii="Book Antiqua" w:hAnsi="Book Antiqua" w:cs="Verdana"/>
          <w:sz w:val="24"/>
          <w:szCs w:val="24"/>
        </w:rPr>
        <w:t xml:space="preserve"> carried out. </w:t>
      </w:r>
    </w:p>
    <w:p w14:paraId="00EDE975" w14:textId="77777777" w:rsidR="00CD0E09" w:rsidRPr="00141E92" w:rsidRDefault="00CD0E09" w:rsidP="008530E2">
      <w:pPr>
        <w:snapToGrid w:val="0"/>
        <w:spacing w:line="360" w:lineRule="auto"/>
        <w:jc w:val="both"/>
        <w:rPr>
          <w:rFonts w:ascii="Book Antiqua" w:hAnsi="Book Antiqua"/>
          <w:b/>
          <w:i/>
          <w:sz w:val="24"/>
          <w:szCs w:val="24"/>
        </w:rPr>
      </w:pPr>
    </w:p>
    <w:p w14:paraId="4CE272B4" w14:textId="209BED82" w:rsidR="00CD0E09" w:rsidRPr="00141E92" w:rsidRDefault="00CD0E09"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RESULTS</w:t>
      </w:r>
    </w:p>
    <w:p w14:paraId="53F4728A" w14:textId="13212137" w:rsidR="0011295B" w:rsidRPr="00141E92" w:rsidRDefault="0011295B" w:rsidP="008530E2">
      <w:pPr>
        <w:snapToGrid w:val="0"/>
        <w:spacing w:line="360" w:lineRule="auto"/>
        <w:jc w:val="both"/>
        <w:rPr>
          <w:rFonts w:ascii="Book Antiqua" w:hAnsi="Book Antiqua"/>
          <w:b/>
          <w:sz w:val="24"/>
          <w:szCs w:val="24"/>
        </w:rPr>
      </w:pPr>
      <w:r w:rsidRPr="00141E92">
        <w:rPr>
          <w:rFonts w:ascii="Book Antiqua" w:hAnsi="Book Antiqua"/>
          <w:sz w:val="24"/>
          <w:szCs w:val="24"/>
        </w:rPr>
        <w:t xml:space="preserve">RT-PCR analysis revealed that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IAP1, IAP2 mRNA expression were accordingly 3.3-fold, 5.5-fold and 8.4 higher in the </w:t>
      </w:r>
      <w:r w:rsidR="00601EAE" w:rsidRPr="00141E92">
        <w:rPr>
          <w:rFonts w:ascii="Book Antiqua" w:hAnsi="Book Antiqua"/>
          <w:sz w:val="24"/>
          <w:szCs w:val="24"/>
        </w:rPr>
        <w:t>PDAC</w:t>
      </w:r>
      <w:r w:rsidRPr="00141E92">
        <w:rPr>
          <w:rFonts w:ascii="Book Antiqua" w:hAnsi="Book Antiqua"/>
          <w:sz w:val="24"/>
          <w:szCs w:val="24"/>
        </w:rPr>
        <w:t xml:space="preserve"> when comp</w:t>
      </w:r>
      <w:r w:rsidR="00CD0E09" w:rsidRPr="00141E92">
        <w:rPr>
          <w:rFonts w:ascii="Book Antiqua" w:hAnsi="Book Antiqua"/>
          <w:sz w:val="24"/>
          <w:szCs w:val="24"/>
        </w:rPr>
        <w:t>ared to normal pancreas</w:t>
      </w:r>
      <w:r w:rsidR="005215F1" w:rsidRPr="00141E92">
        <w:rPr>
          <w:rFonts w:ascii="Book Antiqua" w:hAnsi="Book Antiqua"/>
          <w:sz w:val="24"/>
          <w:szCs w:val="24"/>
        </w:rPr>
        <w:t xml:space="preserve"> (</w:t>
      </w:r>
      <w:r w:rsidR="005215F1" w:rsidRPr="00141E92">
        <w:rPr>
          <w:rFonts w:ascii="Book Antiqua" w:hAnsi="Book Antiqua" w:cs="Times"/>
          <w:i/>
          <w:color w:val="000000" w:themeColor="text1"/>
          <w:sz w:val="24"/>
          <w:szCs w:val="24"/>
        </w:rPr>
        <w:t>P</w:t>
      </w:r>
      <w:r w:rsidR="005215F1" w:rsidRPr="00141E92" w:rsidDel="00954575">
        <w:rPr>
          <w:rFonts w:ascii="Book Antiqua" w:hAnsi="Book Antiqua" w:cs="Times"/>
          <w:color w:val="000000" w:themeColor="text1"/>
          <w:sz w:val="24"/>
          <w:szCs w:val="24"/>
        </w:rPr>
        <w:t xml:space="preserve"> </w:t>
      </w:r>
      <w:r w:rsidR="005215F1" w:rsidRPr="00141E92">
        <w:rPr>
          <w:rFonts w:ascii="Book Antiqua" w:hAnsi="Book Antiqua" w:cs="Times"/>
          <w:color w:val="000000" w:themeColor="text1"/>
          <w:sz w:val="24"/>
          <w:szCs w:val="24"/>
        </w:rPr>
        <w:t>&lt; 0.05</w:t>
      </w:r>
      <w:r w:rsidRPr="00141E92">
        <w:rPr>
          <w:rFonts w:ascii="Book Antiqua" w:hAnsi="Book Antiqua"/>
          <w:sz w:val="24"/>
          <w:szCs w:val="24"/>
        </w:rPr>
        <w:t xml:space="preserve">). </w:t>
      </w:r>
      <w:r w:rsidR="0087052D" w:rsidRPr="00141E92">
        <w:rPr>
          <w:rFonts w:ascii="Book Antiqua" w:hAnsi="Book Antiqua"/>
          <w:sz w:val="24"/>
          <w:szCs w:val="24"/>
        </w:rPr>
        <w:t>E</w:t>
      </w:r>
      <w:r w:rsidRPr="00141E92">
        <w:rPr>
          <w:rFonts w:ascii="Book Antiqua" w:hAnsi="Book Antiqua"/>
          <w:color w:val="000000" w:themeColor="text1"/>
          <w:sz w:val="24"/>
          <w:szCs w:val="24"/>
        </w:rPr>
        <w:t>xpression of IAP1</w:t>
      </w:r>
      <w:r w:rsidR="008364AC" w:rsidRPr="00141E92">
        <w:rPr>
          <w:rFonts w:ascii="Book Antiqua" w:hAnsi="Book Antiqua"/>
          <w:color w:val="000000" w:themeColor="text1"/>
          <w:sz w:val="24"/>
          <w:szCs w:val="24"/>
        </w:rPr>
        <w:t xml:space="preserve"> </w:t>
      </w:r>
      <w:r w:rsidR="0087052D" w:rsidRPr="00141E92">
        <w:rPr>
          <w:rFonts w:ascii="Book Antiqua" w:hAnsi="Book Antiqua"/>
          <w:color w:val="000000" w:themeColor="text1"/>
          <w:sz w:val="24"/>
          <w:szCs w:val="24"/>
        </w:rPr>
        <w:t>was</w:t>
      </w:r>
      <w:r w:rsidR="00846E86"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 xml:space="preserve">positively </w:t>
      </w:r>
      <w:r w:rsidR="0087052D" w:rsidRPr="00141E92">
        <w:rPr>
          <w:rFonts w:ascii="Book Antiqua" w:hAnsi="Book Antiqua"/>
          <w:color w:val="000000" w:themeColor="text1"/>
          <w:sz w:val="24"/>
          <w:szCs w:val="24"/>
        </w:rPr>
        <w:t xml:space="preserve">strongly </w:t>
      </w:r>
      <w:r w:rsidRPr="00141E92">
        <w:rPr>
          <w:rFonts w:ascii="Book Antiqua" w:hAnsi="Book Antiqua"/>
          <w:color w:val="000000" w:themeColor="text1"/>
          <w:sz w:val="24"/>
          <w:szCs w:val="24"/>
        </w:rPr>
        <w:t xml:space="preserve">correlated with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expression</w:t>
      </w:r>
      <w:r w:rsidR="005215F1" w:rsidRPr="00141E92">
        <w:rPr>
          <w:rFonts w:ascii="Book Antiqua" w:hAnsi="Book Antiqua"/>
          <w:color w:val="000000" w:themeColor="text1"/>
          <w:sz w:val="24"/>
          <w:szCs w:val="24"/>
        </w:rPr>
        <w:t xml:space="preserve"> (</w:t>
      </w:r>
      <w:r w:rsidR="005215F1" w:rsidRPr="00141E92">
        <w:rPr>
          <w:rFonts w:ascii="Book Antiqua" w:hAnsi="Book Antiqua" w:cs="Times"/>
          <w:i/>
          <w:color w:val="000000" w:themeColor="text1"/>
          <w:sz w:val="24"/>
          <w:szCs w:val="24"/>
        </w:rPr>
        <w:t>P</w:t>
      </w:r>
      <w:r w:rsidR="005215F1" w:rsidRPr="00141E92" w:rsidDel="00954575">
        <w:rPr>
          <w:rFonts w:ascii="Book Antiqua" w:hAnsi="Book Antiqua" w:cs="Times"/>
          <w:color w:val="000000" w:themeColor="text1"/>
          <w:sz w:val="24"/>
          <w:szCs w:val="24"/>
        </w:rPr>
        <w:t xml:space="preserve"> </w:t>
      </w:r>
      <w:r w:rsidR="005215F1" w:rsidRPr="00141E92">
        <w:rPr>
          <w:rFonts w:ascii="Book Antiqua" w:hAnsi="Book Antiqua" w:cs="Times"/>
          <w:color w:val="000000" w:themeColor="text1"/>
          <w:sz w:val="24"/>
          <w:szCs w:val="24"/>
        </w:rPr>
        <w:t>&lt; 0.05</w:t>
      </w:r>
      <w:r w:rsidR="0087052D" w:rsidRPr="00141E92">
        <w:rPr>
          <w:rFonts w:ascii="Book Antiqua" w:hAnsi="Book Antiqua" w:cs="Times"/>
          <w:color w:val="000000" w:themeColor="text1"/>
          <w:sz w:val="24"/>
          <w:szCs w:val="24"/>
        </w:rPr>
        <w:t xml:space="preserve">, </w:t>
      </w:r>
      <w:r w:rsidR="0087052D" w:rsidRPr="00141E92">
        <w:rPr>
          <w:rFonts w:ascii="Book Antiqua" w:hAnsi="Book Antiqua"/>
          <w:i/>
          <w:color w:val="000000" w:themeColor="text1"/>
          <w:sz w:val="24"/>
          <w:szCs w:val="24"/>
        </w:rPr>
        <w:t xml:space="preserve">r </w:t>
      </w:r>
      <w:r w:rsidR="0087052D" w:rsidRPr="00141E92">
        <w:rPr>
          <w:rFonts w:ascii="Book Antiqua" w:hAnsi="Book Antiqua"/>
          <w:color w:val="000000" w:themeColor="text1"/>
          <w:sz w:val="24"/>
          <w:szCs w:val="24"/>
        </w:rPr>
        <w:t>= 0.783</w:t>
      </w:r>
      <w:r w:rsidRPr="00141E92">
        <w:rPr>
          <w:rFonts w:ascii="Book Antiqua" w:hAnsi="Book Antiqua"/>
          <w:color w:val="000000" w:themeColor="text1"/>
          <w:sz w:val="24"/>
          <w:szCs w:val="24"/>
        </w:rPr>
        <w:t>).</w:t>
      </w:r>
      <w:r w:rsidR="007B25D8" w:rsidRPr="00141E92">
        <w:rPr>
          <w:rFonts w:ascii="Book Antiqua" w:hAnsi="Book Antiqua"/>
          <w:color w:val="000000" w:themeColor="text1"/>
          <w:sz w:val="24"/>
          <w:szCs w:val="24"/>
        </w:rPr>
        <w:t xml:space="preserve"> We</w:t>
      </w:r>
      <w:r w:rsidR="00CD0E09" w:rsidRPr="00141E92">
        <w:rPr>
          <w:rFonts w:ascii="Book Antiqua" w:hAnsi="Book Antiqua"/>
          <w:color w:val="000000" w:themeColor="text1"/>
          <w:sz w:val="24"/>
          <w:szCs w:val="24"/>
        </w:rPr>
        <w:t>stern</w:t>
      </w:r>
      <w:r w:rsidR="00B1446A" w:rsidRPr="00141E92">
        <w:rPr>
          <w:rFonts w:ascii="Book Antiqua" w:hAnsi="Book Antiqua"/>
          <w:color w:val="000000" w:themeColor="text1"/>
          <w:sz w:val="24"/>
          <w:szCs w:val="24"/>
        </w:rPr>
        <w:t xml:space="preserve"> b</w:t>
      </w:r>
      <w:r w:rsidR="007B25D8" w:rsidRPr="00141E92">
        <w:rPr>
          <w:rFonts w:ascii="Book Antiqua" w:hAnsi="Book Antiqua"/>
          <w:color w:val="000000" w:themeColor="text1"/>
          <w:sz w:val="24"/>
          <w:szCs w:val="24"/>
        </w:rPr>
        <w:t xml:space="preserve">lot analysis </w:t>
      </w:r>
      <w:r w:rsidR="00310C0A" w:rsidRPr="00141E92">
        <w:rPr>
          <w:rFonts w:ascii="Book Antiqua" w:hAnsi="Book Antiqua"/>
          <w:color w:val="000000" w:themeColor="text1"/>
          <w:sz w:val="24"/>
          <w:szCs w:val="24"/>
        </w:rPr>
        <w:t>confirmed RT-PCR results</w:t>
      </w:r>
      <w:r w:rsidR="007B25D8" w:rsidRPr="00141E92">
        <w:rPr>
          <w:rFonts w:ascii="Book Antiqua" w:hAnsi="Book Antiqua"/>
          <w:color w:val="000000" w:themeColor="text1"/>
          <w:sz w:val="24"/>
          <w:szCs w:val="24"/>
        </w:rPr>
        <w:t xml:space="preserve">. </w:t>
      </w:r>
      <w:r w:rsidR="00310C0A" w:rsidRPr="00141E92">
        <w:rPr>
          <w:rFonts w:ascii="Book Antiqua" w:hAnsi="Book Antiqua"/>
          <w:sz w:val="24"/>
          <w:szCs w:val="24"/>
        </w:rPr>
        <w:t>H</w:t>
      </w:r>
      <w:r w:rsidRPr="00141E92">
        <w:rPr>
          <w:rFonts w:ascii="Book Antiqua" w:hAnsi="Book Antiqua"/>
          <w:sz w:val="24"/>
          <w:szCs w:val="24"/>
        </w:rPr>
        <w:t xml:space="preserve">igh </w:t>
      </w:r>
      <w:r w:rsidR="00CD0E09" w:rsidRPr="00141E92">
        <w:rPr>
          <w:rFonts w:ascii="Book Antiqua" w:hAnsi="Book Antiqua"/>
          <w:sz w:val="24"/>
          <w:szCs w:val="24"/>
        </w:rPr>
        <w:t>IAP1 expression</w:t>
      </w:r>
      <w:r w:rsidRPr="00141E92">
        <w:rPr>
          <w:rFonts w:ascii="Book Antiqua" w:hAnsi="Book Antiqua"/>
          <w:sz w:val="24"/>
          <w:szCs w:val="24"/>
        </w:rPr>
        <w:t xml:space="preserve">, </w:t>
      </w:r>
      <w:r w:rsidR="00310C0A" w:rsidRPr="00141E92">
        <w:rPr>
          <w:rFonts w:ascii="Book Antiqua" w:hAnsi="Book Antiqua"/>
          <w:color w:val="000000" w:themeColor="text1"/>
          <w:sz w:val="24"/>
          <w:szCs w:val="24"/>
        </w:rPr>
        <w:t>t</w:t>
      </w:r>
      <w:r w:rsidRPr="00141E92">
        <w:rPr>
          <w:rFonts w:ascii="Book Antiqua" w:hAnsi="Book Antiqua"/>
          <w:color w:val="000000" w:themeColor="text1"/>
          <w:sz w:val="24"/>
          <w:szCs w:val="24"/>
        </w:rPr>
        <w:t xml:space="preserve">umor resection status, T stage, lymph-node metastases, tumor differentiation grade, perineural and lymphatic invasion were </w:t>
      </w:r>
      <w:r w:rsidR="00310C0A" w:rsidRPr="00141E92">
        <w:rPr>
          <w:rFonts w:ascii="Book Antiqua" w:hAnsi="Book Antiqua"/>
          <w:color w:val="000000" w:themeColor="text1"/>
          <w:sz w:val="24"/>
          <w:szCs w:val="24"/>
        </w:rPr>
        <w:t>identified</w:t>
      </w:r>
      <w:r w:rsidRPr="00141E92">
        <w:rPr>
          <w:rFonts w:ascii="Book Antiqua" w:hAnsi="Book Antiqua"/>
          <w:color w:val="000000" w:themeColor="text1"/>
          <w:sz w:val="24"/>
          <w:szCs w:val="24"/>
        </w:rPr>
        <w:t xml:space="preserve"> as significant factors for shorter survival in PDAC pat</w:t>
      </w:r>
      <w:r w:rsidR="005215F1" w:rsidRPr="00141E92">
        <w:rPr>
          <w:rFonts w:ascii="Book Antiqua" w:hAnsi="Book Antiqua"/>
          <w:color w:val="000000" w:themeColor="text1"/>
          <w:sz w:val="24"/>
          <w:szCs w:val="24"/>
        </w:rPr>
        <w:t>ients (</w:t>
      </w:r>
      <w:r w:rsidR="005215F1" w:rsidRPr="00141E92">
        <w:rPr>
          <w:rFonts w:ascii="Book Antiqua" w:hAnsi="Book Antiqua" w:cs="Times"/>
          <w:i/>
          <w:color w:val="000000" w:themeColor="text1"/>
          <w:sz w:val="24"/>
          <w:szCs w:val="24"/>
        </w:rPr>
        <w:t>P</w:t>
      </w:r>
      <w:r w:rsidR="005215F1" w:rsidRPr="00141E92" w:rsidDel="00954575">
        <w:rPr>
          <w:rFonts w:ascii="Book Antiqua" w:hAnsi="Book Antiqua" w:cs="Times"/>
          <w:color w:val="000000" w:themeColor="text1"/>
          <w:sz w:val="24"/>
          <w:szCs w:val="24"/>
        </w:rPr>
        <w:t xml:space="preserve"> </w:t>
      </w:r>
      <w:r w:rsidR="005215F1" w:rsidRPr="00141E92">
        <w:rPr>
          <w:rFonts w:ascii="Book Antiqua" w:hAnsi="Book Antiqua" w:cs="Times"/>
          <w:color w:val="000000" w:themeColor="text1"/>
          <w:sz w:val="24"/>
          <w:szCs w:val="24"/>
        </w:rPr>
        <w:t>&lt; 0.05</w:t>
      </w:r>
      <w:r w:rsidRPr="00141E92">
        <w:rPr>
          <w:rFonts w:ascii="Book Antiqua" w:hAnsi="Book Antiqua"/>
          <w:color w:val="000000" w:themeColor="text1"/>
          <w:sz w:val="24"/>
          <w:szCs w:val="24"/>
        </w:rPr>
        <w:t xml:space="preserve">). </w:t>
      </w:r>
      <w:proofErr w:type="spellStart"/>
      <w:r w:rsidR="00420694" w:rsidRPr="00141E92">
        <w:rPr>
          <w:rFonts w:ascii="Book Antiqua" w:hAnsi="Book Antiqua"/>
          <w:color w:val="000000" w:themeColor="text1"/>
          <w:sz w:val="24"/>
          <w:szCs w:val="24"/>
        </w:rPr>
        <w:t>Immu</w:t>
      </w:r>
      <w:r w:rsidR="00CD0E09" w:rsidRPr="00141E92">
        <w:rPr>
          <w:rFonts w:ascii="Book Antiqua" w:hAnsi="Book Antiqua"/>
          <w:color w:val="000000" w:themeColor="text1"/>
          <w:sz w:val="24"/>
          <w:szCs w:val="24"/>
        </w:rPr>
        <w:t>nohistological</w:t>
      </w:r>
      <w:proofErr w:type="spellEnd"/>
      <w:r w:rsidR="00CD0E09" w:rsidRPr="00141E92">
        <w:rPr>
          <w:rFonts w:ascii="Book Antiqua" w:hAnsi="Book Antiqua"/>
          <w:color w:val="000000" w:themeColor="text1"/>
          <w:sz w:val="24"/>
          <w:szCs w:val="24"/>
        </w:rPr>
        <w:t xml:space="preserve"> analysis showed</w:t>
      </w:r>
      <w:r w:rsidR="00420694" w:rsidRPr="00141E92">
        <w:rPr>
          <w:rFonts w:ascii="Book Antiqua" w:hAnsi="Book Antiqua"/>
          <w:color w:val="000000" w:themeColor="text1"/>
          <w:sz w:val="24"/>
          <w:szCs w:val="24"/>
        </w:rPr>
        <w:t xml:space="preserve"> that </w:t>
      </w:r>
      <w:proofErr w:type="spellStart"/>
      <w:r w:rsidR="00420694" w:rsidRPr="00141E92">
        <w:rPr>
          <w:rFonts w:ascii="Book Antiqua" w:hAnsi="Book Antiqua"/>
          <w:color w:val="000000" w:themeColor="text1"/>
          <w:sz w:val="24"/>
          <w:szCs w:val="24"/>
        </w:rPr>
        <w:t>HuR</w:t>
      </w:r>
      <w:proofErr w:type="spellEnd"/>
      <w:r w:rsidR="00420694" w:rsidRPr="00141E92">
        <w:rPr>
          <w:rFonts w:ascii="Book Antiqua" w:hAnsi="Book Antiqua"/>
          <w:color w:val="000000" w:themeColor="text1"/>
          <w:sz w:val="24"/>
          <w:szCs w:val="24"/>
        </w:rPr>
        <w:t xml:space="preserve"> was mainly </w:t>
      </w:r>
      <w:r w:rsidR="00846E86" w:rsidRPr="00141E92">
        <w:rPr>
          <w:rFonts w:ascii="Book Antiqua" w:hAnsi="Book Antiqua"/>
          <w:color w:val="000000" w:themeColor="text1"/>
          <w:sz w:val="24"/>
          <w:szCs w:val="24"/>
        </w:rPr>
        <w:t>expressed</w:t>
      </w:r>
      <w:r w:rsidR="00420694" w:rsidRPr="00141E92">
        <w:rPr>
          <w:rFonts w:ascii="Book Antiqua" w:hAnsi="Book Antiqua"/>
          <w:color w:val="000000" w:themeColor="text1"/>
          <w:sz w:val="24"/>
          <w:szCs w:val="24"/>
        </w:rPr>
        <w:t xml:space="preserve"> in the ductal cancer cell’s nucleus and less</w:t>
      </w:r>
      <w:r w:rsidR="00846E86" w:rsidRPr="00141E92">
        <w:rPr>
          <w:rFonts w:ascii="Book Antiqua" w:hAnsi="Book Antiqua"/>
          <w:color w:val="000000" w:themeColor="text1"/>
          <w:sz w:val="24"/>
          <w:szCs w:val="24"/>
        </w:rPr>
        <w:t xml:space="preserve"> so</w:t>
      </w:r>
      <w:r w:rsidR="00420694" w:rsidRPr="00141E92">
        <w:rPr>
          <w:rFonts w:ascii="Book Antiqua" w:hAnsi="Book Antiqua"/>
          <w:color w:val="000000" w:themeColor="text1"/>
          <w:sz w:val="24"/>
          <w:szCs w:val="24"/>
        </w:rPr>
        <w:t xml:space="preserve"> in c</w:t>
      </w:r>
      <w:r w:rsidR="00CD0E09" w:rsidRPr="00141E92">
        <w:rPr>
          <w:rFonts w:ascii="Book Antiqua" w:hAnsi="Book Antiqua"/>
          <w:color w:val="000000" w:themeColor="text1"/>
          <w:sz w:val="24"/>
          <w:szCs w:val="24"/>
        </w:rPr>
        <w:t>ytoplasm</w:t>
      </w:r>
      <w:r w:rsidR="00420694" w:rsidRPr="00141E92">
        <w:rPr>
          <w:rFonts w:ascii="Book Antiqua" w:hAnsi="Book Antiqua"/>
          <w:color w:val="000000" w:themeColor="text1"/>
          <w:sz w:val="24"/>
          <w:szCs w:val="24"/>
        </w:rPr>
        <w:t>.</w:t>
      </w:r>
      <w:r w:rsidR="00846E86" w:rsidRPr="00141E92">
        <w:rPr>
          <w:rFonts w:ascii="Book Antiqua" w:hAnsi="Book Antiqua"/>
          <w:color w:val="000000" w:themeColor="text1"/>
          <w:sz w:val="24"/>
          <w:szCs w:val="24"/>
        </w:rPr>
        <w:t xml:space="preserve"> </w:t>
      </w:r>
      <w:r w:rsidRPr="00141E92">
        <w:rPr>
          <w:rFonts w:ascii="Book Antiqua" w:hAnsi="Book Antiqua"/>
          <w:sz w:val="24"/>
          <w:szCs w:val="24"/>
        </w:rPr>
        <w:t xml:space="preserve">RNA immunoprecipitation analysis confirmed IAP1 and IAP2 post-transcriptional regulation by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protein. </w:t>
      </w:r>
      <w:r w:rsidR="0093448C" w:rsidRPr="00141E92">
        <w:rPr>
          <w:rFonts w:ascii="Book Antiqua" w:hAnsi="Book Antiqua" w:cs="Verdana"/>
          <w:sz w:val="24"/>
          <w:szCs w:val="24"/>
        </w:rPr>
        <w:t xml:space="preserve">Following </w:t>
      </w:r>
      <w:proofErr w:type="spellStart"/>
      <w:r w:rsidR="0093448C" w:rsidRPr="00141E92">
        <w:rPr>
          <w:rFonts w:ascii="Book Antiqua" w:hAnsi="Book Antiqua" w:cs="Verdana"/>
          <w:sz w:val="24"/>
          <w:szCs w:val="24"/>
        </w:rPr>
        <w:t>siHuR</w:t>
      </w:r>
      <w:proofErr w:type="spellEnd"/>
      <w:r w:rsidR="0093448C" w:rsidRPr="00141E92">
        <w:rPr>
          <w:rFonts w:ascii="Book Antiqua" w:hAnsi="Book Antiqua"/>
          <w:sz w:val="24"/>
          <w:szCs w:val="24"/>
        </w:rPr>
        <w:t xml:space="preserve"> </w:t>
      </w:r>
      <w:r w:rsidRPr="00141E92">
        <w:rPr>
          <w:rFonts w:ascii="Book Antiqua" w:hAnsi="Book Antiqua"/>
          <w:sz w:val="24"/>
          <w:szCs w:val="24"/>
        </w:rPr>
        <w:t>transfection</w:t>
      </w:r>
      <w:r w:rsidRPr="00141E92">
        <w:rPr>
          <w:rFonts w:ascii="Book Antiqua" w:hAnsi="Book Antiqua" w:cs="Verdana"/>
          <w:sz w:val="24"/>
          <w:szCs w:val="24"/>
        </w:rPr>
        <w:t>, IAP1 mRNA and protein levels were decreased, however IAP2 expression levels were increased</w:t>
      </w:r>
      <w:r w:rsidRPr="00141E92">
        <w:rPr>
          <w:rFonts w:ascii="Book Antiqua" w:hAnsi="Book Antiqua"/>
          <w:sz w:val="24"/>
          <w:szCs w:val="24"/>
        </w:rPr>
        <w:t xml:space="preserve">. </w:t>
      </w:r>
    </w:p>
    <w:p w14:paraId="190C1E2A" w14:textId="77777777" w:rsidR="00CD0E09" w:rsidRPr="00141E92" w:rsidRDefault="00CD0E09" w:rsidP="008530E2">
      <w:pPr>
        <w:snapToGrid w:val="0"/>
        <w:spacing w:line="360" w:lineRule="auto"/>
        <w:jc w:val="both"/>
        <w:rPr>
          <w:rFonts w:ascii="Book Antiqua" w:hAnsi="Book Antiqua"/>
          <w:b/>
          <w:i/>
          <w:sz w:val="24"/>
          <w:szCs w:val="24"/>
        </w:rPr>
      </w:pPr>
    </w:p>
    <w:p w14:paraId="231E5A41" w14:textId="6F8A2593" w:rsidR="00CD0E09" w:rsidRPr="00141E92" w:rsidRDefault="00CD0E09"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CONCLUSION</w:t>
      </w:r>
    </w:p>
    <w:p w14:paraId="63DB0155" w14:textId="11FFA625" w:rsidR="0011295B" w:rsidRPr="00141E92" w:rsidRDefault="006073AD" w:rsidP="008530E2">
      <w:pPr>
        <w:snapToGrid w:val="0"/>
        <w:spacing w:line="360" w:lineRule="auto"/>
        <w:jc w:val="both"/>
        <w:rPr>
          <w:rFonts w:ascii="Book Antiqua" w:hAnsi="Book Antiqua"/>
          <w:b/>
          <w:sz w:val="24"/>
          <w:szCs w:val="24"/>
        </w:rPr>
      </w:pPr>
      <w:proofErr w:type="spellStart"/>
      <w:r w:rsidRPr="00141E92">
        <w:rPr>
          <w:rFonts w:ascii="Book Antiqua" w:hAnsi="Book Antiqua"/>
          <w:sz w:val="24"/>
          <w:szCs w:val="24"/>
        </w:rPr>
        <w:lastRenderedPageBreak/>
        <w:t>HuR</w:t>
      </w:r>
      <w:proofErr w:type="spellEnd"/>
      <w:r w:rsidRPr="00141E92">
        <w:rPr>
          <w:rFonts w:ascii="Book Antiqua" w:hAnsi="Book Antiqua"/>
          <w:sz w:val="24"/>
          <w:szCs w:val="24"/>
        </w:rPr>
        <w:t xml:space="preserve"> mediated o</w:t>
      </w:r>
      <w:r w:rsidR="0011295B" w:rsidRPr="00141E92">
        <w:rPr>
          <w:rFonts w:ascii="Book Antiqua" w:hAnsi="Book Antiqua"/>
          <w:sz w:val="24"/>
          <w:szCs w:val="24"/>
        </w:rPr>
        <w:t xml:space="preserve">verexpression of IAP1 significantly </w:t>
      </w:r>
      <w:r w:rsidRPr="00141E92">
        <w:rPr>
          <w:rFonts w:ascii="Book Antiqua" w:hAnsi="Book Antiqua"/>
          <w:sz w:val="24"/>
          <w:szCs w:val="24"/>
        </w:rPr>
        <w:t>correlates with</w:t>
      </w:r>
      <w:r w:rsidR="0011295B" w:rsidRPr="00141E92">
        <w:rPr>
          <w:rFonts w:ascii="Book Antiqua" w:hAnsi="Book Antiqua"/>
          <w:sz w:val="24"/>
          <w:szCs w:val="24"/>
        </w:rPr>
        <w:t xml:space="preserve"> poor outcome</w:t>
      </w:r>
      <w:r w:rsidRPr="00141E92">
        <w:rPr>
          <w:rFonts w:ascii="Book Antiqua" w:hAnsi="Book Antiqua"/>
          <w:sz w:val="24"/>
          <w:szCs w:val="24"/>
        </w:rPr>
        <w:t>s</w:t>
      </w:r>
      <w:r w:rsidR="0011295B" w:rsidRPr="00141E92">
        <w:rPr>
          <w:rFonts w:ascii="Book Antiqua" w:hAnsi="Book Antiqua"/>
          <w:sz w:val="24"/>
          <w:szCs w:val="24"/>
        </w:rPr>
        <w:t xml:space="preserve"> and early progression of pancreatic cancer. </w:t>
      </w:r>
      <w:r w:rsidRPr="00141E92">
        <w:rPr>
          <w:rFonts w:ascii="Book Antiqua" w:hAnsi="Book Antiqua"/>
          <w:sz w:val="24"/>
          <w:szCs w:val="24"/>
        </w:rPr>
        <w:t>Further studies are needed to assess the</w:t>
      </w:r>
      <w:r w:rsidR="0011295B" w:rsidRPr="00141E92">
        <w:rPr>
          <w:rFonts w:ascii="Book Antiqua" w:hAnsi="Book Antiqua"/>
          <w:sz w:val="24"/>
          <w:szCs w:val="24"/>
        </w:rPr>
        <w:t xml:space="preserve"> underlying </w:t>
      </w:r>
      <w:r w:rsidRPr="00141E92">
        <w:rPr>
          <w:rFonts w:ascii="Book Antiqua" w:hAnsi="Book Antiqua"/>
          <w:sz w:val="24"/>
          <w:szCs w:val="24"/>
        </w:rPr>
        <w:t>mechanisms</w:t>
      </w:r>
      <w:r w:rsidR="0011295B" w:rsidRPr="00141E92">
        <w:rPr>
          <w:rFonts w:ascii="Book Antiqua" w:hAnsi="Book Antiqua"/>
          <w:sz w:val="24"/>
          <w:szCs w:val="24"/>
        </w:rPr>
        <w:t>.</w:t>
      </w:r>
    </w:p>
    <w:p w14:paraId="10ABFDBE" w14:textId="77777777" w:rsidR="00420694" w:rsidRPr="00141E92" w:rsidRDefault="00420694" w:rsidP="008530E2">
      <w:pPr>
        <w:snapToGrid w:val="0"/>
        <w:spacing w:line="360" w:lineRule="auto"/>
        <w:jc w:val="both"/>
        <w:rPr>
          <w:rFonts w:ascii="Book Antiqua" w:hAnsi="Book Antiqua"/>
          <w:b/>
          <w:sz w:val="24"/>
          <w:szCs w:val="24"/>
        </w:rPr>
      </w:pPr>
    </w:p>
    <w:p w14:paraId="7AE6C46A" w14:textId="4FE46DA6" w:rsidR="007E4A65" w:rsidRDefault="00CD0E09" w:rsidP="008530E2">
      <w:pPr>
        <w:widowControl w:val="0"/>
        <w:snapToGrid w:val="0"/>
        <w:spacing w:line="360" w:lineRule="auto"/>
        <w:jc w:val="both"/>
        <w:rPr>
          <w:rFonts w:ascii="Book Antiqua" w:hAnsi="Book Antiqua" w:cs="Times"/>
          <w:color w:val="000000" w:themeColor="text1"/>
          <w:sz w:val="24"/>
          <w:szCs w:val="24"/>
        </w:rPr>
      </w:pPr>
      <w:r w:rsidRPr="00141E92">
        <w:rPr>
          <w:rFonts w:ascii="Book Antiqua" w:hAnsi="Book Antiqua"/>
          <w:b/>
          <w:sz w:val="24"/>
          <w:szCs w:val="24"/>
        </w:rPr>
        <w:t>Key words</w:t>
      </w:r>
      <w:r w:rsidR="007E4A65" w:rsidRPr="00141E92">
        <w:rPr>
          <w:rFonts w:ascii="Book Antiqua" w:hAnsi="Book Antiqua"/>
          <w:b/>
          <w:sz w:val="24"/>
          <w:szCs w:val="24"/>
        </w:rPr>
        <w:t xml:space="preserve">: </w:t>
      </w:r>
      <w:bookmarkStart w:id="20" w:name="OLE_LINK28"/>
      <w:bookmarkStart w:id="21" w:name="OLE_LINK29"/>
      <w:r w:rsidRPr="00141E92">
        <w:rPr>
          <w:rFonts w:ascii="Book Antiqua" w:hAnsi="Book Antiqua"/>
          <w:sz w:val="24"/>
          <w:szCs w:val="24"/>
        </w:rPr>
        <w:t>P</w:t>
      </w:r>
      <w:r w:rsidR="007E4A65" w:rsidRPr="00141E92">
        <w:rPr>
          <w:rFonts w:ascii="Book Antiqua" w:hAnsi="Book Antiqua"/>
          <w:sz w:val="24"/>
          <w:szCs w:val="24"/>
        </w:rPr>
        <w:t>ancreatic cancer</w:t>
      </w:r>
      <w:r w:rsidRPr="00141E92">
        <w:rPr>
          <w:rFonts w:ascii="Book Antiqua" w:hAnsi="Book Antiqua"/>
          <w:sz w:val="24"/>
          <w:szCs w:val="24"/>
        </w:rPr>
        <w:t>;</w:t>
      </w:r>
      <w:r w:rsidR="00A0395A" w:rsidRPr="00141E92">
        <w:rPr>
          <w:rFonts w:ascii="Book Antiqua" w:hAnsi="Book Antiqua"/>
          <w:sz w:val="24"/>
          <w:szCs w:val="24"/>
        </w:rPr>
        <w:t xml:space="preserve"> </w:t>
      </w:r>
      <w:r w:rsidR="00A0395A" w:rsidRPr="00141E92">
        <w:rPr>
          <w:rFonts w:ascii="Book Antiqua" w:hAnsi="Book Antiqua" w:cs="Times"/>
          <w:color w:val="000000" w:themeColor="text1"/>
          <w:sz w:val="24"/>
          <w:szCs w:val="24"/>
        </w:rPr>
        <w:t>Inhibitor</w:t>
      </w:r>
      <w:r w:rsidR="00C06B7B" w:rsidRPr="00141E92">
        <w:rPr>
          <w:rFonts w:ascii="Book Antiqua" w:hAnsi="Book Antiqua" w:cs="Times"/>
          <w:color w:val="000000" w:themeColor="text1"/>
          <w:sz w:val="24"/>
          <w:szCs w:val="24"/>
        </w:rPr>
        <w:t>s</w:t>
      </w:r>
      <w:r w:rsidR="00A0395A" w:rsidRPr="00141E92">
        <w:rPr>
          <w:rFonts w:ascii="Book Antiqua" w:hAnsi="Book Antiqua" w:cs="Times"/>
          <w:color w:val="000000" w:themeColor="text1"/>
          <w:sz w:val="24"/>
          <w:szCs w:val="24"/>
        </w:rPr>
        <w:t xml:space="preserve"> of apoptosis proteins</w:t>
      </w:r>
      <w:r w:rsidRPr="00141E92">
        <w:rPr>
          <w:rFonts w:ascii="Book Antiqua" w:hAnsi="Book Antiqua"/>
          <w:sz w:val="24"/>
          <w:szCs w:val="24"/>
        </w:rPr>
        <w:t>;</w:t>
      </w:r>
      <w:r w:rsidR="009B4B74" w:rsidRPr="00141E92">
        <w:rPr>
          <w:rFonts w:ascii="Book Antiqua" w:hAnsi="Book Antiqua"/>
          <w:sz w:val="24"/>
          <w:szCs w:val="24"/>
        </w:rPr>
        <w:t xml:space="preserve"> </w:t>
      </w:r>
      <w:r w:rsidR="009B4B74" w:rsidRPr="00141E92">
        <w:rPr>
          <w:rFonts w:ascii="Book Antiqua" w:hAnsi="Book Antiqua" w:cs="Times"/>
          <w:color w:val="000000" w:themeColor="text1"/>
          <w:sz w:val="24"/>
          <w:szCs w:val="24"/>
        </w:rPr>
        <w:t>Hu</w:t>
      </w:r>
      <w:r w:rsidR="003B4F68" w:rsidRPr="00141E92">
        <w:rPr>
          <w:rFonts w:ascii="Book Antiqua" w:hAnsi="Book Antiqua" w:cs="Times"/>
          <w:color w:val="000000" w:themeColor="text1"/>
          <w:sz w:val="24"/>
          <w:szCs w:val="24"/>
        </w:rPr>
        <w:t>man</w:t>
      </w:r>
      <w:r w:rsidR="009B4B74" w:rsidRPr="00141E92">
        <w:rPr>
          <w:rFonts w:ascii="Book Antiqua" w:hAnsi="Book Antiqua" w:cs="Times"/>
          <w:color w:val="000000" w:themeColor="text1"/>
          <w:sz w:val="24"/>
          <w:szCs w:val="24"/>
        </w:rPr>
        <w:t xml:space="preserve"> antigen R</w:t>
      </w:r>
      <w:r w:rsidR="00D90CC9" w:rsidRPr="00141E92">
        <w:rPr>
          <w:rFonts w:ascii="Book Antiqua" w:hAnsi="Book Antiqua" w:cs="Times"/>
          <w:color w:val="000000" w:themeColor="text1"/>
          <w:sz w:val="24"/>
          <w:szCs w:val="24"/>
        </w:rPr>
        <w:t>; Post-transcriptional regulation</w:t>
      </w:r>
      <w:bookmarkEnd w:id="20"/>
      <w:bookmarkEnd w:id="21"/>
    </w:p>
    <w:p w14:paraId="766D41DB" w14:textId="77777777" w:rsidR="009B6230" w:rsidRPr="00141E92" w:rsidRDefault="009B6230" w:rsidP="008530E2">
      <w:pPr>
        <w:widowControl w:val="0"/>
        <w:snapToGrid w:val="0"/>
        <w:spacing w:line="360" w:lineRule="auto"/>
        <w:jc w:val="both"/>
        <w:rPr>
          <w:rFonts w:ascii="Book Antiqua" w:hAnsi="Book Antiqua" w:cs="Times"/>
          <w:color w:val="000000" w:themeColor="text1"/>
          <w:sz w:val="24"/>
          <w:szCs w:val="24"/>
        </w:rPr>
      </w:pPr>
    </w:p>
    <w:p w14:paraId="56F90151" w14:textId="3899BF74" w:rsidR="00296CC4" w:rsidRDefault="00296CC4" w:rsidP="008530E2">
      <w:pPr>
        <w:autoSpaceDE/>
        <w:autoSpaceDN/>
        <w:snapToGrid w:val="0"/>
        <w:spacing w:line="360" w:lineRule="auto"/>
        <w:jc w:val="both"/>
        <w:rPr>
          <w:rFonts w:ascii="Book Antiqua" w:eastAsia="Times New Roman" w:hAnsi="Book Antiqua" w:cs="Times New Roman"/>
          <w:color w:val="auto"/>
          <w:sz w:val="24"/>
          <w:szCs w:val="24"/>
        </w:rPr>
      </w:pPr>
      <w:bookmarkStart w:id="22" w:name="OLE_LINK30"/>
      <w:bookmarkStart w:id="23" w:name="OLE_LINK31"/>
      <w:proofErr w:type="gramStart"/>
      <w:r w:rsidRPr="009B6230">
        <w:rPr>
          <w:rFonts w:ascii="Book Antiqua" w:eastAsia="Times New Roman" w:hAnsi="Book Antiqua" w:cs="Times New Roman"/>
          <w:b/>
          <w:color w:val="auto"/>
          <w:sz w:val="24"/>
          <w:szCs w:val="24"/>
        </w:rPr>
        <w:t>© The Author(s) 201</w:t>
      </w:r>
      <w:r w:rsidR="00C41CEA">
        <w:rPr>
          <w:rFonts w:ascii="Book Antiqua" w:hAnsi="Book Antiqua" w:cs="Times New Roman" w:hint="eastAsia"/>
          <w:b/>
          <w:color w:val="auto"/>
          <w:sz w:val="24"/>
          <w:szCs w:val="24"/>
          <w:lang w:eastAsia="zh-CN"/>
        </w:rPr>
        <w:t>9</w:t>
      </w:r>
      <w:bookmarkStart w:id="24" w:name="_GoBack"/>
      <w:bookmarkEnd w:id="24"/>
      <w:r w:rsidRPr="009B6230">
        <w:rPr>
          <w:rFonts w:ascii="Book Antiqua" w:eastAsia="Times New Roman" w:hAnsi="Book Antiqua" w:cs="Times New Roman"/>
          <w:b/>
          <w:color w:val="auto"/>
          <w:sz w:val="24"/>
          <w:szCs w:val="24"/>
        </w:rPr>
        <w:t>.</w:t>
      </w:r>
      <w:proofErr w:type="gramEnd"/>
      <w:r w:rsidRPr="009B6230">
        <w:rPr>
          <w:rFonts w:ascii="Book Antiqua" w:eastAsia="Times New Roman" w:hAnsi="Book Antiqua" w:cs="Times New Roman"/>
          <w:b/>
          <w:color w:val="auto"/>
          <w:sz w:val="24"/>
          <w:szCs w:val="24"/>
        </w:rPr>
        <w:t xml:space="preserve"> </w:t>
      </w:r>
      <w:proofErr w:type="gramStart"/>
      <w:r w:rsidRPr="00141E92">
        <w:rPr>
          <w:rFonts w:ascii="Book Antiqua" w:eastAsia="Times New Roman" w:hAnsi="Book Antiqua" w:cs="Times New Roman"/>
          <w:color w:val="auto"/>
          <w:sz w:val="24"/>
          <w:szCs w:val="24"/>
        </w:rPr>
        <w:t xml:space="preserve">Published by </w:t>
      </w:r>
      <w:proofErr w:type="spellStart"/>
      <w:r w:rsidRPr="00141E92">
        <w:rPr>
          <w:rFonts w:ascii="Book Antiqua" w:eastAsia="Times New Roman" w:hAnsi="Book Antiqua" w:cs="Times New Roman"/>
          <w:color w:val="auto"/>
          <w:sz w:val="24"/>
          <w:szCs w:val="24"/>
        </w:rPr>
        <w:t>Baishideng</w:t>
      </w:r>
      <w:proofErr w:type="spellEnd"/>
      <w:r w:rsidRPr="00141E92">
        <w:rPr>
          <w:rFonts w:ascii="Book Antiqua" w:eastAsia="Times New Roman" w:hAnsi="Book Antiqua" w:cs="Times New Roman"/>
          <w:color w:val="auto"/>
          <w:sz w:val="24"/>
          <w:szCs w:val="24"/>
        </w:rPr>
        <w:t xml:space="preserve"> Publishing </w:t>
      </w:r>
      <w:r w:rsidR="009B6230">
        <w:rPr>
          <w:rFonts w:ascii="Book Antiqua" w:eastAsia="Times New Roman" w:hAnsi="Book Antiqua" w:cs="Times New Roman"/>
          <w:color w:val="auto"/>
          <w:sz w:val="24"/>
          <w:szCs w:val="24"/>
        </w:rPr>
        <w:t>Group Inc.</w:t>
      </w:r>
      <w:proofErr w:type="gramEnd"/>
      <w:r w:rsidR="009B6230">
        <w:rPr>
          <w:rFonts w:ascii="Book Antiqua" w:eastAsia="Times New Roman" w:hAnsi="Book Antiqua" w:cs="Times New Roman"/>
          <w:color w:val="auto"/>
          <w:sz w:val="24"/>
          <w:szCs w:val="24"/>
        </w:rPr>
        <w:t xml:space="preserve"> All rights reserved.</w:t>
      </w:r>
    </w:p>
    <w:bookmarkEnd w:id="22"/>
    <w:bookmarkEnd w:id="23"/>
    <w:p w14:paraId="18330895" w14:textId="77777777" w:rsidR="009B6230" w:rsidRPr="00141E92" w:rsidRDefault="009B6230" w:rsidP="008530E2">
      <w:pPr>
        <w:autoSpaceDE/>
        <w:autoSpaceDN/>
        <w:snapToGrid w:val="0"/>
        <w:spacing w:line="360" w:lineRule="auto"/>
        <w:jc w:val="both"/>
        <w:rPr>
          <w:rFonts w:ascii="Book Antiqua" w:eastAsia="Times New Roman" w:hAnsi="Book Antiqua" w:cs="Times New Roman"/>
          <w:color w:val="auto"/>
          <w:sz w:val="24"/>
          <w:szCs w:val="24"/>
        </w:rPr>
      </w:pPr>
    </w:p>
    <w:p w14:paraId="22D0BE9B" w14:textId="22FBC716" w:rsidR="00CD0E09" w:rsidRPr="00141E92" w:rsidRDefault="00CD0E09" w:rsidP="008530E2">
      <w:pPr>
        <w:pStyle w:val="a3"/>
        <w:snapToGrid w:val="0"/>
        <w:spacing w:before="0" w:beforeAutospacing="0" w:after="0" w:afterAutospacing="0" w:line="360" w:lineRule="auto"/>
        <w:jc w:val="both"/>
        <w:rPr>
          <w:rFonts w:ascii="Book Antiqua" w:hAnsi="Book Antiqua"/>
          <w:color w:val="211E1E"/>
          <w:sz w:val="24"/>
          <w:szCs w:val="24"/>
        </w:rPr>
      </w:pPr>
      <w:r w:rsidRPr="00141E92">
        <w:rPr>
          <w:rFonts w:ascii="Book Antiqua" w:hAnsi="Book Antiqua"/>
          <w:b/>
          <w:sz w:val="24"/>
          <w:szCs w:val="24"/>
        </w:rPr>
        <w:t xml:space="preserve">Core tip: </w:t>
      </w:r>
      <w:bookmarkStart w:id="25" w:name="OLE_LINK32"/>
      <w:bookmarkStart w:id="26" w:name="OLE_LINK35"/>
      <w:r w:rsidRPr="00141E92">
        <w:rPr>
          <w:rFonts w:ascii="Book Antiqua" w:hAnsi="Book Antiqua"/>
          <w:sz w:val="24"/>
          <w:szCs w:val="24"/>
        </w:rPr>
        <w:t xml:space="preserve">We report </w:t>
      </w:r>
      <w:r w:rsidRPr="00141E92">
        <w:rPr>
          <w:rFonts w:ascii="Book Antiqua" w:hAnsi="Book Antiqua"/>
          <w:color w:val="000000" w:themeColor="text1"/>
          <w:sz w:val="24"/>
          <w:szCs w:val="24"/>
        </w:rPr>
        <w:t xml:space="preserve">fundamental knowledge about the direct interaction of RNA stabilizing protein </w:t>
      </w:r>
      <w:r w:rsidR="003F50D4">
        <w:rPr>
          <w:rFonts w:ascii="Book Antiqua" w:hAnsi="Book Antiqua" w:cs="Times"/>
          <w:color w:val="000000" w:themeColor="text1"/>
          <w:sz w:val="24"/>
          <w:szCs w:val="24"/>
        </w:rPr>
        <w:t>human antigen R</w:t>
      </w:r>
      <w:r w:rsidR="009B4B74" w:rsidRPr="00141E92">
        <w:rPr>
          <w:rFonts w:ascii="Book Antiqua" w:hAnsi="Book Antiqua" w:cs="Times"/>
          <w:color w:val="000000" w:themeColor="text1"/>
          <w:sz w:val="24"/>
          <w:szCs w:val="24"/>
        </w:rPr>
        <w:t xml:space="preserve"> (</w:t>
      </w:r>
      <w:proofErr w:type="spellStart"/>
      <w:r w:rsidRPr="00141E92">
        <w:rPr>
          <w:rFonts w:ascii="Book Antiqua" w:hAnsi="Book Antiqua"/>
          <w:color w:val="000000" w:themeColor="text1"/>
          <w:sz w:val="24"/>
          <w:szCs w:val="24"/>
        </w:rPr>
        <w:t>HuR</w:t>
      </w:r>
      <w:proofErr w:type="spellEnd"/>
      <w:r w:rsidR="009B4B74" w:rsidRPr="00141E92">
        <w:rPr>
          <w:rFonts w:ascii="Book Antiqua" w:hAnsi="Book Antiqua"/>
          <w:color w:val="000000" w:themeColor="text1"/>
          <w:sz w:val="24"/>
          <w:szCs w:val="24"/>
        </w:rPr>
        <w:t>)</w:t>
      </w:r>
      <w:r w:rsidRPr="00141E92">
        <w:rPr>
          <w:rFonts w:ascii="Book Antiqua" w:hAnsi="Book Antiqua"/>
          <w:color w:val="000000" w:themeColor="text1"/>
          <w:sz w:val="24"/>
          <w:szCs w:val="24"/>
        </w:rPr>
        <w:t xml:space="preserve"> and </w:t>
      </w:r>
      <w:r w:rsidR="009B6230">
        <w:rPr>
          <w:rFonts w:ascii="Book Antiqua" w:hAnsi="Book Antiqua" w:cs="Times"/>
          <w:color w:val="000000" w:themeColor="text1"/>
          <w:sz w:val="24"/>
          <w:szCs w:val="24"/>
        </w:rPr>
        <w:t>i</w:t>
      </w:r>
      <w:r w:rsidR="00A0395A" w:rsidRPr="00141E92">
        <w:rPr>
          <w:rFonts w:ascii="Book Antiqua" w:hAnsi="Book Antiqua" w:cs="Times"/>
          <w:color w:val="000000" w:themeColor="text1"/>
          <w:sz w:val="24"/>
          <w:szCs w:val="24"/>
        </w:rPr>
        <w:t>nhibitor of apoptosis proteins</w:t>
      </w:r>
      <w:r w:rsidR="00A0395A"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IAP</w:t>
      </w:r>
      <w:r w:rsidR="00A0395A" w:rsidRPr="00141E92">
        <w:rPr>
          <w:rFonts w:ascii="Book Antiqua" w:hAnsi="Book Antiqua"/>
          <w:color w:val="000000" w:themeColor="text1"/>
          <w:sz w:val="24"/>
          <w:szCs w:val="24"/>
        </w:rPr>
        <w:t>1</w:t>
      </w:r>
      <w:r w:rsidR="00296CC4" w:rsidRPr="00141E92">
        <w:rPr>
          <w:rFonts w:ascii="Book Antiqua" w:hAnsi="Book Antiqua"/>
          <w:color w:val="000000" w:themeColor="text1"/>
          <w:sz w:val="24"/>
          <w:szCs w:val="24"/>
        </w:rPr>
        <w:t xml:space="preserve">, </w:t>
      </w:r>
      <w:r w:rsidR="00A0395A" w:rsidRPr="00141E92">
        <w:rPr>
          <w:rFonts w:ascii="Book Antiqua" w:hAnsi="Book Antiqua"/>
          <w:color w:val="000000" w:themeColor="text1"/>
          <w:sz w:val="24"/>
          <w:szCs w:val="24"/>
        </w:rPr>
        <w:t>IAP2)</w:t>
      </w:r>
      <w:r w:rsidRPr="00141E92">
        <w:rPr>
          <w:rFonts w:ascii="Book Antiqua" w:hAnsi="Book Antiqua"/>
          <w:color w:val="000000" w:themeColor="text1"/>
          <w:sz w:val="24"/>
          <w:szCs w:val="24"/>
        </w:rPr>
        <w:t xml:space="preserve">. </w:t>
      </w:r>
      <w:r w:rsidR="00296CC4" w:rsidRPr="00141E92">
        <w:rPr>
          <w:rFonts w:ascii="Book Antiqua" w:hAnsi="Book Antiqua"/>
          <w:sz w:val="24"/>
          <w:szCs w:val="24"/>
        </w:rPr>
        <w:t>R</w:t>
      </w:r>
      <w:r w:rsidRPr="00141E92">
        <w:rPr>
          <w:rFonts w:ascii="Book Antiqua" w:hAnsi="Book Antiqua"/>
          <w:sz w:val="24"/>
          <w:szCs w:val="24"/>
        </w:rPr>
        <w:t xml:space="preserve">esults suggest that upregulation of IAP1 in pancreatic cancer is significantly related </w:t>
      </w:r>
      <w:r w:rsidR="009A0DD4">
        <w:rPr>
          <w:rFonts w:ascii="Book Antiqua" w:hAnsi="Book Antiqua"/>
          <w:sz w:val="24"/>
          <w:szCs w:val="24"/>
        </w:rPr>
        <w:t>to</w:t>
      </w:r>
      <w:r w:rsidRPr="00141E92">
        <w:rPr>
          <w:rFonts w:ascii="Book Antiqua" w:hAnsi="Book Antiqua"/>
          <w:sz w:val="24"/>
          <w:szCs w:val="24"/>
        </w:rPr>
        <w:t xml:space="preserve"> poor outcome</w:t>
      </w:r>
      <w:r w:rsidR="008364AC" w:rsidRPr="00141E92">
        <w:rPr>
          <w:rFonts w:ascii="Book Antiqua" w:hAnsi="Book Antiqua"/>
          <w:sz w:val="24"/>
          <w:szCs w:val="24"/>
        </w:rPr>
        <w:t>s</w:t>
      </w:r>
      <w:r w:rsidRPr="00141E92">
        <w:rPr>
          <w:rFonts w:ascii="Book Antiqua" w:hAnsi="Book Antiqua"/>
          <w:sz w:val="24"/>
          <w:szCs w:val="24"/>
        </w:rPr>
        <w:t xml:space="preserve">. </w:t>
      </w:r>
      <w:r w:rsidRPr="00141E92">
        <w:rPr>
          <w:rFonts w:ascii="Book Antiqua" w:hAnsi="Book Antiqua"/>
          <w:color w:val="211E1E"/>
          <w:sz w:val="24"/>
          <w:szCs w:val="24"/>
        </w:rPr>
        <w:t xml:space="preserve">Furthermore, </w:t>
      </w:r>
      <w:proofErr w:type="spellStart"/>
      <w:r w:rsidRPr="00141E92">
        <w:rPr>
          <w:rFonts w:ascii="Book Antiqua" w:hAnsi="Book Antiqua"/>
          <w:color w:val="211E1E"/>
          <w:sz w:val="24"/>
          <w:szCs w:val="24"/>
        </w:rPr>
        <w:t>HuR</w:t>
      </w:r>
      <w:proofErr w:type="spellEnd"/>
      <w:r w:rsidRPr="00141E92">
        <w:rPr>
          <w:rFonts w:ascii="Book Antiqua" w:hAnsi="Book Antiqua"/>
          <w:color w:val="211E1E"/>
          <w:sz w:val="24"/>
          <w:szCs w:val="24"/>
        </w:rPr>
        <w:t xml:space="preserve"> </w:t>
      </w:r>
      <w:r w:rsidR="007F2912" w:rsidRPr="00141E92">
        <w:rPr>
          <w:rFonts w:ascii="Book Antiqua" w:hAnsi="Book Antiqua"/>
          <w:sz w:val="24"/>
          <w:szCs w:val="24"/>
        </w:rPr>
        <w:t xml:space="preserve">plays </w:t>
      </w:r>
      <w:r w:rsidRPr="00141E92">
        <w:rPr>
          <w:rFonts w:ascii="Book Antiqua" w:hAnsi="Book Antiqua"/>
          <w:sz w:val="24"/>
          <w:szCs w:val="24"/>
        </w:rPr>
        <w:t xml:space="preserve">important role in post-transcriptional regulation of these molecules: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protein binds with IAP1</w:t>
      </w:r>
      <w:r w:rsidR="00296CC4" w:rsidRPr="00141E92">
        <w:rPr>
          <w:rFonts w:ascii="Book Antiqua" w:hAnsi="Book Antiqua"/>
          <w:sz w:val="24"/>
          <w:szCs w:val="24"/>
        </w:rPr>
        <w:t xml:space="preserve">, </w:t>
      </w:r>
      <w:r w:rsidRPr="00141E92">
        <w:rPr>
          <w:rFonts w:ascii="Book Antiqua" w:hAnsi="Book Antiqua"/>
          <w:sz w:val="24"/>
          <w:szCs w:val="24"/>
        </w:rPr>
        <w:t xml:space="preserve">IAP2 and after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silencing</w:t>
      </w:r>
      <w:r w:rsidR="007F2912" w:rsidRPr="00141E92">
        <w:rPr>
          <w:rFonts w:ascii="Book Antiqua" w:hAnsi="Book Antiqua"/>
          <w:sz w:val="24"/>
          <w:szCs w:val="24"/>
        </w:rPr>
        <w:t>,</w:t>
      </w:r>
      <w:r w:rsidRPr="00141E92">
        <w:rPr>
          <w:rFonts w:ascii="Book Antiqua" w:hAnsi="Book Antiqua"/>
          <w:sz w:val="24"/>
          <w:szCs w:val="24"/>
        </w:rPr>
        <w:t xml:space="preserve"> IAP1 protein and mRNA</w:t>
      </w:r>
      <w:r w:rsidR="00296CC4" w:rsidRPr="00141E92">
        <w:rPr>
          <w:rFonts w:ascii="Book Antiqua" w:hAnsi="Book Antiqua"/>
          <w:sz w:val="24"/>
          <w:szCs w:val="24"/>
        </w:rPr>
        <w:t xml:space="preserve"> expression</w:t>
      </w:r>
      <w:r w:rsidRPr="00141E92">
        <w:rPr>
          <w:rFonts w:ascii="Book Antiqua" w:hAnsi="Book Antiqua"/>
          <w:sz w:val="24"/>
          <w:szCs w:val="24"/>
        </w:rPr>
        <w:t xml:space="preserve"> is downregulated and IAP2 is upregulated. </w:t>
      </w:r>
      <w:r w:rsidRPr="00141E92">
        <w:rPr>
          <w:rFonts w:ascii="Book Antiqua" w:hAnsi="Book Antiqua"/>
          <w:color w:val="211E1E"/>
          <w:sz w:val="24"/>
          <w:szCs w:val="24"/>
        </w:rPr>
        <w:t xml:space="preserve">These results </w:t>
      </w:r>
      <w:r w:rsidR="007F2912" w:rsidRPr="00141E92">
        <w:rPr>
          <w:rFonts w:ascii="Book Antiqua" w:hAnsi="Book Antiqua"/>
          <w:sz w:val="24"/>
          <w:szCs w:val="24"/>
        </w:rPr>
        <w:t>demonstrate</w:t>
      </w:r>
      <w:r w:rsidR="00296CC4" w:rsidRPr="00141E92">
        <w:rPr>
          <w:rFonts w:ascii="Book Antiqua" w:hAnsi="Book Antiqua"/>
          <w:sz w:val="24"/>
          <w:szCs w:val="24"/>
        </w:rPr>
        <w:t xml:space="preserve">, </w:t>
      </w:r>
      <w:r w:rsidRPr="00141E92">
        <w:rPr>
          <w:rFonts w:ascii="Book Antiqua" w:hAnsi="Book Antiqua"/>
          <w:color w:val="211E1E"/>
          <w:sz w:val="24"/>
          <w:szCs w:val="24"/>
        </w:rPr>
        <w:t xml:space="preserve">that </w:t>
      </w:r>
      <w:proofErr w:type="spellStart"/>
      <w:r w:rsidRPr="00141E92">
        <w:rPr>
          <w:rFonts w:ascii="Book Antiqua" w:hAnsi="Book Antiqua"/>
          <w:color w:val="211E1E"/>
          <w:sz w:val="24"/>
          <w:szCs w:val="24"/>
        </w:rPr>
        <w:t>H</w:t>
      </w:r>
      <w:r w:rsidR="007F2912" w:rsidRPr="00141E92">
        <w:rPr>
          <w:rFonts w:ascii="Book Antiqua" w:hAnsi="Book Antiqua"/>
          <w:color w:val="211E1E"/>
          <w:sz w:val="24"/>
          <w:szCs w:val="24"/>
        </w:rPr>
        <w:t>uR</w:t>
      </w:r>
      <w:proofErr w:type="spellEnd"/>
      <w:r w:rsidR="007F2912" w:rsidRPr="00141E92">
        <w:rPr>
          <w:rFonts w:ascii="Book Antiqua" w:hAnsi="Book Antiqua"/>
          <w:color w:val="211E1E"/>
          <w:sz w:val="24"/>
          <w:szCs w:val="24"/>
        </w:rPr>
        <w:t xml:space="preserve"> regulates</w:t>
      </w:r>
      <w:r w:rsidRPr="00141E92">
        <w:rPr>
          <w:rFonts w:ascii="Book Antiqua" w:hAnsi="Book Antiqua"/>
          <w:color w:val="211E1E"/>
          <w:sz w:val="24"/>
          <w:szCs w:val="24"/>
        </w:rPr>
        <w:t xml:space="preserve"> expression of IAP1 and IAP2 in pancreatic cancer cells and that IAP1 may be</w:t>
      </w:r>
      <w:r w:rsidR="007F2912" w:rsidRPr="00141E92">
        <w:rPr>
          <w:rFonts w:ascii="Book Antiqua" w:hAnsi="Book Antiqua"/>
          <w:color w:val="211E1E"/>
          <w:sz w:val="24"/>
          <w:szCs w:val="24"/>
        </w:rPr>
        <w:t xml:space="preserve"> an</w:t>
      </w:r>
      <w:r w:rsidRPr="00141E92">
        <w:rPr>
          <w:rFonts w:ascii="Book Antiqua" w:hAnsi="Book Antiqua"/>
          <w:color w:val="211E1E"/>
          <w:sz w:val="24"/>
          <w:szCs w:val="24"/>
        </w:rPr>
        <w:t xml:space="preserve"> important factor </w:t>
      </w:r>
      <w:r w:rsidR="007F2912" w:rsidRPr="00141E92">
        <w:rPr>
          <w:rFonts w:ascii="Book Antiqua" w:hAnsi="Book Antiqua"/>
          <w:color w:val="211E1E"/>
          <w:sz w:val="24"/>
          <w:szCs w:val="24"/>
        </w:rPr>
        <w:t>facilitat</w:t>
      </w:r>
      <w:r w:rsidR="00296CC4" w:rsidRPr="00141E92">
        <w:rPr>
          <w:rFonts w:ascii="Book Antiqua" w:hAnsi="Book Antiqua"/>
          <w:color w:val="211E1E"/>
          <w:sz w:val="24"/>
          <w:szCs w:val="24"/>
        </w:rPr>
        <w:t>ing</w:t>
      </w:r>
      <w:r w:rsidR="007F2912" w:rsidRPr="00141E92">
        <w:rPr>
          <w:rFonts w:ascii="Book Antiqua" w:hAnsi="Book Antiqua"/>
          <w:color w:val="211E1E"/>
          <w:sz w:val="24"/>
          <w:szCs w:val="24"/>
        </w:rPr>
        <w:t xml:space="preserve"> carcinogenic</w:t>
      </w:r>
      <w:r w:rsidRPr="00141E92">
        <w:rPr>
          <w:rFonts w:ascii="Book Antiqua" w:hAnsi="Book Antiqua"/>
          <w:color w:val="211E1E"/>
          <w:sz w:val="24"/>
          <w:szCs w:val="24"/>
        </w:rPr>
        <w:t xml:space="preserve"> properties of </w:t>
      </w:r>
      <w:proofErr w:type="spellStart"/>
      <w:r w:rsidRPr="00141E92">
        <w:rPr>
          <w:rFonts w:ascii="Book Antiqua" w:hAnsi="Book Antiqua"/>
          <w:color w:val="211E1E"/>
          <w:sz w:val="24"/>
          <w:szCs w:val="24"/>
        </w:rPr>
        <w:t>HuR</w:t>
      </w:r>
      <w:proofErr w:type="spellEnd"/>
      <w:r w:rsidRPr="00141E92">
        <w:rPr>
          <w:rFonts w:ascii="Book Antiqua" w:hAnsi="Book Antiqua"/>
          <w:color w:val="211E1E"/>
          <w:sz w:val="24"/>
          <w:szCs w:val="24"/>
        </w:rPr>
        <w:t xml:space="preserve">. </w:t>
      </w:r>
      <w:bookmarkEnd w:id="25"/>
      <w:bookmarkEnd w:id="26"/>
    </w:p>
    <w:p w14:paraId="1E66C63E" w14:textId="77777777" w:rsidR="003F50D4" w:rsidRDefault="003F50D4" w:rsidP="008530E2">
      <w:pPr>
        <w:pStyle w:val="a3"/>
        <w:snapToGrid w:val="0"/>
        <w:spacing w:before="0" w:beforeAutospacing="0" w:after="0" w:afterAutospacing="0" w:line="360" w:lineRule="auto"/>
        <w:jc w:val="both"/>
        <w:rPr>
          <w:rFonts w:ascii="Book Antiqua" w:hAnsi="Book Antiqua"/>
          <w:sz w:val="24"/>
          <w:szCs w:val="24"/>
        </w:rPr>
      </w:pPr>
    </w:p>
    <w:p w14:paraId="6213207C" w14:textId="77777777" w:rsidR="005A46CE" w:rsidRDefault="005A46CE" w:rsidP="008530E2">
      <w:pPr>
        <w:pStyle w:val="a3"/>
        <w:snapToGrid w:val="0"/>
        <w:spacing w:before="0" w:beforeAutospacing="0" w:after="0" w:afterAutospacing="0" w:line="360" w:lineRule="auto"/>
        <w:jc w:val="both"/>
        <w:rPr>
          <w:rFonts w:ascii="Book Antiqua" w:hAnsi="Book Antiqua"/>
          <w:sz w:val="24"/>
          <w:szCs w:val="24"/>
          <w:lang w:eastAsia="zh-CN"/>
        </w:rPr>
      </w:pPr>
      <w:r w:rsidRPr="005A46CE">
        <w:rPr>
          <w:rFonts w:ascii="Book Antiqua" w:hAnsi="Book Antiqua"/>
          <w:b/>
          <w:sz w:val="24"/>
          <w:szCs w:val="24"/>
        </w:rPr>
        <w:t>Citation:</w:t>
      </w:r>
      <w:r>
        <w:rPr>
          <w:rFonts w:ascii="Book Antiqua" w:hAnsi="Book Antiqua" w:hint="eastAsia"/>
          <w:sz w:val="24"/>
          <w:szCs w:val="24"/>
          <w:lang w:eastAsia="zh-CN"/>
        </w:rPr>
        <w:t xml:space="preserve"> </w:t>
      </w:r>
      <w:proofErr w:type="spellStart"/>
      <w:r w:rsidRPr="005A46CE">
        <w:rPr>
          <w:rFonts w:ascii="Book Antiqua" w:hAnsi="Book Antiqua"/>
          <w:sz w:val="24"/>
          <w:szCs w:val="24"/>
        </w:rPr>
        <w:t>Lukosiute-Urboniene</w:t>
      </w:r>
      <w:proofErr w:type="spellEnd"/>
      <w:r w:rsidRPr="005A46CE">
        <w:rPr>
          <w:rFonts w:ascii="Book Antiqua" w:hAnsi="Book Antiqua"/>
          <w:sz w:val="24"/>
          <w:szCs w:val="24"/>
        </w:rPr>
        <w:t xml:space="preserve"> A, </w:t>
      </w:r>
      <w:proofErr w:type="spellStart"/>
      <w:r w:rsidRPr="005A46CE">
        <w:rPr>
          <w:rFonts w:ascii="Book Antiqua" w:hAnsi="Book Antiqua"/>
          <w:sz w:val="24"/>
          <w:szCs w:val="24"/>
        </w:rPr>
        <w:t>Jasukaitiene</w:t>
      </w:r>
      <w:proofErr w:type="spellEnd"/>
      <w:r w:rsidRPr="005A46CE">
        <w:rPr>
          <w:rFonts w:ascii="Book Antiqua" w:hAnsi="Book Antiqua"/>
          <w:sz w:val="24"/>
          <w:szCs w:val="24"/>
        </w:rPr>
        <w:t xml:space="preserve"> A, </w:t>
      </w:r>
      <w:proofErr w:type="spellStart"/>
      <w:r w:rsidRPr="005A46CE">
        <w:rPr>
          <w:rFonts w:ascii="Book Antiqua" w:hAnsi="Book Antiqua"/>
          <w:sz w:val="24"/>
          <w:szCs w:val="24"/>
        </w:rPr>
        <w:t>Silkuniene</w:t>
      </w:r>
      <w:proofErr w:type="spellEnd"/>
      <w:r w:rsidRPr="005A46CE">
        <w:rPr>
          <w:rFonts w:ascii="Book Antiqua" w:hAnsi="Book Antiqua"/>
          <w:sz w:val="24"/>
          <w:szCs w:val="24"/>
        </w:rPr>
        <w:t xml:space="preserve"> G, </w:t>
      </w:r>
      <w:proofErr w:type="spellStart"/>
      <w:r w:rsidRPr="005A46CE">
        <w:rPr>
          <w:rFonts w:ascii="Book Antiqua" w:hAnsi="Book Antiqua"/>
          <w:sz w:val="24"/>
          <w:szCs w:val="24"/>
        </w:rPr>
        <w:t>Barauskas</w:t>
      </w:r>
      <w:proofErr w:type="spellEnd"/>
      <w:r w:rsidRPr="005A46CE">
        <w:rPr>
          <w:rFonts w:ascii="Book Antiqua" w:hAnsi="Book Antiqua"/>
          <w:sz w:val="24"/>
          <w:szCs w:val="24"/>
        </w:rPr>
        <w:t xml:space="preserve"> V, </w:t>
      </w:r>
      <w:proofErr w:type="spellStart"/>
      <w:r w:rsidRPr="005A46CE">
        <w:rPr>
          <w:rFonts w:ascii="Book Antiqua" w:hAnsi="Book Antiqua"/>
          <w:sz w:val="24"/>
          <w:szCs w:val="24"/>
        </w:rPr>
        <w:t>Gulbinas</w:t>
      </w:r>
      <w:proofErr w:type="spellEnd"/>
      <w:r w:rsidRPr="005A46CE">
        <w:rPr>
          <w:rFonts w:ascii="Book Antiqua" w:hAnsi="Book Antiqua"/>
          <w:sz w:val="24"/>
          <w:szCs w:val="24"/>
        </w:rPr>
        <w:t xml:space="preserve"> A, </w:t>
      </w:r>
      <w:proofErr w:type="spellStart"/>
      <w:r w:rsidRPr="005A46CE">
        <w:rPr>
          <w:rFonts w:ascii="Book Antiqua" w:hAnsi="Book Antiqua"/>
          <w:sz w:val="24"/>
          <w:szCs w:val="24"/>
        </w:rPr>
        <w:t>Dambrauskas</w:t>
      </w:r>
      <w:proofErr w:type="spellEnd"/>
      <w:r w:rsidRPr="005A46CE">
        <w:rPr>
          <w:rFonts w:ascii="Book Antiqua" w:hAnsi="Book Antiqua"/>
          <w:sz w:val="24"/>
          <w:szCs w:val="24"/>
        </w:rPr>
        <w:t xml:space="preserve"> Z. Human antigen R mediated post-transcriptional regulation of inhibitors of apoptosis proteins in pancreatic cancer. </w:t>
      </w:r>
      <w:r w:rsidRPr="005A46CE">
        <w:rPr>
          <w:rFonts w:ascii="Book Antiqua" w:hAnsi="Book Antiqua"/>
          <w:i/>
          <w:sz w:val="24"/>
          <w:szCs w:val="24"/>
        </w:rPr>
        <w:t xml:space="preserve">World J </w:t>
      </w:r>
      <w:proofErr w:type="spellStart"/>
      <w:r w:rsidRPr="005A46CE">
        <w:rPr>
          <w:rFonts w:ascii="Book Antiqua" w:hAnsi="Book Antiqua"/>
          <w:i/>
          <w:sz w:val="24"/>
          <w:szCs w:val="24"/>
        </w:rPr>
        <w:t>Gastroenterol</w:t>
      </w:r>
      <w:proofErr w:type="spellEnd"/>
      <w:r w:rsidRPr="005A46CE">
        <w:rPr>
          <w:rFonts w:ascii="Book Antiqua" w:hAnsi="Book Antiqua"/>
          <w:sz w:val="24"/>
          <w:szCs w:val="24"/>
        </w:rPr>
        <w:t xml:space="preserve"> 2019; 25(2): 205-219   </w:t>
      </w:r>
    </w:p>
    <w:p w14:paraId="24C4D043" w14:textId="77777777" w:rsidR="005A46CE" w:rsidRDefault="005A46CE" w:rsidP="008530E2">
      <w:pPr>
        <w:pStyle w:val="a3"/>
        <w:snapToGrid w:val="0"/>
        <w:spacing w:before="0" w:beforeAutospacing="0" w:after="0" w:afterAutospacing="0" w:line="360" w:lineRule="auto"/>
        <w:jc w:val="both"/>
        <w:rPr>
          <w:rFonts w:ascii="Book Antiqua" w:hAnsi="Book Antiqua"/>
          <w:sz w:val="24"/>
          <w:szCs w:val="24"/>
          <w:lang w:eastAsia="zh-CN"/>
        </w:rPr>
      </w:pPr>
      <w:r w:rsidRPr="005A46CE">
        <w:rPr>
          <w:rFonts w:ascii="Book Antiqua" w:hAnsi="Book Antiqua"/>
          <w:b/>
          <w:sz w:val="24"/>
          <w:szCs w:val="24"/>
        </w:rPr>
        <w:t>URL:</w:t>
      </w:r>
      <w:r w:rsidRPr="005A46CE">
        <w:rPr>
          <w:rFonts w:ascii="Book Antiqua" w:hAnsi="Book Antiqua"/>
          <w:sz w:val="24"/>
          <w:szCs w:val="24"/>
        </w:rPr>
        <w:t xml:space="preserve"> https://www.wjgnet.com/1007-9327/full/v25/i2/205.htm  </w:t>
      </w:r>
    </w:p>
    <w:p w14:paraId="69EDB6C9" w14:textId="2D76577C" w:rsidR="00755DE8" w:rsidRPr="009B6230" w:rsidRDefault="005A46CE" w:rsidP="008530E2">
      <w:pPr>
        <w:pStyle w:val="a3"/>
        <w:snapToGrid w:val="0"/>
        <w:spacing w:before="0" w:beforeAutospacing="0" w:after="0" w:afterAutospacing="0" w:line="360" w:lineRule="auto"/>
        <w:jc w:val="both"/>
        <w:rPr>
          <w:rFonts w:ascii="Book Antiqua" w:hAnsi="Book Antiqua"/>
          <w:sz w:val="24"/>
          <w:szCs w:val="24"/>
        </w:rPr>
      </w:pPr>
      <w:r w:rsidRPr="005A46CE">
        <w:rPr>
          <w:rFonts w:ascii="Book Antiqua" w:hAnsi="Book Antiqua"/>
          <w:b/>
          <w:sz w:val="24"/>
          <w:szCs w:val="24"/>
        </w:rPr>
        <w:t>DOI:</w:t>
      </w:r>
      <w:r w:rsidRPr="005A46CE">
        <w:rPr>
          <w:rFonts w:ascii="Book Antiqua" w:hAnsi="Book Antiqua"/>
          <w:sz w:val="24"/>
          <w:szCs w:val="24"/>
        </w:rPr>
        <w:t xml:space="preserve"> https://dx.doi.org/10.3748/wjg.v25.i2.205</w:t>
      </w:r>
    </w:p>
    <w:p w14:paraId="63CEF49D" w14:textId="278F6030" w:rsidR="0011295B" w:rsidRPr="00141E92" w:rsidRDefault="00F65F7B" w:rsidP="008530E2">
      <w:pPr>
        <w:autoSpaceDE/>
        <w:autoSpaceDN/>
        <w:snapToGrid w:val="0"/>
        <w:spacing w:line="360" w:lineRule="auto"/>
        <w:jc w:val="both"/>
        <w:rPr>
          <w:rFonts w:ascii="Book Antiqua" w:hAnsi="Book Antiqua"/>
          <w:sz w:val="24"/>
          <w:szCs w:val="24"/>
        </w:rPr>
      </w:pPr>
      <w:r w:rsidRPr="00141E92">
        <w:rPr>
          <w:rFonts w:ascii="Book Antiqua" w:hAnsi="Book Antiqua"/>
          <w:sz w:val="24"/>
          <w:szCs w:val="24"/>
        </w:rPr>
        <w:br w:type="page"/>
      </w:r>
    </w:p>
    <w:p w14:paraId="158B29F7" w14:textId="77777777" w:rsidR="00687079" w:rsidRPr="00141E92" w:rsidRDefault="00687079"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INTRODUCTION</w:t>
      </w:r>
    </w:p>
    <w:p w14:paraId="1FDB80A1" w14:textId="7DC46703" w:rsidR="00687079" w:rsidRPr="00141E92" w:rsidRDefault="00687079" w:rsidP="008530E2">
      <w:pPr>
        <w:snapToGrid w:val="0"/>
        <w:spacing w:line="360" w:lineRule="auto"/>
        <w:jc w:val="both"/>
        <w:rPr>
          <w:rFonts w:ascii="Book Antiqua" w:hAnsi="Book Antiqua"/>
          <w:sz w:val="24"/>
          <w:szCs w:val="24"/>
        </w:rPr>
      </w:pPr>
      <w:r w:rsidRPr="00141E92">
        <w:rPr>
          <w:rFonts w:ascii="Book Antiqua" w:hAnsi="Book Antiqua"/>
          <w:sz w:val="24"/>
          <w:szCs w:val="24"/>
        </w:rPr>
        <w:t>With the aging of humanity there have been growing cases of pancrea</w:t>
      </w:r>
      <w:r w:rsidR="009B131F" w:rsidRPr="00141E92">
        <w:rPr>
          <w:rFonts w:ascii="Book Antiqua" w:hAnsi="Book Antiqua"/>
          <w:sz w:val="24"/>
          <w:szCs w:val="24"/>
        </w:rPr>
        <w:t>tic ductal adenocarcinoma</w:t>
      </w:r>
      <w:r w:rsidR="003F50D4">
        <w:rPr>
          <w:rFonts w:ascii="Book Antiqua" w:hAnsi="Book Antiqua"/>
          <w:sz w:val="24"/>
          <w:szCs w:val="24"/>
        </w:rPr>
        <w:t xml:space="preserve"> (PDAC)</w:t>
      </w:r>
      <w:r w:rsidR="00726F29"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{"citationItems":[{"id":"ITEM-1","itemData":{"DOI":"10.3322/caac.21387","ISBN":"1542-4863 (Electronic)\\r0007-9235 (Linking)","ISSN":"1542-4863","PMID":"28055103","abstract":"Each year, the American Cancer Society estimates the numbers of new cancer cases and deaths that will occur in the United States in the current year and compiles the most recent data on cancer incidence, mortality, and survival. Incidence data were collected by the Surveillance, Epidemiology, and End Results Program; the National Program of Cancer Registries; and the North American Association of Central Cancer Registries. Mortality data were collected by the National Center for Health Statistics. In 2017, 1,688,780 new cancer cases and 600,920 cancer deaths are projected to occur in the United States. For all sites combined, the cancer incidence rate is 20% higher in men than in women, while the cancer death rate is 40% higher. However, sex disparities vary by cancer type. For example, thyroid cancer incidence rates are 3-fold higher in women than in men (21 vs 7 per 100,000 population), despite equivalent death rates (0.5 per 100,000 population), largely reflecting sex differences in the \"epidemic of diagnosis.\" Over the past decade of available data, the overall cancer incidence rate (2004-2013) was stable in women and declined by approximately 2% annually in men, while the cancer death rate (2005-2014) declined by about 1.5% annually in both men and women. From 1991 to 2014, the overall cancer death rate dropped 25%, translating to approximately 2,143,200 fewer cancer deaths than would have been expected if death rates had remained at their peak. Although the cancer death rate was 15% higher in blacks than in whites in 2014, increasing access to care as a result of the Patient Protection and Affordable Care Act may expedite the narrowing racial gap; from 2010 to 2015, the proportion of blacks who were uninsured halved, from 21% to 11%, as it did for Hispanics (31% to 16%). Gains in coverage for traditionally underserved Americans will facilitate the broader application of existing cancer control knowledge across every segment of the population. CA Cancer J Clin 2017;67:7-30. © 2017 American Cancer Society.","author":[{"dropping-particle":"","family":"Siegel","given":"Rebecca L","non-dropping-particle":"","parse-names":false,"suffix":""},{"dropping-particle":"","family":"Miller","given":"Kimberly D","non-dropping-particle":"","parse-names":false,"suffix":""},{"dropping-particle":"","family":"Jemal","given":"Ahmedin","non-dropping-particle":"","parse-names":false,"suffix":""}],"container-title":"CA: a cancer journal for clinicians","id":"ITEM-1","issued":{"date-parts":[["2017"]]},"title":"Cancer Statistics, 2017.","type":"article-journal"},"uris":["http://www.mendeley.com/documents/?uuid=a1bd838a-6ccd-4804-927e-363319b85f82"]}],"mendeley":{"formattedCitation":"&lt;sup&gt;[1]&lt;/sup&gt;","plainTextFormattedCitation":"[1]","previouslyFormattedCitation":"&lt;sup&gt;[1]&lt;/sup&gt;"},"properties":{"noteIndex":0},"schema":"https://github.com/citation-style-language/schema/raw/master/csl-citation.json"}</w:instrText>
      </w:r>
      <w:r w:rsidR="00726F29" w:rsidRPr="00141E92">
        <w:rPr>
          <w:rFonts w:ascii="Book Antiqua" w:hAnsi="Book Antiqua"/>
          <w:sz w:val="24"/>
          <w:szCs w:val="24"/>
        </w:rPr>
        <w:fldChar w:fldCharType="separate"/>
      </w:r>
      <w:r w:rsidR="00604A74" w:rsidRPr="00141E92">
        <w:rPr>
          <w:rFonts w:ascii="Book Antiqua" w:hAnsi="Book Antiqua"/>
          <w:sz w:val="24"/>
          <w:szCs w:val="24"/>
          <w:vertAlign w:val="superscript"/>
        </w:rPr>
        <w:t>[1]</w:t>
      </w:r>
      <w:r w:rsidR="00726F29" w:rsidRPr="00141E92">
        <w:rPr>
          <w:rFonts w:ascii="Book Antiqua" w:hAnsi="Book Antiqua"/>
          <w:sz w:val="24"/>
          <w:szCs w:val="24"/>
        </w:rPr>
        <w:fldChar w:fldCharType="end"/>
      </w:r>
      <w:r w:rsidRPr="00141E92">
        <w:rPr>
          <w:rFonts w:ascii="Book Antiqua" w:hAnsi="Book Antiqua"/>
          <w:sz w:val="24"/>
          <w:szCs w:val="24"/>
        </w:rPr>
        <w:t xml:space="preserve">. </w:t>
      </w:r>
      <w:r w:rsidR="004F7496" w:rsidRPr="00141E92">
        <w:rPr>
          <w:rFonts w:ascii="Book Antiqua" w:hAnsi="Book Antiqua"/>
          <w:sz w:val="24"/>
          <w:szCs w:val="24"/>
        </w:rPr>
        <w:t>T</w:t>
      </w:r>
      <w:r w:rsidRPr="00141E92">
        <w:rPr>
          <w:rFonts w:ascii="Book Antiqua" w:hAnsi="Book Antiqua"/>
          <w:sz w:val="24"/>
          <w:szCs w:val="24"/>
        </w:rPr>
        <w:t>he results of treatment</w:t>
      </w:r>
      <w:r w:rsidR="004F7496" w:rsidRPr="00141E92">
        <w:rPr>
          <w:rFonts w:ascii="Book Antiqua" w:hAnsi="Book Antiqua"/>
          <w:sz w:val="24"/>
          <w:szCs w:val="24"/>
        </w:rPr>
        <w:t xml:space="preserve"> of this cancer,</w:t>
      </w:r>
      <w:r w:rsidR="0023633B">
        <w:rPr>
          <w:rFonts w:ascii="Book Antiqua" w:hAnsi="Book Antiqua"/>
          <w:sz w:val="24"/>
          <w:szCs w:val="24"/>
        </w:rPr>
        <w:t xml:space="preserve"> however,</w:t>
      </w:r>
      <w:r w:rsidRPr="00141E92">
        <w:rPr>
          <w:rFonts w:ascii="Book Antiqua" w:hAnsi="Book Antiqua"/>
          <w:sz w:val="24"/>
          <w:szCs w:val="24"/>
        </w:rPr>
        <w:t xml:space="preserve"> remain one of the worst</w:t>
      </w:r>
      <w:r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{"citationItems":[{"id":"ITEM-1","itemData":{"DOI":"10.1093/annonc/mdu138","ISBN":"1569-8041 (Electronic)\\n0923-7534 (Linking)","ISSN":"15698041","PMID":"21303801","abstract":"Mortality figures become available after some years.","author":[{"dropping-particle":"","family":"Malvezzi","given":"M","non-dropping-particle":"","parse-names":false,"suffix":""},{"dropping-particle":"","family":"Bertuccio","given":"P","non-dropping-particle":"","parse-names":false,"suffix":""},{"dropping-particle":"","family":"Levi","given":"F","non-dropping-particle":"","parse-names":false,"suffix":""},{"dropping-particle":"","family":"Vecchia","given":"C","non-dropping-particle":"La","parse-names":false,"suffix":""},{"dropping-particle":"","family":"Negri","given":"E","non-dropping-particle":"","parse-names":false,"suffix":""}],"container-title":"Annals of Oncology","id":"ITEM-1","issue":"8","issued":{"date-parts":[["2014"]]},"page":"1650-1656","title":"Rebecca Let al., 2015","type":"article-journal","volume":"25"},"uris":["http://www.mendeley.com/documents/?uuid=e229e846-d8fc-40bd-9493-25cd46ebfe9c"]}],"mendeley":{"formattedCitation":"&lt;sup&gt;[2]&lt;/sup&gt;","plainTextFormattedCitation":"[2]","previouslyFormattedCitation":"&lt;sup&gt;[2]&lt;/sup&gt;"},"properties":{"noteIndex":0},"schema":"https://github.com/citation-style-language/schema/raw/master/csl-citation.json"}</w:instrText>
      </w:r>
      <w:r w:rsidRPr="00141E92">
        <w:rPr>
          <w:rFonts w:ascii="Book Antiqua" w:hAnsi="Book Antiqua"/>
          <w:sz w:val="24"/>
          <w:szCs w:val="24"/>
        </w:rPr>
        <w:fldChar w:fldCharType="separate"/>
      </w:r>
      <w:r w:rsidR="00604A74" w:rsidRPr="00141E92">
        <w:rPr>
          <w:rFonts w:ascii="Book Antiqua" w:hAnsi="Book Antiqua"/>
          <w:sz w:val="24"/>
          <w:szCs w:val="24"/>
          <w:vertAlign w:val="superscript"/>
        </w:rPr>
        <w:t>[2]</w:t>
      </w:r>
      <w:r w:rsidRPr="00141E92">
        <w:rPr>
          <w:rFonts w:ascii="Book Antiqua" w:hAnsi="Book Antiqua"/>
          <w:sz w:val="24"/>
          <w:szCs w:val="24"/>
        </w:rPr>
        <w:fldChar w:fldCharType="end"/>
      </w:r>
      <w:r w:rsidRPr="00141E92">
        <w:rPr>
          <w:rFonts w:ascii="Book Antiqua" w:hAnsi="Book Antiqua"/>
          <w:sz w:val="24"/>
          <w:szCs w:val="24"/>
        </w:rPr>
        <w:t xml:space="preserve">. The pancreatic cancer is characterized by its aggressive course, biodiversity, strong </w:t>
      </w:r>
      <w:proofErr w:type="spellStart"/>
      <w:r w:rsidRPr="00141E92">
        <w:rPr>
          <w:rFonts w:ascii="Book Antiqua" w:hAnsi="Book Antiqua"/>
          <w:sz w:val="24"/>
          <w:szCs w:val="24"/>
        </w:rPr>
        <w:t>chemoresistancy</w:t>
      </w:r>
      <w:proofErr w:type="spellEnd"/>
      <w:r w:rsidRPr="00141E92">
        <w:rPr>
          <w:rFonts w:ascii="Book Antiqua" w:hAnsi="Book Antiqua"/>
          <w:sz w:val="24"/>
          <w:szCs w:val="24"/>
        </w:rPr>
        <w:t xml:space="preserve"> and often is diagnosed late, leading to poor outcomes</w:t>
      </w:r>
      <w:r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{"citationItems":[{"id":"ITEM-1","itemData":{"DOI":"10.1093/annonc/mdu138","ISBN":"1569-8041 (Electronic)\\n0923-7534 (Linking)","ISSN":"15698041","PMID":"21303801","abstract":"Mortality figures become available after some years.","author":[{"dropping-particle":"","family":"Malvezzi","given":"M","non-dropping-particle":"","parse-names":false,"suffix":""},{"dropping-particle":"","family":"Bertuccio","given":"P","non-dropping-particle":"","parse-names":false,"suffix":""},{"dropping-particle":"","family":"Levi","given":"F","non-dropping-particle":"","parse-names":false,"suffix":""},{"dropping-particle":"","family":"Vecchia","given":"C","non-dropping-particle":"La","parse-names":false,"suffix":""},{"dropping-particle":"","family":"Negri","given":"E","non-dropping-particle":"","parse-names":false,"suffix":""}],"container-title":"Annals of Oncology","id":"ITEM-1","issue":"8","issued":{"date-parts":[["2014"]]},"page":"1650-1656","title":"Rebecca Let al., 2015","type":"article-journal","volume":"25"},"uris":["http://www.mendeley.com/documents/?uuid=e229e846-d8fc-40bd-9493-25cd46ebfe9c"]}],"mendeley":{"formattedCitation":"&lt;sup&gt;[2]&lt;/sup&gt;","plainTextFormattedCitation":"[2]","previouslyFormattedCitation":"&lt;sup&gt;[2]&lt;/sup&gt;"},"properties":{"noteIndex":0},"schema":"https://github.com/citation-style-language/schema/raw/master/csl-citation.json"}</w:instrText>
      </w:r>
      <w:r w:rsidRPr="00141E92">
        <w:rPr>
          <w:rFonts w:ascii="Book Antiqua" w:hAnsi="Book Antiqua"/>
          <w:sz w:val="24"/>
          <w:szCs w:val="24"/>
        </w:rPr>
        <w:fldChar w:fldCharType="separate"/>
      </w:r>
      <w:r w:rsidR="00604A74" w:rsidRPr="00141E92">
        <w:rPr>
          <w:rFonts w:ascii="Book Antiqua" w:hAnsi="Book Antiqua"/>
          <w:sz w:val="24"/>
          <w:szCs w:val="24"/>
          <w:vertAlign w:val="superscript"/>
        </w:rPr>
        <w:t>[2]</w:t>
      </w:r>
      <w:r w:rsidRPr="00141E92">
        <w:rPr>
          <w:rFonts w:ascii="Book Antiqua" w:hAnsi="Book Antiqua"/>
          <w:sz w:val="24"/>
          <w:szCs w:val="24"/>
        </w:rPr>
        <w:fldChar w:fldCharType="end"/>
      </w:r>
      <w:r w:rsidRPr="00141E92">
        <w:rPr>
          <w:rFonts w:ascii="Book Antiqua" w:hAnsi="Book Antiqua"/>
          <w:sz w:val="24"/>
          <w:szCs w:val="24"/>
        </w:rPr>
        <w:t>. With improving biotechnology sciences, there have been evolving faster and more efficient assessment of the individual patient's tumor cytoprotective and oncogenic mechanisms</w:t>
      </w:r>
      <w:r w:rsidR="00D526D3"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{"citationItems":[{"id":"ITEM-1","itemData":{"DOI":"10.1007/s00534-013-0610-6","ISBN":"1868-6982 (Electronic)","ISSN":"18686974","PMID":"23660961","abstract":"Pancreatic cancer is the fourth leading cause of cancer death in our society, with a mortality that virtually parallels its incidence, a median survival of &lt;12 months even with maximal therapy, and a 5-year survival rate of &lt;5 %. The diversity of clinical outcomes and the molecular heterogeneity of histopathologically similar cancer types, incomplete knowledge of the genomic aberrations that drive carcinogenesis and the lack of therapeutics that specifically target most known genomic aberrations necessitates large-scale detailed analysis of cancer genomes to identify novel potential therapeutic strategies. As part of the International Cancer Genome Consortium (ICGC), the Australian Pancreatic Cancer Genome Initiative (APGI) used exomic sequencing and copy number analysis to define genomic aberrations that characterize a large, clinically focused, prospectively accrued cohort of patients with pancreatic cancer. The cohort consisted of early (clinical stages I and II) non-pre-treated patients with pancreatic ductal adenocarcinoma who underwent operative resection with curative intent. We devised approaches to adjust for low epithelial content in primary tumours and to define the genomic landscape of pancreatic cancer to identify novel candidate driver genes and mechanisms. We aim to develop stratified, molecular phenotype-guided therapeutic strategies using existing therapeutics that are either rescued, repurposed, in development, or are known to be effective in an undefined subgroup of PC patients. These are then tested in primary patient-derived xenografts and cell lines from the above deeply characterized cohort. In addition, we return information to treating clinicians that influences patient care and are launching a clinical trial called IMPaCT (Individualized Molecular Pancreatic Cancer Therapy). This umbrella design trial randomizes patients with metastatic disease to either standard first-line therapy with gemcitabine, or a molecular phenotype-guided approach using next-generation sequencing strategies to screen for actionable mutations defined through the ICGC effort.","author":[{"dropping-particle":"","family":"Cowley","given":"Mark J.","non-dropping-particle":"","parse-names":false,"suffix":""},{"dropping-particle":"","family":"Chang","given":"David K.","non-dropping-particle":"","parse-names":false,"suffix":""},{"dropping-particle":"","family":"Pajic","given":"Marina","non-dropping-particle":"","parse-names":false,"suffix":""},{"dropping-particle":"","family":"Johns","given":"Amber L.","non-dropping-particle":"","parse-names":false,"suffix":""},{"dropping-particle":"","family":"Waddell","given":"Nicola","non-dropping-particle":"","parse-names":false,"suffix":""},{"dropping-particle":"","family":"Grimmond","given":"Sean M.","non-dropping-particle":"","parse-names":false,"suffix":""},{"dropping-particle":"V.","family":"Biankin","given":"Andrew","non-dropping-particle":"","parse-names":false,"suffix":""}],"container-title":"Journal of Hepato-Biliary-Pancreatic Sciences","id":"ITEM-1","issue":"6","issued":{"date-parts":[["2013"]]},"page":"549-556","title":"Understanding pancreatic cancer genomes","type":"article-journal","volume":"20"},"uris":["http://www.mendeley.com/documents/?uuid=7452f5e3-9f55-4c31-aa68-232dd494962f"]}],"mendeley":{"formattedCitation":"&lt;sup&gt;[3]&lt;/sup&gt;","plainTextFormattedCitation":"[3]","previouslyFormattedCitation":"&lt;sup&gt;[3]&lt;/sup&gt;"},"properties":{"noteIndex":0},"schema":"https://github.com/citation-style-language/schema/raw/master/csl-citation.json"}</w:instrText>
      </w:r>
      <w:r w:rsidR="00D526D3" w:rsidRPr="00141E92">
        <w:rPr>
          <w:rFonts w:ascii="Book Antiqua" w:hAnsi="Book Antiqua"/>
          <w:sz w:val="24"/>
          <w:szCs w:val="24"/>
        </w:rPr>
        <w:fldChar w:fldCharType="separate"/>
      </w:r>
      <w:r w:rsidR="00604A74" w:rsidRPr="00141E92">
        <w:rPr>
          <w:rFonts w:ascii="Book Antiqua" w:hAnsi="Book Antiqua"/>
          <w:sz w:val="24"/>
          <w:szCs w:val="24"/>
          <w:vertAlign w:val="superscript"/>
        </w:rPr>
        <w:t>[3]</w:t>
      </w:r>
      <w:r w:rsidR="00D526D3" w:rsidRPr="00141E92">
        <w:rPr>
          <w:rFonts w:ascii="Book Antiqua" w:hAnsi="Book Antiqua"/>
          <w:sz w:val="24"/>
          <w:szCs w:val="24"/>
        </w:rPr>
        <w:fldChar w:fldCharType="end"/>
      </w:r>
      <w:r w:rsidR="00D526D3" w:rsidRPr="00141E92">
        <w:rPr>
          <w:rFonts w:ascii="Book Antiqua" w:hAnsi="Book Antiqua"/>
          <w:sz w:val="24"/>
          <w:szCs w:val="24"/>
        </w:rPr>
        <w:t>.</w:t>
      </w:r>
      <w:r w:rsidRPr="00141E92">
        <w:rPr>
          <w:rFonts w:ascii="Book Antiqua" w:hAnsi="Book Antiqua"/>
          <w:sz w:val="24"/>
          <w:szCs w:val="24"/>
        </w:rPr>
        <w:t xml:space="preserve"> </w:t>
      </w:r>
    </w:p>
    <w:p w14:paraId="42E26858" w14:textId="539E7E57" w:rsidR="00E15B60" w:rsidRPr="00141E92" w:rsidRDefault="009B6230" w:rsidP="008530E2">
      <w:pPr>
        <w:snapToGrid w:val="0"/>
        <w:spacing w:line="360" w:lineRule="auto"/>
        <w:jc w:val="both"/>
        <w:rPr>
          <w:rFonts w:ascii="Book Antiqua" w:hAnsi="Book Antiqua"/>
          <w:color w:val="000000" w:themeColor="text1"/>
          <w:sz w:val="24"/>
          <w:szCs w:val="24"/>
        </w:rPr>
      </w:pPr>
      <w:r>
        <w:rPr>
          <w:rFonts w:ascii="Book Antiqua" w:hAnsi="Book Antiqua" w:cs="Times"/>
          <w:color w:val="000000" w:themeColor="text1"/>
          <w:sz w:val="24"/>
          <w:szCs w:val="24"/>
        </w:rPr>
        <w:t xml:space="preserve">  </w:t>
      </w:r>
      <w:r w:rsidR="00D526D3" w:rsidRPr="00141E92">
        <w:rPr>
          <w:rFonts w:ascii="Book Antiqua" w:hAnsi="Book Antiqua" w:cs="Times"/>
          <w:color w:val="000000" w:themeColor="text1"/>
          <w:sz w:val="24"/>
          <w:szCs w:val="24"/>
        </w:rPr>
        <w:t xml:space="preserve">Inhibitor of apoptosis proteins (IAPs) are </w:t>
      </w:r>
      <w:r w:rsidR="008364AC" w:rsidRPr="00141E92">
        <w:rPr>
          <w:rFonts w:ascii="Book Antiqua" w:hAnsi="Book Antiqua" w:cs="Times"/>
          <w:color w:val="000000" w:themeColor="text1"/>
          <w:sz w:val="24"/>
          <w:szCs w:val="24"/>
        </w:rPr>
        <w:t>the</w:t>
      </w:r>
      <w:r w:rsidR="00D526D3" w:rsidRPr="00141E92">
        <w:rPr>
          <w:rFonts w:ascii="Book Antiqua" w:hAnsi="Book Antiqua" w:cs="Times"/>
          <w:color w:val="000000" w:themeColor="text1"/>
          <w:sz w:val="24"/>
          <w:szCs w:val="24"/>
        </w:rPr>
        <w:t xml:space="preserve"> protein</w:t>
      </w:r>
      <w:r w:rsidR="008364AC" w:rsidRPr="00141E92">
        <w:rPr>
          <w:rFonts w:ascii="Book Antiqua" w:hAnsi="Book Antiqua" w:cs="Times"/>
          <w:color w:val="000000" w:themeColor="text1"/>
          <w:sz w:val="24"/>
          <w:szCs w:val="24"/>
        </w:rPr>
        <w:t>’</w:t>
      </w:r>
      <w:r w:rsidR="00D526D3" w:rsidRPr="00141E92">
        <w:rPr>
          <w:rFonts w:ascii="Book Antiqua" w:hAnsi="Book Antiqua" w:cs="Times"/>
          <w:color w:val="000000" w:themeColor="text1"/>
          <w:sz w:val="24"/>
          <w:szCs w:val="24"/>
        </w:rPr>
        <w:t xml:space="preserve">s </w:t>
      </w:r>
      <w:r w:rsidR="008364AC" w:rsidRPr="00141E92">
        <w:rPr>
          <w:rFonts w:ascii="Book Antiqua" w:hAnsi="Book Antiqua" w:cs="Times"/>
          <w:color w:val="000000" w:themeColor="text1"/>
          <w:sz w:val="24"/>
          <w:szCs w:val="24"/>
        </w:rPr>
        <w:t xml:space="preserve">family </w:t>
      </w:r>
      <w:r w:rsidR="00D526D3" w:rsidRPr="00141E92">
        <w:rPr>
          <w:rFonts w:ascii="Book Antiqua" w:hAnsi="Book Antiqua" w:cs="Times"/>
          <w:color w:val="000000" w:themeColor="text1"/>
          <w:sz w:val="24"/>
          <w:szCs w:val="24"/>
        </w:rPr>
        <w:t>characterized by the presence of one or more baculoviral IAP repeats (BIRs)</w:t>
      </w:r>
      <w:r w:rsidR="00D526D3"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{"citationItems":[{"id":"ITEM-1","itemData":{"DOI":"10.1016/j.humpath.2005.09.022","ISSN":"00468177","PMID":"16360419","abstract":"The family of inhibitor of apoptosis (IAP) proteins can suppress apoptosis induced by a variety of triggers. Among the IAPs, cIAP1, cIAP2, and XIAP have been characterized as inhibitors of specific caspases, and their expression, together with that of survivin, has been shown in several studies to play a role as tumor marker and prognostic factor for the survival of patients with cancer. Although survivin is usually not expressed in normal adult tissues, cIAP1, cIAP2, and XIAP have been found broadly expressed at messenger RNA level within normal cells. Here, we report an immunohistochemical study in a comprehensive panel of normal human tissues, and we confirm at the protein level the wide expression of IAPs. These results are consistent with a physiological role of IAPs in normal cells. Moreover, we show that IAPs' expression levels and localization patterns differ depending on the cell lineage. The variable subcellular localization of the IAPs within different cell types suggests that compartmentalization may contribute to regulate their function. The physiological role of these proteins should be further investigated to help tailor IAP-targeted therapeutic strategies for patients with cancer and circumvent possible side effects. © 2006 Elsevier Inc. All rights reserved.","author":[{"dropping-particle":"","family":"Vischioni","given":"Barbara","non-dropping-particle":"","parse-names":false,"suffix":""},{"dropping-particle":"","family":"Valk","given":"Paul","non-dropping-particle":"Van Der","parse-names":false,"suffix":""},{"dropping-particle":"","family":"Span","given":"Simone W.","non-dropping-particle":"","parse-names":false,"suffix":""},{"dropping-particle":"","family":"Kruyt","given":"Frank A E","non-dropping-particle":"","parse-names":false,"suffix":""},{"dropping-particle":"","family":"Rodriguez","given":"Jose A.","non-dropping-particle":"","parse-names":false,"suffix":""},{"dropping-particle":"","family":"Giaccone","given":"Giuseppe","non-dropping-particle":"","parse-names":false,"suffix":""}],"container-title":"Human Pathology","id":"ITEM-1","issue":"1","issued":{"date-parts":[["2006"]]},"page":"78-86","title":"Expression and localization of inhibitor of apoptosis proteins in normal human tissues","type":"article-journal","volume":"37"},"uris":["http://www.mendeley.com/documents/?uuid=a9a5f3fb-3cfe-430d-9bfa-5ab05cba5434"]}],"mendeley":{"formattedCitation":"&lt;sup&gt;[4]&lt;/sup&gt;","plainTextFormattedCitation":"[4]","previouslyFormattedCitation":"&lt;sup&gt;[4]&lt;/sup&gt;"},"properties":{"noteIndex":0},"schema":"https://github.com/citation-style-language/schema/raw/master/csl-citation.json"}</w:instrText>
      </w:r>
      <w:r w:rsidR="00D526D3"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[4]</w:t>
      </w:r>
      <w:r w:rsidR="00D526D3" w:rsidRPr="00141E92">
        <w:rPr>
          <w:rFonts w:ascii="Book Antiqua" w:hAnsi="Book Antiqua"/>
          <w:color w:val="000000" w:themeColor="text1"/>
          <w:sz w:val="24"/>
          <w:szCs w:val="24"/>
        </w:rPr>
        <w:fldChar w:fldCharType="end"/>
      </w:r>
      <w:r w:rsidR="00D526D3" w:rsidRPr="00141E92">
        <w:rPr>
          <w:rFonts w:ascii="Book Antiqua" w:hAnsi="Book Antiqua" w:cs="Times"/>
          <w:color w:val="000000" w:themeColor="text1"/>
          <w:sz w:val="24"/>
          <w:szCs w:val="24"/>
        </w:rPr>
        <w:t xml:space="preserve">. The human genome contains eight IAP-encoding genes: </w:t>
      </w:r>
      <w:r w:rsidR="00D526D3" w:rsidRPr="00141E92">
        <w:rPr>
          <w:rFonts w:ascii="Book Antiqua" w:hAnsi="Book Antiqua"/>
          <w:color w:val="211E1E"/>
          <w:sz w:val="24"/>
          <w:szCs w:val="24"/>
        </w:rPr>
        <w:t xml:space="preserve">neuronal apoptosis inhibitory protein (BIRC1), cellular IAP1 (cIAP1, BIRC2), cellular IAP2 (cIAP2, BIRC3), X chromosome-linked IAP (XIAP, BIRC4), </w:t>
      </w:r>
      <w:proofErr w:type="spellStart"/>
      <w:r w:rsidR="00D526D3" w:rsidRPr="00141E92">
        <w:rPr>
          <w:rFonts w:ascii="Book Antiqua" w:hAnsi="Book Antiqua"/>
          <w:color w:val="211E1E"/>
          <w:sz w:val="24"/>
          <w:szCs w:val="24"/>
        </w:rPr>
        <w:t>survivin</w:t>
      </w:r>
      <w:proofErr w:type="spellEnd"/>
      <w:r w:rsidR="00D526D3" w:rsidRPr="00141E92">
        <w:rPr>
          <w:rFonts w:ascii="Book Antiqua" w:hAnsi="Book Antiqua"/>
          <w:color w:val="211E1E"/>
          <w:sz w:val="24"/>
          <w:szCs w:val="24"/>
        </w:rPr>
        <w:t xml:space="preserve"> (BIRC5), </w:t>
      </w:r>
      <w:proofErr w:type="spellStart"/>
      <w:r w:rsidR="00D526D3" w:rsidRPr="00141E92">
        <w:rPr>
          <w:rFonts w:ascii="Book Antiqua" w:hAnsi="Book Antiqua"/>
          <w:color w:val="211E1E"/>
          <w:sz w:val="24"/>
          <w:szCs w:val="24"/>
        </w:rPr>
        <w:t>apollon</w:t>
      </w:r>
      <w:proofErr w:type="spellEnd"/>
      <w:r w:rsidR="00D526D3" w:rsidRPr="00141E92">
        <w:rPr>
          <w:rFonts w:ascii="Book Antiqua" w:hAnsi="Book Antiqua"/>
          <w:color w:val="211E1E"/>
          <w:sz w:val="24"/>
          <w:szCs w:val="24"/>
        </w:rPr>
        <w:t xml:space="preserve"> (BIRC6), melanoma IAP (BIRC7) and IAP-like protein 2 (BIRC8)</w:t>
      </w:r>
      <w:r w:rsidR="006302CC" w:rsidRPr="00141E92">
        <w:rPr>
          <w:rFonts w:ascii="Book Antiqua" w:hAnsi="Book Antiqua"/>
          <w:color w:val="211E1E"/>
          <w:sz w:val="24"/>
          <w:szCs w:val="24"/>
        </w:rPr>
        <w:fldChar w:fldCharType="begin" w:fldLock="1"/>
      </w:r>
      <w:r w:rsidR="007C64D9" w:rsidRPr="00141E92">
        <w:rPr>
          <w:rFonts w:ascii="Book Antiqua" w:hAnsi="Book Antiqua"/>
          <w:color w:val="211E1E"/>
          <w:sz w:val="24"/>
          <w:szCs w:val="24"/>
        </w:rPr>
        <w:instrText>ADDIN CSL_CITATION {"citationItems":[{"id":"ITEM-1","itemData":{"DOI":"10.1038/sj.cr.7290046","ISBN":"1001-0602","ISSN":"10010602","PMID":"11032169","abstract":"IAPs (inhibitors of apoptosis) are a family of proteins containing one or more characteristic BIR domains. These proteins have multiple biological activities that include binding and inhibiting caspases, regulating cell cycle progression, and modulating receptor-mediated signal transduction. Our recent studies found the IAP family members XIAP and c-IAP1 are ubiquitinated and degraded in proteasomes in response to apoptotic stimuli in T cells, and their degradation appears to be important for T cells to commit to death. In addition to three BIR domains, each of these IAPs also contains a RING finger domain. We found this region confers ubiquitin protease ligase (E3) activity to IAPs, and is responsible for the auto-ubiquitination and degradation of IAPs after an apoptotic stimulus. Given the fact that IAPs can bind a variety of proteins, such as caspases and TRAFs, it will be of interest to characterize potential substrates of the E3 activity of IAPs and the effects of ubiquitination by IAPs on signal transduction, cell cycle, and apoptosis.","author":[{"dropping-particle":"","family":"Yang","given":"Yi Li","non-dropping-particle":"","parse-names":false,"suffix":""},{"dropping-particle":"","family":"Li","given":"Xiao Ming","non-dropping-particle":"","parse-names":false,"suffix":""}],"container-title":"Cell Research","id":"ITEM-1","issued":{"date-parts":[["2000"]]},"title":"The IAP family: Endogenous caspase inhibitors with multiple biological activities","type":"article"},"uris":["http://www.mendeley.com/documents/?uuid=0768846c-1139-45e7-9bfb-100e6504d58f"]}],"mendeley":{"formattedCitation":"&lt;sup&gt;[5]&lt;/sup&gt;","plainTextFormattedCitation":"[5]","previouslyFormattedCitation":"&lt;sup&gt;[5]&lt;/sup&gt;"},"properties":{"noteIndex":0},"schema":"https://github.com/citation-style-language/schema/raw/master/csl-citation.json"}</w:instrText>
      </w:r>
      <w:r w:rsidR="006302CC" w:rsidRPr="00141E92">
        <w:rPr>
          <w:rFonts w:ascii="Book Antiqua" w:hAnsi="Book Antiqua"/>
          <w:color w:val="211E1E"/>
          <w:sz w:val="24"/>
          <w:szCs w:val="24"/>
        </w:rPr>
        <w:fldChar w:fldCharType="separate"/>
      </w:r>
      <w:r w:rsidR="00604A74" w:rsidRPr="00141E92">
        <w:rPr>
          <w:rFonts w:ascii="Book Antiqua" w:hAnsi="Book Antiqua"/>
          <w:color w:val="211E1E"/>
          <w:sz w:val="24"/>
          <w:szCs w:val="24"/>
          <w:vertAlign w:val="superscript"/>
        </w:rPr>
        <w:t>[5]</w:t>
      </w:r>
      <w:r w:rsidR="006302CC" w:rsidRPr="00141E92">
        <w:rPr>
          <w:rFonts w:ascii="Book Antiqua" w:hAnsi="Book Antiqua"/>
          <w:color w:val="211E1E"/>
          <w:sz w:val="24"/>
          <w:szCs w:val="24"/>
        </w:rPr>
        <w:fldChar w:fldCharType="end"/>
      </w:r>
      <w:r w:rsidR="00D526D3" w:rsidRPr="00141E92">
        <w:rPr>
          <w:rFonts w:ascii="Book Antiqua" w:hAnsi="Book Antiqua"/>
          <w:color w:val="211E1E"/>
          <w:sz w:val="24"/>
          <w:szCs w:val="24"/>
        </w:rPr>
        <w:t>.</w:t>
      </w:r>
      <w:r w:rsidR="00D526D3" w:rsidRPr="00141E92">
        <w:rPr>
          <w:rFonts w:ascii="Book Antiqua" w:hAnsi="Book Antiqua" w:cs="Times"/>
          <w:color w:val="000000" w:themeColor="text1"/>
          <w:sz w:val="24"/>
          <w:szCs w:val="24"/>
        </w:rPr>
        <w:t xml:space="preserve"> IAPs are involved in various cellular functions, including regulation of apoptosis, cell cycle, and intracellular signal transduction</w:t>
      </w:r>
      <w:r w:rsidR="006302CC"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{"citationItems":[{"id":"ITEM-1","itemData":{"DOI":"10.1038/sj.onc.1207101","ISBN":"0950-9232 (Print)\\n0950-9232 (Linking)","ISSN":"09509232","PMID":"14634619","abstract":"The inhibitor of apoptosis (IAP) genes constitute a highly conserved family found in organisms as diverse as insects and mammals. These genes encode proteins that directly bind and inhibit caspases, and thus play a critical role in deciding cell fate. The IAPs are in turn regulated by endogenous proteins (second mitochondrial activator of caspases and Omi) that are released from the mitochondria during apoptosis. Overexpression of the IAPs, particularly the X-chromosome-linked IAP, has been shown to be protective in a variety of experimental animal models of human neurodegenerative diseases. Furthermore, overexpression of one or more of the IAPs in cancer cell lines and primary tumor samples appears to be a frequent event. IAP gene amplification and translocation events provide genetic evidence that further strengthens the case for classifying the IAPs as oncogenes. Therapeutic strategies that interfere with IAP expression or function are under investigation as an adjuvant to conventional chemotherapy- and radiation-based cancer therapy. This paper reviews the structure and function of the IAP family members and their inhibitors, and surveys the available evidence for IAP dysregulation in cancer.","author":[{"dropping-particle":"","family":"Liston","given":"Peter","non-dropping-particle":"","parse-names":false,"suffix":""},{"dropping-particle":"","family":"Fong","given":"Wai Gin","non-dropping-particle":"","parse-names":false,"suffix":""},{"dropping-particle":"","family":"Korneluk","given":"Robert G.","non-dropping-particle":"","parse-names":false,"suffix":""}],"container-title":"Oncogene","id":"ITEM-1","issued":{"date-parts":[["2003"]]},"title":"The inhibitors of apoptosis: There is more to life than Bcl2","type":"article"},"uris":["http://www.mendeley.com/documents/?uuid=1a31a812-8379-4cf2-a839-fc3b22cca8bb"]}],"mendeley":{"formattedCitation":"&lt;sup&gt;[6]&lt;/sup&gt;","plainTextFormattedCitation":"[6]","previouslyFormattedCitation":"&lt;sup&gt;[6]&lt;/sup&gt;"},"properties":{"noteIndex":0},"schema":"https://github.com/citation-style-language/schema/raw/master/csl-citation.json"}</w:instrText>
      </w:r>
      <w:r w:rsidR="006302CC"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[6]</w:t>
      </w:r>
      <w:r w:rsidR="006302CC" w:rsidRPr="00141E92">
        <w:rPr>
          <w:rFonts w:ascii="Book Antiqua" w:hAnsi="Book Antiqua"/>
          <w:color w:val="000000" w:themeColor="text1"/>
          <w:sz w:val="24"/>
          <w:szCs w:val="24"/>
        </w:rPr>
        <w:fldChar w:fldCharType="end"/>
      </w:r>
      <w:r w:rsidR="006302CC" w:rsidRPr="00141E92">
        <w:rPr>
          <w:rFonts w:ascii="Book Antiqua" w:hAnsi="Book Antiqua" w:cs="Times"/>
          <w:color w:val="000000" w:themeColor="text1"/>
          <w:sz w:val="24"/>
          <w:szCs w:val="24"/>
        </w:rPr>
        <w:t>.</w:t>
      </w:r>
      <w:r w:rsidR="005A19D1" w:rsidRPr="00141E92">
        <w:rPr>
          <w:rFonts w:ascii="Book Antiqua" w:hAnsi="Book Antiqua" w:cs="Times"/>
          <w:color w:val="000000" w:themeColor="text1"/>
          <w:sz w:val="24"/>
          <w:szCs w:val="24"/>
        </w:rPr>
        <w:t xml:space="preserve"> </w:t>
      </w:r>
      <w:r w:rsidR="00D526D3" w:rsidRPr="00141E92">
        <w:rPr>
          <w:rFonts w:ascii="Book Antiqua" w:hAnsi="Book Antiqua" w:cs="Times"/>
          <w:color w:val="000000" w:themeColor="text1"/>
          <w:sz w:val="24"/>
          <w:szCs w:val="24"/>
        </w:rPr>
        <w:t xml:space="preserve">Several IAP family members </w:t>
      </w:r>
      <w:r w:rsidR="00604CC8" w:rsidRPr="00141E92">
        <w:rPr>
          <w:rFonts w:ascii="Book Antiqua" w:hAnsi="Book Antiqua" w:cs="Times"/>
          <w:color w:val="000000" w:themeColor="text1"/>
          <w:sz w:val="24"/>
          <w:szCs w:val="24"/>
        </w:rPr>
        <w:t xml:space="preserve">such as IAP1 and IAP2 </w:t>
      </w:r>
      <w:r w:rsidR="00D526D3" w:rsidRPr="00141E92">
        <w:rPr>
          <w:rFonts w:ascii="Book Antiqua" w:hAnsi="Book Antiqua" w:cs="Times"/>
          <w:color w:val="000000" w:themeColor="text1"/>
          <w:sz w:val="24"/>
          <w:szCs w:val="24"/>
        </w:rPr>
        <w:t>function predominantly in regulating apoptosis</w:t>
      </w:r>
      <w:r w:rsidR="00712A7E" w:rsidRPr="00141E92">
        <w:rPr>
          <w:rFonts w:ascii="Book Antiqua" w:hAnsi="Book Antiqua" w:cs="Times"/>
          <w:color w:val="000000" w:themeColor="text1"/>
          <w:sz w:val="24"/>
          <w:szCs w:val="24"/>
        </w:rPr>
        <w:t xml:space="preserve"> </w:t>
      </w:r>
      <w:r w:rsidR="00D526D3" w:rsidRPr="00141E92">
        <w:rPr>
          <w:rFonts w:ascii="Book Antiqua" w:hAnsi="Book Antiqua" w:cs="Times"/>
          <w:color w:val="000000" w:themeColor="text1"/>
          <w:sz w:val="24"/>
          <w:szCs w:val="24"/>
        </w:rPr>
        <w:t>and they can prevent apoptosis through various mechanisms, including caspase inhibition or participation in survival signaling pathways</w:t>
      </w:r>
      <w:r w:rsidR="006302CC"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{"citationItems":[{"id":"ITEM-1","itemData":{"DOI":"65/1/210 [pii]","ISBN":"8586463140","ISSN":"00085472","PMID":"15665297","author":[{"dropping-particle":"","family":"Samuel","given":"Temesgen","non-dropping-particle":"","parse-names":false,"suffix":""},{"dropping-particle":"","family":"Okada","given":"Kazuya","non-dropping-particle":"","parse-names":false,"suffix":""},{"dropping-particle":"","family":"Hyer","given":"Marc","non-dropping-particle":"","parse-names":false,"suffix":""},{"dropping-particle":"","family":"Welsh","given":"Kate","non-dropping-particle":"","parse-names":false,"suffix":""},{"dropping-particle":"","family":"Zapata","given":"Juan M","non-dropping-particle":"","parse-names":false,"suffix":""},{"dropping-particle":"","family":"Reed","given":"John C","non-dropping-particle":"","parse-names":false,"suffix":""}],"container-title":"Cancer Research","id":"ITEM-1","issue":"1","issued":{"date-parts":[["2005"]]},"page":"210-218","title":"cIAP1 Localizes to the Nuclear Compartment and Modulates the Cell Cycle cIAP1 Localizes to the Nuclear Compartment and Modulates the Cell Cycle","type":"article-journal","volume":"2"},"uris":["http://www.mendeley.com/documents/?uuid=4a688557-d533-4965-bbef-eb7978834807"]}],"mendeley":{"formattedCitation":"&lt;sup&gt;[7]&lt;/sup&gt;","plainTextFormattedCitation":"[7]","previouslyFormattedCitation":"&lt;sup&gt;[7]&lt;/sup&gt;"},"properties":{"noteIndex":0},"schema":"https://github.com/citation-style-language/schema/raw/master/csl-citation.json"}</w:instrText>
      </w:r>
      <w:r w:rsidR="006302CC"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[7]</w:t>
      </w:r>
      <w:r w:rsidR="006302CC" w:rsidRPr="00141E92">
        <w:rPr>
          <w:rFonts w:ascii="Book Antiqua" w:hAnsi="Book Antiqua"/>
          <w:color w:val="000000" w:themeColor="text1"/>
          <w:sz w:val="24"/>
          <w:szCs w:val="24"/>
        </w:rPr>
        <w:fldChar w:fldCharType="end"/>
      </w:r>
      <w:r w:rsidR="00D526D3" w:rsidRPr="00141E92">
        <w:rPr>
          <w:rFonts w:ascii="Book Antiqua" w:hAnsi="Book Antiqua" w:cs="Times"/>
          <w:color w:val="000000" w:themeColor="text1"/>
          <w:sz w:val="24"/>
          <w:szCs w:val="24"/>
        </w:rPr>
        <w:t xml:space="preserve">. </w:t>
      </w:r>
      <w:r w:rsidR="00D526D3" w:rsidRPr="00141E92">
        <w:rPr>
          <w:rFonts w:ascii="Book Antiqua" w:hAnsi="Book Antiqua"/>
          <w:color w:val="000000" w:themeColor="text1"/>
          <w:sz w:val="24"/>
          <w:szCs w:val="24"/>
        </w:rPr>
        <w:t>Furthermore, IAPs have altered activity in numerous cancer types (</w:t>
      </w:r>
      <w:proofErr w:type="spellStart"/>
      <w:r w:rsidR="00D526D3" w:rsidRPr="00141E92">
        <w:rPr>
          <w:rFonts w:ascii="Book Antiqua" w:hAnsi="Book Antiqua"/>
          <w:color w:val="000000" w:themeColor="text1"/>
          <w:sz w:val="24"/>
          <w:szCs w:val="24"/>
        </w:rPr>
        <w:t>lympholeukemia</w:t>
      </w:r>
      <w:proofErr w:type="spellEnd"/>
      <w:r w:rsidR="00D526D3" w:rsidRPr="00141E92">
        <w:rPr>
          <w:rFonts w:ascii="Book Antiqua" w:hAnsi="Book Antiqua"/>
          <w:color w:val="000000" w:themeColor="text1"/>
          <w:sz w:val="24"/>
          <w:szCs w:val="24"/>
        </w:rPr>
        <w:t>, hepatic, esophageal, ovarian, pancreatic cancer</w:t>
      </w:r>
      <w:r w:rsidR="006302CC" w:rsidRPr="00141E92">
        <w:rPr>
          <w:rFonts w:ascii="Book Antiqua" w:hAnsi="Book Antiqua"/>
          <w:color w:val="000000" w:themeColor="text1"/>
          <w:sz w:val="24"/>
          <w:szCs w:val="24"/>
        </w:rPr>
        <w:t>)</w:t>
      </w:r>
      <w:r w:rsidR="005A19D1"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{"citationItems":[{"id":"ITEM-1","itemData":{"DOI":"10.1038/nrd3627","ISBN":"1474-1784 (Electronic)\\r1474-1776 (Linking)","ISSN":"14741776","PMID":"22293567","abstract":"Evasion of apoptosis is one of the crucial acquired capabilities used by cancer cells to fend off anticancer therapies. Inhibitor of apoptosis (IAP) proteins exert a range of biological activities that promote cancer cell survival and proliferation. X chromosome-linked IAP is a direct inhibitor of caspases - pro-apoptotic executioner proteases - whereas cellular IAP proteins block the assembly of pro-apoptotic protein signalling complexes and mediate the expression of anti-apoptotic molecules. Furthermore, mutations, amplifications and chromosomal translocations of IAP genes are associated with various malignancies. Among the therapeutic strategies that have been designed to target IAP proteins, the most widely used approach is based on mimicking the IAP-binding motif of second mitochondria-derived activator of caspase (SMAC), which functions as an endogenous IAP antagonist. Alternative strategies include transcriptional repression and the use of antisense oligonucleotides. This Review provides an update on IAP protein biology as well as current and future perspectives on targeting IAP proteins for therapeutic intervention in human malignancies.","author":[{"dropping-particle":"","family":"Fulda","given":"Simone","non-dropping-particle":"","parse-names":false,"suffix":""},{"dropping-particle":"","family":"Vucic","given":"Domagoj","non-dropping-particle":"","parse-names":false,"suffix":""}],"container-title":"Nature Reviews Drug Discovery","id":"ITEM-1","issued":{"date-parts":[["2012"]]},"title":"Targeting IAP proteins for therapeutic intervention in cancer","type":"article"},"uris":["http://www.mendeley.com/documents/?uuid=c3231bf5-c4a3-4127-af1a-f1b07f91697b"]}],"mendeley":{"formattedCitation":"&lt;sup&gt;[8]&lt;/sup&gt;","plainTextFormattedCitation":"[8]","previouslyFormattedCitation":"&lt;sup&gt;[8]&lt;/sup&gt;"},"properties":{"noteIndex":0},"schema":"https://github.com/citation-style-language/schema/raw/master/csl-citation.json"}</w:instrText>
      </w:r>
      <w:r w:rsidR="005A19D1"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[8]</w:t>
      </w:r>
      <w:r w:rsidR="005A19D1" w:rsidRPr="00141E92">
        <w:rPr>
          <w:rFonts w:ascii="Book Antiqua" w:hAnsi="Book Antiqua"/>
          <w:color w:val="000000" w:themeColor="text1"/>
          <w:sz w:val="24"/>
          <w:szCs w:val="24"/>
        </w:rPr>
        <w:fldChar w:fldCharType="end"/>
      </w:r>
      <w:r w:rsidR="005A19D1" w:rsidRPr="00141E92">
        <w:rPr>
          <w:rFonts w:ascii="Book Antiqua" w:hAnsi="Book Antiqua"/>
          <w:color w:val="000000" w:themeColor="text1"/>
          <w:sz w:val="24"/>
          <w:szCs w:val="24"/>
        </w:rPr>
        <w:t xml:space="preserve">. </w:t>
      </w:r>
      <w:r w:rsidR="00D526D3" w:rsidRPr="00141E92">
        <w:rPr>
          <w:rFonts w:ascii="Book Antiqua" w:hAnsi="Book Antiqua" w:cs="Times"/>
          <w:color w:val="000000" w:themeColor="text1"/>
          <w:sz w:val="24"/>
          <w:szCs w:val="24"/>
        </w:rPr>
        <w:t>Overexpression of IAP in tumor cells inhibits cell death induced by a variety of apoptotic stimuli and induces resistance to chemotherapy</w:t>
      </w:r>
      <w:r w:rsidR="006302CC"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{"citationItems":[{"id":"ITEM-1","itemData":{"ISSN":"1078-0432","PMID":"11489828","abstract":"To assess the pattern of expression and the prognostic value of the inhibitor of apoptosis family member X-linked inhibitor of apoptosis (XIAP; MIHA/ILP-a) in radically resected non-small cell lung cancer patients.","author":[{"dropping-particle":"","family":"Ferreira","given":"C G","non-dropping-particle":"","parse-names":false,"suffix":""},{"dropping-particle":"","family":"Valk","given":"P","non-dropping-particle":"van der","parse-names":false,"suffix":""},{"dropping-particle":"","family":"Span","given":"S W","non-dropping-particle":"","parse-names":false,"suffix":""},{"dropping-particle":"","family":"Ludwig","given":"I","non-dropping-particle":"","parse-names":false,"suffix":""},{"dropping-particle":"","family":"Smit","given":"E F","non-dropping-particle":"","parse-names":false,"suffix":""},{"dropping-particle":"","family":"Kruyt","given":"F a","non-dropping-particle":"","parse-names":false,"suffix":""},{"dropping-particle":"","family":"Pinedo","given":"H M","non-dropping-particle":"","parse-names":false,"suffix":""},{"dropping-particle":"","family":"Tinteren","given":"H","non-dropping-particle":"van","parse-names":false,"suffix":""},{"dropping-particle":"","family":"Giaccone","given":"G","non-dropping-particle":"","parse-names":false,"suffix":""}],"container-title":"Clinical cancer research : an official journal of the American Association for Cancer Research","id":"ITEM-1","issue":"8","issued":{"date-parts":[["2001"]]},"page":"2468-74","title":"Expression of X-linked inhibitor of apoptosis as a novel prognostic marker in radically resected non-small cell lung cancer patients.","type":"article-journal","volume":"7"},"uris":["http://www.mendeley.com/documents/?uuid=7180d36f-3ad8-47f0-9a0b-c87ba16a489c"]}],"mendeley":{"formattedCitation":"&lt;sup&gt;[9]&lt;/sup&gt;","plainTextFormattedCitation":"[9]","previouslyFormattedCitation":"&lt;sup&gt;[9]&lt;/sup&gt;"},"properties":{"noteIndex":0},"schema":"https://github.com/citation-style-language/schema/raw/master/csl-citation.json"}</w:instrText>
      </w:r>
      <w:r w:rsidR="006302CC"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[9]</w:t>
      </w:r>
      <w:r w:rsidR="006302CC" w:rsidRPr="00141E92">
        <w:rPr>
          <w:rFonts w:ascii="Book Antiqua" w:hAnsi="Book Antiqua"/>
          <w:color w:val="000000" w:themeColor="text1"/>
          <w:sz w:val="24"/>
          <w:szCs w:val="24"/>
        </w:rPr>
        <w:fldChar w:fldCharType="end"/>
      </w:r>
      <w:r w:rsidR="006302CC" w:rsidRPr="00141E92">
        <w:rPr>
          <w:rFonts w:ascii="Book Antiqua" w:hAnsi="Book Antiqua" w:cs="Times"/>
          <w:color w:val="000000" w:themeColor="text1"/>
          <w:sz w:val="24"/>
          <w:szCs w:val="24"/>
        </w:rPr>
        <w:t>.</w:t>
      </w:r>
      <w:r w:rsidR="00D526D3" w:rsidRPr="00141E92">
        <w:rPr>
          <w:rFonts w:ascii="Book Antiqua" w:hAnsi="Book Antiqua" w:cs="Times"/>
          <w:color w:val="000000" w:themeColor="text1"/>
          <w:sz w:val="24"/>
          <w:szCs w:val="24"/>
        </w:rPr>
        <w:t xml:space="preserve"> Elevated</w:t>
      </w:r>
      <w:r w:rsidR="00D526D3" w:rsidRPr="00141E92">
        <w:rPr>
          <w:rFonts w:ascii="Book Antiqua" w:hAnsi="Book Antiqua"/>
          <w:color w:val="000000" w:themeColor="text1"/>
          <w:sz w:val="24"/>
          <w:szCs w:val="24"/>
        </w:rPr>
        <w:t xml:space="preserve"> </w:t>
      </w:r>
      <w:r w:rsidR="00FC0650" w:rsidRPr="00141E92">
        <w:rPr>
          <w:rFonts w:ascii="Book Antiqua" w:hAnsi="Book Antiqua"/>
          <w:sz w:val="24"/>
          <w:szCs w:val="24"/>
        </w:rPr>
        <w:t xml:space="preserve">IAPs </w:t>
      </w:r>
      <w:r w:rsidR="00D526D3" w:rsidRPr="00141E92">
        <w:rPr>
          <w:rFonts w:ascii="Book Antiqua" w:hAnsi="Book Antiqua"/>
          <w:sz w:val="24"/>
          <w:szCs w:val="24"/>
        </w:rPr>
        <w:t xml:space="preserve">expression is associated with poor response to a treatment, </w:t>
      </w:r>
      <w:r w:rsidR="004F7496" w:rsidRPr="00141E92">
        <w:rPr>
          <w:rFonts w:ascii="Book Antiqua" w:hAnsi="Book Antiqua"/>
          <w:sz w:val="24"/>
          <w:szCs w:val="24"/>
        </w:rPr>
        <w:t xml:space="preserve">a </w:t>
      </w:r>
      <w:r w:rsidR="00D526D3" w:rsidRPr="00141E92">
        <w:rPr>
          <w:rFonts w:ascii="Book Antiqua" w:hAnsi="Book Antiqua"/>
          <w:sz w:val="24"/>
          <w:szCs w:val="24"/>
        </w:rPr>
        <w:t>worse overall survival and more aggressive course in the PDAC</w:t>
      </w:r>
      <w:r w:rsidR="004F7496" w:rsidRPr="00141E92">
        <w:rPr>
          <w:rFonts w:ascii="Book Antiqua" w:hAnsi="Book Antiqua"/>
          <w:sz w:val="24"/>
          <w:szCs w:val="24"/>
        </w:rPr>
        <w:t>,</w:t>
      </w:r>
      <w:r w:rsidR="00D526D3" w:rsidRPr="00141E92">
        <w:rPr>
          <w:rFonts w:ascii="Book Antiqua" w:hAnsi="Book Antiqua"/>
          <w:sz w:val="24"/>
          <w:szCs w:val="24"/>
        </w:rPr>
        <w:t xml:space="preserve"> however</w:t>
      </w:r>
      <w:r w:rsidR="004F7496" w:rsidRPr="00141E92">
        <w:rPr>
          <w:rFonts w:ascii="Book Antiqua" w:hAnsi="Book Antiqua"/>
          <w:sz w:val="24"/>
          <w:szCs w:val="24"/>
        </w:rPr>
        <w:t>,</w:t>
      </w:r>
      <w:r w:rsidR="00D526D3" w:rsidRPr="00141E92">
        <w:rPr>
          <w:rFonts w:ascii="Book Antiqua" w:hAnsi="Book Antiqua"/>
          <w:sz w:val="24"/>
          <w:szCs w:val="24"/>
        </w:rPr>
        <w:t xml:space="preserve"> underlying mechanisms are still unknown</w:t>
      </w:r>
      <w:r w:rsidR="00FC0650"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{"citationItems":[{"id":"ITEM-1","itemData":{"DOI":"10.1007/s12307-015-0167-9","ISBN":"1875-2292 (Print)","ISSN":"18752284","PMID":"25982218","abstract":"Exosomes are endosomal-derived nanovesicles released by normal and tumor cells which have been shown to transfer functionally active protein, lipids, mRNAs and miRNAs between cells. Varying in molecular profiles, biological roles, functional roles and protein contents, exosomes have been described as \"multi-purpose carriers\" playing a role in supporting the survival and growth of tumor cells. The IAP Survivin has been found to be present in tumor exosomes. However, the existence of other IAPs in tumor exosomes is still unknown. Survivin, cIAP1, cIAP2 and XIAP mRNA and protein are differently expressed in a panel of tumor cell lines: DLCL2, HeLa, MCF-7, Panc-1, and PC3. Exosomes were isolated from conditioned media collected from the cells from which RNA and protein were extracted. Our results provide evidence that like Survivin, XIAP, cIAP1 and cIAP2 proteins are found in tumor exosomes. The mRNA expression, however, is differentially expressed across the tumor cell lines. The presence of these bioactive molecules in exosomes may not only serve as warning signals, but also play a role in providing protection to the cancer cells against changes that are constantly occurring in the tumor microenvironment.","author":[{"dropping-particle":"","family":"Valenzuela","given":"Malyn May Asuncion","non-dropping-particle":"","parse-names":false,"suffix":""},{"dropping-particle":"","family":"Ferguson Bennit","given":"Heather R.","non-dropping-particle":"","parse-names":false,"suffix":""},{"dropping-particle":"","family":"Gonda","given":"Amber","non-dropping-particle":"","parse-names":false,"suffix":""},{"dropping-particle":"","family":"Diaz Osterman","given":"Carlos J.","non-dropping-particle":"","parse-names":false,"suffix":""},{"dropping-particle":"","family":"Hibma","given":"Abby","non-dropping-particle":"","parse-names":false,"suffix":""},{"dropping-particle":"","family":"Khan","given":"Salma","non-dropping-particle":"","parse-names":false,"suffix":""},{"dropping-particle":"","family":"Wall","given":"Nathan R.","non-dropping-particle":"","parse-names":false,"suffix":""}],"container-title":"Cancer Microenvironment","id":"ITEM-1","issue":"2","issued":{"date-parts":[["2015"]]},"page":"65-73","title":"Exosomes Secreted from Human Cancer Cell Lines Contain Inhibitors of Apoptosis (IAP)","type":"article-journal","volume":"8"},"uris":["http://www.mendeley.com/documents/?uuid=165b3514-1aec-4166-9667-00ae38d05c7f"]},{"id":"ITEM-2","itemData":{"DOI":"10.1002/ijc.22554","ISBN":"0020-7136 (Print)\\r0020-7136 (Linking)","ISSN":"00207136","PMID":"17311258","abstract":"Pancreatic cancer is one of the most aggressive human tumors with a 5-year survival rate of only 3% and a striking resistance to chemotherapy and radiotherapy. The search for new therapeutic approaches includes strategies exploiting the deregulation of apoptotic pathways commonly found in cancer cells. The IAP proteins are inhibitors of apoptosis that have altered activity in numerous cancer types and are implicated in resistance to chemotherapy, and therefore are potentially interesting as therapeutic targets. We investigated alterations in the expression of IAPs and their inhibitors in pancreatic adenocarcinoma by using real-time PCR, in situ hybridization and immunohistochemistry. We found differential expression of various IAPs in this malignancy, and particularly we observed overexpression of cIAP-2, survivin, livin and XIAP. We also looked for correlations between the expression of IAPs and resistance to paclitaxel, doxorubicin, CDDP and 5-fluorouracil, and found that resistance to these drugs correlates most significantly with expression of cIAP-2. Using RNAi to downregulate these proteins we further confirmed that the levels of cIAP-2 and XIAP influence the response to the anti-cancer drugs, although only marginally for 5-FU. We conclude that anti-tumor strategies based on the inhibition of particular IAPs can be useful in targeting pancreatic adenocarcinoma.","author":[{"dropping-particle":"","family":"Lopes","given":"Rita Bayer","non-dropping-particle":"","parse-names":false,"suffix":""},{"dropping-particle":"","family":"Gangeswaran","given":"Rathi","non-dropping-particle":"","parse-names":false,"suffix":""},{"dropping-particle":"","family":"McNeish","given":"Iain A.","non-dropping-particle":"","parse-names":false,"suffix":""},{"dropping-particle":"","family":"Wang","given":"Yaohe","non-dropping-particle":"","parse-names":false,"suffix":""},{"dropping-particle":"","family":"Lemoine","given":"Nick R.","non-dropping-particle":"","parse-names":false,"suffix":""}],"container-title":"International Journal of Cancer","id":"ITEM-2","issue":"11","issued":{"date-parts":[["2007"]]},"page":"2344-2352","title":"Expression of the IAP protein family is dysregulated in pancreatic cancer cells and is important for resistance to chemotherapy","type":"article-journal","volume":"120"},"uris":["http://www.mendeley.com/documents/?uuid=f80cf43f-513f-4ea4-a2a9-97af81c76de8"]}],"mendeley":{"formattedCitation":"&lt;sup&gt;[10,11]&lt;/sup&gt;","plainTextFormattedCitation":"[10,11]","previouslyFormattedCitation":"&lt;sup&gt;[10,11]&lt;/sup&gt;"},"properties":{"noteIndex":0},"schema":"https://github.com/citation-style-language/schema/raw/master/csl-citation.json"}</w:instrText>
      </w:r>
      <w:r w:rsidR="00FC0650"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[10,11]</w:t>
      </w:r>
      <w:r w:rsidR="00FC0650" w:rsidRPr="00141E92">
        <w:rPr>
          <w:rFonts w:ascii="Book Antiqua" w:hAnsi="Book Antiqua"/>
          <w:color w:val="000000" w:themeColor="text1"/>
          <w:sz w:val="24"/>
          <w:szCs w:val="24"/>
        </w:rPr>
        <w:fldChar w:fldCharType="end"/>
      </w:r>
      <w:r w:rsidR="006302CC" w:rsidRPr="00141E92">
        <w:rPr>
          <w:rFonts w:ascii="Book Antiqua" w:hAnsi="Book Antiqua"/>
          <w:color w:val="000000" w:themeColor="text1"/>
          <w:sz w:val="24"/>
          <w:szCs w:val="24"/>
        </w:rPr>
        <w:t>.</w:t>
      </w:r>
    </w:p>
    <w:p w14:paraId="02C9D93B" w14:textId="27A897F1" w:rsidR="00D526D3" w:rsidRPr="00141E92" w:rsidRDefault="009B6230" w:rsidP="008530E2">
      <w:pPr>
        <w:snapToGrid w:val="0"/>
        <w:spacing w:line="360" w:lineRule="auto"/>
        <w:jc w:val="both"/>
        <w:rPr>
          <w:rFonts w:ascii="Book Antiqua" w:hAnsi="Book Antiqua"/>
          <w:color w:val="FF0000"/>
          <w:sz w:val="24"/>
          <w:szCs w:val="24"/>
        </w:rPr>
      </w:pPr>
      <w:r>
        <w:rPr>
          <w:rFonts w:ascii="Book Antiqua" w:hAnsi="Book Antiqua" w:cs="Verdana"/>
          <w:color w:val="000000" w:themeColor="text1"/>
          <w:sz w:val="24"/>
          <w:szCs w:val="24"/>
        </w:rPr>
        <w:t xml:space="preserve">  </w:t>
      </w:r>
      <w:r w:rsidR="00D526D3" w:rsidRPr="00141E92">
        <w:rPr>
          <w:rFonts w:ascii="Book Antiqua" w:hAnsi="Book Antiqua" w:cs="Verdana"/>
          <w:color w:val="000000" w:themeColor="text1"/>
          <w:sz w:val="24"/>
          <w:szCs w:val="24"/>
        </w:rPr>
        <w:t>Normally, post- transcriptional regulation plays a critical role in the process of cell proliferation and apoptosis, but in cancer cells, this control might be impaired by changes in the expression of RNA binding proteins</w:t>
      </w:r>
      <w:r w:rsidR="005A19D1" w:rsidRPr="00141E92">
        <w:rPr>
          <w:rFonts w:ascii="Book Antiqua" w:hAnsi="Book Antiqua" w:cs="Verdana"/>
          <w:color w:val="000000" w:themeColor="text1"/>
          <w:sz w:val="24"/>
          <w:szCs w:val="24"/>
        </w:rPr>
        <w:fldChar w:fldCharType="begin" w:fldLock="1"/>
      </w:r>
      <w:r w:rsidR="007C64D9" w:rsidRPr="00141E92">
        <w:rPr>
          <w:rFonts w:ascii="Book Antiqua" w:hAnsi="Book Antiqua" w:cs="Verdana"/>
          <w:color w:val="000000" w:themeColor="text1"/>
          <w:sz w:val="24"/>
          <w:szCs w:val="24"/>
        </w:rPr>
        <w:instrText>ADDIN CSL_CITATION {"citationItems":[{"id":"ITEM-1","itemData":{"DOI":"10.1007/s00018-008-8252-6","ISBN":"1420-682X","ISSN":"1420682X","PMID":"18581050","abstract":"Hu proteins are RNA-binding proteins involved in diverse biological processes. The neuronal members of the Hu family, HuB, HuC, and HuD play important roles in neuronal differentiation and plasticity, while the ubiquitously expressed family member, HuR, has numerous functions mostly related to cellular stress response. The pivotal roles of Hu proteins are dictated by their molecular functions affecting a large number of target genes. Hu proteins affect many post-transcriptional aspects of RNA metabolism, from splicing to translation. In this communication, we will focus on these molecular events and review our current understanding of how Hu proteins mediate them. In particular, emphasis will be put on the nuclear functions of these proteins, which were recently discovered. Three examples including calcitonin/calcitonin gene-related peptide, neurofibromatosis type 1, and Ikaros will be discussed in detail. In addition, an intriguing theme of antagonism between Hu proteins and other AU-rich sequence binding proteins will be discussed.","author":[{"dropping-particle":"","family":"Hinman","given":"M. N.","non-dropping-particle":"","parse-names":false,"suffix":""},{"dropping-particle":"","family":"Lou","given":"H.","non-dropping-particle":"","parse-names":false,"suffix":""}],"container-title":"Cellular and Molecular Life Sciences","id":"ITEM-1","issued":{"date-parts":[["2008"]]},"title":"Diverse molecular functions of Hu proteins","type":"article"},"uris":["http://www.mendeley.com/documents/?uuid=2225bd36-05e4-4028-b831-6204f77186d1"]}],"mendeley":{"formattedCitation":"&lt;sup&gt;[12]&lt;/sup&gt;","plainTextFormattedCitation":"[12]","previouslyFormattedCitation":"&lt;sup&gt;[12]&lt;/sup&gt;"},"properties":{"noteIndex":0},"schema":"https://github.com/citation-style-language/schema/raw/master/csl-citation.json"}</w:instrText>
      </w:r>
      <w:r w:rsidR="005A19D1" w:rsidRPr="00141E92">
        <w:rPr>
          <w:rFonts w:ascii="Book Antiqua" w:hAnsi="Book Antiqua" w:cs="Verdana"/>
          <w:color w:val="000000" w:themeColor="text1"/>
          <w:sz w:val="24"/>
          <w:szCs w:val="24"/>
        </w:rPr>
        <w:fldChar w:fldCharType="separate"/>
      </w:r>
      <w:r w:rsidR="00604A74" w:rsidRPr="00141E92">
        <w:rPr>
          <w:rFonts w:ascii="Book Antiqua" w:hAnsi="Book Antiqua"/>
          <w:color w:val="000000" w:themeColor="text1"/>
          <w:sz w:val="24"/>
          <w:szCs w:val="24"/>
          <w:vertAlign w:val="superscript"/>
        </w:rPr>
        <w:t>[12]</w:t>
      </w:r>
      <w:r w:rsidR="005A19D1" w:rsidRPr="00141E92">
        <w:rPr>
          <w:rFonts w:ascii="Book Antiqua" w:hAnsi="Book Antiqua" w:cs="Verdana"/>
          <w:color w:val="000000" w:themeColor="text1"/>
          <w:sz w:val="24"/>
          <w:szCs w:val="24"/>
        </w:rPr>
        <w:fldChar w:fldCharType="end"/>
      </w:r>
      <w:r w:rsidR="005A19D1" w:rsidRPr="00141E92">
        <w:rPr>
          <w:rFonts w:ascii="Book Antiqua" w:hAnsi="Book Antiqua" w:cs="Verdana"/>
          <w:color w:val="000000" w:themeColor="text1"/>
          <w:sz w:val="24"/>
          <w:szCs w:val="24"/>
        </w:rPr>
        <w:t xml:space="preserve">. </w:t>
      </w:r>
      <w:r w:rsidR="00D526D3" w:rsidRPr="00141E92">
        <w:rPr>
          <w:rFonts w:ascii="Book Antiqua" w:hAnsi="Book Antiqua" w:cs="Times"/>
          <w:color w:val="000000" w:themeColor="text1"/>
          <w:sz w:val="24"/>
          <w:szCs w:val="24"/>
        </w:rPr>
        <w:t>A key regulator of post-tran</w:t>
      </w:r>
      <w:r>
        <w:rPr>
          <w:rFonts w:ascii="Book Antiqua" w:hAnsi="Book Antiqua" w:cs="Times"/>
          <w:color w:val="000000" w:themeColor="text1"/>
          <w:sz w:val="24"/>
          <w:szCs w:val="24"/>
        </w:rPr>
        <w:t>scriptional gene regulation is h</w:t>
      </w:r>
      <w:r w:rsidR="00D526D3" w:rsidRPr="00141E92">
        <w:rPr>
          <w:rFonts w:ascii="Book Antiqua" w:hAnsi="Book Antiqua" w:cs="Times"/>
          <w:color w:val="000000" w:themeColor="text1"/>
          <w:sz w:val="24"/>
          <w:szCs w:val="24"/>
        </w:rPr>
        <w:t>u</w:t>
      </w:r>
      <w:r w:rsidR="003B4F68" w:rsidRPr="00141E92">
        <w:rPr>
          <w:rFonts w:ascii="Book Antiqua" w:hAnsi="Book Antiqua" w:cs="Times"/>
          <w:color w:val="000000" w:themeColor="text1"/>
          <w:sz w:val="24"/>
          <w:szCs w:val="24"/>
        </w:rPr>
        <w:t>man</w:t>
      </w:r>
      <w:r w:rsidR="00D526D3" w:rsidRPr="00141E92">
        <w:rPr>
          <w:rFonts w:ascii="Book Antiqua" w:hAnsi="Book Antiqua" w:cs="Times"/>
          <w:color w:val="000000" w:themeColor="text1"/>
          <w:sz w:val="24"/>
          <w:szCs w:val="24"/>
        </w:rPr>
        <w:t xml:space="preserve"> antigen R (</w:t>
      </w:r>
      <w:proofErr w:type="spellStart"/>
      <w:r w:rsidR="00D526D3" w:rsidRPr="00141E92">
        <w:rPr>
          <w:rFonts w:ascii="Book Antiqua" w:hAnsi="Book Antiqua" w:cs="Times"/>
          <w:color w:val="000000" w:themeColor="text1"/>
          <w:sz w:val="24"/>
          <w:szCs w:val="24"/>
        </w:rPr>
        <w:t>HuR</w:t>
      </w:r>
      <w:proofErr w:type="spellEnd"/>
      <w:r w:rsidR="00D526D3" w:rsidRPr="00141E92">
        <w:rPr>
          <w:rFonts w:ascii="Book Antiqua" w:hAnsi="Book Antiqua" w:cs="Times"/>
          <w:color w:val="000000" w:themeColor="text1"/>
          <w:sz w:val="24"/>
          <w:szCs w:val="24"/>
        </w:rPr>
        <w:t xml:space="preserve"> or ELAVL1), </w:t>
      </w:r>
      <w:r w:rsidR="00D52B2A" w:rsidRPr="00141E92">
        <w:rPr>
          <w:rFonts w:ascii="Book Antiqua" w:hAnsi="Book Antiqua" w:cs="Times"/>
          <w:color w:val="000000" w:themeColor="text1"/>
          <w:sz w:val="24"/>
          <w:szCs w:val="24"/>
        </w:rPr>
        <w:t>the</w:t>
      </w:r>
      <w:r w:rsidR="00D526D3" w:rsidRPr="00141E92">
        <w:rPr>
          <w:rFonts w:ascii="Book Antiqua" w:hAnsi="Book Antiqua" w:cs="Times"/>
          <w:color w:val="000000" w:themeColor="text1"/>
          <w:sz w:val="24"/>
          <w:szCs w:val="24"/>
        </w:rPr>
        <w:t xml:space="preserve"> member of embryo</w:t>
      </w:r>
      <w:r>
        <w:rPr>
          <w:rFonts w:ascii="Book Antiqua" w:hAnsi="Book Antiqua" w:cs="Times"/>
          <w:color w:val="000000" w:themeColor="text1"/>
          <w:sz w:val="24"/>
          <w:szCs w:val="24"/>
        </w:rPr>
        <w:t>nic lethal, abnormal vision in d</w:t>
      </w:r>
      <w:r w:rsidR="00D526D3" w:rsidRPr="00141E92">
        <w:rPr>
          <w:rFonts w:ascii="Book Antiqua" w:hAnsi="Book Antiqua" w:cs="Times"/>
          <w:color w:val="000000" w:themeColor="text1"/>
          <w:sz w:val="24"/>
          <w:szCs w:val="24"/>
        </w:rPr>
        <w:t>rosophila-like (ELAVL) family</w:t>
      </w:r>
      <w:r w:rsidR="005A19D1"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{"citationItems":[{"id":"ITEM-1","itemData":{"DOI":"10.18632/oncotarget.4743","ISBN":"1949-2553 (Electronic)\\r1949-2553 (Linking)","ISSN":"1949-2553","PMID":"26314962","abstract":"Post-transcriptional regulation is a powerful mediator of gene expression, and can rapidly alter the expression of numerous transcripts involved in tumorigenesis. We have previously shown that the mRNA-binding protein HuR (ELAVL1) is elevated in human pancreatic ductal adenocarcinoma (PDA) specimens compared to normal pancreatic tissues, and its cytoplasmic localization is associated with increased tumor stage. To gain a better insight into HuR's role in PDA biology and to assess it as a candidate therapeutic target, we altered HuR expression in PDA cell lines and characterized the resulting phenotype in preclinical models. HuR silencing by short hairpin and small interfering RNAs significantly decreased cell proliferation and anchorage-independent growth, as well as impaired migration and invasion. In comparison, HuR overexpression increased migration and invasion, but had no significant effects on cell proliferation and anchorage-independent growth. Importantly, two distinct targeted approaches to HuR silencing showed marked impairment in tumor growth in mouse xenografts. NanoString nCounter(R) analyses demonstrated that HuR regulates core biological processes, highlighting that HuR inhibition likely thwarts PDA viability through post-transcriptional regulation of diverse signaling pathways (e.g. cell cycle, apoptosis, DNA repair). Taken together, our study suggests that targeted inhibition of HuR may be a novel, promising approach to the treatment of PDA.","author":[{"dropping-particle":"","family":"Jimbo","given":"M","non-dropping-particle":"","parse-names":false,"suffix":""},{"dropping-particle":"","family":"Blanco","given":"F F","non-dropping-particle":"","parse-names":false,"suffix":""},{"dropping-particle":"","family":"Huang","given":"Y H","non-dropping-particle":"","parse-names":false,"suffix":""},{"dropping-particle":"","family":"Telonis","given":"A G","non-dropping-particle":"","parse-names":false,"suffix":""},{"dropping-particle":"","family":"Screnci","given":"B A","non-dropping-particle":"","parse-names":false,"suffix":""},{"dropping-particle":"","family":"Cosma","given":"G L","non-dropping-particle":"","parse-names":false,"suffix":""},{"dropping-particle":"","family":"Alexeev","given":"V","non-dropping-particle":"","parse-names":false,"suffix":""},{"dropping-particle":"","family":"Gonye","given":"G E","non-dropping-particle":"","parse-names":false,"suffix":""},{"dropping-particle":"","family":"Yeo","given":"C J","non-dropping-particle":"","parse-names":false,"suffix":""},{"dropping-particle":"","family":"Sawicki","given":"J A","non-dropping-particle":"","parse-names":false,"suffix":""},{"dropping-particle":"","family":"Winter","given":"J M","non-dropping-particle":"","parse-names":false,"suffix":""},{"dropping-particle":"","family":"Brody","given":"J R","non-dropping-particle":"","parse-names":false,"suffix":""}],"container-title":"Oncotarget","id":"ITEM-1","issue":"29","issued":{"date-parts":[["2015"]]},"page":"27312-27331","title":"Targeting the mRNA-binding protein HuR impairs malignant characteristics of pancreatic ductal adenocarcinoma cells","type":"article-journal","volume":"6"},"uris":["http://www.mendeley.com/documents/?uuid=37c7139e-ec0d-4ca7-9f42-940a6ea84fc4"]}],"mendeley":{"formattedCitation":"&lt;sup&gt;[13]&lt;/sup&gt;","plainTextFormattedCitation":"[13]","previouslyFormattedCitation":"&lt;sup&gt;[13]&lt;/sup&gt;"},"properties":{"noteIndex":0},"schema":"https://github.com/citation-style-language/schema/raw/master/csl-citation.json"}</w:instrText>
      </w:r>
      <w:r w:rsidR="005A19D1"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[13]</w:t>
      </w:r>
      <w:r w:rsidR="005A19D1" w:rsidRPr="00141E92">
        <w:rPr>
          <w:rFonts w:ascii="Book Antiqua" w:hAnsi="Book Antiqua"/>
          <w:color w:val="000000" w:themeColor="text1"/>
          <w:sz w:val="24"/>
          <w:szCs w:val="24"/>
        </w:rPr>
        <w:fldChar w:fldCharType="end"/>
      </w:r>
      <w:r w:rsidR="00D526D3" w:rsidRPr="00141E92">
        <w:rPr>
          <w:rFonts w:ascii="Book Antiqua" w:hAnsi="Book Antiqua" w:cs="Times"/>
          <w:color w:val="000000" w:themeColor="text1"/>
          <w:sz w:val="24"/>
          <w:szCs w:val="24"/>
        </w:rPr>
        <w:t xml:space="preserve">. Mechanistically, </w:t>
      </w:r>
      <w:proofErr w:type="spellStart"/>
      <w:r w:rsidR="00D526D3" w:rsidRPr="00141E92">
        <w:rPr>
          <w:rFonts w:ascii="Book Antiqua" w:hAnsi="Book Antiqua" w:cs="Times"/>
          <w:color w:val="000000" w:themeColor="text1"/>
          <w:sz w:val="24"/>
          <w:szCs w:val="24"/>
        </w:rPr>
        <w:t>HuR</w:t>
      </w:r>
      <w:proofErr w:type="spellEnd"/>
      <w:r w:rsidR="00D526D3" w:rsidRPr="00141E92">
        <w:rPr>
          <w:rFonts w:ascii="Book Antiqua" w:hAnsi="Book Antiqua" w:cs="Times"/>
          <w:color w:val="000000" w:themeColor="text1"/>
          <w:sz w:val="24"/>
          <w:szCs w:val="24"/>
        </w:rPr>
        <w:t xml:space="preserve"> regulates mRNA cargos that typically contain U- or AU-rich sequences in the 3'-</w:t>
      </w:r>
      <w:bookmarkStart w:id="27" w:name="OLE_LINK2"/>
      <w:r w:rsidR="00D526D3" w:rsidRPr="00141E92">
        <w:rPr>
          <w:rFonts w:ascii="Book Antiqua" w:hAnsi="Book Antiqua" w:cs="Times"/>
          <w:color w:val="000000" w:themeColor="text1"/>
          <w:sz w:val="24"/>
          <w:szCs w:val="24"/>
        </w:rPr>
        <w:t>untranslated region</w:t>
      </w:r>
      <w:bookmarkEnd w:id="27"/>
      <w:r w:rsidR="00D526D3" w:rsidRPr="00141E92">
        <w:rPr>
          <w:rFonts w:ascii="Book Antiqua" w:hAnsi="Book Antiqua" w:cs="Times"/>
          <w:color w:val="000000" w:themeColor="text1"/>
          <w:sz w:val="24"/>
          <w:szCs w:val="24"/>
        </w:rPr>
        <w:t xml:space="preserve"> (UTR)</w:t>
      </w:r>
      <w:r w:rsidR="005A19D1"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{"citationItems":[{"id":"ITEM-1","itemData":{"DOI":"10.4161/rna.25274","ISBN":"1555-8584 (Electronic)\\r1547-6286 (Linking)","ISSN":"15558584","PMID":"23807417","abstract":"Cancer cell metabolism differs from normal cells, yet the regulatory mechanisms responsible for these differences are incompletely understood, particularly in response to acute changes in the tumor microenvironment. HuR, an RNA-binding protein, acts under acute stress to regulate core signaling pathways in cancer through post-transcriptional regulation of mRNA targets. We demonstrate that HuR regulates the metabolic phenotype in pancreatic cancer cells and is critical for survival under acute glucose deprivation. Using three pancreatic cancer cell line models, HuR-proficient cells demonstrated superior survival under glucose deprivation when compared with isogenic cells with siRNA-silencing of HuR expression (HuR-deficient cells). We found that HuR-proficient cells utilized less glucose, but produced greater lactate, as compared with HuR-deficient cells. Acute glucose deprivation was found to act as a potent stimulus for HuR translocation from the nucleus to the cytoplasm, where HuR stabilizes its mRNA targets. We performed a gene expression array on ribonucleoprotein-immunoprecipitated mRNAs bound to HuR and identified 11 novel HuR target transcripts that encode enzymes central to glucose metabolism. Three (GPI, PRPS2 and IDH1) were selected for validation studies, and confirmed as bona fide HuR targets. These findings establish HuR as a critical regulator of pancreatic cancer cell metabolism and survival under acute glucose deprivation. Further explorations into HuR's role in cancer cell metabolism should uncover novel therapeutic targets that are critical for cancer cell survival in a metabolically compromised tumor microenvironment.","author":[{"dropping-particle":"","family":"Burkhart","given":"Richard A.","non-dropping-particle":"","parse-names":false,"suffix":""},{"dropping-particle":"","family":"Pineda","given":"Danielle M.","non-dropping-particle":"","parse-names":false,"suffix":""},{"dropping-particle":"","family":"Chand","given":"Saswati N.","non-dropping-particle":"","parse-names":false,"suffix":""},{"dropping-particle":"","family":"Romeo","given":"Carmella","non-dropping-particle":"","parse-names":false,"suffix":""},{"dropping-particle":"","family":"Londin","given":"Eric R.","non-dropping-particle":"","parse-names":false,"suffix":""},{"dropping-particle":"","family":"Karoly","given":"Edward D.","non-dropping-particle":"","parse-names":false,"suffix":""},{"dropping-particle":"","family":"Cozzitorto","given":"Joseph A.","non-dropping-particle":"","parse-names":false,"suffix":""},{"dropping-particle":"","family":"Rigoutsos","given":"Isidore","non-dropping-particle":"","parse-names":false,"suffix":""},{"dropping-particle":"","family":"Yeo","given":"Charles J.","non-dropping-particle":"","parse-names":false,"suffix":""},{"dropping-particle":"","family":"Brody","given":"Jonathan R.","non-dropping-particle":"","parse-names":false,"suffix":""},{"dropping-particle":"","family":"Winter","given":"Jordan M.","non-dropping-particle":"","parse-names":false,"suffix":""}],"container-title":"RNA Biology","id":"ITEM-1","issue":"8","issued":{"date-parts":[["2013"]]},"page":"1312-1323","title":"HuR is a post-transcriptional regulator of core metabolic enzymes in pancreatic cancer","type":"article-journal","volume":"10"},"uris":["http://www.mendeley.com/documents/?uuid=04e34176-c2a9-48fd-8e55-f1152ac2139f"]}],"mendeley":{"formattedCitation":"&lt;sup&gt;[14]&lt;/sup&gt;","plainTextFormattedCitation":"[14]","previouslyFormattedCitation":"&lt;sup&gt;[14]&lt;/sup&gt;"},"properties":{"noteIndex":0},"schema":"https://github.com/citation-style-language/schema/raw/master/csl-citation.json"}</w:instrText>
      </w:r>
      <w:r w:rsidR="005A19D1"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[14]</w:t>
      </w:r>
      <w:r w:rsidR="005A19D1" w:rsidRPr="00141E92">
        <w:rPr>
          <w:rFonts w:ascii="Book Antiqua" w:hAnsi="Book Antiqua"/>
          <w:color w:val="000000" w:themeColor="text1"/>
          <w:sz w:val="24"/>
          <w:szCs w:val="24"/>
        </w:rPr>
        <w:fldChar w:fldCharType="end"/>
      </w:r>
      <w:r w:rsidR="005A19D1" w:rsidRPr="00141E92">
        <w:rPr>
          <w:rFonts w:ascii="Book Antiqua" w:hAnsi="Book Antiqua" w:cs="Times"/>
          <w:color w:val="000000" w:themeColor="text1"/>
          <w:sz w:val="24"/>
          <w:szCs w:val="24"/>
        </w:rPr>
        <w:t xml:space="preserve">. </w:t>
      </w:r>
      <w:r w:rsidR="00D526D3" w:rsidRPr="00141E92">
        <w:rPr>
          <w:rFonts w:ascii="Book Antiqua" w:hAnsi="Book Antiqua" w:cs="Verdana"/>
          <w:color w:val="000000" w:themeColor="text1"/>
          <w:sz w:val="24"/>
          <w:szCs w:val="24"/>
        </w:rPr>
        <w:t xml:space="preserve">Increasing evidence support </w:t>
      </w:r>
      <w:proofErr w:type="spellStart"/>
      <w:r w:rsidR="00D526D3" w:rsidRPr="00141E92">
        <w:rPr>
          <w:rFonts w:ascii="Book Antiqua" w:hAnsi="Book Antiqua" w:cs="Verdana"/>
          <w:color w:val="000000" w:themeColor="text1"/>
          <w:sz w:val="24"/>
          <w:szCs w:val="24"/>
        </w:rPr>
        <w:t>HuR</w:t>
      </w:r>
      <w:proofErr w:type="spellEnd"/>
      <w:r w:rsidR="00D526D3" w:rsidRPr="00141E92">
        <w:rPr>
          <w:rFonts w:ascii="Book Antiqua" w:hAnsi="Book Antiqua" w:cs="Verdana"/>
          <w:color w:val="000000" w:themeColor="text1"/>
          <w:sz w:val="24"/>
          <w:szCs w:val="24"/>
        </w:rPr>
        <w:t xml:space="preserve"> </w:t>
      </w:r>
      <w:r w:rsidR="00D526D3" w:rsidRPr="00141E92">
        <w:rPr>
          <w:rFonts w:ascii="Book Antiqua" w:hAnsi="Book Antiqua" w:cs="Verdana"/>
          <w:color w:val="000000" w:themeColor="text1"/>
          <w:sz w:val="24"/>
          <w:szCs w:val="24"/>
        </w:rPr>
        <w:lastRenderedPageBreak/>
        <w:t>as the first RNA- binding protein shown to play a critical role in both carcinogenesis and cancer progression by functioning as either an oncogene or a tumor suppressor that regulates the expression of various target genes</w:t>
      </w:r>
      <w:r w:rsidR="000F5767"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{"citationItems":[{"id":"ITEM-1","itemData":{"DOI":"10.3390/ijms140510015","ISSN":"16616596","PMID":"23665903","abstract":"The human embryonic lethal abnormal vision-like protein, HuR, is a member of the Hu family of RNA-binding proteins. Over the past decade, this ubiquitously expressed protein has been extensively investigated in cancer research because it is involved in the regulation of mRNA stability and translation in many cell types. HuR activity and function is associated with its subcellular distribution, transcriptional regulation, translational and post-translational modifications. HuR regulation of target mRNAs is based on the interaction between the three specific domains of HuR protein and one or several U- or AU-rich elements (AREs) in the untranslated region of target mRNAs. A number of cancer-related transcripts containing AREs, including mRNAs for proto-oncogenes, cytokines, growth factors, and invasion factors, have been characterized as HuR targets. It has been proposed that HuR has a central tumorigenic activity by enabling multiple cancer phenotypes. In this review, we comprehensively survey the existing evidence with regard to the diverse functions of HuR in caner development and progression. The current data also suggest that HuR might be a novel and promising therapeutic target and a marker for treatment response and prognostic evaluation.","author":[{"dropping-particle":"","family":"Wang","given":"Jun","non-dropping-particle":"","parse-names":false,"suffix":""},{"dropping-particle":"","family":"Guo","given":"Yan","non-dropping-particle":"","parse-names":false,"suffix":""},{"dropping-particle":"","family":"Chu","given":"Huili","non-dropping-particle":"","parse-names":false,"suffix":""},{"dropping-particle":"","family":"Guan","given":"Yaping","non-dropping-particle":"","parse-names":false,"suffix":""},{"dropping-particle":"","family":"Bi","given":"Jingwang","non-dropping-particle":"","parse-names":false,"suffix":""},{"dropping-particle":"","family":"Wang","given":"Baocheng","non-dropping-particle":"","parse-names":false,"suffix":""}],"container-title":"International Journal of Molecular Sciences","id":"ITEM-1","issue":"5","issued":{"date-parts":[["2013"]]},"page":"10015-10041","title":"Multiple functions of the RNA-binding protein HuR in cancer progression, treatment responses and prognosis","type":"article","volume":"14"},"uris":["http://www.mendeley.com/documents/?uuid=f59df242-89d1-4363-a22b-83c844334fc4"]}],"mendeley":{"formattedCitation":"&lt;sup&gt;[15]&lt;/sup&gt;","plainTextFormattedCitation":"[15]","previouslyFormattedCitation":"&lt;sup&gt;[15]&lt;/sup&gt;"},"properties":{"noteIndex":0},"schema":"https://github.com/citation-style-language/schema/raw/master/csl-citation.json"}</w:instrText>
      </w:r>
      <w:r w:rsidR="000F5767"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[15]</w:t>
      </w:r>
      <w:r w:rsidR="000F5767" w:rsidRPr="00141E92">
        <w:rPr>
          <w:rFonts w:ascii="Book Antiqua" w:hAnsi="Book Antiqua"/>
          <w:color w:val="000000" w:themeColor="text1"/>
          <w:sz w:val="24"/>
          <w:szCs w:val="24"/>
        </w:rPr>
        <w:fldChar w:fldCharType="end"/>
      </w:r>
      <w:r w:rsidR="000F5767" w:rsidRPr="00141E92">
        <w:rPr>
          <w:rFonts w:ascii="Book Antiqua" w:hAnsi="Book Antiqua"/>
          <w:color w:val="000000" w:themeColor="text1"/>
          <w:sz w:val="24"/>
          <w:szCs w:val="24"/>
        </w:rPr>
        <w:t>.</w:t>
      </w:r>
      <w:r w:rsidR="00D526D3" w:rsidRPr="00141E92">
        <w:rPr>
          <w:rFonts w:ascii="Book Antiqua" w:hAnsi="Book Antiqua" w:cs="Verdana"/>
          <w:color w:val="000000" w:themeColor="text1"/>
          <w:sz w:val="24"/>
          <w:szCs w:val="24"/>
        </w:rPr>
        <w:t xml:space="preserve"> </w:t>
      </w:r>
      <w:r w:rsidR="00D526D3" w:rsidRPr="00141E92">
        <w:rPr>
          <w:rFonts w:ascii="Book Antiqua" w:hAnsi="Book Antiqua" w:cs="Times"/>
          <w:color w:val="000000" w:themeColor="text1"/>
          <w:sz w:val="24"/>
          <w:szCs w:val="24"/>
        </w:rPr>
        <w:t xml:space="preserve">Consequently, elevated </w:t>
      </w:r>
      <w:proofErr w:type="spellStart"/>
      <w:r w:rsidR="00D526D3" w:rsidRPr="00141E92">
        <w:rPr>
          <w:rFonts w:ascii="Book Antiqua" w:hAnsi="Book Antiqua" w:cs="Times"/>
          <w:color w:val="000000" w:themeColor="text1"/>
          <w:sz w:val="24"/>
          <w:szCs w:val="24"/>
        </w:rPr>
        <w:t>HuR</w:t>
      </w:r>
      <w:proofErr w:type="spellEnd"/>
      <w:r w:rsidR="00D526D3" w:rsidRPr="00141E92">
        <w:rPr>
          <w:rFonts w:ascii="Book Antiqua" w:hAnsi="Book Antiqua" w:cs="Times"/>
          <w:color w:val="000000" w:themeColor="text1"/>
          <w:sz w:val="24"/>
          <w:szCs w:val="24"/>
        </w:rPr>
        <w:t xml:space="preserve"> levels have been linked to both </w:t>
      </w:r>
      <w:r w:rsidR="004F7496" w:rsidRPr="00141E92">
        <w:rPr>
          <w:rFonts w:ascii="Book Antiqua" w:hAnsi="Book Antiqua" w:cs="Times"/>
          <w:color w:val="000000" w:themeColor="text1"/>
          <w:sz w:val="24"/>
          <w:szCs w:val="24"/>
        </w:rPr>
        <w:t xml:space="preserve">increased </w:t>
      </w:r>
      <w:r w:rsidR="00D526D3" w:rsidRPr="00141E92">
        <w:rPr>
          <w:rFonts w:ascii="Book Antiqua" w:hAnsi="Book Antiqua" w:cs="Times"/>
          <w:color w:val="000000" w:themeColor="text1"/>
          <w:sz w:val="24"/>
          <w:szCs w:val="24"/>
        </w:rPr>
        <w:t xml:space="preserve">PDAC cell survival and poor </w:t>
      </w:r>
      <w:proofErr w:type="spellStart"/>
      <w:r w:rsidR="00D526D3" w:rsidRPr="00141E92">
        <w:rPr>
          <w:rFonts w:ascii="Book Antiqua" w:hAnsi="Book Antiqua" w:cs="Times"/>
          <w:color w:val="000000" w:themeColor="text1"/>
          <w:sz w:val="24"/>
          <w:szCs w:val="24"/>
        </w:rPr>
        <w:t>clinico</w:t>
      </w:r>
      <w:proofErr w:type="spellEnd"/>
      <w:r w:rsidR="00D526D3" w:rsidRPr="00141E92">
        <w:rPr>
          <w:rFonts w:ascii="Book Antiqua" w:hAnsi="Book Antiqua" w:cs="Times"/>
          <w:color w:val="000000" w:themeColor="text1"/>
          <w:sz w:val="24"/>
          <w:szCs w:val="24"/>
        </w:rPr>
        <w:t>-pathologic features by supporting an antiapoptotic and pro-survival gene-expression network</w:t>
      </w:r>
      <w:r w:rsidR="000F5767"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{"citationItems":[{"id":"ITEM-1","itemData":{"DOI":"10.3748/wjg.v21.i46.13004","ISBN":"1007-9327","ISSN":"22192840","PMID":"26675757","abstract":"AIM: To investigate the expression of HuR in pancreatic ductal adenocarcinoma (PDA) and to assess the effects of HuR silencing on the expression of cyclooxygenase-2 (COX-2) and heme oxygenase-1 (HO-1) and the in vitro response to gemcitabine (GEM) treatment in pancreatic cell lines. METHODS: We compared the expression of HuR, COX-2, and HO-1 in PDA and normal pancreatic tissue using quantitative reverse transcription polymerase chain reaction (qRT-PCR) and western blot. In addition, the HuR, COX-2 and HO-1 were analyzed in four types of cancer cell lines (MiaPaca2, Su.86.86, Capan-1, and Capan-2) with and without GEM treatment. Immunocytofluorescence analysis was used to investigate HuR localization in cells. Cell viability and response to GEM after HuR silencing were determined with the 3-(4,5-dimethylthiazol-2-Yl)-2,5-diphenyltetrazolium bromide test and the crystal violet clonogenic assay, respectively. To measure apoptosis, activation of caspases 3/7 was evaluated using immunofluorescence. RESULTS: In PDA tissue obtained from patients not treated with GEM, HuR mRNA expression was 3.2 times lower (p {\\textless} 0.05) and COX-2 and HO-1 mRNA expression was 2.3-fold and 7.2-fold higher (p {\\textless} 0.05), respectively, than normal pancreatic tissue (from organ donor). qRT-PCR analysis showed that HuR, COX-2, and HO-1 mRNA were overexpressed in all cancer cell lines treated with the half maximal inhibitory concentration (IC50) dose of GEM compared with control cells (p {\\textless} 0.05). Western blot analysis revealed that COX-2 and HO-1 levels were significantly decreased in cancer cells after HuR silencing. Furthermore, HuR silencing increased the response to GEM treatment and decreased cell viability by 11.6{%}-53.7{%} compared to control cell lines. Caspases 3 and 7 were activated after HuR silencing and GEM treatment in all pancreatic cancer cell lines. In comparison, treatment with GEM alone did not activate caspases 3 and 7 in the same cell lines. CONCLUSION: HuR mediated post-transcriptional upregulation of COX-2 and HO-1 expression after GEM treatment in pancreatic cancer cells. HuR silencing significantly increased the effectiveness of GEM treatment in vitro.","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Gulbinas","given":"Antanas","non-dropping-particle":"","parse-names":false,"suffix":""},{"dropping-particle":"","family":"Dambrauskas","given":"Zilvinas","non-dropping-particle":"","parse-names":false,"suffix":""}],"container-title":"World Journal of Gastroenterology","id":"ITEM-1","issue":"46","issued":{"date-parts":[["2015"]]},"page":"13004-13019","title":"HuR mediated post-transcriptional regulation as a new potential adjuvant therapeutic target in chemotherapy for pancreatic cancer","type":"article-journal","volume":"21"},"uris":["http://www.mendeley.com/documents/?uuid=81ab3630-3731-4f63-90fc-64cf8b25a037"]}],"mendeley":{"formattedCitation":"&lt;sup&gt;[16]&lt;/sup&gt;","plainTextFormattedCitation":"[16]","previouslyFormattedCitation":"&lt;sup&gt;[16]&lt;/sup&gt;"},"properties":{"noteIndex":0},"schema":"https://github.com/citation-style-language/schema/raw/master/csl-citation.json"}</w:instrText>
      </w:r>
      <w:r w:rsidR="000F5767"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[16]</w:t>
      </w:r>
      <w:r w:rsidR="000F5767" w:rsidRPr="00141E92">
        <w:rPr>
          <w:rFonts w:ascii="Book Antiqua" w:hAnsi="Book Antiqua"/>
          <w:color w:val="000000" w:themeColor="text1"/>
          <w:sz w:val="24"/>
          <w:szCs w:val="24"/>
        </w:rPr>
        <w:fldChar w:fldCharType="end"/>
      </w:r>
      <w:r w:rsidR="000F5767" w:rsidRPr="00141E92">
        <w:rPr>
          <w:rFonts w:ascii="Book Antiqua" w:hAnsi="Book Antiqua" w:cs="Times"/>
          <w:color w:val="000000" w:themeColor="text1"/>
          <w:sz w:val="24"/>
          <w:szCs w:val="24"/>
        </w:rPr>
        <w:t xml:space="preserve">. </w:t>
      </w:r>
      <w:r w:rsidR="00D526D3" w:rsidRPr="00141E92">
        <w:rPr>
          <w:rFonts w:ascii="Book Antiqua" w:hAnsi="Book Antiqua" w:cs="Times"/>
          <w:color w:val="000000" w:themeColor="text1"/>
          <w:sz w:val="24"/>
          <w:szCs w:val="24"/>
        </w:rPr>
        <w:t xml:space="preserve">Additionally, a deregulated </w:t>
      </w:r>
      <w:proofErr w:type="spellStart"/>
      <w:r w:rsidR="00D526D3" w:rsidRPr="00141E92">
        <w:rPr>
          <w:rFonts w:ascii="Book Antiqua" w:hAnsi="Book Antiqua" w:cs="Times"/>
          <w:color w:val="000000" w:themeColor="text1"/>
          <w:sz w:val="24"/>
          <w:szCs w:val="24"/>
        </w:rPr>
        <w:t>HuR</w:t>
      </w:r>
      <w:proofErr w:type="spellEnd"/>
      <w:r w:rsidR="00D526D3" w:rsidRPr="00141E92">
        <w:rPr>
          <w:rFonts w:ascii="Book Antiqua" w:hAnsi="Book Antiqua" w:cs="Times"/>
          <w:color w:val="000000" w:themeColor="text1"/>
          <w:sz w:val="24"/>
          <w:szCs w:val="24"/>
        </w:rPr>
        <w:t xml:space="preserve"> pathway may be relevant to cancer biology and may possibly promote the abnormal expression of several proteins</w:t>
      </w:r>
      <w:r w:rsidR="00FC0650" w:rsidRPr="00141E92">
        <w:rPr>
          <w:rFonts w:ascii="Book Antiqua" w:hAnsi="Book Antiqua" w:cs="Times"/>
          <w:color w:val="000000" w:themeColor="text1"/>
          <w:sz w:val="24"/>
          <w:szCs w:val="24"/>
        </w:rPr>
        <w:fldChar w:fldCharType="begin" w:fldLock="1"/>
      </w:r>
      <w:r w:rsidR="007C64D9" w:rsidRPr="00141E92">
        <w:rPr>
          <w:rFonts w:ascii="Book Antiqua" w:hAnsi="Book Antiqua" w:cs="Times"/>
          <w:color w:val="000000" w:themeColor="text1"/>
          <w:sz w:val="24"/>
          <w:szCs w:val="24"/>
        </w:rPr>
        <w:instrText>ADDIN CSL_CITATION {"citationItems":[{"id":"ITEM-1","itemData":{"DOI":"10.1158/0008-5472.CAN-09-0371","ISBN":"1538-7445 (Electronic)\\r0008-5472 (Linking)","ISSN":"00085472","PMID":"19487279","abstract":"RNA-binding protein HuR binds U- or AU-rich sequences in the 3'-untranslated regions of target mRNAs, stabilizing them and/or modulating their translation. Given the links of HuR with cancer, we studied the consequences of modulating HuR levels in pancreatic cancer cells. HuR-overexpressing cancer cells, in some instances, are roughly up to 30-fold more sensitive to treatment with gemcitabine, the main chemotherapeutic component of treatment regimens for pancreatic ductal adenocarcinoma (PDA), compared with control cells. In pancreatic cancer cells, HuR associates with deoxycytidine kinase (dCK) mRNA, which encodes the enzyme that metabolizes and thereby activates gemcitabine. Gemcitabine exposure to pancreatic cancer cells enriches the association between HuR and dCK mRNA and increases cytoplasmic HuR levels. Accordingly, HuR overexpression elevates, whereas HuR silencing reduces, dCK protein expression in pancreatic cancer cells. In a clinical correlate study of gemcitabine treatment, we found a 7-fold increase in risk of mortality in PDA patients with low cytoplasmic HuR levels compared with patients with high HuR levels, after adjusting for other treatments and demographic variables. These data support the notion that HuR is a key mediator of gemcitabine efficacy in cancer cells, at least in part through its ability to regulate dCK levels posttranscriptionally. We propose that HuR levels in PDA modulate the therapeutic efficacy of gemcitabine, thus serving as a marker of the clinical utility of this common chemotherapeutic agent and a potential target for intervention in pancreatic cancer.","author":[{"dropping-particle":"","family":"Costantino","given":"Christina L.","non-dropping-particle":"","parse-names":false,"suffix":""},{"dropping-particle":"","family":"Witkiewicz","given":"Agnieszka K.","non-dropping-particle":"","parse-names":false,"suffix":""},{"dropping-particle":"","family":"Kuwano","given":"Yuki","non-dropping-particle":"","parse-names":false,"suffix":""},{"dropping-particle":"","family":"Cozzitorto","given":"Joseph A.","non-dropping-particle":"","parse-names":false,"suffix":""},{"dropping-particle":"","family":"Kennedy","given":"Eugene P.","non-dropping-particle":"","parse-names":false,"suffix":""},{"dropping-particle":"","family":"Dasgupta","given":"Abhijit","non-dropping-particle":"","parse-names":false,"suffix":""},{"dropping-particle":"","family":"Keen","given":"Judith C.","non-dropping-particle":"","parse-names":false,"suffix":""},{"dropping-particle":"","family":"Yeo","given":"Charles J.","non-dropping-particle":"","parse-names":false,"suffix":""},{"dropping-particle":"","family":"Gorospe","given":"Myriam","non-dropping-particle":"","parse-names":false,"suffix":""},{"dropping-particle":"","family":"Brody","given":"Jonathan R.","non-dropping-particle":"","parse-names":false,"suffix":""}],"container-title":"Cancer Research","id":"ITEM-1","issue":"11","issued":{"date-parts":[["2009"]]},"page":"4567-4572","title":"The role of HuR in gemcitabine efficacy in pancreatic cancer: HuR up-regulates the expression of the gemcitabine metabolizing enzyme deoxycytidine kinase","type":"article-journal","volume":"69"},"uris":["http://www.mendeley.com/documents/?uuid=4ede2693-4d1f-4938-a7e4-2d80545e51d4"]}],"mendeley":{"formattedCitation":"&lt;sup&gt;[17]&lt;/sup&gt;","plainTextFormattedCitation":"[17]","previouslyFormattedCitation":"&lt;sup&gt;[17]&lt;/sup&gt;"},"properties":{"noteIndex":0},"schema":"https://github.com/citation-style-language/schema/raw/master/csl-citation.json"}</w:instrText>
      </w:r>
      <w:r w:rsidR="00FC0650" w:rsidRPr="00141E92">
        <w:rPr>
          <w:rFonts w:ascii="Book Antiqua" w:hAnsi="Book Antiqua" w:cs="Times"/>
          <w:color w:val="000000" w:themeColor="text1"/>
          <w:sz w:val="24"/>
          <w:szCs w:val="24"/>
        </w:rPr>
        <w:fldChar w:fldCharType="separate"/>
      </w:r>
      <w:r w:rsidR="00604A74" w:rsidRPr="00141E92">
        <w:rPr>
          <w:rFonts w:ascii="Book Antiqua" w:hAnsi="Book Antiqua"/>
          <w:color w:val="000000" w:themeColor="text1"/>
          <w:sz w:val="24"/>
          <w:szCs w:val="24"/>
          <w:vertAlign w:val="superscript"/>
        </w:rPr>
        <w:t>[17]</w:t>
      </w:r>
      <w:r w:rsidR="00FC0650" w:rsidRPr="00141E92">
        <w:rPr>
          <w:rFonts w:ascii="Book Antiqua" w:hAnsi="Book Antiqua" w:cs="Times"/>
          <w:color w:val="000000" w:themeColor="text1"/>
          <w:sz w:val="24"/>
          <w:szCs w:val="24"/>
        </w:rPr>
        <w:fldChar w:fldCharType="end"/>
      </w:r>
      <w:r w:rsidR="00FC0650" w:rsidRPr="00141E92">
        <w:rPr>
          <w:rFonts w:ascii="Book Antiqua" w:hAnsi="Book Antiqua" w:cs="Times"/>
          <w:color w:val="000000" w:themeColor="text1"/>
          <w:sz w:val="24"/>
          <w:szCs w:val="24"/>
        </w:rPr>
        <w:t xml:space="preserve">. </w:t>
      </w:r>
      <w:r w:rsidR="00D526D3" w:rsidRPr="00141E92">
        <w:rPr>
          <w:rFonts w:ascii="Book Antiqua" w:hAnsi="Book Antiqua"/>
          <w:sz w:val="24"/>
          <w:szCs w:val="24"/>
        </w:rPr>
        <w:t xml:space="preserve">Recent research has shown that hyper-expression of </w:t>
      </w:r>
      <w:proofErr w:type="spellStart"/>
      <w:r w:rsidR="00D526D3" w:rsidRPr="00141E92">
        <w:rPr>
          <w:rFonts w:ascii="Book Antiqua" w:hAnsi="Book Antiqua"/>
          <w:sz w:val="24"/>
          <w:szCs w:val="24"/>
        </w:rPr>
        <w:t>HuR</w:t>
      </w:r>
      <w:proofErr w:type="spellEnd"/>
      <w:r w:rsidR="00D526D3" w:rsidRPr="00141E92">
        <w:rPr>
          <w:rFonts w:ascii="Book Antiqua" w:hAnsi="Book Antiqua"/>
          <w:sz w:val="24"/>
          <w:szCs w:val="24"/>
        </w:rPr>
        <w:t xml:space="preserve"> increases the stability of XIAP mRNA and determines the increased resistance and vitality of tumor cells</w:t>
      </w:r>
      <w:r w:rsidR="00FC0650"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{"citationItems":[{"id":"ITEM-1","itemData":{"DOI":"10.1038/onc.2010.527","ISBN":"1476-5594 (Electronic)\\r0950-9232 (Linking)","ISSN":"09509232","PMID":"21102524","abstract":"Expression of the intrinsic cellular caspase inhibitor XIAP is regulated primarily at the level of protein synthesis. The 5' untranslated region harbours an Internal Ribosome Entry Site (IRES) motif that supports cap-independent translation of XIAP mRNA during conditions of cellular stress. In this study, we show that the RNA-binding protein HuR, which is known to orchestrate an antiapoptotic cellular program, stimulates translation of XIAP mRNA through XIAP IRES. We further show that HuR binds to XIAP IRES in vitro and in vivo, and stimulates recruitment of the XIAP mRNA into polysomes. Importantly, protection from the apoptosis-inducing agent etoposide by overexpression of HuR requires the presence of XIAP, suggesting that HuR-mediated cytoprotection is partially executed through enhanced XIAP translation. Our data suggest that XIAP belongs to the HuR-regulated RNA operon of antiapoptotic genes, which, along with Bcl-2, Mcl-1 and ProTalpha, contributes to the regulation of cell survival.","author":[{"dropping-particle":"","family":"Durie","given":"D.","non-dropping-particle":"","parse-names":false,"suffix":""},{"dropping-particle":"","family":"Lewis","given":"S. M.","non-dropping-particle":"","parse-names":false,"suffix":""},{"dropping-particle":"","family":"Liwak","given":"U.","non-dropping-particle":"","parse-names":false,"suffix":""},{"dropping-particle":"","family":"Kisilewicz","given":"M.","non-dropping-particle":"","parse-names":false,"suffix":""},{"dropping-particle":"","family":"Gorospe","given":"M.","non-dropping-particle":"","parse-names":false,"suffix":""},{"dropping-particle":"","family":"Holcik","given":"M.","non-dropping-particle":"","parse-names":false,"suffix":""}],"container-title":"Oncogene","id":"ITEM-1","issue":"12","issued":{"date-parts":[["2011"]]},"page":"1460-1469","title":"RNA-binding protein HuR mediates cytoprotection through stimulation of XIAP translation","type":"article-journal","volume":"30"},"uris":["http://www.mendeley.com/documents/?uuid=550ddc02-a948-4778-a460-8a08fb417658"]},{"id":"ITEM-2","itemData":{"DOI":"10.1038/modpathol.2011.90","ISBN":"0893-3952","ISSN":"08933952","PMID":"21572400","abstract":"Hu antigen R (HuR) is a member of the human family of embryonic-lethal, abnormal vision-like proteins, which serves as an mRNA-binding protein. In the cytoplasm, HuR can stabilize the mRNA of cyclooxygenase-2 (COX-2), an enzyme that catalyses the synthesis of prostaglandins and is associated with promotion of carcinogenesis and tumor cell resistance to apoptosis. Intracellular (cytoplasmic and nuclear) localization of survivin has a prognostic significance as an apoptosis inhibitor and a regulator of cell division in tumors. Patients with 151 squamous cell carcinomas and 93 adenocarcinomas underwent lobectomy or pneumonectomy with hilar and mediastinal lymph node sampling. Paraffin-embedded tumor sections were retrieved for evaluation of nuclear and cytoplasmic staining of survivin and HuR, and cytoplasmic staining of COX-2. In squamous cell carcinomas, COX-2 expression was correlated with a difference of survivin (cytoplasmic-nuclear; P=0.004), cytoplasmic HuR (P=0.018), total HuR (cytoplasmic+nuclear; P=0.009), and difference of HuR (P=0.020). COX-2 was inversely correlated with nuclear survivin (P=0.006). In a univariate analysis by log-rank test, survival was associated with cytoplasmic survivin (adenocarcinoma, P&lt;0.001; squamous cell carcinoma, P=0.005), difference of survivin (adenocarcinoma, P&lt;0.001; squamous cell carcinoma, P=0.014), and COX-2 (squamous cell carcinoma, P=0.001). Survival was inversely associated with nuclear survivin (adenocarcinoma, P=0.006, squamous cell carcinoma, P=0.014). In a multivariate survival analysis, cytoplasmic survivin (adenocarcinoma, P=0.002; squamous cell carcinoma, P=0.015) and COX-2 (squamous cell carcinoma, P=0.020) were determined as independent prognostic factors. Cytoplasmic HuR expression is associated with COX-2 expression in squamous cell carcinomas. The expression of COX-2 in squamous cell carcinomas, and cytoplasmic survivin in adenocarcinomas and squamous cell carcinomas could be useful independent prognostic markers.","author":[{"dropping-particle":"","family":"Kim","given":"Gou Young","non-dropping-particle":"","parse-names":false,"suffix":""},{"dropping-particle":"","family":"Lim","given":"Sung Jig","non-dropping-particle":"","parse-names":false,"suffix":""},{"dropping-particle":"","family":"Kim","given":"Youn Wha","non-dropping-particle":"","parse-names":false,"suffix":""}],"container-title":"Modern Pathology","id":"ITEM-2","issue":"10","issued":{"date-parts":[["2011"]]},"page":"1336-1347","title":"Expression of HuR, COX-2, and survivin in lung cancers; Cytoplasmic HuR stabilizes cyclooxygenase-2 in squamous cell carcinomas","type":"article-journal","volume":"24"},"uris":["http://www.mendeley.com/documents/?uuid=b7f4bd74-34dc-41fb-8fef-72a2eed45e17"]}],"mendeley":{"formattedCitation":"&lt;sup&gt;[18,19]&lt;/sup&gt;","plainTextFormattedCitation":"[18,19]","previouslyFormattedCitation":"&lt;sup&gt;[18,19]&lt;/sup&gt;"},"properties":{"noteIndex":0},"schema":"https://github.com/citation-style-language/schema/raw/master/csl-citation.json"}</w:instrText>
      </w:r>
      <w:r w:rsidR="00FC0650" w:rsidRPr="00141E92">
        <w:rPr>
          <w:rFonts w:ascii="Book Antiqua" w:hAnsi="Book Antiqua"/>
          <w:sz w:val="24"/>
          <w:szCs w:val="24"/>
        </w:rPr>
        <w:fldChar w:fldCharType="separate"/>
      </w:r>
      <w:r w:rsidR="00604A74" w:rsidRPr="00141E92">
        <w:rPr>
          <w:rFonts w:ascii="Book Antiqua" w:hAnsi="Book Antiqua"/>
          <w:sz w:val="24"/>
          <w:szCs w:val="24"/>
          <w:vertAlign w:val="superscript"/>
        </w:rPr>
        <w:t>[18,19]</w:t>
      </w:r>
      <w:r w:rsidR="00FC0650" w:rsidRPr="00141E92">
        <w:rPr>
          <w:rFonts w:ascii="Book Antiqua" w:hAnsi="Book Antiqua"/>
          <w:sz w:val="24"/>
          <w:szCs w:val="24"/>
        </w:rPr>
        <w:fldChar w:fldCharType="end"/>
      </w:r>
      <w:r w:rsidR="00FC0650" w:rsidRPr="00141E92">
        <w:rPr>
          <w:rFonts w:ascii="Book Antiqua" w:hAnsi="Book Antiqua"/>
          <w:sz w:val="24"/>
          <w:szCs w:val="24"/>
        </w:rPr>
        <w:t xml:space="preserve">. </w:t>
      </w:r>
      <w:r w:rsidR="00FC0650" w:rsidRPr="00141E92">
        <w:rPr>
          <w:rFonts w:ascii="Book Antiqua" w:hAnsi="Book Antiqua" w:cs="Times"/>
          <w:color w:val="000000" w:themeColor="text1"/>
          <w:sz w:val="24"/>
          <w:szCs w:val="24"/>
        </w:rPr>
        <w:t>Furthermore</w:t>
      </w:r>
      <w:r w:rsidR="00D526D3" w:rsidRPr="00141E92">
        <w:rPr>
          <w:rFonts w:ascii="Book Antiqua" w:hAnsi="Book Antiqua" w:cs="Times"/>
          <w:color w:val="000000" w:themeColor="text1"/>
          <w:sz w:val="24"/>
          <w:szCs w:val="24"/>
        </w:rPr>
        <w:t>,</w:t>
      </w:r>
      <w:r w:rsidR="00FC0650" w:rsidRPr="00141E92">
        <w:rPr>
          <w:rFonts w:ascii="Book Antiqua" w:hAnsi="Book Antiqua" w:cs="Times"/>
          <w:b/>
          <w:color w:val="000000" w:themeColor="text1"/>
          <w:sz w:val="24"/>
          <w:szCs w:val="24"/>
        </w:rPr>
        <w:t xml:space="preserve"> </w:t>
      </w:r>
      <w:r w:rsidR="00D526D3" w:rsidRPr="00141E92">
        <w:rPr>
          <w:rFonts w:ascii="Book Antiqua" w:hAnsi="Book Antiqua"/>
          <w:color w:val="000000" w:themeColor="text1"/>
          <w:sz w:val="24"/>
          <w:szCs w:val="24"/>
        </w:rPr>
        <w:t xml:space="preserve">cytoplasmic expression of </w:t>
      </w:r>
      <w:proofErr w:type="spellStart"/>
      <w:r w:rsidR="00D526D3" w:rsidRPr="00141E92">
        <w:rPr>
          <w:rFonts w:ascii="Book Antiqua" w:hAnsi="Book Antiqua"/>
          <w:color w:val="000000" w:themeColor="text1"/>
          <w:sz w:val="24"/>
          <w:szCs w:val="24"/>
        </w:rPr>
        <w:t>HuR</w:t>
      </w:r>
      <w:proofErr w:type="spellEnd"/>
      <w:r w:rsidR="00D526D3" w:rsidRPr="00141E92">
        <w:rPr>
          <w:rFonts w:ascii="Book Antiqua" w:hAnsi="Book Antiqua"/>
          <w:color w:val="000000" w:themeColor="text1"/>
          <w:sz w:val="24"/>
          <w:szCs w:val="24"/>
        </w:rPr>
        <w:t xml:space="preserve"> was associated with IAP2 expression in </w:t>
      </w:r>
      <w:r w:rsidR="00712A7E" w:rsidRPr="00141E92">
        <w:rPr>
          <w:rFonts w:ascii="Book Antiqua" w:hAnsi="Book Antiqua"/>
          <w:color w:val="211E1E"/>
          <w:sz w:val="24"/>
          <w:szCs w:val="24"/>
        </w:rPr>
        <w:t>oral squamous cell carcinoma cells</w:t>
      </w:r>
      <w:r w:rsidR="00FC0650"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{"citationItems":[{"id":"ITEM-1","itemData":{"DOI":"10.1002/hed.23431","ISSN":"10970347","PMID":"23852810","abstract":"BACKGROUND: HuR expression has been noted in several cancer types, in which it may contribute to increased expression of cellular inhibitors of apoptosis protein-2 (cIAP2) observed during tumorigenesis.\\n\\nMETHODS: To assess the correlation between cIAP2 and HuR in cases of oral squamous cell carcinoma (OSCC), the expression patterns of HuR and cIAP2 were assessed by immunohistochemical analyses of 95 treated OSCC samples.\\n\\nRESULTS: In the tumor tissues, positive cytoplasmic HuR expression was evident in 71.6% of samples and positive cIAP2 expression was noted in 95.8% of samples. Positive cytoplasmic HuR expression was significantly associated with positive cIAP2 (p &lt; .035) and high cIAP2 expression (p &lt; .007), as well as high grade (p &lt; .050). The inhibition of HuR expression by small interfering RNA or leptomycin B caused a reduction in the inducibility of cIAP2 in oral cancer cells.\\n\\nCONCLUSION: Cytoplasmic expression of HuR is associated with cIAP2 expression in OSCCs. © 2014 Wiley Periodicals, Inc. Head Neck 36: 1168-1175, 2014.","author":[{"dropping-particle":"","family":"Cha","given":"Jeong Dan","non-dropping-particle":"","parse-names":false,"suffix":""},{"dropping-particle":"","family":"Kim","given":"Hee Kyeong","non-dropping-particle":"","parse-names":false,"suffix":""},{"dropping-particle":"","family":"Cha","given":"In Ho","non-dropping-particle":"","parse-names":false,"suffix":""}],"container-title":"Head and Neck","id":"ITEM-1","issue":"8","issued":{"date-parts":[["2014"]]},"page":"1168-1175","title":"Cytoplasmic HuR expression: Correlation with cellular inhibitors of apoptosis protein-2 expression and clinicopathologic factors in oral squamous cell carcinoma cells","type":"article-journal","volume":"36"},"uris":["http://www.mendeley.com/documents/?uuid=4714575c-9f47-41d2-9e4e-f02df863165d"]}],"mendeley":{"formattedCitation":"&lt;sup&gt;[20]&lt;/sup&gt;","plainTextFormattedCitation":"[20]","previouslyFormattedCitation":"&lt;sup&gt;[20]&lt;/sup&gt;"},"properties":{"noteIndex":0},"schema":"https://github.com/citation-style-language/schema/raw/master/csl-citation.json"}</w:instrText>
      </w:r>
      <w:r w:rsidR="00FC0650" w:rsidRPr="00141E92">
        <w:rPr>
          <w:rFonts w:ascii="Book Antiqua" w:hAnsi="Book Antiqua"/>
          <w:color w:val="000000" w:themeColor="text1"/>
          <w:sz w:val="24"/>
          <w:szCs w:val="24"/>
        </w:rPr>
        <w:fldChar w:fldCharType="separate"/>
      </w:r>
      <w:r w:rsidR="00604A74" w:rsidRPr="00141E92">
        <w:rPr>
          <w:rFonts w:ascii="Book Antiqua" w:hAnsi="Book Antiqua"/>
          <w:color w:val="000000" w:themeColor="text1"/>
          <w:sz w:val="24"/>
          <w:szCs w:val="24"/>
          <w:vertAlign w:val="superscript"/>
        </w:rPr>
        <w:t>[20]</w:t>
      </w:r>
      <w:r w:rsidR="00FC0650" w:rsidRPr="00141E92">
        <w:rPr>
          <w:rFonts w:ascii="Book Antiqua" w:hAnsi="Book Antiqua"/>
          <w:color w:val="000000" w:themeColor="text1"/>
          <w:sz w:val="24"/>
          <w:szCs w:val="24"/>
        </w:rPr>
        <w:fldChar w:fldCharType="end"/>
      </w:r>
      <w:r w:rsidR="00FC0650" w:rsidRPr="00141E92">
        <w:rPr>
          <w:rFonts w:ascii="Book Antiqua" w:hAnsi="Book Antiqua"/>
          <w:color w:val="000000" w:themeColor="text1"/>
          <w:sz w:val="24"/>
          <w:szCs w:val="24"/>
        </w:rPr>
        <w:t>.</w:t>
      </w:r>
    </w:p>
    <w:p w14:paraId="149F5712" w14:textId="462B17D1" w:rsidR="00D526D3" w:rsidRPr="00141E92" w:rsidRDefault="009B6230" w:rsidP="008530E2">
      <w:pPr>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r w:rsidR="00D526D3" w:rsidRPr="00141E92">
        <w:rPr>
          <w:rFonts w:ascii="Book Antiqua" w:hAnsi="Book Antiqua"/>
          <w:color w:val="000000" w:themeColor="text1"/>
          <w:sz w:val="24"/>
          <w:szCs w:val="24"/>
        </w:rPr>
        <w:t xml:space="preserve">However, </w:t>
      </w:r>
      <w:r w:rsidR="0077435F" w:rsidRPr="00141E92">
        <w:rPr>
          <w:rFonts w:ascii="Book Antiqua" w:hAnsi="Book Antiqua"/>
          <w:color w:val="000000" w:themeColor="text1"/>
          <w:sz w:val="24"/>
          <w:szCs w:val="24"/>
        </w:rPr>
        <w:t>little is</w:t>
      </w:r>
      <w:r w:rsidR="00D526D3" w:rsidRPr="00141E92">
        <w:rPr>
          <w:rFonts w:ascii="Book Antiqua" w:hAnsi="Book Antiqua"/>
          <w:color w:val="000000" w:themeColor="text1"/>
          <w:sz w:val="24"/>
          <w:szCs w:val="24"/>
        </w:rPr>
        <w:t xml:space="preserve"> known </w:t>
      </w:r>
      <w:r w:rsidR="0077435F" w:rsidRPr="00141E92">
        <w:rPr>
          <w:rFonts w:ascii="Book Antiqua" w:hAnsi="Book Antiqua"/>
          <w:color w:val="000000" w:themeColor="text1"/>
          <w:sz w:val="24"/>
          <w:szCs w:val="24"/>
        </w:rPr>
        <w:t>about the role</w:t>
      </w:r>
      <w:r w:rsidR="00D526D3" w:rsidRPr="00141E92">
        <w:rPr>
          <w:rFonts w:ascii="Book Antiqua" w:hAnsi="Book Antiqua"/>
          <w:color w:val="000000" w:themeColor="text1"/>
          <w:sz w:val="24"/>
          <w:szCs w:val="24"/>
        </w:rPr>
        <w:t xml:space="preserve"> of ARE-binding protein </w:t>
      </w:r>
      <w:proofErr w:type="spellStart"/>
      <w:r w:rsidR="00D526D3" w:rsidRPr="00141E92">
        <w:rPr>
          <w:rFonts w:ascii="Book Antiqua" w:hAnsi="Book Antiqua"/>
          <w:color w:val="000000" w:themeColor="text1"/>
          <w:sz w:val="24"/>
          <w:szCs w:val="24"/>
        </w:rPr>
        <w:t>HuR</w:t>
      </w:r>
      <w:proofErr w:type="spellEnd"/>
      <w:r w:rsidR="00D526D3" w:rsidRPr="00141E92">
        <w:rPr>
          <w:rFonts w:ascii="Book Antiqua" w:hAnsi="Book Antiqua"/>
          <w:color w:val="000000" w:themeColor="text1"/>
          <w:sz w:val="24"/>
          <w:szCs w:val="24"/>
        </w:rPr>
        <w:t xml:space="preserve"> </w:t>
      </w:r>
      <w:r w:rsidR="0077435F" w:rsidRPr="00141E92">
        <w:rPr>
          <w:rFonts w:ascii="Book Antiqua" w:hAnsi="Book Antiqua"/>
          <w:color w:val="000000" w:themeColor="text1"/>
          <w:sz w:val="24"/>
          <w:szCs w:val="24"/>
        </w:rPr>
        <w:t>in the regulation of</w:t>
      </w:r>
      <w:r w:rsidR="00D526D3" w:rsidRPr="00141E92">
        <w:rPr>
          <w:rFonts w:ascii="Book Antiqua" w:hAnsi="Book Antiqua"/>
          <w:color w:val="000000" w:themeColor="text1"/>
          <w:sz w:val="24"/>
          <w:szCs w:val="24"/>
        </w:rPr>
        <w:t xml:space="preserve"> IAP1 and IAP2 expression </w:t>
      </w:r>
      <w:r w:rsidR="0077435F" w:rsidRPr="00141E92">
        <w:rPr>
          <w:rFonts w:ascii="Book Antiqua" w:hAnsi="Book Antiqua"/>
          <w:color w:val="000000" w:themeColor="text1"/>
          <w:sz w:val="24"/>
          <w:szCs w:val="24"/>
        </w:rPr>
        <w:t xml:space="preserve">and/or function </w:t>
      </w:r>
      <w:r w:rsidR="00D526D3" w:rsidRPr="00141E92">
        <w:rPr>
          <w:rFonts w:ascii="Book Antiqua" w:hAnsi="Book Antiqua"/>
          <w:color w:val="000000" w:themeColor="text1"/>
          <w:sz w:val="24"/>
          <w:szCs w:val="24"/>
        </w:rPr>
        <w:t>in pancreatic cancer</w:t>
      </w:r>
      <w:r w:rsidR="00712A7E" w:rsidRPr="00141E92">
        <w:rPr>
          <w:rFonts w:ascii="Book Antiqua" w:hAnsi="Book Antiqua"/>
          <w:color w:val="000000" w:themeColor="text1"/>
          <w:sz w:val="24"/>
          <w:szCs w:val="24"/>
        </w:rPr>
        <w:t xml:space="preserve"> cells</w:t>
      </w:r>
      <w:r w:rsidR="00D526D3" w:rsidRPr="00141E92">
        <w:rPr>
          <w:rFonts w:ascii="Book Antiqua" w:hAnsi="Book Antiqua"/>
          <w:color w:val="000000" w:themeColor="text1"/>
          <w:sz w:val="24"/>
          <w:szCs w:val="24"/>
        </w:rPr>
        <w:t xml:space="preserve">. </w:t>
      </w:r>
      <w:r w:rsidR="00D52B2A" w:rsidRPr="00141E92">
        <w:rPr>
          <w:rFonts w:ascii="Book Antiqua" w:hAnsi="Book Antiqua"/>
          <w:color w:val="000000" w:themeColor="text1"/>
          <w:sz w:val="24"/>
          <w:szCs w:val="24"/>
        </w:rPr>
        <w:t>Therefore</w:t>
      </w:r>
      <w:r w:rsidR="00D526D3" w:rsidRPr="00141E92">
        <w:rPr>
          <w:rFonts w:ascii="Book Antiqua" w:hAnsi="Book Antiqua"/>
          <w:color w:val="000000" w:themeColor="text1"/>
          <w:sz w:val="24"/>
          <w:szCs w:val="24"/>
        </w:rPr>
        <w:t xml:space="preserve">, the aim of our study </w:t>
      </w:r>
      <w:r w:rsidR="007D78F8" w:rsidRPr="00141E92">
        <w:rPr>
          <w:rFonts w:ascii="Book Antiqua" w:hAnsi="Book Antiqua"/>
          <w:color w:val="000000" w:themeColor="text1"/>
          <w:sz w:val="24"/>
          <w:szCs w:val="24"/>
        </w:rPr>
        <w:t xml:space="preserve">was </w:t>
      </w:r>
      <w:r w:rsidR="00D526D3" w:rsidRPr="00141E92">
        <w:rPr>
          <w:rFonts w:ascii="Book Antiqua" w:hAnsi="Book Antiqua"/>
          <w:color w:val="000000" w:themeColor="text1"/>
          <w:sz w:val="24"/>
          <w:szCs w:val="24"/>
        </w:rPr>
        <w:t xml:space="preserve">to assess the relevance of the IAP1 and IAP2 regulation by mRNA stabilizing protein </w:t>
      </w:r>
      <w:proofErr w:type="spellStart"/>
      <w:r w:rsidR="00D526D3" w:rsidRPr="00141E92">
        <w:rPr>
          <w:rFonts w:ascii="Book Antiqua" w:hAnsi="Book Antiqua"/>
          <w:color w:val="000000" w:themeColor="text1"/>
          <w:sz w:val="24"/>
          <w:szCs w:val="24"/>
        </w:rPr>
        <w:t>HuR</w:t>
      </w:r>
      <w:proofErr w:type="spellEnd"/>
      <w:r w:rsidR="00D526D3" w:rsidRPr="00141E92">
        <w:rPr>
          <w:rFonts w:ascii="Book Antiqua" w:hAnsi="Book Antiqua"/>
          <w:color w:val="000000" w:themeColor="text1"/>
          <w:sz w:val="24"/>
          <w:szCs w:val="24"/>
        </w:rPr>
        <w:t xml:space="preserve"> </w:t>
      </w:r>
      <w:r w:rsidR="0077435F" w:rsidRPr="00141E92">
        <w:rPr>
          <w:rFonts w:ascii="Book Antiqua" w:hAnsi="Book Antiqua"/>
          <w:color w:val="000000" w:themeColor="text1"/>
          <w:sz w:val="24"/>
          <w:szCs w:val="24"/>
        </w:rPr>
        <w:t>signaling</w:t>
      </w:r>
      <w:r w:rsidR="00D526D3" w:rsidRPr="00141E92">
        <w:rPr>
          <w:rFonts w:ascii="Book Antiqua" w:hAnsi="Book Antiqua"/>
          <w:color w:val="000000" w:themeColor="text1"/>
          <w:sz w:val="24"/>
          <w:szCs w:val="24"/>
        </w:rPr>
        <w:t xml:space="preserve"> pathway in PDAC. </w:t>
      </w:r>
    </w:p>
    <w:p w14:paraId="3FDC0E94" w14:textId="77777777" w:rsidR="00290675" w:rsidRPr="00141E92" w:rsidRDefault="00290675" w:rsidP="008530E2">
      <w:pPr>
        <w:snapToGrid w:val="0"/>
        <w:spacing w:line="360" w:lineRule="auto"/>
        <w:jc w:val="both"/>
        <w:rPr>
          <w:rFonts w:ascii="Book Antiqua" w:hAnsi="Book Antiqua"/>
          <w:sz w:val="24"/>
          <w:szCs w:val="24"/>
        </w:rPr>
      </w:pPr>
    </w:p>
    <w:p w14:paraId="52F5D3F2" w14:textId="18E3A4D4" w:rsidR="00E15B60" w:rsidRPr="009B6230" w:rsidRDefault="00E15B60" w:rsidP="009B6230">
      <w:pPr>
        <w:snapToGrid w:val="0"/>
        <w:spacing w:line="360" w:lineRule="auto"/>
        <w:jc w:val="both"/>
        <w:rPr>
          <w:rFonts w:ascii="Book Antiqua" w:hAnsi="Book Antiqua"/>
          <w:sz w:val="24"/>
          <w:szCs w:val="24"/>
        </w:rPr>
      </w:pPr>
      <w:r w:rsidRPr="00141E92">
        <w:rPr>
          <w:rFonts w:ascii="Book Antiqua" w:hAnsi="Book Antiqua"/>
          <w:b/>
          <w:sz w:val="24"/>
          <w:szCs w:val="24"/>
          <w:shd w:val="clear" w:color="auto" w:fill="FFFFFF"/>
        </w:rPr>
        <w:t>MATERIALS AND METHODS</w:t>
      </w:r>
    </w:p>
    <w:p w14:paraId="53E7E879" w14:textId="77777777" w:rsidR="00E15B60" w:rsidRPr="00141E92" w:rsidRDefault="00E15B60" w:rsidP="003F50D4">
      <w:pPr>
        <w:snapToGrid w:val="0"/>
        <w:spacing w:line="360" w:lineRule="auto"/>
        <w:jc w:val="both"/>
        <w:outlineLvl w:val="0"/>
        <w:rPr>
          <w:rFonts w:ascii="Book Antiqua" w:hAnsi="Book Antiqua"/>
          <w:b/>
          <w:i/>
          <w:sz w:val="24"/>
          <w:szCs w:val="24"/>
          <w:shd w:val="clear" w:color="auto" w:fill="FFFFFF"/>
        </w:rPr>
      </w:pPr>
      <w:r w:rsidRPr="00141E92">
        <w:rPr>
          <w:rFonts w:ascii="Book Antiqua" w:hAnsi="Book Antiqua"/>
          <w:b/>
          <w:i/>
          <w:sz w:val="24"/>
          <w:szCs w:val="24"/>
          <w:shd w:val="clear" w:color="auto" w:fill="FFFFFF"/>
        </w:rPr>
        <w:t>Human pancreatic cancer tissues and data collection</w:t>
      </w:r>
    </w:p>
    <w:p w14:paraId="02CE4D8A" w14:textId="14E454D8" w:rsidR="00E15B60" w:rsidRPr="00141E92" w:rsidRDefault="00E15B60" w:rsidP="008530E2">
      <w:pPr>
        <w:widowControl w:val="0"/>
        <w:snapToGrid w:val="0"/>
        <w:spacing w:line="360" w:lineRule="auto"/>
        <w:jc w:val="both"/>
        <w:rPr>
          <w:rFonts w:ascii="Book Antiqua" w:eastAsia="Songti SC" w:hAnsi="Book Antiqua" w:cs="Verdana"/>
          <w:color w:val="000000" w:themeColor="text1"/>
          <w:sz w:val="24"/>
          <w:szCs w:val="24"/>
        </w:rPr>
      </w:pPr>
      <w:r w:rsidRPr="00141E92">
        <w:rPr>
          <w:rFonts w:ascii="Book Antiqua" w:hAnsi="Book Antiqua" w:cs="Verdana"/>
          <w:sz w:val="24"/>
          <w:szCs w:val="24"/>
        </w:rPr>
        <w:t xml:space="preserve">Pancreatic carcinoma tissues were obtained from 61 patients undergoing a partial </w:t>
      </w:r>
      <w:proofErr w:type="spellStart"/>
      <w:r w:rsidRPr="00141E92">
        <w:rPr>
          <w:rFonts w:ascii="Book Antiqua" w:hAnsi="Book Antiqua"/>
          <w:sz w:val="24"/>
          <w:szCs w:val="24"/>
        </w:rPr>
        <w:t>pancreatodeduodenectomy</w:t>
      </w:r>
      <w:proofErr w:type="spellEnd"/>
      <w:r w:rsidRPr="00141E92">
        <w:rPr>
          <w:rFonts w:ascii="Book Antiqua" w:hAnsi="Book Antiqua"/>
          <w:sz w:val="24"/>
          <w:szCs w:val="24"/>
        </w:rPr>
        <w:t xml:space="preserve"> (Whipple resection) between 2011 </w:t>
      </w:r>
      <w:r w:rsidR="00A8115F">
        <w:rPr>
          <w:rFonts w:ascii="Book Antiqua" w:hAnsi="Book Antiqua"/>
          <w:sz w:val="24"/>
          <w:szCs w:val="24"/>
        </w:rPr>
        <w:t>-</w:t>
      </w:r>
      <w:r w:rsidRPr="00141E92">
        <w:rPr>
          <w:rFonts w:ascii="Book Antiqua" w:hAnsi="Book Antiqua"/>
          <w:sz w:val="24"/>
          <w:szCs w:val="24"/>
        </w:rPr>
        <w:t xml:space="preserve"> 2016</w:t>
      </w:r>
      <w:r w:rsidR="0077435F" w:rsidRPr="00141E92">
        <w:rPr>
          <w:rFonts w:ascii="Book Antiqua" w:hAnsi="Book Antiqua"/>
          <w:sz w:val="24"/>
          <w:szCs w:val="24"/>
        </w:rPr>
        <w:t xml:space="preserve"> in the Department of Surgery at the Hospital of the Lithuanian University of Health Sciences</w:t>
      </w:r>
      <w:r w:rsidRPr="00141E92">
        <w:rPr>
          <w:rFonts w:ascii="Book Antiqua" w:hAnsi="Book Antiqua" w:cs="Verdana"/>
          <w:sz w:val="24"/>
          <w:szCs w:val="24"/>
        </w:rPr>
        <w:t xml:space="preserve">. </w:t>
      </w:r>
      <w:r w:rsidR="00E215DE" w:rsidRPr="00141E92">
        <w:rPr>
          <w:rFonts w:ascii="Book Antiqua" w:hAnsi="Book Antiqua" w:cs="Verdana"/>
          <w:sz w:val="24"/>
          <w:szCs w:val="24"/>
        </w:rPr>
        <w:t xml:space="preserve">None of the patients received neo-adjuvant chemotherapy. </w:t>
      </w:r>
      <w:r w:rsidR="00174EF6" w:rsidRPr="00141E92">
        <w:rPr>
          <w:rFonts w:ascii="Book Antiqua" w:hAnsi="Book Antiqua"/>
          <w:bCs/>
          <w:sz w:val="24"/>
          <w:szCs w:val="24"/>
        </w:rPr>
        <w:t>All</w:t>
      </w:r>
      <w:r w:rsidR="00174EF6" w:rsidRPr="00141E92">
        <w:rPr>
          <w:rFonts w:ascii="Book Antiqua" w:hAnsi="Book Antiqua"/>
          <w:bCs/>
          <w:i/>
          <w:sz w:val="24"/>
          <w:szCs w:val="24"/>
        </w:rPr>
        <w:t xml:space="preserve"> </w:t>
      </w:r>
      <w:r w:rsidR="00DC6761" w:rsidRPr="00141E92">
        <w:rPr>
          <w:rFonts w:ascii="Book Antiqua" w:hAnsi="Book Antiqua"/>
          <w:bCs/>
          <w:sz w:val="24"/>
          <w:szCs w:val="24"/>
        </w:rPr>
        <w:t xml:space="preserve">samples of </w:t>
      </w:r>
      <w:r w:rsidR="00174EF6" w:rsidRPr="00141E92">
        <w:rPr>
          <w:rFonts w:ascii="Book Antiqua" w:hAnsi="Book Antiqua" w:cs="Verdana"/>
          <w:sz w:val="24"/>
          <w:szCs w:val="24"/>
        </w:rPr>
        <w:t>pancreatic carcinoma</w:t>
      </w:r>
      <w:r w:rsidR="00533CF9" w:rsidRPr="00141E92">
        <w:rPr>
          <w:rFonts w:ascii="Book Antiqua" w:hAnsi="Book Antiqua" w:cs="Verdana"/>
          <w:sz w:val="24"/>
          <w:szCs w:val="24"/>
        </w:rPr>
        <w:t xml:space="preserve"> </w:t>
      </w:r>
      <w:r w:rsidR="00174EF6" w:rsidRPr="00141E92">
        <w:rPr>
          <w:rFonts w:ascii="Book Antiqua" w:hAnsi="Book Antiqua" w:cs="Verdana"/>
          <w:sz w:val="24"/>
          <w:szCs w:val="24"/>
        </w:rPr>
        <w:t xml:space="preserve">were </w:t>
      </w:r>
      <w:r w:rsidR="00533CF9" w:rsidRPr="00141E92">
        <w:rPr>
          <w:rFonts w:ascii="Book Antiqua" w:hAnsi="Book Antiqua" w:cs="Verdana"/>
          <w:sz w:val="24"/>
          <w:szCs w:val="24"/>
        </w:rPr>
        <w:t>located in</w:t>
      </w:r>
      <w:r w:rsidR="00174EF6" w:rsidRPr="00141E92">
        <w:rPr>
          <w:rFonts w:ascii="Book Antiqua" w:hAnsi="Book Antiqua" w:cs="Verdana"/>
          <w:sz w:val="24"/>
          <w:szCs w:val="24"/>
        </w:rPr>
        <w:t xml:space="preserve"> the head of the pancreas. </w:t>
      </w:r>
      <w:r w:rsidRPr="00141E92">
        <w:rPr>
          <w:rFonts w:ascii="Book Antiqua" w:hAnsi="Book Antiqua" w:cs="Verdana"/>
          <w:sz w:val="24"/>
          <w:szCs w:val="24"/>
        </w:rPr>
        <w:t>The diagnosis of PDAC was confirmed by pathology. Normal pancreatic tissue samples were obtained</w:t>
      </w:r>
      <w:r w:rsidR="009B131F" w:rsidRPr="00141E92">
        <w:rPr>
          <w:rFonts w:ascii="Book Antiqua" w:hAnsi="Book Antiqua" w:cs="Verdana"/>
          <w:sz w:val="24"/>
          <w:szCs w:val="24"/>
        </w:rPr>
        <w:t xml:space="preserve"> through an organ donor program</w:t>
      </w:r>
      <w:r w:rsidRPr="00141E92">
        <w:rPr>
          <w:rFonts w:ascii="Book Antiqua" w:hAnsi="Book Antiqua" w:cs="Verdana"/>
          <w:sz w:val="24"/>
          <w:szCs w:val="24"/>
        </w:rPr>
        <w:t xml:space="preserve"> from 9 individuals who were free of pancreatic cancer. All normal tissue samples were obtained from the head of the pancreas to ensure comparability with the tumor samples</w:t>
      </w:r>
      <w:r w:rsidRPr="00141E92">
        <w:rPr>
          <w:rFonts w:ascii="Book Antiqua" w:eastAsia="Songti SC" w:hAnsi="Book Antiqua" w:cs="Verdana"/>
          <w:color w:val="000000" w:themeColor="text1"/>
          <w:sz w:val="24"/>
          <w:szCs w:val="24"/>
        </w:rPr>
        <w:t xml:space="preserve">. </w:t>
      </w:r>
      <w:r w:rsidR="009B131F" w:rsidRPr="00141E92">
        <w:rPr>
          <w:rFonts w:ascii="Book Antiqua" w:hAnsi="Book Antiqua"/>
          <w:sz w:val="24"/>
          <w:szCs w:val="24"/>
        </w:rPr>
        <w:t xml:space="preserve">For </w:t>
      </w:r>
      <w:proofErr w:type="spellStart"/>
      <w:r w:rsidR="009B131F" w:rsidRPr="00141E92">
        <w:rPr>
          <w:rFonts w:ascii="Book Antiqua" w:hAnsi="Book Antiqua"/>
          <w:sz w:val="24"/>
          <w:szCs w:val="24"/>
        </w:rPr>
        <w:t>q</w:t>
      </w:r>
      <w:r w:rsidRPr="00141E92">
        <w:rPr>
          <w:rFonts w:ascii="Book Antiqua" w:hAnsi="Book Antiqua"/>
          <w:sz w:val="24"/>
          <w:szCs w:val="24"/>
        </w:rPr>
        <w:t>RT</w:t>
      </w:r>
      <w:proofErr w:type="spellEnd"/>
      <w:r w:rsidRPr="00141E92">
        <w:rPr>
          <w:rFonts w:ascii="Book Antiqua" w:hAnsi="Book Antiqua"/>
          <w:sz w:val="24"/>
          <w:szCs w:val="24"/>
        </w:rPr>
        <w:t xml:space="preserve">-PCR analysis freshly removed tissue samples were placed in </w:t>
      </w:r>
      <w:proofErr w:type="spellStart"/>
      <w:r w:rsidRPr="00141E92">
        <w:rPr>
          <w:rFonts w:ascii="Book Antiqua" w:hAnsi="Book Antiqua"/>
          <w:sz w:val="24"/>
          <w:szCs w:val="24"/>
        </w:rPr>
        <w:t>RNALater</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Ambion</w:t>
      </w:r>
      <w:proofErr w:type="spellEnd"/>
      <w:r w:rsidRPr="00141E92">
        <w:rPr>
          <w:rFonts w:ascii="Book Antiqua" w:hAnsi="Book Antiqua"/>
          <w:sz w:val="24"/>
          <w:szCs w:val="24"/>
        </w:rPr>
        <w:t xml:space="preserve">; Huntingdon, </w:t>
      </w:r>
      <w:r w:rsidR="004803D8">
        <w:rPr>
          <w:rFonts w:ascii="Book Antiqua" w:hAnsi="Book Antiqua"/>
          <w:sz w:val="24"/>
          <w:szCs w:val="24"/>
        </w:rPr>
        <w:t>United Kingdom</w:t>
      </w:r>
      <w:r w:rsidRPr="00141E92">
        <w:rPr>
          <w:rFonts w:ascii="Book Antiqua" w:hAnsi="Book Antiqua"/>
          <w:sz w:val="24"/>
          <w:szCs w:val="24"/>
        </w:rPr>
        <w:t>), whereas tissues for protein extraction were snap frozen in liquid nitrogen in the operating room upon surgical removal and maintained at -80</w:t>
      </w:r>
      <w:r w:rsidR="00573B19">
        <w:rPr>
          <w:rFonts w:ascii="Book Antiqua" w:hAnsi="Book Antiqua"/>
          <w:sz w:val="24"/>
          <w:szCs w:val="24"/>
        </w:rPr>
        <w:t xml:space="preserve"> </w:t>
      </w:r>
      <w:r w:rsidRPr="00141E92">
        <w:rPr>
          <w:rFonts w:ascii="Book Antiqua" w:hAnsi="Book Antiqua"/>
          <w:sz w:val="24"/>
          <w:szCs w:val="24"/>
        </w:rPr>
        <w:t xml:space="preserve">°C until use. Clinical data and </w:t>
      </w:r>
      <w:proofErr w:type="spellStart"/>
      <w:r w:rsidRPr="00141E92">
        <w:rPr>
          <w:rFonts w:ascii="Book Antiqua" w:hAnsi="Book Antiqua"/>
          <w:sz w:val="24"/>
          <w:szCs w:val="24"/>
        </w:rPr>
        <w:t>histopathogical</w:t>
      </w:r>
      <w:proofErr w:type="spellEnd"/>
      <w:r w:rsidRPr="00141E92">
        <w:rPr>
          <w:rFonts w:ascii="Book Antiqua" w:hAnsi="Book Antiqua"/>
          <w:sz w:val="24"/>
          <w:szCs w:val="24"/>
        </w:rPr>
        <w:t xml:space="preserve"> features from th</w:t>
      </w:r>
      <w:r w:rsidR="00FA666F" w:rsidRPr="00141E92">
        <w:rPr>
          <w:rFonts w:ascii="Book Antiqua" w:hAnsi="Book Antiqua"/>
          <w:sz w:val="24"/>
          <w:szCs w:val="24"/>
        </w:rPr>
        <w:t xml:space="preserve">e same patient group were </w:t>
      </w:r>
      <w:r w:rsidR="00FA666F" w:rsidRPr="00141E92">
        <w:rPr>
          <w:rFonts w:ascii="Book Antiqua" w:hAnsi="Book Antiqua"/>
          <w:sz w:val="24"/>
          <w:szCs w:val="24"/>
        </w:rPr>
        <w:lastRenderedPageBreak/>
        <w:t>analyz</w:t>
      </w:r>
      <w:r w:rsidRPr="00141E92">
        <w:rPr>
          <w:rFonts w:ascii="Book Antiqua" w:hAnsi="Book Antiqua"/>
          <w:sz w:val="24"/>
          <w:szCs w:val="24"/>
        </w:rPr>
        <w:t>ed. The last follow up of patients’ survival was performed in August</w:t>
      </w:r>
      <w:r w:rsidR="00E215DE" w:rsidRPr="00141E92">
        <w:rPr>
          <w:rFonts w:ascii="Book Antiqua" w:hAnsi="Book Antiqua"/>
          <w:sz w:val="24"/>
          <w:szCs w:val="24"/>
        </w:rPr>
        <w:t>,</w:t>
      </w:r>
      <w:r w:rsidRPr="00141E92">
        <w:rPr>
          <w:rFonts w:ascii="Book Antiqua" w:hAnsi="Book Antiqua"/>
          <w:sz w:val="24"/>
          <w:szCs w:val="24"/>
        </w:rPr>
        <w:t xml:space="preserve"> 2017.</w:t>
      </w:r>
      <w:r w:rsidR="00C8739C" w:rsidRPr="00141E92">
        <w:rPr>
          <w:rFonts w:ascii="Book Antiqua" w:eastAsia="Songti SC" w:hAnsi="Book Antiqua" w:cs="Verdana"/>
          <w:color w:val="000000" w:themeColor="text1"/>
          <w:sz w:val="24"/>
          <w:szCs w:val="24"/>
        </w:rPr>
        <w:t xml:space="preserve"> </w:t>
      </w:r>
      <w:r w:rsidRPr="00141E92">
        <w:rPr>
          <w:rFonts w:ascii="Book Antiqua" w:eastAsia="Songti SC" w:hAnsi="Book Antiqua" w:cs="Verdana"/>
          <w:sz w:val="24"/>
          <w:szCs w:val="24"/>
        </w:rPr>
        <w:t>Ethical approval was issued by the Ethics Committee of the Lithuanian University of Health S</w:t>
      </w:r>
      <w:r w:rsidR="00F41FBC" w:rsidRPr="00141E92">
        <w:rPr>
          <w:rFonts w:ascii="Book Antiqua" w:eastAsia="Songti SC" w:hAnsi="Book Antiqua" w:cs="Verdana"/>
          <w:sz w:val="24"/>
          <w:szCs w:val="24"/>
        </w:rPr>
        <w:t>ciences (N</w:t>
      </w:r>
      <w:r w:rsidR="00573B19">
        <w:rPr>
          <w:rFonts w:ascii="Book Antiqua" w:eastAsia="Songti SC" w:hAnsi="Book Antiqua" w:cs="Verdana"/>
          <w:sz w:val="24"/>
          <w:szCs w:val="24"/>
        </w:rPr>
        <w:t>o</w:t>
      </w:r>
      <w:r w:rsidR="00F41FBC" w:rsidRPr="00141E92">
        <w:rPr>
          <w:rFonts w:ascii="Book Antiqua" w:eastAsia="Songti SC" w:hAnsi="Book Antiqua" w:cs="Verdana"/>
          <w:sz w:val="24"/>
          <w:szCs w:val="24"/>
        </w:rPr>
        <w:t>. BE-2-10</w:t>
      </w:r>
      <w:r w:rsidRPr="00141E92">
        <w:rPr>
          <w:rFonts w:ascii="Book Antiqua" w:eastAsia="Songti SC" w:hAnsi="Book Antiqua" w:cs="Verdana"/>
          <w:sz w:val="24"/>
          <w:szCs w:val="24"/>
        </w:rPr>
        <w:t xml:space="preserve">). Consent for the use of surgical tissue specimens and clinical data for research purposes was obtained from all the patients or their representatives. </w:t>
      </w:r>
    </w:p>
    <w:p w14:paraId="2E12F6D8" w14:textId="77777777" w:rsidR="00573B19" w:rsidRDefault="00573B19" w:rsidP="003F50D4">
      <w:pPr>
        <w:widowControl w:val="0"/>
        <w:snapToGrid w:val="0"/>
        <w:spacing w:line="360" w:lineRule="auto"/>
        <w:jc w:val="both"/>
        <w:outlineLvl w:val="0"/>
        <w:rPr>
          <w:rFonts w:ascii="Book Antiqua" w:hAnsi="Book Antiqua"/>
          <w:b/>
          <w:i/>
          <w:sz w:val="24"/>
          <w:szCs w:val="24"/>
        </w:rPr>
      </w:pPr>
    </w:p>
    <w:p w14:paraId="3F8169F8" w14:textId="77777777" w:rsidR="00E15B60" w:rsidRPr="00141E92" w:rsidRDefault="00E15B60" w:rsidP="003F50D4">
      <w:pPr>
        <w:widowControl w:val="0"/>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Immunohistochemistry</w:t>
      </w:r>
    </w:p>
    <w:p w14:paraId="62CB29D5" w14:textId="756F60B1" w:rsidR="00E15B60" w:rsidRPr="00141E92" w:rsidRDefault="00E15B60" w:rsidP="008530E2">
      <w:pPr>
        <w:snapToGrid w:val="0"/>
        <w:spacing w:line="360" w:lineRule="auto"/>
        <w:jc w:val="both"/>
        <w:rPr>
          <w:rFonts w:ascii="Book Antiqua" w:hAnsi="Book Antiqua"/>
          <w:color w:val="000000" w:themeColor="text1"/>
          <w:sz w:val="24"/>
          <w:szCs w:val="24"/>
        </w:rPr>
      </w:pPr>
      <w:r w:rsidRPr="00141E92">
        <w:rPr>
          <w:rFonts w:ascii="Book Antiqua" w:hAnsi="Book Antiqua"/>
          <w:color w:val="000000" w:themeColor="text1"/>
          <w:sz w:val="24"/>
          <w:szCs w:val="24"/>
        </w:rPr>
        <w:t>Th</w:t>
      </w:r>
      <w:r w:rsidR="00573B19">
        <w:rPr>
          <w:rFonts w:ascii="Book Antiqua" w:hAnsi="Book Antiqua"/>
          <w:color w:val="000000" w:themeColor="text1"/>
          <w:sz w:val="24"/>
          <w:szCs w:val="24"/>
        </w:rPr>
        <w:t xml:space="preserve">e antibodies against </w:t>
      </w:r>
      <w:proofErr w:type="spellStart"/>
      <w:r w:rsidR="00573B19">
        <w:rPr>
          <w:rFonts w:ascii="Book Antiqua" w:hAnsi="Book Antiqua"/>
          <w:color w:val="000000" w:themeColor="text1"/>
          <w:sz w:val="24"/>
          <w:szCs w:val="24"/>
        </w:rPr>
        <w:t>HuR</w:t>
      </w:r>
      <w:proofErr w:type="spellEnd"/>
      <w:r w:rsidR="00573B19">
        <w:rPr>
          <w:rFonts w:ascii="Book Antiqua" w:hAnsi="Book Antiqua"/>
          <w:color w:val="000000" w:themeColor="text1"/>
          <w:sz w:val="24"/>
          <w:szCs w:val="24"/>
        </w:rPr>
        <w:t xml:space="preserve"> 1:300 [mouse monoclonal (Invitrogen)]</w:t>
      </w:r>
      <w:r w:rsidRPr="00141E92">
        <w:rPr>
          <w:rFonts w:ascii="Book Antiqua" w:hAnsi="Book Antiqua"/>
          <w:color w:val="000000" w:themeColor="text1"/>
          <w:sz w:val="24"/>
          <w:szCs w:val="24"/>
        </w:rPr>
        <w:t xml:space="preserve"> and IA</w:t>
      </w:r>
      <w:r w:rsidR="00573B19">
        <w:rPr>
          <w:rFonts w:ascii="Book Antiqua" w:hAnsi="Book Antiqua"/>
          <w:color w:val="000000" w:themeColor="text1"/>
          <w:sz w:val="24"/>
          <w:szCs w:val="24"/>
        </w:rPr>
        <w:t>P1, IAP2 1:100 [rabbit monoclonal (Abcam)]</w:t>
      </w:r>
      <w:r w:rsidRPr="00141E92">
        <w:rPr>
          <w:rFonts w:ascii="Book Antiqua" w:hAnsi="Book Antiqua"/>
          <w:color w:val="000000" w:themeColor="text1"/>
          <w:sz w:val="24"/>
          <w:szCs w:val="24"/>
        </w:rPr>
        <w:t xml:space="preserve"> were used for </w:t>
      </w:r>
      <w:proofErr w:type="spellStart"/>
      <w:r w:rsidRPr="00141E92">
        <w:rPr>
          <w:rFonts w:ascii="Book Antiqua" w:hAnsi="Book Antiqua"/>
          <w:color w:val="000000" w:themeColor="text1"/>
          <w:sz w:val="24"/>
          <w:szCs w:val="24"/>
        </w:rPr>
        <w:t>immunohistological</w:t>
      </w:r>
      <w:proofErr w:type="spellEnd"/>
      <w:r w:rsidRPr="00141E92">
        <w:rPr>
          <w:rFonts w:ascii="Book Antiqua" w:hAnsi="Book Antiqua"/>
          <w:color w:val="000000" w:themeColor="text1"/>
          <w:sz w:val="24"/>
          <w:szCs w:val="24"/>
        </w:rPr>
        <w:t xml:space="preserve"> analysis of tissues from healthy donor</w:t>
      </w:r>
      <w:r w:rsidR="00E215DE" w:rsidRPr="00141E92">
        <w:rPr>
          <w:rFonts w:ascii="Book Antiqua" w:hAnsi="Book Antiqua"/>
          <w:color w:val="000000" w:themeColor="text1"/>
          <w:sz w:val="24"/>
          <w:szCs w:val="24"/>
        </w:rPr>
        <w:t>s</w:t>
      </w:r>
      <w:r w:rsidRPr="00141E92">
        <w:rPr>
          <w:rFonts w:ascii="Book Antiqua" w:hAnsi="Book Antiqua"/>
          <w:color w:val="000000" w:themeColor="text1"/>
          <w:sz w:val="24"/>
          <w:szCs w:val="24"/>
        </w:rPr>
        <w:t xml:space="preserve"> (</w:t>
      </w:r>
      <w:r w:rsidRPr="00573B19">
        <w:rPr>
          <w:rFonts w:ascii="Book Antiqua" w:hAnsi="Book Antiqua"/>
          <w:i/>
          <w:color w:val="000000" w:themeColor="text1"/>
          <w:sz w:val="24"/>
          <w:szCs w:val="24"/>
        </w:rPr>
        <w:t>n</w:t>
      </w:r>
      <w:r w:rsidR="00573B19">
        <w:rPr>
          <w:rFonts w:ascii="Book Antiqua" w:hAnsi="Book Antiqua"/>
          <w:color w:val="000000" w:themeColor="text1"/>
          <w:sz w:val="24"/>
          <w:szCs w:val="24"/>
        </w:rPr>
        <w:t xml:space="preserve"> </w:t>
      </w:r>
      <w:r w:rsidRPr="00141E92">
        <w:rPr>
          <w:rFonts w:ascii="Book Antiqua" w:hAnsi="Book Antiqua"/>
          <w:color w:val="000000" w:themeColor="text1"/>
          <w:sz w:val="24"/>
          <w:szCs w:val="24"/>
        </w:rPr>
        <w:t>=</w:t>
      </w:r>
      <w:r w:rsidR="00573B19">
        <w:rPr>
          <w:rFonts w:ascii="Book Antiqua" w:hAnsi="Book Antiqua"/>
          <w:color w:val="000000" w:themeColor="text1"/>
          <w:sz w:val="24"/>
          <w:szCs w:val="24"/>
        </w:rPr>
        <w:t xml:space="preserve"> </w:t>
      </w:r>
      <w:r w:rsidRPr="00141E92">
        <w:rPr>
          <w:rFonts w:ascii="Book Antiqua" w:hAnsi="Book Antiqua"/>
          <w:color w:val="000000" w:themeColor="text1"/>
          <w:sz w:val="24"/>
          <w:szCs w:val="24"/>
        </w:rPr>
        <w:t>5) and PDAC patient</w:t>
      </w:r>
      <w:r w:rsidR="00E215DE" w:rsidRPr="00141E92">
        <w:rPr>
          <w:rFonts w:ascii="Book Antiqua" w:hAnsi="Book Antiqua"/>
          <w:color w:val="000000" w:themeColor="text1"/>
          <w:sz w:val="24"/>
          <w:szCs w:val="24"/>
        </w:rPr>
        <w:t>s</w:t>
      </w:r>
      <w:r w:rsidRPr="00141E92">
        <w:rPr>
          <w:rFonts w:ascii="Book Antiqua" w:hAnsi="Book Antiqua"/>
          <w:color w:val="000000" w:themeColor="text1"/>
          <w:sz w:val="24"/>
          <w:szCs w:val="24"/>
        </w:rPr>
        <w:t xml:space="preserve"> (</w:t>
      </w:r>
      <w:r w:rsidRPr="00573B19">
        <w:rPr>
          <w:rFonts w:ascii="Book Antiqua" w:hAnsi="Book Antiqua"/>
          <w:i/>
          <w:color w:val="000000" w:themeColor="text1"/>
          <w:sz w:val="24"/>
          <w:szCs w:val="24"/>
        </w:rPr>
        <w:t>n</w:t>
      </w:r>
      <w:r w:rsidR="00573B19">
        <w:rPr>
          <w:rFonts w:ascii="Book Antiqua" w:hAnsi="Book Antiqua"/>
          <w:color w:val="000000" w:themeColor="text1"/>
          <w:sz w:val="24"/>
          <w:szCs w:val="24"/>
        </w:rPr>
        <w:t xml:space="preserve"> </w:t>
      </w:r>
      <w:r w:rsidRPr="00141E92">
        <w:rPr>
          <w:rFonts w:ascii="Book Antiqua" w:hAnsi="Book Antiqua"/>
          <w:color w:val="000000" w:themeColor="text1"/>
          <w:sz w:val="24"/>
          <w:szCs w:val="24"/>
        </w:rPr>
        <w:t>=</w:t>
      </w:r>
      <w:r w:rsidR="00573B19">
        <w:rPr>
          <w:rFonts w:ascii="Book Antiqua" w:hAnsi="Book Antiqua"/>
          <w:color w:val="000000" w:themeColor="text1"/>
          <w:sz w:val="24"/>
          <w:szCs w:val="24"/>
        </w:rPr>
        <w:t xml:space="preserve"> </w:t>
      </w:r>
      <w:r w:rsidRPr="00141E92">
        <w:rPr>
          <w:rFonts w:ascii="Book Antiqua" w:hAnsi="Book Antiqua"/>
          <w:color w:val="000000" w:themeColor="text1"/>
          <w:sz w:val="24"/>
          <w:szCs w:val="24"/>
        </w:rPr>
        <w:t>20). Standard staining protocols were used. Paraffin-embedded tumor</w:t>
      </w:r>
      <w:r w:rsidR="00E215DE" w:rsidRPr="00141E92">
        <w:rPr>
          <w:rFonts w:ascii="Book Antiqua" w:hAnsi="Book Antiqua"/>
          <w:color w:val="000000" w:themeColor="text1"/>
          <w:sz w:val="24"/>
          <w:szCs w:val="24"/>
        </w:rPr>
        <w:t>’s</w:t>
      </w:r>
      <w:r w:rsidRPr="00141E92">
        <w:rPr>
          <w:rFonts w:ascii="Book Antiqua" w:hAnsi="Book Antiqua"/>
          <w:color w:val="000000" w:themeColor="text1"/>
          <w:sz w:val="24"/>
          <w:szCs w:val="24"/>
        </w:rPr>
        <w:t xml:space="preserve"> section was dewaxed with xylene and rehydrated by using alcohol solutions at different concentrations. Endogenous peroxidase activity was quenched with 0.3% hydrogen peroxide in methanol. To block the nonspecific binding, slides were treated with non</w:t>
      </w:r>
      <w:r w:rsidR="0077435F" w:rsidRPr="00141E92">
        <w:rPr>
          <w:rFonts w:ascii="Book Antiqua" w:hAnsi="Book Antiqua"/>
          <w:color w:val="000000" w:themeColor="text1"/>
          <w:sz w:val="24"/>
          <w:szCs w:val="24"/>
        </w:rPr>
        <w:t>-</w:t>
      </w:r>
      <w:r w:rsidRPr="00141E92">
        <w:rPr>
          <w:rFonts w:ascii="Book Antiqua" w:hAnsi="Book Antiqua"/>
          <w:color w:val="000000" w:themeColor="text1"/>
          <w:sz w:val="24"/>
          <w:szCs w:val="24"/>
        </w:rPr>
        <w:t>immune normal rabbit/mouse serum (</w:t>
      </w:r>
      <w:proofErr w:type="spellStart"/>
      <w:r w:rsidRPr="00141E92">
        <w:rPr>
          <w:rFonts w:ascii="Book Antiqua" w:hAnsi="Book Antiqua"/>
          <w:color w:val="000000" w:themeColor="text1"/>
          <w:sz w:val="24"/>
          <w:szCs w:val="24"/>
        </w:rPr>
        <w:t>Dako</w:t>
      </w:r>
      <w:proofErr w:type="spellEnd"/>
      <w:r w:rsidRPr="00141E92">
        <w:rPr>
          <w:rFonts w:ascii="Book Antiqua" w:hAnsi="Book Antiqua"/>
          <w:color w:val="000000" w:themeColor="text1"/>
          <w:sz w:val="24"/>
          <w:szCs w:val="24"/>
        </w:rPr>
        <w:t>) for 1 h. All primary antibodies were incubated on slides for 24 h at 4</w:t>
      </w:r>
      <w:r w:rsidR="00573B19">
        <w:rPr>
          <w:rFonts w:ascii="Book Antiqua" w:hAnsi="Book Antiqua"/>
          <w:color w:val="000000" w:themeColor="text1"/>
          <w:sz w:val="24"/>
          <w:szCs w:val="24"/>
        </w:rPr>
        <w:t xml:space="preserve"> </w:t>
      </w:r>
      <w:r w:rsidRPr="00141E92">
        <w:rPr>
          <w:rFonts w:ascii="Book Antiqua" w:hAnsi="Book Antiqua"/>
          <w:color w:val="000000" w:themeColor="text1"/>
          <w:sz w:val="24"/>
          <w:szCs w:val="24"/>
        </w:rPr>
        <w:t xml:space="preserve">°C. After washing in TBST, slides were incubated in </w:t>
      </w:r>
      <w:r w:rsidR="00E215DE" w:rsidRPr="00141E92">
        <w:rPr>
          <w:rFonts w:ascii="Book Antiqua" w:hAnsi="Book Antiqua"/>
          <w:color w:val="000000" w:themeColor="text1"/>
          <w:sz w:val="24"/>
          <w:szCs w:val="24"/>
        </w:rPr>
        <w:t>goat anti-rabbit, horseradish</w:t>
      </w:r>
      <w:r w:rsidRPr="00141E92">
        <w:rPr>
          <w:rFonts w:ascii="Book Antiqua" w:hAnsi="Book Antiqua"/>
          <w:color w:val="000000" w:themeColor="text1"/>
          <w:sz w:val="24"/>
          <w:szCs w:val="24"/>
        </w:rPr>
        <w:t xml:space="preserve"> peroxidase</w:t>
      </w:r>
      <w:r w:rsidR="00E215DE" w:rsidRPr="00141E92">
        <w:rPr>
          <w:rFonts w:ascii="Book Antiqua" w:hAnsi="Book Antiqua"/>
          <w:color w:val="000000" w:themeColor="text1"/>
          <w:sz w:val="24"/>
          <w:szCs w:val="24"/>
        </w:rPr>
        <w:t xml:space="preserve"> conjugated secondary antibody (1:1000; Thermo Scientific</w:t>
      </w:r>
      <w:r w:rsidRPr="00141E92">
        <w:rPr>
          <w:rFonts w:ascii="Book Antiqua" w:hAnsi="Book Antiqua"/>
          <w:color w:val="000000" w:themeColor="text1"/>
          <w:sz w:val="24"/>
          <w:szCs w:val="24"/>
        </w:rPr>
        <w:t>). Immunohistochemistry was developed using the DAKO Envision+ system (</w:t>
      </w:r>
      <w:proofErr w:type="spellStart"/>
      <w:r w:rsidRPr="00141E92">
        <w:rPr>
          <w:rFonts w:ascii="Book Antiqua" w:hAnsi="Book Antiqua"/>
          <w:color w:val="000000" w:themeColor="text1"/>
          <w:sz w:val="24"/>
          <w:szCs w:val="24"/>
        </w:rPr>
        <w:t>Dako</w:t>
      </w:r>
      <w:proofErr w:type="spellEnd"/>
      <w:r w:rsidRPr="00141E92">
        <w:rPr>
          <w:rFonts w:ascii="Book Antiqua" w:hAnsi="Book Antiqua"/>
          <w:color w:val="000000" w:themeColor="text1"/>
          <w:sz w:val="24"/>
          <w:szCs w:val="24"/>
        </w:rPr>
        <w:t>) and counterstained with hematoxylin.</w:t>
      </w:r>
      <w:r w:rsidR="00E215DE" w:rsidRPr="00141E92">
        <w:rPr>
          <w:rFonts w:ascii="Book Antiqua" w:hAnsi="Book Antiqua"/>
          <w:color w:val="000000" w:themeColor="text1"/>
          <w:sz w:val="24"/>
          <w:szCs w:val="24"/>
        </w:rPr>
        <w:t xml:space="preserve"> </w:t>
      </w:r>
    </w:p>
    <w:p w14:paraId="2710BFF3" w14:textId="77777777" w:rsidR="00E15B60" w:rsidRPr="00141E92" w:rsidRDefault="00E15B60" w:rsidP="008530E2">
      <w:pPr>
        <w:widowControl w:val="0"/>
        <w:snapToGrid w:val="0"/>
        <w:spacing w:line="360" w:lineRule="auto"/>
        <w:jc w:val="both"/>
        <w:rPr>
          <w:rFonts w:ascii="Book Antiqua" w:hAnsi="Book Antiqua" w:cs="Times"/>
          <w:b/>
          <w:i/>
          <w:color w:val="101010"/>
          <w:sz w:val="24"/>
          <w:szCs w:val="24"/>
        </w:rPr>
      </w:pPr>
    </w:p>
    <w:p w14:paraId="48A09283" w14:textId="77777777" w:rsidR="00E15B60" w:rsidRPr="00141E92" w:rsidRDefault="00E15B60" w:rsidP="003F50D4">
      <w:pPr>
        <w:widowControl w:val="0"/>
        <w:snapToGrid w:val="0"/>
        <w:spacing w:line="360" w:lineRule="auto"/>
        <w:jc w:val="both"/>
        <w:outlineLvl w:val="0"/>
        <w:rPr>
          <w:rFonts w:ascii="Book Antiqua" w:hAnsi="Book Antiqua" w:cs="Times"/>
          <w:b/>
          <w:i/>
          <w:sz w:val="24"/>
          <w:szCs w:val="24"/>
        </w:rPr>
      </w:pPr>
      <w:r w:rsidRPr="00141E92">
        <w:rPr>
          <w:rFonts w:ascii="Book Antiqua" w:hAnsi="Book Antiqua" w:cs="Times"/>
          <w:b/>
          <w:i/>
          <w:color w:val="101010"/>
          <w:sz w:val="24"/>
          <w:szCs w:val="24"/>
        </w:rPr>
        <w:t xml:space="preserve">Western blot analysis </w:t>
      </w:r>
    </w:p>
    <w:p w14:paraId="53217F22" w14:textId="4F496321" w:rsidR="00E15B60" w:rsidRPr="00141E92" w:rsidRDefault="00E15B60" w:rsidP="008530E2">
      <w:pPr>
        <w:snapToGrid w:val="0"/>
        <w:spacing w:line="360" w:lineRule="auto"/>
        <w:jc w:val="both"/>
        <w:rPr>
          <w:rFonts w:ascii="Book Antiqua" w:hAnsi="Book Antiqua" w:cs="Times"/>
          <w:color w:val="101010"/>
          <w:sz w:val="24"/>
          <w:szCs w:val="24"/>
        </w:rPr>
      </w:pPr>
      <w:r w:rsidRPr="00141E92">
        <w:rPr>
          <w:rFonts w:ascii="Book Antiqua" w:hAnsi="Book Antiqua" w:cs="Times"/>
          <w:color w:val="101010"/>
          <w:sz w:val="24"/>
          <w:szCs w:val="24"/>
        </w:rPr>
        <w:t xml:space="preserve">Whole cells were lysed using </w:t>
      </w:r>
      <w:r w:rsidR="008B6289" w:rsidRPr="00141E92">
        <w:rPr>
          <w:rFonts w:ascii="Book Antiqua" w:hAnsi="Book Antiqua" w:cs="Times"/>
          <w:color w:val="101010"/>
          <w:sz w:val="24"/>
          <w:szCs w:val="24"/>
        </w:rPr>
        <w:t>the</w:t>
      </w:r>
      <w:r w:rsidRPr="00141E92">
        <w:rPr>
          <w:rFonts w:ascii="Book Antiqua" w:hAnsi="Book Antiqua" w:cs="Times"/>
          <w:color w:val="101010"/>
          <w:sz w:val="24"/>
          <w:szCs w:val="24"/>
        </w:rPr>
        <w:t xml:space="preserve"> RIPA lysis buffer with protease inhibitors (Roche) and centrifuged at 10000</w:t>
      </w:r>
      <w:r w:rsidR="00573B19">
        <w:rPr>
          <w:rFonts w:ascii="Book Antiqua" w:hAnsi="Book Antiqua" w:cs="Times"/>
          <w:color w:val="101010"/>
          <w:sz w:val="24"/>
          <w:szCs w:val="24"/>
        </w:rPr>
        <w:t xml:space="preserve"> </w:t>
      </w:r>
      <w:r w:rsidRPr="00141E92">
        <w:rPr>
          <w:rFonts w:ascii="Book Antiqua" w:hAnsi="Book Antiqua" w:cs="Times"/>
          <w:color w:val="101010"/>
          <w:sz w:val="24"/>
          <w:szCs w:val="24"/>
        </w:rPr>
        <w:t>×</w:t>
      </w:r>
      <w:r w:rsidR="00573B19">
        <w:rPr>
          <w:rFonts w:ascii="Book Antiqua" w:hAnsi="Book Antiqua" w:cs="Times"/>
          <w:color w:val="101010"/>
          <w:sz w:val="24"/>
          <w:szCs w:val="24"/>
        </w:rPr>
        <w:t xml:space="preserve"> </w:t>
      </w:r>
      <w:r w:rsidRPr="00141E92">
        <w:rPr>
          <w:rFonts w:ascii="Book Antiqua" w:hAnsi="Book Antiqua" w:cs="Times"/>
          <w:color w:val="101010"/>
          <w:sz w:val="24"/>
          <w:szCs w:val="24"/>
        </w:rPr>
        <w:t xml:space="preserve">g for 10 min. The supernatants were assayed for protein concentration with a BCA protein assay kit (Thermo Scientific). Protein samples were heated at 97 °C for 5 min before </w:t>
      </w:r>
      <w:r w:rsidR="00E03CFE" w:rsidRPr="00141E92">
        <w:rPr>
          <w:rFonts w:ascii="Book Antiqua" w:hAnsi="Book Antiqua" w:cs="Times"/>
          <w:color w:val="101010"/>
          <w:sz w:val="24"/>
          <w:szCs w:val="24"/>
        </w:rPr>
        <w:t>loading</w:t>
      </w:r>
      <w:r w:rsidRPr="00141E92">
        <w:rPr>
          <w:rFonts w:ascii="Book Antiqua" w:hAnsi="Book Antiqua" w:cs="Times"/>
          <w:color w:val="101010"/>
          <w:sz w:val="24"/>
          <w:szCs w:val="24"/>
        </w:rPr>
        <w:t xml:space="preserve"> and 50 </w:t>
      </w:r>
      <w:proofErr w:type="spellStart"/>
      <w:r w:rsidRPr="00141E92">
        <w:rPr>
          <w:rFonts w:ascii="Book Antiqua" w:hAnsi="Book Antiqua" w:cs="Times"/>
          <w:color w:val="101010"/>
          <w:sz w:val="24"/>
          <w:szCs w:val="24"/>
        </w:rPr>
        <w:t>μg</w:t>
      </w:r>
      <w:proofErr w:type="spellEnd"/>
      <w:r w:rsidRPr="00141E92">
        <w:rPr>
          <w:rFonts w:ascii="Book Antiqua" w:hAnsi="Book Antiqua" w:cs="Times"/>
          <w:color w:val="101010"/>
          <w:sz w:val="24"/>
          <w:szCs w:val="24"/>
        </w:rPr>
        <w:t xml:space="preserve"> of the samples were subjected to 4</w:t>
      </w:r>
      <w:r w:rsidR="003D1700" w:rsidRPr="00141E92">
        <w:rPr>
          <w:rFonts w:ascii="Book Antiqua" w:hAnsi="Book Antiqua" w:cs="Times"/>
          <w:color w:val="101010"/>
          <w:sz w:val="24"/>
          <w:szCs w:val="24"/>
        </w:rPr>
        <w:t>%</w:t>
      </w:r>
      <w:r w:rsidR="00A8115F">
        <w:rPr>
          <w:rFonts w:ascii="Book Antiqua" w:hAnsi="Book Antiqua" w:cs="Times"/>
          <w:color w:val="101010"/>
          <w:sz w:val="24"/>
          <w:szCs w:val="24"/>
        </w:rPr>
        <w:t>-</w:t>
      </w:r>
      <w:r w:rsidR="00573B19">
        <w:rPr>
          <w:rFonts w:ascii="Book Antiqua" w:hAnsi="Book Antiqua" w:cs="Times"/>
          <w:color w:val="101010"/>
          <w:sz w:val="24"/>
          <w:szCs w:val="24"/>
        </w:rPr>
        <w:t>12</w:t>
      </w:r>
      <w:r w:rsidRPr="00141E92">
        <w:rPr>
          <w:rFonts w:ascii="Book Antiqua" w:hAnsi="Book Antiqua" w:cs="Times"/>
          <w:color w:val="101010"/>
          <w:sz w:val="24"/>
          <w:szCs w:val="24"/>
        </w:rPr>
        <w:t>% sodium dodecyl sulfate-polyacryl</w:t>
      </w:r>
      <w:r w:rsidR="00573B19">
        <w:rPr>
          <w:rFonts w:ascii="Book Antiqua" w:hAnsi="Book Antiqua" w:cs="Times"/>
          <w:color w:val="101010"/>
          <w:sz w:val="24"/>
          <w:szCs w:val="24"/>
        </w:rPr>
        <w:t>amide gel electrophoresis (SDS-</w:t>
      </w:r>
      <w:r w:rsidRPr="00141E92">
        <w:rPr>
          <w:rFonts w:ascii="Book Antiqua" w:hAnsi="Book Antiqua" w:cs="Times"/>
          <w:color w:val="101010"/>
          <w:sz w:val="24"/>
          <w:szCs w:val="24"/>
        </w:rPr>
        <w:t>PAGE)</w:t>
      </w:r>
      <w:r w:rsidR="00E03CFE" w:rsidRPr="00141E92">
        <w:rPr>
          <w:rFonts w:ascii="Book Antiqua" w:hAnsi="Book Antiqua" w:cs="Times"/>
          <w:color w:val="101010"/>
          <w:sz w:val="24"/>
          <w:szCs w:val="24"/>
        </w:rPr>
        <w:t>,</w:t>
      </w:r>
      <w:r w:rsidRPr="00141E92">
        <w:rPr>
          <w:rFonts w:ascii="Book Antiqua" w:hAnsi="Book Antiqua" w:cs="Times"/>
          <w:color w:val="101010"/>
          <w:sz w:val="24"/>
          <w:szCs w:val="24"/>
        </w:rPr>
        <w:t xml:space="preserve"> and transferred to </w:t>
      </w:r>
      <w:bookmarkStart w:id="28" w:name="OLE_LINK3"/>
      <w:r w:rsidRPr="00141E92">
        <w:rPr>
          <w:rFonts w:ascii="Book Antiqua" w:hAnsi="Book Antiqua" w:cs="Times"/>
          <w:color w:val="101010"/>
          <w:sz w:val="24"/>
          <w:szCs w:val="24"/>
        </w:rPr>
        <w:t>poly-vinylidene fluoride</w:t>
      </w:r>
      <w:bookmarkEnd w:id="28"/>
      <w:r w:rsidRPr="00141E92">
        <w:rPr>
          <w:rFonts w:ascii="Book Antiqua" w:hAnsi="Book Antiqua" w:cs="Times"/>
          <w:color w:val="101010"/>
          <w:sz w:val="24"/>
          <w:szCs w:val="24"/>
        </w:rPr>
        <w:t xml:space="preserve"> (PVDF) membranes for 50 min at 20 V. The membranes were blocked with a blocking buffer (Invitrogen) for 30 min at room temperature and incubated overnight at 4</w:t>
      </w:r>
      <w:r w:rsidR="00573B19">
        <w:rPr>
          <w:rFonts w:ascii="Book Antiqua" w:hAnsi="Book Antiqua" w:cs="Times"/>
          <w:color w:val="101010"/>
          <w:sz w:val="24"/>
          <w:szCs w:val="24"/>
        </w:rPr>
        <w:t xml:space="preserve"> </w:t>
      </w:r>
      <w:r w:rsidRPr="00141E92">
        <w:rPr>
          <w:rFonts w:ascii="Book Antiqua" w:hAnsi="Book Antiqua" w:cs="Times"/>
          <w:color w:val="101010"/>
          <w:sz w:val="24"/>
          <w:szCs w:val="24"/>
        </w:rPr>
        <w:t xml:space="preserve">°C with primary antibodies. </w:t>
      </w:r>
      <w:r w:rsidRPr="00141E92">
        <w:rPr>
          <w:rFonts w:ascii="Book Antiqua" w:hAnsi="Book Antiqua" w:cs="Times"/>
          <w:color w:val="000000" w:themeColor="text1"/>
          <w:sz w:val="24"/>
          <w:szCs w:val="24"/>
        </w:rPr>
        <w:t>The following primary ant</w:t>
      </w:r>
      <w:r w:rsidR="005064EE" w:rsidRPr="00141E92">
        <w:rPr>
          <w:rFonts w:ascii="Book Antiqua" w:hAnsi="Book Antiqua" w:cs="Times"/>
          <w:color w:val="000000" w:themeColor="text1"/>
          <w:sz w:val="24"/>
          <w:szCs w:val="24"/>
        </w:rPr>
        <w:t>ibodies were used: 1:1000 mouse</w:t>
      </w:r>
      <w:r w:rsidRPr="00141E92">
        <w:rPr>
          <w:rFonts w:ascii="Book Antiqua" w:hAnsi="Book Antiqua" w:cs="Times"/>
          <w:color w:val="000000" w:themeColor="text1"/>
          <w:sz w:val="24"/>
          <w:szCs w:val="24"/>
        </w:rPr>
        <w:t xml:space="preserve"> monoclonal anti-</w:t>
      </w:r>
      <w:proofErr w:type="spellStart"/>
      <w:r w:rsidRPr="00141E92">
        <w:rPr>
          <w:rFonts w:ascii="Book Antiqua" w:hAnsi="Book Antiqua" w:cs="Times"/>
          <w:color w:val="000000" w:themeColor="text1"/>
          <w:sz w:val="24"/>
          <w:szCs w:val="24"/>
        </w:rPr>
        <w:t>HuR</w:t>
      </w:r>
      <w:proofErr w:type="spellEnd"/>
      <w:r w:rsidRPr="00141E92">
        <w:rPr>
          <w:rFonts w:ascii="Book Antiqua" w:hAnsi="Book Antiqua" w:cs="Times"/>
          <w:color w:val="000000" w:themeColor="text1"/>
          <w:sz w:val="24"/>
          <w:szCs w:val="24"/>
        </w:rPr>
        <w:t xml:space="preserve"> from </w:t>
      </w:r>
      <w:proofErr w:type="spellStart"/>
      <w:r w:rsidRPr="00141E92">
        <w:rPr>
          <w:rFonts w:ascii="Book Antiqua" w:hAnsi="Book Antiqua" w:cs="Times"/>
          <w:color w:val="000000" w:themeColor="text1"/>
          <w:sz w:val="24"/>
          <w:szCs w:val="24"/>
        </w:rPr>
        <w:t>Abcam</w:t>
      </w:r>
      <w:proofErr w:type="spellEnd"/>
      <w:r w:rsidRPr="00141E92">
        <w:rPr>
          <w:rFonts w:ascii="Book Antiqua" w:hAnsi="Book Antiqua" w:cs="Times"/>
          <w:color w:val="000000" w:themeColor="text1"/>
          <w:sz w:val="24"/>
          <w:szCs w:val="24"/>
        </w:rPr>
        <w:t xml:space="preserve"> (ab186430), 1:5000 rabbit monoclonal anti-IAP1 from Abcam (ab108361), </w:t>
      </w:r>
      <w:r w:rsidRPr="00141E92">
        <w:rPr>
          <w:rFonts w:ascii="Book Antiqua" w:hAnsi="Book Antiqua" w:cs="Times"/>
          <w:color w:val="000000" w:themeColor="text1"/>
          <w:sz w:val="24"/>
          <w:szCs w:val="24"/>
        </w:rPr>
        <w:lastRenderedPageBreak/>
        <w:t xml:space="preserve">1:1000 rabbit monoclonal anti-IAP2 from Abcam (ab32059), and 1:10000 mouse monoclonal anti-GAPDH from </w:t>
      </w:r>
      <w:proofErr w:type="spellStart"/>
      <w:r w:rsidRPr="00141E92">
        <w:rPr>
          <w:rFonts w:ascii="Book Antiqua" w:hAnsi="Book Antiqua" w:cs="Times"/>
          <w:color w:val="000000" w:themeColor="text1"/>
          <w:sz w:val="24"/>
          <w:szCs w:val="24"/>
        </w:rPr>
        <w:t>Ambion</w:t>
      </w:r>
      <w:proofErr w:type="spellEnd"/>
      <w:r w:rsidRPr="00141E92">
        <w:rPr>
          <w:rFonts w:ascii="Book Antiqua" w:hAnsi="Book Antiqua" w:cs="Times"/>
          <w:color w:val="000000" w:themeColor="text1"/>
          <w:sz w:val="24"/>
          <w:szCs w:val="24"/>
        </w:rPr>
        <w:t xml:space="preserve"> (AM4300).</w:t>
      </w:r>
      <w:r w:rsidRPr="00141E92">
        <w:rPr>
          <w:rFonts w:ascii="Book Antiqua" w:hAnsi="Book Antiqua" w:cs="Times"/>
          <w:color w:val="101010"/>
          <w:sz w:val="24"/>
          <w:szCs w:val="24"/>
        </w:rPr>
        <w:t xml:space="preserve"> The membranes were washed and incubated with the appropriate peroxidase-conjugated secondary antibody (Invitrogen; anti-mouse or anti-rabbit) for 30 min, washed and incubated with a chemiluminescence substrate/detection kit (Invitrogen). Results were analyzed with a</w:t>
      </w:r>
      <w:r w:rsidR="008B6289" w:rsidRPr="00141E92">
        <w:rPr>
          <w:rFonts w:ascii="Book Antiqua" w:hAnsi="Book Antiqua" w:cs="Times"/>
          <w:color w:val="101010"/>
          <w:sz w:val="24"/>
          <w:szCs w:val="24"/>
        </w:rPr>
        <w:t>n automated</w:t>
      </w:r>
      <w:r w:rsidRPr="00141E92">
        <w:rPr>
          <w:rFonts w:ascii="Book Antiqua" w:hAnsi="Book Antiqua" w:cs="Times"/>
          <w:color w:val="101010"/>
          <w:sz w:val="24"/>
          <w:szCs w:val="24"/>
        </w:rPr>
        <w:t xml:space="preserve"> documenting system (</w:t>
      </w:r>
      <w:proofErr w:type="spellStart"/>
      <w:r w:rsidRPr="00141E92">
        <w:rPr>
          <w:rFonts w:ascii="Book Antiqua" w:hAnsi="Book Antiqua" w:cs="Times"/>
          <w:color w:val="101010"/>
          <w:sz w:val="24"/>
          <w:szCs w:val="24"/>
        </w:rPr>
        <w:t>Biorad</w:t>
      </w:r>
      <w:proofErr w:type="spellEnd"/>
      <w:r w:rsidRPr="00141E92">
        <w:rPr>
          <w:rFonts w:ascii="Book Antiqua" w:hAnsi="Book Antiqua" w:cs="Times"/>
          <w:color w:val="101010"/>
          <w:sz w:val="24"/>
          <w:szCs w:val="24"/>
        </w:rPr>
        <w:t xml:space="preserve">). </w:t>
      </w:r>
    </w:p>
    <w:p w14:paraId="4717297F" w14:textId="77777777" w:rsidR="00E15B60" w:rsidRPr="00141E92" w:rsidRDefault="00E15B60" w:rsidP="008530E2">
      <w:pPr>
        <w:snapToGrid w:val="0"/>
        <w:spacing w:line="360" w:lineRule="auto"/>
        <w:jc w:val="both"/>
        <w:rPr>
          <w:rFonts w:ascii="Book Antiqua" w:hAnsi="Book Antiqua"/>
          <w:sz w:val="24"/>
          <w:szCs w:val="24"/>
        </w:rPr>
      </w:pPr>
    </w:p>
    <w:p w14:paraId="5E9FC76C" w14:textId="48EF3383" w:rsidR="00E15B60" w:rsidRPr="00141E92" w:rsidRDefault="00E15B60" w:rsidP="003F50D4">
      <w:pPr>
        <w:snapToGrid w:val="0"/>
        <w:spacing w:line="360" w:lineRule="auto"/>
        <w:jc w:val="both"/>
        <w:outlineLvl w:val="0"/>
        <w:rPr>
          <w:rFonts w:ascii="Book Antiqua" w:hAnsi="Book Antiqua" w:cs="Calibri"/>
          <w:b/>
          <w:i/>
          <w:sz w:val="24"/>
          <w:szCs w:val="24"/>
        </w:rPr>
      </w:pPr>
      <w:r w:rsidRPr="00141E92">
        <w:rPr>
          <w:rFonts w:ascii="Book Antiqua" w:hAnsi="Book Antiqua" w:cs="Calibri"/>
          <w:b/>
          <w:i/>
          <w:sz w:val="24"/>
          <w:szCs w:val="24"/>
        </w:rPr>
        <w:t xml:space="preserve">RNA extraction and </w:t>
      </w:r>
      <w:r w:rsidR="00573B19">
        <w:rPr>
          <w:rFonts w:ascii="Book Antiqua" w:hAnsi="Book Antiqua" w:cs="Calibri"/>
          <w:b/>
          <w:i/>
          <w:sz w:val="24"/>
          <w:szCs w:val="24"/>
        </w:rPr>
        <w:t>reverse transcription</w:t>
      </w:r>
      <w:r w:rsidRPr="00141E92">
        <w:rPr>
          <w:rFonts w:ascii="Book Antiqua" w:hAnsi="Book Antiqua" w:cs="Calibri"/>
          <w:b/>
          <w:i/>
          <w:sz w:val="24"/>
          <w:szCs w:val="24"/>
        </w:rPr>
        <w:t xml:space="preserve"> </w:t>
      </w:r>
      <w:r w:rsidR="00573B19">
        <w:rPr>
          <w:rFonts w:ascii="Book Antiqua" w:hAnsi="Book Antiqua" w:cs="Calibri"/>
          <w:b/>
          <w:i/>
          <w:sz w:val="24"/>
          <w:szCs w:val="24"/>
        </w:rPr>
        <w:t>PCR</w:t>
      </w:r>
    </w:p>
    <w:p w14:paraId="1DD96304" w14:textId="2DA852C0" w:rsidR="00E15B60" w:rsidRPr="00573B19" w:rsidRDefault="00E15B60" w:rsidP="008530E2">
      <w:pPr>
        <w:widowControl w:val="0"/>
        <w:snapToGrid w:val="0"/>
        <w:spacing w:line="360" w:lineRule="auto"/>
        <w:jc w:val="both"/>
        <w:rPr>
          <w:rFonts w:ascii="Book Antiqua" w:hAnsi="Book Antiqua" w:cs="Verdana"/>
          <w:sz w:val="24"/>
          <w:szCs w:val="24"/>
        </w:rPr>
      </w:pPr>
      <w:r w:rsidRPr="00141E92">
        <w:rPr>
          <w:rFonts w:ascii="Book Antiqua" w:hAnsi="Book Antiqua" w:cs="Verdana"/>
          <w:sz w:val="24"/>
          <w:szCs w:val="24"/>
        </w:rPr>
        <w:t xml:space="preserve">Total RNA extraction was performed from tissues and using </w:t>
      </w:r>
      <w:proofErr w:type="spellStart"/>
      <w:r w:rsidRPr="00141E92">
        <w:rPr>
          <w:rFonts w:ascii="Book Antiqua" w:hAnsi="Book Antiqua" w:cs="Verdana"/>
          <w:sz w:val="24"/>
          <w:szCs w:val="24"/>
        </w:rPr>
        <w:t>PureLink</w:t>
      </w:r>
      <w:proofErr w:type="spellEnd"/>
      <w:r w:rsidRPr="00141E92">
        <w:rPr>
          <w:rFonts w:ascii="Book Antiqua" w:hAnsi="Book Antiqua" w:cs="Verdana"/>
          <w:sz w:val="24"/>
          <w:szCs w:val="24"/>
        </w:rPr>
        <w:t xml:space="preserve"> RNA easy kit (</w:t>
      </w:r>
      <w:proofErr w:type="spellStart"/>
      <w:r w:rsidRPr="00141E92">
        <w:rPr>
          <w:rFonts w:ascii="Book Antiqua" w:hAnsi="Book Antiqua" w:cs="Verdana"/>
          <w:sz w:val="24"/>
          <w:szCs w:val="24"/>
        </w:rPr>
        <w:t>Ambion</w:t>
      </w:r>
      <w:proofErr w:type="spellEnd"/>
      <w:r w:rsidRPr="00141E92">
        <w:rPr>
          <w:rFonts w:ascii="Book Antiqua" w:hAnsi="Book Antiqua" w:cs="Verdana"/>
          <w:sz w:val="24"/>
          <w:szCs w:val="24"/>
        </w:rPr>
        <w:t>) and TRI reagents (</w:t>
      </w:r>
      <w:proofErr w:type="spellStart"/>
      <w:r w:rsidRPr="00141E92">
        <w:rPr>
          <w:rFonts w:ascii="Book Antiqua" w:hAnsi="Book Antiqua" w:cs="Verdana"/>
          <w:sz w:val="24"/>
          <w:szCs w:val="24"/>
        </w:rPr>
        <w:t>Zymo</w:t>
      </w:r>
      <w:proofErr w:type="spellEnd"/>
      <w:r w:rsidRPr="00141E92">
        <w:rPr>
          <w:rFonts w:ascii="Book Antiqua" w:hAnsi="Book Antiqua" w:cs="Verdana"/>
          <w:sz w:val="24"/>
          <w:szCs w:val="24"/>
        </w:rPr>
        <w:t xml:space="preserve">), according to the manufacturer’s protocol </w:t>
      </w:r>
      <w:r w:rsidRPr="00141E92">
        <w:rPr>
          <w:rFonts w:ascii="Book Antiqua" w:hAnsi="Book Antiqua"/>
          <w:sz w:val="24"/>
          <w:szCs w:val="24"/>
        </w:rPr>
        <w:t xml:space="preserve">without </w:t>
      </w:r>
      <w:proofErr w:type="spellStart"/>
      <w:r w:rsidRPr="00141E92">
        <w:rPr>
          <w:rFonts w:ascii="Book Antiqua" w:hAnsi="Book Antiqua"/>
          <w:sz w:val="24"/>
          <w:szCs w:val="24"/>
        </w:rPr>
        <w:t>DNA’se</w:t>
      </w:r>
      <w:proofErr w:type="spellEnd"/>
      <w:r w:rsidRPr="00141E92">
        <w:rPr>
          <w:rFonts w:ascii="Book Antiqua" w:hAnsi="Book Antiqua"/>
          <w:sz w:val="24"/>
          <w:szCs w:val="24"/>
        </w:rPr>
        <w:t xml:space="preserve"> treatment</w:t>
      </w:r>
      <w:r w:rsidRPr="00141E92">
        <w:rPr>
          <w:rFonts w:ascii="Book Antiqua" w:hAnsi="Book Antiqua" w:cs="Verdana"/>
          <w:sz w:val="24"/>
          <w:szCs w:val="24"/>
        </w:rPr>
        <w:t>. Purified RNA was quantified and assessed for purity by UV spectrophotometry (</w:t>
      </w:r>
      <w:proofErr w:type="spellStart"/>
      <w:r w:rsidRPr="00141E92">
        <w:rPr>
          <w:rFonts w:ascii="Book Antiqua" w:hAnsi="Book Antiqua" w:cs="Verdana"/>
          <w:sz w:val="24"/>
          <w:szCs w:val="24"/>
        </w:rPr>
        <w:t>NanoDrop</w:t>
      </w:r>
      <w:proofErr w:type="spellEnd"/>
      <w:r w:rsidRPr="00141E92">
        <w:rPr>
          <w:rFonts w:ascii="Book Antiqua" w:hAnsi="Book Antiqua" w:cs="Verdana"/>
          <w:sz w:val="24"/>
          <w:szCs w:val="24"/>
        </w:rPr>
        <w:t xml:space="preserve">). Complementary DNA (cDNA) </w:t>
      </w:r>
      <w:r w:rsidRPr="00141E92">
        <w:rPr>
          <w:rFonts w:ascii="Book Antiqua" w:hAnsi="Book Antiqua"/>
          <w:color w:val="000000" w:themeColor="text1"/>
          <w:sz w:val="24"/>
          <w:szCs w:val="24"/>
        </w:rPr>
        <w:t xml:space="preserve">was generated from 2 </w:t>
      </w:r>
      <w:proofErr w:type="spellStart"/>
      <w:r w:rsidRPr="00141E92">
        <w:rPr>
          <w:rFonts w:ascii="Book Antiqua" w:hAnsi="Book Antiqua"/>
          <w:color w:val="000000" w:themeColor="text1"/>
          <w:sz w:val="24"/>
          <w:szCs w:val="24"/>
        </w:rPr>
        <w:t>μg</w:t>
      </w:r>
      <w:proofErr w:type="spellEnd"/>
      <w:r w:rsidRPr="00141E92">
        <w:rPr>
          <w:rFonts w:ascii="Book Antiqua" w:hAnsi="Book Antiqua"/>
          <w:color w:val="000000" w:themeColor="text1"/>
          <w:sz w:val="24"/>
          <w:szCs w:val="24"/>
        </w:rPr>
        <w:t xml:space="preserve"> of RNA with High Capacity RNA-to-cDNA Kit (Applied Biosystems). </w:t>
      </w:r>
      <w:r w:rsidRPr="00141E92">
        <w:rPr>
          <w:rFonts w:ascii="Book Antiqua" w:hAnsi="Book Antiqua" w:cs="Verdana"/>
          <w:sz w:val="24"/>
          <w:szCs w:val="24"/>
        </w:rPr>
        <w:t xml:space="preserve">The amplification of specific RNA was performed in a 20 </w:t>
      </w:r>
      <w:proofErr w:type="spellStart"/>
      <w:r w:rsidRPr="00141E92">
        <w:rPr>
          <w:rFonts w:ascii="Book Antiqua" w:hAnsi="Book Antiqua" w:cs="Times"/>
          <w:sz w:val="24"/>
          <w:szCs w:val="24"/>
        </w:rPr>
        <w:t>μ</w:t>
      </w:r>
      <w:r w:rsidRPr="00141E92">
        <w:rPr>
          <w:rFonts w:ascii="Book Antiqua" w:hAnsi="Book Antiqua" w:cs="Verdana"/>
          <w:sz w:val="24"/>
          <w:szCs w:val="24"/>
        </w:rPr>
        <w:t>L</w:t>
      </w:r>
      <w:proofErr w:type="spellEnd"/>
      <w:r w:rsidRPr="00141E92">
        <w:rPr>
          <w:rFonts w:ascii="Book Antiqua" w:hAnsi="Book Antiqua" w:cs="Verdana"/>
          <w:sz w:val="24"/>
          <w:szCs w:val="24"/>
        </w:rPr>
        <w:t xml:space="preserve"> reaction mixture containing 2 </w:t>
      </w:r>
      <w:proofErr w:type="spellStart"/>
      <w:r w:rsidRPr="00141E92">
        <w:rPr>
          <w:rFonts w:ascii="Book Antiqua" w:hAnsi="Book Antiqua" w:cs="Times"/>
          <w:sz w:val="24"/>
          <w:szCs w:val="24"/>
        </w:rPr>
        <w:t>μ</w:t>
      </w:r>
      <w:r w:rsidRPr="00141E92">
        <w:rPr>
          <w:rFonts w:ascii="Book Antiqua" w:hAnsi="Book Antiqua" w:cs="Verdana"/>
          <w:sz w:val="24"/>
          <w:szCs w:val="24"/>
        </w:rPr>
        <w:t>L</w:t>
      </w:r>
      <w:proofErr w:type="spellEnd"/>
      <w:r w:rsidRPr="00141E92">
        <w:rPr>
          <w:rFonts w:ascii="Book Antiqua" w:hAnsi="Book Antiqua" w:cs="Verdana"/>
          <w:sz w:val="24"/>
          <w:szCs w:val="24"/>
        </w:rPr>
        <w:t xml:space="preserve"> of </w:t>
      </w:r>
      <w:proofErr w:type="spellStart"/>
      <w:r w:rsidRPr="00141E92">
        <w:rPr>
          <w:rFonts w:ascii="Book Antiqua" w:hAnsi="Book Antiqua" w:cs="Verdana"/>
          <w:sz w:val="24"/>
          <w:szCs w:val="24"/>
        </w:rPr>
        <w:t>cDNA</w:t>
      </w:r>
      <w:proofErr w:type="spellEnd"/>
      <w:r w:rsidRPr="00141E92">
        <w:rPr>
          <w:rFonts w:ascii="Book Antiqua" w:hAnsi="Book Antiqua" w:cs="Verdana"/>
          <w:sz w:val="24"/>
          <w:szCs w:val="24"/>
        </w:rPr>
        <w:t xml:space="preserve"> template, 1 × PCR master mix and the primers. The PCR primers used for detection of </w:t>
      </w:r>
      <w:proofErr w:type="spellStart"/>
      <w:r w:rsidRPr="00141E92">
        <w:rPr>
          <w:rFonts w:ascii="Book Antiqua" w:hAnsi="Book Antiqua" w:cs="Verdana"/>
          <w:sz w:val="24"/>
          <w:szCs w:val="24"/>
        </w:rPr>
        <w:t>HuR</w:t>
      </w:r>
      <w:proofErr w:type="spellEnd"/>
      <w:r w:rsidRPr="00141E92">
        <w:rPr>
          <w:rFonts w:ascii="Book Antiqua" w:hAnsi="Book Antiqua" w:cs="Verdana"/>
          <w:sz w:val="24"/>
          <w:szCs w:val="24"/>
        </w:rPr>
        <w:t xml:space="preserve">, IAP1 and IAP2 were from Invitrogen: </w:t>
      </w:r>
      <w:proofErr w:type="spellStart"/>
      <w:r w:rsidRPr="00573B19">
        <w:rPr>
          <w:rFonts w:ascii="Book Antiqua" w:hAnsi="Book Antiqua" w:cs="Verdana"/>
          <w:color w:val="000000" w:themeColor="text1"/>
          <w:sz w:val="24"/>
          <w:szCs w:val="24"/>
        </w:rPr>
        <w:t>HuR</w:t>
      </w:r>
      <w:proofErr w:type="spellEnd"/>
      <w:r w:rsidRPr="00573B19">
        <w:rPr>
          <w:rFonts w:ascii="Book Antiqua" w:hAnsi="Book Antiqua" w:cs="Verdana"/>
          <w:color w:val="000000" w:themeColor="text1"/>
          <w:sz w:val="24"/>
          <w:szCs w:val="24"/>
        </w:rPr>
        <w:t>: FW</w:t>
      </w:r>
      <w:r w:rsidR="00DB5A37" w:rsidRPr="00573B19">
        <w:rPr>
          <w:rFonts w:ascii="Book Antiqua" w:hAnsi="Book Antiqua" w:cs="Verdana"/>
          <w:color w:val="000000" w:themeColor="text1"/>
          <w:sz w:val="24"/>
          <w:szCs w:val="24"/>
        </w:rPr>
        <w:t xml:space="preserve"> </w:t>
      </w:r>
      <w:r w:rsidRPr="00573B19">
        <w:rPr>
          <w:rFonts w:ascii="Book Antiqua" w:hAnsi="Book Antiqua" w:cs="Verdana"/>
          <w:color w:val="000000" w:themeColor="text1"/>
          <w:sz w:val="24"/>
          <w:szCs w:val="24"/>
        </w:rPr>
        <w:t xml:space="preserve">GTGAACTACGTGACCGCGAA; REV GACTGGAGCCTCAAGCCG; IAP1 (BIRC2): FW </w:t>
      </w:r>
      <w:r w:rsidRPr="00573B19">
        <w:rPr>
          <w:rFonts w:ascii="Book Antiqua" w:hAnsi="Book Antiqua" w:cs="Helvetica"/>
          <w:color w:val="000000" w:themeColor="text1"/>
          <w:sz w:val="24"/>
          <w:szCs w:val="24"/>
          <w:shd w:val="clear" w:color="auto" w:fill="FFFFFF"/>
        </w:rPr>
        <w:t>CGGCTAACGCTGGTCCTCG;</w:t>
      </w:r>
      <w:r w:rsidRPr="00573B19">
        <w:rPr>
          <w:rFonts w:ascii="Book Antiqua" w:hAnsi="Book Antiqua" w:cs="Verdana"/>
          <w:color w:val="000000" w:themeColor="text1"/>
          <w:sz w:val="24"/>
          <w:szCs w:val="24"/>
        </w:rPr>
        <w:t xml:space="preserve"> REV </w:t>
      </w:r>
      <w:r w:rsidRPr="00573B19">
        <w:rPr>
          <w:rFonts w:ascii="Book Antiqua" w:hAnsi="Book Antiqua" w:cs="Helvetica"/>
          <w:color w:val="000000" w:themeColor="text1"/>
          <w:sz w:val="24"/>
          <w:szCs w:val="24"/>
          <w:shd w:val="clear" w:color="auto" w:fill="FFFFFF"/>
        </w:rPr>
        <w:t>AAATATCGCCGCCACCGAAA</w:t>
      </w:r>
      <w:r w:rsidRPr="00573B19">
        <w:rPr>
          <w:rFonts w:ascii="Book Antiqua" w:hAnsi="Book Antiqua" w:cs="Verdana"/>
          <w:color w:val="000000" w:themeColor="text1"/>
          <w:sz w:val="24"/>
          <w:szCs w:val="24"/>
        </w:rPr>
        <w:t xml:space="preserve">; IAP2 (BIRC3): FW </w:t>
      </w:r>
      <w:r w:rsidRPr="00573B19">
        <w:rPr>
          <w:rFonts w:ascii="Book Antiqua" w:hAnsi="Book Antiqua" w:cs="Helvetica"/>
          <w:color w:val="000000" w:themeColor="text1"/>
          <w:sz w:val="24"/>
          <w:szCs w:val="24"/>
          <w:shd w:val="clear" w:color="auto" w:fill="FFFFFF"/>
        </w:rPr>
        <w:t>TAAAAGGAAAGCACCAGTGCACAT</w:t>
      </w:r>
      <w:r w:rsidRPr="00573B19">
        <w:rPr>
          <w:rFonts w:ascii="Book Antiqua" w:hAnsi="Book Antiqua" w:cs="Verdana"/>
          <w:color w:val="000000" w:themeColor="text1"/>
          <w:sz w:val="24"/>
          <w:szCs w:val="24"/>
        </w:rPr>
        <w:t xml:space="preserve">; REV </w:t>
      </w:r>
      <w:r w:rsidRPr="00573B19">
        <w:rPr>
          <w:rFonts w:ascii="Book Antiqua" w:hAnsi="Book Antiqua" w:cs="Helvetica"/>
          <w:color w:val="000000" w:themeColor="text1"/>
          <w:sz w:val="24"/>
          <w:szCs w:val="24"/>
          <w:shd w:val="clear" w:color="auto" w:fill="FFFFFF"/>
        </w:rPr>
        <w:t>ATAACTCTTGGCAACCGAATCAAA.</w:t>
      </w:r>
    </w:p>
    <w:p w14:paraId="37B853E4" w14:textId="791D87E1" w:rsidR="00E15B60" w:rsidRPr="00141E92" w:rsidRDefault="00573B19" w:rsidP="008530E2">
      <w:pPr>
        <w:snapToGrid w:val="0"/>
        <w:spacing w:line="360" w:lineRule="auto"/>
        <w:jc w:val="both"/>
        <w:rPr>
          <w:rFonts w:ascii="Book Antiqua" w:hAnsi="Book Antiqua" w:cs="Verdana"/>
          <w:color w:val="FF0000"/>
          <w:sz w:val="24"/>
          <w:szCs w:val="24"/>
        </w:rPr>
      </w:pPr>
      <w:r>
        <w:rPr>
          <w:rFonts w:ascii="Book Antiqua" w:hAnsi="Book Antiqua" w:cs="Verdana"/>
          <w:color w:val="000000" w:themeColor="text1"/>
          <w:sz w:val="24"/>
          <w:szCs w:val="24"/>
        </w:rPr>
        <w:t xml:space="preserve">  Quantitative reverse transcription</w:t>
      </w:r>
      <w:r w:rsidR="00E15B60" w:rsidRPr="00141E92">
        <w:rPr>
          <w:rFonts w:ascii="Book Antiqua" w:hAnsi="Book Antiqua" w:cs="Verdana"/>
          <w:color w:val="000000" w:themeColor="text1"/>
          <w:sz w:val="24"/>
          <w:szCs w:val="24"/>
        </w:rPr>
        <w:t>-PCR (</w:t>
      </w:r>
      <w:proofErr w:type="spellStart"/>
      <w:r w:rsidR="00E15B60" w:rsidRPr="00141E92">
        <w:rPr>
          <w:rFonts w:ascii="Book Antiqua" w:hAnsi="Book Antiqua" w:cs="Verdana"/>
          <w:color w:val="000000" w:themeColor="text1"/>
          <w:sz w:val="24"/>
          <w:szCs w:val="24"/>
        </w:rPr>
        <w:t>qRT</w:t>
      </w:r>
      <w:proofErr w:type="spellEnd"/>
      <w:r w:rsidR="00E15B60" w:rsidRPr="00141E92">
        <w:rPr>
          <w:rFonts w:ascii="Book Antiqua" w:hAnsi="Book Antiqua" w:cs="Verdana"/>
          <w:color w:val="000000" w:themeColor="text1"/>
          <w:sz w:val="24"/>
          <w:szCs w:val="24"/>
        </w:rPr>
        <w:t xml:space="preserve">-PCR) analysis was performed using </w:t>
      </w:r>
      <w:r w:rsidR="00E15B60" w:rsidRPr="00141E92">
        <w:rPr>
          <w:rFonts w:ascii="Book Antiqua" w:hAnsi="Book Antiqua"/>
          <w:sz w:val="24"/>
          <w:szCs w:val="24"/>
        </w:rPr>
        <w:t xml:space="preserve">ABI 7500 fast Real-Time PCR system (Applied Biosystem). </w:t>
      </w:r>
      <w:r w:rsidR="00E15B60" w:rsidRPr="00141E92">
        <w:rPr>
          <w:rFonts w:ascii="Book Antiqua" w:hAnsi="Book Antiqua" w:cs="Calibri Light"/>
          <w:sz w:val="24"/>
          <w:szCs w:val="24"/>
        </w:rPr>
        <w:t>For normalization, GAPDH housekeeping gene was used.</w:t>
      </w:r>
      <w:r w:rsidR="00E15B60" w:rsidRPr="00141E92">
        <w:rPr>
          <w:rFonts w:ascii="Book Antiqua" w:hAnsi="Book Antiqua" w:cs="Times"/>
          <w:sz w:val="24"/>
          <w:szCs w:val="24"/>
        </w:rPr>
        <w:t xml:space="preserve"> </w:t>
      </w:r>
      <w:r w:rsidR="00E15B60" w:rsidRPr="00141E92">
        <w:rPr>
          <w:rFonts w:ascii="Book Antiqua" w:hAnsi="Book Antiqua" w:cs="Verdana"/>
          <w:color w:val="000000" w:themeColor="text1"/>
          <w:sz w:val="24"/>
          <w:szCs w:val="24"/>
        </w:rPr>
        <w:t>Relative quantification was performed using the 2</w:t>
      </w:r>
      <w:r w:rsidR="00E15B60" w:rsidRPr="00141E92">
        <w:rPr>
          <w:rFonts w:ascii="Book Antiqua" w:hAnsi="Book Antiqua"/>
          <w:color w:val="000000" w:themeColor="text1"/>
          <w:sz w:val="24"/>
          <w:szCs w:val="24"/>
          <w:vertAlign w:val="superscript"/>
        </w:rPr>
        <w:t>- ∆∆Ct</w:t>
      </w:r>
      <w:r w:rsidR="00E15B60" w:rsidRPr="00141E92">
        <w:rPr>
          <w:rFonts w:ascii="Book Antiqua" w:hAnsi="Book Antiqua" w:cs="Verdana"/>
          <w:color w:val="000000" w:themeColor="text1"/>
          <w:sz w:val="24"/>
          <w:szCs w:val="24"/>
          <w:vertAlign w:val="superscript"/>
        </w:rPr>
        <w:t xml:space="preserve"> </w:t>
      </w:r>
      <w:r w:rsidR="00E15B60" w:rsidRPr="00141E92">
        <w:rPr>
          <w:rFonts w:ascii="Book Antiqua" w:hAnsi="Book Antiqua" w:cs="Verdana"/>
          <w:color w:val="000000" w:themeColor="text1"/>
          <w:sz w:val="24"/>
          <w:szCs w:val="24"/>
        </w:rPr>
        <w:t>method</w:t>
      </w:r>
      <w:r w:rsidR="00054A99" w:rsidRPr="00141E92">
        <w:rPr>
          <w:rFonts w:ascii="Book Antiqua" w:hAnsi="Book Antiqua" w:cs="Verdana"/>
          <w:color w:val="000000" w:themeColor="text1"/>
          <w:sz w:val="24"/>
          <w:szCs w:val="24"/>
        </w:rPr>
        <w:t>.</w:t>
      </w:r>
    </w:p>
    <w:p w14:paraId="35771796" w14:textId="77777777" w:rsidR="00E15B60" w:rsidRPr="00141E92" w:rsidRDefault="00E15B60" w:rsidP="008530E2">
      <w:pPr>
        <w:snapToGrid w:val="0"/>
        <w:spacing w:line="360" w:lineRule="auto"/>
        <w:jc w:val="both"/>
        <w:rPr>
          <w:rFonts w:ascii="Book Antiqua" w:hAnsi="Book Antiqua"/>
          <w:sz w:val="24"/>
          <w:szCs w:val="24"/>
        </w:rPr>
      </w:pPr>
    </w:p>
    <w:p w14:paraId="34D0B374" w14:textId="77777777" w:rsidR="00E15B60" w:rsidRPr="00141E92" w:rsidRDefault="00E15B60" w:rsidP="003F50D4">
      <w:pPr>
        <w:widowControl w:val="0"/>
        <w:snapToGrid w:val="0"/>
        <w:spacing w:line="360" w:lineRule="auto"/>
        <w:jc w:val="both"/>
        <w:outlineLvl w:val="0"/>
        <w:rPr>
          <w:rFonts w:ascii="Book Antiqua" w:hAnsi="Book Antiqua" w:cs="Times"/>
          <w:b/>
          <w:i/>
          <w:sz w:val="24"/>
          <w:szCs w:val="24"/>
        </w:rPr>
      </w:pPr>
      <w:r w:rsidRPr="00141E92">
        <w:rPr>
          <w:rFonts w:ascii="Book Antiqua" w:hAnsi="Book Antiqua" w:cs="Times"/>
          <w:b/>
          <w:i/>
          <w:color w:val="101010"/>
          <w:sz w:val="24"/>
          <w:szCs w:val="24"/>
        </w:rPr>
        <w:t xml:space="preserve">Cell lines and growing conditions </w:t>
      </w:r>
    </w:p>
    <w:p w14:paraId="45813A70" w14:textId="40FC1BFF" w:rsidR="00E15B60" w:rsidRPr="00141E92" w:rsidRDefault="00E15B60" w:rsidP="008530E2">
      <w:pPr>
        <w:widowControl w:val="0"/>
        <w:snapToGrid w:val="0"/>
        <w:spacing w:line="360" w:lineRule="auto"/>
        <w:jc w:val="both"/>
        <w:rPr>
          <w:rFonts w:ascii="Book Antiqua" w:hAnsi="Book Antiqua" w:cs="Times"/>
          <w:color w:val="101010"/>
          <w:sz w:val="24"/>
          <w:szCs w:val="24"/>
        </w:rPr>
      </w:pPr>
      <w:r w:rsidRPr="00141E92">
        <w:rPr>
          <w:rFonts w:ascii="Book Antiqua" w:hAnsi="Book Antiqua" w:cs="Times"/>
          <w:color w:val="101010"/>
          <w:sz w:val="24"/>
          <w:szCs w:val="24"/>
        </w:rPr>
        <w:t xml:space="preserve">Human pancreatic cancer cell line PANC-1 </w:t>
      </w:r>
      <w:r w:rsidR="00E03CFE" w:rsidRPr="00141E92">
        <w:rPr>
          <w:rFonts w:ascii="Book Antiqua" w:hAnsi="Book Antiqua" w:cs="Times"/>
          <w:color w:val="101010"/>
          <w:sz w:val="24"/>
          <w:szCs w:val="24"/>
        </w:rPr>
        <w:t xml:space="preserve">was </w:t>
      </w:r>
      <w:r w:rsidRPr="00141E92">
        <w:rPr>
          <w:rFonts w:ascii="Book Antiqua" w:hAnsi="Book Antiqua"/>
          <w:sz w:val="24"/>
          <w:szCs w:val="24"/>
        </w:rPr>
        <w:t xml:space="preserve">obtained from ATCC and used for the analysis. </w:t>
      </w:r>
      <w:r w:rsidRPr="00141E92">
        <w:rPr>
          <w:rFonts w:ascii="Book Antiqua" w:hAnsi="Book Antiqua" w:cs="Times"/>
          <w:color w:val="101010"/>
          <w:sz w:val="24"/>
          <w:szCs w:val="24"/>
        </w:rPr>
        <w:t xml:space="preserve">Cells were grown in monolayers in sterile </w:t>
      </w:r>
      <w:r w:rsidRPr="00141E92">
        <w:rPr>
          <w:rFonts w:ascii="Book Antiqua" w:hAnsi="Book Antiqua" w:cs="Times"/>
          <w:color w:val="000000" w:themeColor="text1"/>
          <w:sz w:val="24"/>
          <w:szCs w:val="24"/>
        </w:rPr>
        <w:t>25-cm</w:t>
      </w:r>
      <w:r w:rsidRPr="00573B19">
        <w:rPr>
          <w:rFonts w:ascii="Book Antiqua" w:hAnsi="Book Antiqua" w:cs="Times"/>
          <w:color w:val="000000" w:themeColor="text1"/>
          <w:position w:val="10"/>
          <w:sz w:val="24"/>
          <w:szCs w:val="24"/>
          <w:vertAlign w:val="superscript"/>
        </w:rPr>
        <w:t>2</w:t>
      </w:r>
      <w:r w:rsidR="00573B19">
        <w:rPr>
          <w:rFonts w:ascii="Book Antiqua" w:hAnsi="Book Antiqua" w:cs="Times"/>
          <w:color w:val="000000" w:themeColor="text1"/>
          <w:position w:val="10"/>
          <w:sz w:val="24"/>
          <w:szCs w:val="24"/>
          <w:vertAlign w:val="superscript"/>
        </w:rPr>
        <w:t xml:space="preserve"> </w:t>
      </w:r>
      <w:r w:rsidR="00573B19">
        <w:rPr>
          <w:rFonts w:ascii="Book Antiqua" w:hAnsi="Book Antiqua" w:cs="Times"/>
          <w:color w:val="000000" w:themeColor="text1"/>
          <w:sz w:val="24"/>
          <w:szCs w:val="24"/>
        </w:rPr>
        <w:t xml:space="preserve">capacity flask with 5-Ml </w:t>
      </w:r>
      <w:r w:rsidRPr="00141E92">
        <w:rPr>
          <w:rFonts w:ascii="Book Antiqua" w:hAnsi="Book Antiqua" w:cs="Times"/>
          <w:color w:val="101010"/>
          <w:sz w:val="24"/>
          <w:szCs w:val="24"/>
        </w:rPr>
        <w:t>RPMI-1640 medium (Gibco/Invitrogen) suppl</w:t>
      </w:r>
      <w:r w:rsidR="00573B19">
        <w:rPr>
          <w:rFonts w:ascii="Book Antiqua" w:hAnsi="Book Antiqua" w:cs="Times"/>
          <w:color w:val="101010"/>
          <w:sz w:val="24"/>
          <w:szCs w:val="24"/>
        </w:rPr>
        <w:t>emented with 10</w:t>
      </w:r>
      <w:r w:rsidRPr="00141E92">
        <w:rPr>
          <w:rFonts w:ascii="Book Antiqua" w:hAnsi="Book Antiqua" w:cs="Times"/>
          <w:color w:val="101010"/>
          <w:sz w:val="24"/>
          <w:szCs w:val="24"/>
        </w:rPr>
        <w:t>% FBS (</w:t>
      </w:r>
      <w:r w:rsidR="00573B19">
        <w:rPr>
          <w:rFonts w:ascii="Book Antiqua" w:hAnsi="Book Antiqua" w:cs="Times"/>
          <w:color w:val="101010"/>
          <w:sz w:val="24"/>
          <w:szCs w:val="24"/>
        </w:rPr>
        <w:t>Gibco/Invitrogen) and 1</w:t>
      </w:r>
      <w:r w:rsidR="00C8739C" w:rsidRPr="00141E92">
        <w:rPr>
          <w:rFonts w:ascii="Book Antiqua" w:hAnsi="Book Antiqua" w:cs="Times"/>
          <w:color w:val="101010"/>
          <w:sz w:val="24"/>
          <w:szCs w:val="24"/>
        </w:rPr>
        <w:t>% peni</w:t>
      </w:r>
      <w:r w:rsidRPr="00141E92">
        <w:rPr>
          <w:rFonts w:ascii="Book Antiqua" w:hAnsi="Book Antiqua" w:cs="Times"/>
          <w:color w:val="101010"/>
          <w:sz w:val="24"/>
          <w:szCs w:val="24"/>
        </w:rPr>
        <w:t>cillin / streptomycin solution (Gibco/Invitrogen). Standard cells</w:t>
      </w:r>
      <w:r w:rsidR="00573B19">
        <w:rPr>
          <w:rFonts w:ascii="Book Antiqua" w:hAnsi="Book Antiqua" w:cs="Times"/>
          <w:color w:val="101010"/>
          <w:sz w:val="24"/>
          <w:szCs w:val="24"/>
        </w:rPr>
        <w:t xml:space="preserve"> growing conditions were used -37 °C temperature, 5</w:t>
      </w:r>
      <w:r w:rsidRPr="00141E92">
        <w:rPr>
          <w:rFonts w:ascii="Book Antiqua" w:hAnsi="Book Antiqua" w:cs="Times"/>
          <w:color w:val="101010"/>
          <w:sz w:val="24"/>
          <w:szCs w:val="24"/>
        </w:rPr>
        <w:t>% CO</w:t>
      </w:r>
      <w:r w:rsidRPr="00141E92">
        <w:rPr>
          <w:rFonts w:ascii="Book Antiqua" w:hAnsi="Book Antiqua" w:cs="Times"/>
          <w:color w:val="101010"/>
          <w:sz w:val="24"/>
          <w:szCs w:val="24"/>
          <w:vertAlign w:val="subscript"/>
        </w:rPr>
        <w:t>2</w:t>
      </w:r>
      <w:r w:rsidR="00573B19">
        <w:rPr>
          <w:rFonts w:ascii="Book Antiqua" w:hAnsi="Book Antiqua" w:cs="Times"/>
          <w:color w:val="101010"/>
          <w:sz w:val="24"/>
          <w:szCs w:val="24"/>
        </w:rPr>
        <w:t xml:space="preserve"> - 95</w:t>
      </w:r>
      <w:r w:rsidRPr="00141E92">
        <w:rPr>
          <w:rFonts w:ascii="Book Antiqua" w:hAnsi="Book Antiqua" w:cs="Times"/>
          <w:color w:val="101010"/>
          <w:sz w:val="24"/>
          <w:szCs w:val="24"/>
        </w:rPr>
        <w:t xml:space="preserve">% air </w:t>
      </w:r>
      <w:r w:rsidRPr="00141E92">
        <w:rPr>
          <w:rFonts w:ascii="Book Antiqua" w:hAnsi="Book Antiqua" w:cs="Times"/>
          <w:color w:val="101010"/>
          <w:sz w:val="24"/>
          <w:szCs w:val="24"/>
        </w:rPr>
        <w:lastRenderedPageBreak/>
        <w:t xml:space="preserve">atmosphere, humidity. </w:t>
      </w:r>
      <w:r w:rsidRPr="00141E92">
        <w:rPr>
          <w:rFonts w:ascii="Book Antiqua" w:hAnsi="Book Antiqua"/>
          <w:sz w:val="24"/>
          <w:szCs w:val="24"/>
        </w:rPr>
        <w:t xml:space="preserve">PANC-1 was cultured from a 56-year-old </w:t>
      </w:r>
      <w:r w:rsidR="00E03CFE" w:rsidRPr="00141E92">
        <w:rPr>
          <w:rFonts w:ascii="Book Antiqua" w:hAnsi="Book Antiqua"/>
          <w:sz w:val="24"/>
          <w:szCs w:val="24"/>
        </w:rPr>
        <w:t xml:space="preserve">Caucasian </w:t>
      </w:r>
      <w:r w:rsidRPr="00141E92">
        <w:rPr>
          <w:rFonts w:ascii="Book Antiqua" w:hAnsi="Book Antiqua"/>
          <w:sz w:val="24"/>
          <w:szCs w:val="24"/>
        </w:rPr>
        <w:t xml:space="preserve">male with an adenocarcinoma in the head of the </w:t>
      </w:r>
      <w:r w:rsidR="00DA7ACC" w:rsidRPr="00141E92">
        <w:rPr>
          <w:rFonts w:ascii="Book Antiqua" w:hAnsi="Book Antiqua"/>
          <w:sz w:val="24"/>
          <w:szCs w:val="24"/>
        </w:rPr>
        <w:t>pancreas, which</w:t>
      </w:r>
      <w:r w:rsidRPr="00141E92">
        <w:rPr>
          <w:rFonts w:ascii="Book Antiqua" w:hAnsi="Book Antiqua"/>
          <w:sz w:val="24"/>
          <w:szCs w:val="24"/>
        </w:rPr>
        <w:t xml:space="preserve"> invaded the duodenal wall. Metastases in one peripancreatic lymph node were discovered during a pancreaticoduodenectomy.</w:t>
      </w:r>
    </w:p>
    <w:p w14:paraId="18DF1382" w14:textId="77777777" w:rsidR="00573B19" w:rsidRDefault="00573B19" w:rsidP="003F50D4">
      <w:pPr>
        <w:snapToGrid w:val="0"/>
        <w:spacing w:line="360" w:lineRule="auto"/>
        <w:jc w:val="both"/>
        <w:outlineLvl w:val="0"/>
        <w:rPr>
          <w:rFonts w:ascii="Book Antiqua" w:hAnsi="Book Antiqua"/>
          <w:b/>
          <w:i/>
          <w:sz w:val="24"/>
          <w:szCs w:val="24"/>
        </w:rPr>
      </w:pPr>
    </w:p>
    <w:p w14:paraId="09ABB79A" w14:textId="77777777" w:rsidR="00E15B60" w:rsidRPr="00141E92" w:rsidRDefault="00E15B60"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RNA immunoprecipitation</w:t>
      </w:r>
    </w:p>
    <w:p w14:paraId="42DFB876" w14:textId="5C2E3A04" w:rsidR="00DA7ACC" w:rsidRPr="00141E92" w:rsidRDefault="00E15B60" w:rsidP="008530E2">
      <w:pPr>
        <w:widowControl w:val="0"/>
        <w:snapToGrid w:val="0"/>
        <w:spacing w:line="360" w:lineRule="auto"/>
        <w:jc w:val="both"/>
        <w:rPr>
          <w:rFonts w:ascii="Book Antiqua" w:hAnsi="Book Antiqua" w:cs="Times"/>
          <w:color w:val="101010"/>
          <w:sz w:val="24"/>
          <w:szCs w:val="24"/>
        </w:rPr>
      </w:pPr>
      <w:r w:rsidRPr="00141E92">
        <w:rPr>
          <w:rFonts w:ascii="Book Antiqua" w:hAnsi="Book Antiqua" w:cs="Times"/>
          <w:color w:val="101010"/>
          <w:sz w:val="24"/>
          <w:szCs w:val="24"/>
        </w:rPr>
        <w:t xml:space="preserve">RNA immunoprecipitation experiments were performed with PANC-1 cells (10 </w:t>
      </w:r>
      <w:r w:rsidR="00573B19">
        <w:rPr>
          <w:rFonts w:ascii="Book Antiqua" w:hAnsi="Book Antiqua" w:cs="Times"/>
          <w:color w:val="101010"/>
          <w:sz w:val="24"/>
          <w:szCs w:val="24"/>
        </w:rPr>
        <w:t>×</w:t>
      </w:r>
      <w:r w:rsidRPr="00141E92">
        <w:rPr>
          <w:rFonts w:ascii="Book Antiqua" w:hAnsi="Book Antiqua" w:cs="Times"/>
          <w:color w:val="101010"/>
          <w:sz w:val="24"/>
          <w:szCs w:val="24"/>
        </w:rPr>
        <w:t xml:space="preserve"> 10</w:t>
      </w:r>
      <w:r w:rsidRPr="00141E92">
        <w:rPr>
          <w:rFonts w:ascii="Book Antiqua" w:hAnsi="Book Antiqua" w:cs="Times"/>
          <w:color w:val="101010"/>
          <w:sz w:val="24"/>
          <w:szCs w:val="24"/>
          <w:vertAlign w:val="superscript"/>
        </w:rPr>
        <w:t xml:space="preserve">6 </w:t>
      </w:r>
      <w:r w:rsidRPr="00141E92">
        <w:rPr>
          <w:rFonts w:ascii="Book Antiqua" w:hAnsi="Book Antiqua" w:cs="Times"/>
          <w:color w:val="101010"/>
          <w:sz w:val="24"/>
          <w:szCs w:val="24"/>
        </w:rPr>
        <w:t>cells/ flask) using anti-</w:t>
      </w:r>
      <w:proofErr w:type="spellStart"/>
      <w:r w:rsidRPr="00141E92">
        <w:rPr>
          <w:rFonts w:ascii="Book Antiqua" w:hAnsi="Book Antiqua" w:cs="Times"/>
          <w:color w:val="101010"/>
          <w:sz w:val="24"/>
          <w:szCs w:val="24"/>
        </w:rPr>
        <w:t>HuR</w:t>
      </w:r>
      <w:proofErr w:type="spellEnd"/>
      <w:r w:rsidRPr="00141E92">
        <w:rPr>
          <w:rFonts w:ascii="Book Antiqua" w:hAnsi="Book Antiqua" w:cs="Times"/>
          <w:color w:val="101010"/>
          <w:sz w:val="24"/>
          <w:szCs w:val="24"/>
        </w:rPr>
        <w:t xml:space="preserve"> antibodies according to the protocol provided with the kit (Merck, Millipore; catalog 17-701). Purified RNA was quantified and assessed for purity by UV spectrophotometry (</w:t>
      </w:r>
      <w:proofErr w:type="spellStart"/>
      <w:r w:rsidRPr="00141E92">
        <w:rPr>
          <w:rFonts w:ascii="Book Antiqua" w:hAnsi="Book Antiqua" w:cs="Times"/>
          <w:color w:val="101010"/>
          <w:sz w:val="24"/>
          <w:szCs w:val="24"/>
        </w:rPr>
        <w:t>NanoDrop</w:t>
      </w:r>
      <w:proofErr w:type="spellEnd"/>
      <w:r w:rsidRPr="00141E92">
        <w:rPr>
          <w:rFonts w:ascii="Book Antiqua" w:hAnsi="Book Antiqua" w:cs="Times"/>
          <w:color w:val="101010"/>
          <w:sz w:val="24"/>
          <w:szCs w:val="24"/>
        </w:rPr>
        <w:t>). cDNA was generated with a High Capacity RNA-to-cDNA Kit (Applied Biosystems). Real-time polymerase chain reaction (</w:t>
      </w:r>
      <w:proofErr w:type="spellStart"/>
      <w:r w:rsidRPr="00141E92">
        <w:rPr>
          <w:rFonts w:ascii="Book Antiqua" w:hAnsi="Book Antiqua" w:cs="Times"/>
          <w:color w:val="101010"/>
          <w:sz w:val="24"/>
          <w:szCs w:val="24"/>
        </w:rPr>
        <w:t>qRT</w:t>
      </w:r>
      <w:proofErr w:type="spellEnd"/>
      <w:r w:rsidRPr="00141E92">
        <w:rPr>
          <w:rFonts w:ascii="Book Antiqua" w:hAnsi="Book Antiqua" w:cs="Times"/>
          <w:color w:val="101010"/>
          <w:sz w:val="24"/>
          <w:szCs w:val="24"/>
        </w:rPr>
        <w:t xml:space="preserve">-PCR) was performed as described above with </w:t>
      </w:r>
      <w:r w:rsidRPr="00141E92">
        <w:rPr>
          <w:rFonts w:ascii="Book Antiqua" w:hAnsi="Book Antiqua" w:cs="Verdana"/>
          <w:sz w:val="24"/>
          <w:szCs w:val="24"/>
        </w:rPr>
        <w:t xml:space="preserve">9 </w:t>
      </w:r>
      <w:proofErr w:type="spellStart"/>
      <w:r w:rsidRPr="00141E92">
        <w:rPr>
          <w:rFonts w:ascii="Book Antiqua" w:hAnsi="Book Antiqua" w:cs="Times"/>
          <w:sz w:val="24"/>
          <w:szCs w:val="24"/>
        </w:rPr>
        <w:t>μ</w:t>
      </w:r>
      <w:r w:rsidRPr="00141E92">
        <w:rPr>
          <w:rFonts w:ascii="Book Antiqua" w:hAnsi="Book Antiqua" w:cs="Verdana"/>
          <w:sz w:val="24"/>
          <w:szCs w:val="24"/>
        </w:rPr>
        <w:t>L</w:t>
      </w:r>
      <w:proofErr w:type="spellEnd"/>
      <w:r w:rsidRPr="00141E92">
        <w:rPr>
          <w:rFonts w:ascii="Book Antiqua" w:hAnsi="Book Antiqua" w:cs="Verdana"/>
          <w:sz w:val="24"/>
          <w:szCs w:val="24"/>
        </w:rPr>
        <w:t xml:space="preserve"> of </w:t>
      </w:r>
      <w:proofErr w:type="spellStart"/>
      <w:r w:rsidRPr="00141E92">
        <w:rPr>
          <w:rFonts w:ascii="Book Antiqua" w:hAnsi="Book Antiqua" w:cs="Verdana"/>
          <w:sz w:val="24"/>
          <w:szCs w:val="24"/>
        </w:rPr>
        <w:t>cDNA</w:t>
      </w:r>
      <w:proofErr w:type="spellEnd"/>
      <w:r w:rsidRPr="00141E92">
        <w:rPr>
          <w:rFonts w:ascii="Book Antiqua" w:hAnsi="Book Antiqua" w:cs="Verdana"/>
          <w:sz w:val="24"/>
          <w:szCs w:val="24"/>
        </w:rPr>
        <w:t xml:space="preserve"> template per reaction to determine relative expression of</w:t>
      </w:r>
      <w:r w:rsidRPr="00141E92">
        <w:rPr>
          <w:rFonts w:ascii="Book Antiqua" w:hAnsi="Book Antiqua" w:cs="Times"/>
          <w:color w:val="101010"/>
          <w:sz w:val="24"/>
          <w:szCs w:val="24"/>
        </w:rPr>
        <w:t xml:space="preserve"> IAP1, IAP2. </w:t>
      </w:r>
    </w:p>
    <w:p w14:paraId="74749925" w14:textId="77777777" w:rsidR="00573B19" w:rsidRDefault="00573B19" w:rsidP="003F50D4">
      <w:pPr>
        <w:widowControl w:val="0"/>
        <w:snapToGrid w:val="0"/>
        <w:spacing w:line="360" w:lineRule="auto"/>
        <w:jc w:val="both"/>
        <w:outlineLvl w:val="0"/>
        <w:rPr>
          <w:rFonts w:ascii="Book Antiqua" w:hAnsi="Book Antiqua" w:cs="Times"/>
          <w:b/>
          <w:i/>
          <w:color w:val="101010"/>
          <w:sz w:val="24"/>
          <w:szCs w:val="24"/>
        </w:rPr>
      </w:pPr>
    </w:p>
    <w:p w14:paraId="7D07F125" w14:textId="5ED23FA0" w:rsidR="00E15B60" w:rsidRPr="00141E92" w:rsidRDefault="00E15B60" w:rsidP="003F50D4">
      <w:pPr>
        <w:widowControl w:val="0"/>
        <w:snapToGrid w:val="0"/>
        <w:spacing w:line="360" w:lineRule="auto"/>
        <w:jc w:val="both"/>
        <w:outlineLvl w:val="0"/>
        <w:rPr>
          <w:rFonts w:ascii="Book Antiqua" w:hAnsi="Book Antiqua" w:cs="Times"/>
          <w:b/>
          <w:i/>
          <w:sz w:val="24"/>
          <w:szCs w:val="24"/>
        </w:rPr>
      </w:pPr>
      <w:r w:rsidRPr="00141E92">
        <w:rPr>
          <w:rFonts w:ascii="Book Antiqua" w:hAnsi="Book Antiqua" w:cs="Times"/>
          <w:b/>
          <w:i/>
          <w:color w:val="101010"/>
          <w:sz w:val="24"/>
          <w:szCs w:val="24"/>
        </w:rPr>
        <w:t xml:space="preserve">Transfection </w:t>
      </w:r>
    </w:p>
    <w:p w14:paraId="662EC2C7" w14:textId="1E67D160" w:rsidR="00E15B60" w:rsidRPr="00573B19" w:rsidRDefault="00E15B60" w:rsidP="00573B19">
      <w:pPr>
        <w:snapToGrid w:val="0"/>
        <w:spacing w:line="360" w:lineRule="auto"/>
        <w:jc w:val="both"/>
        <w:rPr>
          <w:rFonts w:ascii="Book Antiqua" w:hAnsi="Book Antiqua"/>
          <w:sz w:val="24"/>
          <w:szCs w:val="24"/>
        </w:rPr>
      </w:pP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siRNA</w:t>
      </w:r>
      <w:proofErr w:type="spellEnd"/>
      <w:r w:rsidRPr="00141E92">
        <w:rPr>
          <w:rFonts w:ascii="Book Antiqua" w:hAnsi="Book Antiqua"/>
          <w:sz w:val="24"/>
          <w:szCs w:val="24"/>
        </w:rPr>
        <w:t xml:space="preserve"> were purchased from</w:t>
      </w:r>
      <w:r w:rsidRPr="00141E92">
        <w:rPr>
          <w:rFonts w:ascii="Book Antiqua" w:hAnsi="Book Antiqua"/>
          <w:color w:val="FF0000"/>
          <w:sz w:val="24"/>
          <w:szCs w:val="24"/>
        </w:rPr>
        <w:t xml:space="preserve"> </w:t>
      </w:r>
      <w:proofErr w:type="spellStart"/>
      <w:r w:rsidRPr="00141E92">
        <w:rPr>
          <w:rFonts w:ascii="Book Antiqua" w:hAnsi="Book Antiqua"/>
          <w:sz w:val="24"/>
          <w:szCs w:val="24"/>
        </w:rPr>
        <w:t>Ambion</w:t>
      </w:r>
      <w:proofErr w:type="spellEnd"/>
      <w:r w:rsidRPr="00141E92">
        <w:rPr>
          <w:rFonts w:ascii="Book Antiqua" w:hAnsi="Book Antiqua"/>
          <w:sz w:val="24"/>
          <w:szCs w:val="24"/>
        </w:rPr>
        <w:t xml:space="preserve"> (</w:t>
      </w:r>
      <w:r w:rsidR="00573B19">
        <w:rPr>
          <w:rFonts w:ascii="Book Antiqua" w:hAnsi="Book Antiqua"/>
          <w:sz w:val="24"/>
          <w:szCs w:val="24"/>
        </w:rPr>
        <w:t>United States</w:t>
      </w:r>
      <w:r w:rsidRPr="00141E92">
        <w:rPr>
          <w:rFonts w:ascii="Book Antiqua" w:hAnsi="Book Antiqua"/>
          <w:sz w:val="24"/>
          <w:szCs w:val="24"/>
        </w:rPr>
        <w:t xml:space="preserve">). </w:t>
      </w:r>
      <w:proofErr w:type="spellStart"/>
      <w:r w:rsidRPr="00141E92">
        <w:rPr>
          <w:rFonts w:ascii="Book Antiqua" w:hAnsi="Book Antiqua"/>
          <w:sz w:val="24"/>
          <w:szCs w:val="24"/>
        </w:rPr>
        <w:t>siHuR</w:t>
      </w:r>
      <w:proofErr w:type="spellEnd"/>
      <w:r w:rsidRPr="00141E92">
        <w:rPr>
          <w:rFonts w:ascii="Book Antiqua" w:hAnsi="Book Antiqua"/>
          <w:sz w:val="24"/>
          <w:szCs w:val="24"/>
        </w:rPr>
        <w:t xml:space="preserve"> sequences:</w:t>
      </w:r>
      <w:r w:rsidR="00573B19">
        <w:rPr>
          <w:rFonts w:ascii="Book Antiqua" w:hAnsi="Book Antiqua"/>
          <w:sz w:val="24"/>
          <w:szCs w:val="24"/>
        </w:rPr>
        <w:t xml:space="preserve"> </w:t>
      </w:r>
      <w:r w:rsidRPr="00573B19">
        <w:rPr>
          <w:rFonts w:ascii="Book Antiqua" w:hAnsi="Book Antiqua"/>
          <w:sz w:val="24"/>
          <w:szCs w:val="24"/>
        </w:rPr>
        <w:t>Sense:</w:t>
      </w:r>
      <w:r w:rsidR="00DB5A37" w:rsidRPr="00573B19">
        <w:rPr>
          <w:rFonts w:ascii="Book Antiqua" w:hAnsi="Book Antiqua"/>
          <w:sz w:val="24"/>
          <w:szCs w:val="24"/>
        </w:rPr>
        <w:t xml:space="preserve"> </w:t>
      </w:r>
      <w:proofErr w:type="spellStart"/>
      <w:r w:rsidRPr="00573B19">
        <w:rPr>
          <w:rFonts w:ascii="Book Antiqua" w:hAnsi="Book Antiqua"/>
          <w:sz w:val="24"/>
          <w:szCs w:val="24"/>
        </w:rPr>
        <w:t>UUAUCCGGUUUGACAtt</w:t>
      </w:r>
      <w:proofErr w:type="spellEnd"/>
      <w:r w:rsidR="00573B19" w:rsidRPr="00573B19">
        <w:rPr>
          <w:rFonts w:ascii="Book Antiqua" w:hAnsi="Book Antiqua"/>
          <w:sz w:val="24"/>
          <w:szCs w:val="24"/>
        </w:rPr>
        <w:t>;</w:t>
      </w:r>
      <w:r w:rsidRPr="00573B19">
        <w:rPr>
          <w:rFonts w:ascii="Book Antiqua" w:hAnsi="Book Antiqua"/>
          <w:sz w:val="24"/>
          <w:szCs w:val="24"/>
        </w:rPr>
        <w:t xml:space="preserve"> Antisense sequence:</w:t>
      </w:r>
      <w:r w:rsidRPr="00573B19">
        <w:rPr>
          <w:rFonts w:ascii="Book Antiqua" w:hAnsi="Book Antiqua"/>
          <w:sz w:val="24"/>
          <w:szCs w:val="24"/>
        </w:rPr>
        <w:tab/>
      </w:r>
      <w:r w:rsidR="00DB5A37" w:rsidRPr="00573B19">
        <w:rPr>
          <w:rFonts w:ascii="Book Antiqua" w:hAnsi="Book Antiqua"/>
          <w:sz w:val="24"/>
          <w:szCs w:val="24"/>
        </w:rPr>
        <w:t xml:space="preserve"> </w:t>
      </w:r>
      <w:proofErr w:type="spellStart"/>
      <w:r w:rsidR="00573B19">
        <w:rPr>
          <w:rFonts w:ascii="Book Antiqua" w:hAnsi="Book Antiqua"/>
          <w:sz w:val="24"/>
          <w:szCs w:val="24"/>
        </w:rPr>
        <w:t>UGUCAAACCGGAUAAACGCaa</w:t>
      </w:r>
      <w:proofErr w:type="spellEnd"/>
      <w:r w:rsidR="00573B19">
        <w:rPr>
          <w:rFonts w:ascii="Book Antiqua" w:hAnsi="Book Antiqua"/>
          <w:sz w:val="24"/>
          <w:szCs w:val="24"/>
        </w:rPr>
        <w:t>.</w:t>
      </w:r>
    </w:p>
    <w:p w14:paraId="2AF335DE" w14:textId="2B7908C9" w:rsidR="00E15B60" w:rsidRPr="00141E92" w:rsidRDefault="00573B19" w:rsidP="008530E2">
      <w:pPr>
        <w:snapToGrid w:val="0"/>
        <w:spacing w:line="360" w:lineRule="auto"/>
        <w:jc w:val="both"/>
        <w:rPr>
          <w:rFonts w:ascii="Book Antiqua" w:hAnsi="Book Antiqua"/>
          <w:sz w:val="24"/>
          <w:szCs w:val="24"/>
        </w:rPr>
      </w:pPr>
      <w:r>
        <w:rPr>
          <w:rFonts w:ascii="Book Antiqua" w:hAnsi="Book Antiqua" w:cs="Times"/>
          <w:color w:val="101010"/>
          <w:sz w:val="24"/>
          <w:szCs w:val="24"/>
        </w:rPr>
        <w:t xml:space="preserve">  </w:t>
      </w:r>
      <w:r w:rsidR="00E15B60" w:rsidRPr="00141E92">
        <w:rPr>
          <w:rFonts w:ascii="Book Antiqua" w:hAnsi="Book Antiqua" w:cs="Times"/>
          <w:color w:val="101010"/>
          <w:sz w:val="24"/>
          <w:szCs w:val="24"/>
        </w:rPr>
        <w:t>Transfection was performed when cell cultures had reached 70</w:t>
      </w:r>
      <w:r>
        <w:rPr>
          <w:rFonts w:ascii="Book Antiqua" w:hAnsi="Book Antiqua" w:cs="Times"/>
          <w:color w:val="101010"/>
          <w:sz w:val="24"/>
          <w:szCs w:val="24"/>
        </w:rPr>
        <w:t>%-80</w:t>
      </w:r>
      <w:r w:rsidR="00E15B60" w:rsidRPr="00141E92">
        <w:rPr>
          <w:rFonts w:ascii="Book Antiqua" w:hAnsi="Book Antiqua" w:cs="Times"/>
          <w:color w:val="101010"/>
          <w:sz w:val="24"/>
          <w:szCs w:val="24"/>
        </w:rPr>
        <w:t xml:space="preserve">% confluence in 6-well plates. </w:t>
      </w:r>
      <w:proofErr w:type="spellStart"/>
      <w:r w:rsidR="00E15B60" w:rsidRPr="00141E92">
        <w:rPr>
          <w:rFonts w:ascii="Book Antiqua" w:hAnsi="Book Antiqua" w:cs="Times"/>
          <w:color w:val="101010"/>
          <w:sz w:val="24"/>
          <w:szCs w:val="24"/>
        </w:rPr>
        <w:t>Lipofectamine</w:t>
      </w:r>
      <w:proofErr w:type="spellEnd"/>
      <w:r w:rsidR="00E15B60" w:rsidRPr="00141E92">
        <w:rPr>
          <w:rFonts w:ascii="Book Antiqua" w:hAnsi="Book Antiqua" w:cs="Times"/>
          <w:color w:val="101010"/>
          <w:sz w:val="24"/>
          <w:szCs w:val="24"/>
        </w:rPr>
        <w:t xml:space="preserve"> </w:t>
      </w:r>
      <w:proofErr w:type="spellStart"/>
      <w:r w:rsidR="00E15B60" w:rsidRPr="00141E92">
        <w:rPr>
          <w:rFonts w:ascii="Book Antiqua" w:hAnsi="Book Antiqua"/>
          <w:sz w:val="24"/>
          <w:szCs w:val="24"/>
        </w:rPr>
        <w:t>RNAiMax</w:t>
      </w:r>
      <w:proofErr w:type="spellEnd"/>
      <w:r w:rsidR="00E15B60" w:rsidRPr="00141E92">
        <w:rPr>
          <w:rFonts w:ascii="Book Antiqua" w:hAnsi="Book Antiqua" w:cs="Times"/>
          <w:color w:val="101010"/>
          <w:sz w:val="24"/>
          <w:szCs w:val="24"/>
        </w:rPr>
        <w:t xml:space="preserve"> (</w:t>
      </w:r>
      <w:proofErr w:type="spellStart"/>
      <w:r w:rsidR="00E15B60" w:rsidRPr="00141E92">
        <w:rPr>
          <w:rFonts w:ascii="Book Antiqua" w:hAnsi="Book Antiqua" w:cs="Times"/>
          <w:color w:val="101010"/>
          <w:sz w:val="24"/>
          <w:szCs w:val="24"/>
        </w:rPr>
        <w:t>Gibco</w:t>
      </w:r>
      <w:proofErr w:type="spellEnd"/>
      <w:r w:rsidR="00E15B60" w:rsidRPr="00141E92">
        <w:rPr>
          <w:rFonts w:ascii="Book Antiqua" w:hAnsi="Book Antiqua" w:cs="Times"/>
          <w:color w:val="101010"/>
          <w:sz w:val="24"/>
          <w:szCs w:val="24"/>
        </w:rPr>
        <w:t xml:space="preserve">/Invitrogen) was used according to the manufacturer’s instructions for all transfections with </w:t>
      </w:r>
      <w:proofErr w:type="spellStart"/>
      <w:r w:rsidR="00E15B60" w:rsidRPr="00141E92">
        <w:rPr>
          <w:rFonts w:ascii="Book Antiqua" w:hAnsi="Book Antiqua" w:cs="Times"/>
          <w:color w:val="101010"/>
          <w:sz w:val="24"/>
          <w:szCs w:val="24"/>
        </w:rPr>
        <w:t>OptiMem</w:t>
      </w:r>
      <w:proofErr w:type="spellEnd"/>
      <w:r w:rsidR="00E15B60" w:rsidRPr="00141E92">
        <w:rPr>
          <w:rFonts w:ascii="Book Antiqua" w:hAnsi="Book Antiqua" w:cs="Times"/>
          <w:color w:val="101010"/>
          <w:sz w:val="24"/>
          <w:szCs w:val="24"/>
        </w:rPr>
        <w:t xml:space="preserve"> medium (</w:t>
      </w:r>
      <w:proofErr w:type="spellStart"/>
      <w:r w:rsidR="00E15B60" w:rsidRPr="00141E92">
        <w:rPr>
          <w:rFonts w:ascii="Book Antiqua" w:hAnsi="Book Antiqua" w:cs="Times"/>
          <w:color w:val="101010"/>
          <w:sz w:val="24"/>
          <w:szCs w:val="24"/>
        </w:rPr>
        <w:t>Gibco</w:t>
      </w:r>
      <w:proofErr w:type="spellEnd"/>
      <w:r w:rsidR="00E15B60" w:rsidRPr="00141E92">
        <w:rPr>
          <w:rFonts w:ascii="Book Antiqua" w:hAnsi="Book Antiqua" w:cs="Times"/>
          <w:color w:val="101010"/>
          <w:sz w:val="24"/>
          <w:szCs w:val="24"/>
        </w:rPr>
        <w:t xml:space="preserve">/ Invitrogen). All experiments included two groups of control cells: untreated control and a control treated with </w:t>
      </w:r>
      <w:r w:rsidR="00766095" w:rsidRPr="00141E92">
        <w:rPr>
          <w:rFonts w:ascii="Book Antiqua" w:hAnsi="Book Antiqua" w:cs="Times"/>
          <w:color w:val="101010"/>
          <w:sz w:val="24"/>
          <w:szCs w:val="24"/>
        </w:rPr>
        <w:t xml:space="preserve">the </w:t>
      </w:r>
      <w:r w:rsidR="00E15B60" w:rsidRPr="00141E92">
        <w:rPr>
          <w:rFonts w:ascii="Book Antiqua" w:hAnsi="Book Antiqua" w:cs="Times"/>
          <w:color w:val="101010"/>
          <w:sz w:val="24"/>
          <w:szCs w:val="24"/>
        </w:rPr>
        <w:t>siRNA negative control. Transfection efficiency was assessed using Block-</w:t>
      </w:r>
      <w:proofErr w:type="spellStart"/>
      <w:r w:rsidR="00E15B60" w:rsidRPr="00141E92">
        <w:rPr>
          <w:rFonts w:ascii="Book Antiqua" w:hAnsi="Book Antiqua" w:cs="Times"/>
          <w:color w:val="101010"/>
          <w:sz w:val="24"/>
          <w:szCs w:val="24"/>
        </w:rPr>
        <w:t>iT</w:t>
      </w:r>
      <w:proofErr w:type="spellEnd"/>
      <w:r w:rsidR="00E15B60" w:rsidRPr="00141E92">
        <w:rPr>
          <w:rFonts w:ascii="Book Antiqua" w:hAnsi="Book Antiqua" w:cs="Times"/>
          <w:color w:val="101010"/>
          <w:sz w:val="24"/>
          <w:szCs w:val="24"/>
        </w:rPr>
        <w:t xml:space="preserve"> </w:t>
      </w:r>
      <w:proofErr w:type="spellStart"/>
      <w:r w:rsidR="00E15B60" w:rsidRPr="00141E92">
        <w:rPr>
          <w:rFonts w:ascii="Book Antiqua" w:hAnsi="Book Antiqua" w:cs="Times"/>
          <w:color w:val="101010"/>
          <w:sz w:val="24"/>
          <w:szCs w:val="24"/>
        </w:rPr>
        <w:t>Alexa</w:t>
      </w:r>
      <w:proofErr w:type="spellEnd"/>
      <w:r w:rsidR="00E15B60" w:rsidRPr="00141E92">
        <w:rPr>
          <w:rFonts w:ascii="Book Antiqua" w:hAnsi="Book Antiqua" w:cs="Times"/>
          <w:color w:val="101010"/>
          <w:sz w:val="24"/>
          <w:szCs w:val="24"/>
        </w:rPr>
        <w:t xml:space="preserve"> Fluor Red reagents (Invitrogen). Silencing efficiency was evaluated by Western blot analysis. </w:t>
      </w:r>
      <w:r w:rsidR="00E15B60" w:rsidRPr="00141E92">
        <w:rPr>
          <w:rFonts w:ascii="Book Antiqua" w:hAnsi="Book Antiqua"/>
          <w:sz w:val="24"/>
          <w:szCs w:val="24"/>
        </w:rPr>
        <w:t xml:space="preserve">Transfection of </w:t>
      </w:r>
      <w:proofErr w:type="spellStart"/>
      <w:r w:rsidR="00E15B60" w:rsidRPr="00141E92">
        <w:rPr>
          <w:rFonts w:ascii="Book Antiqua" w:hAnsi="Book Antiqua"/>
          <w:sz w:val="24"/>
          <w:szCs w:val="24"/>
        </w:rPr>
        <w:t>HuR</w:t>
      </w:r>
      <w:proofErr w:type="spellEnd"/>
      <w:r w:rsidR="00E15B60" w:rsidRPr="00141E92">
        <w:rPr>
          <w:rFonts w:ascii="Book Antiqua" w:hAnsi="Book Antiqua"/>
          <w:sz w:val="24"/>
          <w:szCs w:val="24"/>
        </w:rPr>
        <w:t xml:space="preserve"> </w:t>
      </w:r>
      <w:proofErr w:type="spellStart"/>
      <w:r w:rsidR="00E15B60" w:rsidRPr="00141E92">
        <w:rPr>
          <w:rFonts w:ascii="Book Antiqua" w:hAnsi="Book Antiqua"/>
          <w:sz w:val="24"/>
          <w:szCs w:val="24"/>
        </w:rPr>
        <w:t>siRNA</w:t>
      </w:r>
      <w:proofErr w:type="spellEnd"/>
      <w:r w:rsidR="00E15B60" w:rsidRPr="00141E92">
        <w:rPr>
          <w:rFonts w:ascii="Book Antiqua" w:hAnsi="Book Antiqua"/>
          <w:sz w:val="24"/>
          <w:szCs w:val="24"/>
        </w:rPr>
        <w:t xml:space="preserve"> was performed for 72 h. </w:t>
      </w:r>
      <w:r w:rsidR="00E15B60" w:rsidRPr="00141E92">
        <w:rPr>
          <w:rFonts w:ascii="Book Antiqua" w:hAnsi="Book Antiqua" w:cs="Times"/>
          <w:color w:val="101010"/>
          <w:sz w:val="24"/>
          <w:szCs w:val="24"/>
        </w:rPr>
        <w:t xml:space="preserve">All assays were performed after 72 h of transfection (RT-PCR, Western Blot). </w:t>
      </w:r>
    </w:p>
    <w:p w14:paraId="5D52DB03" w14:textId="77777777" w:rsidR="00573B19" w:rsidRDefault="00573B19" w:rsidP="003F50D4">
      <w:pPr>
        <w:snapToGrid w:val="0"/>
        <w:spacing w:line="360" w:lineRule="auto"/>
        <w:jc w:val="both"/>
        <w:outlineLvl w:val="0"/>
        <w:rPr>
          <w:rFonts w:ascii="Book Antiqua" w:hAnsi="Book Antiqua"/>
          <w:b/>
          <w:i/>
          <w:sz w:val="24"/>
          <w:szCs w:val="24"/>
        </w:rPr>
      </w:pPr>
    </w:p>
    <w:p w14:paraId="4F665CDD" w14:textId="77777777" w:rsidR="00E15B60" w:rsidRPr="00141E92" w:rsidRDefault="00E15B60"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Statistical analysis</w:t>
      </w:r>
    </w:p>
    <w:p w14:paraId="0DEC42C5" w14:textId="078C241F" w:rsidR="00755DE8" w:rsidRPr="00141E92" w:rsidRDefault="00755DE8" w:rsidP="008530E2">
      <w:pPr>
        <w:pStyle w:val="a3"/>
        <w:snapToGrid w:val="0"/>
        <w:spacing w:before="0" w:beforeAutospacing="0" w:after="0" w:afterAutospacing="0" w:line="360" w:lineRule="auto"/>
        <w:jc w:val="both"/>
        <w:rPr>
          <w:rFonts w:ascii="Book Antiqua" w:hAnsi="Book Antiqua"/>
          <w:sz w:val="24"/>
          <w:szCs w:val="24"/>
        </w:rPr>
      </w:pPr>
      <w:r w:rsidRPr="00141E92">
        <w:rPr>
          <w:rFonts w:ascii="Book Antiqua" w:hAnsi="Book Antiqua"/>
          <w:sz w:val="24"/>
          <w:szCs w:val="24"/>
        </w:rPr>
        <w:t>Statistical r</w:t>
      </w:r>
      <w:r w:rsidR="00F65F7B" w:rsidRPr="00141E92">
        <w:rPr>
          <w:rFonts w:ascii="Book Antiqua" w:hAnsi="Book Antiqua"/>
          <w:sz w:val="24"/>
          <w:szCs w:val="24"/>
        </w:rPr>
        <w:t>eview of the study was performed</w:t>
      </w:r>
      <w:r w:rsidRPr="00141E92">
        <w:rPr>
          <w:rFonts w:ascii="Book Antiqua" w:hAnsi="Book Antiqua"/>
          <w:sz w:val="24"/>
          <w:szCs w:val="24"/>
        </w:rPr>
        <w:t xml:space="preserve"> by a biomedical statistician</w:t>
      </w:r>
      <w:r w:rsidR="00F65F7B" w:rsidRPr="00141E92">
        <w:rPr>
          <w:rFonts w:ascii="Book Antiqua" w:hAnsi="Book Antiqua" w:cs="Times"/>
          <w:color w:val="101010"/>
          <w:sz w:val="24"/>
          <w:szCs w:val="24"/>
        </w:rPr>
        <w:t xml:space="preserve">. </w:t>
      </w:r>
      <w:r w:rsidR="00E15B60" w:rsidRPr="00141E92">
        <w:rPr>
          <w:rFonts w:ascii="Book Antiqua" w:hAnsi="Book Antiqua" w:cs="Times"/>
          <w:color w:val="101010"/>
          <w:sz w:val="24"/>
          <w:szCs w:val="24"/>
        </w:rPr>
        <w:t xml:space="preserve">SPSS 23.0 software (SPSS Company, Chicago, IL, </w:t>
      </w:r>
      <w:r w:rsidR="003D1700" w:rsidRPr="00141E92">
        <w:rPr>
          <w:rFonts w:ascii="Book Antiqua" w:hAnsi="Book Antiqua" w:cs="Times"/>
          <w:color w:val="101010"/>
          <w:sz w:val="24"/>
          <w:szCs w:val="24"/>
        </w:rPr>
        <w:t>United States</w:t>
      </w:r>
      <w:r w:rsidR="00E15B60" w:rsidRPr="00141E92">
        <w:rPr>
          <w:rFonts w:ascii="Book Antiqua" w:hAnsi="Book Antiqua" w:cs="Times"/>
          <w:color w:val="101010"/>
          <w:sz w:val="24"/>
          <w:szCs w:val="24"/>
        </w:rPr>
        <w:t>)</w:t>
      </w:r>
      <w:r w:rsidR="00F65F7B" w:rsidRPr="00141E92">
        <w:rPr>
          <w:rFonts w:ascii="Book Antiqua" w:hAnsi="Book Antiqua" w:cs="Times"/>
          <w:color w:val="101010"/>
          <w:sz w:val="24"/>
          <w:szCs w:val="24"/>
        </w:rPr>
        <w:t xml:space="preserve"> was used</w:t>
      </w:r>
      <w:r w:rsidR="00E15B60" w:rsidRPr="00141E92">
        <w:rPr>
          <w:rFonts w:ascii="Book Antiqua" w:hAnsi="Book Antiqua" w:cs="Times"/>
          <w:color w:val="101010"/>
          <w:sz w:val="24"/>
          <w:szCs w:val="24"/>
        </w:rPr>
        <w:t>.</w:t>
      </w:r>
      <w:r w:rsidRPr="00141E92">
        <w:rPr>
          <w:rFonts w:ascii="Book Antiqua" w:hAnsi="Book Antiqua" w:cs="Times"/>
          <w:color w:val="101010"/>
          <w:sz w:val="24"/>
          <w:szCs w:val="24"/>
        </w:rPr>
        <w:t xml:space="preserve"> </w:t>
      </w:r>
      <w:r w:rsidR="00E15B60" w:rsidRPr="00141E92">
        <w:rPr>
          <w:rFonts w:ascii="Book Antiqua" w:hAnsi="Book Antiqua" w:cs="Times"/>
          <w:color w:val="101010"/>
          <w:sz w:val="24"/>
          <w:szCs w:val="24"/>
        </w:rPr>
        <w:t>The</w:t>
      </w:r>
      <w:r w:rsidR="00051CD9" w:rsidRPr="00141E92">
        <w:rPr>
          <w:rFonts w:ascii="Book Antiqua" w:hAnsi="Book Antiqua" w:cs="Times"/>
          <w:color w:val="101010"/>
          <w:sz w:val="24"/>
          <w:szCs w:val="24"/>
        </w:rPr>
        <w:t xml:space="preserve"> data are presented as means </w:t>
      </w:r>
      <w:r w:rsidR="00051CD9" w:rsidRPr="00141E92">
        <w:rPr>
          <w:rFonts w:ascii="Book Antiqua" w:hAnsi="Book Antiqua" w:cs="Times"/>
          <w:color w:val="101010"/>
          <w:sz w:val="24"/>
          <w:szCs w:val="24"/>
        </w:rPr>
        <w:sym w:font="Symbol" w:char="F0B1"/>
      </w:r>
      <w:r w:rsidR="00051CD9" w:rsidRPr="00141E92">
        <w:rPr>
          <w:rFonts w:ascii="Book Antiqua" w:hAnsi="Book Antiqua" w:cs="Times"/>
          <w:color w:val="101010"/>
          <w:sz w:val="24"/>
          <w:szCs w:val="24"/>
        </w:rPr>
        <w:t xml:space="preserve"> </w:t>
      </w:r>
      <w:r w:rsidR="00E15B60" w:rsidRPr="00141E92">
        <w:rPr>
          <w:rFonts w:ascii="Book Antiqua" w:hAnsi="Book Antiqua" w:cs="Times"/>
          <w:color w:val="101010"/>
          <w:sz w:val="24"/>
          <w:szCs w:val="24"/>
        </w:rPr>
        <w:t xml:space="preserve">SE and median. </w:t>
      </w:r>
      <w:r w:rsidR="00573B19">
        <w:rPr>
          <w:rFonts w:ascii="Book Antiqua" w:hAnsi="Book Antiqua"/>
          <w:sz w:val="24"/>
          <w:szCs w:val="24"/>
        </w:rPr>
        <w:t>As the hypothesis of normal distribution of data</w:t>
      </w:r>
      <w:r w:rsidR="00E15B60" w:rsidRPr="00141E92">
        <w:rPr>
          <w:rFonts w:ascii="Book Antiqua" w:hAnsi="Book Antiqua"/>
          <w:sz w:val="24"/>
          <w:szCs w:val="24"/>
        </w:rPr>
        <w:t xml:space="preserve"> was rejected by the Shapiro</w:t>
      </w:r>
      <w:r w:rsidR="00A8115F">
        <w:rPr>
          <w:rFonts w:ascii="Book Antiqua" w:hAnsi="Book Antiqua"/>
          <w:sz w:val="24"/>
          <w:szCs w:val="24"/>
        </w:rPr>
        <w:t>-</w:t>
      </w:r>
      <w:r w:rsidR="00E15B60" w:rsidRPr="00141E92">
        <w:rPr>
          <w:rFonts w:ascii="Book Antiqua" w:hAnsi="Book Antiqua"/>
          <w:sz w:val="24"/>
          <w:szCs w:val="24"/>
        </w:rPr>
        <w:t xml:space="preserve">Wilks test, nonparametric statistical tests were used. </w:t>
      </w:r>
      <w:r w:rsidR="00E15B60" w:rsidRPr="00141E92">
        <w:rPr>
          <w:rFonts w:ascii="Book Antiqua" w:hAnsi="Book Antiqua"/>
          <w:sz w:val="24"/>
          <w:szCs w:val="24"/>
        </w:rPr>
        <w:lastRenderedPageBreak/>
        <w:t>The Mann</w:t>
      </w:r>
      <w:r w:rsidR="00A8115F">
        <w:rPr>
          <w:rFonts w:ascii="Book Antiqua" w:hAnsi="Book Antiqua"/>
          <w:sz w:val="24"/>
          <w:szCs w:val="24"/>
        </w:rPr>
        <w:t>-</w:t>
      </w:r>
      <w:r w:rsidR="00E15B60" w:rsidRPr="00141E92">
        <w:rPr>
          <w:rFonts w:ascii="Book Antiqua" w:hAnsi="Book Antiqua"/>
          <w:sz w:val="24"/>
          <w:szCs w:val="24"/>
        </w:rPr>
        <w:t>Whitney test was used for comparison of mRNA expression levels between groups.</w:t>
      </w:r>
      <w:r w:rsidR="00E15B60" w:rsidRPr="00141E92">
        <w:rPr>
          <w:rFonts w:ascii="Book Antiqua" w:hAnsi="Book Antiqua" w:cs="Times"/>
          <w:color w:val="101010"/>
          <w:sz w:val="24"/>
          <w:szCs w:val="24"/>
        </w:rPr>
        <w:t xml:space="preserve"> </w:t>
      </w:r>
      <w:r w:rsidR="00E15B60" w:rsidRPr="00141E92">
        <w:rPr>
          <w:rFonts w:ascii="Book Antiqua" w:hAnsi="Book Antiqua"/>
          <w:sz w:val="24"/>
          <w:szCs w:val="24"/>
        </w:rPr>
        <w:t xml:space="preserve">The correlations among </w:t>
      </w:r>
      <w:proofErr w:type="spellStart"/>
      <w:r w:rsidR="00E15B60" w:rsidRPr="00141E92">
        <w:rPr>
          <w:rFonts w:ascii="Book Antiqua" w:hAnsi="Book Antiqua"/>
          <w:sz w:val="24"/>
          <w:szCs w:val="24"/>
        </w:rPr>
        <w:t>HuR</w:t>
      </w:r>
      <w:proofErr w:type="spellEnd"/>
      <w:r w:rsidR="00E15B60" w:rsidRPr="00141E92">
        <w:rPr>
          <w:rFonts w:ascii="Book Antiqua" w:hAnsi="Book Antiqua"/>
          <w:sz w:val="24"/>
          <w:szCs w:val="24"/>
        </w:rPr>
        <w:t xml:space="preserve">, IAP1and IAP2 were evaluated by the Spearman’s rank correlation coefficient. Additionally, their respective correlations with </w:t>
      </w:r>
      <w:proofErr w:type="spellStart"/>
      <w:r w:rsidR="00E15B60" w:rsidRPr="00141E92">
        <w:rPr>
          <w:rFonts w:ascii="Book Antiqua" w:hAnsi="Book Antiqua"/>
          <w:sz w:val="24"/>
          <w:szCs w:val="24"/>
        </w:rPr>
        <w:t>clinico</w:t>
      </w:r>
      <w:proofErr w:type="spellEnd"/>
      <w:r w:rsidR="00E15B60" w:rsidRPr="00141E92">
        <w:rPr>
          <w:rFonts w:ascii="Book Antiqua" w:hAnsi="Book Antiqua"/>
          <w:sz w:val="24"/>
          <w:szCs w:val="24"/>
        </w:rPr>
        <w:t xml:space="preserve">-pathological parameters were investigated using </w:t>
      </w:r>
      <w:r w:rsidR="00DA5717" w:rsidRPr="00141E92">
        <w:rPr>
          <w:rFonts w:ascii="Book Antiqua" w:hAnsi="Book Antiqua"/>
          <w:sz w:val="24"/>
          <w:szCs w:val="24"/>
        </w:rPr>
        <w:t>a chi-square test or Fisher’s exact test</w:t>
      </w:r>
      <w:r w:rsidR="00E15B60" w:rsidRPr="00141E92">
        <w:rPr>
          <w:rFonts w:ascii="Book Antiqua" w:hAnsi="Book Antiqua"/>
          <w:sz w:val="24"/>
          <w:szCs w:val="24"/>
        </w:rPr>
        <w:t xml:space="preserve">. Survival rates were summarized using </w:t>
      </w:r>
      <w:r w:rsidR="00E15B60" w:rsidRPr="00141E92">
        <w:rPr>
          <w:rFonts w:ascii="Book Antiqua" w:hAnsi="Book Antiqua" w:cs="Calibri"/>
          <w:sz w:val="24"/>
          <w:szCs w:val="24"/>
        </w:rPr>
        <w:t xml:space="preserve">the Kaplan-Meier method and the log-rank test was performed </w:t>
      </w:r>
      <w:r w:rsidR="00E15B60" w:rsidRPr="00141E92">
        <w:rPr>
          <w:rFonts w:ascii="Book Antiqua" w:hAnsi="Book Antiqua" w:cs="Times"/>
          <w:color w:val="101010"/>
          <w:sz w:val="24"/>
          <w:szCs w:val="24"/>
        </w:rPr>
        <w:t>to compare differences in survival between groups</w:t>
      </w:r>
      <w:r w:rsidR="006B43A2" w:rsidRPr="00141E92">
        <w:rPr>
          <w:rFonts w:ascii="Book Antiqua" w:hAnsi="Book Antiqua" w:cs="Times"/>
          <w:color w:val="101010"/>
          <w:sz w:val="24"/>
          <w:szCs w:val="24"/>
        </w:rPr>
        <w:t xml:space="preserve">. </w:t>
      </w:r>
      <w:r w:rsidR="006B43A2" w:rsidRPr="00141E92">
        <w:rPr>
          <w:rFonts w:ascii="Book Antiqua" w:hAnsi="Book Antiqua"/>
          <w:sz w:val="24"/>
          <w:szCs w:val="24"/>
        </w:rPr>
        <w:t xml:space="preserve">For the survival analysis, </w:t>
      </w:r>
      <w:r w:rsidR="006B43A2" w:rsidRPr="00141E92">
        <w:rPr>
          <w:rFonts w:ascii="Book Antiqua" w:hAnsi="Book Antiqua"/>
          <w:color w:val="111111"/>
          <w:sz w:val="24"/>
          <w:szCs w:val="24"/>
        </w:rPr>
        <w:t xml:space="preserve">patients were stratified into groups according to the mRNA expression of IAP1 and IAP2. The low group represents the lower expression then the mean value, and high represents higher values. </w:t>
      </w:r>
      <w:r w:rsidR="00E15B60" w:rsidRPr="00141E92">
        <w:rPr>
          <w:rFonts w:ascii="Book Antiqua" w:hAnsi="Book Antiqua" w:cs="Calibri"/>
          <w:sz w:val="24"/>
          <w:szCs w:val="24"/>
        </w:rPr>
        <w:t xml:space="preserve">Cox proportional hazard model was applied to identify prognostic factors that were independently associated with survival. </w:t>
      </w:r>
      <w:r w:rsidR="00E15B60" w:rsidRPr="00141E92">
        <w:rPr>
          <w:rFonts w:ascii="Book Antiqua" w:hAnsi="Book Antiqua" w:cs="Times"/>
          <w:color w:val="101010"/>
          <w:sz w:val="24"/>
          <w:szCs w:val="24"/>
        </w:rPr>
        <w:t>A log-rank test was used. Statistic</w:t>
      </w:r>
      <w:r w:rsidRPr="00141E92">
        <w:rPr>
          <w:rFonts w:ascii="Book Antiqua" w:hAnsi="Book Antiqua" w:cs="Times"/>
          <w:color w:val="101010"/>
          <w:sz w:val="24"/>
          <w:szCs w:val="24"/>
        </w:rPr>
        <w:t xml:space="preserve">al significance was defined as </w:t>
      </w:r>
      <w:r w:rsidRPr="00141E92">
        <w:rPr>
          <w:rFonts w:ascii="Book Antiqua" w:hAnsi="Book Antiqua" w:cs="Times"/>
          <w:i/>
          <w:color w:val="101010"/>
          <w:sz w:val="24"/>
          <w:szCs w:val="24"/>
        </w:rPr>
        <w:t>P</w:t>
      </w:r>
      <w:r w:rsidR="00E15B60" w:rsidRPr="00141E92">
        <w:rPr>
          <w:rFonts w:ascii="Book Antiqua" w:hAnsi="Book Antiqua" w:cs="Times"/>
          <w:color w:val="101010"/>
          <w:sz w:val="24"/>
          <w:szCs w:val="24"/>
        </w:rPr>
        <w:t xml:space="preserve"> &lt; 0.05</w:t>
      </w:r>
      <w:r w:rsidR="00583659" w:rsidRPr="00141E92">
        <w:rPr>
          <w:rFonts w:ascii="Book Antiqua" w:hAnsi="Book Antiqua" w:cs="Times"/>
          <w:color w:val="101010"/>
          <w:sz w:val="24"/>
          <w:szCs w:val="24"/>
        </w:rPr>
        <w:t xml:space="preserve"> (</w:t>
      </w:r>
      <w:r w:rsidR="00583659" w:rsidRPr="00141E92">
        <w:rPr>
          <w:rFonts w:ascii="Book Antiqua" w:hAnsi="Book Antiqua"/>
          <w:bCs/>
          <w:sz w:val="24"/>
          <w:szCs w:val="24"/>
        </w:rPr>
        <w:t xml:space="preserve">two-tailed </w:t>
      </w:r>
      <w:r w:rsidR="00583659" w:rsidRPr="00141E92">
        <w:rPr>
          <w:rFonts w:ascii="Book Antiqua" w:hAnsi="Book Antiqua"/>
          <w:bCs/>
          <w:i/>
          <w:sz w:val="24"/>
          <w:szCs w:val="24"/>
        </w:rPr>
        <w:t>P</w:t>
      </w:r>
      <w:r w:rsidR="00583659" w:rsidRPr="00141E92">
        <w:rPr>
          <w:rFonts w:ascii="Book Antiqua" w:hAnsi="Book Antiqua"/>
          <w:bCs/>
          <w:sz w:val="24"/>
          <w:szCs w:val="24"/>
        </w:rPr>
        <w:t xml:space="preserve"> value)</w:t>
      </w:r>
      <w:r w:rsidR="00E15B60" w:rsidRPr="00141E92">
        <w:rPr>
          <w:rFonts w:ascii="Book Antiqua" w:hAnsi="Book Antiqua" w:cs="Times"/>
          <w:color w:val="101010"/>
          <w:sz w:val="24"/>
          <w:szCs w:val="24"/>
        </w:rPr>
        <w:t>.</w:t>
      </w:r>
      <w:r w:rsidRPr="00141E92">
        <w:rPr>
          <w:rFonts w:ascii="Book Antiqua" w:hAnsi="Book Antiqua" w:cs="Times"/>
          <w:color w:val="101010"/>
          <w:sz w:val="24"/>
          <w:szCs w:val="24"/>
        </w:rPr>
        <w:t xml:space="preserve"> </w:t>
      </w:r>
    </w:p>
    <w:p w14:paraId="7111CA8D" w14:textId="77777777" w:rsidR="00573B19" w:rsidRDefault="00573B19" w:rsidP="00573B19">
      <w:pPr>
        <w:autoSpaceDE/>
        <w:autoSpaceDN/>
        <w:snapToGrid w:val="0"/>
        <w:spacing w:line="360" w:lineRule="auto"/>
        <w:jc w:val="both"/>
        <w:rPr>
          <w:rFonts w:ascii="Book Antiqua" w:hAnsi="Book Antiqua"/>
          <w:b/>
          <w:sz w:val="24"/>
          <w:szCs w:val="24"/>
        </w:rPr>
      </w:pPr>
    </w:p>
    <w:p w14:paraId="21761CD6" w14:textId="6059D373" w:rsidR="00E15B60" w:rsidRPr="00141E92" w:rsidRDefault="00E15B60" w:rsidP="00573B19">
      <w:pPr>
        <w:autoSpaceDE/>
        <w:autoSpaceDN/>
        <w:snapToGrid w:val="0"/>
        <w:spacing w:line="360" w:lineRule="auto"/>
        <w:jc w:val="both"/>
        <w:rPr>
          <w:rFonts w:ascii="Book Antiqua" w:hAnsi="Book Antiqua"/>
          <w:b/>
          <w:sz w:val="24"/>
          <w:szCs w:val="24"/>
        </w:rPr>
      </w:pPr>
      <w:r w:rsidRPr="00141E92">
        <w:rPr>
          <w:rFonts w:ascii="Book Antiqua" w:hAnsi="Book Antiqua"/>
          <w:b/>
          <w:sz w:val="24"/>
          <w:szCs w:val="24"/>
        </w:rPr>
        <w:t>RESULTS</w:t>
      </w:r>
    </w:p>
    <w:p w14:paraId="7E82A60B" w14:textId="70E81123" w:rsidR="00E15B60" w:rsidRPr="00141E92" w:rsidRDefault="00E15B60"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 xml:space="preserve">Characteristics of </w:t>
      </w:r>
      <w:r w:rsidR="00C31EC4" w:rsidRPr="00141E92">
        <w:rPr>
          <w:rFonts w:ascii="Book Antiqua" w:hAnsi="Book Antiqua"/>
          <w:b/>
          <w:i/>
          <w:sz w:val="24"/>
          <w:szCs w:val="24"/>
        </w:rPr>
        <w:t xml:space="preserve">the </w:t>
      </w:r>
      <w:r w:rsidRPr="00141E92">
        <w:rPr>
          <w:rFonts w:ascii="Book Antiqua" w:hAnsi="Book Antiqua"/>
          <w:b/>
          <w:i/>
          <w:sz w:val="24"/>
          <w:szCs w:val="24"/>
        </w:rPr>
        <w:t xml:space="preserve">patients </w:t>
      </w:r>
    </w:p>
    <w:p w14:paraId="70DDF50E" w14:textId="240D3A98" w:rsidR="00634B88" w:rsidRPr="00141E92" w:rsidRDefault="00E15B60" w:rsidP="008530E2">
      <w:pPr>
        <w:snapToGrid w:val="0"/>
        <w:spacing w:line="360" w:lineRule="auto"/>
        <w:jc w:val="both"/>
        <w:rPr>
          <w:rFonts w:ascii="Book Antiqua" w:hAnsi="Book Antiqua"/>
          <w:sz w:val="24"/>
          <w:szCs w:val="24"/>
        </w:rPr>
      </w:pPr>
      <w:r w:rsidRPr="00141E92">
        <w:rPr>
          <w:rFonts w:ascii="Book Antiqua" w:hAnsi="Book Antiqua"/>
          <w:sz w:val="24"/>
          <w:szCs w:val="24"/>
        </w:rPr>
        <w:t xml:space="preserve">The median patients’ age was 68 (range 44-87). The male/female ratio was 0.74. Pathological evaluation revealed </w:t>
      </w:r>
      <w:r w:rsidR="00C31EC4" w:rsidRPr="00141E92">
        <w:rPr>
          <w:rFonts w:ascii="Book Antiqua" w:hAnsi="Book Antiqua"/>
          <w:sz w:val="24"/>
          <w:szCs w:val="24"/>
        </w:rPr>
        <w:t xml:space="preserve">that majority </w:t>
      </w:r>
      <w:r w:rsidRPr="00141E92">
        <w:rPr>
          <w:rFonts w:ascii="Book Antiqua" w:hAnsi="Book Antiqua"/>
          <w:sz w:val="24"/>
          <w:szCs w:val="24"/>
        </w:rPr>
        <w:t xml:space="preserve">of patients </w:t>
      </w:r>
      <w:r w:rsidR="00C31EC4" w:rsidRPr="00141E92">
        <w:rPr>
          <w:rFonts w:ascii="Book Antiqua" w:hAnsi="Book Antiqua"/>
          <w:sz w:val="24"/>
          <w:szCs w:val="24"/>
        </w:rPr>
        <w:t xml:space="preserve">had </w:t>
      </w:r>
      <w:r w:rsidRPr="00141E92">
        <w:rPr>
          <w:rFonts w:ascii="Book Antiqua" w:hAnsi="Book Antiqua"/>
          <w:sz w:val="24"/>
          <w:szCs w:val="24"/>
        </w:rPr>
        <w:t>T3 stage (90.2%) and moderate cell differentiation G2 (57.4%)</w:t>
      </w:r>
      <w:r w:rsidR="00C31EC4" w:rsidRPr="00141E92">
        <w:rPr>
          <w:rFonts w:ascii="Book Antiqua" w:hAnsi="Book Antiqua"/>
          <w:sz w:val="24"/>
          <w:szCs w:val="24"/>
        </w:rPr>
        <w:t xml:space="preserve"> tumors</w:t>
      </w:r>
      <w:r w:rsidRPr="00141E92">
        <w:rPr>
          <w:rFonts w:ascii="Book Antiqua" w:hAnsi="Book Antiqua"/>
          <w:sz w:val="24"/>
          <w:szCs w:val="24"/>
        </w:rPr>
        <w:t xml:space="preserve">. </w:t>
      </w:r>
      <w:r w:rsidR="00C31EC4" w:rsidRPr="00141E92">
        <w:rPr>
          <w:rFonts w:ascii="Book Antiqua" w:hAnsi="Book Antiqua"/>
          <w:sz w:val="24"/>
          <w:szCs w:val="24"/>
        </w:rPr>
        <w:t>Regional m</w:t>
      </w:r>
      <w:r w:rsidRPr="00141E92">
        <w:rPr>
          <w:rFonts w:ascii="Book Antiqua" w:hAnsi="Book Antiqua"/>
          <w:sz w:val="24"/>
          <w:szCs w:val="24"/>
        </w:rPr>
        <w:t xml:space="preserve">etastatic lymph-nodes (N1) and </w:t>
      </w:r>
      <w:r w:rsidR="00C31EC4" w:rsidRPr="00141E92">
        <w:rPr>
          <w:rFonts w:ascii="Book Antiqua" w:hAnsi="Book Antiqua"/>
          <w:sz w:val="24"/>
          <w:szCs w:val="24"/>
        </w:rPr>
        <w:t xml:space="preserve">lymphatic </w:t>
      </w:r>
      <w:r w:rsidRPr="00141E92">
        <w:rPr>
          <w:rFonts w:ascii="Book Antiqua" w:hAnsi="Book Antiqua"/>
          <w:sz w:val="24"/>
          <w:szCs w:val="24"/>
        </w:rPr>
        <w:t>invasion (L1) were detected in 82.0% of cases. Additionally, microvascular invasion (V1) was detected in 80.3% and perineural invasion</w:t>
      </w:r>
      <w:r w:rsidR="00DB598B" w:rsidRPr="00141E92">
        <w:rPr>
          <w:rFonts w:ascii="Book Antiqua" w:hAnsi="Book Antiqua"/>
          <w:sz w:val="24"/>
          <w:szCs w:val="24"/>
        </w:rPr>
        <w:t xml:space="preserve"> </w:t>
      </w:r>
      <w:r w:rsidR="00DA50A1" w:rsidRPr="00141E92">
        <w:rPr>
          <w:rFonts w:ascii="Book Antiqua" w:hAnsi="Book Antiqua"/>
          <w:sz w:val="24"/>
          <w:szCs w:val="24"/>
        </w:rPr>
        <w:t>in</w:t>
      </w:r>
      <w:r w:rsidRPr="00141E92">
        <w:rPr>
          <w:rFonts w:ascii="Book Antiqua" w:hAnsi="Book Antiqua"/>
          <w:sz w:val="24"/>
          <w:szCs w:val="24"/>
        </w:rPr>
        <w:t xml:space="preserve"> 85.2% of cases. The median patients’ follow-up time</w:t>
      </w:r>
      <w:r w:rsidR="004B3EB8" w:rsidRPr="00141E92">
        <w:rPr>
          <w:rFonts w:ascii="Book Antiqua" w:hAnsi="Book Antiqua"/>
          <w:sz w:val="24"/>
          <w:szCs w:val="24"/>
        </w:rPr>
        <w:t xml:space="preserve"> was 37.8 </w:t>
      </w:r>
      <w:proofErr w:type="spellStart"/>
      <w:r w:rsidR="004B3EB8" w:rsidRPr="00141E92">
        <w:rPr>
          <w:rFonts w:ascii="Book Antiqua" w:hAnsi="Book Antiqua"/>
          <w:sz w:val="24"/>
          <w:szCs w:val="24"/>
        </w:rPr>
        <w:t>mo</w:t>
      </w:r>
      <w:proofErr w:type="spellEnd"/>
      <w:r w:rsidR="004B3EB8" w:rsidRPr="00141E92">
        <w:rPr>
          <w:rFonts w:ascii="Book Antiqua" w:hAnsi="Book Antiqua"/>
          <w:sz w:val="24"/>
          <w:szCs w:val="24"/>
        </w:rPr>
        <w:t xml:space="preserve"> and the median</w:t>
      </w:r>
      <w:r w:rsidRPr="00141E92">
        <w:rPr>
          <w:rFonts w:ascii="Book Antiqua" w:hAnsi="Book Antiqua"/>
          <w:sz w:val="24"/>
          <w:szCs w:val="24"/>
        </w:rPr>
        <w:t xml:space="preserve"> survival was 23.1 mo.</w:t>
      </w:r>
      <w:r w:rsidR="00DA7ACC" w:rsidRPr="00141E92">
        <w:rPr>
          <w:rFonts w:ascii="Book Antiqua" w:hAnsi="Book Antiqua"/>
          <w:sz w:val="24"/>
          <w:szCs w:val="24"/>
        </w:rPr>
        <w:t xml:space="preserve"> All descriptive data of the studied group are summarized in Table 1.</w:t>
      </w:r>
    </w:p>
    <w:p w14:paraId="617B5E66" w14:textId="77777777" w:rsidR="007C6AE8" w:rsidRPr="00141E92" w:rsidRDefault="007C6AE8" w:rsidP="008530E2">
      <w:pPr>
        <w:snapToGrid w:val="0"/>
        <w:spacing w:line="360" w:lineRule="auto"/>
        <w:jc w:val="both"/>
        <w:rPr>
          <w:rFonts w:ascii="Book Antiqua" w:hAnsi="Book Antiqua"/>
          <w:sz w:val="24"/>
          <w:szCs w:val="24"/>
        </w:rPr>
      </w:pPr>
    </w:p>
    <w:p w14:paraId="4D7A62E9" w14:textId="77777777" w:rsidR="00634B88" w:rsidRPr="00141E92" w:rsidRDefault="00634B88" w:rsidP="003F50D4">
      <w:pPr>
        <w:snapToGrid w:val="0"/>
        <w:spacing w:line="360" w:lineRule="auto"/>
        <w:jc w:val="both"/>
        <w:outlineLvl w:val="0"/>
        <w:rPr>
          <w:rFonts w:ascii="Book Antiqua" w:hAnsi="Book Antiqua"/>
          <w:b/>
          <w:i/>
          <w:color w:val="000000" w:themeColor="text1"/>
          <w:sz w:val="24"/>
          <w:szCs w:val="24"/>
        </w:rPr>
      </w:pPr>
      <w:r w:rsidRPr="00141E92">
        <w:rPr>
          <w:rFonts w:ascii="Book Antiqua" w:hAnsi="Book Antiqua"/>
          <w:b/>
          <w:i/>
          <w:color w:val="000000" w:themeColor="text1"/>
          <w:sz w:val="24"/>
          <w:szCs w:val="24"/>
        </w:rPr>
        <w:t xml:space="preserve">IAP1, IAP2 is upregulated in human PDAC tissue </w:t>
      </w:r>
    </w:p>
    <w:p w14:paraId="5433C612" w14:textId="7CFC37DF" w:rsidR="00634B88" w:rsidRPr="00141E92" w:rsidRDefault="00E15B60" w:rsidP="008530E2">
      <w:pPr>
        <w:snapToGrid w:val="0"/>
        <w:spacing w:line="360" w:lineRule="auto"/>
        <w:jc w:val="both"/>
        <w:rPr>
          <w:rFonts w:ascii="Book Antiqua" w:hAnsi="Book Antiqua"/>
          <w:sz w:val="24"/>
          <w:szCs w:val="24"/>
        </w:rPr>
      </w:pPr>
      <w:r w:rsidRPr="00141E92">
        <w:rPr>
          <w:rFonts w:ascii="Book Antiqua" w:hAnsi="Book Antiqua"/>
          <w:sz w:val="24"/>
          <w:szCs w:val="24"/>
        </w:rPr>
        <w:t>The RT-PCR analysis (Figure 1</w:t>
      </w:r>
      <w:r w:rsidR="006C2609" w:rsidRPr="00141E92">
        <w:rPr>
          <w:rFonts w:ascii="Book Antiqua" w:hAnsi="Book Antiqua"/>
          <w:sz w:val="24"/>
          <w:szCs w:val="24"/>
        </w:rPr>
        <w:t>A</w:t>
      </w:r>
      <w:r w:rsidRPr="00141E92">
        <w:rPr>
          <w:rFonts w:ascii="Book Antiqua" w:hAnsi="Book Antiqua"/>
          <w:sz w:val="24"/>
          <w:szCs w:val="24"/>
        </w:rPr>
        <w:t xml:space="preserve">) revealed that IAP1, IAP2 mRNA expression were accordingly 5.5-fold and 8.4 higher in the </w:t>
      </w:r>
      <w:r w:rsidR="003F50D4">
        <w:rPr>
          <w:rFonts w:ascii="Book Antiqua" w:hAnsi="Book Antiqua"/>
          <w:sz w:val="24"/>
          <w:szCs w:val="24"/>
        </w:rPr>
        <w:t>PDAC</w:t>
      </w:r>
      <w:r w:rsidRPr="00141E92">
        <w:rPr>
          <w:rFonts w:ascii="Book Antiqua" w:hAnsi="Book Antiqua"/>
          <w:sz w:val="24"/>
          <w:szCs w:val="24"/>
        </w:rPr>
        <w:t xml:space="preserve"> when compared to normal pancreatic tis</w:t>
      </w:r>
      <w:r w:rsidR="00DB598B" w:rsidRPr="00141E92">
        <w:rPr>
          <w:rFonts w:ascii="Book Antiqua" w:hAnsi="Book Antiqua"/>
          <w:sz w:val="24"/>
          <w:szCs w:val="24"/>
        </w:rPr>
        <w:t>sue (</w:t>
      </w:r>
      <w:r w:rsidR="00DB598B" w:rsidRPr="00141E92">
        <w:rPr>
          <w:rFonts w:ascii="Book Antiqua" w:hAnsi="Book Antiqua"/>
          <w:i/>
          <w:sz w:val="24"/>
          <w:szCs w:val="24"/>
        </w:rPr>
        <w:t xml:space="preserve">P </w:t>
      </w:r>
      <w:r w:rsidRPr="00141E92">
        <w:rPr>
          <w:rFonts w:ascii="Book Antiqua" w:hAnsi="Book Antiqua"/>
          <w:sz w:val="24"/>
          <w:szCs w:val="24"/>
        </w:rPr>
        <w:t>&lt;</w:t>
      </w:r>
      <w:r w:rsidR="00DB598B" w:rsidRPr="00141E92">
        <w:rPr>
          <w:rFonts w:ascii="Book Antiqua" w:hAnsi="Book Antiqua"/>
          <w:sz w:val="24"/>
          <w:szCs w:val="24"/>
        </w:rPr>
        <w:t xml:space="preserve"> </w:t>
      </w:r>
      <w:r w:rsidRPr="00141E92">
        <w:rPr>
          <w:rFonts w:ascii="Book Antiqua" w:hAnsi="Book Antiqua"/>
          <w:sz w:val="24"/>
          <w:szCs w:val="24"/>
        </w:rPr>
        <w:t xml:space="preserve">0.05). </w:t>
      </w:r>
      <w:r w:rsidR="00634B88" w:rsidRPr="00141E92">
        <w:rPr>
          <w:rFonts w:ascii="Book Antiqua" w:hAnsi="Book Antiqua"/>
          <w:sz w:val="24"/>
          <w:szCs w:val="24"/>
        </w:rPr>
        <w:t xml:space="preserve">Western blot analysis </w:t>
      </w:r>
      <w:r w:rsidR="00DA7ACC" w:rsidRPr="00141E92">
        <w:rPr>
          <w:rFonts w:ascii="Book Antiqua" w:hAnsi="Book Antiqua"/>
          <w:sz w:val="24"/>
          <w:szCs w:val="24"/>
        </w:rPr>
        <w:t>also confirmed</w:t>
      </w:r>
      <w:r w:rsidR="00634B88" w:rsidRPr="00141E92">
        <w:rPr>
          <w:rFonts w:ascii="Book Antiqua" w:hAnsi="Book Antiqua"/>
          <w:sz w:val="24"/>
          <w:szCs w:val="24"/>
        </w:rPr>
        <w:t xml:space="preserve"> higher protein level</w:t>
      </w:r>
      <w:r w:rsidR="00DA7ACC" w:rsidRPr="00141E92">
        <w:rPr>
          <w:rFonts w:ascii="Book Antiqua" w:hAnsi="Book Antiqua"/>
          <w:sz w:val="24"/>
          <w:szCs w:val="24"/>
        </w:rPr>
        <w:t>s</w:t>
      </w:r>
      <w:r w:rsidR="00634B88" w:rsidRPr="00141E92">
        <w:rPr>
          <w:rFonts w:ascii="Book Antiqua" w:hAnsi="Book Antiqua"/>
          <w:sz w:val="24"/>
          <w:szCs w:val="24"/>
        </w:rPr>
        <w:t xml:space="preserve"> of IAP1 and IAP2 in the pancreatic cancer tissues</w:t>
      </w:r>
      <w:r w:rsidR="00DA7ACC" w:rsidRPr="00141E92">
        <w:rPr>
          <w:rFonts w:ascii="Book Antiqua" w:hAnsi="Book Antiqua"/>
          <w:sz w:val="24"/>
          <w:szCs w:val="24"/>
        </w:rPr>
        <w:t>, when</w:t>
      </w:r>
      <w:r w:rsidR="00634B88" w:rsidRPr="00141E92">
        <w:rPr>
          <w:rFonts w:ascii="Book Antiqua" w:hAnsi="Book Antiqua"/>
          <w:sz w:val="24"/>
          <w:szCs w:val="24"/>
        </w:rPr>
        <w:t xml:space="preserve"> compared to the normal pancreas (</w:t>
      </w:r>
      <w:r w:rsidR="00573B19">
        <w:rPr>
          <w:rFonts w:ascii="Book Antiqua" w:hAnsi="Book Antiqua"/>
          <w:sz w:val="24"/>
          <w:szCs w:val="24"/>
        </w:rPr>
        <w:t>Figure 1</w:t>
      </w:r>
      <w:r w:rsidR="006C2609" w:rsidRPr="00141E92">
        <w:rPr>
          <w:rFonts w:ascii="Book Antiqua" w:hAnsi="Book Antiqua"/>
          <w:sz w:val="24"/>
          <w:szCs w:val="24"/>
        </w:rPr>
        <w:t>B</w:t>
      </w:r>
      <w:r w:rsidR="00634B88" w:rsidRPr="00141E92">
        <w:rPr>
          <w:rFonts w:ascii="Book Antiqua" w:hAnsi="Book Antiqua"/>
          <w:sz w:val="24"/>
          <w:szCs w:val="24"/>
        </w:rPr>
        <w:t>).</w:t>
      </w:r>
    </w:p>
    <w:p w14:paraId="3F8C2A36" w14:textId="72F87067" w:rsidR="00E15B60" w:rsidRPr="00141E92" w:rsidRDefault="00573B19" w:rsidP="008530E2">
      <w:pPr>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r w:rsidR="0014455D" w:rsidRPr="00141E92">
        <w:rPr>
          <w:rFonts w:ascii="Book Antiqua" w:hAnsi="Book Antiqua"/>
          <w:color w:val="000000" w:themeColor="text1"/>
          <w:sz w:val="24"/>
          <w:szCs w:val="24"/>
        </w:rPr>
        <w:t xml:space="preserve">However, due to lack of specificity of IAP1 and IAP2 antibodies to non-specific binding, there were </w:t>
      </w:r>
      <w:r w:rsidR="000044B8" w:rsidRPr="00141E92">
        <w:rPr>
          <w:rFonts w:ascii="Book Antiqua" w:hAnsi="Book Antiqua"/>
          <w:sz w:val="24"/>
          <w:szCs w:val="24"/>
        </w:rPr>
        <w:t>inconclusive</w:t>
      </w:r>
      <w:r w:rsidR="0014455D" w:rsidRPr="00141E92">
        <w:rPr>
          <w:rFonts w:ascii="Book Antiqua" w:hAnsi="Book Antiqua"/>
          <w:sz w:val="24"/>
          <w:szCs w:val="24"/>
        </w:rPr>
        <w:t xml:space="preserve"> expression</w:t>
      </w:r>
      <w:r w:rsidR="0014455D" w:rsidRPr="00141E92">
        <w:rPr>
          <w:rFonts w:ascii="Book Antiqua" w:hAnsi="Book Antiqua"/>
          <w:b/>
          <w:sz w:val="24"/>
          <w:szCs w:val="24"/>
        </w:rPr>
        <w:t xml:space="preserve"> </w:t>
      </w:r>
      <w:r w:rsidR="0014455D" w:rsidRPr="00141E92">
        <w:rPr>
          <w:rFonts w:ascii="Book Antiqua" w:hAnsi="Book Antiqua"/>
          <w:color w:val="000000" w:themeColor="text1"/>
          <w:sz w:val="24"/>
          <w:szCs w:val="24"/>
        </w:rPr>
        <w:t xml:space="preserve">of IAP1 and IAP2 </w:t>
      </w:r>
      <w:r w:rsidR="002B0D6D" w:rsidRPr="00141E92">
        <w:rPr>
          <w:rFonts w:ascii="Book Antiqua" w:hAnsi="Book Antiqua"/>
          <w:color w:val="000000" w:themeColor="text1"/>
          <w:sz w:val="24"/>
          <w:szCs w:val="24"/>
        </w:rPr>
        <w:t xml:space="preserve">on </w:t>
      </w:r>
      <w:proofErr w:type="spellStart"/>
      <w:r w:rsidR="002B0D6D" w:rsidRPr="00141E92">
        <w:rPr>
          <w:rFonts w:ascii="Book Antiqua" w:hAnsi="Book Antiqua"/>
          <w:color w:val="000000" w:themeColor="text1"/>
          <w:sz w:val="24"/>
          <w:szCs w:val="24"/>
        </w:rPr>
        <w:lastRenderedPageBreak/>
        <w:t>immunohistological</w:t>
      </w:r>
      <w:proofErr w:type="spellEnd"/>
      <w:r w:rsidR="002B0D6D" w:rsidRPr="00141E92">
        <w:rPr>
          <w:rFonts w:ascii="Book Antiqua" w:hAnsi="Book Antiqua"/>
          <w:color w:val="000000" w:themeColor="text1"/>
          <w:sz w:val="24"/>
          <w:szCs w:val="24"/>
        </w:rPr>
        <w:t xml:space="preserve"> examination</w:t>
      </w:r>
      <w:r w:rsidR="0014455D" w:rsidRPr="00141E92">
        <w:rPr>
          <w:rFonts w:ascii="Book Antiqua" w:hAnsi="Book Antiqua"/>
          <w:color w:val="000000" w:themeColor="text1"/>
          <w:sz w:val="24"/>
          <w:szCs w:val="24"/>
        </w:rPr>
        <w:t>.</w:t>
      </w:r>
      <w:r w:rsidR="00847300" w:rsidRPr="00141E92">
        <w:rPr>
          <w:rFonts w:ascii="Book Antiqua" w:hAnsi="Book Antiqua"/>
          <w:color w:val="000000" w:themeColor="text1"/>
          <w:sz w:val="24"/>
          <w:szCs w:val="24"/>
        </w:rPr>
        <w:t xml:space="preserve"> S</w:t>
      </w:r>
      <w:r w:rsidR="006B5985" w:rsidRPr="00141E92">
        <w:rPr>
          <w:rFonts w:ascii="Book Antiqua" w:hAnsi="Book Antiqua"/>
          <w:color w:val="000000" w:themeColor="text1"/>
          <w:sz w:val="24"/>
          <w:szCs w:val="24"/>
        </w:rPr>
        <w:t>imilar data is reported in the Human Protein Atlas</w:t>
      </w:r>
      <w:r w:rsidR="007C64D9"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{"citationItems":[{"id":"ITEM-1","itemData":{"DOI":"10.1126/science.1260419","ISBN":"0036-8075\\r1095-9203","ISSN":"1095-9203","PMID":"25613900","abstract":"Resolving the molecular details of proteome variation in the different tissues and organs of the human body will greatly increase our knowledge of human biology and disease. Here, we present a map of the human tissue proteome based on an integrated omics approach that involves quantitative transcriptomics at the tissue and organ level, combined with tissue microarray-based immunohistochemistry, to achieve spatial localization of proteins down to the single-cell level. Our tissue-based analysis detected more than 90% of the putative protein-coding genes. We used this approach to explore the human secretome, the membrane proteome, the druggable proteome, the cancer proteome, and the metabolic functions in 32 different tissues and organs. All the data are integrated in an interactive Web-based database that allows exploration of individual proteins, as well as navigation of global expression patterns, in all major tissues and organs in the human body.","author":[{"dropping-particle":"","family":"Uhlén","given":"Mathias","non-dropping-particle":"","parse-names":false,"suffix":""},{"dropping-particle":"","family":"Fagerberg","given":"Linn","non-dropping-particle":"","parse-names":false,"suffix":""},{"dropping-particle":"","family":"Hallström","given":"Björn M","non-dropping-particle":"","parse-names":false,"suffix":""},{"dropping-particle":"","family":"Lindskog","given":"Cecilia","non-dropping-particle":"","parse-names":false,"suffix":""},{"dropping-particle":"","family":"Oksvold","given":"Per","non-dropping-particle":"","parse-names":false,"suffix":""},{"dropping-particle":"","family":"Mardinoglu","given":"Adil","non-dropping-particle":"","parse-names":false,"suffix":""},{"dropping-particle":"","family":"Sivertsson","given":"Åsa","non-dropping-particle":"","parse-names":false,"suffix":""},{"dropping-particle":"","family":"Kampf","given":"Caroline","non-dropping-particle":"","parse-names":false,"suffix":""},{"dropping-particle":"","family":"Sjöstedt","given":"Evelina","non-dropping-particle":"","parse-names":false,"suffix":""},{"dropping-particle":"","family":"Asplund","given":"Anna","non-dropping-particle":"","parse-names":false,"suffix":""},{"dropping-particle":"","family":"Olsson","given":"IngMarie","non-dropping-particle":"","parse-names":false,"suffix":""},{"dropping-particle":"","family":"Edlund","given":"Karolina","non-dropping-particle":"","parse-names":false,"suffix":""},{"dropping-particle":"","family":"Lundberg","given":"Emma","non-dropping-particle":"","parse-names":false,"suffix":""},{"dropping-particle":"","family":"Navani","given":"Sanjay","non-dropping-particle":"","parse-names":false,"suffix":""},{"dropping-particle":"","family":"Szigyarto","given":"Cristina Al-Khalili","non-dropping-particle":"","parse-names":false,"suffix":""},{"dropping-particle":"","family":"Odeberg","given":"Jacob","non-dropping-particle":"","parse-names":false,"suffix":""},{"dropping-particle":"","family":"Djureinovic","given":"Dijana","non-dropping-particle":"","parse-names":false,"suffix":""},{"dropping-particle":"","family":"Takanen","given":"Jenny Ottosson","non-dropping-particle":"","parse-names":false,"suffix":""},{"dropping-particle":"","family":"Hober","given":"Sophia","non-dropping-particle":"","parse-names":false,"suffix":""},{"dropping-particle":"","family":"Alm","given":"Tove","non-dropping-particle":"","parse-names":false,"suffix":""},{"dropping-particle":"","family":"Edqvist","given":"Per-Henrik","non-dropping-particle":"","parse-names":false,"suffix":""},{"dropping-particle":"","family":"Berling","given":"Holger","non-dropping-particle":"","parse-names":false,"suffix":""},{"dropping-particle":"","family":"Tegel","given":"Hanna","non-dropping-particle":"","parse-names":false,"suffix":""},{"dropping-particle":"","family":"Mulder","given":"Jan","non-dropping-particle":"","parse-names":false,"suffix":""},{"dropping-particle":"","family":"Rockberg","given":"Johan","non-dropping-particle":"","parse-names":false,"suffix":""},{"dropping-particle":"","family":"Nilsson","given":"Peter","non-dropping-particle":"","parse-names":false,"suffix":""},{"dropping-particle":"","family":"Schwenk","given":"Jochen M","non-dropping-particle":"","parse-names":false,"suffix":""},{"dropping-particle":"","family":"Hamsten","given":"Marica","non-dropping-particle":"","parse-names":false,"suffix":""},{"dropping-particle":"","family":"Feilitzen","given":"Kalle","non-dropping-particle":"von","parse-names":false,"suffix":""},{"dropping-particle":"","family":"Forsberg","given":"Mattias","non-dropping-particle":"","parse-names":false,"suffix":""},{"dropping-particle":"","family":"Persson","given":"Lukas","non-dropping-particle":"","parse-names":false,"suffix":""},{"dropping-particle":"","family":"Johansson","given":"Fredric","non-dropping-particle":"","parse-names":false,"suffix":""},{"dropping-particle":"","family":"Zwahlen","given":"Martin","non-dropping-particle":"","parse-names":false,"suffix":""},{"dropping-particle":"","family":"Heijne","given":"Gunnar","non-dropping-particle":"von","parse-names":false,"suffix":""},{"dropping-particle":"","family":"Nielsen","given":"Jens","non-dropping-particle":"","parse-names":false,"suffix":""},{"dropping-particle":"","family":"Pontén","given":"Fredrik","non-dropping-particle":"","parse-names":false,"suffix":""}],"container-title":"Science (New York, N.Y.)","id":"ITEM-1","issued":{"date-parts":[["2015"]]},"title":"Proteomics. Tissue-based map of the human proteome.","type":"article-journal"},"uris":["http://www.mendeley.com/documents/?uuid=9d0dab36-8218-43ff-b25c-0a102ec47da3"]}],"mendeley":{"formattedCitation":"&lt;sup&gt;[21]&lt;/sup&gt;","plainTextFormattedCitation":"[21]","previouslyFormattedCitation":"&lt;sup&gt;[21]&lt;/sup&gt;"},"properties":{"noteIndex":0},"schema":"https://github.com/citation-style-language/schema/raw/master/csl-citation.json"}</w:instrText>
      </w:r>
      <w:r w:rsidR="007C64D9"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[21]</w:t>
      </w:r>
      <w:r w:rsidR="007C64D9" w:rsidRPr="00141E92">
        <w:rPr>
          <w:rFonts w:ascii="Book Antiqua" w:hAnsi="Book Antiqua"/>
          <w:color w:val="000000" w:themeColor="text1"/>
          <w:sz w:val="24"/>
          <w:szCs w:val="24"/>
        </w:rPr>
        <w:fldChar w:fldCharType="end"/>
      </w:r>
      <w:r w:rsidR="007C64D9" w:rsidRPr="00141E92">
        <w:rPr>
          <w:rFonts w:ascii="Book Antiqua" w:hAnsi="Book Antiqua"/>
          <w:color w:val="000000" w:themeColor="text1"/>
          <w:sz w:val="24"/>
          <w:szCs w:val="24"/>
        </w:rPr>
        <w:t xml:space="preserve"> </w:t>
      </w:r>
      <w:r w:rsidR="006B5985" w:rsidRPr="00141E92">
        <w:rPr>
          <w:rFonts w:ascii="Book Antiqua" w:hAnsi="Book Antiqua"/>
          <w:color w:val="000000" w:themeColor="text1"/>
          <w:sz w:val="24"/>
          <w:szCs w:val="24"/>
        </w:rPr>
        <w:t xml:space="preserve">database: approximately half of the pancreatic tissue samples are reported to have low or undetectable levels of IAP1 and all the samples negative for IAP2 on </w:t>
      </w:r>
      <w:proofErr w:type="spellStart"/>
      <w:r w:rsidR="006B5985" w:rsidRPr="00141E92">
        <w:rPr>
          <w:rFonts w:ascii="Book Antiqua" w:hAnsi="Book Antiqua"/>
          <w:color w:val="000000" w:themeColor="text1"/>
          <w:sz w:val="24"/>
          <w:szCs w:val="24"/>
        </w:rPr>
        <w:t>immunohistological</w:t>
      </w:r>
      <w:proofErr w:type="spellEnd"/>
      <w:r w:rsidR="006B5985" w:rsidRPr="00141E92">
        <w:rPr>
          <w:rFonts w:ascii="Book Antiqua" w:hAnsi="Book Antiqua"/>
          <w:color w:val="000000" w:themeColor="text1"/>
          <w:sz w:val="24"/>
          <w:szCs w:val="24"/>
        </w:rPr>
        <w:t xml:space="preserve"> examination.</w:t>
      </w:r>
    </w:p>
    <w:p w14:paraId="4D006257" w14:textId="77777777" w:rsidR="006B5985" w:rsidRPr="00141E92" w:rsidRDefault="006B5985" w:rsidP="008530E2">
      <w:pPr>
        <w:snapToGrid w:val="0"/>
        <w:spacing w:line="360" w:lineRule="auto"/>
        <w:jc w:val="both"/>
        <w:rPr>
          <w:rFonts w:ascii="Book Antiqua" w:hAnsi="Book Antiqua"/>
          <w:b/>
          <w:i/>
          <w:sz w:val="24"/>
          <w:szCs w:val="24"/>
        </w:rPr>
      </w:pPr>
    </w:p>
    <w:p w14:paraId="61CF28D0" w14:textId="2930B79A" w:rsidR="00E15B60" w:rsidRPr="00141E92" w:rsidRDefault="00E15B60" w:rsidP="003F50D4">
      <w:pPr>
        <w:snapToGrid w:val="0"/>
        <w:spacing w:line="360" w:lineRule="auto"/>
        <w:jc w:val="both"/>
        <w:outlineLvl w:val="0"/>
        <w:rPr>
          <w:rFonts w:ascii="Book Antiqua" w:hAnsi="Book Antiqua"/>
          <w:b/>
          <w:i/>
          <w:sz w:val="24"/>
          <w:szCs w:val="24"/>
        </w:rPr>
      </w:pPr>
      <w:r w:rsidRPr="00141E92">
        <w:rPr>
          <w:rFonts w:ascii="Book Antiqua" w:hAnsi="Book Antiqua"/>
          <w:b/>
          <w:i/>
          <w:sz w:val="24"/>
          <w:szCs w:val="24"/>
        </w:rPr>
        <w:t xml:space="preserve">High expression of IAP1 is </w:t>
      </w:r>
      <w:r w:rsidR="00634B88" w:rsidRPr="00141E92">
        <w:rPr>
          <w:rFonts w:ascii="Book Antiqua" w:hAnsi="Book Antiqua"/>
          <w:b/>
          <w:i/>
          <w:sz w:val="24"/>
          <w:szCs w:val="24"/>
        </w:rPr>
        <w:t xml:space="preserve">a </w:t>
      </w:r>
      <w:r w:rsidRPr="00141E92">
        <w:rPr>
          <w:rFonts w:ascii="Book Antiqua" w:hAnsi="Book Antiqua"/>
          <w:b/>
          <w:i/>
          <w:sz w:val="24"/>
          <w:szCs w:val="24"/>
        </w:rPr>
        <w:t xml:space="preserve">significant predictive marker of worse outcome </w:t>
      </w:r>
    </w:p>
    <w:p w14:paraId="4E28A8AD" w14:textId="3D349CD1" w:rsidR="006B43A2" w:rsidRPr="00141E92" w:rsidRDefault="00634B88" w:rsidP="008530E2">
      <w:pPr>
        <w:snapToGrid w:val="0"/>
        <w:spacing w:line="360" w:lineRule="auto"/>
        <w:jc w:val="both"/>
        <w:rPr>
          <w:rFonts w:ascii="Book Antiqua" w:hAnsi="Book Antiqua"/>
          <w:b/>
          <w:color w:val="FF0000"/>
          <w:sz w:val="24"/>
          <w:szCs w:val="24"/>
        </w:rPr>
      </w:pPr>
      <w:r w:rsidRPr="00141E92">
        <w:rPr>
          <w:rFonts w:ascii="Book Antiqua" w:hAnsi="Book Antiqua"/>
          <w:sz w:val="24"/>
          <w:szCs w:val="24"/>
        </w:rPr>
        <w:t xml:space="preserve">We </w:t>
      </w:r>
      <w:r w:rsidR="003C01D4" w:rsidRPr="00141E92">
        <w:rPr>
          <w:rFonts w:ascii="Book Antiqua" w:hAnsi="Book Antiqua"/>
          <w:sz w:val="24"/>
          <w:szCs w:val="24"/>
        </w:rPr>
        <w:t>analyzed</w:t>
      </w:r>
      <w:r w:rsidRPr="00141E92">
        <w:rPr>
          <w:rFonts w:ascii="Book Antiqua" w:hAnsi="Book Antiqua"/>
          <w:sz w:val="24"/>
          <w:szCs w:val="24"/>
        </w:rPr>
        <w:t xml:space="preserve"> the correlation among expression of IAP1, IAP2 and histopathological variables. </w:t>
      </w:r>
      <w:r w:rsidRPr="00141E92">
        <w:rPr>
          <w:rFonts w:ascii="Book Antiqua" w:hAnsi="Book Antiqua" w:cs="Times"/>
          <w:color w:val="000000" w:themeColor="text1"/>
          <w:sz w:val="24"/>
          <w:szCs w:val="24"/>
        </w:rPr>
        <w:t>IAP1 mRNA expression was co</w:t>
      </w:r>
      <w:r w:rsidR="00DB598B" w:rsidRPr="00141E92">
        <w:rPr>
          <w:rFonts w:ascii="Book Antiqua" w:hAnsi="Book Antiqua" w:cs="Times"/>
          <w:color w:val="000000" w:themeColor="text1"/>
          <w:sz w:val="24"/>
          <w:szCs w:val="24"/>
        </w:rPr>
        <w:t>rrelated with lymphatic (</w:t>
      </w:r>
      <w:r w:rsidR="00DB598B" w:rsidRPr="00141E92">
        <w:rPr>
          <w:rFonts w:ascii="Book Antiqua" w:hAnsi="Book Antiqua" w:cs="Times"/>
          <w:i/>
          <w:color w:val="000000" w:themeColor="text1"/>
          <w:sz w:val="24"/>
          <w:szCs w:val="24"/>
        </w:rPr>
        <w:t xml:space="preserve">P </w:t>
      </w:r>
      <w:r w:rsidR="00DB598B" w:rsidRPr="00141E92">
        <w:rPr>
          <w:rFonts w:ascii="Book Antiqua" w:hAnsi="Book Antiqua" w:cs="Times"/>
          <w:color w:val="000000" w:themeColor="text1"/>
          <w:sz w:val="24"/>
          <w:szCs w:val="24"/>
        </w:rPr>
        <w:t xml:space="preserve">&lt; </w:t>
      </w:r>
      <w:r w:rsidR="006B43A2" w:rsidRPr="00141E92">
        <w:rPr>
          <w:rFonts w:ascii="Book Antiqua" w:hAnsi="Book Antiqua" w:cs="Times"/>
          <w:color w:val="000000" w:themeColor="text1"/>
          <w:sz w:val="24"/>
          <w:szCs w:val="24"/>
        </w:rPr>
        <w:t>0.05</w:t>
      </w:r>
      <w:r w:rsidRPr="00141E92">
        <w:rPr>
          <w:rFonts w:ascii="Book Antiqua" w:hAnsi="Book Antiqua" w:cs="Times"/>
          <w:color w:val="000000" w:themeColor="text1"/>
          <w:sz w:val="24"/>
          <w:szCs w:val="24"/>
        </w:rPr>
        <w:t xml:space="preserve">) </w:t>
      </w:r>
      <w:r w:rsidR="006B43A2" w:rsidRPr="00141E92">
        <w:rPr>
          <w:rFonts w:ascii="Book Antiqua" w:hAnsi="Book Antiqua" w:cs="Times"/>
          <w:color w:val="000000" w:themeColor="text1"/>
          <w:sz w:val="24"/>
          <w:szCs w:val="24"/>
        </w:rPr>
        <w:t xml:space="preserve">and </w:t>
      </w:r>
      <w:r w:rsidR="00DB598B" w:rsidRPr="00141E92">
        <w:rPr>
          <w:rFonts w:ascii="Book Antiqua" w:hAnsi="Book Antiqua" w:cs="Times"/>
          <w:color w:val="000000" w:themeColor="text1"/>
          <w:sz w:val="24"/>
          <w:szCs w:val="24"/>
        </w:rPr>
        <w:t>perineural invasion (</w:t>
      </w:r>
      <w:r w:rsidR="00954575" w:rsidRPr="00141E92">
        <w:rPr>
          <w:rFonts w:ascii="Book Antiqua" w:hAnsi="Book Antiqua" w:cs="Times"/>
          <w:i/>
          <w:color w:val="000000" w:themeColor="text1"/>
          <w:sz w:val="24"/>
          <w:szCs w:val="24"/>
        </w:rPr>
        <w:t>P</w:t>
      </w:r>
      <w:r w:rsidR="00954575" w:rsidRPr="00141E92" w:rsidDel="00954575">
        <w:rPr>
          <w:rFonts w:ascii="Book Antiqua" w:hAnsi="Book Antiqua" w:cs="Times"/>
          <w:color w:val="000000" w:themeColor="text1"/>
          <w:sz w:val="24"/>
          <w:szCs w:val="24"/>
        </w:rPr>
        <w:t xml:space="preserve"> </w:t>
      </w:r>
      <w:r w:rsidR="00DB598B" w:rsidRPr="00141E92">
        <w:rPr>
          <w:rFonts w:ascii="Book Antiqua" w:hAnsi="Book Antiqua" w:cs="Times"/>
          <w:color w:val="000000" w:themeColor="text1"/>
          <w:sz w:val="24"/>
          <w:szCs w:val="24"/>
        </w:rPr>
        <w:t xml:space="preserve">&lt; </w:t>
      </w:r>
      <w:r w:rsidR="006B43A2" w:rsidRPr="00141E92">
        <w:rPr>
          <w:rFonts w:ascii="Book Antiqua" w:hAnsi="Book Antiqua" w:cs="Times"/>
          <w:color w:val="000000" w:themeColor="text1"/>
          <w:sz w:val="24"/>
          <w:szCs w:val="24"/>
        </w:rPr>
        <w:t>0.05</w:t>
      </w:r>
      <w:r w:rsidRPr="00141E92">
        <w:rPr>
          <w:rFonts w:ascii="Book Antiqua" w:hAnsi="Book Antiqua" w:cs="Times"/>
          <w:color w:val="000000" w:themeColor="text1"/>
          <w:sz w:val="24"/>
          <w:szCs w:val="24"/>
        </w:rPr>
        <w:t xml:space="preserve">). </w:t>
      </w:r>
      <w:r w:rsidRPr="00141E92">
        <w:rPr>
          <w:rFonts w:ascii="Book Antiqua" w:hAnsi="Book Antiqua"/>
          <w:color w:val="000000" w:themeColor="text1"/>
          <w:sz w:val="24"/>
          <w:szCs w:val="24"/>
        </w:rPr>
        <w:t>However, no significant association was observed between IAP2 expression and histopathological features</w:t>
      </w:r>
      <w:r w:rsidR="00FD2123" w:rsidRPr="00141E92">
        <w:rPr>
          <w:rFonts w:ascii="Book Antiqua" w:hAnsi="Book Antiqua"/>
          <w:color w:val="000000" w:themeColor="text1"/>
          <w:sz w:val="24"/>
          <w:szCs w:val="24"/>
        </w:rPr>
        <w:t xml:space="preserve"> of the tumor</w:t>
      </w:r>
      <w:r w:rsidRPr="00141E92">
        <w:rPr>
          <w:rFonts w:ascii="Book Antiqua" w:hAnsi="Book Antiqua"/>
          <w:color w:val="000000" w:themeColor="text1"/>
          <w:sz w:val="24"/>
          <w:szCs w:val="24"/>
        </w:rPr>
        <w:t>.</w:t>
      </w:r>
      <w:r w:rsidR="006B43A2" w:rsidRPr="00141E92">
        <w:rPr>
          <w:rFonts w:ascii="Book Antiqua" w:hAnsi="Book Antiqua"/>
          <w:b/>
          <w:color w:val="FF0000"/>
          <w:sz w:val="24"/>
          <w:szCs w:val="24"/>
        </w:rPr>
        <w:t xml:space="preserve"> </w:t>
      </w:r>
      <w:r w:rsidRPr="00141E92">
        <w:rPr>
          <w:rFonts w:ascii="Book Antiqua" w:hAnsi="Book Antiqua"/>
          <w:color w:val="000000" w:themeColor="text1"/>
          <w:sz w:val="24"/>
          <w:szCs w:val="24"/>
        </w:rPr>
        <w:t>Additionally, univariate analysis was performed on different histopathological factors that might have influenced survival (Table 2). Tumor resection status, T stage, lymph-node metastases, tumor differentiation grade, perineural and lymphatic invasion were as</w:t>
      </w:r>
      <w:r w:rsidR="00DB598B" w:rsidRPr="00141E92">
        <w:rPr>
          <w:rFonts w:ascii="Book Antiqua" w:hAnsi="Book Antiqua"/>
          <w:color w:val="000000" w:themeColor="text1"/>
          <w:sz w:val="24"/>
          <w:szCs w:val="24"/>
        </w:rPr>
        <w:t>sessed as significant factors (</w:t>
      </w:r>
      <w:r w:rsidR="00DB598B" w:rsidRPr="00141E92">
        <w:rPr>
          <w:rFonts w:ascii="Book Antiqua" w:hAnsi="Book Antiqua"/>
          <w:i/>
          <w:color w:val="000000" w:themeColor="text1"/>
          <w:sz w:val="24"/>
          <w:szCs w:val="24"/>
        </w:rPr>
        <w:t>P</w:t>
      </w:r>
      <w:r w:rsidR="00DB598B"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&lt;</w:t>
      </w:r>
      <w:r w:rsidR="00DB598B"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0.05) (Table 2)</w:t>
      </w:r>
      <w:r w:rsidR="00A64CB7" w:rsidRPr="00141E92">
        <w:rPr>
          <w:rFonts w:ascii="Book Antiqua" w:hAnsi="Book Antiqua"/>
          <w:color w:val="000000" w:themeColor="text1"/>
          <w:sz w:val="24"/>
          <w:szCs w:val="24"/>
        </w:rPr>
        <w:t xml:space="preserve"> along with mRNA IAP1 </w:t>
      </w:r>
      <w:r w:rsidR="00886D5C" w:rsidRPr="00141E92">
        <w:rPr>
          <w:rFonts w:ascii="Book Antiqua" w:hAnsi="Book Antiqua"/>
          <w:color w:val="000000" w:themeColor="text1"/>
          <w:sz w:val="24"/>
          <w:szCs w:val="24"/>
        </w:rPr>
        <w:t>expression.</w:t>
      </w:r>
      <w:r w:rsidRPr="00141E92">
        <w:rPr>
          <w:rFonts w:ascii="Book Antiqua" w:hAnsi="Book Antiqua"/>
          <w:color w:val="000000" w:themeColor="text1"/>
          <w:sz w:val="24"/>
          <w:szCs w:val="24"/>
        </w:rPr>
        <w:t xml:space="preserve"> In multivar</w:t>
      </w:r>
      <w:r w:rsidR="00573B19">
        <w:rPr>
          <w:rFonts w:ascii="Book Antiqua" w:hAnsi="Book Antiqua"/>
          <w:color w:val="000000" w:themeColor="text1"/>
          <w:sz w:val="24"/>
          <w:szCs w:val="24"/>
        </w:rPr>
        <w:t>iate analysis, IAP1 expression [hazard ratio (</w:t>
      </w:r>
      <w:r w:rsidRPr="00141E92">
        <w:rPr>
          <w:rFonts w:ascii="Book Antiqua" w:hAnsi="Book Antiqua"/>
          <w:color w:val="000000" w:themeColor="text1"/>
          <w:sz w:val="24"/>
          <w:szCs w:val="24"/>
        </w:rPr>
        <w:t>H</w:t>
      </w:r>
      <w:r w:rsidR="006F6F26" w:rsidRPr="00141E92">
        <w:rPr>
          <w:rFonts w:ascii="Book Antiqua" w:hAnsi="Book Antiqua"/>
          <w:color w:val="000000" w:themeColor="text1"/>
          <w:sz w:val="24"/>
          <w:szCs w:val="24"/>
        </w:rPr>
        <w:t>R</w:t>
      </w:r>
      <w:r w:rsidR="00573B19">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00573B19">
        <w:rPr>
          <w:rFonts w:ascii="Book Antiqua" w:hAnsi="Book Antiqua"/>
          <w:color w:val="000000" w:themeColor="text1"/>
          <w:sz w:val="24"/>
          <w:szCs w:val="24"/>
        </w:rPr>
        <w:t>5.51, 95%</w:t>
      </w:r>
      <w:r w:rsidRPr="00141E92">
        <w:rPr>
          <w:rFonts w:ascii="Book Antiqua" w:hAnsi="Book Antiqua"/>
          <w:color w:val="000000" w:themeColor="text1"/>
          <w:sz w:val="24"/>
          <w:szCs w:val="24"/>
        </w:rPr>
        <w:t>CI:</w:t>
      </w:r>
      <w:r w:rsidRPr="00141E92">
        <w:rPr>
          <w:rFonts w:ascii="Book Antiqua" w:hAnsi="Book Antiqua"/>
          <w:sz w:val="24"/>
          <w:szCs w:val="24"/>
        </w:rPr>
        <w:t xml:space="preserve"> 1.95-15.59</w:t>
      </w:r>
      <w:r w:rsidR="00633F12" w:rsidRPr="00141E92">
        <w:rPr>
          <w:rFonts w:ascii="Book Antiqua" w:hAnsi="Book Antiqua"/>
          <w:color w:val="000000" w:themeColor="text1"/>
          <w:sz w:val="24"/>
          <w:szCs w:val="24"/>
        </w:rPr>
        <w:t xml:space="preserve">, </w:t>
      </w:r>
      <w:r w:rsidR="00633F12" w:rsidRPr="00141E92">
        <w:rPr>
          <w:rFonts w:ascii="Book Antiqua" w:hAnsi="Book Antiqua"/>
          <w:i/>
          <w:color w:val="000000" w:themeColor="text1"/>
          <w:sz w:val="24"/>
          <w:szCs w:val="24"/>
        </w:rPr>
        <w:t>P</w:t>
      </w:r>
      <w:r w:rsidR="00C21DF2"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00573B19">
        <w:rPr>
          <w:rFonts w:ascii="Book Antiqua" w:hAnsi="Book Antiqua"/>
          <w:color w:val="000000" w:themeColor="text1"/>
          <w:sz w:val="24"/>
          <w:szCs w:val="24"/>
        </w:rPr>
        <w:t>0.001]</w:t>
      </w:r>
      <w:r w:rsidRPr="00141E92">
        <w:rPr>
          <w:rFonts w:ascii="Book Antiqua" w:hAnsi="Book Antiqua"/>
          <w:color w:val="000000" w:themeColor="text1"/>
          <w:sz w:val="24"/>
          <w:szCs w:val="24"/>
        </w:rPr>
        <w:t>, tumor differentiatio</w:t>
      </w:r>
      <w:r w:rsidR="00633F12" w:rsidRPr="00141E92">
        <w:rPr>
          <w:rFonts w:ascii="Book Antiqua" w:hAnsi="Book Antiqua"/>
          <w:color w:val="000000" w:themeColor="text1"/>
          <w:sz w:val="24"/>
          <w:szCs w:val="24"/>
        </w:rPr>
        <w:t>n (H</w:t>
      </w:r>
      <w:r w:rsidR="00317559" w:rsidRPr="00141E92">
        <w:rPr>
          <w:rFonts w:ascii="Book Antiqua" w:hAnsi="Book Antiqua"/>
          <w:color w:val="000000" w:themeColor="text1"/>
          <w:sz w:val="24"/>
          <w:szCs w:val="24"/>
        </w:rPr>
        <w:t>R</w:t>
      </w:r>
      <w:r w:rsidR="00C21DF2" w:rsidRPr="00141E92">
        <w:rPr>
          <w:rFonts w:ascii="Book Antiqua" w:hAnsi="Book Antiqua"/>
          <w:color w:val="000000" w:themeColor="text1"/>
          <w:sz w:val="24"/>
          <w:szCs w:val="24"/>
        </w:rPr>
        <w:t xml:space="preserve"> </w:t>
      </w:r>
      <w:r w:rsidR="00633F12"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00573B19">
        <w:rPr>
          <w:rFonts w:ascii="Book Antiqua" w:hAnsi="Book Antiqua"/>
          <w:color w:val="000000" w:themeColor="text1"/>
          <w:sz w:val="24"/>
          <w:szCs w:val="24"/>
        </w:rPr>
        <w:t>2.73, 95%</w:t>
      </w:r>
      <w:r w:rsidR="00633F12" w:rsidRPr="00141E92">
        <w:rPr>
          <w:rFonts w:ascii="Book Antiqua" w:hAnsi="Book Antiqua"/>
          <w:color w:val="000000" w:themeColor="text1"/>
          <w:sz w:val="24"/>
          <w:szCs w:val="24"/>
        </w:rPr>
        <w:t xml:space="preserve">CI: 1.17-6.37, </w:t>
      </w:r>
      <w:r w:rsidR="00633F12" w:rsidRPr="00141E92">
        <w:rPr>
          <w:rFonts w:ascii="Book Antiqua" w:hAnsi="Book Antiqua"/>
          <w:i/>
          <w:color w:val="000000" w:themeColor="text1"/>
          <w:sz w:val="24"/>
          <w:szCs w:val="24"/>
        </w:rPr>
        <w:t>P</w:t>
      </w:r>
      <w:r w:rsidR="00C21DF2" w:rsidRPr="00141E92">
        <w:rPr>
          <w:rFonts w:ascii="Book Antiqua" w:hAnsi="Book Antiqua"/>
          <w:i/>
          <w:color w:val="000000" w:themeColor="text1"/>
          <w:sz w:val="24"/>
          <w:szCs w:val="24"/>
        </w:rPr>
        <w:t xml:space="preserve"> </w:t>
      </w:r>
      <w:r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0.02) and resection statu</w:t>
      </w:r>
      <w:r w:rsidR="00633F12" w:rsidRPr="00141E92">
        <w:rPr>
          <w:rFonts w:ascii="Book Antiqua" w:hAnsi="Book Antiqua"/>
          <w:color w:val="000000" w:themeColor="text1"/>
          <w:sz w:val="24"/>
          <w:szCs w:val="24"/>
        </w:rPr>
        <w:t>s (H</w:t>
      </w:r>
      <w:r w:rsidR="00317559" w:rsidRPr="00141E92">
        <w:rPr>
          <w:rFonts w:ascii="Book Antiqua" w:hAnsi="Book Antiqua"/>
          <w:color w:val="000000" w:themeColor="text1"/>
          <w:sz w:val="24"/>
          <w:szCs w:val="24"/>
        </w:rPr>
        <w:t>R</w:t>
      </w:r>
      <w:r w:rsidR="00C21DF2" w:rsidRPr="00141E92">
        <w:rPr>
          <w:rFonts w:ascii="Book Antiqua" w:hAnsi="Book Antiqua"/>
          <w:color w:val="000000" w:themeColor="text1"/>
          <w:sz w:val="24"/>
          <w:szCs w:val="24"/>
        </w:rPr>
        <w:t xml:space="preserve"> </w:t>
      </w:r>
      <w:r w:rsidR="00633F12"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00573B19">
        <w:rPr>
          <w:rFonts w:ascii="Book Antiqua" w:hAnsi="Book Antiqua"/>
          <w:color w:val="000000" w:themeColor="text1"/>
          <w:sz w:val="24"/>
          <w:szCs w:val="24"/>
        </w:rPr>
        <w:t>2.87, 95%</w:t>
      </w:r>
      <w:r w:rsidR="00633F12" w:rsidRPr="00141E92">
        <w:rPr>
          <w:rFonts w:ascii="Book Antiqua" w:hAnsi="Book Antiqua"/>
          <w:color w:val="000000" w:themeColor="text1"/>
          <w:sz w:val="24"/>
          <w:szCs w:val="24"/>
        </w:rPr>
        <w:t xml:space="preserve">CI: 1.31-6.29, </w:t>
      </w:r>
      <w:r w:rsidR="00633F12" w:rsidRPr="00141E92">
        <w:rPr>
          <w:rFonts w:ascii="Book Antiqua" w:hAnsi="Book Antiqua"/>
          <w:i/>
          <w:color w:val="000000" w:themeColor="text1"/>
          <w:sz w:val="24"/>
          <w:szCs w:val="24"/>
        </w:rPr>
        <w:t>P</w:t>
      </w:r>
      <w:r w:rsidR="00C21DF2" w:rsidRPr="00141E92">
        <w:rPr>
          <w:rFonts w:ascii="Book Antiqua" w:hAnsi="Book Antiqua"/>
          <w:i/>
          <w:color w:val="000000" w:themeColor="text1"/>
          <w:sz w:val="24"/>
          <w:szCs w:val="24"/>
        </w:rPr>
        <w:t xml:space="preserve"> </w:t>
      </w:r>
      <w:r w:rsidRPr="00141E92">
        <w:rPr>
          <w:rFonts w:ascii="Book Antiqua" w:hAnsi="Book Antiqua"/>
          <w:color w:val="000000" w:themeColor="text1"/>
          <w:sz w:val="24"/>
          <w:szCs w:val="24"/>
        </w:rPr>
        <w:t>=</w:t>
      </w:r>
      <w:r w:rsidR="00C21DF2" w:rsidRPr="00141E92">
        <w:rPr>
          <w:rFonts w:ascii="Book Antiqua" w:hAnsi="Book Antiqua"/>
          <w:color w:val="000000" w:themeColor="text1"/>
          <w:sz w:val="24"/>
          <w:szCs w:val="24"/>
        </w:rPr>
        <w:t xml:space="preserve"> </w:t>
      </w:r>
      <w:r w:rsidRPr="00141E92">
        <w:rPr>
          <w:rFonts w:ascii="Book Antiqua" w:hAnsi="Book Antiqua"/>
          <w:color w:val="000000" w:themeColor="text1"/>
          <w:sz w:val="24"/>
          <w:szCs w:val="24"/>
        </w:rPr>
        <w:t xml:space="preserve">0.008) were </w:t>
      </w:r>
      <w:r w:rsidR="00EB6C70" w:rsidRPr="00141E92">
        <w:rPr>
          <w:rFonts w:ascii="Book Antiqua" w:hAnsi="Book Antiqua"/>
          <w:color w:val="000000" w:themeColor="text1"/>
          <w:sz w:val="24"/>
          <w:szCs w:val="24"/>
        </w:rPr>
        <w:t>revealed as the independent factors that had the negative impact on</w:t>
      </w:r>
      <w:r w:rsidRPr="00141E92">
        <w:rPr>
          <w:rFonts w:ascii="Book Antiqua" w:hAnsi="Book Antiqua"/>
          <w:color w:val="000000" w:themeColor="text1"/>
          <w:sz w:val="24"/>
          <w:szCs w:val="24"/>
        </w:rPr>
        <w:t xml:space="preserve"> survival of PDAC patients (Table 3).</w:t>
      </w:r>
      <w:r w:rsidR="00B63811" w:rsidRPr="00141E92">
        <w:rPr>
          <w:rFonts w:ascii="Book Antiqua" w:hAnsi="Book Antiqua"/>
          <w:b/>
          <w:color w:val="FF0000"/>
          <w:sz w:val="24"/>
          <w:szCs w:val="24"/>
        </w:rPr>
        <w:t xml:space="preserve"> </w:t>
      </w:r>
      <w:r w:rsidR="006C21A7" w:rsidRPr="00141E92">
        <w:rPr>
          <w:rFonts w:ascii="Book Antiqua" w:hAnsi="Book Antiqua"/>
          <w:sz w:val="24"/>
          <w:szCs w:val="24"/>
        </w:rPr>
        <w:t>Survival a</w:t>
      </w:r>
      <w:r w:rsidR="006B43A2" w:rsidRPr="00141E92">
        <w:rPr>
          <w:rFonts w:ascii="Book Antiqua" w:hAnsi="Book Antiqua"/>
          <w:sz w:val="24"/>
          <w:szCs w:val="24"/>
        </w:rPr>
        <w:t>nalysis revealed that patients with lower IAP1 expression were doing better in tested cohort group</w:t>
      </w:r>
      <w:r w:rsidR="006C21A7" w:rsidRPr="00141E92">
        <w:rPr>
          <w:rFonts w:ascii="Book Antiqua" w:hAnsi="Book Antiqua"/>
          <w:sz w:val="24"/>
          <w:szCs w:val="24"/>
        </w:rPr>
        <w:t xml:space="preserve"> (</w:t>
      </w:r>
      <w:r w:rsidR="00573B19">
        <w:rPr>
          <w:rFonts w:ascii="Book Antiqua" w:hAnsi="Book Antiqua"/>
          <w:sz w:val="24"/>
          <w:szCs w:val="24"/>
        </w:rPr>
        <w:t>Figure 2</w:t>
      </w:r>
      <w:r w:rsidR="006C2609" w:rsidRPr="00141E92">
        <w:rPr>
          <w:rFonts w:ascii="Book Antiqua" w:hAnsi="Book Antiqua"/>
          <w:sz w:val="24"/>
          <w:szCs w:val="24"/>
        </w:rPr>
        <w:t>A</w:t>
      </w:r>
      <w:r w:rsidR="006C21A7" w:rsidRPr="00141E92">
        <w:rPr>
          <w:rFonts w:ascii="Book Antiqua" w:hAnsi="Book Antiqua"/>
          <w:sz w:val="24"/>
          <w:szCs w:val="24"/>
        </w:rPr>
        <w:t>)</w:t>
      </w:r>
      <w:r w:rsidR="006B43A2" w:rsidRPr="00141E92">
        <w:rPr>
          <w:rFonts w:ascii="Book Antiqua" w:hAnsi="Book Antiqua"/>
          <w:sz w:val="24"/>
          <w:szCs w:val="24"/>
        </w:rPr>
        <w:t xml:space="preserve">. The median survival of patients with low expression of IAP1 was 29.1 </w:t>
      </w:r>
      <w:proofErr w:type="spellStart"/>
      <w:r w:rsidR="006B43A2" w:rsidRPr="00141E92">
        <w:rPr>
          <w:rFonts w:ascii="Book Antiqua" w:hAnsi="Book Antiqua"/>
          <w:sz w:val="24"/>
          <w:szCs w:val="24"/>
        </w:rPr>
        <w:t>mo</w:t>
      </w:r>
      <w:proofErr w:type="spellEnd"/>
      <w:r w:rsidR="00573B19">
        <w:rPr>
          <w:rFonts w:ascii="Book Antiqua" w:hAnsi="Book Antiqua"/>
          <w:sz w:val="24"/>
          <w:szCs w:val="24"/>
        </w:rPr>
        <w:t xml:space="preserve"> </w:t>
      </w:r>
      <w:r w:rsidR="006B43A2" w:rsidRPr="00141E92">
        <w:rPr>
          <w:rFonts w:ascii="Book Antiqua" w:hAnsi="Book Antiqua"/>
          <w:sz w:val="24"/>
          <w:szCs w:val="24"/>
        </w:rPr>
        <w:t>while with high expre</w:t>
      </w:r>
      <w:r w:rsidR="006C2609" w:rsidRPr="00141E92">
        <w:rPr>
          <w:rFonts w:ascii="Book Antiqua" w:hAnsi="Book Antiqua"/>
          <w:sz w:val="24"/>
          <w:szCs w:val="24"/>
        </w:rPr>
        <w:t xml:space="preserve">ssion of IAP1 was 16.6 </w:t>
      </w:r>
      <w:proofErr w:type="spellStart"/>
      <w:r w:rsidR="006C2609" w:rsidRPr="00141E92">
        <w:rPr>
          <w:rFonts w:ascii="Book Antiqua" w:hAnsi="Book Antiqua"/>
          <w:sz w:val="24"/>
          <w:szCs w:val="24"/>
        </w:rPr>
        <w:t>mo</w:t>
      </w:r>
      <w:proofErr w:type="spellEnd"/>
      <w:r w:rsidR="006C2609" w:rsidRPr="00141E92">
        <w:rPr>
          <w:rFonts w:ascii="Book Antiqua" w:hAnsi="Book Antiqua"/>
          <w:sz w:val="24"/>
          <w:szCs w:val="24"/>
        </w:rPr>
        <w:t xml:space="preserve"> (</w:t>
      </w:r>
      <w:r w:rsidR="006C2609" w:rsidRPr="00141E92">
        <w:rPr>
          <w:rFonts w:ascii="Book Antiqua" w:hAnsi="Book Antiqua"/>
          <w:i/>
          <w:sz w:val="24"/>
          <w:szCs w:val="24"/>
        </w:rPr>
        <w:t>P</w:t>
      </w:r>
      <w:r w:rsidR="006C2609" w:rsidRPr="00141E92">
        <w:rPr>
          <w:rFonts w:ascii="Book Antiqua" w:hAnsi="Book Antiqua"/>
          <w:sz w:val="24"/>
          <w:szCs w:val="24"/>
        </w:rPr>
        <w:t xml:space="preserve"> </w:t>
      </w:r>
      <w:r w:rsidR="006B43A2" w:rsidRPr="00141E92">
        <w:rPr>
          <w:rFonts w:ascii="Book Antiqua" w:hAnsi="Book Antiqua"/>
          <w:sz w:val="24"/>
          <w:szCs w:val="24"/>
        </w:rPr>
        <w:t>=</w:t>
      </w:r>
      <w:r w:rsidR="006C2609" w:rsidRPr="00141E92">
        <w:rPr>
          <w:rFonts w:ascii="Book Antiqua" w:hAnsi="Book Antiqua"/>
          <w:sz w:val="24"/>
          <w:szCs w:val="24"/>
        </w:rPr>
        <w:t xml:space="preserve"> </w:t>
      </w:r>
      <w:r w:rsidR="006B43A2" w:rsidRPr="00141E92">
        <w:rPr>
          <w:rFonts w:ascii="Book Antiqua" w:hAnsi="Book Antiqua"/>
          <w:sz w:val="24"/>
          <w:szCs w:val="24"/>
        </w:rPr>
        <w:t>0.022, Log-rank test) (</w:t>
      </w:r>
      <w:r w:rsidR="006C21A7" w:rsidRPr="00141E92">
        <w:rPr>
          <w:rFonts w:ascii="Book Antiqua" w:hAnsi="Book Antiqua"/>
          <w:sz w:val="24"/>
          <w:szCs w:val="24"/>
        </w:rPr>
        <w:t>Figure 2</w:t>
      </w:r>
      <w:r w:rsidR="006C2609" w:rsidRPr="00141E92">
        <w:rPr>
          <w:rFonts w:ascii="Book Antiqua" w:hAnsi="Book Antiqua"/>
          <w:sz w:val="24"/>
          <w:szCs w:val="24"/>
        </w:rPr>
        <w:t>A</w:t>
      </w:r>
      <w:r w:rsidR="006B43A2" w:rsidRPr="00141E92">
        <w:rPr>
          <w:rFonts w:ascii="Book Antiqua" w:hAnsi="Book Antiqua"/>
          <w:sz w:val="24"/>
          <w:szCs w:val="24"/>
        </w:rPr>
        <w:t xml:space="preserve">). However, there was no difference </w:t>
      </w:r>
      <w:r w:rsidR="00675183" w:rsidRPr="00141E92">
        <w:rPr>
          <w:rFonts w:ascii="Book Antiqua" w:hAnsi="Book Antiqua"/>
          <w:sz w:val="24"/>
          <w:szCs w:val="24"/>
        </w:rPr>
        <w:t xml:space="preserve">in </w:t>
      </w:r>
      <w:r w:rsidR="006B43A2" w:rsidRPr="00141E92">
        <w:rPr>
          <w:rFonts w:ascii="Book Antiqua" w:hAnsi="Book Antiqua"/>
          <w:sz w:val="24"/>
          <w:szCs w:val="24"/>
        </w:rPr>
        <w:t xml:space="preserve">survival </w:t>
      </w:r>
      <w:r w:rsidR="00675183" w:rsidRPr="00141E92">
        <w:rPr>
          <w:rFonts w:ascii="Book Antiqua" w:hAnsi="Book Antiqua"/>
          <w:sz w:val="24"/>
          <w:szCs w:val="24"/>
        </w:rPr>
        <w:t>of patients having either</w:t>
      </w:r>
      <w:r w:rsidR="006B43A2" w:rsidRPr="00141E92">
        <w:rPr>
          <w:rFonts w:ascii="Book Antiqua" w:hAnsi="Book Antiqua"/>
          <w:sz w:val="24"/>
          <w:szCs w:val="24"/>
        </w:rPr>
        <w:t xml:space="preserve"> high </w:t>
      </w:r>
      <w:r w:rsidR="00675183" w:rsidRPr="00141E92">
        <w:rPr>
          <w:rFonts w:ascii="Book Antiqua" w:hAnsi="Book Antiqua"/>
          <w:sz w:val="24"/>
          <w:szCs w:val="24"/>
        </w:rPr>
        <w:t xml:space="preserve">or </w:t>
      </w:r>
      <w:r w:rsidR="006B43A2" w:rsidRPr="00141E92">
        <w:rPr>
          <w:rFonts w:ascii="Book Antiqua" w:hAnsi="Book Antiqua"/>
          <w:sz w:val="24"/>
          <w:szCs w:val="24"/>
        </w:rPr>
        <w:t xml:space="preserve">low IAP2 mRNA expression </w:t>
      </w:r>
      <w:r w:rsidR="00573B19">
        <w:rPr>
          <w:rFonts w:ascii="Book Antiqua" w:hAnsi="Book Antiqua"/>
          <w:sz w:val="24"/>
          <w:szCs w:val="24"/>
        </w:rPr>
        <w:t>(Figure 2</w:t>
      </w:r>
      <w:r w:rsidR="006C2609" w:rsidRPr="00141E92">
        <w:rPr>
          <w:rFonts w:ascii="Book Antiqua" w:hAnsi="Book Antiqua"/>
          <w:sz w:val="24"/>
          <w:szCs w:val="24"/>
        </w:rPr>
        <w:t>B</w:t>
      </w:r>
      <w:r w:rsidR="006B43A2" w:rsidRPr="00141E92">
        <w:rPr>
          <w:rFonts w:ascii="Book Antiqua" w:hAnsi="Book Antiqua"/>
          <w:sz w:val="24"/>
          <w:szCs w:val="24"/>
        </w:rPr>
        <w:t xml:space="preserve">). </w:t>
      </w:r>
    </w:p>
    <w:p w14:paraId="65295A40" w14:textId="77777777" w:rsidR="000F45A5" w:rsidRPr="00141E92" w:rsidRDefault="006B43A2" w:rsidP="008530E2">
      <w:pPr>
        <w:snapToGrid w:val="0"/>
        <w:spacing w:line="360" w:lineRule="auto"/>
        <w:jc w:val="both"/>
        <w:rPr>
          <w:rFonts w:ascii="Book Antiqua" w:hAnsi="Book Antiqua"/>
          <w:b/>
          <w:sz w:val="24"/>
          <w:szCs w:val="24"/>
        </w:rPr>
      </w:pPr>
      <w:r w:rsidRPr="00141E92">
        <w:rPr>
          <w:rFonts w:ascii="Book Antiqua" w:hAnsi="Book Antiqua"/>
          <w:b/>
          <w:sz w:val="24"/>
          <w:szCs w:val="24"/>
        </w:rPr>
        <w:t xml:space="preserve"> </w:t>
      </w:r>
    </w:p>
    <w:p w14:paraId="5F7043C5" w14:textId="7E782EB3" w:rsidR="00634B88" w:rsidRPr="00141E92" w:rsidRDefault="00634B88" w:rsidP="003F50D4">
      <w:pPr>
        <w:snapToGrid w:val="0"/>
        <w:spacing w:line="360" w:lineRule="auto"/>
        <w:jc w:val="both"/>
        <w:outlineLvl w:val="0"/>
        <w:rPr>
          <w:rFonts w:ascii="Book Antiqua" w:hAnsi="Book Antiqua"/>
          <w:b/>
          <w:sz w:val="24"/>
          <w:szCs w:val="24"/>
        </w:rPr>
      </w:pPr>
      <w:proofErr w:type="spellStart"/>
      <w:r w:rsidRPr="00141E92">
        <w:rPr>
          <w:rFonts w:ascii="Book Antiqua" w:hAnsi="Book Antiqua"/>
          <w:b/>
          <w:i/>
          <w:sz w:val="24"/>
          <w:szCs w:val="24"/>
        </w:rPr>
        <w:t>HuR</w:t>
      </w:r>
      <w:proofErr w:type="spellEnd"/>
      <w:r w:rsidRPr="00141E92">
        <w:rPr>
          <w:rFonts w:ascii="Book Antiqua" w:hAnsi="Book Antiqua"/>
          <w:b/>
          <w:i/>
          <w:sz w:val="24"/>
          <w:szCs w:val="24"/>
        </w:rPr>
        <w:t xml:space="preserve"> expression and correlation with IAP1 and IAP2</w:t>
      </w:r>
    </w:p>
    <w:p w14:paraId="1C526A2D" w14:textId="45FCC66E" w:rsidR="00DA1DC9" w:rsidRPr="00141E92" w:rsidRDefault="00634B88" w:rsidP="008530E2">
      <w:pPr>
        <w:snapToGrid w:val="0"/>
        <w:spacing w:line="360" w:lineRule="auto"/>
        <w:jc w:val="both"/>
        <w:rPr>
          <w:rFonts w:ascii="Book Antiqua" w:hAnsi="Book Antiqua"/>
          <w:color w:val="000000" w:themeColor="text1"/>
          <w:sz w:val="24"/>
          <w:szCs w:val="24"/>
        </w:rPr>
      </w:pPr>
      <w:r w:rsidRPr="00141E92">
        <w:rPr>
          <w:rFonts w:ascii="Book Antiqua" w:hAnsi="Book Antiqua"/>
          <w:sz w:val="24"/>
          <w:szCs w:val="24"/>
        </w:rPr>
        <w:t xml:space="preserve">The RT-PCR analysis (Figure </w:t>
      </w:r>
      <w:r w:rsidR="006C21A7" w:rsidRPr="00141E92">
        <w:rPr>
          <w:rFonts w:ascii="Book Antiqua" w:hAnsi="Book Antiqua"/>
          <w:sz w:val="24"/>
          <w:szCs w:val="24"/>
        </w:rPr>
        <w:t>3</w:t>
      </w:r>
      <w:r w:rsidRPr="00141E92">
        <w:rPr>
          <w:rFonts w:ascii="Book Antiqua" w:hAnsi="Book Antiqua"/>
          <w:sz w:val="24"/>
          <w:szCs w:val="24"/>
        </w:rPr>
        <w:t xml:space="preserve">) revealed that </w:t>
      </w:r>
      <w:proofErr w:type="spellStart"/>
      <w:r w:rsidRPr="00141E92">
        <w:rPr>
          <w:rFonts w:ascii="Book Antiqua" w:hAnsi="Book Antiqua"/>
          <w:sz w:val="24"/>
          <w:szCs w:val="24"/>
        </w:rPr>
        <w:t>HuR</w:t>
      </w:r>
      <w:proofErr w:type="spellEnd"/>
      <w:r w:rsidR="005A3245" w:rsidRPr="00141E92">
        <w:rPr>
          <w:rFonts w:ascii="Book Antiqua" w:hAnsi="Book Antiqua"/>
          <w:sz w:val="24"/>
          <w:szCs w:val="24"/>
        </w:rPr>
        <w:t xml:space="preserve"> </w:t>
      </w:r>
      <w:r w:rsidRPr="00141E92">
        <w:rPr>
          <w:rFonts w:ascii="Book Antiqua" w:hAnsi="Book Antiqua"/>
          <w:sz w:val="24"/>
          <w:szCs w:val="24"/>
        </w:rPr>
        <w:t xml:space="preserve">expression </w:t>
      </w:r>
      <w:r w:rsidR="005A3245" w:rsidRPr="00141E92">
        <w:rPr>
          <w:rFonts w:ascii="Book Antiqua" w:hAnsi="Book Antiqua"/>
          <w:sz w:val="24"/>
          <w:szCs w:val="24"/>
        </w:rPr>
        <w:t>was</w:t>
      </w:r>
      <w:r w:rsidRPr="00141E92">
        <w:rPr>
          <w:rFonts w:ascii="Book Antiqua" w:hAnsi="Book Antiqua"/>
          <w:sz w:val="24"/>
          <w:szCs w:val="24"/>
        </w:rPr>
        <w:t xml:space="preserve"> higher in the </w:t>
      </w:r>
      <w:r w:rsidR="003F50D4">
        <w:rPr>
          <w:rFonts w:ascii="Book Antiqua" w:hAnsi="Book Antiqua"/>
          <w:sz w:val="24"/>
          <w:szCs w:val="24"/>
        </w:rPr>
        <w:t>PDAC</w:t>
      </w:r>
      <w:r w:rsidRPr="00141E92">
        <w:rPr>
          <w:rFonts w:ascii="Book Antiqua" w:hAnsi="Book Antiqua"/>
          <w:sz w:val="24"/>
          <w:szCs w:val="24"/>
        </w:rPr>
        <w:t xml:space="preserve"> when compare</w:t>
      </w:r>
      <w:r w:rsidR="006C2609" w:rsidRPr="00141E92">
        <w:rPr>
          <w:rFonts w:ascii="Book Antiqua" w:hAnsi="Book Antiqua"/>
          <w:sz w:val="24"/>
          <w:szCs w:val="24"/>
        </w:rPr>
        <w:t>d to normal pancreatic tissue (</w:t>
      </w:r>
      <w:r w:rsidR="006C2609" w:rsidRPr="00141E92">
        <w:rPr>
          <w:rFonts w:ascii="Book Antiqua" w:hAnsi="Book Antiqua"/>
          <w:i/>
          <w:sz w:val="24"/>
          <w:szCs w:val="24"/>
        </w:rPr>
        <w:t>P</w:t>
      </w:r>
      <w:r w:rsidR="006C2609" w:rsidRPr="00141E92">
        <w:rPr>
          <w:rFonts w:ascii="Book Antiqua" w:hAnsi="Book Antiqua"/>
          <w:sz w:val="24"/>
          <w:szCs w:val="24"/>
        </w:rPr>
        <w:t xml:space="preserve"> </w:t>
      </w:r>
      <w:r w:rsidRPr="00141E92">
        <w:rPr>
          <w:rFonts w:ascii="Book Antiqua" w:hAnsi="Book Antiqua"/>
          <w:sz w:val="24"/>
          <w:szCs w:val="24"/>
        </w:rPr>
        <w:t>&lt;</w:t>
      </w:r>
      <w:r w:rsidR="006C2609" w:rsidRPr="00141E92">
        <w:rPr>
          <w:rFonts w:ascii="Book Antiqua" w:hAnsi="Book Antiqua"/>
          <w:sz w:val="24"/>
          <w:szCs w:val="24"/>
        </w:rPr>
        <w:t xml:space="preserve"> </w:t>
      </w:r>
      <w:r w:rsidRPr="00141E92">
        <w:rPr>
          <w:rFonts w:ascii="Book Antiqua" w:hAnsi="Book Antiqua"/>
          <w:sz w:val="24"/>
          <w:szCs w:val="24"/>
        </w:rPr>
        <w:t>0.05)</w:t>
      </w:r>
      <w:r w:rsidR="00573B19">
        <w:rPr>
          <w:rFonts w:ascii="Book Antiqua" w:hAnsi="Book Antiqua"/>
          <w:sz w:val="24"/>
          <w:szCs w:val="24"/>
        </w:rPr>
        <w:t xml:space="preserve"> (Figure 3</w:t>
      </w:r>
      <w:r w:rsidR="006C2609" w:rsidRPr="00141E92">
        <w:rPr>
          <w:rFonts w:ascii="Book Antiqua" w:hAnsi="Book Antiqua"/>
          <w:sz w:val="24"/>
          <w:szCs w:val="24"/>
        </w:rPr>
        <w:t>A</w:t>
      </w:r>
      <w:r w:rsidR="005A3245" w:rsidRPr="00141E92">
        <w:rPr>
          <w:rFonts w:ascii="Book Antiqua" w:hAnsi="Book Antiqua"/>
          <w:sz w:val="24"/>
          <w:szCs w:val="24"/>
        </w:rPr>
        <w:t>)</w:t>
      </w:r>
      <w:r w:rsidR="00CD3374" w:rsidRPr="00141E92">
        <w:rPr>
          <w:rFonts w:ascii="Book Antiqua" w:hAnsi="Book Antiqua"/>
          <w:sz w:val="24"/>
          <w:szCs w:val="24"/>
        </w:rPr>
        <w:t>,</w:t>
      </w:r>
      <w:r w:rsidR="002B0D6D" w:rsidRPr="00141E92">
        <w:rPr>
          <w:rFonts w:ascii="Book Antiqua" w:hAnsi="Book Antiqua"/>
          <w:sz w:val="24"/>
          <w:szCs w:val="24"/>
        </w:rPr>
        <w:t xml:space="preserve"> </w:t>
      </w:r>
      <w:r w:rsidR="009B0F2F" w:rsidRPr="00141E92">
        <w:rPr>
          <w:rFonts w:ascii="Book Antiqua" w:hAnsi="Book Antiqua"/>
          <w:sz w:val="24"/>
          <w:szCs w:val="24"/>
        </w:rPr>
        <w:t xml:space="preserve">along with </w:t>
      </w:r>
      <w:r w:rsidR="005A3245" w:rsidRPr="00141E92">
        <w:rPr>
          <w:rFonts w:ascii="Book Antiqua" w:hAnsi="Book Antiqua"/>
          <w:sz w:val="24"/>
          <w:szCs w:val="24"/>
        </w:rPr>
        <w:t xml:space="preserve">upregulated protein levels </w:t>
      </w:r>
      <w:r w:rsidR="00CD3374" w:rsidRPr="00141E92">
        <w:rPr>
          <w:rFonts w:ascii="Book Antiqua" w:hAnsi="Book Antiqua"/>
          <w:sz w:val="24"/>
          <w:szCs w:val="24"/>
        </w:rPr>
        <w:t xml:space="preserve">of </w:t>
      </w:r>
      <w:proofErr w:type="spellStart"/>
      <w:r w:rsidR="00CD3374" w:rsidRPr="00141E92">
        <w:rPr>
          <w:rFonts w:ascii="Book Antiqua" w:hAnsi="Book Antiqua"/>
          <w:sz w:val="24"/>
          <w:szCs w:val="24"/>
        </w:rPr>
        <w:t>HuR</w:t>
      </w:r>
      <w:proofErr w:type="spellEnd"/>
      <w:r w:rsidR="00CD3374" w:rsidRPr="00141E92">
        <w:rPr>
          <w:rFonts w:ascii="Book Antiqua" w:hAnsi="Book Antiqua"/>
          <w:sz w:val="24"/>
          <w:szCs w:val="24"/>
        </w:rPr>
        <w:t xml:space="preserve"> in PDAC </w:t>
      </w:r>
      <w:r w:rsidR="005A3245" w:rsidRPr="00141E92">
        <w:rPr>
          <w:rFonts w:ascii="Book Antiqua" w:hAnsi="Book Antiqua"/>
          <w:sz w:val="24"/>
          <w:szCs w:val="24"/>
        </w:rPr>
        <w:t xml:space="preserve">(Figure </w:t>
      </w:r>
      <w:r w:rsidR="00573B19">
        <w:rPr>
          <w:rFonts w:ascii="Book Antiqua" w:hAnsi="Book Antiqua"/>
          <w:sz w:val="24"/>
          <w:szCs w:val="24"/>
        </w:rPr>
        <w:t>3</w:t>
      </w:r>
      <w:r w:rsidR="006C2609" w:rsidRPr="00141E92">
        <w:rPr>
          <w:rFonts w:ascii="Book Antiqua" w:hAnsi="Book Antiqua"/>
          <w:sz w:val="24"/>
          <w:szCs w:val="24"/>
        </w:rPr>
        <w:t>B</w:t>
      </w:r>
      <w:r w:rsidR="005A3245" w:rsidRPr="00141E92">
        <w:rPr>
          <w:rFonts w:ascii="Book Antiqua" w:hAnsi="Book Antiqua"/>
          <w:sz w:val="24"/>
          <w:szCs w:val="24"/>
        </w:rPr>
        <w:t>).</w:t>
      </w:r>
      <w:r w:rsidRPr="00141E92">
        <w:rPr>
          <w:rFonts w:ascii="Book Antiqua" w:hAnsi="Book Antiqua"/>
          <w:sz w:val="24"/>
          <w:szCs w:val="24"/>
        </w:rPr>
        <w:t xml:space="preserve"> </w:t>
      </w:r>
      <w:proofErr w:type="spellStart"/>
      <w:r w:rsidRPr="00141E92">
        <w:rPr>
          <w:rFonts w:ascii="Book Antiqua" w:hAnsi="Book Antiqua"/>
          <w:color w:val="000000" w:themeColor="text1"/>
          <w:sz w:val="24"/>
          <w:szCs w:val="24"/>
        </w:rPr>
        <w:t>Immunohistological</w:t>
      </w:r>
      <w:proofErr w:type="spellEnd"/>
      <w:r w:rsidRPr="00141E92">
        <w:rPr>
          <w:rFonts w:ascii="Book Antiqua" w:hAnsi="Book Antiqua"/>
          <w:color w:val="000000" w:themeColor="text1"/>
          <w:sz w:val="24"/>
          <w:szCs w:val="24"/>
        </w:rPr>
        <w:t xml:space="preserve"> analysis revealed that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protein was highly expressed in donor pancreas acinar and islets cell’s nucleus and less in </w:t>
      </w:r>
      <w:r w:rsidR="00477FCC" w:rsidRPr="00141E92">
        <w:rPr>
          <w:rFonts w:ascii="Book Antiqua" w:hAnsi="Book Antiqua"/>
          <w:color w:val="000000" w:themeColor="text1"/>
          <w:sz w:val="24"/>
          <w:szCs w:val="24"/>
        </w:rPr>
        <w:t>cytoplasm, but</w:t>
      </w:r>
      <w:r w:rsidRPr="00141E92">
        <w:rPr>
          <w:rFonts w:ascii="Book Antiqua" w:hAnsi="Book Antiqua"/>
          <w:color w:val="000000" w:themeColor="text1"/>
          <w:sz w:val="24"/>
          <w:szCs w:val="24"/>
        </w:rPr>
        <w:t xml:space="preserve"> </w:t>
      </w:r>
      <w:r w:rsidR="00C61153" w:rsidRPr="00141E92">
        <w:rPr>
          <w:rFonts w:ascii="Book Antiqua" w:hAnsi="Book Antiqua"/>
          <w:color w:val="000000" w:themeColor="text1"/>
          <w:sz w:val="24"/>
          <w:szCs w:val="24"/>
        </w:rPr>
        <w:t xml:space="preserve">was not detectable </w:t>
      </w:r>
      <w:r w:rsidRPr="00141E92">
        <w:rPr>
          <w:rFonts w:ascii="Book Antiqua" w:hAnsi="Book Antiqua"/>
          <w:color w:val="000000" w:themeColor="text1"/>
          <w:sz w:val="24"/>
          <w:szCs w:val="24"/>
        </w:rPr>
        <w:t xml:space="preserve">in ductal epithelium cells. In the tissue of PDAC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was positive in the stromal nuclei, but </w:t>
      </w:r>
      <w:r w:rsidRPr="00141E92">
        <w:rPr>
          <w:rFonts w:ascii="Book Antiqua" w:hAnsi="Book Antiqua"/>
          <w:color w:val="000000" w:themeColor="text1"/>
          <w:sz w:val="24"/>
          <w:szCs w:val="24"/>
        </w:rPr>
        <w:lastRenderedPageBreak/>
        <w:t xml:space="preserve">not in the cytoplasm.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was mainly positive in the ductal cancer cell’s nucleus</w:t>
      </w:r>
      <w:r w:rsidR="005A3245" w:rsidRPr="00141E92">
        <w:rPr>
          <w:rFonts w:ascii="Book Antiqua" w:hAnsi="Book Antiqua"/>
          <w:color w:val="000000" w:themeColor="text1"/>
          <w:sz w:val="24"/>
          <w:szCs w:val="24"/>
        </w:rPr>
        <w:t xml:space="preserve"> and less in cytopl</w:t>
      </w:r>
      <w:r w:rsidR="00573B19">
        <w:rPr>
          <w:rFonts w:ascii="Book Antiqua" w:hAnsi="Book Antiqua"/>
          <w:color w:val="000000" w:themeColor="text1"/>
          <w:sz w:val="24"/>
          <w:szCs w:val="24"/>
        </w:rPr>
        <w:t>asm (Figure 3</w:t>
      </w:r>
      <w:r w:rsidR="006C2609" w:rsidRPr="00141E92">
        <w:rPr>
          <w:rFonts w:ascii="Book Antiqua" w:hAnsi="Book Antiqua"/>
          <w:color w:val="000000" w:themeColor="text1"/>
          <w:sz w:val="24"/>
          <w:szCs w:val="24"/>
        </w:rPr>
        <w:t>C</w:t>
      </w:r>
      <w:r w:rsidRPr="00141E92">
        <w:rPr>
          <w:rFonts w:ascii="Book Antiqua" w:hAnsi="Book Antiqua"/>
          <w:color w:val="000000" w:themeColor="text1"/>
          <w:sz w:val="24"/>
          <w:szCs w:val="24"/>
        </w:rPr>
        <w:t xml:space="preserve">). </w:t>
      </w:r>
      <w:r w:rsidR="00C61153" w:rsidRPr="00141E92">
        <w:rPr>
          <w:rFonts w:ascii="Book Antiqua" w:hAnsi="Book Antiqua"/>
          <w:sz w:val="24"/>
          <w:szCs w:val="24"/>
        </w:rPr>
        <w:t>Interestingly</w:t>
      </w:r>
      <w:r w:rsidR="005A3245" w:rsidRPr="00141E92">
        <w:rPr>
          <w:rFonts w:ascii="Book Antiqua" w:hAnsi="Book Antiqua"/>
          <w:sz w:val="24"/>
          <w:szCs w:val="24"/>
        </w:rPr>
        <w:t xml:space="preserve">, </w:t>
      </w:r>
      <w:r w:rsidR="00430C13" w:rsidRPr="00141E92">
        <w:rPr>
          <w:rFonts w:ascii="Book Antiqua" w:hAnsi="Book Antiqua"/>
          <w:sz w:val="24"/>
          <w:szCs w:val="24"/>
        </w:rPr>
        <w:t xml:space="preserve">mRNA </w:t>
      </w:r>
      <w:r w:rsidR="00CA0A1D" w:rsidRPr="00141E92">
        <w:rPr>
          <w:rFonts w:ascii="Book Antiqua" w:hAnsi="Book Antiqua"/>
          <w:color w:val="000000" w:themeColor="text1"/>
          <w:sz w:val="24"/>
          <w:szCs w:val="24"/>
        </w:rPr>
        <w:t xml:space="preserve">expression of IAP1 </w:t>
      </w:r>
      <w:r w:rsidR="00D16352" w:rsidRPr="00141E92">
        <w:rPr>
          <w:rFonts w:ascii="Book Antiqua" w:hAnsi="Book Antiqua"/>
          <w:color w:val="000000" w:themeColor="text1"/>
          <w:sz w:val="24"/>
          <w:szCs w:val="24"/>
        </w:rPr>
        <w:t xml:space="preserve">was </w:t>
      </w:r>
      <w:r w:rsidR="005A3245" w:rsidRPr="00141E92">
        <w:rPr>
          <w:rFonts w:ascii="Book Antiqua" w:hAnsi="Book Antiqua"/>
          <w:color w:val="000000" w:themeColor="text1"/>
          <w:sz w:val="24"/>
          <w:szCs w:val="24"/>
        </w:rPr>
        <w:t>strongly positively c</w:t>
      </w:r>
      <w:r w:rsidR="006C2609" w:rsidRPr="00141E92">
        <w:rPr>
          <w:rFonts w:ascii="Book Antiqua" w:hAnsi="Book Antiqua"/>
          <w:color w:val="000000" w:themeColor="text1"/>
          <w:sz w:val="24"/>
          <w:szCs w:val="24"/>
        </w:rPr>
        <w:t xml:space="preserve">orrelated with </w:t>
      </w:r>
      <w:proofErr w:type="spellStart"/>
      <w:r w:rsidR="006C2609" w:rsidRPr="00141E92">
        <w:rPr>
          <w:rFonts w:ascii="Book Antiqua" w:hAnsi="Book Antiqua"/>
          <w:color w:val="000000" w:themeColor="text1"/>
          <w:sz w:val="24"/>
          <w:szCs w:val="24"/>
        </w:rPr>
        <w:t>HuR</w:t>
      </w:r>
      <w:proofErr w:type="spellEnd"/>
      <w:r w:rsidR="006C2609" w:rsidRPr="00141E92">
        <w:rPr>
          <w:rFonts w:ascii="Book Antiqua" w:hAnsi="Book Antiqua"/>
          <w:color w:val="000000" w:themeColor="text1"/>
          <w:sz w:val="24"/>
          <w:szCs w:val="24"/>
        </w:rPr>
        <w:t xml:space="preserve"> expression (</w:t>
      </w:r>
      <w:r w:rsidR="006C2609" w:rsidRPr="00141E92">
        <w:rPr>
          <w:rFonts w:ascii="Book Antiqua" w:hAnsi="Book Antiqua"/>
          <w:i/>
          <w:color w:val="000000" w:themeColor="text1"/>
          <w:sz w:val="24"/>
          <w:szCs w:val="24"/>
        </w:rPr>
        <w:t>P</w:t>
      </w:r>
      <w:r w:rsidR="006C2609" w:rsidRPr="00141E92">
        <w:rPr>
          <w:rFonts w:ascii="Book Antiqua" w:hAnsi="Book Antiqua"/>
          <w:color w:val="000000" w:themeColor="text1"/>
          <w:sz w:val="24"/>
          <w:szCs w:val="24"/>
        </w:rPr>
        <w:t xml:space="preserve"> </w:t>
      </w:r>
      <w:r w:rsidR="005A3245" w:rsidRPr="00141E92">
        <w:rPr>
          <w:rFonts w:ascii="Book Antiqua" w:hAnsi="Book Antiqua"/>
          <w:color w:val="000000" w:themeColor="text1"/>
          <w:sz w:val="24"/>
          <w:szCs w:val="24"/>
        </w:rPr>
        <w:t>&lt;</w:t>
      </w:r>
      <w:r w:rsidR="006C2609" w:rsidRPr="00141E92">
        <w:rPr>
          <w:rFonts w:ascii="Book Antiqua" w:hAnsi="Book Antiqua"/>
          <w:color w:val="000000" w:themeColor="text1"/>
          <w:sz w:val="24"/>
          <w:szCs w:val="24"/>
        </w:rPr>
        <w:t xml:space="preserve"> </w:t>
      </w:r>
      <w:r w:rsidR="005A3245" w:rsidRPr="00141E92">
        <w:rPr>
          <w:rFonts w:ascii="Book Antiqua" w:hAnsi="Book Antiqua"/>
          <w:color w:val="000000" w:themeColor="text1"/>
          <w:sz w:val="24"/>
          <w:szCs w:val="24"/>
        </w:rPr>
        <w:t xml:space="preserve">0.05, </w:t>
      </w:r>
      <w:r w:rsidR="005A3245" w:rsidRPr="00141E92">
        <w:rPr>
          <w:rFonts w:ascii="Book Antiqua" w:hAnsi="Book Antiqua"/>
          <w:i/>
          <w:color w:val="000000" w:themeColor="text1"/>
          <w:sz w:val="24"/>
          <w:szCs w:val="24"/>
        </w:rPr>
        <w:t>r</w:t>
      </w:r>
      <w:r w:rsidR="006C2609" w:rsidRPr="00141E92">
        <w:rPr>
          <w:rFonts w:ascii="Book Antiqua" w:hAnsi="Book Antiqua"/>
          <w:i/>
          <w:color w:val="000000" w:themeColor="text1"/>
          <w:sz w:val="24"/>
          <w:szCs w:val="24"/>
        </w:rPr>
        <w:t xml:space="preserve"> </w:t>
      </w:r>
      <w:r w:rsidR="005A3245" w:rsidRPr="00141E92">
        <w:rPr>
          <w:rFonts w:ascii="Book Antiqua" w:hAnsi="Book Antiqua"/>
          <w:color w:val="000000" w:themeColor="text1"/>
          <w:sz w:val="24"/>
          <w:szCs w:val="24"/>
        </w:rPr>
        <w:t>=</w:t>
      </w:r>
      <w:r w:rsidR="006C2609" w:rsidRPr="00141E92">
        <w:rPr>
          <w:rFonts w:ascii="Book Antiqua" w:hAnsi="Book Antiqua"/>
          <w:color w:val="000000" w:themeColor="text1"/>
          <w:sz w:val="24"/>
          <w:szCs w:val="24"/>
        </w:rPr>
        <w:t xml:space="preserve"> </w:t>
      </w:r>
      <w:r w:rsidR="005A3245" w:rsidRPr="00141E92">
        <w:rPr>
          <w:rFonts w:ascii="Book Antiqua" w:hAnsi="Book Antiqua"/>
          <w:color w:val="000000" w:themeColor="text1"/>
          <w:sz w:val="24"/>
          <w:szCs w:val="24"/>
        </w:rPr>
        <w:t>0.783)</w:t>
      </w:r>
      <w:r w:rsidR="00660C62" w:rsidRPr="00141E92">
        <w:rPr>
          <w:rFonts w:ascii="Book Antiqua" w:hAnsi="Book Antiqua"/>
          <w:color w:val="000000" w:themeColor="text1"/>
          <w:sz w:val="24"/>
          <w:szCs w:val="24"/>
        </w:rPr>
        <w:t>, but only the weak correlation with IAP2 was noticed (</w:t>
      </w:r>
      <w:r w:rsidR="00660C62" w:rsidRPr="00141E92">
        <w:rPr>
          <w:rFonts w:ascii="Book Antiqua" w:hAnsi="Book Antiqua"/>
          <w:i/>
          <w:color w:val="000000" w:themeColor="text1"/>
          <w:sz w:val="24"/>
          <w:szCs w:val="24"/>
        </w:rPr>
        <w:t>P</w:t>
      </w:r>
      <w:r w:rsidR="00660C62" w:rsidRPr="00141E92">
        <w:rPr>
          <w:rFonts w:ascii="Book Antiqua" w:hAnsi="Book Antiqua"/>
          <w:color w:val="000000" w:themeColor="text1"/>
          <w:sz w:val="24"/>
          <w:szCs w:val="24"/>
        </w:rPr>
        <w:t xml:space="preserve"> &lt; 0.05, </w:t>
      </w:r>
      <w:r w:rsidR="00660C62" w:rsidRPr="00141E92">
        <w:rPr>
          <w:rFonts w:ascii="Book Antiqua" w:hAnsi="Book Antiqua"/>
          <w:i/>
          <w:color w:val="000000" w:themeColor="text1"/>
          <w:sz w:val="24"/>
          <w:szCs w:val="24"/>
        </w:rPr>
        <w:t xml:space="preserve">r </w:t>
      </w:r>
      <w:r w:rsidR="00660C62" w:rsidRPr="00141E92">
        <w:rPr>
          <w:rFonts w:ascii="Book Antiqua" w:hAnsi="Book Antiqua"/>
          <w:color w:val="000000" w:themeColor="text1"/>
          <w:sz w:val="24"/>
          <w:szCs w:val="24"/>
        </w:rPr>
        <w:t xml:space="preserve">= 0.155) </w:t>
      </w:r>
      <w:r w:rsidR="005A3245" w:rsidRPr="00141E92">
        <w:rPr>
          <w:rFonts w:ascii="Book Antiqua" w:hAnsi="Book Antiqua"/>
          <w:color w:val="000000" w:themeColor="text1"/>
          <w:sz w:val="24"/>
          <w:szCs w:val="24"/>
        </w:rPr>
        <w:t xml:space="preserve">(Figure </w:t>
      </w:r>
      <w:r w:rsidR="00573B19">
        <w:rPr>
          <w:rFonts w:ascii="Book Antiqua" w:hAnsi="Book Antiqua"/>
          <w:color w:val="000000" w:themeColor="text1"/>
          <w:sz w:val="24"/>
          <w:szCs w:val="24"/>
        </w:rPr>
        <w:t>3</w:t>
      </w:r>
      <w:r w:rsidR="006C2609" w:rsidRPr="00141E92">
        <w:rPr>
          <w:rFonts w:ascii="Book Antiqua" w:hAnsi="Book Antiqua"/>
          <w:color w:val="000000" w:themeColor="text1"/>
          <w:sz w:val="24"/>
          <w:szCs w:val="24"/>
        </w:rPr>
        <w:t>D</w:t>
      </w:r>
      <w:r w:rsidR="005A3245" w:rsidRPr="00141E92">
        <w:rPr>
          <w:rFonts w:ascii="Book Antiqua" w:hAnsi="Book Antiqua"/>
          <w:color w:val="000000" w:themeColor="text1"/>
          <w:sz w:val="24"/>
          <w:szCs w:val="24"/>
        </w:rPr>
        <w:t>).</w:t>
      </w:r>
      <w:r w:rsidR="00A64CB7" w:rsidRPr="00141E92">
        <w:rPr>
          <w:rFonts w:ascii="Book Antiqua" w:hAnsi="Book Antiqua"/>
          <w:color w:val="000000" w:themeColor="text1"/>
          <w:sz w:val="24"/>
          <w:szCs w:val="24"/>
        </w:rPr>
        <w:t xml:space="preserve"> This is why further studies was conducted to reveal functional relation of </w:t>
      </w:r>
      <w:proofErr w:type="spellStart"/>
      <w:r w:rsidR="00A64CB7" w:rsidRPr="00141E92">
        <w:rPr>
          <w:rFonts w:ascii="Book Antiqua" w:hAnsi="Book Antiqua"/>
          <w:color w:val="000000" w:themeColor="text1"/>
          <w:sz w:val="24"/>
          <w:szCs w:val="24"/>
        </w:rPr>
        <w:t>HuR</w:t>
      </w:r>
      <w:proofErr w:type="spellEnd"/>
      <w:r w:rsidR="00A64CB7" w:rsidRPr="00141E92">
        <w:rPr>
          <w:rFonts w:ascii="Book Antiqua" w:hAnsi="Book Antiqua"/>
          <w:color w:val="000000" w:themeColor="text1"/>
          <w:sz w:val="24"/>
          <w:szCs w:val="24"/>
        </w:rPr>
        <w:t xml:space="preserve"> and IAP</w:t>
      </w:r>
      <w:r w:rsidR="00EB2C34" w:rsidRPr="00141E92">
        <w:rPr>
          <w:rFonts w:ascii="Book Antiqua" w:hAnsi="Book Antiqua"/>
          <w:color w:val="000000" w:themeColor="text1"/>
          <w:sz w:val="24"/>
          <w:szCs w:val="24"/>
        </w:rPr>
        <w:t>s</w:t>
      </w:r>
      <w:r w:rsidR="00A64CB7" w:rsidRPr="00141E92">
        <w:rPr>
          <w:rFonts w:ascii="Book Antiqua" w:hAnsi="Book Antiqua"/>
          <w:color w:val="000000" w:themeColor="text1"/>
          <w:sz w:val="24"/>
          <w:szCs w:val="24"/>
        </w:rPr>
        <w:t>.</w:t>
      </w:r>
    </w:p>
    <w:p w14:paraId="1AD6DBE9" w14:textId="77777777" w:rsidR="00634B88" w:rsidRPr="00141E92" w:rsidRDefault="00634B88" w:rsidP="008530E2">
      <w:pPr>
        <w:snapToGrid w:val="0"/>
        <w:spacing w:line="360" w:lineRule="auto"/>
        <w:jc w:val="both"/>
        <w:rPr>
          <w:rFonts w:ascii="Book Antiqua" w:hAnsi="Book Antiqua"/>
          <w:b/>
          <w:i/>
          <w:sz w:val="24"/>
          <w:szCs w:val="24"/>
        </w:rPr>
      </w:pPr>
    </w:p>
    <w:p w14:paraId="192001E9" w14:textId="77777777" w:rsidR="00E15B60" w:rsidRPr="00141E92" w:rsidRDefault="00E15B60" w:rsidP="003F50D4">
      <w:pPr>
        <w:snapToGrid w:val="0"/>
        <w:spacing w:line="360" w:lineRule="auto"/>
        <w:jc w:val="both"/>
        <w:outlineLvl w:val="0"/>
        <w:rPr>
          <w:rFonts w:ascii="Book Antiqua" w:hAnsi="Book Antiqua"/>
          <w:b/>
          <w:i/>
          <w:sz w:val="24"/>
          <w:szCs w:val="24"/>
        </w:rPr>
      </w:pPr>
      <w:proofErr w:type="spellStart"/>
      <w:r w:rsidRPr="00141E92">
        <w:rPr>
          <w:rFonts w:ascii="Book Antiqua" w:hAnsi="Book Antiqua"/>
          <w:b/>
          <w:i/>
          <w:sz w:val="24"/>
          <w:szCs w:val="24"/>
        </w:rPr>
        <w:t>HuR</w:t>
      </w:r>
      <w:proofErr w:type="spellEnd"/>
      <w:r w:rsidRPr="00141E92">
        <w:rPr>
          <w:rFonts w:ascii="Book Antiqua" w:hAnsi="Book Antiqua"/>
          <w:b/>
          <w:i/>
          <w:sz w:val="24"/>
          <w:szCs w:val="24"/>
        </w:rPr>
        <w:t xml:space="preserve"> protein binds to IAP1 and IAP2 mRNA in pancreatic cancer cells</w:t>
      </w:r>
    </w:p>
    <w:p w14:paraId="348740BC" w14:textId="5B814833" w:rsidR="00E15B60" w:rsidRPr="00141E92" w:rsidRDefault="00F56C9F" w:rsidP="008530E2">
      <w:pPr>
        <w:widowControl w:val="0"/>
        <w:snapToGrid w:val="0"/>
        <w:spacing w:line="360" w:lineRule="auto"/>
        <w:jc w:val="both"/>
        <w:rPr>
          <w:rFonts w:ascii="Book Antiqua" w:hAnsi="Book Antiqua" w:cs="Times"/>
          <w:color w:val="000000" w:themeColor="text1"/>
          <w:sz w:val="24"/>
          <w:szCs w:val="24"/>
        </w:rPr>
      </w:pPr>
      <w:r w:rsidRPr="00141E92">
        <w:rPr>
          <w:rFonts w:ascii="Book Antiqua" w:hAnsi="Book Antiqua" w:cs="Times"/>
          <w:color w:val="101010"/>
          <w:sz w:val="24"/>
          <w:szCs w:val="24"/>
        </w:rPr>
        <w:t>The</w:t>
      </w:r>
      <w:r w:rsidR="00E15B60" w:rsidRPr="00141E92">
        <w:rPr>
          <w:rFonts w:ascii="Book Antiqua" w:hAnsi="Book Antiqua" w:cs="Times"/>
          <w:color w:val="101010"/>
          <w:sz w:val="24"/>
          <w:szCs w:val="24"/>
        </w:rPr>
        <w:t xml:space="preserve"> RNA-immunoprecipitation analysis confirmed that </w:t>
      </w:r>
      <w:proofErr w:type="spellStart"/>
      <w:r w:rsidR="00E15B60" w:rsidRPr="00141E92">
        <w:rPr>
          <w:rFonts w:ascii="Book Antiqua" w:hAnsi="Book Antiqua" w:cs="Times"/>
          <w:color w:val="101010"/>
          <w:sz w:val="24"/>
          <w:szCs w:val="24"/>
        </w:rPr>
        <w:t>HuR</w:t>
      </w:r>
      <w:proofErr w:type="spellEnd"/>
      <w:r w:rsidR="00E15B60" w:rsidRPr="00141E92">
        <w:rPr>
          <w:rFonts w:ascii="Book Antiqua" w:hAnsi="Book Antiqua" w:cs="Times"/>
          <w:color w:val="101010"/>
          <w:sz w:val="24"/>
          <w:szCs w:val="24"/>
        </w:rPr>
        <w:t xml:space="preserve"> protein binds to IAP1 and IAP2 mRNA transcripts in extracts taken from untreated PANC1 cells</w:t>
      </w:r>
      <w:r w:rsidRPr="00141E92">
        <w:rPr>
          <w:rFonts w:ascii="Book Antiqua" w:hAnsi="Book Antiqua" w:cs="Times"/>
          <w:color w:val="101010"/>
          <w:sz w:val="24"/>
          <w:szCs w:val="24"/>
        </w:rPr>
        <w:t xml:space="preserve">, thus showing that </w:t>
      </w:r>
      <w:proofErr w:type="spellStart"/>
      <w:r w:rsidRPr="00141E92">
        <w:rPr>
          <w:rFonts w:ascii="Book Antiqua" w:hAnsi="Book Antiqua" w:cs="Times"/>
          <w:color w:val="101010"/>
          <w:sz w:val="24"/>
          <w:szCs w:val="24"/>
        </w:rPr>
        <w:t>HuR</w:t>
      </w:r>
      <w:proofErr w:type="spellEnd"/>
      <w:r w:rsidRPr="00141E92">
        <w:rPr>
          <w:rFonts w:ascii="Book Antiqua" w:hAnsi="Book Antiqua" w:cs="Times"/>
          <w:color w:val="101010"/>
          <w:sz w:val="24"/>
          <w:szCs w:val="24"/>
        </w:rPr>
        <w:t xml:space="preserve"> is directly involved in IAP1 and IAP2 regulation mechanisms</w:t>
      </w:r>
      <w:r w:rsidR="00E15B60" w:rsidRPr="00141E92">
        <w:rPr>
          <w:rFonts w:ascii="Book Antiqua" w:hAnsi="Book Antiqua" w:cs="Times"/>
          <w:color w:val="101010"/>
          <w:sz w:val="24"/>
          <w:szCs w:val="24"/>
        </w:rPr>
        <w:t xml:space="preserve">. </w:t>
      </w:r>
      <w:r w:rsidR="00E15B60" w:rsidRPr="00141E92">
        <w:rPr>
          <w:rFonts w:ascii="Book Antiqua" w:hAnsi="Book Antiqua" w:cs="Times"/>
          <w:color w:val="000000" w:themeColor="text1"/>
          <w:sz w:val="24"/>
          <w:szCs w:val="24"/>
        </w:rPr>
        <w:t xml:space="preserve">The Western blot analysis showed </w:t>
      </w:r>
      <w:proofErr w:type="spellStart"/>
      <w:r w:rsidR="00E15B60" w:rsidRPr="00141E92">
        <w:rPr>
          <w:rFonts w:ascii="Book Antiqua" w:hAnsi="Book Antiqua" w:cs="Times"/>
          <w:color w:val="000000" w:themeColor="text1"/>
          <w:sz w:val="24"/>
          <w:szCs w:val="24"/>
        </w:rPr>
        <w:t>HuR</w:t>
      </w:r>
      <w:proofErr w:type="spellEnd"/>
      <w:r w:rsidR="00E15B60" w:rsidRPr="00141E92">
        <w:rPr>
          <w:rFonts w:ascii="Book Antiqua" w:hAnsi="Book Antiqua" w:cs="Times"/>
          <w:color w:val="000000" w:themeColor="text1"/>
          <w:sz w:val="24"/>
          <w:szCs w:val="24"/>
        </w:rPr>
        <w:t xml:space="preserve"> and GAPDH protein levels in whole cells lysates. Magnetic beads with anti-</w:t>
      </w:r>
      <w:proofErr w:type="spellStart"/>
      <w:r w:rsidR="00E15B60" w:rsidRPr="00141E92">
        <w:rPr>
          <w:rFonts w:ascii="Book Antiqua" w:hAnsi="Book Antiqua" w:cs="Times"/>
          <w:color w:val="000000" w:themeColor="text1"/>
          <w:sz w:val="24"/>
          <w:szCs w:val="24"/>
        </w:rPr>
        <w:t>HuR</w:t>
      </w:r>
      <w:proofErr w:type="spellEnd"/>
      <w:r w:rsidR="00E15B60" w:rsidRPr="00141E92">
        <w:rPr>
          <w:rFonts w:ascii="Book Antiqua" w:hAnsi="Book Antiqua" w:cs="Times"/>
          <w:color w:val="000000" w:themeColor="text1"/>
          <w:sz w:val="24"/>
          <w:szCs w:val="24"/>
        </w:rPr>
        <w:t xml:space="preserve"> antibody and protein precipitates showed clear </w:t>
      </w:r>
      <w:proofErr w:type="spellStart"/>
      <w:r w:rsidR="00E15B60" w:rsidRPr="00141E92">
        <w:rPr>
          <w:rFonts w:ascii="Book Antiqua" w:hAnsi="Book Antiqua" w:cs="Times"/>
          <w:color w:val="000000" w:themeColor="text1"/>
          <w:sz w:val="24"/>
          <w:szCs w:val="24"/>
        </w:rPr>
        <w:t>HuR</w:t>
      </w:r>
      <w:proofErr w:type="spellEnd"/>
      <w:r w:rsidR="00E15B60" w:rsidRPr="00141E92">
        <w:rPr>
          <w:rFonts w:ascii="Book Antiqua" w:hAnsi="Book Antiqua" w:cs="Times"/>
          <w:color w:val="000000" w:themeColor="text1"/>
          <w:sz w:val="24"/>
          <w:szCs w:val="24"/>
        </w:rPr>
        <w:t xml:space="preserve"> signals, while GAPDH was undetectable. </w:t>
      </w:r>
      <w:r w:rsidR="00E15B60" w:rsidRPr="00141E92">
        <w:rPr>
          <w:rFonts w:ascii="Book Antiqua" w:hAnsi="Book Antiqua" w:cs="Times"/>
          <w:color w:val="101010"/>
          <w:sz w:val="24"/>
          <w:szCs w:val="24"/>
        </w:rPr>
        <w:t xml:space="preserve">Magnetic beads with anti-IgG were used as negative controls for </w:t>
      </w:r>
      <w:proofErr w:type="spellStart"/>
      <w:r w:rsidR="00E15B60" w:rsidRPr="00141E92">
        <w:rPr>
          <w:rFonts w:ascii="Book Antiqua" w:hAnsi="Book Antiqua" w:cs="Times"/>
          <w:color w:val="101010"/>
          <w:sz w:val="24"/>
          <w:szCs w:val="24"/>
        </w:rPr>
        <w:t>immunoprecipitation</w:t>
      </w:r>
      <w:proofErr w:type="spellEnd"/>
      <w:r w:rsidR="00E15B60" w:rsidRPr="00141E92">
        <w:rPr>
          <w:rFonts w:ascii="Book Antiqua" w:hAnsi="Book Antiqua" w:cs="Times"/>
          <w:color w:val="101010"/>
          <w:sz w:val="24"/>
          <w:szCs w:val="24"/>
        </w:rPr>
        <w:t xml:space="preserve">; thus, both </w:t>
      </w:r>
      <w:proofErr w:type="spellStart"/>
      <w:r w:rsidR="00E15B60" w:rsidRPr="00141E92">
        <w:rPr>
          <w:rFonts w:ascii="Book Antiqua" w:hAnsi="Book Antiqua" w:cs="Times"/>
          <w:color w:val="101010"/>
          <w:sz w:val="24"/>
          <w:szCs w:val="24"/>
        </w:rPr>
        <w:t>HuR</w:t>
      </w:r>
      <w:proofErr w:type="spellEnd"/>
      <w:r w:rsidR="00E15B60" w:rsidRPr="00141E92">
        <w:rPr>
          <w:rFonts w:ascii="Book Antiqua" w:hAnsi="Book Antiqua" w:cs="Times"/>
          <w:color w:val="101010"/>
          <w:sz w:val="24"/>
          <w:szCs w:val="24"/>
        </w:rPr>
        <w:t xml:space="preserve"> and GAPDH were undetectable</w:t>
      </w:r>
      <w:r w:rsidR="00D8305A" w:rsidRPr="00141E92">
        <w:rPr>
          <w:rFonts w:ascii="Book Antiqua" w:hAnsi="Book Antiqua" w:cs="Times"/>
          <w:color w:val="101010"/>
          <w:sz w:val="24"/>
          <w:szCs w:val="24"/>
        </w:rPr>
        <w:t xml:space="preserve"> (</w:t>
      </w:r>
      <w:r w:rsidR="00D8305A" w:rsidRPr="00141E92">
        <w:rPr>
          <w:rFonts w:ascii="Book Antiqua" w:hAnsi="Book Antiqua" w:cs="Times"/>
          <w:color w:val="000000" w:themeColor="text1"/>
          <w:sz w:val="24"/>
          <w:szCs w:val="24"/>
        </w:rPr>
        <w:t>Figure 4)</w:t>
      </w:r>
      <w:r w:rsidR="00E15B60" w:rsidRPr="00141E92">
        <w:rPr>
          <w:rFonts w:ascii="Book Antiqua" w:hAnsi="Book Antiqua" w:cs="Times"/>
          <w:color w:val="101010"/>
          <w:sz w:val="24"/>
          <w:szCs w:val="24"/>
        </w:rPr>
        <w:t xml:space="preserve">. Total RNA bound to the precipitated </w:t>
      </w:r>
      <w:proofErr w:type="spellStart"/>
      <w:r w:rsidR="00E15B60" w:rsidRPr="00141E92">
        <w:rPr>
          <w:rFonts w:ascii="Book Antiqua" w:hAnsi="Book Antiqua" w:cs="Times"/>
          <w:color w:val="101010"/>
          <w:sz w:val="24"/>
          <w:szCs w:val="24"/>
        </w:rPr>
        <w:t>HuR</w:t>
      </w:r>
      <w:proofErr w:type="spellEnd"/>
      <w:r w:rsidR="00E15B60" w:rsidRPr="00141E92">
        <w:rPr>
          <w:rFonts w:ascii="Book Antiqua" w:hAnsi="Book Antiqua" w:cs="Times"/>
          <w:color w:val="101010"/>
          <w:sz w:val="24"/>
          <w:szCs w:val="24"/>
        </w:rPr>
        <w:t xml:space="preserve"> proteins obtained from the PANC-1 cells was isolated using the phenol-extraction method and analyzed by </w:t>
      </w:r>
      <w:proofErr w:type="spellStart"/>
      <w:r w:rsidR="00E15B60" w:rsidRPr="00141E92">
        <w:rPr>
          <w:rFonts w:ascii="Book Antiqua" w:hAnsi="Book Antiqua" w:cs="Times"/>
          <w:color w:val="101010"/>
          <w:sz w:val="24"/>
          <w:szCs w:val="24"/>
        </w:rPr>
        <w:t>qRT</w:t>
      </w:r>
      <w:proofErr w:type="spellEnd"/>
      <w:r w:rsidR="00E15B60" w:rsidRPr="00141E92">
        <w:rPr>
          <w:rFonts w:ascii="Book Antiqua" w:hAnsi="Book Antiqua" w:cs="Times"/>
          <w:color w:val="101010"/>
          <w:sz w:val="24"/>
          <w:szCs w:val="24"/>
        </w:rPr>
        <w:t xml:space="preserve">-PCR using IAP1 and IAP2 primers. </w:t>
      </w:r>
      <w:proofErr w:type="spellStart"/>
      <w:r w:rsidR="00E15B60" w:rsidRPr="00141E92">
        <w:rPr>
          <w:rFonts w:ascii="Book Antiqua" w:hAnsi="Book Antiqua" w:cs="Times"/>
          <w:color w:val="000000" w:themeColor="text1"/>
          <w:sz w:val="24"/>
          <w:szCs w:val="24"/>
        </w:rPr>
        <w:t>qRT</w:t>
      </w:r>
      <w:proofErr w:type="spellEnd"/>
      <w:r w:rsidR="00E15B60" w:rsidRPr="00141E92">
        <w:rPr>
          <w:rFonts w:ascii="Book Antiqua" w:hAnsi="Book Antiqua" w:cs="Times"/>
          <w:color w:val="000000" w:themeColor="text1"/>
          <w:sz w:val="24"/>
          <w:szCs w:val="24"/>
        </w:rPr>
        <w:t xml:space="preserve">-PCR revealed strong IAP1 and IAP2 mRNA expression (Ct 27.7 and Ct </w:t>
      </w:r>
      <w:r w:rsidR="00735FA3" w:rsidRPr="00141E92">
        <w:rPr>
          <w:rFonts w:ascii="Book Antiqua" w:hAnsi="Book Antiqua" w:cs="Times"/>
          <w:color w:val="000000" w:themeColor="text1"/>
          <w:sz w:val="24"/>
          <w:szCs w:val="24"/>
        </w:rPr>
        <w:t>30.2).</w:t>
      </w:r>
    </w:p>
    <w:p w14:paraId="0D554D9E" w14:textId="77777777" w:rsidR="00573B19" w:rsidRDefault="00573B19" w:rsidP="008530E2">
      <w:pPr>
        <w:snapToGrid w:val="0"/>
        <w:spacing w:line="360" w:lineRule="auto"/>
        <w:jc w:val="both"/>
        <w:rPr>
          <w:rFonts w:ascii="Book Antiqua" w:hAnsi="Book Antiqua"/>
          <w:b/>
          <w:i/>
          <w:sz w:val="24"/>
          <w:szCs w:val="24"/>
        </w:rPr>
      </w:pPr>
    </w:p>
    <w:p w14:paraId="43CB4E14" w14:textId="4E8CC3E8" w:rsidR="00E15B60" w:rsidRPr="00141E92" w:rsidRDefault="00E15B60" w:rsidP="008530E2">
      <w:pPr>
        <w:snapToGrid w:val="0"/>
        <w:spacing w:line="360" w:lineRule="auto"/>
        <w:jc w:val="both"/>
        <w:rPr>
          <w:rFonts w:ascii="Book Antiqua" w:hAnsi="Book Antiqua"/>
          <w:b/>
          <w:i/>
          <w:sz w:val="24"/>
          <w:szCs w:val="24"/>
        </w:rPr>
      </w:pPr>
      <w:proofErr w:type="spellStart"/>
      <w:r w:rsidRPr="00141E92">
        <w:rPr>
          <w:rFonts w:ascii="Book Antiqua" w:hAnsi="Book Antiqua"/>
          <w:b/>
          <w:i/>
          <w:sz w:val="24"/>
          <w:szCs w:val="24"/>
        </w:rPr>
        <w:t>HuR</w:t>
      </w:r>
      <w:proofErr w:type="spellEnd"/>
      <w:r w:rsidRPr="00141E92">
        <w:rPr>
          <w:rFonts w:ascii="Book Antiqua" w:hAnsi="Book Antiqua"/>
          <w:b/>
          <w:i/>
          <w:sz w:val="24"/>
          <w:szCs w:val="24"/>
        </w:rPr>
        <w:t xml:space="preserve"> silencing </w:t>
      </w:r>
      <w:r w:rsidR="00C81CEB" w:rsidRPr="00141E92">
        <w:rPr>
          <w:rFonts w:ascii="Book Antiqua" w:hAnsi="Book Antiqua"/>
          <w:b/>
          <w:i/>
          <w:sz w:val="24"/>
          <w:szCs w:val="24"/>
        </w:rPr>
        <w:t xml:space="preserve">is </w:t>
      </w:r>
      <w:r w:rsidRPr="00141E92">
        <w:rPr>
          <w:rFonts w:ascii="Book Antiqua" w:hAnsi="Book Antiqua"/>
          <w:b/>
          <w:i/>
          <w:sz w:val="24"/>
          <w:szCs w:val="24"/>
        </w:rPr>
        <w:t>associated with IAP1 and IAP2 mRNA</w:t>
      </w:r>
      <w:r w:rsidR="005C2CF1" w:rsidRPr="00141E92">
        <w:rPr>
          <w:rFonts w:ascii="Book Antiqua" w:hAnsi="Book Antiqua"/>
          <w:b/>
          <w:i/>
          <w:sz w:val="24"/>
          <w:szCs w:val="24"/>
        </w:rPr>
        <w:t xml:space="preserve"> and protein</w:t>
      </w:r>
      <w:r w:rsidRPr="00141E92">
        <w:rPr>
          <w:rFonts w:ascii="Book Antiqua" w:hAnsi="Book Antiqua"/>
          <w:b/>
          <w:i/>
          <w:sz w:val="24"/>
          <w:szCs w:val="24"/>
        </w:rPr>
        <w:t xml:space="preserve"> expression regulation </w:t>
      </w:r>
      <w:r w:rsidR="00C81CEB" w:rsidRPr="00141E92">
        <w:rPr>
          <w:rFonts w:ascii="Book Antiqua" w:hAnsi="Book Antiqua"/>
          <w:b/>
          <w:i/>
          <w:sz w:val="24"/>
          <w:szCs w:val="24"/>
        </w:rPr>
        <w:t xml:space="preserve">in </w:t>
      </w:r>
      <w:r w:rsidRPr="00141E92">
        <w:rPr>
          <w:rFonts w:ascii="Book Antiqua" w:hAnsi="Book Antiqua"/>
          <w:b/>
          <w:i/>
          <w:sz w:val="24"/>
          <w:szCs w:val="24"/>
        </w:rPr>
        <w:t xml:space="preserve">pancreatic cancer cells </w:t>
      </w:r>
    </w:p>
    <w:p w14:paraId="697F30AD" w14:textId="58C8193A" w:rsidR="00E15B60" w:rsidRPr="00141E92" w:rsidRDefault="00E15B60" w:rsidP="008530E2">
      <w:pPr>
        <w:snapToGrid w:val="0"/>
        <w:spacing w:line="360" w:lineRule="auto"/>
        <w:jc w:val="both"/>
        <w:rPr>
          <w:rFonts w:ascii="Book Antiqua" w:hAnsi="Book Antiqua"/>
          <w:sz w:val="24"/>
          <w:szCs w:val="24"/>
        </w:rPr>
      </w:pPr>
      <w:r w:rsidRPr="00141E92">
        <w:rPr>
          <w:rFonts w:ascii="Book Antiqua" w:hAnsi="Book Antiqua"/>
          <w:sz w:val="24"/>
          <w:szCs w:val="24"/>
        </w:rPr>
        <w:t xml:space="preserve">To demonstrate that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silencing has an effect on IAP1 and IAP2 mRNA expression, pancreatic cancer cell lines were transfected with anti-</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w:t>
      </w:r>
      <w:proofErr w:type="spellStart"/>
      <w:r w:rsidRPr="00141E92">
        <w:rPr>
          <w:rFonts w:ascii="Book Antiqua" w:hAnsi="Book Antiqua"/>
          <w:sz w:val="24"/>
          <w:szCs w:val="24"/>
        </w:rPr>
        <w:t>siRNA’s</w:t>
      </w:r>
      <w:proofErr w:type="spellEnd"/>
      <w:r w:rsidRPr="00141E92">
        <w:rPr>
          <w:rFonts w:ascii="Book Antiqua" w:hAnsi="Book Antiqua"/>
          <w:sz w:val="24"/>
          <w:szCs w:val="24"/>
        </w:rPr>
        <w:t xml:space="preserve">. QRT-PCR and Western blot analysis revealed the decreased expression of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protein and mRNA in PANC-1</w:t>
      </w:r>
      <w:r w:rsidR="00F30736" w:rsidRPr="00141E92">
        <w:rPr>
          <w:rFonts w:ascii="Book Antiqua" w:hAnsi="Book Antiqua"/>
          <w:sz w:val="24"/>
          <w:szCs w:val="24"/>
        </w:rPr>
        <w:t xml:space="preserve"> </w:t>
      </w:r>
      <w:r w:rsidRPr="00141E92">
        <w:rPr>
          <w:rFonts w:ascii="Book Antiqua" w:hAnsi="Book Antiqua"/>
          <w:sz w:val="24"/>
          <w:szCs w:val="24"/>
        </w:rPr>
        <w:t>cell line after transfection. Moreover, expression of IAP1 protein and mRNA was decreased too, but IAP2 expression was increased (</w:t>
      </w:r>
      <w:r w:rsidR="005C2CF1" w:rsidRPr="00141E92">
        <w:rPr>
          <w:rFonts w:ascii="Book Antiqua" w:hAnsi="Book Antiqua"/>
          <w:sz w:val="24"/>
          <w:szCs w:val="24"/>
        </w:rPr>
        <w:t>Figure 5</w:t>
      </w:r>
      <w:r w:rsidRPr="00141E92">
        <w:rPr>
          <w:rFonts w:ascii="Book Antiqua" w:hAnsi="Book Antiqua"/>
          <w:sz w:val="24"/>
          <w:szCs w:val="24"/>
        </w:rPr>
        <w:t>).</w:t>
      </w:r>
    </w:p>
    <w:p w14:paraId="50C8FBA0" w14:textId="77777777" w:rsidR="005C2CF1" w:rsidRPr="00141E92" w:rsidRDefault="005C2CF1" w:rsidP="008530E2">
      <w:pPr>
        <w:snapToGrid w:val="0"/>
        <w:spacing w:line="360" w:lineRule="auto"/>
        <w:jc w:val="both"/>
        <w:rPr>
          <w:rFonts w:ascii="Book Antiqua" w:hAnsi="Book Antiqua"/>
          <w:sz w:val="24"/>
          <w:szCs w:val="24"/>
        </w:rPr>
      </w:pPr>
    </w:p>
    <w:p w14:paraId="49F560A9" w14:textId="5E673928" w:rsidR="00C61D8F" w:rsidRPr="00573B19" w:rsidRDefault="00C61D8F" w:rsidP="00573B19">
      <w:pPr>
        <w:widowControl w:val="0"/>
        <w:snapToGrid w:val="0"/>
        <w:spacing w:line="360" w:lineRule="auto"/>
        <w:jc w:val="both"/>
        <w:rPr>
          <w:rFonts w:ascii="Book Antiqua" w:hAnsi="Book Antiqua"/>
          <w:b/>
          <w:i/>
          <w:sz w:val="24"/>
          <w:szCs w:val="24"/>
        </w:rPr>
      </w:pPr>
      <w:r w:rsidRPr="00141E92">
        <w:rPr>
          <w:rFonts w:ascii="Book Antiqua" w:hAnsi="Book Antiqua"/>
          <w:b/>
          <w:color w:val="000000" w:themeColor="text1"/>
          <w:sz w:val="24"/>
          <w:szCs w:val="24"/>
        </w:rPr>
        <w:t>DISCUSSION</w:t>
      </w:r>
    </w:p>
    <w:p w14:paraId="6A7D7529" w14:textId="49E88C49" w:rsidR="00DD5348" w:rsidRPr="00141E92" w:rsidRDefault="00DD5348" w:rsidP="008530E2">
      <w:pPr>
        <w:snapToGrid w:val="0"/>
        <w:spacing w:line="360" w:lineRule="auto"/>
        <w:jc w:val="both"/>
        <w:rPr>
          <w:rFonts w:ascii="Book Antiqua" w:hAnsi="Book Antiqua"/>
          <w:color w:val="000000" w:themeColor="text1"/>
          <w:sz w:val="24"/>
          <w:szCs w:val="24"/>
        </w:rPr>
      </w:pPr>
      <w:r w:rsidRPr="00141E92">
        <w:rPr>
          <w:rFonts w:ascii="Book Antiqua" w:hAnsi="Book Antiqua"/>
          <w:sz w:val="24"/>
          <w:szCs w:val="24"/>
        </w:rPr>
        <w:lastRenderedPageBreak/>
        <w:t>Despite the discovery of multiple genomic alterations that give rise to PDAC, attempts to exploit these lesions for either early detection or treatment have so far been unsuccessful in the clinical setting</w:t>
      </w:r>
      <w:r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{"citationItems":[{"id":"ITEM-1","itemData":{"DOI":"10.18632/oncotarget.4743","ISBN":"1949-2553 (Electronic)\\r1949-2553 (Linking)","ISSN":"1949-2553","PMID":"26314962","abstract":"Post-transcriptional regulation is a powerful mediator of gene expression, and can rapidly alter the expression of numerous transcripts involved in tumorigenesis. We have previously shown that the mRNA-binding protein HuR (ELAVL1) is elevated in human pancreatic ductal adenocarcinoma (PDA) specimens compared to normal pancreatic tissues, and its cytoplasmic localization is associated with increased tumor stage. To gain a better insight into HuR's role in PDA biology and to assess it as a candidate therapeutic target, we altered HuR expression in PDA cell lines and characterized the resulting phenotype in preclinical models. HuR silencing by short hairpin and small interfering RNAs significantly decreased cell proliferation and anchorage-independent growth, as well as impaired migration and invasion. In comparison, HuR overexpression increased migration and invasion, but had no significant effects on cell proliferation and anchorage-independent growth. Importantly, two distinct targeted approaches to HuR silencing showed marked impairment in tumor growth in mouse xenografts. NanoString nCounter(R) analyses demonstrated that HuR regulates core biological processes, highlighting that HuR inhibition likely thwarts PDA viability through post-transcriptional regulation of diverse signaling pathways (e.g. cell cycle, apoptosis, DNA repair). Taken together, our study suggests that targeted inhibition of HuR may be a novel, promising approach to the treatment of PDA.","author":[{"dropping-particle":"","family":"Jimbo","given":"M","non-dropping-particle":"","parse-names":false,"suffix":""},{"dropping-particle":"","family":"Blanco","given":"F F","non-dropping-particle":"","parse-names":false,"suffix":""},{"dropping-particle":"","family":"Huang","given":"Y H","non-dropping-particle":"","parse-names":false,"suffix":""},{"dropping-particle":"","family":"Telonis","given":"A G","non-dropping-particle":"","parse-names":false,"suffix":""},{"dropping-particle":"","family":"Screnci","given":"B A","non-dropping-particle":"","parse-names":false,"suffix":""},{"dropping-particle":"","family":"Cosma","given":"G L","non-dropping-particle":"","parse-names":false,"suffix":""},{"dropping-particle":"","family":"Alexeev","given":"V","non-dropping-particle":"","parse-names":false,"suffix":""},{"dropping-particle":"","family":"Gonye","given":"G E","non-dropping-particle":"","parse-names":false,"suffix":""},{"dropping-particle":"","family":"Yeo","given":"C J","non-dropping-particle":"","parse-names":false,"suffix":""},{"dropping-particle":"","family":"Sawicki","given":"J A","non-dropping-particle":"","parse-names":false,"suffix":""},{"dropping-particle":"","family":"Winter","given":"J M","non-dropping-particle":"","parse-names":false,"suffix":""},{"dropping-particle":"","family":"Brody","given":"J R","non-dropping-particle":"","parse-names":false,"suffix":""}],"container-title":"Oncotarget","id":"ITEM-1","issue":"29","issued":{"date-parts":[["2015"]]},"page":"27312-27331","title":"Targeting the mRNA-binding protein HuR impairs malignant characteristics of pancreatic ductal adenocarcinoma cells","type":"article-journal","volume":"6"},"uris":["http://www.mendeley.com/documents/?uuid=37c7139e-ec0d-4ca7-9f42-940a6ea84fc4"]}],"mendeley":{"formattedCitation":"&lt;sup&gt;[13]&lt;/sup&gt;","plainTextFormattedCitation":"[13]","previouslyFormattedCitation":"&lt;sup&gt;[13]&lt;/sup&gt;"},"properties":{"noteIndex":0},"schema":"https://github.com/citation-style-language/schema/raw/master/csl-citation.json"}</w:instrText>
      </w:r>
      <w:r w:rsidRPr="00141E92">
        <w:rPr>
          <w:rFonts w:ascii="Book Antiqua" w:hAnsi="Book Antiqua"/>
          <w:sz w:val="24"/>
          <w:szCs w:val="24"/>
        </w:rPr>
        <w:fldChar w:fldCharType="separate"/>
      </w:r>
      <w:r w:rsidRPr="00141E92">
        <w:rPr>
          <w:rFonts w:ascii="Book Antiqua" w:hAnsi="Book Antiqua"/>
          <w:sz w:val="24"/>
          <w:szCs w:val="24"/>
          <w:vertAlign w:val="superscript"/>
        </w:rPr>
        <w:t>[13]</w:t>
      </w:r>
      <w:r w:rsidRPr="00141E92">
        <w:rPr>
          <w:rFonts w:ascii="Book Antiqua" w:hAnsi="Book Antiqua"/>
          <w:sz w:val="24"/>
          <w:szCs w:val="24"/>
        </w:rPr>
        <w:fldChar w:fldCharType="end"/>
      </w:r>
      <w:r w:rsidRPr="00141E92">
        <w:rPr>
          <w:rFonts w:ascii="Book Antiqua" w:hAnsi="Book Antiqua"/>
          <w:sz w:val="24"/>
          <w:szCs w:val="24"/>
        </w:rPr>
        <w:t xml:space="preserve">. </w:t>
      </w:r>
    </w:p>
    <w:p w14:paraId="6A0495D6" w14:textId="390891CB" w:rsidR="00DD5348" w:rsidRPr="00141E92" w:rsidRDefault="00573B19" w:rsidP="008530E2">
      <w:pPr>
        <w:snapToGrid w:val="0"/>
        <w:spacing w:line="360" w:lineRule="auto"/>
        <w:jc w:val="both"/>
        <w:rPr>
          <w:rFonts w:ascii="Book Antiqua" w:hAnsi="Book Antiqua" w:cs="Times"/>
          <w:sz w:val="24"/>
          <w:szCs w:val="24"/>
        </w:rPr>
      </w:pPr>
      <w:r>
        <w:rPr>
          <w:rFonts w:ascii="Book Antiqua" w:hAnsi="Book Antiqua"/>
          <w:sz w:val="24"/>
          <w:szCs w:val="24"/>
        </w:rPr>
        <w:t xml:space="preserve">  </w:t>
      </w:r>
      <w:r w:rsidR="00DD5348" w:rsidRPr="00141E92">
        <w:rPr>
          <w:rFonts w:ascii="Book Antiqua" w:hAnsi="Book Antiqua"/>
          <w:sz w:val="24"/>
          <w:szCs w:val="24"/>
        </w:rPr>
        <w:t xml:space="preserve">There is a growing body of </w:t>
      </w:r>
      <w:r w:rsidR="00DD5348" w:rsidRPr="00141E92">
        <w:rPr>
          <w:rFonts w:ascii="Book Antiqua" w:hAnsi="Book Antiqua" w:cs="Times"/>
          <w:sz w:val="24"/>
          <w:szCs w:val="24"/>
        </w:rPr>
        <w:t>evidence that anti-apoptotic molecules IAP1, IAP2 are involved in the pathogenesis of various human malignancies, including pancreatic cancer</w:t>
      </w:r>
      <w:r w:rsidR="00DD5348" w:rsidRPr="00141E92">
        <w:rPr>
          <w:rFonts w:ascii="Book Antiqua" w:hAnsi="Book Antiqua"/>
          <w:position w:val="10"/>
          <w:sz w:val="24"/>
          <w:szCs w:val="24"/>
        </w:rPr>
        <w:fldChar w:fldCharType="begin" w:fldLock="1"/>
      </w:r>
      <w:r w:rsidR="00A75513" w:rsidRPr="00141E92">
        <w:rPr>
          <w:rFonts w:ascii="Book Antiqua" w:hAnsi="Book Antiqua"/>
          <w:position w:val="10"/>
          <w:sz w:val="24"/>
          <w:szCs w:val="24"/>
        </w:rPr>
        <w:instrText>ADDIN CSL_CITATION {"citationItems":[{"id":"ITEM-1","itemData":{"DOI":"10.1078/0344-0338-00488","ISSN":"03440338","PMID":"14708638","abstract":"The Inhibitor of Apoptosis Protein (IAP) family includes several critical cell death inhibitors, the expression of which could be involved in colorectal carcinogenesis. Among them, c-IAP1 and c-IAP2 expression has never been investigated in colorectal cancer. The present study was designed to determine whether expression of both IAPs was related to pathological parameters and survival in sporadic colon carcinomas. Analysis of five human colon cancer cell lines by both western blotting of cell fractions and immunocytochemistry showed that the two IAPs could be expressed both in the nucleus and in the cytoplasm. Immunohistochemical analysis of a series of 46 sporadic colorectal adenocarcinomas demonstrated that c-IAP1 expression was more frequent in the nucleus (85%), and that c-IAP2 was more often expressed in the cytoplasm (82%). A significant association was identified between a strong lymphoid infiltrate in the stroma and the nuclear expression of c-IAP2 (p = 0.02). No other relationship was observed between IAP expression and pathological features. After adjusting by age and stage, the relative risk of death was lower for cytoplasmic c-IAP1, cytoplasmic c-IAP2, and nuclear c-IAP2 expression. It was higher for nuclear c-IAP1 expression. These associations were not statistically significant, but this work underlines the importance of taking into account the subcellular location of the IAP family members in the evaluation of their prognostic significance.","author":[{"dropping-particle":"","family":"Ponnelle","given":"Tibor","non-dropping-particle":"","parse-names":false,"suffix":""},{"dropping-particle":"","family":"Chapusot","given":"Caroline","non-dropping-particle":"","parse-names":false,"suffix":""},{"dropping-particle":"","family":"Martin","given":"Laurent","non-dropping-particle":"","parse-names":false,"suffix":""},{"dropping-particle":"","family":"Bonithon-Kopp","given":"Claire","non-dropping-particle":"","parse-names":false,"suffix":""},{"dropping-particle":"","family":"Bouvier","given":"Anne Marie","non-dropping-particle":"","parse-names":false,"suffix":""},{"dropping-particle":"","family":"Plenchette","given":"Stéphanie","non-dropping-particle":"","parse-names":false,"suffix":""},{"dropping-particle":"","family":"Rageot","given":"David","non-dropping-particle":"","parse-names":false,"suffix":""},{"dropping-particle":"","family":"Faivre","given":"Jean","non-dropping-particle":"","parse-names":false,"suffix":""},{"dropping-particle":"","family":"Solary","given":"Eric","non-dropping-particle":"","parse-names":false,"suffix":""},{"dropping-particle":"","family":"Piard","given":"Françoise","non-dropping-particle":"","parse-names":false,"suffix":""}],"container-title":"Pathology Research and Practice","id":"ITEM-1","issue":"11","issued":{"date-parts":[["2003"]]},"page":"723-731","title":"Subcellular expression of c-IAP1 and c-IAP2 in colorectal cancers: Relationships with clinicopathological features and prognosis","type":"article-journal","volume":"199"},"uris":["http://www.mendeley.com/documents/?uuid=78060e2b-004c-4fe2-8de6-7dce0fcf15dd"]},{"id":"ITEM-2","itemData":{"DOI":"10.1002/ijc.22554","ISBN":"0020-7136 (Print)\\r0020-7136 (Linking)","ISSN":"00207136","PMID":"17311258","abstract":"Pancreatic cancer is one of the most aggressive human tumors with a 5-year survival rate of only 3% and a striking resistance to chemotherapy and radiotherapy. The search for new therapeutic approaches includes strategies exploiting the deregulation of apoptotic pathways commonly found in cancer cells. The IAP proteins are inhibitors of apoptosis that have altered activity in numerous cancer types and are implicated in resistance to chemotherapy, and therefore are potentially interesting as therapeutic targets. We investigated alterations in the expression of IAPs and their inhibitors in pancreatic adenocarcinoma by using real-time PCR, in situ hybridization and immunohistochemistry. We found differential expression of various IAPs in this malignancy, and particularly we observed overexpression of cIAP-2, survivin, livin and XIAP. We also looked for correlations between the expression of IAPs and resistance to paclitaxel, doxorubicin, CDDP and 5-fluorouracil, and found that resistance to these drugs correlates most significantly with expression of cIAP-2. Using RNAi to downregulate these proteins we further confirmed that the levels of cIAP-2 and XIAP influence the response to the anti-cancer drugs, although only marginally for 5-FU. We conclude that anti-tumor strategies based on the inhibition of particular IAPs can be useful in targeting pancreatic adenocarcinoma.","author":[{"dropping-particle":"","family":"Lopes","given":"Rita Bayer","non-dropping-particle":"","parse-names":false,"suffix":""},{"dropping-particle":"","family":"Gangeswaran","given":"Rathi","non-dropping-particle":"","parse-names":false,"suffix":""},{"dropping-particle":"","family":"McNeish","given":"Iain A.","non-dropping-particle":"","parse-names":false,"suffix":""},{"dropping-particle":"","family":"Wang","given":"Yaohe","non-dropping-particle":"","parse-names":false,"suffix":""},{"dropping-particle":"","family":"Lemoine","given":"Nick R.","non-dropping-particle":"","parse-names":false,"suffix":""}],"container-title":"International Journal of Cancer","id":"ITEM-2","issue":"11","issued":{"date-parts":[["2007"]]},"page":"2344-2352","title":"Expression of the IAP protein family is dysregulated in pancreatic cancer cells and is important for resistance to chemotherapy","type":"article-journal","volume":"120"},"uris":["http://www.mendeley.com/documents/?uuid=f80cf43f-513f-4ea4-a2a9-97af81c76de8"]},{"id":"ITEM-3","itemData":{"DOI":"10.1042/BJ20110028","ISBN":"1470-8728 (Electronic)\\r0264-6021 (Linking)","ISSN":"0264-6021","PMID":"21443519","abstract":"Overexpression of survivin, a member of the IAP (inhibitor of apoptosis) family, has been correlated with poorer outcomes in multiple malignancies, including oesophageal cancer. The regulatory mechanisms, particularly at the post-transcriptional level, involved in survivin overexpression are not well understood. Previous work from our group has shown that the RNA-binding protein HuR (Hu antigen R), which is also overexpressed in several malignancies, stabilizes the mRNA of XIAP (X-linked IAP), another IAP family member. In the present study, we demonstrate the binding of HuR to a 288 bp fragment in the 3'-UTR (untranslated region) of survivin mRNA in human oesophageal epithelial cells. Unexpectedly, overexpression of HuR led to a decrease in survivin expression. This was associated with decreased survivin mRNA and promoter activity, suggesting a decrease in transcription. Levels of p53, a negative transcriptional regulator of survivin, increased following HuR overexpression, in conjunction with enhanced p53 mRNA stability. Silencing p53 prior to HuR overexpression resulted in increased survivin protein and mRNA stability. These results demonstrate that, in the absence of p53, HuR overexpression results in increased survivin mRNA stability and protein expression. This provides an additional explanation for the increased survivin expression observed in oesophageal cancer cells that have lost p53.","author":[{"dropping-particle":"","family":"Donahue","given":"James M","non-dropping-particle":"","parse-names":false,"suffix":""},{"dropping-particle":"","family":"Chang","given":"Elizabeth T","non-dropping-particle":"","parse-names":false,"suffix":""},{"dropping-particle":"","family":"Xiao","given":"Lan","non-dropping-particle":"","parse-names":false,"suffix":""},{"dropping-particle":"","family":"Wang","given":"Peng-Yuan","non-dropping-particle":"","parse-names":false,"suffix":""},{"dropping-particle":"","family":"Rao","given":"Jaladanki N","non-dropping-particle":"","parse-names":false,"suffix":""},{"dropping-particle":"","family":"Turner","given":"Douglas J","non-dropping-particle":"","parse-names":false,"suffix":""},{"dropping-particle":"","family":"Wang","given":"Jian-Ying","non-dropping-particle":"","parse-names":false,"suffix":""},{"dropping-particle":"","family":"Battafarano","given":"Richard J","non-dropping-particle":"","parse-names":false,"suffix":""}],"container-title":"The Biochemical journal","id":"ITEM-3","issue":"1","issued":{"date-parts":[["2011"]]},"page":"89-96","title":"The RNA-binding protein HuR stabilizes survivin mRNA in human oesophageal epithelial cells.","type":"article-journal","volume":"437"},"uris":["http://www.mendeley.com/documents/?uuid=75ed2c7b-e86b-4539-a6ba-8c04bdb804c5"]}],"mendeley":{"formattedCitation":"&lt;sup&gt;[11,22,23]&lt;/sup&gt;","plainTextFormattedCitation":"[11,22,23]","previouslyFormattedCitation":"&lt;sup&gt;[11,22,23]&lt;/sup&gt;"},"properties":{"noteIndex":0},"schema":"https://github.com/citation-style-language/schema/raw/master/csl-citation.json"}</w:instrText>
      </w:r>
      <w:r w:rsidR="00DD5348" w:rsidRPr="00141E92">
        <w:rPr>
          <w:rFonts w:ascii="Book Antiqua" w:hAnsi="Book Antiqua"/>
          <w:position w:val="10"/>
          <w:sz w:val="24"/>
          <w:szCs w:val="24"/>
        </w:rPr>
        <w:fldChar w:fldCharType="separate"/>
      </w:r>
      <w:r w:rsidR="007C64D9" w:rsidRPr="00141E92">
        <w:rPr>
          <w:rFonts w:ascii="Book Antiqua" w:hAnsi="Book Antiqua"/>
          <w:position w:val="10"/>
          <w:sz w:val="24"/>
          <w:szCs w:val="24"/>
          <w:vertAlign w:val="superscript"/>
        </w:rPr>
        <w:t>[11,22,23]</w:t>
      </w:r>
      <w:r w:rsidR="00DD5348" w:rsidRPr="00141E92">
        <w:rPr>
          <w:rFonts w:ascii="Book Antiqua" w:hAnsi="Book Antiqua"/>
          <w:position w:val="10"/>
          <w:sz w:val="24"/>
          <w:szCs w:val="24"/>
        </w:rPr>
        <w:fldChar w:fldCharType="end"/>
      </w:r>
      <w:r w:rsidR="00DD5348" w:rsidRPr="00141E92">
        <w:rPr>
          <w:rFonts w:ascii="Book Antiqua" w:hAnsi="Book Antiqua"/>
          <w:sz w:val="24"/>
          <w:szCs w:val="24"/>
        </w:rPr>
        <w:t>.</w:t>
      </w:r>
      <w:r w:rsidR="00DD5348" w:rsidRPr="00141E92">
        <w:rPr>
          <w:rFonts w:ascii="Book Antiqua" w:hAnsi="Book Antiqua" w:cs="Times"/>
          <w:sz w:val="24"/>
          <w:szCs w:val="24"/>
        </w:rPr>
        <w:t xml:space="preserve"> </w:t>
      </w:r>
      <w:r w:rsidR="00DD5348" w:rsidRPr="00141E92">
        <w:rPr>
          <w:rFonts w:ascii="Book Antiqua" w:hAnsi="Book Antiqua" w:cs="Times"/>
          <w:color w:val="000000" w:themeColor="text1"/>
          <w:sz w:val="24"/>
          <w:szCs w:val="24"/>
        </w:rPr>
        <w:t>However, IAP1 and IAP2 function in sustaining</w:t>
      </w:r>
      <w:r w:rsidR="00C21DF2" w:rsidRPr="00141E92">
        <w:rPr>
          <w:rFonts w:ascii="Book Antiqua" w:hAnsi="Book Antiqua" w:cs="Times"/>
          <w:color w:val="000000" w:themeColor="text1"/>
          <w:sz w:val="24"/>
          <w:szCs w:val="24"/>
        </w:rPr>
        <w:t xml:space="preserve"> tumo</w:t>
      </w:r>
      <w:r w:rsidR="00DD5348" w:rsidRPr="00141E92">
        <w:rPr>
          <w:rFonts w:ascii="Book Antiqua" w:hAnsi="Book Antiqua" w:cs="Times"/>
          <w:color w:val="000000" w:themeColor="text1"/>
          <w:sz w:val="24"/>
          <w:szCs w:val="24"/>
        </w:rPr>
        <w:t xml:space="preserve">r growth and preventing apoptosis, remains unclear. </w:t>
      </w:r>
    </w:p>
    <w:p w14:paraId="4CF51AD1" w14:textId="3DAA4758" w:rsidR="00DD5348" w:rsidRPr="00141E92" w:rsidRDefault="00573B19" w:rsidP="008530E2">
      <w:pPr>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r w:rsidR="00DD5348" w:rsidRPr="00141E92">
        <w:rPr>
          <w:rFonts w:ascii="Book Antiqua" w:hAnsi="Book Antiqua"/>
          <w:color w:val="000000" w:themeColor="text1"/>
          <w:sz w:val="24"/>
          <w:szCs w:val="24"/>
        </w:rPr>
        <w:t>In this study</w:t>
      </w:r>
      <w:r>
        <w:rPr>
          <w:rFonts w:ascii="Book Antiqua" w:hAnsi="Book Antiqua"/>
          <w:color w:val="000000" w:themeColor="text1"/>
          <w:sz w:val="24"/>
          <w:szCs w:val="24"/>
        </w:rPr>
        <w:t>,</w:t>
      </w:r>
      <w:r w:rsidR="00DD5348" w:rsidRPr="00141E92">
        <w:rPr>
          <w:rFonts w:ascii="Book Antiqua" w:hAnsi="Book Antiqua"/>
          <w:color w:val="000000" w:themeColor="text1"/>
          <w:sz w:val="24"/>
          <w:szCs w:val="24"/>
        </w:rPr>
        <w:t xml:space="preserve"> we analyzed the possible role of the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mediated post-transcriptional regulation of the IAP1 and IAP2 in the cohort of patients with typical PDAC and in PANC-1 cancer cell line </w:t>
      </w:r>
      <w:r w:rsidR="00DD5348" w:rsidRPr="00141E92">
        <w:rPr>
          <w:rFonts w:ascii="Book Antiqua" w:hAnsi="Book Antiqua"/>
          <w:i/>
          <w:color w:val="000000" w:themeColor="text1"/>
          <w:sz w:val="24"/>
          <w:szCs w:val="24"/>
        </w:rPr>
        <w:t>in vitro</w:t>
      </w:r>
      <w:r w:rsidR="00DD5348" w:rsidRPr="00141E92">
        <w:rPr>
          <w:rFonts w:ascii="Book Antiqua" w:hAnsi="Book Antiqua"/>
          <w:color w:val="000000" w:themeColor="text1"/>
          <w:sz w:val="24"/>
          <w:szCs w:val="24"/>
        </w:rPr>
        <w:t xml:space="preserve">. RNA-immunoprecipitation analysis in PANC-1 cell line confirmed that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protein binds with IAP1 and IAP2 mRNA and thus, plays an important role in post-transcriptional regulation of these molecules. </w:t>
      </w:r>
      <w:r w:rsidR="00371C6A" w:rsidRPr="00141E92">
        <w:rPr>
          <w:rFonts w:ascii="Book Antiqua" w:hAnsi="Book Antiqua"/>
          <w:color w:val="000000" w:themeColor="text1"/>
          <w:sz w:val="24"/>
          <w:szCs w:val="24"/>
        </w:rPr>
        <w:t>Moreover, we</w:t>
      </w:r>
      <w:r w:rsidR="00DD5348" w:rsidRPr="00141E92">
        <w:rPr>
          <w:rFonts w:ascii="Book Antiqua" w:hAnsi="Book Antiqua"/>
          <w:color w:val="000000" w:themeColor="text1"/>
          <w:sz w:val="24"/>
          <w:szCs w:val="24"/>
        </w:rPr>
        <w:t xml:space="preserve"> supposed that the upregulation of these anti-apoptotic molecules IAP1 and IAP2 is mediated by the mRNA binding protein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After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silencing expression of IAP1 protein and mRNA was down-regulated as expected. </w:t>
      </w:r>
      <w:r w:rsidR="00DD5348" w:rsidRPr="00141E92">
        <w:rPr>
          <w:rFonts w:ascii="Book Antiqua" w:hAnsi="Book Antiqua" w:cs="Times"/>
          <w:color w:val="000000" w:themeColor="text1"/>
          <w:sz w:val="24"/>
          <w:szCs w:val="24"/>
        </w:rPr>
        <w:t>Surprisingly</w:t>
      </w:r>
      <w:r w:rsidR="00DD5348" w:rsidRPr="00141E92">
        <w:rPr>
          <w:rFonts w:ascii="Book Antiqua" w:hAnsi="Book Antiqua"/>
          <w:color w:val="000000" w:themeColor="text1"/>
          <w:sz w:val="24"/>
          <w:szCs w:val="24"/>
        </w:rPr>
        <w:t xml:space="preserve">, IAP2 acted differently, when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is silenced, IAP2 mRNA and proteins levels were upregulated. These finding contradict in part with </w:t>
      </w:r>
      <w:r>
        <w:rPr>
          <w:rFonts w:ascii="Book Antiqua" w:hAnsi="Book Antiqua"/>
          <w:color w:val="000000" w:themeColor="text1"/>
          <w:sz w:val="24"/>
          <w:szCs w:val="24"/>
        </w:rPr>
        <w:t xml:space="preserve">the study of </w:t>
      </w:r>
      <w:r w:rsidR="00DD5348" w:rsidRPr="00141E92">
        <w:rPr>
          <w:rFonts w:ascii="Book Antiqua" w:hAnsi="Book Antiqua"/>
          <w:color w:val="000000" w:themeColor="text1"/>
          <w:sz w:val="24"/>
          <w:szCs w:val="24"/>
        </w:rPr>
        <w:t xml:space="preserve">Cha </w:t>
      </w:r>
      <w:r w:rsidRPr="00573B19">
        <w:rPr>
          <w:rFonts w:ascii="Book Antiqua" w:hAnsi="Book Antiqua"/>
          <w:i/>
          <w:color w:val="000000" w:themeColor="text1"/>
          <w:sz w:val="24"/>
          <w:szCs w:val="24"/>
        </w:rPr>
        <w:t>et al</w:t>
      </w:r>
      <w:r w:rsidRPr="00141E92">
        <w:rPr>
          <w:rFonts w:ascii="Book Antiqua" w:hAnsi="Book Antiqua"/>
          <w:color w:val="000000" w:themeColor="text1"/>
          <w:sz w:val="24"/>
          <w:szCs w:val="24"/>
        </w:rPr>
        <w:fldChar w:fldCharType="begin" w:fldLock="1"/>
      </w:r>
      <w:r w:rsidRPr="00141E92">
        <w:rPr>
          <w:rFonts w:ascii="Book Antiqua" w:hAnsi="Book Antiqua"/>
          <w:color w:val="000000" w:themeColor="text1"/>
          <w:sz w:val="24"/>
          <w:szCs w:val="24"/>
        </w:rPr>
        <w:instrText>ADDIN CSL_CITATION {"citationItems":[{"id":"ITEM-1","itemData":{"DOI":"10.1002/hed.23431","ISSN":"10970347","PMID":"23852810","abstract":"BACKGROUND: HuR expression has been noted in several cancer types, in which it may contribute to increased expression of cellular inhibitors of apoptosis protein-2 (cIAP2) observed during tumorigenesis.\\n\\nMETHODS: To assess the correlation between cIAP2 and HuR in cases of oral squamous cell carcinoma (OSCC), the expression patterns of HuR and cIAP2 were assessed by immunohistochemical analyses of 95 treated OSCC samples.\\n\\nRESULTS: In the tumor tissues, positive cytoplasmic HuR expression was evident in 71.6% of samples and positive cIAP2 expression was noted in 95.8% of samples. Positive cytoplasmic HuR expression was significantly associated with positive cIAP2 (p &lt; .035) and high cIAP2 expression (p &lt; .007), as well as high grade (p &lt; .050). The inhibition of HuR expression by small interfering RNA or leptomycin B caused a reduction in the inducibility of cIAP2 in oral cancer cells.\\n\\nCONCLUSION: Cytoplasmic expression of HuR is associated with cIAP2 expression in OSCCs. © 2014 Wiley Periodicals, Inc. Head Neck 36: 1168-1175, 2014.","author":[{"dropping-particle":"","family":"Cha","given":"Jeong Dan","non-dropping-particle":"","parse-names":false,"suffix":""},{"dropping-particle":"","family":"Kim","given":"Hee Kyeong","non-dropping-particle":"","parse-names":false,"suffix":""},{"dropping-particle":"","family":"Cha","given":"In Ho","non-dropping-particle":"","parse-names":false,"suffix":""}],"container-title":"Head and Neck","id":"ITEM-1","issue":"8","issued":{"date-parts":[["2014"]]},"page":"1168-1175","title":"Cytoplasmic HuR expression: Correlation with cellular inhibitors of apoptosis protein-2 expression and clinicopathologic factors in oral squamous cell carcinoma cells","type":"article-journal","volume":"36"},"uris":["http://www.mendeley.com/documents/?uuid=4714575c-9f47-41d2-9e4e-f02df863165d"]}],"mendeley":{"formattedCitation":"&lt;sup&gt;[20]&lt;/sup&gt;","plainTextFormattedCitation":"[20]","previouslyFormattedCitation":"&lt;sup&gt;[20]&lt;/sup&gt;"},"properties":{"noteIndex":0},"schema":"https://github.com/citation-style-language/schema/raw/master/csl-citation.json"}</w:instrText>
      </w:r>
      <w:r w:rsidRPr="00141E92">
        <w:rPr>
          <w:rFonts w:ascii="Book Antiqua" w:hAnsi="Book Antiqua"/>
          <w:color w:val="000000" w:themeColor="text1"/>
          <w:sz w:val="24"/>
          <w:szCs w:val="24"/>
        </w:rPr>
        <w:fldChar w:fldCharType="separate"/>
      </w:r>
      <w:r w:rsidRPr="00141E92">
        <w:rPr>
          <w:rFonts w:ascii="Book Antiqua" w:hAnsi="Book Antiqua"/>
          <w:color w:val="000000" w:themeColor="text1"/>
          <w:sz w:val="24"/>
          <w:szCs w:val="24"/>
          <w:vertAlign w:val="superscript"/>
        </w:rPr>
        <w:t>[20]</w:t>
      </w:r>
      <w:r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 xml:space="preserve">, where oral cancer cells were transfected with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w:t>
      </w:r>
      <w:proofErr w:type="spellStart"/>
      <w:r w:rsidR="00DD5348" w:rsidRPr="00141E92">
        <w:rPr>
          <w:rFonts w:ascii="Book Antiqua" w:hAnsi="Book Antiqua"/>
          <w:color w:val="000000" w:themeColor="text1"/>
          <w:sz w:val="24"/>
          <w:szCs w:val="24"/>
        </w:rPr>
        <w:t>siRNA</w:t>
      </w:r>
      <w:proofErr w:type="spellEnd"/>
      <w:r w:rsidR="00DD5348" w:rsidRPr="00141E92">
        <w:rPr>
          <w:rFonts w:ascii="Book Antiqua" w:hAnsi="Book Antiqua"/>
          <w:color w:val="000000" w:themeColor="text1"/>
          <w:sz w:val="24"/>
          <w:szCs w:val="24"/>
        </w:rPr>
        <w:t xml:space="preserve">,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and IAP2 expression were reduced. However, it might be due to different tumor’s features. On other hand, it is well established that mRNA stabilizing proteins could exert opposite effects for different target molecules</w:t>
      </w:r>
      <w:r w:rsidR="00DD534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{"citationItems":[{"id":"ITEM-1","itemData":{"DOI":"10.1042/BJ20110028","ISBN":"1470-8728 (Electronic)\\r0264-6021 (Linking)","ISSN":"0264-6021","PMID":"21443519","abstract":"Overexpression of survivin, a member of the IAP (inhibitor of apoptosis) family, has been correlated with poorer outcomes in multiple malignancies, including oesophageal cancer. The regulatory mechanisms, particularly at the post-transcriptional level, involved in survivin overexpression are not well understood. Previous work from our group has shown that the RNA-binding protein HuR (Hu antigen R), which is also overexpressed in several malignancies, stabilizes the mRNA of XIAP (X-linked IAP), another IAP family member. In the present study, we demonstrate the binding of HuR to a 288 bp fragment in the 3'-UTR (untranslated region) of survivin mRNA in human oesophageal epithelial cells. Unexpectedly, overexpression of HuR led to a decrease in survivin expression. This was associated with decreased survivin mRNA and promoter activity, suggesting a decrease in transcription. Levels of p53, a negative transcriptional regulator of survivin, increased following HuR overexpression, in conjunction with enhanced p53 mRNA stability. Silencing p53 prior to HuR overexpression resulted in increased survivin protein and mRNA stability. These results demonstrate that, in the absence of p53, HuR overexpression results in increased survivin mRNA stability and protein expression. This provides an additional explanation for the increased survivin expression observed in oesophageal cancer cells that have lost p53.","author":[{"dropping-particle":"","family":"Donahue","given":"James M","non-dropping-particle":"","parse-names":false,"suffix":""},{"dropping-particle":"","family":"Chang","given":"Elizabeth T","non-dropping-particle":"","parse-names":false,"suffix":""},{"dropping-particle":"","family":"Xiao","given":"Lan","non-dropping-particle":"","parse-names":false,"suffix":""},{"dropping-particle":"","family":"Wang","given":"Peng-Yuan","non-dropping-particle":"","parse-names":false,"suffix":""},{"dropping-particle":"","family":"Rao","given":"Jaladanki N","non-dropping-particle":"","parse-names":false,"suffix":""},{"dropping-particle":"","family":"Turner","given":"Douglas J","non-dropping-particle":"","parse-names":false,"suffix":""},{"dropping-particle":"","family":"Wang","given":"Jian-Ying","non-dropping-particle":"","parse-names":false,"suffix":""},{"dropping-particle":"","family":"Battafarano","given":"Richard J","non-dropping-particle":"","parse-names":false,"suffix":""}],"container-title":"The Biochemical journal","id":"ITEM-1","issue":"1","issued":{"date-parts":[["2011"]]},"page":"89-96","title":"The RNA-binding protein HuR stabilizes survivin mRNA in human oesophageal epithelial cells.","type":"article-journal","volume":"437"},"uris":["http://www.mendeley.com/documents/?uuid=75ed2c7b-e86b-4539-a6ba-8c04bdb804c5"]}],"mendeley":{"formattedCitation":"&lt;sup&gt;[23]&lt;/sup&gt;","plainTextFormattedCitation":"[23]","previouslyFormattedCitation":"&lt;sup&gt;[23]&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[23]</w:t>
      </w:r>
      <w:r w:rsidR="00DD5348" w:rsidRPr="00141E92">
        <w:rPr>
          <w:rFonts w:ascii="Book Antiqua" w:hAnsi="Book Antiqua"/>
          <w:color w:val="000000" w:themeColor="text1"/>
          <w:sz w:val="24"/>
          <w:szCs w:val="24"/>
        </w:rPr>
        <w:fldChar w:fldCharType="end"/>
      </w:r>
      <w:r w:rsidR="00A75513" w:rsidRPr="00141E92">
        <w:rPr>
          <w:rFonts w:ascii="Book Antiqua" w:hAnsi="Book Antiqua"/>
          <w:color w:val="000000" w:themeColor="text1"/>
          <w:sz w:val="24"/>
          <w:szCs w:val="24"/>
        </w:rPr>
        <w:t xml:space="preserve"> and could act </w:t>
      </w:r>
      <w:r w:rsidR="00A75513" w:rsidRPr="00141E92">
        <w:rPr>
          <w:rFonts w:ascii="Book Antiqua" w:eastAsia="Times New Roman" w:hAnsi="Book Antiqua" w:cs="Times New Roman"/>
          <w:color w:val="auto"/>
          <w:sz w:val="24"/>
          <w:szCs w:val="24"/>
        </w:rPr>
        <w:t>by functioning as either an oncogene or a tumor suppressor</w:t>
      </w:r>
      <w:r w:rsidR="00A75513" w:rsidRPr="00141E92">
        <w:rPr>
          <w:rFonts w:ascii="Book Antiqua" w:eastAsia="Times New Roman" w:hAnsi="Book Antiqua" w:cs="Times New Roman"/>
          <w:color w:val="auto"/>
          <w:sz w:val="24"/>
          <w:szCs w:val="24"/>
        </w:rPr>
        <w:fldChar w:fldCharType="begin" w:fldLock="1"/>
      </w:r>
      <w:r w:rsidR="00A23D3C" w:rsidRPr="00141E92">
        <w:rPr>
          <w:rFonts w:ascii="Book Antiqua" w:eastAsia="Times New Roman" w:hAnsi="Book Antiqua" w:cs="Times New Roman"/>
          <w:color w:val="auto"/>
          <w:sz w:val="24"/>
          <w:szCs w:val="24"/>
        </w:rPr>
        <w:instrText>ADDIN CSL_CITATION {"citationItems":[{"id":"ITEM-1","itemData":{"DOI":"10.3390/ijms140510015","ISSN":"16616596","PMID":"23665903","abstract":"The human embryonic lethal abnormal vision-like protein, HuR, is a member of the Hu family of RNA-binding proteins. Over the past decade, this ubiquitously expressed protein has been extensively investigated in cancer research because it is involved in the regulation of mRNA stability and translation in many cell types. HuR activity and function is associated with its subcellular distribution, transcriptional regulation, translational and post-translational modifications. HuR regulation of target mRNAs is based on the interaction between the three specific domains of HuR protein and one or several U- or AU-rich elements (AREs) in the untranslated region of target mRNAs. A number of cancer-related transcripts containing AREs, including mRNAs for proto-oncogenes, cytokines, growth factors, and invasion factors, have been characterized as HuR targets. It has been proposed that HuR has a central tumorigenic activity by enabling multiple cancer phenotypes. In this review, we comprehensively survey the existing evidence with regard to the diverse functions of HuR in caner development and progression. The current data also suggest that HuR might be a novel and promising therapeutic target and a marker for treatment response and prognostic evaluation.","author":[{"dropping-particle":"","family":"Wang","given":"Jun","non-dropping-particle":"","parse-names":false,"suffix":""},{"dropping-particle":"","family":"Guo","given":"Yan","non-dropping-particle":"","parse-names":false,"suffix":""},{"dropping-particle":"","family":"Chu","given":"Huili","non-dropping-particle":"","parse-names":false,"suffix":""},{"dropping-particle":"","family":"Guan","given":"Yaping","non-dropping-particle":"","parse-names":false,"suffix":""},{"dropping-particle":"","family":"Bi","given":"Jingwang","non-dropping-particle":"","parse-names":false,"suffix":""},{"dropping-particle":"","family":"Wang","given":"Baocheng","non-dropping-particle":"","parse-names":false,"suffix":""}],"container-title":"International Journal of Molecular Sciences","id":"ITEM-1","issue":"5","issued":{"date-parts":[["2013"]]},"page":"10015-10041","title":"Multiple functions of the RNA-binding protein HuR in cancer progression, treatment responses and prognosis","type":"article","volume":"14"},"uris":["http://www.mendeley.com/documents/?uuid=f59df242-89d1-4363-a22b-83c844334fc4"]}],"mendeley":{"formattedCitation":"&lt;sup&gt;[15]&lt;/sup&gt;","plainTextFormattedCitation":"[15]","previouslyFormattedCitation":"&lt;sup&gt;[15]&lt;/sup&gt;"},"properties":{"noteIndex":0},"schema":"https://github.com/citation-style-language/schema/raw/master/csl-citation.json"}</w:instrText>
      </w:r>
      <w:r w:rsidR="00A75513" w:rsidRPr="00141E92">
        <w:rPr>
          <w:rFonts w:ascii="Book Antiqua" w:eastAsia="Times New Roman" w:hAnsi="Book Antiqua" w:cs="Times New Roman"/>
          <w:color w:val="auto"/>
          <w:sz w:val="24"/>
          <w:szCs w:val="24"/>
        </w:rPr>
        <w:fldChar w:fldCharType="separate"/>
      </w:r>
      <w:r w:rsidR="00A75513" w:rsidRPr="00141E92">
        <w:rPr>
          <w:rFonts w:ascii="Book Antiqua" w:eastAsia="Times New Roman" w:hAnsi="Book Antiqua" w:cs="Times New Roman"/>
          <w:color w:val="auto"/>
          <w:sz w:val="24"/>
          <w:szCs w:val="24"/>
          <w:vertAlign w:val="superscript"/>
        </w:rPr>
        <w:t>[15]</w:t>
      </w:r>
      <w:r w:rsidR="00A75513" w:rsidRPr="00141E92">
        <w:rPr>
          <w:rFonts w:ascii="Book Antiqua" w:eastAsia="Times New Roman" w:hAnsi="Book Antiqua" w:cs="Times New Roman"/>
          <w:color w:val="auto"/>
          <w:sz w:val="24"/>
          <w:szCs w:val="24"/>
        </w:rPr>
        <w:fldChar w:fldCharType="end"/>
      </w:r>
      <w:r w:rsidR="00A75513" w:rsidRPr="00141E92">
        <w:rPr>
          <w:rFonts w:ascii="Book Antiqua" w:eastAsia="Times New Roman" w:hAnsi="Book Antiqua" w:cs="Times New Roman"/>
          <w:color w:val="auto"/>
          <w:sz w:val="24"/>
          <w:szCs w:val="24"/>
        </w:rPr>
        <w:t xml:space="preserve">, that might have happened with </w:t>
      </w:r>
      <w:proofErr w:type="spellStart"/>
      <w:r w:rsidR="00A75513" w:rsidRPr="00141E92">
        <w:rPr>
          <w:rFonts w:ascii="Book Antiqua" w:eastAsia="Times New Roman" w:hAnsi="Book Antiqua" w:cs="Times New Roman"/>
          <w:color w:val="auto"/>
          <w:sz w:val="24"/>
          <w:szCs w:val="24"/>
        </w:rPr>
        <w:t>HuR</w:t>
      </w:r>
      <w:proofErr w:type="spellEnd"/>
      <w:r w:rsidR="00A75513" w:rsidRPr="00141E92">
        <w:rPr>
          <w:rFonts w:ascii="Book Antiqua" w:eastAsia="Times New Roman" w:hAnsi="Book Antiqua" w:cs="Times New Roman"/>
          <w:color w:val="auto"/>
          <w:sz w:val="24"/>
          <w:szCs w:val="24"/>
        </w:rPr>
        <w:t xml:space="preserve"> and IAP2 regulation</w:t>
      </w:r>
      <w:r w:rsidR="00A75513" w:rsidRPr="00141E92">
        <w:rPr>
          <w:rFonts w:ascii="Book Antiqua" w:hAnsi="Book Antiqua"/>
          <w:sz w:val="24"/>
          <w:szCs w:val="24"/>
        </w:rPr>
        <w:t xml:space="preserve">. </w:t>
      </w:r>
      <w:r w:rsidR="00A75513" w:rsidRPr="00141E92">
        <w:rPr>
          <w:rFonts w:ascii="Book Antiqua" w:hAnsi="Book Antiqua" w:cs="TimesNewRomanPSMT"/>
          <w:sz w:val="24"/>
          <w:szCs w:val="24"/>
        </w:rPr>
        <w:t xml:space="preserve">However, as the mechanism underlying </w:t>
      </w:r>
      <w:proofErr w:type="spellStart"/>
      <w:r w:rsidR="00A75513" w:rsidRPr="00141E92">
        <w:rPr>
          <w:rFonts w:ascii="Book Antiqua" w:hAnsi="Book Antiqua" w:cs="TimesNewRomanPSMT"/>
          <w:sz w:val="24"/>
          <w:szCs w:val="24"/>
        </w:rPr>
        <w:t>HuR</w:t>
      </w:r>
      <w:proofErr w:type="spellEnd"/>
      <w:r w:rsidR="00A75513" w:rsidRPr="00141E92">
        <w:rPr>
          <w:rFonts w:ascii="Book Antiqua" w:hAnsi="Book Antiqua" w:cs="TimesNewRomanPSMT"/>
          <w:sz w:val="24"/>
          <w:szCs w:val="24"/>
        </w:rPr>
        <w:t xml:space="preserve"> and IAP2 mediated carcinogenesis is still unclear, more studies should be done in the future.</w:t>
      </w:r>
    </w:p>
    <w:p w14:paraId="09BC7787" w14:textId="458979A7" w:rsidR="00C1056E" w:rsidRPr="00141E92" w:rsidRDefault="00573B19" w:rsidP="008530E2">
      <w:pPr>
        <w:snapToGrid w:val="0"/>
        <w:spacing w:line="360" w:lineRule="auto"/>
        <w:jc w:val="both"/>
        <w:rPr>
          <w:rFonts w:ascii="Book Antiqua" w:hAnsi="Book Antiqua" w:cs="Times"/>
          <w:sz w:val="24"/>
          <w:szCs w:val="24"/>
        </w:rPr>
      </w:pPr>
      <w:r>
        <w:rPr>
          <w:rFonts w:ascii="Book Antiqua" w:hAnsi="Book Antiqua" w:cs="Times"/>
          <w:color w:val="000000" w:themeColor="text1"/>
          <w:sz w:val="24"/>
          <w:szCs w:val="24"/>
        </w:rPr>
        <w:t xml:space="preserve">  </w:t>
      </w:r>
      <w:r w:rsidR="00DD5348" w:rsidRPr="00141E92">
        <w:rPr>
          <w:rFonts w:ascii="Book Antiqua" w:hAnsi="Book Antiqua" w:cs="Times"/>
          <w:color w:val="000000" w:themeColor="text1"/>
          <w:sz w:val="24"/>
          <w:szCs w:val="24"/>
        </w:rPr>
        <w:t>It is already known that IAPs are abnormally expressed in pancreatic cancer</w:t>
      </w:r>
      <w:r w:rsidR="00DD5348" w:rsidRPr="00141E92">
        <w:rPr>
          <w:rFonts w:ascii="Book Antiqua" w:hAnsi="Book Antiqua"/>
          <w:sz w:val="24"/>
          <w:szCs w:val="24"/>
        </w:rPr>
        <w:t xml:space="preserve"> </w:t>
      </w:r>
      <w:r w:rsidR="00DD5348" w:rsidRPr="00141E92">
        <w:rPr>
          <w:rFonts w:ascii="Book Antiqua" w:hAnsi="Book Antiqua" w:cs="Times"/>
          <w:color w:val="000000" w:themeColor="text1"/>
          <w:sz w:val="24"/>
          <w:szCs w:val="24"/>
        </w:rPr>
        <w:t>and their levels correlate with resistance to chemotherapy</w:t>
      </w:r>
      <w:r w:rsidR="00DD534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{"citationItems":[{"id":"ITEM-1","itemData":{"DOI":"10.1002/ijc.22554","ISBN":"0020-7136 (Print)\\r0020-7136 (Linking)","ISSN":"00207136","PMID":"17311258","abstract":"Pancreatic cancer is one of the most aggressive human tumors with a 5-year survival rate of only 3% and a striking resistance to chemotherapy and radiotherapy. The search for new therapeutic approaches includes strategies exploiting the deregulation of apoptotic pathways commonly found in cancer cells. The IAP proteins are inhibitors of apoptosis that have altered activity in numerous cancer types and are implicated in resistance to chemotherapy, and therefore are potentially interesting as therapeutic targets. We investigated alterations in the expression of IAPs and their inhibitors in pancreatic adenocarcinoma by using real-time PCR, in situ hybridization and immunohistochemistry. We found differential expression of various IAPs in this malignancy, and particularly we observed overexpression of cIAP-2, survivin, livin and XIAP. We also looked for correlations between the expression of IAPs and resistance to paclitaxel, doxorubicin, CDDP and 5-fluorouracil, and found that resistance to these drugs correlates most significantly with expression of cIAP-2. Using RNAi to downregulate these proteins we further confirmed that the levels of cIAP-2 and XIAP influence the response to the anti-cancer drugs, although only marginally for 5-FU. We conclude that anti-tumor strategies based on the inhibition of particular IAPs can be useful in targeting pancreatic adenocarcinoma.","author":[{"dropping-particle":"","family":"Lopes","given":"Rita Bayer","non-dropping-particle":"","parse-names":false,"suffix":""},{"dropping-particle":"","family":"Gangeswaran","given":"Rathi","non-dropping-particle":"","parse-names":false,"suffix":""},{"dropping-particle":"","family":"McNeish","given":"Iain A.","non-dropping-particle":"","parse-names":false,"suffix":""},{"dropping-particle":"","family":"Wang","given":"Yaohe","non-dropping-particle":"","parse-names":false,"suffix":""},{"dropping-particle":"","family":"Lemoine","given":"Nick R.","non-dropping-particle":"","parse-names":false,"suffix":""}],"container-title":"International Journal of Cancer","id":"ITEM-1","issue":"11","issued":{"date-parts":[["2007"]]},"page":"2344-2352","title":"Expression of the IAP protein family is dysregulated in pancreatic cancer cells and is important for resistance to chemotherapy","type":"article-journal","volume":"120"},"uris":["http://www.mendeley.com/documents/?uuid=f80cf43f-513f-4ea4-a2a9-97af81c76de8"]},{"id":"ITEM-2","itemData":{"DOI":"10.1369/0022155412468137","ISSN":"00221554","PMID":"23124118","abstract":"Overexpression of survivin has been associated with gemcitabine resistance in pancreatic adenocarcinoma, but previous studies have shown conflicting results. This study aims to determine its prognostic value in resected pancreatic adenocarcinoma with or without adjuvant therapy and its predictive value in adjuvant gemcitabine benefit in patients with resected pancreatic adenocarcinoma. This study included 118 patients who underwent pancreaticoduodectomy from 1999 to 2007, with no neoadjuvant chemoradiation. Forty-five patients received adjuvant gemcitabine. Survivin expression was assessed immunohistochemically and was graded as low (≤10% positive cells) and high (&gt;10% positive cells) by recursive partitioning analysis. Prognostic factors, including tumor size, number of positive lymph nodes, perineural invasion, and stage, were identified for overall survival (OS) and progression-free survival (PFS) using Cox proportional hazards models. Multivariable analysis of the entire cohort revealed that both high survivin expression and perineural invasion predict significantly shorter OS (hazard ratio [HR] 2.0, p=0.01; HR 1.9, p=0.01, respectively) and shorter PFS (HR 1.9, p=0.04; HR 3.1, p=0.0006, respectively). Expression of survivin predicts neither OS nor PFS in patients treated with adjuvant gemcitabine. In summary, high expression of survivin is associated with shorter OS and PFS in patients with resected pancreatic adenocarcinoma after adjusting for other histopathological factors. However, survivin has no predictive value of adjuvant gemcitabine benefit.","author":[{"dropping-particle":"","family":"Liu","given":"Xiuli","non-dropping-particle":"","parse-names":false,"suffix":""},{"dropping-particle":"","family":"Xie","given":"Hao","non-dropping-particle":"","parse-names":false,"suffix":""},{"dropping-particle":"","family":"Jiang","given":"Wei","non-dropping-particle":"","parse-names":false,"suffix":""},{"dropping-particle":"","family":"Xiao","given":"Shu Yuan","non-dropping-particle":"","parse-names":false,"suffix":""}],"container-title":"Journal of Histochemistry and Cytochemistry","id":"ITEM-2","issue":"2","issued":{"date-parts":[["2013"]]},"page":"148-155","title":"High Expression of Survivin Is Prognostic of Shorter Survival but Not Predictive of Adjuvant Gemcitabine Benefit in Patients with Resected Pancreatic Adenocarcinoma","type":"article-journal","volume":"61"},"uris":["http://www.mendeley.com/documents/?uuid=efbaa06b-d171-4e48-bb74-1f9b08929899"]}],"mendeley":{"formattedCitation":"&lt;sup&gt;[11,24]&lt;/sup&gt;","plainTextFormattedCitation":"[11,24]","previouslyFormattedCitation":"&lt;sup&gt;[11,24]&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[11,24]</w:t>
      </w:r>
      <w:r w:rsidR="00DD5348"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 xml:space="preserve">, that we were also able to confirm in our study. </w:t>
      </w:r>
      <w:r w:rsidR="00DD5348" w:rsidRPr="00141E92">
        <w:rPr>
          <w:rFonts w:ascii="Book Antiqua" w:hAnsi="Book Antiqua"/>
          <w:sz w:val="24"/>
          <w:szCs w:val="24"/>
        </w:rPr>
        <w:t xml:space="preserve">IAP1 and IAP2 mRNA levels were 5.5-fold and 8.4 higher in the </w:t>
      </w:r>
      <w:r w:rsidR="003F50D4">
        <w:rPr>
          <w:rFonts w:ascii="Book Antiqua" w:hAnsi="Book Antiqua"/>
          <w:sz w:val="24"/>
          <w:szCs w:val="24"/>
        </w:rPr>
        <w:t>PDAC</w:t>
      </w:r>
      <w:r w:rsidR="00DD5348" w:rsidRPr="00141E92">
        <w:rPr>
          <w:rFonts w:ascii="Book Antiqua" w:hAnsi="Book Antiqua"/>
          <w:sz w:val="24"/>
          <w:szCs w:val="24"/>
        </w:rPr>
        <w:t xml:space="preserve"> when compared to normal pancreatic tissue</w:t>
      </w:r>
      <w:r w:rsidR="00DD5348" w:rsidRPr="00141E92">
        <w:rPr>
          <w:rFonts w:ascii="Book Antiqua" w:hAnsi="Book Antiqua" w:cs="Times"/>
          <w:sz w:val="24"/>
          <w:szCs w:val="24"/>
        </w:rPr>
        <w:t>,</w:t>
      </w:r>
      <w:r w:rsidR="00DD5348" w:rsidRPr="00141E92">
        <w:rPr>
          <w:rFonts w:ascii="Book Antiqua" w:hAnsi="Book Antiqua"/>
          <w:sz w:val="24"/>
          <w:szCs w:val="24"/>
        </w:rPr>
        <w:t xml:space="preserve"> as well as protein levels were demonstrated to be induced in pancreatic cancer. Esposito et al. suggests that </w:t>
      </w:r>
      <w:r w:rsidR="00DD5348" w:rsidRPr="00141E92">
        <w:rPr>
          <w:rFonts w:ascii="Book Antiqua" w:hAnsi="Book Antiqua" w:cs="Times"/>
          <w:sz w:val="24"/>
          <w:szCs w:val="24"/>
        </w:rPr>
        <w:t>o</w:t>
      </w:r>
      <w:r w:rsidR="00DD5348" w:rsidRPr="00141E92">
        <w:rPr>
          <w:rFonts w:ascii="Book Antiqua" w:hAnsi="Book Antiqua"/>
          <w:sz w:val="24"/>
          <w:szCs w:val="24"/>
        </w:rPr>
        <w:t>ver-expression of IAP2 shows an early event in the progression of pancreatic cancer</w:t>
      </w:r>
      <w:r w:rsidR="00DD5348" w:rsidRPr="00141E92">
        <w:rPr>
          <w:rFonts w:ascii="Book Antiqua" w:hAnsi="Book Antiqua" w:cs="Times"/>
          <w:color w:val="FF0000"/>
          <w:sz w:val="24"/>
          <w:szCs w:val="24"/>
        </w:rPr>
        <w:t xml:space="preserve"> </w:t>
      </w:r>
      <w:r w:rsidR="00DD5348" w:rsidRPr="00141E92">
        <w:rPr>
          <w:rFonts w:ascii="Book Antiqua" w:hAnsi="Book Antiqua" w:cs="Times"/>
          <w:color w:val="000000" w:themeColor="text1"/>
          <w:sz w:val="24"/>
          <w:szCs w:val="24"/>
        </w:rPr>
        <w:t xml:space="preserve">and it </w:t>
      </w:r>
      <w:r w:rsidR="00DD5348" w:rsidRPr="00141E92">
        <w:rPr>
          <w:rFonts w:ascii="Book Antiqua" w:hAnsi="Book Antiqua"/>
          <w:sz w:val="24"/>
          <w:szCs w:val="24"/>
        </w:rPr>
        <w:t xml:space="preserve">might contribute to the deregulation of the apoptotic signals that potentially </w:t>
      </w:r>
      <w:r w:rsidR="00DD5348" w:rsidRPr="00141E92">
        <w:rPr>
          <w:rFonts w:ascii="Book Antiqua" w:hAnsi="Book Antiqua"/>
          <w:sz w:val="24"/>
          <w:szCs w:val="24"/>
        </w:rPr>
        <w:lastRenderedPageBreak/>
        <w:t>influences patients’ survival</w:t>
      </w:r>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{"citationItems":[{"id":"ITEM-1","itemData":{"DOI":"10.1136/jcp.2006.038257","ISBN":"0021-9746 (Print)\\r0021-9746 (Linking)","ISSN":"00219746","PMID":"16775116","abstract":"AIM: To determine the role of two antiapoptotic proteins of the inhibitor of apoptosis protein family, cellular inhibitor of apoptosis protein 1 (cIAP1) and cellular inhibitor of apoptosis protein 2 (cIAP2), in human pancreatic carcinogenesis. METHODS: mRNA levels were measured in pancreatic tissues and pancreatic cancer cell lines by quantitative reverse transcriptase PCR. Protein expression was assessed in pancreatic cancer cell lines by immunoblotting and in pancreatic tissues by immunohistochemistry, and correlated with pathological and survival data. RESULTS: cIAP1 expression was constantly high in non-neoplastic pancreatic tissues, in pancreatic intraepithelial neoplasia (PanIN) lesions, as well as in a subset of primary and metastatic pancreatic ductal adenocarcinomas (PDAC), and a preferential cytoplasmatic localisation was observed in the tumour tissues. cIAP1 expression was rare in a cohort of cystic tumours. cIAP2 mRNA levels were significantly higher (2.4 fold) in PDAC than in normal tissues. cIAP2 protein was overexpressed in PDAC, and was detectable in low- and high-grade PanIN lesions. Moreover, cIAP2 was often expressed in pancreatic cystic tumours. cIAP1 and cIAP2 mRNA and protein were detected in all the examined cell lines. Survival analysis revealed a shorter survival in patients with cIAP1/cIAP2-positive tumours. CONCLUSIONS: cIAP1 might contribute to the regulation of the apoptotic process in the normal and in the neoplastic pancreas, depending on its subcellular localisation. Overexpression of cIAP2 is a common and early event in the progression of pancreatic cancer, and could therefore potentially influence the important pathophysiological aspects of PDAC, such as anoikis or chemoresistance.","author":[{"dropping-particle":"","family":"Esposito","given":"Irene","non-dropping-particle":"","parse-names":false,"suffix":""},{"dropping-particle":"","family":"Kleeff","given":"Jörg","non-dropping-particle":"","parse-names":false,"suffix":""},{"dropping-particle":"","family":"Abiatari","given":"Ivane","non-dropping-particle":"","parse-names":false,"suffix":""},{"dropping-particle":"","family":"Shi","given":"Xined","non-dropping-particle":"","parse-names":false,"suffix":""},{"dropping-particle":"","family":"Giese","given":"Nathalia","non-dropping-particle":"","parse-names":false,"suffix":""},{"dropping-particle":"","family":"Bergmann","given":"Frank","non-dropping-particle":"","parse-names":false,"suffix":""},{"dropping-particle":"","family":"Roth","given":"Wilfried","non-dropping-particle":"","parse-names":false,"suffix":""},{"dropping-particle":"","family":"Friess","given":"Helmut","non-dropping-particle":"","parse-names":false,"suffix":""},{"dropping-particle":"","family":"Schirmacher","given":"Peter","non-dropping-particle":"","parse-names":false,"suffix":""}],"container-title":"Journal of Clinical Pathology","id":"ITEM-1","issue":"8","issued":{"date-parts":[["2007"]]},"page":"885-895","title":"Overexpression of cellular inhibitor of apoptosis protein 2 is an early event in the progression of pancreatic cancer","type":"article-journal","volume":"60"},"uris":["http://www.mendeley.com/documents/?uuid=d3f65f77-6e85-4320-ac87-945fb95c154c"]}],"mendeley":{"formattedCitation":"&lt;sup&gt;[25]&lt;/sup&gt;","plainTextFormattedCitation":"[25]","previouslyFormattedCitation":"&lt;sup&gt;[25]&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[25]</w:t>
      </w:r>
      <w:r w:rsidR="00DD5348" w:rsidRPr="00141E92">
        <w:rPr>
          <w:rFonts w:ascii="Book Antiqua" w:hAnsi="Book Antiqua"/>
          <w:sz w:val="24"/>
          <w:szCs w:val="24"/>
        </w:rPr>
        <w:fldChar w:fldCharType="end"/>
      </w:r>
      <w:r w:rsidR="00DD5348" w:rsidRPr="00141E92">
        <w:rPr>
          <w:rFonts w:ascii="Book Antiqua" w:hAnsi="Book Antiqua"/>
          <w:sz w:val="24"/>
          <w:szCs w:val="24"/>
        </w:rPr>
        <w:t>.</w:t>
      </w:r>
      <w:r w:rsidR="00DD5348" w:rsidRPr="00141E92">
        <w:rPr>
          <w:rFonts w:ascii="Book Antiqua" w:hAnsi="Book Antiqua" w:cs="Times"/>
          <w:sz w:val="24"/>
          <w:szCs w:val="24"/>
        </w:rPr>
        <w:t xml:space="preserve"> </w:t>
      </w:r>
      <w:proofErr w:type="spellStart"/>
      <w:r w:rsidR="00DD5348" w:rsidRPr="00141E92">
        <w:rPr>
          <w:rFonts w:ascii="Book Antiqua" w:hAnsi="Book Antiqua" w:cs="Times"/>
          <w:sz w:val="24"/>
          <w:szCs w:val="24"/>
        </w:rPr>
        <w:t>Zender</w:t>
      </w:r>
      <w:proofErr w:type="spellEnd"/>
      <w:r w:rsidR="00DD5348" w:rsidRPr="00141E92">
        <w:rPr>
          <w:rFonts w:ascii="Book Antiqua" w:hAnsi="Book Antiqua" w:cs="Times"/>
          <w:sz w:val="24"/>
          <w:szCs w:val="24"/>
        </w:rPr>
        <w:t xml:space="preserve"> </w:t>
      </w:r>
      <w:r w:rsidR="00DD5348" w:rsidRPr="00573B19">
        <w:rPr>
          <w:rFonts w:ascii="Book Antiqua" w:hAnsi="Book Antiqua" w:cs="Times"/>
          <w:i/>
          <w:sz w:val="24"/>
          <w:szCs w:val="24"/>
        </w:rPr>
        <w:t>et al</w:t>
      </w:r>
      <w:r w:rsidRPr="00141E92">
        <w:rPr>
          <w:rFonts w:ascii="Book Antiqua" w:hAnsi="Book Antiqua"/>
          <w:sz w:val="24"/>
          <w:szCs w:val="24"/>
        </w:rPr>
        <w:fldChar w:fldCharType="begin" w:fldLock="1"/>
      </w:r>
      <w:r w:rsidRPr="00141E92">
        <w:rPr>
          <w:rFonts w:ascii="Book Antiqua" w:hAnsi="Book Antiqua"/>
          <w:sz w:val="24"/>
          <w:szCs w:val="24"/>
        </w:rPr>
        <w:instrText>ADDIN CSL_CITATION {"citationItems":[{"id":"ITEM-1","itemData":{"DOI":"10.1016/j.cell.2006.05.030","ISBN":"0092-8674 (Print)\\r0092-8674 (Linking)","ISSN":"00928674","PMID":"16814713","abstract":"The heterogeneity and instability of human tumors hamper straightforward identification of cancer-causing mutations through genomic approaches alone. Herein we describe a mouse model of liver cancer initiated from progenitor cells harboring defined cancer-predisposing lesions. Genome-wide analyses of tumors in this mouse model and in human hepatocellular carcinomas revealed a recurrent amplification at mouse chromosome 9qA1, the syntenic region of human chromosome 11q22. Gene-expression analyses delineated cIAP1, a known inhibitor of apoptosis, and Yap, a transcription factor, as candidate oncogenes in the amplicon. In the genetic context of their amplification, both cIAP1 and Yap accelerated tumorigenesis and were required to sustain rapid growth of amplicon-containing tumors. Furthermore, cIAP1 and Yap cooperated to promote tumorigenesis. Our results establish a tractable model of liver cancer, identify two oncogenes that cooperate by virtue of their coamplification in the same genomic locus, and suggest an efficient strategy for the annotation of human cancer genes. © 2006 Elsevier Inc. All rights reserved.","author":[{"dropping-particle":"","family":"Zender","given":"Lars","non-dropping-particle":"","parse-names":false,"suffix":""},{"dropping-particle":"","family":"Spector","given":"Mona S.","non-dropping-particle":"","parse-names":false,"suffix":""},{"dropping-particle":"","family":"Xue","given":"Wen","non-dropping-particle":"","parse-names":false,"suffix":""},{"dropping-particle":"","family":"Flemming","given":"Peer","non-dropping-particle":"","parse-names":false,"suffix":""},{"dropping-particle":"","family":"Cordon-Cardo","given":"Carlos","non-dropping-particle":"","parse-names":false,"suffix":""},{"dropping-particle":"","family":"Silke","given":"John","non-dropping-particle":"","parse-names":false,"suffix":""},{"dropping-particle":"","family":"Fan","given":"Sheung Tat","non-dropping-particle":"","parse-names":false,"suffix":""},{"dropping-particle":"","family":"Luk","given":"John M.","non-dropping-particle":"","parse-names":false,"suffix":""},{"dropping-particle":"","family":"Wigler","given":"Michael","non-dropping-particle":"","parse-names":false,"suffix":""},{"dropping-particle":"","family":"Hannon","given":"Gregory J.","non-dropping-particle":"","parse-names":false,"suffix":""},{"dropping-particle":"","family":"Mu","given":"David","non-dropping-particle":"","parse-names":false,"suffix":""},{"dropping-particle":"","family":"Lucito","given":"Robert","non-dropping-particle":"","parse-names":false,"suffix":""},{"dropping-particle":"","family":"Powers","given":"Scott","non-dropping-particle":"","parse-names":false,"suffix":""},{"dropping-particle":"","family":"Lowe","given":"Scott W.","non-dropping-particle":"","parse-names":false,"suffix":""}],"container-title":"Cell","id":"ITEM-1","issued":{"date-parts":[["2006"]]},"title":"Identification and Validation of Oncogenes in Liver Cancer Using an Integrative Oncogenomic Approach","type":"article-journal"},"uris":["http://www.mendeley.com/documents/?uuid=7ffc94b5-6ab1-45b3-81f2-7500eb1238fb"]}],"mendeley":{"formattedCitation":"&lt;sup&gt;[26]&lt;/sup&gt;","plainTextFormattedCitation":"[26]","previouslyFormattedCitation":"&lt;sup&gt;[26]&lt;/sup&gt;"},"properties":{"noteIndex":0},"schema":"https://github.com/citation-style-language/schema/raw/master/csl-citation.json"}</w:instrText>
      </w:r>
      <w:r w:rsidRPr="00141E92">
        <w:rPr>
          <w:rFonts w:ascii="Book Antiqua" w:hAnsi="Book Antiqua"/>
          <w:sz w:val="24"/>
          <w:szCs w:val="24"/>
        </w:rPr>
        <w:fldChar w:fldCharType="separate"/>
      </w:r>
      <w:r w:rsidRPr="00141E92">
        <w:rPr>
          <w:rFonts w:ascii="Book Antiqua" w:hAnsi="Book Antiqua"/>
          <w:sz w:val="24"/>
          <w:szCs w:val="24"/>
          <w:vertAlign w:val="superscript"/>
        </w:rPr>
        <w:t>[26]</w:t>
      </w:r>
      <w:r w:rsidRPr="00141E92">
        <w:rPr>
          <w:rFonts w:ascii="Book Antiqua" w:hAnsi="Book Antiqua"/>
          <w:sz w:val="24"/>
          <w:szCs w:val="24"/>
        </w:rPr>
        <w:fldChar w:fldCharType="end"/>
      </w:r>
      <w:r w:rsidR="00DD5348" w:rsidRPr="00141E92">
        <w:rPr>
          <w:rFonts w:ascii="Book Antiqua" w:hAnsi="Book Antiqua" w:cs="Times"/>
          <w:sz w:val="24"/>
          <w:szCs w:val="24"/>
        </w:rPr>
        <w:t xml:space="preserve"> have demonstrated that importance of genetic amplification of IAP1 can both promote tumorigenesis and sustain tumor growth in a mouse model of liver cancer. That may confirm our findings, where</w:t>
      </w:r>
      <w:r w:rsidR="00DD5348" w:rsidRPr="00141E92">
        <w:rPr>
          <w:rFonts w:ascii="Book Antiqua" w:hAnsi="Book Antiqua"/>
          <w:sz w:val="24"/>
          <w:szCs w:val="24"/>
        </w:rPr>
        <w:t xml:space="preserve"> upregulation of IAP1 in PDAC patients was significantly related to poor outcome. </w:t>
      </w:r>
      <w:r w:rsidR="00DD5348" w:rsidRPr="00141E92">
        <w:rPr>
          <w:rFonts w:ascii="Book Antiqua" w:hAnsi="Book Antiqua" w:cs="Times"/>
          <w:sz w:val="24"/>
          <w:szCs w:val="24"/>
        </w:rPr>
        <w:t>Furthermore, IAP1 mRNA expression showed correlation with lymphatic and peri</w:t>
      </w:r>
      <w:r>
        <w:rPr>
          <w:rFonts w:ascii="Book Antiqua" w:hAnsi="Book Antiqua" w:cs="Times"/>
          <w:sz w:val="24"/>
          <w:szCs w:val="24"/>
        </w:rPr>
        <w:t xml:space="preserve">neural invasion. </w:t>
      </w:r>
      <w:proofErr w:type="spellStart"/>
      <w:r>
        <w:rPr>
          <w:rFonts w:ascii="Book Antiqua" w:hAnsi="Book Antiqua" w:cs="Times"/>
          <w:sz w:val="24"/>
          <w:szCs w:val="24"/>
        </w:rPr>
        <w:t>Ponnelle</w:t>
      </w:r>
      <w:proofErr w:type="spellEnd"/>
      <w:r w:rsidRPr="00573B19">
        <w:rPr>
          <w:rFonts w:ascii="Book Antiqua" w:hAnsi="Book Antiqua" w:cs="Times"/>
          <w:i/>
          <w:sz w:val="24"/>
          <w:szCs w:val="24"/>
        </w:rPr>
        <w:t xml:space="preserve"> et al</w:t>
      </w:r>
      <w:r w:rsidRPr="00141E92">
        <w:rPr>
          <w:rFonts w:ascii="Book Antiqua" w:hAnsi="Book Antiqua"/>
          <w:sz w:val="24"/>
          <w:szCs w:val="24"/>
        </w:rPr>
        <w:fldChar w:fldCharType="begin" w:fldLock="1"/>
      </w:r>
      <w:r w:rsidRPr="00141E92">
        <w:rPr>
          <w:rFonts w:ascii="Book Antiqua" w:hAnsi="Book Antiqua"/>
          <w:sz w:val="24"/>
          <w:szCs w:val="24"/>
        </w:rPr>
        <w:instrText>ADDIN CSL_CITATION {"citationItems":[{"id":"ITEM-1","itemData":{"DOI":"10.1078/0344-0338-00488","ISSN":"03440338","PMID":"14708638","abstract":"The Inhibitor of Apoptosis Protein (IAP) family includes several critical cell death inhibitors, the expression of which could be involved in colorectal carcinogenesis. Among them, c-IAP1 and c-IAP2 expression has never been investigated in colorectal cancer. The present study was designed to determine whether expression of both IAPs was related to pathological parameters and survival in sporadic colon carcinomas. Analysis of five human colon cancer cell lines by both western blotting of cell fractions and immunocytochemistry showed that the two IAPs could be expressed both in the nucleus and in the cytoplasm. Immunohistochemical analysis of a series of 46 sporadic colorectal adenocarcinomas demonstrated that c-IAP1 expression was more frequent in the nucleus (85%), and that c-IAP2 was more often expressed in the cytoplasm (82%). A significant association was identified between a strong lymphoid infiltrate in the stroma and the nuclear expression of c-IAP2 (p = 0.02). No other relationship was observed between IAP expression and pathological features. After adjusting by age and stage, the relative risk of death was lower for cytoplasmic c-IAP1, cytoplasmic c-IAP2, and nuclear c-IAP2 expression. It was higher for nuclear c-IAP1 expression. These associations were not statistically significant, but this work underlines the importance of taking into account the subcellular location of the IAP family members in the evaluation of their prognostic significance.","author":[{"dropping-particle":"","family":"Ponnelle","given":"Tibor","non-dropping-particle":"","parse-names":false,"suffix":""},{"dropping-particle":"","family":"Chapusot","given":"Caroline","non-dropping-particle":"","parse-names":false,"suffix":""},{"dropping-particle":"","family":"Martin","given":"Laurent","non-dropping-particle":"","parse-names":false,"suffix":""},{"dropping-particle":"","family":"Bonithon-Kopp","given":"Claire","non-dropping-particle":"","parse-names":false,"suffix":""},{"dropping-particle":"","family":"Bouvier","given":"Anne Marie","non-dropping-particle":"","parse-names":false,"suffix":""},{"dropping-particle":"","family":"Plenchette","given":"Stéphanie","non-dropping-particle":"","parse-names":false,"suffix":""},{"dropping-particle":"","family":"Rageot","given":"David","non-dropping-particle":"","parse-names":false,"suffix":""},{"dropping-particle":"","family":"Faivre","given":"Jean","non-dropping-particle":"","parse-names":false,"suffix":""},{"dropping-particle":"","family":"Solary","given":"Eric","non-dropping-particle":"","parse-names":false,"suffix":""},{"dropping-particle":"","family":"Piard","given":"Françoise","non-dropping-particle":"","parse-names":false,"suffix":""}],"container-title":"Pathology Research and Practice","id":"ITEM-1","issue":"11","issued":{"date-parts":[["2003"]]},"page":"723-731","title":"Subcellular expression of c-IAP1 and c-IAP2 in colorectal cancers: Relationships with clinicopathological features and prognosis","type":"article-journal","volume":"199"},"uris":["http://www.mendeley.com/documents/?uuid=78060e2b-004c-4fe2-8de6-7dce0fcf15dd"]}],"mendeley":{"formattedCitation":"&lt;sup&gt;[22]&lt;/sup&gt;","plainTextFormattedCitation":"[22]","previouslyFormattedCitation":"&lt;sup&gt;[22]&lt;/sup&gt;"},"properties":{"noteIndex":0},"schema":"https://github.com/citation-style-language/schema/raw/master/csl-citation.json"}</w:instrText>
      </w:r>
      <w:r w:rsidRPr="00141E92">
        <w:rPr>
          <w:rFonts w:ascii="Book Antiqua" w:hAnsi="Book Antiqua"/>
          <w:sz w:val="24"/>
          <w:szCs w:val="24"/>
        </w:rPr>
        <w:fldChar w:fldCharType="separate"/>
      </w:r>
      <w:r w:rsidRPr="00141E92">
        <w:rPr>
          <w:rFonts w:ascii="Book Antiqua" w:hAnsi="Book Antiqua"/>
          <w:sz w:val="24"/>
          <w:szCs w:val="24"/>
          <w:vertAlign w:val="superscript"/>
        </w:rPr>
        <w:t>[22]</w:t>
      </w:r>
      <w:r w:rsidRPr="00141E92">
        <w:rPr>
          <w:rFonts w:ascii="Book Antiqua" w:hAnsi="Book Antiqua"/>
          <w:sz w:val="24"/>
          <w:szCs w:val="24"/>
        </w:rPr>
        <w:fldChar w:fldCharType="end"/>
      </w:r>
      <w:r w:rsidR="00DD5348" w:rsidRPr="00141E92">
        <w:rPr>
          <w:rFonts w:ascii="Book Antiqua" w:hAnsi="Book Antiqua" w:cs="Times"/>
          <w:sz w:val="24"/>
          <w:szCs w:val="24"/>
        </w:rPr>
        <w:t xml:space="preserve"> found a significant association between nuclear expression of IAP2 and a strong lymphoid stromal reaction. This reaction could indicate an important immune response towards tumor cells that try to escape cytotoxic cells by an ineffective upregulation of anti-apoptotic IAP family members.</w:t>
      </w:r>
      <w:r>
        <w:rPr>
          <w:rFonts w:ascii="Book Antiqua" w:hAnsi="Book Antiqua" w:cs="Times"/>
          <w:sz w:val="24"/>
          <w:szCs w:val="24"/>
        </w:rPr>
        <w:t xml:space="preserve"> </w:t>
      </w:r>
      <w:r w:rsidR="00DD5348" w:rsidRPr="00141E92">
        <w:rPr>
          <w:rFonts w:ascii="Book Antiqua" w:hAnsi="Book Antiqua" w:cs="Times"/>
          <w:sz w:val="24"/>
          <w:szCs w:val="24"/>
        </w:rPr>
        <w:t>Nevertheless, this hypothesis cannot be clarified as long as the nuclear function of these IAPs remains unknown</w:t>
      </w:r>
      <w:bookmarkStart w:id="29" w:name="OLE_LINK4"/>
      <w:bookmarkStart w:id="30" w:name="OLE_LINK5"/>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{"citationItems":[{"id":"ITEM-1","itemData":{"DOI":"10.1078/0344-0338-00488","ISSN":"03440338","PMID":"14708638","abstract":"The Inhibitor of Apoptosis Protein (IAP) family includes several critical cell death inhibitors, the expression of which could be involved in colorectal carcinogenesis. Among them, c-IAP1 and c-IAP2 expression has never been investigated in colorectal cancer. The present study was designed to determine whether expression of both IAPs was related to pathological parameters and survival in sporadic colon carcinomas. Analysis of five human colon cancer cell lines by both western blotting of cell fractions and immunocytochemistry showed that the two IAPs could be expressed both in the nucleus and in the cytoplasm. Immunohistochemical analysis of a series of 46 sporadic colorectal adenocarcinomas demonstrated that c-IAP1 expression was more frequent in the nucleus (85%), and that c-IAP2 was more often expressed in the cytoplasm (82%). A significant association was identified between a strong lymphoid infiltrate in the stroma and the nuclear expression of c-IAP2 (p = 0.02). No other relationship was observed between IAP expression and pathological features. After adjusting by age and stage, the relative risk of death was lower for cytoplasmic c-IAP1, cytoplasmic c-IAP2, and nuclear c-IAP2 expression. It was higher for nuclear c-IAP1 expression. These associations were not statistically significant, but this work underlines the importance of taking into account the subcellular location of the IAP family members in the evaluation of their prognostic significance.","author":[{"dropping-particle":"","family":"Ponnelle","given":"Tibor","non-dropping-particle":"","parse-names":false,"suffix":""},{"dropping-particle":"","family":"Chapusot","given":"Caroline","non-dropping-particle":"","parse-names":false,"suffix":""},{"dropping-particle":"","family":"Martin","given":"Laurent","non-dropping-particle":"","parse-names":false,"suffix":""},{"dropping-particle":"","family":"Bonithon-Kopp","given":"Claire","non-dropping-particle":"","parse-names":false,"suffix":""},{"dropping-particle":"","family":"Bouvier","given":"Anne Marie","non-dropping-particle":"","parse-names":false,"suffix":""},{"dropping-particle":"","family":"Plenchette","given":"Stéphanie","non-dropping-particle":"","parse-names":false,"suffix":""},{"dropping-particle":"","family":"Rageot","given":"David","non-dropping-particle":"","parse-names":false,"suffix":""},{"dropping-particle":"","family":"Faivre","given":"Jean","non-dropping-particle":"","parse-names":false,"suffix":""},{"dropping-particle":"","family":"Solary","given":"Eric","non-dropping-particle":"","parse-names":false,"suffix":""},{"dropping-particle":"","family":"Piard","given":"Françoise","non-dropping-particle":"","parse-names":false,"suffix":""}],"container-title":"Pathology Research and Practice","id":"ITEM-1","issue":"11","issued":{"date-parts":[["2003"]]},"page":"723-731","title":"Subcellular expression of c-IAP1 and c-IAP2 in colorectal cancers: Relationships with clinicopathological features and prognosis","type":"article-journal","volume":"199"},"uris":["http://www.mendeley.com/documents/?uuid=78060e2b-004c-4fe2-8de6-7dce0fcf15dd"]}],"mendeley":{"formattedCitation":"&lt;sup&gt;[22]&lt;/sup&gt;","plainTextFormattedCitation":"[22]","previouslyFormattedCitation":"&lt;sup&gt;[22]&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[22]</w:t>
      </w:r>
      <w:r w:rsidR="00DD5348" w:rsidRPr="00141E92">
        <w:rPr>
          <w:rFonts w:ascii="Book Antiqua" w:hAnsi="Book Antiqua"/>
          <w:sz w:val="24"/>
          <w:szCs w:val="24"/>
        </w:rPr>
        <w:fldChar w:fldCharType="end"/>
      </w:r>
      <w:bookmarkEnd w:id="29"/>
      <w:bookmarkEnd w:id="30"/>
      <w:r w:rsidR="00DD5348" w:rsidRPr="00141E92">
        <w:rPr>
          <w:rFonts w:ascii="Book Antiqua" w:hAnsi="Book Antiqua" w:cs="Times"/>
          <w:sz w:val="24"/>
          <w:szCs w:val="24"/>
        </w:rPr>
        <w:t xml:space="preserve">. </w:t>
      </w:r>
      <w:r w:rsidR="00DD5348" w:rsidRPr="00141E92">
        <w:rPr>
          <w:rFonts w:ascii="Book Antiqua" w:hAnsi="Book Antiqua"/>
          <w:sz w:val="24"/>
          <w:szCs w:val="24"/>
        </w:rPr>
        <w:t xml:space="preserve">Esposito </w:t>
      </w:r>
      <w:r w:rsidR="00DD5348" w:rsidRPr="00573B19">
        <w:rPr>
          <w:rFonts w:ascii="Book Antiqua" w:hAnsi="Book Antiqua"/>
          <w:i/>
          <w:sz w:val="24"/>
          <w:szCs w:val="24"/>
        </w:rPr>
        <w:t>et al</w:t>
      </w:r>
      <w:r w:rsidRPr="00141E92">
        <w:rPr>
          <w:rFonts w:ascii="Book Antiqua" w:hAnsi="Book Antiqua"/>
          <w:sz w:val="24"/>
          <w:szCs w:val="24"/>
        </w:rPr>
        <w:fldChar w:fldCharType="begin" w:fldLock="1"/>
      </w:r>
      <w:r w:rsidRPr="00141E92">
        <w:rPr>
          <w:rFonts w:ascii="Book Antiqua" w:hAnsi="Book Antiqua"/>
          <w:sz w:val="24"/>
          <w:szCs w:val="24"/>
        </w:rPr>
        <w:instrText>ADDIN CSL_CITATION {"citationItems":[{"id":"ITEM-1","itemData":{"DOI":"10.1136/jcp.2006.038257","ISBN":"0021-9746 (Print)\\r0021-9746 (Linking)","ISSN":"00219746","PMID":"16775116","abstract":"AIM: To determine the role of two antiapoptotic proteins of the inhibitor of apoptosis protein family, cellular inhibitor of apoptosis protein 1 (cIAP1) and cellular inhibitor of apoptosis protein 2 (cIAP2), in human pancreatic carcinogenesis. METHODS: mRNA levels were measured in pancreatic tissues and pancreatic cancer cell lines by quantitative reverse transcriptase PCR. Protein expression was assessed in pancreatic cancer cell lines by immunoblotting and in pancreatic tissues by immunohistochemistry, and correlated with pathological and survival data. RESULTS: cIAP1 expression was constantly high in non-neoplastic pancreatic tissues, in pancreatic intraepithelial neoplasia (PanIN) lesions, as well as in a subset of primary and metastatic pancreatic ductal adenocarcinomas (PDAC), and a preferential cytoplasmatic localisation was observed in the tumour tissues. cIAP1 expression was rare in a cohort of cystic tumours. cIAP2 mRNA levels were significantly higher (2.4 fold) in PDAC than in normal tissues. cIAP2 protein was overexpressed in PDAC, and was detectable in low- and high-grade PanIN lesions. Moreover, cIAP2 was often expressed in pancreatic cystic tumours. cIAP1 and cIAP2 mRNA and protein were detected in all the examined cell lines. Survival analysis revealed a shorter survival in patients with cIAP1/cIAP2-positive tumours. CONCLUSIONS: cIAP1 might contribute to the regulation of the apoptotic process in the normal and in the neoplastic pancreas, depending on its subcellular localisation. Overexpression of cIAP2 is a common and early event in the progression of pancreatic cancer, and could therefore potentially influence the important pathophysiological aspects of PDAC, such as anoikis or chemoresistance.","author":[{"dropping-particle":"","family":"Esposito","given":"Irene","non-dropping-particle":"","parse-names":false,"suffix":""},{"dropping-particle":"","family":"Kleeff","given":"Jörg","non-dropping-particle":"","parse-names":false,"suffix":""},{"dropping-particle":"","family":"Abiatari","given":"Ivane","non-dropping-particle":"","parse-names":false,"suffix":""},{"dropping-particle":"","family":"Shi","given":"Xined","non-dropping-particle":"","parse-names":false,"suffix":""},{"dropping-particle":"","family":"Giese","given":"Nathalia","non-dropping-particle":"","parse-names":false,"suffix":""},{"dropping-particle":"","family":"Bergmann","given":"Frank","non-dropping-particle":"","parse-names":false,"suffix":""},{"dropping-particle":"","family":"Roth","given":"Wilfried","non-dropping-particle":"","parse-names":false,"suffix":""},{"dropping-particle":"","family":"Friess","given":"Helmut","non-dropping-particle":"","parse-names":false,"suffix":""},{"dropping-particle":"","family":"Schirmacher","given":"Peter","non-dropping-particle":"","parse-names":false,"suffix":""}],"container-title":"Journal of Clinical Pathology","id":"ITEM-1","issue":"8","issued":{"date-parts":[["2007"]]},"page":"885-895","title":"Overexpression of cellular inhibitor of apoptosis protein 2 is an early event in the progression of pancreatic cancer","type":"article-journal","volume":"60"},"uris":["http://www.mendeley.com/documents/?uuid=d3f65f77-6e85-4320-ac87-945fb95c154c"]}],"mendeley":{"formattedCitation":"&lt;sup&gt;[25]&lt;/sup&gt;","plainTextFormattedCitation":"[25]","previouslyFormattedCitation":"&lt;sup&gt;[25]&lt;/sup&gt;"},"properties":{"noteIndex":0},"schema":"https://github.com/citation-style-language/schema/raw/master/csl-citation.json"}</w:instrText>
      </w:r>
      <w:r w:rsidRPr="00141E92">
        <w:rPr>
          <w:rFonts w:ascii="Book Antiqua" w:hAnsi="Book Antiqua"/>
          <w:sz w:val="24"/>
          <w:szCs w:val="24"/>
        </w:rPr>
        <w:fldChar w:fldCharType="separate"/>
      </w:r>
      <w:r w:rsidRPr="00141E92">
        <w:rPr>
          <w:rFonts w:ascii="Book Antiqua" w:hAnsi="Book Antiqua"/>
          <w:sz w:val="24"/>
          <w:szCs w:val="24"/>
          <w:vertAlign w:val="superscript"/>
        </w:rPr>
        <w:t>[25]</w:t>
      </w:r>
      <w:r w:rsidRPr="00141E92">
        <w:rPr>
          <w:rFonts w:ascii="Book Antiqua" w:hAnsi="Book Antiqua"/>
          <w:sz w:val="24"/>
          <w:szCs w:val="24"/>
        </w:rPr>
        <w:fldChar w:fldCharType="end"/>
      </w:r>
      <w:r w:rsidR="00DD5348" w:rsidRPr="00141E92">
        <w:rPr>
          <w:rFonts w:ascii="Book Antiqua" w:hAnsi="Book Antiqua"/>
          <w:sz w:val="24"/>
          <w:szCs w:val="24"/>
        </w:rPr>
        <w:t xml:space="preserve"> suggest that a subcellular localization of IAP1 and IAP2 is required to exert their anti- apoptotic functions and is important synergistic effect of these two proteins in the inhibition of apoptosis in pancreatic cancer, which potentially influences patients’ survival. </w:t>
      </w:r>
      <w:r w:rsidR="00DD5348" w:rsidRPr="00141E92">
        <w:rPr>
          <w:rFonts w:ascii="Book Antiqua" w:hAnsi="Book Antiqua"/>
          <w:color w:val="000000" w:themeColor="text1"/>
          <w:sz w:val="24"/>
          <w:szCs w:val="24"/>
        </w:rPr>
        <w:t xml:space="preserve">However, our </w:t>
      </w:r>
      <w:proofErr w:type="spellStart"/>
      <w:r w:rsidR="00DD5348" w:rsidRPr="00141E92">
        <w:rPr>
          <w:rFonts w:ascii="Book Antiqua" w:hAnsi="Book Antiqua"/>
          <w:color w:val="000000" w:themeColor="text1"/>
          <w:sz w:val="24"/>
          <w:szCs w:val="24"/>
        </w:rPr>
        <w:t>immunohistological</w:t>
      </w:r>
      <w:proofErr w:type="spellEnd"/>
      <w:r w:rsidR="00DD5348" w:rsidRPr="00141E92">
        <w:rPr>
          <w:rFonts w:ascii="Book Antiqua" w:hAnsi="Book Antiqua"/>
          <w:color w:val="000000" w:themeColor="text1"/>
          <w:sz w:val="24"/>
          <w:szCs w:val="24"/>
        </w:rPr>
        <w:t xml:space="preserve"> analysis of IAP1 and IAP2 was unsuccessful. The </w:t>
      </w:r>
      <w:r w:rsidR="00DD5348" w:rsidRPr="00141E92">
        <w:rPr>
          <w:rFonts w:ascii="Book Antiqua" w:hAnsi="Book Antiqua"/>
          <w:sz w:val="24"/>
          <w:szCs w:val="24"/>
        </w:rPr>
        <w:t>aberrant expression</w:t>
      </w:r>
      <w:r w:rsidR="00DD5348" w:rsidRPr="00141E92">
        <w:rPr>
          <w:rFonts w:ascii="Book Antiqua" w:hAnsi="Book Antiqua"/>
          <w:b/>
          <w:sz w:val="24"/>
          <w:szCs w:val="24"/>
        </w:rPr>
        <w:t xml:space="preserve"> </w:t>
      </w:r>
      <w:r w:rsidR="00DD5348" w:rsidRPr="00141E92">
        <w:rPr>
          <w:rFonts w:ascii="Book Antiqua" w:hAnsi="Book Antiqua"/>
          <w:color w:val="000000" w:themeColor="text1"/>
          <w:sz w:val="24"/>
          <w:szCs w:val="24"/>
        </w:rPr>
        <w:t xml:space="preserve">of IAP1 and IAP2 protein were noticed in most of pancreatic donor and cancer tissue samples. Many authors report the same problem with these proteins, speculating it can be due to lack of specificity of IAP1 and IAP2 antibodies or non-specific binding. </w:t>
      </w:r>
      <w:r w:rsidR="00DD5348" w:rsidRPr="00141E92">
        <w:rPr>
          <w:rFonts w:ascii="Book Antiqua" w:hAnsi="Book Antiqua" w:cs="Times"/>
          <w:sz w:val="24"/>
          <w:szCs w:val="24"/>
        </w:rPr>
        <w:t>This could reflect the phenomenon that has already been described by several studies that IAP1 is a nuclear protein and it translocate to the cytosol in response to various apoptotic signals thereby regulating caspases and exerting most of its antiapoptotic functions</w:t>
      </w:r>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{"citationItems":[{"id":"ITEM-1","itemData":{"DOI":"65/1/210 [pii]","ISBN":"8586463140","ISSN":"00085472","PMID":"15665297","author":[{"dropping-particle":"","family":"Samuel","given":"Temesgen","non-dropping-particle":"","parse-names":false,"suffix":""},{"dropping-particle":"","family":"Okada","given":"Kazuya","non-dropping-particle":"","parse-names":false,"suffix":""},{"dropping-particle":"","family":"Hyer","given":"Marc","non-dropping-particle":"","parse-names":false,"suffix":""},{"dropping-particle":"","family":"Welsh","given":"Kate","non-dropping-particle":"","parse-names":false,"suffix":""},{"dropping-particle":"","family":"Zapata","given":"Juan M","non-dropping-particle":"","parse-names":false,"suffix":""},{"dropping-particle":"","family":"Reed","given":"John C","non-dropping-particle":"","parse-names":false,"suffix":""}],"container-title":"Cancer Research","id":"ITEM-1","issue":"1","issued":{"date-parts":[["2005"]]},"page":"210-218","title":"cIAP1 Localizes to the Nuclear Compartment and Modulates the Cell Cycle cIAP1 Localizes to the Nuclear Compartment and Modulates the Cell Cycle","type":"article-journal","volume":"2"},"uris":["http://www.mendeley.com/documents/?uuid=4a688557-d533-4965-bbef-eb7978834807"]},{"id":"ITEM-2","itemData":{"DOI":"10.1136/jcp.2006.038257","ISBN":"0021-9746 (Print)\\r0021-9746 (Linking)","ISSN":"00219746","PMID":"16775116","abstract":"AIM: To determine the role of two antiapoptotic proteins of the inhibitor of apoptosis protein family, cellular inhibitor of apoptosis protein 1 (cIAP1) and cellular inhibitor of apoptosis protein 2 (cIAP2), in human pancreatic carcinogenesis. METHODS: mRNA levels were measured in pancreatic tissues and pancreatic cancer cell lines by quantitative reverse transcriptase PCR. Protein expression was assessed in pancreatic cancer cell lines by immunoblotting and in pancreatic tissues by immunohistochemistry, and correlated with pathological and survival data. RESULTS: cIAP1 expression was constantly high in non-neoplastic pancreatic tissues, in pancreatic intraepithelial neoplasia (PanIN) lesions, as well as in a subset of primary and metastatic pancreatic ductal adenocarcinomas (PDAC), and a preferential cytoplasmatic localisation was observed in the tumour tissues. cIAP1 expression was rare in a cohort of cystic tumours. cIAP2 mRNA levels were significantly higher (2.4 fold) in PDAC than in normal tissues. cIAP2 protein was overexpressed in PDAC, and was detectable in low- and high-grade PanIN lesions. Moreover, cIAP2 was often expressed in pancreatic cystic tumours. cIAP1 and cIAP2 mRNA and protein were detected in all the examined cell lines. Survival analysis revealed a shorter survival in patients with cIAP1/cIAP2-positive tumours. CONCLUSIONS: cIAP1 might contribute to the regulation of the apoptotic process in the normal and in the neoplastic pancreas, depending on its subcellular localisation. Overexpression of cIAP2 is a common and early event in the progression of pancreatic cancer, and could therefore potentially influence the important pathophysiological aspects of PDAC, such as anoikis or chemoresistance.","author":[{"dropping-particle":"","family":"Esposito","given":"Irene","non-dropping-particle":"","parse-names":false,"suffix":""},{"dropping-particle":"","family":"Kleeff","given":"Jörg","non-dropping-particle":"","parse-names":false,"suffix":""},{"dropping-particle":"","family":"Abiatari","given":"Ivane","non-dropping-particle":"","parse-names":false,"suffix":""},{"dropping-particle":"","family":"Shi","given":"Xined","non-dropping-particle":"","parse-names":false,"suffix":""},{"dropping-particle":"","family":"Giese","given":"Nathalia","non-dropping-particle":"","parse-names":false,"suffix":""},{"dropping-particle":"","family":"Bergmann","given":"Frank","non-dropping-particle":"","parse-names":false,"suffix":""},{"dropping-particle":"","family":"Roth","given":"Wilfried","non-dropping-particle":"","parse-names":false,"suffix":""},{"dropping-particle":"","family":"Friess","given":"Helmut","non-dropping-particle":"","parse-names":false,"suffix":""},{"dropping-particle":"","family":"Schirmacher","given":"Peter","non-dropping-particle":"","parse-names":false,"suffix":""}],"container-title":"Journal of Clinical Pathology","id":"ITEM-2","issue":"8","issued":{"date-parts":[["2007"]]},"page":"885-895","title":"Overexpression of cellular inhibitor of apoptosis protein 2 is an early event in the progression of pancreatic cancer","type":"article-journal","volume":"60"},"uris":["http://www.mendeley.com/documents/?uuid=d3f65f77-6e85-4320-ac87-945fb95c154c"]}],"mendeley":{"formattedCitation":"&lt;sup&gt;[7,25]&lt;/sup&gt;","plainTextFormattedCitation":"[7,25]","previouslyFormattedCitation":"&lt;sup&gt;[7,25]&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[7,25]</w:t>
      </w:r>
      <w:r w:rsidR="00DD5348" w:rsidRPr="00141E92">
        <w:rPr>
          <w:rFonts w:ascii="Book Antiqua" w:hAnsi="Book Antiqua"/>
          <w:sz w:val="24"/>
          <w:szCs w:val="24"/>
        </w:rPr>
        <w:fldChar w:fldCharType="end"/>
      </w:r>
      <w:r w:rsidR="00DD5348" w:rsidRPr="00141E92">
        <w:rPr>
          <w:rFonts w:ascii="Book Antiqua" w:hAnsi="Book Antiqua" w:cs="Times"/>
          <w:sz w:val="24"/>
          <w:szCs w:val="24"/>
        </w:rPr>
        <w:t xml:space="preserve">. </w:t>
      </w:r>
      <w:r w:rsidR="00DD5348" w:rsidRPr="00141E92">
        <w:rPr>
          <w:rFonts w:ascii="Book Antiqua" w:hAnsi="Book Antiqua"/>
          <w:sz w:val="24"/>
          <w:szCs w:val="24"/>
        </w:rPr>
        <w:t>The co-expression of IAP1 and IAP2 in the cytoplasm of the cancer cells has been reported as an important synergistic effect of these two proteins in the inhibition of apoptosis in pancreatic cancer, which potentially influences patients’ survival</w:t>
      </w:r>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{"citationItems":[{"id":"ITEM-1","itemData":{"DOI":"10.1016/j.cell.2007.10.037","ISBN":"0092-8674 (Print)\\r0092-8674 (Linking)","ISSN":"00928674","PMID":"18022363","abstract":"XIAP prevents apoptosis by binding to and inhibiting caspases, and this inhibition can be relieved by IAP antagonists, such as Smac/DIABLO. IAP antagonist compounds (IACs) have therefore been designed to inhibit XIAP to kill tumor cells. Because XIAP inhibits postmitochondrial caspases, caspase 8 inhibitors should not block killing by IACs. Instead, we show that apoptosis caused by an IAC is blocked by the caspase 8 inhibitor crmA and that IAP antagonists activate NF-κB signaling via inhibtion of cIAP1. In sensitive tumor lines, IAP antagonist induced NF-κB-stimulated production of TNFα that killed cells in an autocrine fashion. Inhibition of NF-κB reduced TNFα production, and blocking NF-κB activation or TNFα allowed tumor cells to survive IAC-induced apoptosis. Cells treated with an IAC, or those in which cIAP1 was deleted, became sensitive to apoptosis induced by exogenous TNFα, suggesting novel uses of these compounds in treating cancer. © 2007 Elsevier Inc. All rights reserved.","author":[{"dropping-particle":"","family":"Vince","given":"James E.","non-dropping-particle":"","parse-names":false,"suffix":""},{"dropping-particle":"","family":"Wong","given":"W. Wei Lynn","non-dropping-particle":"","parse-names":false,"suffix":""},{"dropping-particle":"","family":"Khan","given":"Nufail","non-dropping-particle":"","parse-names":false,"suffix":""},{"dropping-particle":"","family":"Feltham","given":"Rebecca","non-dropping-particle":"","parse-names":false,"suffix":""},{"dropping-particle":"","family":"Chau","given":"Diep","non-dropping-particle":"","parse-names":false,"suffix":""},{"dropping-particle":"","family":"Ahmed","given":"Afsar U.","non-dropping-particle":"","parse-names":false,"suffix":""},{"dropping-particle":"","family":"Benetatos","given":"Christopher A.","non-dropping-particle":"","parse-names":false,"suffix":""},{"dropping-particle":"","family":"Chunduru","given":"Srinivas K.","non-dropping-particle":"","parse-names":false,"suffix":""},{"dropping-particle":"","family":"Condon","given":"Stephen M.","non-dropping-particle":"","parse-names":false,"suffix":""},{"dropping-particle":"","family":"McKinlay","given":"Mark","non-dropping-particle":"","parse-names":false,"suffix":""},{"dropping-particle":"","family":"Brink","given":"Robert","non-dropping-particle":"","parse-names":false,"suffix":""},{"dropping-particle":"","family":"Leverkus","given":"Martin","non-dropping-particle":"","parse-names":false,"suffix":""},{"dropping-particle":"","family":"Tergaonkar","given":"Vinay","non-dropping-particle":"","parse-names":false,"suffix":""},{"dropping-particle":"","family":"Schneider","given":"Pascal","non-dropping-particle":"","parse-names":false,"suffix":""},{"dropping-particle":"","family":"Callus","given":"Bernard A.","non-dropping-particle":"","parse-names":false,"suffix":""},{"dropping-particle":"","family":"Koentgen","given":"Frank","non-dropping-particle":"","parse-names":false,"suffix":""},{"dropping-particle":"","family":"Vaux","given":"David L.","non-dropping-particle":"","parse-names":false,"suffix":""},{"dropping-particle":"","family":"Silke","given":"John","non-dropping-particle":"","parse-names":false,"suffix":""}],"container-title":"Cell","id":"ITEM-1","issue":"4","issued":{"date-parts":[["2007"]]},"page":"682-693","title":"IAP Antagonists Target cIAP1 to Induce TNFα-Dependent Apoptosis","type":"article-journal","volume":"131"},"uris":["http://www.mendeley.com/documents/?uuid=cb11e03e-dec7-45c8-818e-f31d8b3af9b2"]}],"mendeley":{"formattedCitation":"&lt;sup&gt;[27]&lt;/sup&gt;","plainTextFormattedCitation":"[27]","previouslyFormattedCitation":"&lt;sup&gt;[27]&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[27]</w:t>
      </w:r>
      <w:r w:rsidR="00DD5348" w:rsidRPr="00141E92">
        <w:rPr>
          <w:rFonts w:ascii="Book Antiqua" w:hAnsi="Book Antiqua"/>
          <w:sz w:val="24"/>
          <w:szCs w:val="24"/>
        </w:rPr>
        <w:fldChar w:fldCharType="end"/>
      </w:r>
      <w:r w:rsidR="00DD5348" w:rsidRPr="00141E92">
        <w:rPr>
          <w:rFonts w:ascii="Book Antiqua" w:hAnsi="Book Antiqua"/>
          <w:sz w:val="24"/>
          <w:szCs w:val="24"/>
        </w:rPr>
        <w:t xml:space="preserve">. </w:t>
      </w:r>
    </w:p>
    <w:p w14:paraId="07BF45F3" w14:textId="554B575D" w:rsidR="00895B29" w:rsidRPr="00141E92" w:rsidRDefault="00A8115F" w:rsidP="008530E2">
      <w:pPr>
        <w:snapToGrid w:val="0"/>
        <w:spacing w:line="360" w:lineRule="auto"/>
        <w:jc w:val="both"/>
        <w:rPr>
          <w:rFonts w:ascii="Book Antiqua" w:hAnsi="Book Antiqua"/>
          <w:sz w:val="24"/>
          <w:szCs w:val="24"/>
        </w:rPr>
      </w:pPr>
      <w:r>
        <w:rPr>
          <w:rFonts w:ascii="Book Antiqua" w:hAnsi="Book Antiqua"/>
          <w:sz w:val="24"/>
          <w:szCs w:val="24"/>
        </w:rPr>
        <w:t xml:space="preserve">  </w:t>
      </w:r>
      <w:r w:rsidR="00DD5348" w:rsidRPr="00141E92">
        <w:rPr>
          <w:rFonts w:ascii="Book Antiqua" w:hAnsi="Book Antiqua"/>
          <w:sz w:val="24"/>
          <w:szCs w:val="24"/>
        </w:rPr>
        <w:t xml:space="preserve">In this respect, it is interesting to note that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was proposed to orchestrate an antiapoptotic cellular program by several authors</w:t>
      </w:r>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{"citationItems":[{"id":"ITEM-1","itemData":{"DOI":"10.1038/onc.2010.527","ISBN":"1476-5594 (Electronic)\\r0950-9232 (Linking)","ISSN":"09509232","PMID":"21102524","abstract":"Expression of the intrinsic cellular caspase inhibitor XIAP is regulated primarily at the level of protein synthesis. The 5' untranslated region harbours an Internal Ribosome Entry Site (IRES) motif that supports cap-independent translation of XIAP mRNA during conditions of cellular stress. In this study, we show that the RNA-binding protein HuR, which is known to orchestrate an antiapoptotic cellular program, stimulates translation of XIAP mRNA through XIAP IRES. We further show that HuR binds to XIAP IRES in vitro and in vivo, and stimulates recruitment of the XIAP mRNA into polysomes. Importantly, protection from the apoptosis-inducing agent etoposide by overexpression of HuR requires the presence of XIAP, suggesting that HuR-mediated cytoprotection is partially executed through enhanced XIAP translation. Our data suggest that XIAP belongs to the HuR-regulated RNA operon of antiapoptotic genes, which, along with Bcl-2, Mcl-1 and ProTalpha, contributes to the regulation of cell survival.","author":[{"dropping-particle":"","family":"Durie","given":"D.","non-dropping-particle":"","parse-names":false,"suffix":""},{"dropping-particle":"","family":"Lewis","given":"S. M.","non-dropping-particle":"","parse-names":false,"suffix":""},{"dropping-particle":"","family":"Liwak","given":"U.","non-dropping-particle":"","parse-names":false,"suffix":""},{"dropping-particle":"","family":"Kisilewicz","given":"M.","non-dropping-particle":"","parse-names":false,"suffix":""},{"dropping-particle":"","family":"Gorospe","given":"M.","non-dropping-particle":"","parse-names":false,"suffix":""},{"dropping-particle":"","family":"Holcik","given":"M.","non-dropping-particle":"","parse-names":false,"suffix":""}],"container-title":"Oncogene","id":"ITEM-1","issue":"12","issued":{"date-parts":[["2011"]]},"page":"1460-1469","title":"RNA-binding protein HuR mediates cytoprotection through stimulation of XIAP translation","type":"article-journal","volume":"30"},"uris":["http://www.mendeley.com/documents/?uuid=550ddc02-a948-4778-a460-8a08fb417658"]},{"id":"ITEM-2","itemData":{"DOI":"10.1042/BJ20110028","ISBN":"1470-8728 (Electronic)\\r0264-6021 (Linking)","ISSN":"0264-6021","PMID":"21443519","abstract":"Overexpression of survivin, a member of the IAP (inhibitor of apoptosis) family, has been correlated with poorer outcomes in multiple malignancies, including oesophageal cancer. The regulatory mechanisms, particularly at the post-transcriptional level, involved in survivin overexpression are not well understood. Previous work from our group has shown that the RNA-binding protein HuR (Hu antigen R), which is also overexpressed in several malignancies, stabilizes the mRNA of XIAP (X-linked IAP), another IAP family member. In the present study, we demonstrate the binding of HuR to a 288 bp fragment in the 3'-UTR (untranslated region) of survivin mRNA in human oesophageal epithelial cells. Unexpectedly, overexpression of HuR led to a decrease in survivin expression. This was associated with decreased survivin mRNA and promoter activity, suggesting a decrease in transcription. Levels of p53, a negative transcriptional regulator of survivin, increased following HuR overexpression, in conjunction with enhanced p53 mRNA stability. Silencing p53 prior to HuR overexpression resulted in increased survivin protein and mRNA stability. These results demonstrate that, in the absence of p53, HuR overexpression results in increased survivin mRNA stability and protein expression. This provides an additional explanation for the increased survivin expression observed in oesophageal cancer cells that have lost p53.","author":[{"dropping-particle":"","family":"Donahue","given":"James M","non-dropping-particle":"","parse-names":false,"suffix":""},{"dropping-particle":"","family":"Chang","given":"Elizabeth T","non-dropping-particle":"","parse-names":false,"suffix":""},{"dropping-particle":"","family":"Xiao","given":"Lan","non-dropping-particle":"","parse-names":false,"suffix":""},{"dropping-particle":"","family":"Wang","given":"Peng-Yuan","non-dropping-particle":"","parse-names":false,"suffix":""},{"dropping-particle":"","family":"Rao","given":"Jaladanki N","non-dropping-particle":"","parse-names":false,"suffix":""},{"dropping-particle":"","family":"Turner","given":"Douglas J","non-dropping-particle":"","parse-names":false,"suffix":""},{"dropping-particle":"","family":"Wang","given":"Jian-Ying","non-dropping-particle":"","parse-names":false,"suffix":""},{"dropping-particle":"","family":"Battafarano","given":"Richard J","non-dropping-particle":"","parse-names":false,"suffix":""}],"container-title":"The Biochemical journal","id":"ITEM-2","issue":"1","issued":{"date-parts":[["2011"]]},"page":"89-96","title":"The RNA-binding protein HuR stabilizes survivin mRNA in human oesophageal epithelial cells.","type":"article-journal","volume":"437"},"uris":["http://www.mendeley.com/documents/?uuid=75ed2c7b-e86b-4539-a6ba-8c04bdb804c5"]},{"id":"ITEM-3","itemData":{"DOI":"10.1093/nar/gkp755","ISBN":"1362-4962 (Electronic)\r0305-1048 (Linking)","ISSN":"03051048","PMID":"19825980","abstract":"The X chromosome-linked inhibitor of apoptosis protein (XIAP) is the most potent intrinsic caspase inhibitor and plays an important role in the maintenance of intestinal epithelial integrity. The RNA binding protein, HuR, regulates the stability and translation of many target transcripts. Here, we report that HuR associated with both the 3'-untranslated region and coding sequence of the mRNA encoding XIAP, stabilized the XIAP transcript and elevated its expression in intestinal epithelial cells. Ectopic HuR overexpression or elevated cytoplasmic levels of endogenous HuR by decreasing cellular polyamines increased [HuR/XIAP mRNA] complexes, in turn promoting XIAP mRNA stability and increasing XIAP protein abundance. Conversely, HuR silencing in normal and polyamine-deficient cells rendered the XIAP mRNA unstable, thus reducing the steady state levels of XIAP. Inhibition of XIAP expression by XIAP silencing or by HuR silencing reversed the resistance of polyamine-deficient cells to apoptosis. Our findings demonstrate that HuR regulates XIAP expression by stabilizing its mRNA and implicates HuR-mediated XIAP in the control of intestinal epithelial apoptosis.","author":[{"dropping-particle":"","family":"Zhang","given":"Xian","non-dropping-particle":"","parse-names":false,"suffix":""},{"dropping-particle":"","family":"Zou","given":"Tongtong","non-dropping-particle":"","parse-names":false,"suffix":""},{"dropping-particle":"","family":"Rao","given":"Jaladanki N.","non-dropping-particle":"","parse-names":false,"suffix":""},{"dropping-particle":"","family":"Liu","given":"Lan","non-dropping-particle":"","parse-names":false,"suffix":""},{"dropping-particle":"","family":"Xiao","given":"Lan","non-dropping-particle":"","parse-names":false,"suffix":""},{"dropping-particle":"","family":"Wang","given":"Peng Yuan","non-dropping-particle":"","parse-names":false,"suffix":""},{"dropping-particle":"","family":"Cui","given":"Yu Hong","non-dropping-particle":"","parse-names":false,"suffix":""},{"dropping-particle":"","family":"Gorospe","given":"Myriam","non-dropping-particle":"","parse-names":false,"suffix":""},{"dropping-particle":"","family":"Wang","given":"Jian Ying","non-dropping-particle":"","parse-names":false,"suffix":""}],"container-title":"Nucleic Acids Research","id":"ITEM-3","issue":"22","issued":{"date-parts":[["2009"]]},"page":"7623-7637","title":"Stabilization of XIAP mRNA through the RNA binding protein HuR regulated by cellular polyamines","type":"article-journal","volume":"37"},"uris":["http://www.mendeley.com/documents/?uuid=13e51c78-528c-4546-ae3b-e8eae533548e"]}],"mendeley":{"formattedCitation":"&lt;sup&gt;[18,23,28]&lt;/sup&gt;","plainTextFormattedCitation":"[18,23,28]","previouslyFormattedCitation":"&lt;sup&gt;[18,23,28]&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[18,23,28]</w:t>
      </w:r>
      <w:r w:rsidR="00DD5348" w:rsidRPr="00141E92">
        <w:rPr>
          <w:rFonts w:ascii="Book Antiqua" w:hAnsi="Book Antiqua"/>
          <w:sz w:val="24"/>
          <w:szCs w:val="24"/>
        </w:rPr>
        <w:fldChar w:fldCharType="end"/>
      </w:r>
      <w:r w:rsidR="00DD5348" w:rsidRPr="00141E92">
        <w:rPr>
          <w:rFonts w:ascii="Book Antiqua" w:hAnsi="Book Antiqua"/>
          <w:sz w:val="24"/>
          <w:szCs w:val="24"/>
        </w:rPr>
        <w:t xml:space="preserve">. Indeed, numerous reports have established a link between elevated levels of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and several tumors including pancreatic cancer, indicating that dysregulation of mRNA stability might be involved in the malignant phenotype of these tumors</w:t>
      </w:r>
      <w:r w:rsidR="00DD5348" w:rsidRPr="00141E92">
        <w:rPr>
          <w:rFonts w:ascii="Book Antiqua" w:hAnsi="Book Antiqua"/>
          <w:sz w:val="24"/>
          <w:szCs w:val="24"/>
        </w:rPr>
        <w:fldChar w:fldCharType="begin" w:fldLock="1"/>
      </w:r>
      <w:r w:rsidR="00A75513" w:rsidRPr="00141E92">
        <w:rPr>
          <w:rFonts w:ascii="Book Antiqua" w:hAnsi="Book Antiqua"/>
          <w:sz w:val="24"/>
          <w:szCs w:val="24"/>
        </w:rPr>
        <w:instrText>ADDIN CSL_CITATION {"citationItems":[{"id":"ITEM-1","itemData":{"DOI":"10.18632/oncotarget.4743","ISBN":"1949-2553 (Electronic)\\r1949-2553 (Linking)","ISSN":"1949-2553","PMID":"26314962","abstract":"Post-transcriptional regulation is a powerful mediator of gene expression, and can rapidly alter the expression of numerous transcripts involved in tumorigenesis. We have previously shown that the mRNA-binding protein HuR (ELAVL1) is elevated in human pancreatic ductal adenocarcinoma (PDA) specimens compared to normal pancreatic tissues, and its cytoplasmic localization is associated with increased tumor stage. To gain a better insight into HuR's role in PDA biology and to assess it as a candidate therapeutic target, we altered HuR expression in PDA cell lines and characterized the resulting phenotype in preclinical models. HuR silencing by short hairpin and small interfering RNAs significantly decreased cell proliferation and anchorage-independent growth, as well as impaired migration and invasion. In comparison, HuR overexpression increased migration and invasion, but had no significant effects on cell proliferation and anchorage-independent growth. Importantly, two distinct targeted approaches to HuR silencing showed marked impairment in tumor growth in mouse xenografts. NanoString nCounter(R) analyses demonstrated that HuR regulates core biological processes, highlighting that HuR inhibition likely thwarts PDA viability through post-transcriptional regulation of diverse signaling pathways (e.g. cell cycle, apoptosis, DNA repair). Taken together, our study suggests that targeted inhibition of HuR may be a novel, promising approach to the treatment of PDA.","author":[{"dropping-particle":"","family":"Jimbo","given":"M","non-dropping-particle":"","parse-names":false,"suffix":""},{"dropping-particle":"","family":"Blanco","given":"F F","non-dropping-particle":"","parse-names":false,"suffix":""},{"dropping-particle":"","family":"Huang","given":"Y H","non-dropping-particle":"","parse-names":false,"suffix":""},{"dropping-particle":"","family":"Telonis","given":"A G","non-dropping-particle":"","parse-names":false,"suffix":""},{"dropping-particle":"","family":"Screnci","given":"B A","non-dropping-particle":"","parse-names":false,"suffix":""},{"dropping-particle":"","family":"Cosma","given":"G L","non-dropping-particle":"","parse-names":false,"suffix":""},{"dropping-particle":"","family":"Alexeev","given":"V","non-dropping-particle":"","parse-names":false,"suffix":""},{"dropping-particle":"","family":"Gonye","given":"G E","non-dropping-particle":"","parse-names":false,"suffix":""},{"dropping-particle":"","family":"Yeo","given":"C J","non-dropping-particle":"","parse-names":false,"suffix":""},{"dropping-particle":"","family":"Sawicki","given":"J A","non-dropping-particle":"","parse-names":false,"suffix":""},{"dropping-particle":"","family":"Winter","given":"J M","non-dropping-particle":"","parse-names":false,"suffix":""},{"dropping-particle":"","family":"Brody","given":"J R","non-dropping-particle":"","parse-names":false,"suffix":""}],"container-title":"Oncotarget","id":"ITEM-1","issue":"29","issued":{"date-parts":[["2015"]]},"page":"27312-27331","title":"Targeting the mRNA-binding protein HuR impairs malignant characteristics of pancreatic ductal adenocarcinoma cells","type":"article-journal","volume":"6"},"uris":["http://www.mendeley.com/documents/?uuid=37c7139e-ec0d-4ca7-9f42-940a6ea84fc4"]},{"id":"ITEM-2","itemData":{"DOI":"10.1097/SLA.0000000000002088","ISSN":"15281140","PMID":"27893535","abstract":"OBJECTIVES:: We tested cytoplasmic HuR (cHuR) as a predictive marker for response to chemotherapy by examining tumor samples from the international European Study Group of Pancreatic Cancer-3 trial, in which patients with resected pancreatic ductal adenocarcinoma (PDA) received either gemcitabine (GEM) or 5-fluorouracil (5-FU) adjuvant monotherapy. BACKGROUND:: Previous studies have implicated the mRNA-binding protein, HuR (ELAVL1), as a predictive marker for PDA treatment response in the adjuvant setting. These studies were, however, based on small cohorts of patients outside of a clinical trial, or a clinical trial in which patients received multimodality therapy with concomitant radiation. METHODS:: Tissue samples from 379 patients with PDA enrolled in the European Study Group of Pancreatic Cancer-3 trial were immunolabeled with an anti-HuR antibody and scored for cHuR expression. Patients were dichotomized into groups of high versus low cHuR expression. RESULTS:: There was no association between cHuR expression and prognosis in the overall cohort [disease-free survival (DFS), P = 0.44; overall survival, P = 0.41). Median DFS for patients with high cHuR was significantly greater for patients treated with 5-FU compared to GEM [20.1 months, confidence interval (CI): 8.3–36.4 vs 10.9 months, CI: 7.5–14.2; P = 0.04]. Median DFS was similar between the treatment arms in patients with low cHuR (5-FU, 12.8 months, CI: 10.6–14.6 vs GEM, 12.9 months, CI: 11.2–15.4). CONCLUSIONS:: Patients with high cHuR-expressing tumors may benefit from 5-FU-based adjuvant therapy as compared to GEM, whereas those patients with low cHuR appear to have no survival advantage with GEM compared with 5-FU. Further studies are needed to validate HuR as a biomarker in both future monotherapy and multiagent regimens.","author":[{"dropping-particle":"","family":"Tatarian","given":"Talar","non-dropping-particle":"","parse-names":false,"suffix":""},{"dropping-particle":"","family":"Jiang","given":"Wei","non-dropping-particle":"","parse-names":false,"suffix":""},{"dropping-particle":"","family":"Leiby","given":"Benjamin E.","non-dropping-particle":"","parse-names":false,"suffix":""},{"dropping-particle":"","family":"Grigoli","given":"Amanda","non-dropping-particle":"","parse-names":false,"suffix":""},{"dropping-particle":"","family":"Jimbo","given":"Masaya","non-dropping-particle":"","parse-names":false,"suffix":""},{"dropping-particle":"","family":"Dabbish","given":"Nooreen","non-dropping-particle":"","parse-names":false,"suffix":""},{"dropping-particle":"","family":"Neoptolemos","given":"John P.","non-dropping-particle":"","parse-names":false,"suffix":""},{"dropping-particle":"","family":"Greenhalf","given":"William","non-dropping-particle":"","parse-names":false,"suffix":""},{"dropping-particle":"","family":"Costello","given":"Eithne","non-dropping-particle":"","parse-names":false,"suffix":""},{"dropping-particle":"","family":"Ghaneh","given":"Paula","non-dropping-particle":"","parse-names":false,"suffix":""},{"dropping-particle":"","family":"Halloran","given":"Christopher","non-dropping-particle":"","parse-names":false,"suffix":""},{"dropping-particle":"","family":"Palmer","given":"Daniel","non-dropping-particle":"","parse-names":false,"suffix":""},{"dropping-particle":"","family":"Buchler","given":"Markus","non-dropping-particle":"","parse-names":false,"suffix":""},{"dropping-particle":"","family":"Yeo","given":"Charles J.","non-dropping-particle":"","parse-names":false,"suffix":""},{"dropping-particle":"","family":"Winter","given":"Jordan M.","non-dropping-particle":"","parse-names":false,"suffix":""},{"dropping-particle":"","family":"Brody","given":"Jonathan R.","non-dropping-particle":"","parse-names":false,"suffix":""}],"container-title":"Annals of Surgery","id":"ITEM-2","issued":{"date-parts":[["2016"]]},"title":"Cytoplasmic HuR Status Predicts Disease-free Survival in Resected Pancreatic Cancer: A Post-hoc Analysis From the International Phase III ESPAC-3 Clinical Trial","type":"article-newspaper"},"uris":["http://www.mendeley.com/documents/?uuid=0e8f3016-ca8f-4ab6-a094-85e3241a2bea"]},{"id":"ITEM-3","itemData":{"DOI":"10.1586/ERA.09.119","ISBN":"1744-8328 (Electronic)\\r1473-7140 (Linking)","ISSN":"14737140","PMID":"19828005","abstract":"EVALUATION OF: Costantino CL, Witkiewicz AK, Kuwano Y et al. The role of HuR in gemcitabine efficacy in pancreatic cancer: HuR up-regulates the expression of the gemcitabine metabolizing enzyme deoxycytidine kinase. Cancer Res. 69, 4567-4572 (2009). Gemcitabine has been the standard of care for pancreatic cancer for a decade but is only effective in some patients. As a prodrug, gemcitabine is activated by different protein kinases. The deoxycytidine kinase (dCK) is the first step of intracellular activation. We review the study by Costantino and colleagues, evaluating the consequence of modulating Hu antigen R (HuR), a stress response protein, on dCK expression and the correlation between HuR expression levels and pancreatic cancer outcome. This study demonstrates that dCK protein concentration levels were regulated by HuR and that a high cytoplasmic HuR level was associated with a sevenfold decreased risk of mortality after resection of pancreatic adenocarcinoma and gemcitabine therapy.","author":[{"dropping-particle":"","family":"Maréchal","given":"Raphaël","non-dropping-particle":"","parse-names":false,"suffix":""},{"dropping-particle":"","family":"Laethem","given":"Jean Luc","non-dropping-particle":"Van","parse-names":false,"suffix":""}],"container-title":"Expert Review of Anticancer Therapy","id":"ITEM-3","issue":"10","issued":{"date-parts":[["2009"]]},"page":"1439-1441","title":"HuR modulates gemcitabine efficacy: New perspectives in pancreatic cancer treatment","type":"article-journal","volume":"9"},"uris":["http://www.mendeley.com/documents/?uuid=e8797c86-e50d-4d83-8ee9-fc7663a0589e"]},{"id":"ITEM-4","itemData":{"DOI":"10.3748/wjg.v21.i46.13004","ISBN":"1007-9327","ISSN":"22192840","PMID":"26675757","abstract":"AIM: To investigate the expression of HuR in pancreatic ductal adenocarcinoma (PDA) and to assess the effects of HuR silencing on the expression of cyclooxygenase-2 (COX-2) and heme oxygenase-1 (HO-1) and the in vitro response to gemcitabine (GEM) treatment in pancreatic cell lines. METHODS: We compared the expression of HuR, COX-2, and HO-1 in PDA and normal pancreatic tissue using quantitative reverse transcription polymerase chain reaction (qRT-PCR) and western blot. In addition, the HuR, COX-2 and HO-1 were analyzed in four types of cancer cell lines (MiaPaca2, Su.86.86, Capan-1, and Capan-2) with and without GEM treatment. Immunocytofluorescence analysis was used to investigate HuR localization in cells. Cell viability and response to GEM after HuR silencing were determined with the 3-(4,5-dimethylthiazol-2-Yl)-2,5-diphenyltetrazolium bromide test and the crystal violet clonogenic assay, respectively. To measure apoptosis, activation of caspases 3/7 was evaluated using immunofluorescence. RESULTS: In PDA tissue obtained from patients not treated with GEM, HuR mRNA expression was 3.2 times lower (p {\\textless} 0.05) and COX-2 and HO-1 mRNA expression was 2.3-fold and 7.2-fold higher (p {\\textless} 0.05), respectively, than normal pancreatic tissue (from organ donor). qRT-PCR analysis showed that HuR, COX-2, and HO-1 mRNA were overexpressed in all cancer cell lines treated with the half maximal inhibitory concentration (IC50) dose of GEM compared with control cells (p {\\textless} 0.05). Western blot analysis revealed that COX-2 and HO-1 levels were significantly decreased in cancer cells after HuR silencing. Furthermore, HuR silencing increased the response to GEM treatment and decreased cell viability by 11.6{%}-53.7{%} compared to control cell lines. Caspases 3 and 7 were activated after HuR silencing and GEM treatment in all pancreatic cancer cell lines. In comparison, treatment with GEM alone did not activate caspases 3 and 7 in the same cell lines. CONCLUSION: HuR mediated post-transcriptional upregulation of COX-2 and HO-1 expression after GEM treatment in pancreatic cancer cells. HuR silencing significantly increased the effectiveness of GEM treatment in vitro.","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Gulbinas","given":"Antanas","non-dropping-particle":"","parse-names":false,"suffix":""},{"dropping-particle":"","family":"Dambrauskas","given":"Zilvinas","non-dropping-particle":"","parse-names":false,"suffix":""}],"container-title":"World Journal of Gastroenterology","id":"ITEM-4","issue":"46","issued":{"date-parts":[["2015"]]},"page":"13004-13019","title":"HuR mediated post-transcriptional regulation as a new potential adjuvant therapeutic target in chemotherapy for pancreatic cancer","type":"article-journal","volume":"21"},"uris":["http://www.mendeley.com/documents/?uuid=81ab3630-3731-4f63-90fc-64cf8b25a037"]},{"id":"ITEM-5","itemData":{"DOI":"10.1158/0008-5472.CAN-09-0371","ISBN":"1538-7445 (Electronic)\\r0008-5472 (Linking)","ISSN":"00085472","PMID":"19487279","abstract":"RNA-binding protein HuR binds U- or AU-rich sequences in the 3'-untranslated regions of target mRNAs, stabilizing them and/or modulating their translation. Given the links of HuR with cancer, we studied the consequences of modulating HuR levels in pancreatic cancer cells. HuR-overexpressing cancer cells, in some instances, are roughly up to 30-fold more sensitive to treatment with gemcitabine, the main chemotherapeutic component of treatment regimens for pancreatic ductal adenocarcinoma (PDA), compared with control cells. In pancreatic cancer cells, HuR associates with deoxycytidine kinase (dCK) mRNA, which encodes the enzyme that metabolizes and thereby activates gemcitabine. Gemcitabine exposure to pancreatic cancer cells enriches the association between HuR and dCK mRNA and increases cytoplasmic HuR levels. Accordingly, HuR overexpression elevates, whereas HuR silencing reduces, dCK protein expression in pancreatic cancer cells. In a clinical correlate study of gemcitabine treatment, we found a 7-fold increase in risk of mortality in PDA patients with low cytoplasmic HuR levels compared with patients with high HuR levels, after adjusting for other treatments and demographic variables. These data support the notion that HuR is a key mediator of gemcitabine efficacy in cancer cells, at least in part through its ability to regulate dCK levels posttranscriptionally. We propose that HuR levels in PDA modulate the therapeutic efficacy of gemcitabine, thus serving as a marker of the clinical utility of this common chemotherapeutic agent and a potential target for intervention in pancreatic cancer.","author":[{"dropping-particle":"","family":"Costantino","given":"Christina L.","non-dropping-particle":"","parse-names":false,"suffix":""},{"dropping-particle":"","family":"Witkiewicz","given":"Agnieszka K.","non-dropping-particle":"","parse-names":false,"suffix":""},{"dropping-particle":"","family":"Kuwano","given":"Yuki","non-dropping-particle":"","parse-names":false,"suffix":""},{"dropping-particle":"","family":"Cozzitorto","given":"Joseph A.","non-dropping-particle":"","parse-names":false,"suffix":""},{"dropping-particle":"","family":"Kennedy","given":"Eugene P.","non-dropping-particle":"","parse-names":false,"suffix":""},{"dropping-particle":"","family":"Dasgupta","given":"Abhijit","non-dropping-particle":"","parse-names":false,"suffix":""},{"dropping-particle":"","family":"Keen","given":"Judith C.","non-dropping-particle":"","parse-names":false,"suffix":""},{"dropping-particle":"","family":"Yeo","given":"Charles J.","non-dropping-particle":"","parse-names":false,"suffix":""},{"dropping-particle":"","family":"Gorospe","given":"Myriam","non-dropping-particle":"","parse-names":false,"suffix":""},{"dropping-particle":"","family":"Brody","given":"Jonathan R.","non-dropping-particle":"","parse-names":false,"suffix":""}],"container-title":"Cancer Research","id":"ITEM-5","issue":"11","issued":{"date-parts":[["2009"]]},"page":"4567-4572","title":"The role of HuR in gemcitabine efficacy in pancreatic cancer: HuR up-regulates the expression of the gemcitabine metabolizing enzyme deoxycytidine kinase","type":"article-journal","volume":"69"},"uris":["http://www.mendeley.com/documents/?uuid=4ede2693-4d1f-4938-a7e4-2d80545e51d4"]}],"mendeley":{"formattedCitation":"&lt;sup&gt;[13,16,17,29,30]&lt;/sup&gt;","plainTextFormattedCitation":"[13,16,17,29,30]","previouslyFormattedCitation":"&lt;sup&gt;[13,16,17,29,30]&lt;/sup&gt;"},"properties":{"noteIndex":0},"schema":"https://github.com/citation-style-language/schema/raw/master/csl-citation.json"}</w:instrText>
      </w:r>
      <w:r w:rsidR="00DD5348" w:rsidRPr="00141E92">
        <w:rPr>
          <w:rFonts w:ascii="Book Antiqua" w:hAnsi="Book Antiqua"/>
          <w:sz w:val="24"/>
          <w:szCs w:val="24"/>
        </w:rPr>
        <w:fldChar w:fldCharType="separate"/>
      </w:r>
      <w:r w:rsidR="007C64D9" w:rsidRPr="00141E92">
        <w:rPr>
          <w:rFonts w:ascii="Book Antiqua" w:hAnsi="Book Antiqua"/>
          <w:sz w:val="24"/>
          <w:szCs w:val="24"/>
          <w:vertAlign w:val="superscript"/>
        </w:rPr>
        <w:t>[13,16,17,29,30]</w:t>
      </w:r>
      <w:r w:rsidR="00DD5348" w:rsidRPr="00141E92">
        <w:rPr>
          <w:rFonts w:ascii="Book Antiqua" w:hAnsi="Book Antiqua"/>
          <w:sz w:val="24"/>
          <w:szCs w:val="24"/>
        </w:rPr>
        <w:fldChar w:fldCharType="end"/>
      </w:r>
      <w:r w:rsidR="00DD5348" w:rsidRPr="00141E92">
        <w:rPr>
          <w:rFonts w:ascii="Book Antiqua" w:hAnsi="Book Antiqua"/>
          <w:sz w:val="24"/>
          <w:szCs w:val="24"/>
        </w:rPr>
        <w:t xml:space="preserve">. For the most part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enhances expression of the antiapoptotic molecules and represses expression of </w:t>
      </w:r>
      <w:r w:rsidR="00DD5348" w:rsidRPr="00141E92">
        <w:rPr>
          <w:rFonts w:ascii="Book Antiqua" w:hAnsi="Book Antiqua"/>
          <w:sz w:val="24"/>
          <w:szCs w:val="24"/>
        </w:rPr>
        <w:lastRenderedPageBreak/>
        <w:t>the proapoptotic molecules</w:t>
      </w:r>
      <w:r w:rsidR="00DD5348"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{"citationItems":[{"id":"ITEM-1","itemData":{"DOI":"10.1038/onc.2010.527","ISBN":"1476-5594 (Electronic)\\r0950-9232 (Linking)","ISSN":"09509232","PMID":"21102524","abstract":"Expression of the intrinsic cellular caspase inhibitor XIAP is regulated primarily at the level of protein synthesis. The 5' untranslated region harbours an Internal Ribosome Entry Site (IRES) motif that supports cap-independent translation of XIAP mRNA during conditions of cellular stress. In this study, we show that the RNA-binding protein HuR, which is known to orchestrate an antiapoptotic cellular program, stimulates translation of XIAP mRNA through XIAP IRES. We further show that HuR binds to XIAP IRES in vitro and in vivo, and stimulates recruitment of the XIAP mRNA into polysomes. Importantly, protection from the apoptosis-inducing agent etoposide by overexpression of HuR requires the presence of XIAP, suggesting that HuR-mediated cytoprotection is partially executed through enhanced XIAP translation. Our data suggest that XIAP belongs to the HuR-regulated RNA operon of antiapoptotic genes, which, along with Bcl-2, Mcl-1 and ProTalpha, contributes to the regulation of cell survival.","author":[{"dropping-particle":"","family":"Durie","given":"D.","non-dropping-particle":"","parse-names":false,"suffix":""},{"dropping-particle":"","family":"Lewis","given":"S. M.","non-dropping-particle":"","parse-names":false,"suffix":""},{"dropping-particle":"","family":"Liwak","given":"U.","non-dropping-particle":"","parse-names":false,"suffix":""},{"dropping-particle":"","family":"Kisilewicz","given":"M.","non-dropping-particle":"","parse-names":false,"suffix":""},{"dropping-particle":"","family":"Gorospe","given":"M.","non-dropping-particle":"","parse-names":false,"suffix":""},{"dropping-particle":"","family":"Holcik","given":"M.","non-dropping-particle":"","parse-names":false,"suffix":""}],"container-title":"Oncogene","id":"ITEM-1","issue":"12","issued":{"date-parts":[["2011"]]},"page":"1460-1469","title":"RNA-binding protein HuR mediates cytoprotection through stimulation of XIAP translation","type":"article-journal","volume":"30"},"uris":["http://www.mendeley.com/documents/?uuid=550ddc02-a948-4778-a460-8a08fb417658"]}],"mendeley":{"formattedCitation":"&lt;sup&gt;[18]&lt;/sup&gt;","plainTextFormattedCitation":"[18]","previouslyFormattedCitation":"&lt;sup&gt;[18]&lt;/sup&gt;"},"properties":{"noteIndex":0},"schema":"https://github.com/citation-style-language/schema/raw/master/csl-citation.json"}</w:instrText>
      </w:r>
      <w:r w:rsidR="00DD5348" w:rsidRPr="00141E92">
        <w:rPr>
          <w:rFonts w:ascii="Book Antiqua" w:hAnsi="Book Antiqua"/>
          <w:sz w:val="24"/>
          <w:szCs w:val="24"/>
        </w:rPr>
        <w:fldChar w:fldCharType="separate"/>
      </w:r>
      <w:r w:rsidR="00DD5348" w:rsidRPr="00141E92">
        <w:rPr>
          <w:rFonts w:ascii="Book Antiqua" w:hAnsi="Book Antiqua"/>
          <w:sz w:val="24"/>
          <w:szCs w:val="24"/>
          <w:vertAlign w:val="superscript"/>
        </w:rPr>
        <w:t>[18]</w:t>
      </w:r>
      <w:r w:rsidR="00DD5348" w:rsidRPr="00141E92">
        <w:rPr>
          <w:rFonts w:ascii="Book Antiqua" w:hAnsi="Book Antiqua"/>
          <w:sz w:val="24"/>
          <w:szCs w:val="24"/>
        </w:rPr>
        <w:fldChar w:fldCharType="end"/>
      </w:r>
      <w:r w:rsidR="00DD5348" w:rsidRPr="00141E92">
        <w:rPr>
          <w:rFonts w:ascii="Book Antiqua" w:hAnsi="Book Antiqua"/>
          <w:sz w:val="24"/>
          <w:szCs w:val="24"/>
        </w:rPr>
        <w:t xml:space="preserve">. Recent findings established that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is a critical regulator of pancreatic cancer cell metabolism and survival</w:t>
      </w:r>
      <w:r w:rsidR="00DD5348"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{"citationItems":[{"id":"ITEM-1","itemData":{"DOI":"10.3748/wjg.v21.i46.13004","ISBN":"1007-9327","ISSN":"22192840","PMID":"26675757","abstract":"AIM: To investigate the expression of HuR in pancreatic ductal adenocarcinoma (PDA) and to assess the effects of HuR silencing on the expression of cyclooxygenase-2 (COX-2) and heme oxygenase-1 (HO-1) and the in vitro response to gemcitabine (GEM) treatment in pancreatic cell lines. METHODS: We compared the expression of HuR, COX-2, and HO-1 in PDA and normal pancreatic tissue using quantitative reverse transcription polymerase chain reaction (qRT-PCR) and western blot. In addition, the HuR, COX-2 and HO-1 were analyzed in four types of cancer cell lines (MiaPaca2, Su.86.86, Capan-1, and Capan-2) with and without GEM treatment. Immunocytofluorescence analysis was used to investigate HuR localization in cells. Cell viability and response to GEM after HuR silencing were determined with the 3-(4,5-dimethylthiazol-2-Yl)-2,5-diphenyltetrazolium bromide test and the crystal violet clonogenic assay, respectively. To measure apoptosis, activation of caspases 3/7 was evaluated using immunofluorescence. RESULTS: In PDA tissue obtained from patients not treated with GEM, HuR mRNA expression was 3.2 times lower (p {\\textless} 0.05) and COX-2 and HO-1 mRNA expression was 2.3-fold and 7.2-fold higher (p {\\textless} 0.05), respectively, than normal pancreatic tissue (from organ donor). qRT-PCR analysis showed that HuR, COX-2, and HO-1 mRNA were overexpressed in all cancer cell lines treated with the half maximal inhibitory concentration (IC50) dose of GEM compared with control cells (p {\\textless} 0.05). Western blot analysis revealed that COX-2 and HO-1 levels were significantly decreased in cancer cells after HuR silencing. Furthermore, HuR silencing increased the response to GEM treatment and decreased cell viability by 11.6{%}-53.7{%} compared to control cell lines. Caspases 3 and 7 were activated after HuR silencing and GEM treatment in all pancreatic cancer cell lines. In comparison, treatment with GEM alone did not activate caspases 3 and 7 in the same cell lines. CONCLUSION: HuR mediated post-transcriptional upregulation of COX-2 and HO-1 expression after GEM treatment in pancreatic cancer cells. HuR silencing significantly increased the effectiveness of GEM treatment in vitro.","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Gulbinas","given":"Antanas","non-dropping-particle":"","parse-names":false,"suffix":""},{"dropping-particle":"","family":"Dambrauskas","given":"Zilvinas","non-dropping-particle":"","parse-names":false,"suffix":""}],"container-title":"World Journal of Gastroenterology","id":"ITEM-1","issue":"46","issued":{"date-parts":[["2015"]]},"page":"13004-13019","title":"HuR mediated post-transcriptional regulation as a new potential adjuvant therapeutic target in chemotherapy for pancreatic cancer","type":"article-journal","volume":"21"},"uris":["http://www.mendeley.com/documents/?uuid=81ab3630-3731-4f63-90fc-64cf8b25a037"]}],"mendeley":{"formattedCitation":"&lt;sup&gt;[16]&lt;/sup&gt;","plainTextFormattedCitation":"[16]","previouslyFormattedCitation":"&lt;sup&gt;[16]&lt;/sup&gt;"},"properties":{"noteIndex":0},"schema":"https://github.com/citation-style-language/schema/raw/master/csl-citation.json"}</w:instrText>
      </w:r>
      <w:r w:rsidR="00DD5348" w:rsidRPr="00141E92">
        <w:rPr>
          <w:rFonts w:ascii="Book Antiqua" w:hAnsi="Book Antiqua"/>
          <w:sz w:val="24"/>
          <w:szCs w:val="24"/>
        </w:rPr>
        <w:fldChar w:fldCharType="separate"/>
      </w:r>
      <w:r w:rsidR="00DD5348" w:rsidRPr="00141E92">
        <w:rPr>
          <w:rFonts w:ascii="Book Antiqua" w:hAnsi="Book Antiqua"/>
          <w:sz w:val="24"/>
          <w:szCs w:val="24"/>
          <w:vertAlign w:val="superscript"/>
        </w:rPr>
        <w:t>[16]</w:t>
      </w:r>
      <w:r w:rsidR="00DD5348" w:rsidRPr="00141E92">
        <w:rPr>
          <w:rFonts w:ascii="Book Antiqua" w:hAnsi="Book Antiqua"/>
          <w:sz w:val="24"/>
          <w:szCs w:val="24"/>
        </w:rPr>
        <w:fldChar w:fldCharType="end"/>
      </w:r>
      <w:r w:rsidR="00DD5348" w:rsidRPr="00141E92">
        <w:rPr>
          <w:rFonts w:ascii="Book Antiqua" w:hAnsi="Book Antiqua"/>
          <w:sz w:val="24"/>
          <w:szCs w:val="24"/>
        </w:rPr>
        <w:t>. This study extends our previous work showing</w:t>
      </w:r>
      <w:r w:rsidR="00DD5348" w:rsidRPr="00141E92">
        <w:rPr>
          <w:rFonts w:ascii="Book Antiqua" w:hAnsi="Book Antiqua"/>
          <w:position w:val="8"/>
          <w:sz w:val="24"/>
          <w:szCs w:val="24"/>
        </w:rPr>
        <w:t xml:space="preserve"> </w:t>
      </w:r>
      <w:r w:rsidR="00DD5348" w:rsidRPr="00141E92">
        <w:rPr>
          <w:rFonts w:ascii="Book Antiqua" w:hAnsi="Book Antiqua"/>
          <w:sz w:val="24"/>
          <w:szCs w:val="24"/>
        </w:rPr>
        <w:t xml:space="preserve">that epigenetic regulation of </w:t>
      </w:r>
      <w:proofErr w:type="spellStart"/>
      <w:r w:rsidR="00DD5348" w:rsidRPr="00141E92">
        <w:rPr>
          <w:rFonts w:ascii="Book Antiqua" w:hAnsi="Book Antiqua"/>
          <w:sz w:val="24"/>
          <w:szCs w:val="24"/>
        </w:rPr>
        <w:t>iRNA</w:t>
      </w:r>
      <w:proofErr w:type="spellEnd"/>
      <w:r w:rsidR="00DD5348" w:rsidRPr="00141E92">
        <w:rPr>
          <w:rFonts w:ascii="Book Antiqua" w:hAnsi="Book Antiqua"/>
          <w:sz w:val="24"/>
          <w:szCs w:val="24"/>
        </w:rPr>
        <w:t xml:space="preserve"> stabilizing proteins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is very important for heme oxygenase-1 (HO-1) / cyclooxygenase-2 (COX-2) cytoprotective mechanisms</w:t>
      </w:r>
      <w:r w:rsidR="00DD5348" w:rsidRPr="00141E92">
        <w:rPr>
          <w:rFonts w:ascii="Book Antiqua" w:hAnsi="Book Antiqua"/>
          <w:sz w:val="24"/>
          <w:szCs w:val="24"/>
        </w:rPr>
        <w:fldChar w:fldCharType="begin" w:fldLock="1"/>
      </w:r>
      <w:r w:rsidR="007C64D9" w:rsidRPr="00141E92">
        <w:rPr>
          <w:rFonts w:ascii="Book Antiqua" w:hAnsi="Book Antiqua"/>
          <w:sz w:val="24"/>
          <w:szCs w:val="24"/>
        </w:rPr>
        <w:instrText>ADDIN CSL_CITATION {"citationItems":[{"id":"ITEM-1","itemData":{"DOI":"10.3748/wjg.v21.i46.13004","ISBN":"1007-9327","ISSN":"22192840","PMID":"26675757","abstract":"AIM: To investigate the expression of HuR in pancreatic ductal adenocarcinoma (PDA) and to assess the effects of HuR silencing on the expression of cyclooxygenase-2 (COX-2) and heme oxygenase-1 (HO-1) and the in vitro response to gemcitabine (GEM) treatment in pancreatic cell lines. METHODS: We compared the expression of HuR, COX-2, and HO-1 in PDA and normal pancreatic tissue using quantitative reverse transcription polymerase chain reaction (qRT-PCR) and western blot. In addition, the HuR, COX-2 and HO-1 were analyzed in four types of cancer cell lines (MiaPaca2, Su.86.86, Capan-1, and Capan-2) with and without GEM treatment. Immunocytofluorescence analysis was used to investigate HuR localization in cells. Cell viability and response to GEM after HuR silencing were determined with the 3-(4,5-dimethylthiazol-2-Yl)-2,5-diphenyltetrazolium bromide test and the crystal violet clonogenic assay, respectively. To measure apoptosis, activation of caspases 3/7 was evaluated using immunofluorescence. RESULTS: In PDA tissue obtained from patients not treated with GEM, HuR mRNA expression was 3.2 times lower (p {\\textless} 0.05) and COX-2 and HO-1 mRNA expression was 2.3-fold and 7.2-fold higher (p {\\textless} 0.05), respectively, than normal pancreatic tissue (from organ donor). qRT-PCR analysis showed that HuR, COX-2, and HO-1 mRNA were overexpressed in all cancer cell lines treated with the half maximal inhibitory concentration (IC50) dose of GEM compared with control cells (p {\\textless} 0.05). Western blot analysis revealed that COX-2 and HO-1 levels were significantly decreased in cancer cells after HuR silencing. Furthermore, HuR silencing increased the response to GEM treatment and decreased cell viability by 11.6{%}-53.7{%} compared to control cell lines. Caspases 3 and 7 were activated after HuR silencing and GEM treatment in all pancreatic cancer cell lines. In comparison, treatment with GEM alone did not activate caspases 3 and 7 in the same cell lines. CONCLUSION: HuR mediated post-transcriptional upregulation of COX-2 and HO-1 expression after GEM treatment in pancreatic cancer cells. HuR silencing significantly increased the effectiveness of GEM treatment in vitro.","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Gulbinas","given":"Antanas","non-dropping-particle":"","parse-names":false,"suffix":""},{"dropping-particle":"","family":"Dambrauskas","given":"Zilvinas","non-dropping-particle":"","parse-names":false,"suffix":""}],"container-title":"World Journal of Gastroenterology","id":"ITEM-1","issue":"46","issued":{"date-parts":[["2015"]]},"page":"13004-13019","title":"HuR mediated post-transcriptional regulation as a new potential adjuvant therapeutic target in chemotherapy for pancreatic cancer","type":"article-journal","volume":"21"},"uris":["http://www.mendeley.com/documents/?uuid=81ab3630-3731-4f63-90fc-64cf8b25a037"]},{"id":"ITEM-2","itemData":{"DOI":"10.1007/s00423-015-1364-1","ISBN":"1435-2443","ISSN":"14352451","PMID":"26691217","abstract":"Purpose: Altered expression and/or function of ribosomal RNA (rRNA)-binding proteins CUGBP2/CELF2 might influence post-transcriptional regulation of the HO-1- and COX-2-mediated cytoprotective pathways and represents an important therapeutic target. The aim of this study was to assess the effects of CUGBP2-mediated post-transcriptional regulation of COX-2 and HO-1 in pancreatic cancer cells in regard of response to gemcitabine (GEM) treatment. Methods: Expression of CUGBP2, COX-2, and HO-1 was evaluated using qRT-PCR and Western blot methods. Cell viability after treatment with GEM and/or curcumin and siCUGBP2 was evaluated using MTT and crystal violet tests. RNA immunoprecipitation analysis was used to confirm COX-2 and HO-1 post-transcriptional regulation by CUGBP2 protein. Results: CUGBP2 expression at the messenger RNA (mRNA) level was 2.2-fold lower (p = 0.007), but HO-1 and COX-2 expression was increased 6.9- (p = 0.023) and 2.3- (p = 0.046) fold in pancreatic cancer tissues. The median survival of patients with low CUGBP2 expression from the lowest tercile was 13.8 months. The median survival of patients in terciles of middle and high CUGBP2 expression levels was 21.9 month (p = 0.123). Induction of CUGBP2 expression by curcumin resulted in the downregulation of HO-1 and COX-2 and strongly sensitized tumor cells to GEM treatment. However, CUGBP2 silencing upregulated HO-1 and COX-2 protein expression and had a high effect on cells viability. Conclusion: Decreased activity of CUGBP2 could be associated with high chemoresistance and early dissemination of pancreatic cancer through the HO-1- and COX-2-mediated cytoprotective and carcinogenesis pathways. Curcumin significantly increased the effectiveness of GEM treatment in vitro via the CUGBP2-mediated post-transcriptional regulation pathway.","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Dauksa","given":"Albertas","non-dropping-particle":"","parse-names":false,"suffix":""},{"dropping-particle":"","family":"Paskauskas","given":"Saulius","non-dropping-particle":"","parse-names":false,"suffix":""},{"dropping-particle":"","family":"Gulbinas","given":"Antanas","non-dropping-particle":"","parse-names":false,"suffix":""},{"dropping-particle":"","family":"Dambrauskas","given":"Zilvinas","non-dropping-particle":"","parse-names":false,"suffix":""}],"container-title":"Langenbeck's Archives of Surgery","id":"ITEM-2","issue":"1","issued":{"date-parts":[["2016"]]},"page":"99-111","title":"Upregulation of cugbp2 increases response of pancreatic cancer cells to chemotherapy","type":"article-journal","volume":"401"},"uris":["http://www.mendeley.com/documents/?uuid=03f9e618-e0dc-4c35-aeb7-9ff1d14a26cd"]}],"mendeley":{"formattedCitation":"&lt;sup&gt;[16,31]&lt;/sup&gt;","plainTextFormattedCitation":"[16,31]","previouslyFormattedCitation":"&lt;sup&gt;[16,31]&lt;/sup&gt;"},"properties":{"noteIndex":0},"schema":"https://github.com/citation-style-language/schema/raw/master/csl-citation.json"}</w:instrText>
      </w:r>
      <w:r w:rsidR="00DD5348" w:rsidRPr="00141E92">
        <w:rPr>
          <w:rFonts w:ascii="Book Antiqua" w:hAnsi="Book Antiqua"/>
          <w:sz w:val="24"/>
          <w:szCs w:val="24"/>
        </w:rPr>
        <w:fldChar w:fldCharType="separate"/>
      </w:r>
      <w:r w:rsidR="00DD5348" w:rsidRPr="00141E92">
        <w:rPr>
          <w:rFonts w:ascii="Book Antiqua" w:hAnsi="Book Antiqua"/>
          <w:sz w:val="24"/>
          <w:szCs w:val="24"/>
          <w:vertAlign w:val="superscript"/>
        </w:rPr>
        <w:t>[16,31]</w:t>
      </w:r>
      <w:r w:rsidR="00DD5348" w:rsidRPr="00141E92">
        <w:rPr>
          <w:rFonts w:ascii="Book Antiqua" w:hAnsi="Book Antiqua"/>
          <w:sz w:val="24"/>
          <w:szCs w:val="24"/>
        </w:rPr>
        <w:fldChar w:fldCharType="end"/>
      </w:r>
      <w:r w:rsidR="00DD5348" w:rsidRPr="00141E92">
        <w:rPr>
          <w:rFonts w:ascii="Book Antiqua" w:hAnsi="Book Antiqua"/>
          <w:sz w:val="24"/>
          <w:szCs w:val="24"/>
        </w:rPr>
        <w:t xml:space="preserve">. </w:t>
      </w:r>
      <w:r w:rsidR="00C31208" w:rsidRPr="00141E92">
        <w:rPr>
          <w:rFonts w:ascii="Book Antiqua" w:hAnsi="Book Antiqua"/>
          <w:color w:val="111111"/>
          <w:sz w:val="24"/>
          <w:szCs w:val="24"/>
        </w:rPr>
        <w:t xml:space="preserve">Based on our findings and possible </w:t>
      </w:r>
      <w:proofErr w:type="spellStart"/>
      <w:r w:rsidR="00C31208" w:rsidRPr="00141E92">
        <w:rPr>
          <w:rFonts w:ascii="Book Antiqua" w:hAnsi="Book Antiqua"/>
          <w:color w:val="111111"/>
          <w:sz w:val="24"/>
          <w:szCs w:val="24"/>
        </w:rPr>
        <w:t>HuR</w:t>
      </w:r>
      <w:proofErr w:type="spellEnd"/>
      <w:r w:rsidR="00C31208" w:rsidRPr="00141E92">
        <w:rPr>
          <w:rFonts w:ascii="Book Antiqua" w:hAnsi="Book Antiqua"/>
          <w:color w:val="111111"/>
          <w:sz w:val="24"/>
          <w:szCs w:val="24"/>
        </w:rPr>
        <w:t xml:space="preserve"> regulation mechanisms, we hav</w:t>
      </w:r>
      <w:r w:rsidR="0023633B">
        <w:rPr>
          <w:rFonts w:ascii="Book Antiqua" w:hAnsi="Book Antiqua"/>
          <w:color w:val="111111"/>
          <w:sz w:val="24"/>
          <w:szCs w:val="24"/>
        </w:rPr>
        <w:t>e constructed a scheme (Figure 6</w:t>
      </w:r>
      <w:r w:rsidR="00C31208" w:rsidRPr="00141E92">
        <w:rPr>
          <w:rFonts w:ascii="Book Antiqua" w:hAnsi="Book Antiqua"/>
          <w:color w:val="111111"/>
          <w:sz w:val="24"/>
          <w:szCs w:val="24"/>
        </w:rPr>
        <w:t xml:space="preserve">), that may explain </w:t>
      </w:r>
      <w:r w:rsidR="00C31208" w:rsidRPr="00141E92">
        <w:rPr>
          <w:rFonts w:ascii="Book Antiqua" w:hAnsi="Book Antiqua"/>
          <w:bCs/>
          <w:sz w:val="24"/>
          <w:szCs w:val="24"/>
        </w:rPr>
        <w:t xml:space="preserve">the role of </w:t>
      </w:r>
      <w:proofErr w:type="spellStart"/>
      <w:r w:rsidR="00C31208" w:rsidRPr="00141E92">
        <w:rPr>
          <w:rFonts w:ascii="Book Antiqua" w:hAnsi="Book Antiqua"/>
          <w:bCs/>
          <w:sz w:val="24"/>
          <w:szCs w:val="24"/>
        </w:rPr>
        <w:t>HuR</w:t>
      </w:r>
      <w:proofErr w:type="spellEnd"/>
      <w:r w:rsidR="00C31208" w:rsidRPr="00141E92">
        <w:rPr>
          <w:rFonts w:ascii="Book Antiqua" w:hAnsi="Book Antiqua"/>
          <w:bCs/>
          <w:sz w:val="24"/>
          <w:szCs w:val="24"/>
        </w:rPr>
        <w:t xml:space="preserve"> and IAPs in pancreatic cancer.</w:t>
      </w:r>
      <w:r w:rsidR="00C31208" w:rsidRPr="00141E92">
        <w:rPr>
          <w:rFonts w:ascii="Book Antiqua" w:hAnsi="Book Antiqua" w:cs="TimesNewRomanPSMT"/>
          <w:sz w:val="24"/>
          <w:szCs w:val="24"/>
        </w:rPr>
        <w:t xml:space="preserve"> </w:t>
      </w:r>
      <w:proofErr w:type="spellStart"/>
      <w:r w:rsidR="00C31208" w:rsidRPr="00141E92">
        <w:rPr>
          <w:rFonts w:ascii="Book Antiqua" w:hAnsi="Book Antiqua"/>
          <w:sz w:val="24"/>
          <w:szCs w:val="24"/>
        </w:rPr>
        <w:t>HuR</w:t>
      </w:r>
      <w:proofErr w:type="spellEnd"/>
      <w:r w:rsidR="00C31208" w:rsidRPr="00141E92">
        <w:rPr>
          <w:rFonts w:ascii="Book Antiqua" w:hAnsi="Book Antiqua"/>
          <w:sz w:val="24"/>
          <w:szCs w:val="24"/>
        </w:rPr>
        <w:t xml:space="preserve"> can bind to IAPs and HO-1</w:t>
      </w:r>
      <w:r w:rsidR="00FC03F1" w:rsidRPr="00141E92">
        <w:rPr>
          <w:rFonts w:ascii="Book Antiqua" w:hAnsi="Book Antiqua"/>
          <w:sz w:val="24"/>
          <w:szCs w:val="24"/>
        </w:rPr>
        <w:t xml:space="preserve"> and </w:t>
      </w:r>
      <w:r w:rsidR="00C31208" w:rsidRPr="00141E92">
        <w:rPr>
          <w:rFonts w:ascii="Book Antiqua" w:hAnsi="Book Antiqua"/>
          <w:sz w:val="24"/>
          <w:szCs w:val="24"/>
        </w:rPr>
        <w:t xml:space="preserve">stabilize them, leading to an increased cell growth. However, when </w:t>
      </w:r>
      <w:proofErr w:type="spellStart"/>
      <w:r w:rsidR="00C31208" w:rsidRPr="00141E92">
        <w:rPr>
          <w:rFonts w:ascii="Book Antiqua" w:hAnsi="Book Antiqua"/>
          <w:sz w:val="24"/>
          <w:szCs w:val="24"/>
        </w:rPr>
        <w:t>HuR</w:t>
      </w:r>
      <w:proofErr w:type="spellEnd"/>
      <w:r w:rsidR="00C31208" w:rsidRPr="00141E92">
        <w:rPr>
          <w:rFonts w:ascii="Book Antiqua" w:hAnsi="Book Antiqua"/>
          <w:sz w:val="24"/>
          <w:szCs w:val="24"/>
        </w:rPr>
        <w:t xml:space="preserve"> is silenced, IAP2 overexpression is altered that could be modulated by HO-1 and a production of the COX-2 metabolites: </w:t>
      </w:r>
      <w:r w:rsidR="00FC03F1" w:rsidRPr="00141E92">
        <w:rPr>
          <w:rFonts w:ascii="Book Antiqua" w:hAnsi="Book Antiqua"/>
          <w:sz w:val="24"/>
          <w:szCs w:val="24"/>
        </w:rPr>
        <w:t>prostaglandin E2 (PGE</w:t>
      </w:r>
      <w:r w:rsidR="00FC03F1" w:rsidRPr="00141E92">
        <w:rPr>
          <w:rFonts w:ascii="Book Antiqua" w:hAnsi="Book Antiqua"/>
          <w:sz w:val="24"/>
          <w:szCs w:val="24"/>
          <w:vertAlign w:val="subscript"/>
        </w:rPr>
        <w:t>2</w:t>
      </w:r>
      <w:r w:rsidR="00FC03F1" w:rsidRPr="00141E92">
        <w:rPr>
          <w:rFonts w:ascii="Book Antiqua" w:hAnsi="Book Antiqua"/>
          <w:sz w:val="24"/>
          <w:szCs w:val="24"/>
        </w:rPr>
        <w:t xml:space="preserve">) and carbon monoxide (CO). </w:t>
      </w:r>
      <w:r w:rsidR="00C31208" w:rsidRPr="00141E92">
        <w:rPr>
          <w:rFonts w:ascii="Book Antiqua" w:hAnsi="Book Antiqua"/>
          <w:sz w:val="24"/>
          <w:szCs w:val="24"/>
        </w:rPr>
        <w:t xml:space="preserve">Additionally, </w:t>
      </w:r>
      <w:r w:rsidR="00895B29" w:rsidRPr="00141E92">
        <w:rPr>
          <w:rFonts w:ascii="Book Antiqua" w:hAnsi="Book Antiqua"/>
          <w:sz w:val="24"/>
          <w:szCs w:val="24"/>
        </w:rPr>
        <w:t>t</w:t>
      </w:r>
      <w:r w:rsidR="00895B29" w:rsidRPr="00141E92">
        <w:rPr>
          <w:rFonts w:ascii="Book Antiqua" w:eastAsia="Times New Roman" w:hAnsi="Book Antiqua" w:cs="Times New Roman"/>
          <w:sz w:val="24"/>
          <w:szCs w:val="24"/>
        </w:rPr>
        <w:t xml:space="preserve">he inhibitors </w:t>
      </w:r>
      <w:r w:rsidR="00FC03F1" w:rsidRPr="00141E92">
        <w:rPr>
          <w:rFonts w:ascii="Book Antiqua" w:eastAsia="Times New Roman" w:hAnsi="Book Antiqua" w:cs="Times New Roman"/>
          <w:sz w:val="24"/>
          <w:szCs w:val="24"/>
        </w:rPr>
        <w:t>IAPs</w:t>
      </w:r>
      <w:r w:rsidR="00895B29" w:rsidRPr="00141E92">
        <w:rPr>
          <w:rFonts w:ascii="Book Antiqua" w:eastAsia="Times New Roman" w:hAnsi="Book Antiqua" w:cs="Times New Roman"/>
          <w:sz w:val="24"/>
          <w:szCs w:val="24"/>
        </w:rPr>
        <w:t xml:space="preserve"> inhibit caspase activation and/or activity.</w:t>
      </w:r>
    </w:p>
    <w:p w14:paraId="4CF63F52" w14:textId="4DB5BBF2" w:rsidR="00DD5348" w:rsidRPr="00141E92" w:rsidRDefault="00A8115F" w:rsidP="008530E2">
      <w:pPr>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t xml:space="preserve">  </w:t>
      </w:r>
      <w:r w:rsidR="00DD5348" w:rsidRPr="00141E92">
        <w:rPr>
          <w:rFonts w:ascii="Book Antiqua" w:hAnsi="Book Antiqua"/>
          <w:color w:val="000000" w:themeColor="text1"/>
          <w:sz w:val="24"/>
          <w:szCs w:val="24"/>
        </w:rPr>
        <w:t xml:space="preserve">In our study,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at mRNA and protein levels were upregulated in the </w:t>
      </w:r>
      <w:r w:rsidR="003F50D4">
        <w:rPr>
          <w:rFonts w:ascii="Book Antiqua" w:hAnsi="Book Antiqua"/>
          <w:color w:val="000000" w:themeColor="text1"/>
          <w:sz w:val="24"/>
          <w:szCs w:val="24"/>
        </w:rPr>
        <w:t>PDAC</w:t>
      </w:r>
      <w:r w:rsidR="00DD5348" w:rsidRPr="00141E92">
        <w:rPr>
          <w:rFonts w:ascii="Book Antiqua" w:hAnsi="Book Antiqua"/>
          <w:color w:val="000000" w:themeColor="text1"/>
          <w:sz w:val="24"/>
          <w:szCs w:val="24"/>
        </w:rPr>
        <w:t>. O</w:t>
      </w:r>
      <w:r w:rsidR="00DD5348" w:rsidRPr="00141E92">
        <w:rPr>
          <w:rFonts w:ascii="Book Antiqua" w:hAnsi="Book Antiqua"/>
          <w:bCs/>
          <w:color w:val="000000" w:themeColor="text1"/>
          <w:sz w:val="24"/>
          <w:szCs w:val="24"/>
        </w:rPr>
        <w:t xml:space="preserve">ur </w:t>
      </w:r>
      <w:proofErr w:type="spellStart"/>
      <w:r w:rsidR="00DD5348" w:rsidRPr="00141E92">
        <w:rPr>
          <w:rFonts w:ascii="Book Antiqua" w:hAnsi="Book Antiqua"/>
          <w:color w:val="000000" w:themeColor="text1"/>
          <w:sz w:val="24"/>
          <w:szCs w:val="24"/>
        </w:rPr>
        <w:t>immunohistological</w:t>
      </w:r>
      <w:proofErr w:type="spellEnd"/>
      <w:r w:rsidR="00DD5348" w:rsidRPr="00141E92">
        <w:rPr>
          <w:rFonts w:ascii="Book Antiqua" w:hAnsi="Book Antiqua"/>
          <w:color w:val="000000" w:themeColor="text1"/>
          <w:sz w:val="24"/>
          <w:szCs w:val="24"/>
        </w:rPr>
        <w:t xml:space="preserve"> analysis revealed </w:t>
      </w:r>
      <w:r w:rsidR="00DD5348" w:rsidRPr="00141E92">
        <w:rPr>
          <w:rFonts w:ascii="Book Antiqua" w:hAnsi="Book Antiqua"/>
          <w:sz w:val="24"/>
          <w:szCs w:val="24"/>
        </w:rPr>
        <w:t xml:space="preserve">that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protein was mainly positive in the ductal cancer cell’s nucleus and less in cytoplasm. </w:t>
      </w:r>
      <w:r w:rsidR="00DD5348" w:rsidRPr="00141E92">
        <w:rPr>
          <w:rFonts w:ascii="Book Antiqua" w:hAnsi="Book Antiqua"/>
          <w:color w:val="000000" w:themeColor="text1"/>
          <w:sz w:val="24"/>
          <w:szCs w:val="24"/>
        </w:rPr>
        <w:t xml:space="preserve">It is already well established that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translocation from the nucleus to the cytoplasm in response to various stress stimuli (chemotherapy, hypoxia, oxidative stress, heat shock, nutrient deprivation) is associated with carcinogenesis and poor clinical outcomes in various cancers</w:t>
      </w:r>
      <w:r w:rsidR="00DD534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{"citationItems":[{"id":"ITEM-1","itemData":{"DOI":"10.3748/wjg.v21.i46.13004","ISBN":"1007-9327","ISSN":"22192840","PMID":"26675757","abstract":"AIM: To investigate the expression of HuR in pancreatic ductal adenocarcinoma (PDA) and to assess the effects of HuR silencing on the expression of cyclooxygenase-2 (COX-2) and heme oxygenase-1 (HO-1) and the in vitro response to gemcitabine (GEM) treatment in pancreatic cell lines. METHODS: We compared the expression of HuR, COX-2, and HO-1 in PDA and normal pancreatic tissue using quantitative reverse transcription polymerase chain reaction (qRT-PCR) and western blot. In addition, the HuR, COX-2 and HO-1 were analyzed in four types of cancer cell lines (MiaPaca2, Su.86.86, Capan-1, and Capan-2) with and without GEM treatment. Immunocytofluorescence analysis was used to investigate HuR localization in cells. Cell viability and response to GEM after HuR silencing were determined with the 3-(4,5-dimethylthiazol-2-Yl)-2,5-diphenyltetrazolium bromide test and the crystal violet clonogenic assay, respectively. To measure apoptosis, activation of caspases 3/7 was evaluated using immunofluorescence. RESULTS: In PDA tissue obtained from patients not treated with GEM, HuR mRNA expression was 3.2 times lower (p {\\textless} 0.05) and COX-2 and HO-1 mRNA expression was 2.3-fold and 7.2-fold higher (p {\\textless} 0.05), respectively, than normal pancreatic tissue (from organ donor). qRT-PCR analysis showed that HuR, COX-2, and HO-1 mRNA were overexpressed in all cancer cell lines treated with the half maximal inhibitory concentration (IC50) dose of GEM compared with control cells (p {\\textless} 0.05). Western blot analysis revealed that COX-2 and HO-1 levels were significantly decreased in cancer cells after HuR silencing. Furthermore, HuR silencing increased the response to GEM treatment and decreased cell viability by 11.6{%}-53.7{%} compared to control cell lines. Caspases 3 and 7 were activated after HuR silencing and GEM treatment in all pancreatic cancer cell lines. In comparison, treatment with GEM alone did not activate caspases 3 and 7 in the same cell lines. CONCLUSION: HuR mediated post-transcriptional upregulation of COX-2 and HO-1 expression after GEM treatment in pancreatic cancer cells. HuR silencing significantly increased the effectiveness of GEM treatment in vitro.","author":[{"dropping-particle":"","family":"Jakstaite","given":"Aldona","non-dropping-particle":"","parse-names":false,"suffix":""},{"dropping-particle":"","family":"Maziukiene","given":"Aurelija","non-dropping-particle":"","parse-names":false,"suffix":""},{"dropping-particle":"","family":"Silkuniene","given":"Giedre","non-dropping-particle":"","parse-names":false,"suffix":""},{"dropping-particle":"","family":"Kmieliute","given":"Kristina","non-dropping-particle":"","parse-names":false,"suffix":""},{"dropping-particle":"","family":"Gulbinas","given":"Antanas","non-dropping-particle":"","parse-names":false,"suffix":""},{"dropping-particle":"","family":"Dambrauskas","given":"Zilvinas","non-dropping-particle":"","parse-names":false,"suffix":""}],"container-title":"World Journal of Gastroenterology","id":"ITEM-1","issue":"46","issued":{"date-parts":[["2015"]]},"page":"13004-13019","title":"HuR mediated post-transcriptional regulation as a new potential adjuvant therapeutic target in chemotherapy for pancreatic cancer","type":"article-journal","volume":"21"},"uris":["http://www.mendeley.com/documents/?uuid=81ab3630-3731-4f63-90fc-64cf8b25a037"]},{"id":"ITEM-2","itemData":{"DOI":"10.18632/oncotarget.4743","ISBN":"1949-2553 (Electronic)\\r1949-2553 (Linking)","ISSN":"1949-2553","PMID":"26314962","abstract":"Post-transcriptional regulation is a powerful mediator of gene expression, and can rapidly alter the expression of numerous transcripts involved in tumorigenesis. We have previously shown that the mRNA-binding protein HuR (ELAVL1) is elevated in human pancreatic ductal adenocarcinoma (PDA) specimens compared to normal pancreatic tissues, and its cytoplasmic localization is associated with increased tumor stage. To gain a better insight into HuR's role in PDA biology and to assess it as a candidate therapeutic target, we altered HuR expression in PDA cell lines and characterized the resulting phenotype in preclinical models. HuR silencing by short hairpin and small interfering RNAs significantly decreased cell proliferation and anchorage-independent growth, as well as impaired migration and invasion. In comparison, HuR overexpression increased migration and invasion, but had no significant effects on cell proliferation and anchorage-independent growth. Importantly, two distinct targeted approaches to HuR silencing showed marked impairment in tumor growth in mouse xenografts. NanoString nCounter(R) analyses demonstrated that HuR regulates core biological processes, highlighting that HuR inhibition likely thwarts PDA viability through post-transcriptional regulation of diverse signaling pathways (e.g. cell cycle, apoptosis, DNA repair). Taken together, our study suggests that targeted inhibition of HuR may be a novel, promising approach to the treatment of PDA.","author":[{"dropping-particle":"","family":"Jimbo","given":"M","non-dropping-particle":"","parse-names":false,"suffix":""},{"dropping-particle":"","family":"Blanco","given":"F F","non-dropping-particle":"","parse-names":false,"suffix":""},{"dropping-particle":"","family":"Huang","given":"Y H","non-dropping-particle":"","parse-names":false,"suffix":""},{"dropping-particle":"","family":"Telonis","given":"A G","non-dropping-particle":"","parse-names":false,"suffix":""},{"dropping-particle":"","family":"Screnci","given":"B A","non-dropping-particle":"","parse-names":false,"suffix":""},{"dropping-particle":"","family":"Cosma","given":"G L","non-dropping-particle":"","parse-names":false,"suffix":""},{"dropping-particle":"","family":"Alexeev","given":"V","non-dropping-particle":"","parse-names":false,"suffix":""},{"dropping-particle":"","family":"Gonye","given":"G E","non-dropping-particle":"","parse-names":false,"suffix":""},{"dropping-particle":"","family":"Yeo","given":"C J","non-dropping-particle":"","parse-names":false,"suffix":""},{"dropping-particle":"","family":"Sawicki","given":"J A","non-dropping-particle":"","parse-names":false,"suffix":""},{"dropping-particle":"","family":"Winter","given":"J M","non-dropping-particle":"","parse-names":false,"suffix":""},{"dropping-particle":"","family":"Brody","given":"J R","non-dropping-particle":"","parse-names":false,"suffix":""}],"container-title":"Oncotarget","id":"ITEM-2","issue":"29","issued":{"date-parts":[["2015"]]},"page":"27312-27331","title":"Targeting the mRNA-binding protein HuR impairs malignant characteristics of pancreatic ductal adenocarcinoma cells","type":"article-journal","volume":"6"},"uris":["http://www.mendeley.com/documents/?uuid=37c7139e-ec0d-4ca7-9f42-940a6ea84fc4"]},{"id":"ITEM-3","itemData":{"DOI":"10.3390/ijms140510015","ISSN":"16616596","PMID":"23665903","abstract":"The human embryonic lethal abnormal vision-like protein, HuR, is a member of the Hu family of RNA-binding proteins. Over the past decade, this ubiquitously expressed protein has been extensively investigated in cancer research because it is involved in the regulation of mRNA stability and translation in many cell types. HuR activity and function is associated with its subcellular distribution, transcriptional regulation, translational and post-translational modifications. HuR regulation of target mRNAs is based on the interaction between the three specific domains of HuR protein and one or several U- or AU-rich elements (AREs) in the untranslated region of target mRNAs. A number of cancer-related transcripts containing AREs, including mRNAs for proto-oncogenes, cytokines, growth factors, and invasion factors, have been characterized as HuR targets. It has been proposed that HuR has a central tumorigenic activity by enabling multiple cancer phenotypes. In this review, we comprehensively survey the existing evidence with regard to the diverse functions of HuR in caner development and progression. The current data also suggest that HuR might be a novel and promising therapeutic target and a marker for treatment response and prognostic evaluation.","author":[{"dropping-particle":"","family":"Wang","given":"Jun","non-dropping-particle":"","parse-names":false,"suffix":""},{"dropping-particle":"","family":"Guo","given":"Yan","non-dropping-particle":"","parse-names":false,"suffix":""},{"dropping-particle":"","family":"Chu","given":"Huili","non-dropping-particle":"","parse-names":false,"suffix":""},{"dropping-particle":"","family":"Guan","given":"Yaping","non-dropping-particle":"","parse-names":false,"suffix":""},{"dropping-particle":"","family":"Bi","given":"Jingwang","non-dropping-particle":"","parse-names":false,"suffix":""},{"dropping-particle":"","family":"Wang","given":"Baocheng","non-dropping-particle":"","parse-names":false,"suffix":""}],"container-title":"International Journal of Molecular Sciences","id":"ITEM-3","issue":"5","issued":{"date-parts":[["2013"]]},"page":"10015-10041","title":"Multiple functions of the RNA-binding protein HuR in cancer progression, treatment responses and prognosis","type":"article","volume":"14"},"uris":["http://www.mendeley.com/documents/?uuid=f59df242-89d1-4363-a22b-83c844334fc4"]},{"id":"ITEM-4","itemData":{"DOI":"10.1097/SLA.0b013e3181f1fd44","ISBN":"1528-1140 (Electronic)\\r0003-4932 (Linking)","ISSN":"15281140","PMID":"20739850","abstract":"BACKGROUND: Pancreatic ductal adenocarcinoma (PDA) is a devastating disease that killed nearly 38,000 people in the United States this past year. OBJECTIVE: Treatment of PDA typically includes surgery and/or chemotherapy with gemcitabine. No reliable biomarker exists for prognosis or response to chemotherapy. Two previously proposed prognostic markers, cyclooxygenase-2 (COX-2) and vascular endothelial growth factor (VEGF), are regulated by Hu protein antigen R (HuR), an mRNA binding protein that we have previously demonstrated to be a promising predictive marker of gemcitabine response. This study was designed to evaluate the clinical utility of HuR, COX-2, and VEGF as potential prognostic and predictive biomarkers for PDA. METHODS: A tissue microarray of 53 PDA specimens from patients who underwent potentially curative pancreatic resection was analyzed. HuR, COX-2, and VEGF status were correlated with clinicopathologic and survival data. We also performed ribonucleoprotein immunoprecipitation assays using an HuR antibody to assess VEGF and COX-2 mRNA binding to HuR in pancreatic cancer cells. RESULTS: Roughly 50% (27/53) of patients had high cytoplasmic HuR expression. These patients had worse pathologic features as assessed by T staging (P = 0.005). Only cytoplasmic HuR status correlated with tumor T staging, whereas VEGF (P = 1.0) and COX-2 (P = 0.39) expression did not correlate with T staging. Additionally, HuR status was an unprecedented positive predictive marker for overall survival in patients treated with gemcitabine, pushing median survival over 45 months in the high cytoplasmic HuR expressing patient population compared with less than 23 months in the low cytoplasmic HuR expressing patient group (P = 0.033 for log-rank test and P = 0.04 in a Cox regression model) for the low versus high cytoplasmic HuR expressing group. We also validated that mRNA transcripts for both VEGF and the gemcitabine metabolizing enzyme, deoxycytidine kinase, are specifically bound by HuR in pancreatic cancer cells. CONCLUSIONS: HuR is a useful prognostic biomarker for PDA patients as indicated by its association with higher tumor T stage. Additionally, HuR status is a robust predictor of outcome for patients with resected PDA in the setting of adjuvant gemcitabine therapy. Finally, HuR binds to VEGF mRNA implying that HuR, in part, regulates VEGF expression in PDA. This study supports the notion that HuR status should be used by clinicians for the individualized tr…","author":[{"dropping-particle":"","family":"Richards","given":"Nathan G.","non-dropping-particle":"","parse-names":false,"suffix":""},{"dropping-particle":"","family":"Rittenhouse","given":"David W.","non-dropping-particle":"","parse-names":false,"suffix":""},{"dropping-particle":"","family":"Freydin","given":"Boris","non-dropping-particle":"","parse-names":false,"suffix":""},{"dropping-particle":"","family":"Cozzitorto","given":"Joseph A.","non-dropping-particle":"","parse-names":false,"suffix":""},{"dropping-particle":"","family":"Grenda","given":"Dane","non-dropping-particle":"","parse-names":false,"suffix":""},{"dropping-particle":"","family":"Rui","given":"Hallgeir","non-dropping-particle":"","parse-names":false,"suffix":""},{"dropping-particle":"","family":"Gonye","given":"Greg","non-dropping-particle":"","parse-names":false,"suffix":""},{"dropping-particle":"","family":"Kennedy","given":"Eugene P.","non-dropping-particle":"","parse-names":false,"suffix":""},{"dropping-particle":"","family":"Yeo","given":"Charles J.","non-dropping-particle":"","parse-names":false,"suffix":""},{"dropping-particle":"","family":"Brody","given":"Jonathan R.","non-dropping-particle":"","parse-names":false,"suffix":""},{"dropping-particle":"","family":"Witkiewicz","given":"Agnieszka K.","non-dropping-particle":"","parse-names":false,"suffix":""}],"container-title":"Annals of Surgery","id":"ITEM-4","issue":"3","issued":{"date-parts":[["2010"]]},"page":"499-505","title":"HuR status is a powerful marker for prognosis and response to gemcitabine-based chemotherapy for resected pancreatic ductal adenocarcinoma patients","type":"article-journal","volume":"252"},"uris":["http://www.mendeley.com/documents/?uuid=ef456cda-48e1-47e5-aca2-af70d45c8695"]}],"mendeley":{"formattedCitation":"&lt;sup&gt;[13,15,16,32]&lt;/sup&gt;","plainTextFormattedCitation":"[13,15,16,32]","previouslyFormattedCitation":"&lt;sup&gt;[13,15,16,32]&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[13,15,16,32]</w:t>
      </w:r>
      <w:r w:rsidR="00DD5348"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 xml:space="preserve">. Furthermore, cytoplasmic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expression was demonstrated to induce and increase in IAP2 expression in </w:t>
      </w:r>
      <w:r w:rsidR="009B036E" w:rsidRPr="00141E92">
        <w:rPr>
          <w:rFonts w:ascii="Book Antiqua" w:hAnsi="Book Antiqua"/>
          <w:color w:val="000000" w:themeColor="text1"/>
          <w:sz w:val="24"/>
          <w:szCs w:val="24"/>
        </w:rPr>
        <w:t xml:space="preserve">oral squamous </w:t>
      </w:r>
      <w:r w:rsidR="009128AB" w:rsidRPr="00141E92">
        <w:rPr>
          <w:rFonts w:ascii="Book Antiqua" w:hAnsi="Book Antiqua"/>
          <w:color w:val="000000" w:themeColor="text1"/>
          <w:sz w:val="24"/>
          <w:szCs w:val="24"/>
        </w:rPr>
        <w:t>cell carcinoma (OSCC)</w:t>
      </w:r>
      <w:r w:rsidR="00DD5348" w:rsidRPr="00141E92">
        <w:rPr>
          <w:rFonts w:ascii="Book Antiqua" w:hAnsi="Book Antiqua"/>
          <w:color w:val="000000" w:themeColor="text1"/>
          <w:sz w:val="24"/>
          <w:szCs w:val="24"/>
        </w:rPr>
        <w:t xml:space="preserve"> by </w:t>
      </w:r>
      <w:r w:rsidR="00DD5348" w:rsidRPr="00141E92">
        <w:rPr>
          <w:rFonts w:ascii="Book Antiqua" w:hAnsi="Book Antiqua"/>
          <w:color w:val="211E1E"/>
          <w:sz w:val="24"/>
          <w:szCs w:val="24"/>
        </w:rPr>
        <w:t>Cha</w:t>
      </w:r>
      <w:r w:rsidR="00DD5348" w:rsidRPr="00141E92">
        <w:rPr>
          <w:rFonts w:ascii="Book Antiqua" w:hAnsi="Book Antiqua"/>
          <w:sz w:val="24"/>
          <w:szCs w:val="24"/>
        </w:rPr>
        <w:t xml:space="preserve"> </w:t>
      </w:r>
      <w:r w:rsidR="00DD5348" w:rsidRPr="00A8115F">
        <w:rPr>
          <w:rFonts w:ascii="Book Antiqua" w:hAnsi="Book Antiqua"/>
          <w:i/>
          <w:sz w:val="24"/>
          <w:szCs w:val="24"/>
        </w:rPr>
        <w:t>et al</w:t>
      </w:r>
      <w:r w:rsidR="00DD5348" w:rsidRPr="00141E92">
        <w:rPr>
          <w:rFonts w:ascii="Book Antiqua" w:hAnsi="Book Antiqua"/>
          <w:color w:val="000000" w:themeColor="text1"/>
          <w:sz w:val="24"/>
          <w:szCs w:val="24"/>
        </w:rPr>
        <w:fldChar w:fldCharType="begin" w:fldLock="1"/>
      </w:r>
      <w:r w:rsidR="007C64D9" w:rsidRPr="00141E92">
        <w:rPr>
          <w:rFonts w:ascii="Book Antiqua" w:hAnsi="Book Antiqua"/>
          <w:color w:val="000000" w:themeColor="text1"/>
          <w:sz w:val="24"/>
          <w:szCs w:val="24"/>
        </w:rPr>
        <w:instrText>ADDIN CSL_CITATION {"citationItems":[{"id":"ITEM-1","itemData":{"DOI":"10.1002/hed.23431","ISSN":"10970347","PMID":"23852810","abstract":"BACKGROUND: HuR expression has been noted in several cancer types, in which it may contribute to increased expression of cellular inhibitors of apoptosis protein-2 (cIAP2) observed during tumorigenesis.\\n\\nMETHODS: To assess the correlation between cIAP2 and HuR in cases of oral squamous cell carcinoma (OSCC), the expression patterns of HuR and cIAP2 were assessed by immunohistochemical analyses of 95 treated OSCC samples.\\n\\nRESULTS: In the tumor tissues, positive cytoplasmic HuR expression was evident in 71.6% of samples and positive cIAP2 expression was noted in 95.8% of samples. Positive cytoplasmic HuR expression was significantly associated with positive cIAP2 (p &lt; .035) and high cIAP2 expression (p &lt; .007), as well as high grade (p &lt; .050). The inhibition of HuR expression by small interfering RNA or leptomycin B caused a reduction in the inducibility of cIAP2 in oral cancer cells.\\n\\nCONCLUSION: Cytoplasmic expression of HuR is associated with cIAP2 expression in OSCCs. © 2014 Wiley Periodicals, Inc. Head Neck 36: 1168-1175, 2014.","author":[{"dropping-particle":"","family":"Cha","given":"Jeong Dan","non-dropping-particle":"","parse-names":false,"suffix":""},{"dropping-particle":"","family":"Kim","given":"Hee Kyeong","non-dropping-particle":"","parse-names":false,"suffix":""},{"dropping-particle":"","family":"Cha","given":"In Ho","non-dropping-particle":"","parse-names":false,"suffix":""}],"container-title":"Head and Neck","id":"ITEM-1","issue":"8","issued":{"date-parts":[["2014"]]},"page":"1168-1175","title":"Cytoplasmic HuR expression: Correlation with cellular inhibitors of apoptosis protein-2 expression and clinicopathologic factors in oral squamous cell carcinoma cells","type":"article-journal","volume":"36"},"uris":["http://www.mendeley.com/documents/?uuid=4714575c-9f47-41d2-9e4e-f02df863165d"]}],"mendeley":{"formattedCitation":"&lt;sup&gt;[20]&lt;/sup&gt;","plainTextFormattedCitation":"[20]","previouslyFormattedCitation":"&lt;sup&gt;[20]&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DD5348" w:rsidRPr="00141E92">
        <w:rPr>
          <w:rFonts w:ascii="Book Antiqua" w:hAnsi="Book Antiqua"/>
          <w:color w:val="000000" w:themeColor="text1"/>
          <w:sz w:val="24"/>
          <w:szCs w:val="24"/>
          <w:vertAlign w:val="superscript"/>
        </w:rPr>
        <w:t>[20]</w:t>
      </w:r>
      <w:r w:rsidR="00DD5348"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 xml:space="preserve">. </w:t>
      </w:r>
      <w:r w:rsidR="00174218" w:rsidRPr="00141E92">
        <w:rPr>
          <w:rFonts w:ascii="Book Antiqua" w:hAnsi="Book Antiqua"/>
          <w:color w:val="000000" w:themeColor="text1"/>
          <w:sz w:val="24"/>
          <w:szCs w:val="24"/>
        </w:rPr>
        <w:t xml:space="preserve">However, there were </w:t>
      </w:r>
      <w:r w:rsidR="00174218" w:rsidRPr="00141E92">
        <w:rPr>
          <w:rFonts w:ascii="Book Antiqua" w:hAnsi="Book Antiqua"/>
          <w:sz w:val="24"/>
          <w:szCs w:val="24"/>
        </w:rPr>
        <w:t>inconclusive expression</w:t>
      </w:r>
      <w:r w:rsidR="00174218" w:rsidRPr="00141E92">
        <w:rPr>
          <w:rFonts w:ascii="Book Antiqua" w:hAnsi="Book Antiqua"/>
          <w:b/>
          <w:sz w:val="24"/>
          <w:szCs w:val="24"/>
        </w:rPr>
        <w:t xml:space="preserve"> </w:t>
      </w:r>
      <w:r w:rsidR="00174218" w:rsidRPr="00141E92">
        <w:rPr>
          <w:rFonts w:ascii="Book Antiqua" w:hAnsi="Book Antiqua"/>
          <w:color w:val="000000" w:themeColor="text1"/>
          <w:sz w:val="24"/>
          <w:szCs w:val="24"/>
        </w:rPr>
        <w:t xml:space="preserve">of IAP1 and IAP2 on </w:t>
      </w:r>
      <w:proofErr w:type="spellStart"/>
      <w:r w:rsidR="00174218" w:rsidRPr="00141E92">
        <w:rPr>
          <w:rFonts w:ascii="Book Antiqua" w:hAnsi="Book Antiqua"/>
          <w:color w:val="000000" w:themeColor="text1"/>
          <w:sz w:val="24"/>
          <w:szCs w:val="24"/>
        </w:rPr>
        <w:t>immunohistological</w:t>
      </w:r>
      <w:proofErr w:type="spellEnd"/>
      <w:r w:rsidR="00174218" w:rsidRPr="00141E92">
        <w:rPr>
          <w:rFonts w:ascii="Book Antiqua" w:hAnsi="Book Antiqua"/>
          <w:color w:val="000000" w:themeColor="text1"/>
          <w:sz w:val="24"/>
          <w:szCs w:val="24"/>
        </w:rPr>
        <w:t xml:space="preserve"> examination, as similar data is reported in the Human Protein Atlas</w:t>
      </w:r>
      <w:r w:rsidR="0017421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{"citationItems":[{"id":"ITEM-1","itemData":{"DOI":"10.1126/science.1260419","ISBN":"0036-8075\\r1095-9203","ISSN":"1095-9203","PMID":"25613900","abstract":"Resolving the molecular details of proteome variation in the different tissues and organs of the human body will greatly increase our knowledge of human biology and disease. Here, we present a map of the human tissue proteome based on an integrated omics approach that involves quantitative transcriptomics at the tissue and organ level, combined with tissue microarray-based immunohistochemistry, to achieve spatial localization of proteins down to the single-cell level. Our tissue-based analysis detected more than 90% of the putative protein-coding genes. We used this approach to explore the human secretome, the membrane proteome, the druggable proteome, the cancer proteome, and the metabolic functions in 32 different tissues and organs. All the data are integrated in an interactive Web-based database that allows exploration of individual proteins, as well as navigation of global expression patterns, in all major tissues and organs in the human body.","author":[{"dropping-particle":"","family":"Uhlén","given":"Mathias","non-dropping-particle":"","parse-names":false,"suffix":""},{"dropping-particle":"","family":"Fagerberg","given":"Linn","non-dropping-particle":"","parse-names":false,"suffix":""},{"dropping-particle":"","family":"Hallström","given":"Björn M","non-dropping-particle":"","parse-names":false,"suffix":""},{"dropping-particle":"","family":"Lindskog","given":"Cecilia","non-dropping-particle":"","parse-names":false,"suffix":""},{"dropping-particle":"","family":"Oksvold","given":"Per","non-dropping-particle":"","parse-names":false,"suffix":""},{"dropping-particle":"","family":"Mardinoglu","given":"Adil","non-dropping-particle":"","parse-names":false,"suffix":""},{"dropping-particle":"","family":"Sivertsson","given":"Åsa","non-dropping-particle":"","parse-names":false,"suffix":""},{"dropping-particle":"","family":"Kampf","given":"Caroline","non-dropping-particle":"","parse-names":false,"suffix":""},{"dropping-particle":"","family":"Sjöstedt","given":"Evelina","non-dropping-particle":"","parse-names":false,"suffix":""},{"dropping-particle":"","family":"Asplund","given":"Anna","non-dropping-particle":"","parse-names":false,"suffix":""},{"dropping-particle":"","family":"Olsson","given":"IngMarie","non-dropping-particle":"","parse-names":false,"suffix":""},{"dropping-particle":"","family":"Edlund","given":"Karolina","non-dropping-particle":"","parse-names":false,"suffix":""},{"dropping-particle":"","family":"Lundberg","given":"Emma","non-dropping-particle":"","parse-names":false,"suffix":""},{"dropping-particle":"","family":"Navani","given":"Sanjay","non-dropping-particle":"","parse-names":false,"suffix":""},{"dropping-particle":"","family":"Szigyarto","given":"Cristina Al-Khalili","non-dropping-particle":"","parse-names":false,"suffix":""},{"dropping-particle":"","family":"Odeberg","given":"Jacob","non-dropping-particle":"","parse-names":false,"suffix":""},{"dropping-particle":"","family":"Djureinovic","given":"Dijana","non-dropping-particle":"","parse-names":false,"suffix":""},{"dropping-particle":"","family":"Takanen","given":"Jenny Ottosson","non-dropping-particle":"","parse-names":false,"suffix":""},{"dropping-particle":"","family":"Hober","given":"Sophia","non-dropping-particle":"","parse-names":false,"suffix":""},{"dropping-particle":"","family":"Alm","given":"Tove","non-dropping-particle":"","parse-names":false,"suffix":""},{"dropping-particle":"","family":"Edqvist","given":"Per-Henrik","non-dropping-particle":"","parse-names":false,"suffix":""},{"dropping-particle":"","family":"Berling","given":"Holger","non-dropping-particle":"","parse-names":false,"suffix":""},{"dropping-particle":"","family":"Tegel","given":"Hanna","non-dropping-particle":"","parse-names":false,"suffix":""},{"dropping-particle":"","family":"Mulder","given":"Jan","non-dropping-particle":"","parse-names":false,"suffix":""},{"dropping-particle":"","family":"Rockberg","given":"Johan","non-dropping-particle":"","parse-names":false,"suffix":""},{"dropping-particle":"","family":"Nilsson","given":"Peter","non-dropping-particle":"","parse-names":false,"suffix":""},{"dropping-particle":"","family":"Schwenk","given":"Jochen M","non-dropping-particle":"","parse-names":false,"suffix":""},{"dropping-particle":"","family":"Hamsten","given":"Marica","non-dropping-particle":"","parse-names":false,"suffix":""},{"dropping-particle":"","family":"Feilitzen","given":"Kalle","non-dropping-particle":"von","parse-names":false,"suffix":""},{"dropping-particle":"","family":"Forsberg","given":"Mattias","non-dropping-particle":"","parse-names":false,"suffix":""},{"dropping-particle":"","family":"Persson","given":"Lukas","non-dropping-particle":"","parse-names":false,"suffix":""},{"dropping-particle":"","family":"Johansson","given":"Fredric","non-dropping-particle":"","parse-names":false,"suffix":""},{"dropping-particle":"","family":"Zwahlen","given":"Martin","non-dropping-particle":"","parse-names":false,"suffix":""},{"dropping-particle":"","family":"Heijne","given":"Gunnar","non-dropping-particle":"von","parse-names":false,"suffix":""},{"dropping-particle":"","family":"Nielsen","given":"Jens","non-dropping-particle":"","parse-names":false,"suffix":""},{"dropping-particle":"","family":"Pontén","given":"Fredrik","non-dropping-particle":"","parse-names":false,"suffix":""}],"container-title":"Science (New York, N.Y.)","id":"ITEM-1","issued":{"date-parts":[["2015"]]},"title":"Proteomics. Tissue-based map of the human proteome.","type":"article-journal"},"uris":["http://www.mendeley.com/documents/?uuid=9d0dab36-8218-43ff-b25c-0a102ec47da3"]}],"mendeley":{"formattedCitation":"&lt;sup&gt;[21]&lt;/sup&gt;","plainTextFormattedCitation":"[21]","previouslyFormattedCitation":"&lt;sup&gt;[21]&lt;/sup&gt;"},"properties":{"noteIndex":0},"schema":"https://github.com/citation-style-language/schema/raw/master/csl-citation.json"}</w:instrText>
      </w:r>
      <w:r w:rsidR="00174218" w:rsidRPr="00141E92">
        <w:rPr>
          <w:rFonts w:ascii="Book Antiqua" w:hAnsi="Book Antiqua"/>
          <w:color w:val="000000" w:themeColor="text1"/>
          <w:sz w:val="24"/>
          <w:szCs w:val="24"/>
        </w:rPr>
        <w:fldChar w:fldCharType="separate"/>
      </w:r>
      <w:r w:rsidR="00174218" w:rsidRPr="00141E92">
        <w:rPr>
          <w:rFonts w:ascii="Book Antiqua" w:hAnsi="Book Antiqua"/>
          <w:color w:val="000000" w:themeColor="text1"/>
          <w:sz w:val="24"/>
          <w:szCs w:val="24"/>
          <w:vertAlign w:val="superscript"/>
        </w:rPr>
        <w:t>[21]</w:t>
      </w:r>
      <w:r w:rsidR="00174218" w:rsidRPr="00141E92">
        <w:rPr>
          <w:rFonts w:ascii="Book Antiqua" w:hAnsi="Book Antiqua"/>
          <w:color w:val="000000" w:themeColor="text1"/>
          <w:sz w:val="24"/>
          <w:szCs w:val="24"/>
        </w:rPr>
        <w:fldChar w:fldCharType="end"/>
      </w:r>
      <w:r w:rsidR="00174218" w:rsidRPr="00141E92">
        <w:rPr>
          <w:rFonts w:ascii="Book Antiqua" w:hAnsi="Book Antiqua"/>
          <w:color w:val="000000" w:themeColor="text1"/>
          <w:sz w:val="24"/>
          <w:szCs w:val="24"/>
        </w:rPr>
        <w:t xml:space="preserve"> database.</w:t>
      </w:r>
    </w:p>
    <w:p w14:paraId="1DE81910" w14:textId="79752A35" w:rsidR="00DD5348" w:rsidRPr="00141E92" w:rsidRDefault="00A8115F" w:rsidP="008530E2">
      <w:pPr>
        <w:snapToGrid w:val="0"/>
        <w:spacing w:line="360" w:lineRule="auto"/>
        <w:jc w:val="both"/>
        <w:rPr>
          <w:rFonts w:ascii="Book Antiqua" w:hAnsi="Book Antiqua" w:cs="Times"/>
          <w:sz w:val="24"/>
          <w:szCs w:val="24"/>
        </w:rPr>
      </w:pPr>
      <w:r>
        <w:rPr>
          <w:rFonts w:ascii="Book Antiqua" w:hAnsi="Book Antiqua"/>
          <w:sz w:val="24"/>
          <w:szCs w:val="24"/>
        </w:rPr>
        <w:t xml:space="preserve">  </w:t>
      </w:r>
      <w:r w:rsidR="00DD5348" w:rsidRPr="00141E92">
        <w:rPr>
          <w:rFonts w:ascii="Book Antiqua" w:hAnsi="Book Antiqua"/>
          <w:sz w:val="24"/>
          <w:szCs w:val="24"/>
        </w:rPr>
        <w:t>In our presented study</w:t>
      </w:r>
      <w:r>
        <w:rPr>
          <w:rFonts w:ascii="Book Antiqua" w:hAnsi="Book Antiqua"/>
          <w:sz w:val="24"/>
          <w:szCs w:val="24"/>
        </w:rPr>
        <w:t>,</w:t>
      </w:r>
      <w:r w:rsidR="00DD5348" w:rsidRPr="00141E92">
        <w:rPr>
          <w:rFonts w:ascii="Book Antiqua" w:hAnsi="Book Antiqua"/>
          <w:sz w:val="24"/>
          <w:szCs w:val="24"/>
        </w:rPr>
        <w:t xml:space="preserve"> we were able to distinguish that IAP1 and IAP2 are direct targets of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w:t>
      </w:r>
      <w:r w:rsidR="00DD5348" w:rsidRPr="00141E92">
        <w:rPr>
          <w:rFonts w:ascii="Book Antiqua" w:hAnsi="Book Antiqua" w:cs="Times"/>
          <w:color w:val="000000" w:themeColor="text1"/>
          <w:sz w:val="24"/>
          <w:szCs w:val="24"/>
        </w:rPr>
        <w:t>It has therefore been suggested that IAP1 and IAP2 might regulate apoptosis indirectly, by influencing signaling pathways elicited by the Tumor necrosis factor (TNF) receptor superfamily</w:t>
      </w:r>
      <w:r w:rsidR="00DD534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{"citationItems":[{"id":"ITEM-1","itemData":{"DOI":"10.1016/j.cell.2007.10.037","ISBN":"0092-8674 (Print)\\r0092-8674 (Linking)","ISSN":"00928674","PMID":"18022363","abstract":"XIAP prevents apoptosis by binding to and inhibiting caspases, and this inhibition can be relieved by IAP antagonists, such as Smac/DIABLO. IAP antagonist compounds (IACs) have therefore been designed to inhibit XIAP to kill tumor cells. Because XIAP inhibits postmitochondrial caspases, caspase 8 inhibitors should not block killing by IACs. Instead, we show that apoptosis caused by an IAC is blocked by the caspase 8 inhibitor crmA and that IAP antagonists activate NF-κB signaling via inhibtion of cIAP1. In sensitive tumor lines, IAP antagonist induced NF-κB-stimulated production of TNFα that killed cells in an autocrine fashion. Inhibition of NF-κB reduced TNFα production, and blocking NF-κB activation or TNFα allowed tumor cells to survive IAC-induced apoptosis. Cells treated with an IAC, or those in which cIAP1 was deleted, became sensitive to apoptosis induced by exogenous TNFα, suggesting novel uses of these compounds in treating cancer. © 2007 Elsevier Inc. All rights reserved.","author":[{"dropping-particle":"","family":"Vince","given":"James E.","non-dropping-particle":"","parse-names":false,"suffix":""},{"dropping-particle":"","family":"Wong","given":"W. Wei Lynn","non-dropping-particle":"","parse-names":false,"suffix":""},{"dropping-particle":"","family":"Khan","given":"Nufail","non-dropping-particle":"","parse-names":false,"suffix":""},{"dropping-particle":"","family":"Feltham","given":"Rebecca","non-dropping-particle":"","parse-names":false,"suffix":""},{"dropping-particle":"","family":"Chau","given":"Diep","non-dropping-particle":"","parse-names":false,"suffix":""},{"dropping-particle":"","family":"Ahmed","given":"Afsar U.","non-dropping-particle":"","parse-names":false,"suffix":""},{"dropping-particle":"","family":"Benetatos","given":"Christopher A.","non-dropping-particle":"","parse-names":false,"suffix":""},{"dropping-particle":"","family":"Chunduru","given":"Srinivas K.","non-dropping-particle":"","parse-names":false,"suffix":""},{"dropping-particle":"","family":"Condon","given":"Stephen M.","non-dropping-particle":"","parse-names":false,"suffix":""},{"dropping-particle":"","family":"McKinlay","given":"Mark","non-dropping-particle":"","parse-names":false,"suffix":""},{"dropping-particle":"","family":"Brink","given":"Robert","non-dropping-particle":"","parse-names":false,"suffix":""},{"dropping-particle":"","family":"Leverkus","given":"Martin","non-dropping-particle":"","parse-names":false,"suffix":""},{"dropping-particle":"","family":"Tergaonkar","given":"Vinay","non-dropping-particle":"","parse-names":false,"suffix":""},{"dropping-particle":"","family":"Schneider","given":"Pascal","non-dropping-particle":"","parse-names":false,"suffix":""},{"dropping-particle":"","family":"Callus","given":"Bernard A.","non-dropping-particle":"","parse-names":false,"suffix":""},{"dropping-particle":"","family":"Koentgen","given":"Frank","non-dropping-particle":"","parse-names":false,"suffix":""},{"dropping-particle":"","family":"Vaux","given":"David L.","non-dropping-particle":"","parse-names":false,"suffix":""},{"dropping-particle":"","family":"Silke","given":"John","non-dropping-particle":"","parse-names":false,"suffix":""}],"container-title":"Cell","id":"ITEM-1","issue":"4","issued":{"date-parts":[["2007"]]},"page":"682-693","title":"IAP Antagonists Target cIAP1 to Induce TNFα-Dependent Apoptosis","type":"article-journal","volume":"131"},"uris":["http://www.mendeley.com/documents/?uuid=cb11e03e-dec7-45c8-818e-f31d8b3af9b2"]},{"id":"ITEM-2","itemData":{"DOI":"10.1016/S0304-3835(00)00660-1","ISSN":"03043835","PMID":"11163110","abstract":"Pancreatic cancer cells are usually resistant to apoptosis mediated by tumor necrosis factor (TNF)-α or FasL, and their toxicity towards normal cells hampers their application for therapeutic use. TNF-related apoptosis-inducing ligand (TRAIL), a novel member of the TNF family, triggers apoptosis in a variety of malignant cells, but exhibits less cytotoxicity in normal cells. To investigate the therapeutic potential of TRAIL, we analyzed the expression of TRAIL and its apoptosis-inducing receptors (DR4 and DR5) in the normal and cancerous human pancreas, and the sensitivity of pancreatic cancer cells to TRAIL cytotoxicity. TRAIL, DR4 and DR5 mRNA levels were concomitantly increased in pancreatic cancers compared with normal controls (P &lt; 0.01), and there were positive correlations between the expression levels of TRAIL and DR4, TRAIL and DR5 and between DR4 and DR5 mRNA (r = 0.85, r = 0.87, r = 0.91; P &lt; 0.01). Immunostaining revealed the presence of the corresponding proteins frequently within the same cancer cells. In five pancreatic cancer cell lines, TRAIL, DR4 and DR5 mRNA expression was detectable at various levels. However, independent of the presence of DR4 and DR5, TRAIL cytotoxicity assays revealed that pancreatic cancer cells showed a significantly lower sensitivity (LD50&gt; 85 ng/ml) to TRAIL treatment than Jurkat T lymphoma cells (LD50= 7.2 ng/ml). These findings show that pancreatic cancers are insensitive towards TRAIL-mediated apoptosis despite expression of TRAIL and its receptors, suggesting the presence of mediators which inhibit the TRAIL cell-death-inducing pathway in pancreatic cancer cells. © 2001 Elsevier Science Ireland Ltd.","author":[{"dropping-particle":"","family":"Ozawa","given":"F.","non-dropping-particle":"","parse-names":false,"suffix":""},{"dropping-particle":"","family":"Friess","given":"H.","non-dropping-particle":"","parse-names":false,"suffix":""},{"dropping-particle":"","family":"Kleeff","given":"J.","non-dropping-particle":"","parse-names":false,"suffix":""},{"dropping-particle":"","family":"Xu","given":"Z. W.","non-dropping-particle":"","parse-names":false,"suffix":""},{"dropping-particle":"","family":"Zimmermann","given":"A.","non-dropping-particle":"","parse-names":false,"suffix":""},{"dropping-particle":"","family":"Sheikh","given":"M. S.","non-dropping-particle":"","parse-names":false,"suffix":""},{"dropping-particle":"","family":"Büchler","given":"M. W.","non-dropping-particle":"","parse-names":false,"suffix":""}],"container-title":"Cancer Letters","id":"ITEM-2","issued":{"date-parts":[["2001"]]},"title":"Effects and expression of TRAIL and its apoptosis-promoting receptors in human pancreatic cancer","type":"article-journal"},"uris":["http://www.mendeley.com/documents/?uuid=1267a349-8d5e-4f11-87c7-72e894fd5023"]}],"mendeley":{"formattedCitation":"&lt;sup&gt;[27,33]&lt;/sup&gt;","plainTextFormattedCitation":"[27,33]","previouslyFormattedCitation":"&lt;sup&gt;[27,33]&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[27,33]</w:t>
      </w:r>
      <w:r w:rsidR="00DD5348"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w:t>
      </w:r>
      <w:r w:rsidR="00DD5348" w:rsidRPr="00141E92">
        <w:rPr>
          <w:rFonts w:ascii="Book Antiqua" w:hAnsi="Book Antiqua" w:cs="Times"/>
          <w:color w:val="000000" w:themeColor="text1"/>
          <w:sz w:val="24"/>
          <w:szCs w:val="24"/>
        </w:rPr>
        <w:t xml:space="preserve"> Cells in which IAP1 was deleted, became sensitive to apoptosis induced by exogenous </w:t>
      </w:r>
      <w:proofErr w:type="spellStart"/>
      <w:r w:rsidR="00DD5348" w:rsidRPr="00141E92">
        <w:rPr>
          <w:rFonts w:ascii="Book Antiqua" w:hAnsi="Book Antiqua" w:cs="Times"/>
          <w:color w:val="000000" w:themeColor="text1"/>
          <w:sz w:val="24"/>
          <w:szCs w:val="24"/>
        </w:rPr>
        <w:t>TNFa</w:t>
      </w:r>
      <w:proofErr w:type="spellEnd"/>
      <w:r w:rsidR="00DD5348" w:rsidRPr="00141E92">
        <w:rPr>
          <w:rFonts w:ascii="Book Antiqua" w:hAnsi="Book Antiqua" w:cs="Times"/>
          <w:color w:val="000000" w:themeColor="text1"/>
          <w:sz w:val="24"/>
          <w:szCs w:val="24"/>
        </w:rPr>
        <w:t>, suggesting novel uses of these compounds in treating cancer</w:t>
      </w:r>
      <w:r w:rsidR="00DD5348" w:rsidRPr="00141E92">
        <w:rPr>
          <w:rFonts w:ascii="Book Antiqua" w:hAnsi="Book Antiqua"/>
          <w:color w:val="000000" w:themeColor="text1"/>
          <w:sz w:val="24"/>
          <w:szCs w:val="24"/>
        </w:rPr>
        <w:fldChar w:fldCharType="begin" w:fldLock="1"/>
      </w:r>
      <w:r w:rsidR="00A75513" w:rsidRPr="00141E92">
        <w:rPr>
          <w:rFonts w:ascii="Book Antiqua" w:hAnsi="Book Antiqua"/>
          <w:color w:val="000000" w:themeColor="text1"/>
          <w:sz w:val="24"/>
          <w:szCs w:val="24"/>
        </w:rPr>
        <w:instrText>ADDIN CSL_CITATION {"citationItems":[{"id":"ITEM-1","itemData":{"DOI":"10.1016/j.cell.2007.10.037","ISBN":"0092-8674 (Print)\\r0092-8674 (Linking)","ISSN":"00928674","PMID":"18022363","abstract":"XIAP prevents apoptosis by binding to and inhibiting caspases, and this inhibition can be relieved by IAP antagonists, such as Smac/DIABLO. IAP antagonist compounds (IACs) have therefore been designed to inhibit XIAP to kill tumor cells. Because XIAP inhibits postmitochondrial caspases, caspase 8 inhibitors should not block killing by IACs. Instead, we show that apoptosis caused by an IAC is blocked by the caspase 8 inhibitor crmA and that IAP antagonists activate NF-κB signaling via inhibtion of cIAP1. In sensitive tumor lines, IAP antagonist induced NF-κB-stimulated production of TNFα that killed cells in an autocrine fashion. Inhibition of NF-κB reduced TNFα production, and blocking NF-κB activation or TNFα allowed tumor cells to survive IAC-induced apoptosis. Cells treated with an IAC, or those in which cIAP1 was deleted, became sensitive to apoptosis induced by exogenous TNFα, suggesting novel uses of these compounds in treating cancer. © 2007 Elsevier Inc. All rights reserved.","author":[{"dropping-particle":"","family":"Vince","given":"James E.","non-dropping-particle":"","parse-names":false,"suffix":""},{"dropping-particle":"","family":"Wong","given":"W. Wei Lynn","non-dropping-particle":"","parse-names":false,"suffix":""},{"dropping-particle":"","family":"Khan","given":"Nufail","non-dropping-particle":"","parse-names":false,"suffix":""},{"dropping-particle":"","family":"Feltham","given":"Rebecca","non-dropping-particle":"","parse-names":false,"suffix":""},{"dropping-particle":"","family":"Chau","given":"Diep","non-dropping-particle":"","parse-names":false,"suffix":""},{"dropping-particle":"","family":"Ahmed","given":"Afsar U.","non-dropping-particle":"","parse-names":false,"suffix":""},{"dropping-particle":"","family":"Benetatos","given":"Christopher A.","non-dropping-particle":"","parse-names":false,"suffix":""},{"dropping-particle":"","family":"Chunduru","given":"Srinivas K.","non-dropping-particle":"","parse-names":false,"suffix":""},{"dropping-particle":"","family":"Condon","given":"Stephen M.","non-dropping-particle":"","parse-names":false,"suffix":""},{"dropping-particle":"","family":"McKinlay","given":"Mark","non-dropping-particle":"","parse-names":false,"suffix":""},{"dropping-particle":"","family":"Brink","given":"Robert","non-dropping-particle":"","parse-names":false,"suffix":""},{"dropping-particle":"","family":"Leverkus","given":"Martin","non-dropping-particle":"","parse-names":false,"suffix":""},{"dropping-particle":"","family":"Tergaonkar","given":"Vinay","non-dropping-particle":"","parse-names":false,"suffix":""},{"dropping-particle":"","family":"Schneider","given":"Pascal","non-dropping-particle":"","parse-names":false,"suffix":""},{"dropping-particle":"","family":"Callus","given":"Bernard A.","non-dropping-particle":"","parse-names":false,"suffix":""},{"dropping-particle":"","family":"Koentgen","given":"Frank","non-dropping-particle":"","parse-names":false,"suffix":""},{"dropping-particle":"","family":"Vaux","given":"David L.","non-dropping-particle":"","parse-names":false,"suffix":""},{"dropping-particle":"","family":"Silke","given":"John","non-dropping-particle":"","parse-names":false,"suffix":""}],"container-title":"Cell","id":"ITEM-1","issue":"4","issued":{"date-parts":[["2007"]]},"page":"682-693","title":"IAP Antagonists Target cIAP1 to Induce TNFα-Dependent Apoptosis","type":"article-journal","volume":"131"},"uris":["http://www.mendeley.com/documents/?uuid=cb11e03e-dec7-45c8-818e-f31d8b3af9b2"]}],"mendeley":{"formattedCitation":"&lt;sup&gt;[27]&lt;/sup&gt;","plainTextFormattedCitation":"[27]","previouslyFormattedCitation":"&lt;sup&gt;[27]&lt;/sup&gt;"},"properties":{"noteIndex":0},"schema":"https://github.com/citation-style-language/schema/raw/master/csl-citation.json"}</w:instrText>
      </w:r>
      <w:r w:rsidR="00DD5348" w:rsidRPr="00141E92">
        <w:rPr>
          <w:rFonts w:ascii="Book Antiqua" w:hAnsi="Book Antiqua"/>
          <w:color w:val="000000" w:themeColor="text1"/>
          <w:sz w:val="24"/>
          <w:szCs w:val="24"/>
        </w:rPr>
        <w:fldChar w:fldCharType="separate"/>
      </w:r>
      <w:r w:rsidR="007C64D9" w:rsidRPr="00141E92">
        <w:rPr>
          <w:rFonts w:ascii="Book Antiqua" w:hAnsi="Book Antiqua"/>
          <w:color w:val="000000" w:themeColor="text1"/>
          <w:sz w:val="24"/>
          <w:szCs w:val="24"/>
          <w:vertAlign w:val="superscript"/>
        </w:rPr>
        <w:t>[27]</w:t>
      </w:r>
      <w:r w:rsidR="00DD5348" w:rsidRPr="00141E92">
        <w:rPr>
          <w:rFonts w:ascii="Book Antiqua" w:hAnsi="Book Antiqua"/>
          <w:color w:val="000000" w:themeColor="text1"/>
          <w:sz w:val="24"/>
          <w:szCs w:val="24"/>
        </w:rPr>
        <w:fldChar w:fldCharType="end"/>
      </w:r>
      <w:r w:rsidR="00DD5348" w:rsidRPr="00141E92">
        <w:rPr>
          <w:rFonts w:ascii="Book Antiqua" w:hAnsi="Book Antiqua"/>
          <w:color w:val="000000" w:themeColor="text1"/>
          <w:sz w:val="24"/>
          <w:szCs w:val="24"/>
        </w:rPr>
        <w:t>.</w:t>
      </w:r>
      <w:r w:rsidR="00DD5348" w:rsidRPr="00141E92">
        <w:rPr>
          <w:rFonts w:ascii="Book Antiqua" w:hAnsi="Book Antiqua" w:cs="Times"/>
          <w:b/>
          <w:color w:val="000000" w:themeColor="text1"/>
          <w:sz w:val="24"/>
          <w:szCs w:val="24"/>
        </w:rPr>
        <w:t xml:space="preserve"> </w:t>
      </w:r>
    </w:p>
    <w:p w14:paraId="6C164058" w14:textId="1EE122BD" w:rsidR="00DD5348" w:rsidRPr="00141E92" w:rsidRDefault="00A8115F" w:rsidP="008530E2">
      <w:pPr>
        <w:snapToGrid w:val="0"/>
        <w:spacing w:line="360" w:lineRule="auto"/>
        <w:jc w:val="both"/>
        <w:rPr>
          <w:rFonts w:ascii="Book Antiqua" w:hAnsi="Book Antiqua" w:cs="Times"/>
          <w:sz w:val="24"/>
          <w:szCs w:val="24"/>
        </w:rPr>
      </w:pPr>
      <w:r>
        <w:rPr>
          <w:rFonts w:ascii="Book Antiqua" w:hAnsi="Book Antiqua" w:cs="Times"/>
          <w:sz w:val="24"/>
          <w:szCs w:val="24"/>
        </w:rPr>
        <w:t xml:space="preserve">  </w:t>
      </w:r>
      <w:r w:rsidR="00DD5348" w:rsidRPr="00141E92">
        <w:rPr>
          <w:rFonts w:ascii="Book Antiqua" w:hAnsi="Book Antiqua" w:cs="Times"/>
          <w:sz w:val="24"/>
          <w:szCs w:val="24"/>
        </w:rPr>
        <w:t xml:space="preserve">In conclusion, </w:t>
      </w:r>
      <w:r w:rsidR="00DD5348" w:rsidRPr="00141E92">
        <w:rPr>
          <w:rFonts w:ascii="Book Antiqua" w:hAnsi="Book Antiqua"/>
          <w:color w:val="000000" w:themeColor="text1"/>
          <w:sz w:val="24"/>
          <w:szCs w:val="24"/>
        </w:rPr>
        <w:t xml:space="preserve">new fundamental knowledge about the direct interaction of RNA stabilizing protein </w:t>
      </w:r>
      <w:proofErr w:type="spellStart"/>
      <w:r w:rsidR="00DD5348" w:rsidRPr="00141E92">
        <w:rPr>
          <w:rFonts w:ascii="Book Antiqua" w:hAnsi="Book Antiqua"/>
          <w:color w:val="000000" w:themeColor="text1"/>
          <w:sz w:val="24"/>
          <w:szCs w:val="24"/>
        </w:rPr>
        <w:t>HuR</w:t>
      </w:r>
      <w:proofErr w:type="spellEnd"/>
      <w:r w:rsidR="00DD5348" w:rsidRPr="00141E92">
        <w:rPr>
          <w:rFonts w:ascii="Book Antiqua" w:hAnsi="Book Antiqua"/>
          <w:color w:val="000000" w:themeColor="text1"/>
          <w:sz w:val="24"/>
          <w:szCs w:val="24"/>
        </w:rPr>
        <w:t xml:space="preserve"> and IAPs was achieved. </w:t>
      </w:r>
      <w:r w:rsidR="00DD5348" w:rsidRPr="00141E92">
        <w:rPr>
          <w:rFonts w:ascii="Book Antiqua" w:hAnsi="Book Antiqua"/>
          <w:color w:val="211E1E"/>
          <w:sz w:val="24"/>
          <w:szCs w:val="24"/>
        </w:rPr>
        <w:t xml:space="preserve">The results suggest that </w:t>
      </w:r>
      <w:proofErr w:type="spellStart"/>
      <w:r w:rsidR="00DD5348" w:rsidRPr="00141E92">
        <w:rPr>
          <w:rFonts w:ascii="Book Antiqua" w:hAnsi="Book Antiqua"/>
          <w:color w:val="211E1E"/>
          <w:sz w:val="24"/>
          <w:szCs w:val="24"/>
        </w:rPr>
        <w:t>HuR</w:t>
      </w:r>
      <w:proofErr w:type="spellEnd"/>
      <w:r w:rsidR="00DD5348" w:rsidRPr="00141E92">
        <w:rPr>
          <w:rFonts w:ascii="Book Antiqua" w:hAnsi="Book Antiqua"/>
          <w:color w:val="211E1E"/>
          <w:sz w:val="24"/>
          <w:szCs w:val="24"/>
        </w:rPr>
        <w:t xml:space="preserve"> regulates the expression of IAP1 and IAP2 in pancreatic cancer cells and that IAP1 may be one of the important factors that facilitate the carcinogenic properties of </w:t>
      </w:r>
      <w:proofErr w:type="spellStart"/>
      <w:r w:rsidR="00DD5348" w:rsidRPr="00141E92">
        <w:rPr>
          <w:rFonts w:ascii="Book Antiqua" w:hAnsi="Book Antiqua"/>
          <w:color w:val="211E1E"/>
          <w:sz w:val="24"/>
          <w:szCs w:val="24"/>
        </w:rPr>
        <w:t>HuR</w:t>
      </w:r>
      <w:proofErr w:type="spellEnd"/>
      <w:r w:rsidR="00DD5348" w:rsidRPr="00141E92">
        <w:rPr>
          <w:rFonts w:ascii="Book Antiqua" w:hAnsi="Book Antiqua"/>
          <w:color w:val="211E1E"/>
          <w:sz w:val="24"/>
          <w:szCs w:val="24"/>
        </w:rPr>
        <w:t xml:space="preserve">. </w:t>
      </w:r>
      <w:r w:rsidR="00DD5348" w:rsidRPr="00141E92">
        <w:rPr>
          <w:rFonts w:ascii="Book Antiqua" w:hAnsi="Book Antiqua"/>
          <w:color w:val="211E1E"/>
          <w:sz w:val="24"/>
          <w:szCs w:val="24"/>
        </w:rPr>
        <w:lastRenderedPageBreak/>
        <w:t>Moreover,</w:t>
      </w:r>
      <w:r w:rsidR="00DD5348" w:rsidRPr="00141E92">
        <w:rPr>
          <w:rFonts w:ascii="Book Antiqua" w:hAnsi="Book Antiqua"/>
          <w:sz w:val="24"/>
          <w:szCs w:val="24"/>
        </w:rPr>
        <w:t xml:space="preserve"> upregulation of IAP1 in pancreatic cancer is significantly related with poor outcome. However, more data is needed to analyze the mechanism of response to chemotherapy treatment in the pancreatic cancer cell lines and in vitro underlying </w:t>
      </w:r>
      <w:proofErr w:type="spellStart"/>
      <w:r w:rsidR="00DD5348" w:rsidRPr="00141E92">
        <w:rPr>
          <w:rFonts w:ascii="Book Antiqua" w:hAnsi="Book Antiqua"/>
          <w:sz w:val="24"/>
          <w:szCs w:val="24"/>
        </w:rPr>
        <w:t>HuR</w:t>
      </w:r>
      <w:proofErr w:type="spellEnd"/>
      <w:r w:rsidR="00DD5348" w:rsidRPr="00141E92">
        <w:rPr>
          <w:rFonts w:ascii="Book Antiqua" w:hAnsi="Book Antiqua"/>
          <w:sz w:val="24"/>
          <w:szCs w:val="24"/>
        </w:rPr>
        <w:t xml:space="preserve"> and IAPs interaction. </w:t>
      </w:r>
    </w:p>
    <w:p w14:paraId="3DFE8227" w14:textId="77777777" w:rsidR="00A8115F" w:rsidRDefault="00A8115F" w:rsidP="003F50D4">
      <w:pPr>
        <w:pStyle w:val="a3"/>
        <w:snapToGrid w:val="0"/>
        <w:spacing w:before="0" w:beforeAutospacing="0" w:after="0" w:afterAutospacing="0" w:line="360" w:lineRule="auto"/>
        <w:jc w:val="both"/>
        <w:outlineLvl w:val="0"/>
        <w:rPr>
          <w:rFonts w:ascii="Book Antiqua" w:hAnsi="Book Antiqua"/>
          <w:b/>
          <w:i/>
          <w:sz w:val="24"/>
          <w:szCs w:val="24"/>
        </w:rPr>
      </w:pPr>
    </w:p>
    <w:p w14:paraId="2CAF5F63" w14:textId="77777777" w:rsidR="00DD5348" w:rsidRPr="00141E92" w:rsidRDefault="00DD5348" w:rsidP="003F50D4">
      <w:pPr>
        <w:pStyle w:val="a3"/>
        <w:snapToGrid w:val="0"/>
        <w:spacing w:before="0" w:beforeAutospacing="0" w:after="0" w:afterAutospacing="0" w:line="360" w:lineRule="auto"/>
        <w:jc w:val="both"/>
        <w:outlineLvl w:val="0"/>
        <w:rPr>
          <w:rFonts w:ascii="Book Antiqua" w:hAnsi="Book Antiqua"/>
          <w:b/>
          <w:i/>
          <w:sz w:val="24"/>
          <w:szCs w:val="24"/>
        </w:rPr>
      </w:pPr>
      <w:r w:rsidRPr="00141E92">
        <w:rPr>
          <w:rFonts w:ascii="Book Antiqua" w:hAnsi="Book Antiqua"/>
          <w:b/>
          <w:i/>
          <w:sz w:val="24"/>
          <w:szCs w:val="24"/>
        </w:rPr>
        <w:t>Limitations of the study</w:t>
      </w:r>
    </w:p>
    <w:p w14:paraId="5EEB36B3" w14:textId="64E1ECC5" w:rsidR="00DD5348" w:rsidRPr="00141E92" w:rsidRDefault="00DD5348" w:rsidP="008530E2">
      <w:pPr>
        <w:pStyle w:val="a3"/>
        <w:snapToGrid w:val="0"/>
        <w:spacing w:before="0" w:beforeAutospacing="0" w:after="0" w:afterAutospacing="0" w:line="360" w:lineRule="auto"/>
        <w:jc w:val="both"/>
        <w:rPr>
          <w:rFonts w:ascii="Book Antiqua" w:hAnsi="Book Antiqua"/>
          <w:color w:val="000000" w:themeColor="text1"/>
          <w:sz w:val="24"/>
          <w:szCs w:val="24"/>
        </w:rPr>
      </w:pPr>
      <w:r w:rsidRPr="00141E92">
        <w:rPr>
          <w:rFonts w:ascii="Book Antiqua" w:hAnsi="Book Antiqua"/>
          <w:color w:val="000000" w:themeColor="text1"/>
          <w:sz w:val="24"/>
          <w:szCs w:val="24"/>
        </w:rPr>
        <w:t xml:space="preserve">Even though, as a part of retrospective analysis of patient’s data we were able to collect over 5 year’s survival rates, relatively small number of patients could act as a limitation of a study. Furthermore, </w:t>
      </w:r>
      <w:r w:rsidRPr="00141E92">
        <w:rPr>
          <w:rFonts w:ascii="Book Antiqua" w:hAnsi="Book Antiqua"/>
          <w:sz w:val="24"/>
          <w:szCs w:val="24"/>
        </w:rPr>
        <w:t xml:space="preserve">it would be useful to investigate and compare the expression of </w:t>
      </w:r>
      <w:proofErr w:type="spellStart"/>
      <w:r w:rsidRPr="00141E92">
        <w:rPr>
          <w:rFonts w:ascii="Book Antiqua" w:hAnsi="Book Antiqua"/>
          <w:sz w:val="24"/>
          <w:szCs w:val="24"/>
        </w:rPr>
        <w:t>HuR</w:t>
      </w:r>
      <w:proofErr w:type="spellEnd"/>
      <w:r w:rsidRPr="00141E92">
        <w:rPr>
          <w:rFonts w:ascii="Book Antiqua" w:hAnsi="Book Antiqua"/>
          <w:sz w:val="24"/>
          <w:szCs w:val="24"/>
        </w:rPr>
        <w:t>, IAP1 and IAP2 in PDA tissue obtained both from</w:t>
      </w:r>
      <w:r w:rsidR="00B83AAB" w:rsidRPr="00141E92">
        <w:rPr>
          <w:rFonts w:ascii="Book Antiqua" w:hAnsi="Book Antiqua"/>
          <w:sz w:val="24"/>
          <w:szCs w:val="24"/>
        </w:rPr>
        <w:t xml:space="preserve"> </w:t>
      </w:r>
      <w:r w:rsidR="00A3700F" w:rsidRPr="00141E92">
        <w:rPr>
          <w:rFonts w:ascii="Book Antiqua" w:hAnsi="Book Antiqua"/>
          <w:sz w:val="24"/>
          <w:szCs w:val="24"/>
        </w:rPr>
        <w:t>gemcitabine</w:t>
      </w:r>
      <w:r w:rsidRPr="00141E92">
        <w:rPr>
          <w:rFonts w:ascii="Book Antiqua" w:hAnsi="Book Antiqua"/>
          <w:sz w:val="24"/>
          <w:szCs w:val="24"/>
        </w:rPr>
        <w:t xml:space="preserve"> </w:t>
      </w:r>
      <w:r w:rsidR="00A3700F" w:rsidRPr="00141E92">
        <w:rPr>
          <w:rFonts w:ascii="Book Antiqua" w:hAnsi="Book Antiqua"/>
          <w:sz w:val="24"/>
          <w:szCs w:val="24"/>
        </w:rPr>
        <w:t>(</w:t>
      </w:r>
      <w:r w:rsidRPr="00141E92">
        <w:rPr>
          <w:rFonts w:ascii="Book Antiqua" w:hAnsi="Book Antiqua"/>
          <w:sz w:val="24"/>
          <w:szCs w:val="24"/>
        </w:rPr>
        <w:t>GEM</w:t>
      </w:r>
      <w:r w:rsidR="00A3700F" w:rsidRPr="00141E92">
        <w:rPr>
          <w:rFonts w:ascii="Book Antiqua" w:hAnsi="Book Antiqua"/>
          <w:sz w:val="24"/>
          <w:szCs w:val="24"/>
        </w:rPr>
        <w:t>)</w:t>
      </w:r>
      <w:r w:rsidRPr="00141E92">
        <w:rPr>
          <w:rFonts w:ascii="Book Antiqua" w:hAnsi="Book Antiqua"/>
          <w:sz w:val="24"/>
          <w:szCs w:val="24"/>
        </w:rPr>
        <w:t xml:space="preserve"> treated and non-treated patients in order to fully understand the underlying mechanism and the role of </w:t>
      </w:r>
      <w:proofErr w:type="spellStart"/>
      <w:r w:rsidRPr="00141E92">
        <w:rPr>
          <w:rFonts w:ascii="Book Antiqua" w:hAnsi="Book Antiqua"/>
          <w:sz w:val="24"/>
          <w:szCs w:val="24"/>
        </w:rPr>
        <w:t>HuR</w:t>
      </w:r>
      <w:proofErr w:type="spellEnd"/>
      <w:r w:rsidRPr="00141E92">
        <w:rPr>
          <w:rFonts w:ascii="Book Antiqua" w:hAnsi="Book Antiqua"/>
          <w:sz w:val="24"/>
          <w:szCs w:val="24"/>
        </w:rPr>
        <w:t xml:space="preserve"> mediated post-transcriptional regulation for the exceptional resistance of pancreatic cancer to the conventional treatment. However, it is not routine practice to give neoadjuvant chemotherapy with GEM (or any other chemotherapeutic drug) prior to pancreatoduodenal resection in our hospital. Therefore, it is not possible to obtain pancreatic cancer tissue samples after GEM treatment for research purposes in our institution. Other weaknesses of the study would be unsuccessful immunohistochemistry of IAP1 and IAP2 and that the cell’s transfection experiment was done only in 1 pancreatic cancer cell line and further investigation must be carried out.</w:t>
      </w:r>
    </w:p>
    <w:p w14:paraId="4EEFA2F7" w14:textId="14B184F5" w:rsidR="001874A8" w:rsidRPr="00A8115F" w:rsidRDefault="001874A8" w:rsidP="008530E2">
      <w:pPr>
        <w:snapToGrid w:val="0"/>
        <w:spacing w:line="360" w:lineRule="auto"/>
        <w:jc w:val="both"/>
        <w:rPr>
          <w:rFonts w:ascii="Book Antiqua" w:hAnsi="Book Antiqua"/>
          <w:b/>
          <w:bCs/>
          <w:color w:val="000000" w:themeColor="text1"/>
          <w:sz w:val="24"/>
          <w:szCs w:val="24"/>
        </w:rPr>
      </w:pPr>
    </w:p>
    <w:p w14:paraId="0E7BBB8F" w14:textId="77777777" w:rsidR="003D1700" w:rsidRPr="00A8115F" w:rsidRDefault="003D1700" w:rsidP="003F50D4">
      <w:pPr>
        <w:snapToGrid w:val="0"/>
        <w:spacing w:line="360" w:lineRule="auto"/>
        <w:jc w:val="both"/>
        <w:outlineLvl w:val="0"/>
        <w:rPr>
          <w:rFonts w:ascii="Book Antiqua" w:hAnsi="Book Antiqua"/>
          <w:b/>
          <w:caps/>
          <w:color w:val="000000" w:themeColor="text1"/>
          <w:sz w:val="24"/>
          <w:szCs w:val="24"/>
        </w:rPr>
      </w:pPr>
      <w:bookmarkStart w:id="31" w:name="OLE_LINK151"/>
      <w:bookmarkStart w:id="32" w:name="OLE_LINK259"/>
      <w:bookmarkStart w:id="33" w:name="OLE_LINK158"/>
      <w:bookmarkStart w:id="34" w:name="OLE_LINK159"/>
      <w:bookmarkStart w:id="35" w:name="OLE_LINK205"/>
      <w:bookmarkStart w:id="36" w:name="OLE_LINK206"/>
      <w:bookmarkStart w:id="37" w:name="OLE_LINK244"/>
      <w:bookmarkStart w:id="38" w:name="OLE_LINK245"/>
      <w:bookmarkStart w:id="39" w:name="OLE_LINK11"/>
      <w:bookmarkStart w:id="40" w:name="OLE_LINK12"/>
      <w:bookmarkStart w:id="41" w:name="OLE_LINK23"/>
      <w:bookmarkStart w:id="42" w:name="OLE_LINK24"/>
      <w:r w:rsidRPr="00A8115F">
        <w:rPr>
          <w:rFonts w:ascii="Book Antiqua" w:hAnsi="Book Antiqua" w:cs="Segoe UI"/>
          <w:b/>
          <w:caps/>
          <w:color w:val="000000" w:themeColor="text1"/>
          <w:sz w:val="24"/>
          <w:szCs w:val="24"/>
          <w:shd w:val="clear" w:color="auto" w:fill="FFFFFF"/>
        </w:rPr>
        <w:t xml:space="preserve">Article Highlights  </w:t>
      </w:r>
    </w:p>
    <w:p w14:paraId="3BD7131F" w14:textId="519244B0" w:rsidR="003D1700" w:rsidRPr="00A8115F" w:rsidRDefault="003D1700" w:rsidP="003F50D4">
      <w:pPr>
        <w:snapToGrid w:val="0"/>
        <w:spacing w:line="360" w:lineRule="auto"/>
        <w:jc w:val="both"/>
        <w:outlineLvl w:val="0"/>
        <w:rPr>
          <w:rFonts w:ascii="Book Antiqua" w:hAnsi="Book Antiqua"/>
          <w:b/>
          <w:i/>
          <w:color w:val="000000" w:themeColor="text1"/>
          <w:sz w:val="24"/>
          <w:szCs w:val="24"/>
        </w:rPr>
      </w:pPr>
      <w:r w:rsidRPr="00A8115F">
        <w:rPr>
          <w:rFonts w:ascii="Book Antiqua" w:hAnsi="Book Antiqua"/>
          <w:b/>
          <w:i/>
          <w:color w:val="000000" w:themeColor="text1"/>
          <w:sz w:val="24"/>
          <w:szCs w:val="24"/>
        </w:rPr>
        <w:t>Research background</w:t>
      </w:r>
    </w:p>
    <w:p w14:paraId="6E77F8E4" w14:textId="3D9128D1" w:rsidR="00EA7E14" w:rsidRPr="00A8115F" w:rsidRDefault="00EA7E14" w:rsidP="008530E2">
      <w:pPr>
        <w:snapToGrid w:val="0"/>
        <w:spacing w:line="360" w:lineRule="auto"/>
        <w:jc w:val="both"/>
        <w:rPr>
          <w:rFonts w:ascii="Book Antiqua" w:hAnsi="Book Antiqua"/>
          <w:b/>
          <w:color w:val="000000" w:themeColor="text1"/>
          <w:sz w:val="24"/>
          <w:szCs w:val="24"/>
          <w:u w:val="single"/>
        </w:rPr>
      </w:pPr>
      <w:r w:rsidRPr="00A8115F">
        <w:rPr>
          <w:rFonts w:ascii="Book Antiqua" w:hAnsi="Book Antiqua"/>
          <w:color w:val="000000" w:themeColor="text1"/>
          <w:sz w:val="24"/>
          <w:szCs w:val="24"/>
        </w:rPr>
        <w:t xml:space="preserve">Inhibitors of apoptosis proteins (IAPs) are involved in regulating mitosis and inhibiting cells from undergoing apoptosis. They have altered activity in numerous cancer types including pancreatic ductal adenocarcinoma (PDAC) and are implicated in progression of the disease, resistance to chemotherapy, worse outcome and prognosis. Recent research has shown that hyper-expression of mRNA stabilizing protein </w:t>
      </w:r>
      <w:r w:rsidR="00A8115F">
        <w:rPr>
          <w:rFonts w:ascii="Book Antiqua" w:hAnsi="Book Antiqua"/>
          <w:color w:val="000000" w:themeColor="text1"/>
          <w:sz w:val="24"/>
          <w:szCs w:val="24"/>
        </w:rPr>
        <w:t>h</w:t>
      </w:r>
      <w:r w:rsidR="00EB46B1" w:rsidRPr="00A8115F">
        <w:rPr>
          <w:rFonts w:ascii="Book Antiqua" w:hAnsi="Book Antiqua"/>
          <w:color w:val="000000" w:themeColor="text1"/>
          <w:sz w:val="24"/>
          <w:szCs w:val="24"/>
        </w:rPr>
        <w:t>uman antigen R (</w:t>
      </w:r>
      <w:proofErr w:type="spellStart"/>
      <w:r w:rsidRPr="00A8115F">
        <w:rPr>
          <w:rFonts w:ascii="Book Antiqua" w:hAnsi="Book Antiqua"/>
          <w:color w:val="000000" w:themeColor="text1"/>
          <w:sz w:val="24"/>
          <w:szCs w:val="24"/>
        </w:rPr>
        <w:t>HuR</w:t>
      </w:r>
      <w:proofErr w:type="spellEnd"/>
      <w:r w:rsidR="00EB46B1" w:rsidRPr="00A8115F">
        <w:rPr>
          <w:rFonts w:ascii="Book Antiqua" w:hAnsi="Book Antiqua"/>
          <w:color w:val="000000" w:themeColor="text1"/>
          <w:sz w:val="24"/>
          <w:szCs w:val="24"/>
        </w:rPr>
        <w:t>)</w:t>
      </w:r>
      <w:r w:rsidRPr="00A8115F">
        <w:rPr>
          <w:rFonts w:ascii="Book Antiqua" w:hAnsi="Book Antiqua"/>
          <w:color w:val="000000" w:themeColor="text1"/>
          <w:sz w:val="24"/>
          <w:szCs w:val="24"/>
        </w:rPr>
        <w:t xml:space="preserve"> increases the stability of IAPs mRNA and determines the increased resistance and vitality of tumor cells. However, epigenetic regulation of IAP and its mechanisms to apoptotic potential and proliferation in </w:t>
      </w:r>
      <w:r w:rsidRPr="00A8115F">
        <w:rPr>
          <w:rFonts w:ascii="Book Antiqua" w:hAnsi="Book Antiqua"/>
          <w:color w:val="000000" w:themeColor="text1"/>
          <w:sz w:val="24"/>
          <w:szCs w:val="24"/>
        </w:rPr>
        <w:lastRenderedPageBreak/>
        <w:t xml:space="preserve">pancreatic cancer cells is still unclear. Therefore, we conducted the study to determine the association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mediated regulation and IAP1, IAP2 expression with clinicopathological parameters and prognosis of PDAC.</w:t>
      </w:r>
      <w:r w:rsidRPr="00A8115F">
        <w:rPr>
          <w:rFonts w:ascii="Book Antiqua" w:hAnsi="Book Antiqua"/>
          <w:b/>
          <w:color w:val="000000" w:themeColor="text1"/>
          <w:sz w:val="24"/>
          <w:szCs w:val="24"/>
        </w:rPr>
        <w:t xml:space="preserve"> </w:t>
      </w:r>
      <w:r w:rsidRPr="00A8115F">
        <w:rPr>
          <w:rFonts w:ascii="Book Antiqua" w:hAnsi="Book Antiqua"/>
          <w:color w:val="000000" w:themeColor="text1"/>
          <w:sz w:val="24"/>
          <w:szCs w:val="24"/>
        </w:rPr>
        <w:t xml:space="preserve">In our study, we report new fundamental knowledge about the direct interaction of RNA stabilizing protein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and IAPs. Our results suggest that upregulation of IAP1 in pancreatic cancer is significantly related with poor outcomes. Furthermore,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plays important role in post-transcriptional regulation of these molecules: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protein binds with IAP1 and IAP2 mRNA and after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silencing, expression of IAP1 protein and mRNA is downregulated and IAP2 is upregulated. These results demonstrate for the first time that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regulates expression of IAP1 and IAP2 in pancreatic cancer cells and that IAP1 may be an important factor that facilitates carcinogenic properties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w:t>
      </w:r>
    </w:p>
    <w:p w14:paraId="0B942DE7" w14:textId="77777777" w:rsidR="00EA7E14" w:rsidRPr="00A8115F" w:rsidRDefault="00EA7E14" w:rsidP="008530E2">
      <w:pPr>
        <w:snapToGrid w:val="0"/>
        <w:spacing w:line="360" w:lineRule="auto"/>
        <w:jc w:val="both"/>
        <w:rPr>
          <w:rFonts w:ascii="Book Antiqua" w:hAnsi="Book Antiqua"/>
          <w:color w:val="000000" w:themeColor="text1"/>
          <w:sz w:val="24"/>
          <w:szCs w:val="24"/>
        </w:rPr>
      </w:pPr>
    </w:p>
    <w:p w14:paraId="4EB1C01F" w14:textId="77777777" w:rsidR="00EA7E14" w:rsidRPr="00A8115F" w:rsidRDefault="00EA7E14" w:rsidP="003F50D4">
      <w:pPr>
        <w:snapToGrid w:val="0"/>
        <w:spacing w:line="360" w:lineRule="auto"/>
        <w:jc w:val="both"/>
        <w:outlineLvl w:val="0"/>
        <w:rPr>
          <w:rFonts w:ascii="Book Antiqua" w:hAnsi="Book Antiqua"/>
          <w:b/>
          <w:i/>
          <w:color w:val="000000" w:themeColor="text1"/>
          <w:sz w:val="24"/>
          <w:szCs w:val="24"/>
        </w:rPr>
      </w:pPr>
      <w:r w:rsidRPr="00A8115F">
        <w:rPr>
          <w:rFonts w:ascii="Book Antiqua" w:hAnsi="Book Antiqua"/>
          <w:b/>
          <w:i/>
          <w:color w:val="000000" w:themeColor="text1"/>
          <w:sz w:val="24"/>
          <w:szCs w:val="24"/>
        </w:rPr>
        <w:t>Research motivation</w:t>
      </w:r>
    </w:p>
    <w:p w14:paraId="503EDB77" w14:textId="2B23114C" w:rsidR="00EA7E14" w:rsidRPr="00A8115F" w:rsidRDefault="00EA7E14" w:rsidP="008530E2">
      <w:pPr>
        <w:snapToGrid w:val="0"/>
        <w:spacing w:line="360" w:lineRule="auto"/>
        <w:jc w:val="both"/>
        <w:rPr>
          <w:rFonts w:ascii="Book Antiqua" w:hAnsi="Book Antiqua"/>
          <w:color w:val="000000" w:themeColor="text1"/>
          <w:sz w:val="24"/>
          <w:szCs w:val="24"/>
        </w:rPr>
      </w:pPr>
      <w:r w:rsidRPr="00A8115F">
        <w:rPr>
          <w:rFonts w:ascii="Book Antiqua" w:hAnsi="Book Antiqua"/>
          <w:color w:val="000000" w:themeColor="text1"/>
          <w:sz w:val="24"/>
          <w:szCs w:val="24"/>
        </w:rPr>
        <w:t xml:space="preserve">The idea of the study was to investigate the significance of tumor apoptosis inhibition to prognosis of the disease analyzing interactions between IAPs and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and to determine the regulation within pancreatic cancer cells in epigenetic level. These findings lead to a better opportunity to predict the course of disease by choosing more individualized treatment with a specific biological therapy. The identification and analysis of these mechanisms will allow us to better understand the value of tumor’s factors changes in regulation of apoptotic potential in pancreatic cancer. </w:t>
      </w:r>
    </w:p>
    <w:p w14:paraId="16765261" w14:textId="77777777" w:rsidR="00EA7E14" w:rsidRPr="00A8115F" w:rsidRDefault="00EA7E14" w:rsidP="008530E2">
      <w:pPr>
        <w:snapToGrid w:val="0"/>
        <w:spacing w:line="360" w:lineRule="auto"/>
        <w:jc w:val="both"/>
        <w:rPr>
          <w:rFonts w:ascii="Book Antiqua" w:hAnsi="Book Antiqua"/>
          <w:b/>
          <w:color w:val="000000" w:themeColor="text1"/>
          <w:sz w:val="24"/>
          <w:szCs w:val="24"/>
        </w:rPr>
      </w:pPr>
    </w:p>
    <w:p w14:paraId="5443072A" w14:textId="77777777" w:rsidR="00EA7E14" w:rsidRPr="00A8115F" w:rsidRDefault="00EA7E14" w:rsidP="003F50D4">
      <w:pPr>
        <w:snapToGrid w:val="0"/>
        <w:spacing w:line="360" w:lineRule="auto"/>
        <w:jc w:val="both"/>
        <w:outlineLvl w:val="0"/>
        <w:rPr>
          <w:rFonts w:ascii="Book Antiqua" w:hAnsi="Book Antiqua"/>
          <w:b/>
          <w:i/>
          <w:color w:val="000000" w:themeColor="text1"/>
          <w:sz w:val="24"/>
          <w:szCs w:val="24"/>
        </w:rPr>
      </w:pPr>
      <w:r w:rsidRPr="00A8115F">
        <w:rPr>
          <w:rFonts w:ascii="Book Antiqua" w:hAnsi="Book Antiqua"/>
          <w:b/>
          <w:i/>
          <w:color w:val="000000" w:themeColor="text1"/>
          <w:sz w:val="24"/>
          <w:szCs w:val="24"/>
        </w:rPr>
        <w:t>Research objectives</w:t>
      </w:r>
    </w:p>
    <w:p w14:paraId="259968E7" w14:textId="336BADFE" w:rsidR="00EA7E14" w:rsidRPr="00A8115F" w:rsidRDefault="00EA7E14" w:rsidP="008530E2">
      <w:pPr>
        <w:snapToGrid w:val="0"/>
        <w:spacing w:line="360" w:lineRule="auto"/>
        <w:jc w:val="both"/>
        <w:rPr>
          <w:rFonts w:ascii="Book Antiqua" w:hAnsi="Book Antiqua"/>
          <w:b/>
          <w:color w:val="000000" w:themeColor="text1"/>
          <w:sz w:val="24"/>
          <w:szCs w:val="24"/>
        </w:rPr>
      </w:pPr>
      <w:r w:rsidRPr="00A8115F">
        <w:rPr>
          <w:rFonts w:ascii="Book Antiqua" w:hAnsi="Book Antiqua"/>
          <w:color w:val="000000" w:themeColor="text1"/>
          <w:sz w:val="24"/>
          <w:szCs w:val="24"/>
        </w:rPr>
        <w:t xml:space="preserve">The main objective of our study was to investigate the importance of dysregulation of pancreatic cancer ‘s apoptotic potential </w:t>
      </w:r>
      <w:r w:rsidR="00A8115F">
        <w:rPr>
          <w:rFonts w:ascii="Book Antiqua" w:hAnsi="Book Antiqua"/>
          <w:color w:val="000000" w:themeColor="text1"/>
          <w:sz w:val="24"/>
          <w:szCs w:val="24"/>
        </w:rPr>
        <w:t>IAPs</w:t>
      </w:r>
      <w:r w:rsidRPr="00A8115F">
        <w:rPr>
          <w:rFonts w:ascii="Book Antiqua" w:hAnsi="Book Antiqua"/>
          <w:color w:val="000000" w:themeColor="text1"/>
          <w:sz w:val="24"/>
          <w:szCs w:val="24"/>
        </w:rPr>
        <w:t xml:space="preserve"> to the prognosis of the disease. The major driving force of this study was that there is little known about the role of ARE-binding protein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in the regulation of</w:t>
      </w:r>
      <w:r w:rsidR="00A3700F" w:rsidRPr="00A8115F">
        <w:rPr>
          <w:rFonts w:ascii="Book Antiqua" w:hAnsi="Book Antiqua"/>
          <w:color w:val="000000" w:themeColor="text1"/>
          <w:sz w:val="24"/>
          <w:szCs w:val="24"/>
        </w:rPr>
        <w:t xml:space="preserve"> IAPs</w:t>
      </w:r>
      <w:r w:rsidRPr="00A8115F">
        <w:rPr>
          <w:rFonts w:ascii="Book Antiqua" w:hAnsi="Book Antiqua"/>
          <w:color w:val="000000" w:themeColor="text1"/>
          <w:sz w:val="24"/>
          <w:szCs w:val="24"/>
        </w:rPr>
        <w:t xml:space="preserve"> expression and function in pancreatic cancer cells. Therefore, the aim of our study was to assess the relevance of the IAP1 and IAP2 regulation by mRNA stabilizing protein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signaling pathway in pancreatic cancer. The identification and analysis of these mechanisms will allow us to better understand the value of tumor’s factors changes in regulation of apoptotic </w:t>
      </w:r>
      <w:r w:rsidRPr="00A8115F">
        <w:rPr>
          <w:rFonts w:ascii="Book Antiqua" w:hAnsi="Book Antiqua"/>
          <w:color w:val="000000" w:themeColor="text1"/>
          <w:sz w:val="24"/>
          <w:szCs w:val="24"/>
        </w:rPr>
        <w:lastRenderedPageBreak/>
        <w:t xml:space="preserve">potential in pancreatic cancer. Additionally, these investigated agents (IAPs and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and their interaction could be useful for the future research as possible new therapeutic targets in the treatment of human pancreatic cancer.</w:t>
      </w:r>
    </w:p>
    <w:p w14:paraId="095A3665" w14:textId="77777777" w:rsidR="00EA7E14" w:rsidRPr="00A8115F" w:rsidRDefault="00EA7E14" w:rsidP="008530E2">
      <w:pPr>
        <w:snapToGrid w:val="0"/>
        <w:spacing w:line="360" w:lineRule="auto"/>
        <w:jc w:val="both"/>
        <w:rPr>
          <w:rFonts w:ascii="Book Antiqua" w:hAnsi="Book Antiqua"/>
          <w:b/>
          <w:color w:val="000000" w:themeColor="text1"/>
          <w:sz w:val="24"/>
          <w:szCs w:val="24"/>
        </w:rPr>
      </w:pPr>
    </w:p>
    <w:p w14:paraId="64E57750" w14:textId="77777777" w:rsidR="00EA7E14" w:rsidRPr="00A8115F" w:rsidRDefault="00EA7E14" w:rsidP="003F50D4">
      <w:pPr>
        <w:snapToGrid w:val="0"/>
        <w:spacing w:line="360" w:lineRule="auto"/>
        <w:jc w:val="both"/>
        <w:outlineLvl w:val="0"/>
        <w:rPr>
          <w:rFonts w:ascii="Book Antiqua" w:hAnsi="Book Antiqua"/>
          <w:b/>
          <w:i/>
          <w:color w:val="000000" w:themeColor="text1"/>
          <w:sz w:val="24"/>
          <w:szCs w:val="24"/>
        </w:rPr>
      </w:pPr>
      <w:r w:rsidRPr="00A8115F">
        <w:rPr>
          <w:rFonts w:ascii="Book Antiqua" w:hAnsi="Book Antiqua"/>
          <w:b/>
          <w:i/>
          <w:color w:val="000000" w:themeColor="text1"/>
          <w:sz w:val="24"/>
          <w:szCs w:val="24"/>
        </w:rPr>
        <w:t>Research methods</w:t>
      </w:r>
    </w:p>
    <w:p w14:paraId="0F62E10C" w14:textId="1B86BA42" w:rsidR="00EA7E14" w:rsidRPr="00A8115F" w:rsidRDefault="00EA7E14" w:rsidP="008530E2">
      <w:pPr>
        <w:snapToGrid w:val="0"/>
        <w:spacing w:line="360" w:lineRule="auto"/>
        <w:jc w:val="both"/>
        <w:rPr>
          <w:rFonts w:ascii="Book Antiqua" w:hAnsi="Book Antiqua"/>
          <w:color w:val="000000" w:themeColor="text1"/>
          <w:sz w:val="24"/>
          <w:szCs w:val="24"/>
        </w:rPr>
      </w:pPr>
      <w:r w:rsidRPr="00A8115F">
        <w:rPr>
          <w:rFonts w:ascii="Book Antiqua" w:hAnsi="Book Antiqua"/>
          <w:color w:val="000000" w:themeColor="text1"/>
          <w:sz w:val="24"/>
          <w:szCs w:val="24"/>
        </w:rPr>
        <w:t>For this research project</w:t>
      </w:r>
      <w:r w:rsidR="00A8115F">
        <w:rPr>
          <w:rFonts w:ascii="Book Antiqua" w:hAnsi="Book Antiqua"/>
          <w:color w:val="000000" w:themeColor="text1"/>
          <w:sz w:val="24"/>
          <w:szCs w:val="24"/>
        </w:rPr>
        <w:t>,</w:t>
      </w:r>
      <w:r w:rsidRPr="00A8115F">
        <w:rPr>
          <w:rFonts w:ascii="Book Antiqua" w:hAnsi="Book Antiqua"/>
          <w:color w:val="000000" w:themeColor="text1"/>
          <w:sz w:val="24"/>
          <w:szCs w:val="24"/>
        </w:rPr>
        <w:t xml:space="preserve"> we have conducted a study that included </w:t>
      </w:r>
      <w:r w:rsidRPr="00A8115F">
        <w:rPr>
          <w:rFonts w:ascii="Book Antiqua" w:hAnsi="Book Antiqua" w:cs="Verdana"/>
          <w:color w:val="000000" w:themeColor="text1"/>
          <w:sz w:val="24"/>
          <w:szCs w:val="24"/>
        </w:rPr>
        <w:t xml:space="preserve">61 patients undergoing a partial </w:t>
      </w:r>
      <w:proofErr w:type="spellStart"/>
      <w:r w:rsidRPr="00A8115F">
        <w:rPr>
          <w:rFonts w:ascii="Book Antiqua" w:hAnsi="Book Antiqua"/>
          <w:color w:val="000000" w:themeColor="text1"/>
          <w:sz w:val="24"/>
          <w:szCs w:val="24"/>
        </w:rPr>
        <w:t>pancreatodeduodenectomy</w:t>
      </w:r>
      <w:proofErr w:type="spellEnd"/>
      <w:r w:rsidRPr="00A8115F">
        <w:rPr>
          <w:rFonts w:ascii="Book Antiqua" w:hAnsi="Book Antiqua"/>
          <w:color w:val="000000" w:themeColor="text1"/>
          <w:sz w:val="24"/>
          <w:szCs w:val="24"/>
        </w:rPr>
        <w:t xml:space="preserve"> (Whipple resection) between 2011 </w:t>
      </w:r>
      <w:r w:rsidR="00A8115F">
        <w:rPr>
          <w:rFonts w:ascii="Book Antiqua" w:hAnsi="Book Antiqua"/>
          <w:color w:val="000000" w:themeColor="text1"/>
          <w:sz w:val="24"/>
          <w:szCs w:val="24"/>
        </w:rPr>
        <w:t>-</w:t>
      </w:r>
      <w:r w:rsidRPr="00A8115F">
        <w:rPr>
          <w:rFonts w:ascii="Book Antiqua" w:hAnsi="Book Antiqua"/>
          <w:color w:val="000000" w:themeColor="text1"/>
          <w:sz w:val="24"/>
          <w:szCs w:val="24"/>
        </w:rPr>
        <w:t xml:space="preserve"> 2016 in the Department of Surgery at the Hospital of the Lithuanian University of Health Sciences for pancreatic cancer</w:t>
      </w:r>
      <w:r w:rsidRPr="00A8115F">
        <w:rPr>
          <w:rFonts w:ascii="Book Antiqua" w:hAnsi="Book Antiqua" w:cs="Verdana"/>
          <w:color w:val="000000" w:themeColor="text1"/>
          <w:sz w:val="24"/>
          <w:szCs w:val="24"/>
        </w:rPr>
        <w:t xml:space="preserve">. </w:t>
      </w:r>
      <w:r w:rsidRPr="00A8115F">
        <w:rPr>
          <w:rFonts w:ascii="Book Antiqua" w:hAnsi="Book Antiqua"/>
          <w:color w:val="000000" w:themeColor="text1"/>
          <w:sz w:val="24"/>
          <w:szCs w:val="24"/>
        </w:rPr>
        <w:t xml:space="preserve">The protein and mRNA expression levels of IAP1, IAP2 and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in PDAC were compared with normal pancreatic tissue and correlations with clinicopathological parameters and survival rates were analyzed. Furthermore, </w:t>
      </w:r>
      <w:r w:rsidRPr="00A8115F">
        <w:rPr>
          <w:rFonts w:ascii="Book Antiqua" w:hAnsi="Book Antiqua"/>
          <w:i/>
          <w:color w:val="000000" w:themeColor="text1"/>
          <w:sz w:val="24"/>
          <w:szCs w:val="24"/>
        </w:rPr>
        <w:t xml:space="preserve">in vitro </w:t>
      </w:r>
      <w:r w:rsidRPr="00A8115F">
        <w:rPr>
          <w:rFonts w:ascii="Book Antiqua" w:hAnsi="Book Antiqua"/>
          <w:color w:val="000000" w:themeColor="text1"/>
          <w:sz w:val="24"/>
          <w:szCs w:val="24"/>
        </w:rPr>
        <w:t>cells culture‘s experiments were performed to check possible epigenetic regulation.</w:t>
      </w:r>
    </w:p>
    <w:p w14:paraId="5F6040F4" w14:textId="77777777" w:rsidR="00EA7E14" w:rsidRPr="00A8115F" w:rsidRDefault="00EA7E14" w:rsidP="008530E2">
      <w:pPr>
        <w:snapToGrid w:val="0"/>
        <w:spacing w:line="360" w:lineRule="auto"/>
        <w:jc w:val="both"/>
        <w:rPr>
          <w:rFonts w:ascii="Book Antiqua" w:hAnsi="Book Antiqua"/>
          <w:b/>
          <w:color w:val="000000" w:themeColor="text1"/>
          <w:sz w:val="24"/>
          <w:szCs w:val="24"/>
        </w:rPr>
      </w:pPr>
    </w:p>
    <w:p w14:paraId="0AA8C84E" w14:textId="77777777" w:rsidR="00EA7E14" w:rsidRPr="00A8115F" w:rsidRDefault="00EA7E14" w:rsidP="003F50D4">
      <w:pPr>
        <w:snapToGrid w:val="0"/>
        <w:spacing w:line="360" w:lineRule="auto"/>
        <w:jc w:val="both"/>
        <w:outlineLvl w:val="0"/>
        <w:rPr>
          <w:rFonts w:ascii="Book Antiqua" w:hAnsi="Book Antiqua"/>
          <w:b/>
          <w:i/>
          <w:color w:val="000000" w:themeColor="text1"/>
          <w:sz w:val="24"/>
          <w:szCs w:val="24"/>
        </w:rPr>
      </w:pPr>
      <w:r w:rsidRPr="00A8115F">
        <w:rPr>
          <w:rFonts w:ascii="Book Antiqua" w:hAnsi="Book Antiqua"/>
          <w:b/>
          <w:i/>
          <w:color w:val="000000" w:themeColor="text1"/>
          <w:sz w:val="24"/>
          <w:szCs w:val="24"/>
        </w:rPr>
        <w:t>Research results</w:t>
      </w:r>
    </w:p>
    <w:p w14:paraId="445CD6EF" w14:textId="78CA090C" w:rsidR="00EA7E14" w:rsidRPr="00A8115F" w:rsidRDefault="00EA7E14" w:rsidP="008530E2">
      <w:pPr>
        <w:snapToGrid w:val="0"/>
        <w:spacing w:line="360" w:lineRule="auto"/>
        <w:jc w:val="both"/>
        <w:rPr>
          <w:rFonts w:ascii="Book Antiqua" w:hAnsi="Book Antiqua"/>
          <w:color w:val="000000" w:themeColor="text1"/>
          <w:sz w:val="24"/>
          <w:szCs w:val="24"/>
        </w:rPr>
      </w:pPr>
      <w:r w:rsidRPr="00A8115F">
        <w:rPr>
          <w:rFonts w:ascii="Book Antiqua" w:hAnsi="Book Antiqua"/>
          <w:color w:val="000000" w:themeColor="text1"/>
          <w:sz w:val="24"/>
          <w:szCs w:val="24"/>
        </w:rPr>
        <w:t xml:space="preserve">Our results suggest that upregulation of IAP1 in pancreatic cancer is significantly related with poor patient’s outcomes. Furthermore,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plays important role in post-transcriptional regulation of these molecules. To our knowledge these results demonstrate for the first time about the direct interaction of RNA stabilizing protein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and IAPs in pancreatic cancer cells and that IAP1 may be an important factor that facilitates carcinogenic properties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Even though, as a part of retrospective analysis of patient’s data we were able to collect over 5 year’s survival rates, relatively small number of patients could act as a limitation of a study. Furthermore, it would be useful to investigate and compare the expression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IAP1 and IAP2 in PDA tissue obtained both from </w:t>
      </w:r>
      <w:r w:rsidR="00965BE5" w:rsidRPr="00A8115F">
        <w:rPr>
          <w:rFonts w:ascii="Book Antiqua" w:hAnsi="Book Antiqua"/>
          <w:color w:val="000000" w:themeColor="text1"/>
          <w:sz w:val="24"/>
          <w:szCs w:val="24"/>
        </w:rPr>
        <w:t>gemcitabine (</w:t>
      </w:r>
      <w:r w:rsidRPr="00A8115F">
        <w:rPr>
          <w:rFonts w:ascii="Book Antiqua" w:hAnsi="Book Antiqua"/>
          <w:color w:val="000000" w:themeColor="text1"/>
          <w:sz w:val="24"/>
          <w:szCs w:val="24"/>
        </w:rPr>
        <w:t>GEM</w:t>
      </w:r>
      <w:r w:rsidR="00965BE5" w:rsidRPr="00A8115F">
        <w:rPr>
          <w:rFonts w:ascii="Book Antiqua" w:hAnsi="Book Antiqua"/>
          <w:color w:val="000000" w:themeColor="text1"/>
          <w:sz w:val="24"/>
          <w:szCs w:val="24"/>
        </w:rPr>
        <w:t>)</w:t>
      </w:r>
      <w:r w:rsidRPr="00A8115F">
        <w:rPr>
          <w:rFonts w:ascii="Book Antiqua" w:hAnsi="Book Antiqua"/>
          <w:color w:val="000000" w:themeColor="text1"/>
          <w:sz w:val="24"/>
          <w:szCs w:val="24"/>
        </w:rPr>
        <w:t xml:space="preserve"> treated and non-treated patients in order to fully understand the underlying mechanism and the role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mediated post-transcriptional regulation for the exceptional resistance of pancreatic cancer to the conventional treatment. Other problems of the study that should be solved in the future studies are unsuccessful immunohistochemistry of IAP1 and IAP2 and that the cell’s transfection experiment should be done in more than 1 pancreatic cancer cell line.</w:t>
      </w:r>
    </w:p>
    <w:p w14:paraId="38AE58B4" w14:textId="77777777" w:rsidR="00EA7E14" w:rsidRPr="00A8115F" w:rsidRDefault="00EA7E14" w:rsidP="008530E2">
      <w:pPr>
        <w:snapToGrid w:val="0"/>
        <w:spacing w:line="360" w:lineRule="auto"/>
        <w:jc w:val="both"/>
        <w:rPr>
          <w:rFonts w:ascii="Book Antiqua" w:hAnsi="Book Antiqua" w:cs="Segoe UI"/>
          <w:color w:val="000000" w:themeColor="text1"/>
          <w:sz w:val="24"/>
          <w:szCs w:val="24"/>
          <w:shd w:val="clear" w:color="auto" w:fill="FFFFFF"/>
        </w:rPr>
      </w:pPr>
    </w:p>
    <w:p w14:paraId="138DCEFB" w14:textId="77777777" w:rsidR="00EA7E14" w:rsidRPr="00A8115F" w:rsidRDefault="00EA7E14" w:rsidP="003F50D4">
      <w:pPr>
        <w:snapToGrid w:val="0"/>
        <w:spacing w:line="360" w:lineRule="auto"/>
        <w:jc w:val="both"/>
        <w:outlineLvl w:val="0"/>
        <w:rPr>
          <w:rFonts w:ascii="Book Antiqua" w:hAnsi="Book Antiqua" w:cs="Segoe UI"/>
          <w:b/>
          <w:i/>
          <w:color w:val="000000" w:themeColor="text1"/>
          <w:sz w:val="24"/>
          <w:szCs w:val="24"/>
          <w:shd w:val="clear" w:color="auto" w:fill="FFFFFF"/>
        </w:rPr>
      </w:pPr>
      <w:r w:rsidRPr="00A8115F">
        <w:rPr>
          <w:rFonts w:ascii="Book Antiqua" w:hAnsi="Book Antiqua"/>
          <w:b/>
          <w:i/>
          <w:color w:val="000000" w:themeColor="text1"/>
          <w:sz w:val="24"/>
          <w:szCs w:val="24"/>
        </w:rPr>
        <w:t>Research conclusions</w:t>
      </w:r>
    </w:p>
    <w:p w14:paraId="65892FE8" w14:textId="28F1DFF3" w:rsidR="00EA7E14" w:rsidRPr="00A8115F" w:rsidRDefault="00EA7E14" w:rsidP="008530E2">
      <w:pPr>
        <w:snapToGrid w:val="0"/>
        <w:spacing w:line="360" w:lineRule="auto"/>
        <w:jc w:val="both"/>
        <w:rPr>
          <w:rFonts w:ascii="Book Antiqua" w:hAnsi="Book Antiqua"/>
          <w:color w:val="000000" w:themeColor="text1"/>
          <w:sz w:val="24"/>
          <w:szCs w:val="24"/>
        </w:rPr>
      </w:pPr>
      <w:r w:rsidRPr="00A8115F">
        <w:rPr>
          <w:rFonts w:ascii="Book Antiqua" w:hAnsi="Book Antiqua"/>
          <w:color w:val="000000" w:themeColor="text1"/>
          <w:sz w:val="24"/>
          <w:szCs w:val="24"/>
        </w:rPr>
        <w:t>In our presented study</w:t>
      </w:r>
      <w:r w:rsidR="00A8115F">
        <w:rPr>
          <w:rFonts w:ascii="Book Antiqua" w:hAnsi="Book Antiqua"/>
          <w:color w:val="000000" w:themeColor="text1"/>
          <w:sz w:val="24"/>
          <w:szCs w:val="24"/>
        </w:rPr>
        <w:t>,</w:t>
      </w:r>
      <w:r w:rsidRPr="00A8115F">
        <w:rPr>
          <w:rFonts w:ascii="Book Antiqua" w:hAnsi="Book Antiqua"/>
          <w:color w:val="000000" w:themeColor="text1"/>
          <w:sz w:val="24"/>
          <w:szCs w:val="24"/>
        </w:rPr>
        <w:t xml:space="preserve"> we were able to distinguish that IAP1 and IAP2 are direct targets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w:t>
      </w:r>
      <w:r w:rsidRPr="00A8115F">
        <w:rPr>
          <w:rFonts w:ascii="Book Antiqua" w:hAnsi="Book Antiqua" w:cs="Times"/>
          <w:color w:val="000000" w:themeColor="text1"/>
          <w:sz w:val="24"/>
          <w:szCs w:val="24"/>
        </w:rPr>
        <w:t>N</w:t>
      </w:r>
      <w:r w:rsidRPr="00A8115F">
        <w:rPr>
          <w:rFonts w:ascii="Book Antiqua" w:hAnsi="Book Antiqua"/>
          <w:color w:val="000000" w:themeColor="text1"/>
          <w:sz w:val="24"/>
          <w:szCs w:val="24"/>
        </w:rPr>
        <w:t xml:space="preserve">ew fundamental knowledge about the direct interaction of RNA stabilizing protein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and IAPs was achieved. The results suggest that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regulates the expression of IAP1 and IAP2 in pancreatic cancer cells and that IAP1 may be one of the important factors that facilitate the carcinogenic properties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Moreover, upregulation of IAP1 in pancreatic cancer is significantly related with poor outcome. Additionally, these investigated agents (IAPs and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and their interaction could be useful for the future research as possible new therapeutic targets in the treatment of human pancreatic cancer.</w:t>
      </w:r>
    </w:p>
    <w:p w14:paraId="5AFFC559" w14:textId="77777777" w:rsidR="00EA7E14" w:rsidRPr="00A8115F" w:rsidRDefault="00EA7E14" w:rsidP="008530E2">
      <w:pPr>
        <w:snapToGrid w:val="0"/>
        <w:spacing w:line="360" w:lineRule="auto"/>
        <w:jc w:val="both"/>
        <w:rPr>
          <w:rFonts w:ascii="Book Antiqua" w:hAnsi="Book Antiqua" w:cs="Segoe UI"/>
          <w:color w:val="000000" w:themeColor="text1"/>
          <w:sz w:val="24"/>
          <w:szCs w:val="24"/>
          <w:shd w:val="clear" w:color="auto" w:fill="FFFFFF"/>
        </w:rPr>
      </w:pPr>
    </w:p>
    <w:p w14:paraId="2142E105" w14:textId="77777777" w:rsidR="00EA7E14" w:rsidRPr="00A8115F" w:rsidRDefault="00EA7E14" w:rsidP="003F50D4">
      <w:pPr>
        <w:snapToGrid w:val="0"/>
        <w:spacing w:line="360" w:lineRule="auto"/>
        <w:jc w:val="both"/>
        <w:outlineLvl w:val="0"/>
        <w:rPr>
          <w:rFonts w:ascii="Book Antiqua" w:hAnsi="Book Antiqua" w:cs="Segoe UI"/>
          <w:b/>
          <w:i/>
          <w:color w:val="000000" w:themeColor="text1"/>
          <w:sz w:val="24"/>
          <w:szCs w:val="24"/>
          <w:shd w:val="clear" w:color="auto" w:fill="FFFFFF"/>
        </w:rPr>
      </w:pPr>
      <w:r w:rsidRPr="00A8115F">
        <w:rPr>
          <w:rFonts w:ascii="Book Antiqua" w:hAnsi="Book Antiqua" w:cs="Segoe UI"/>
          <w:b/>
          <w:i/>
          <w:color w:val="000000" w:themeColor="text1"/>
          <w:sz w:val="24"/>
          <w:szCs w:val="24"/>
          <w:shd w:val="clear" w:color="auto" w:fill="FFFFFF"/>
        </w:rPr>
        <w:t>Research perspectives</w:t>
      </w:r>
    </w:p>
    <w:p w14:paraId="699AA730" w14:textId="64DF1877" w:rsidR="00EA7E14" w:rsidRPr="00A8115F" w:rsidRDefault="00EA7E14" w:rsidP="008530E2">
      <w:pPr>
        <w:snapToGrid w:val="0"/>
        <w:spacing w:line="360" w:lineRule="auto"/>
        <w:jc w:val="both"/>
        <w:rPr>
          <w:rFonts w:ascii="Book Antiqua" w:hAnsi="Book Antiqua"/>
          <w:color w:val="000000" w:themeColor="text1"/>
          <w:sz w:val="24"/>
          <w:szCs w:val="24"/>
        </w:rPr>
      </w:pPr>
      <w:r w:rsidRPr="00A8115F">
        <w:rPr>
          <w:rFonts w:ascii="Book Antiqua" w:hAnsi="Book Antiqua"/>
          <w:color w:val="000000" w:themeColor="text1"/>
          <w:sz w:val="24"/>
          <w:szCs w:val="24"/>
        </w:rPr>
        <w:t>We have to acknowledge that this study showed the importance of dysregulation of pancreatic cancer apoptotic potential to</w:t>
      </w:r>
      <w:r w:rsidR="00A8115F">
        <w:rPr>
          <w:rFonts w:ascii="Book Antiqua" w:hAnsi="Book Antiqua"/>
          <w:color w:val="000000" w:themeColor="text1"/>
          <w:sz w:val="24"/>
          <w:szCs w:val="24"/>
        </w:rPr>
        <w:t xml:space="preserve"> the prognosis of the disease. </w:t>
      </w:r>
      <w:r w:rsidRPr="00A8115F">
        <w:rPr>
          <w:rFonts w:ascii="Book Antiqua" w:hAnsi="Book Antiqua"/>
          <w:color w:val="000000" w:themeColor="text1"/>
          <w:sz w:val="24"/>
          <w:szCs w:val="24"/>
        </w:rPr>
        <w:t xml:space="preserve">However, further research is needed to analyze the mechanism of response to chemotherapy treatment in the pancreatic cancer cell lines and in vitro underlying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and IAPs interaction. Furthermore, it would be useful to investigate and compare the expression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IAP1 and IAP2 in PDA</w:t>
      </w:r>
      <w:r w:rsidR="001F303F" w:rsidRPr="00A8115F">
        <w:rPr>
          <w:rFonts w:ascii="Book Antiqua" w:hAnsi="Book Antiqua"/>
          <w:color w:val="000000" w:themeColor="text1"/>
          <w:sz w:val="24"/>
          <w:szCs w:val="24"/>
        </w:rPr>
        <w:t>C</w:t>
      </w:r>
      <w:r w:rsidRPr="00A8115F">
        <w:rPr>
          <w:rFonts w:ascii="Book Antiqua" w:hAnsi="Book Antiqua"/>
          <w:color w:val="000000" w:themeColor="text1"/>
          <w:sz w:val="24"/>
          <w:szCs w:val="24"/>
        </w:rPr>
        <w:t xml:space="preserve"> tissue obtained both from GEM treated and non-treated patients and cell’s transfection experiments in order to fully understand the underlying mechanism and the role of </w:t>
      </w:r>
      <w:proofErr w:type="spellStart"/>
      <w:r w:rsidRPr="00A8115F">
        <w:rPr>
          <w:rFonts w:ascii="Book Antiqua" w:hAnsi="Book Antiqua"/>
          <w:color w:val="000000" w:themeColor="text1"/>
          <w:sz w:val="24"/>
          <w:szCs w:val="24"/>
        </w:rPr>
        <w:t>HuR</w:t>
      </w:r>
      <w:proofErr w:type="spellEnd"/>
      <w:r w:rsidRPr="00A8115F">
        <w:rPr>
          <w:rFonts w:ascii="Book Antiqua" w:hAnsi="Book Antiqua"/>
          <w:color w:val="000000" w:themeColor="text1"/>
          <w:sz w:val="24"/>
          <w:szCs w:val="24"/>
        </w:rPr>
        <w:t xml:space="preserve"> mediated post-transcriptional regulation for the exceptional resistance of pancreatic cancer to the conventional treatment. </w:t>
      </w:r>
    </w:p>
    <w:bookmarkEnd w:id="31"/>
    <w:bookmarkEnd w:id="32"/>
    <w:bookmarkEnd w:id="33"/>
    <w:bookmarkEnd w:id="34"/>
    <w:bookmarkEnd w:id="35"/>
    <w:bookmarkEnd w:id="36"/>
    <w:bookmarkEnd w:id="37"/>
    <w:bookmarkEnd w:id="38"/>
    <w:bookmarkEnd w:id="39"/>
    <w:bookmarkEnd w:id="40"/>
    <w:bookmarkEnd w:id="41"/>
    <w:bookmarkEnd w:id="42"/>
    <w:p w14:paraId="59202D2B" w14:textId="49FFF606" w:rsidR="00687079" w:rsidRPr="00141E92" w:rsidRDefault="00FC0650" w:rsidP="008530E2">
      <w:pPr>
        <w:snapToGrid w:val="0"/>
        <w:spacing w:line="360" w:lineRule="auto"/>
        <w:jc w:val="both"/>
        <w:rPr>
          <w:rFonts w:ascii="Book Antiqua" w:hAnsi="Book Antiqua"/>
          <w:sz w:val="24"/>
          <w:szCs w:val="24"/>
        </w:rPr>
      </w:pPr>
      <w:r w:rsidRPr="00141E92">
        <w:rPr>
          <w:rFonts w:ascii="Book Antiqua" w:hAnsi="Book Antiqua"/>
          <w:sz w:val="24"/>
          <w:szCs w:val="24"/>
        </w:rPr>
        <w:br w:type="page"/>
      </w:r>
    </w:p>
    <w:p w14:paraId="1C579932" w14:textId="21086665" w:rsidR="00B93D69" w:rsidRPr="00141E92" w:rsidRDefault="00FC0650" w:rsidP="00086999">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REFERENCES</w:t>
      </w:r>
    </w:p>
    <w:p w14:paraId="4FD0BC88" w14:textId="77777777" w:rsidR="00300AAD" w:rsidRPr="00300AAD" w:rsidRDefault="00B93D69" w:rsidP="00300AAD">
      <w:pPr>
        <w:widowControl w:val="0"/>
        <w:snapToGrid w:val="0"/>
        <w:spacing w:line="360" w:lineRule="auto"/>
        <w:jc w:val="both"/>
        <w:rPr>
          <w:rFonts w:ascii="Book Antiqua" w:hAnsi="Book Antiqua" w:cs="Times New Roman"/>
          <w:sz w:val="24"/>
          <w:szCs w:val="24"/>
        </w:rPr>
      </w:pPr>
      <w:r w:rsidRPr="00141E92">
        <w:rPr>
          <w:rFonts w:ascii="Book Antiqua" w:hAnsi="Book Antiqua"/>
          <w:b/>
          <w:sz w:val="24"/>
          <w:szCs w:val="24"/>
        </w:rPr>
        <w:fldChar w:fldCharType="begin" w:fldLock="1"/>
      </w:r>
      <w:r w:rsidRPr="00141E92">
        <w:rPr>
          <w:rFonts w:ascii="Book Antiqua" w:hAnsi="Book Antiqua"/>
          <w:b/>
          <w:sz w:val="24"/>
          <w:szCs w:val="24"/>
        </w:rPr>
        <w:instrText xml:space="preserve">ADDIN Mendeley Bibliography CSL_BIBLIOGRAPHY </w:instrText>
      </w:r>
      <w:r w:rsidRPr="00141E92">
        <w:rPr>
          <w:rFonts w:ascii="Book Antiqua" w:hAnsi="Book Antiqua"/>
          <w:b/>
          <w:sz w:val="24"/>
          <w:szCs w:val="24"/>
        </w:rPr>
        <w:fldChar w:fldCharType="separate"/>
      </w:r>
      <w:r w:rsidR="00300AAD" w:rsidRPr="00300AAD">
        <w:rPr>
          <w:rFonts w:ascii="Book Antiqua" w:hAnsi="Book Antiqua" w:cs="Times New Roman"/>
          <w:sz w:val="24"/>
          <w:szCs w:val="24"/>
        </w:rPr>
        <w:t>1 </w:t>
      </w:r>
      <w:r w:rsidR="00300AAD" w:rsidRPr="00300AAD">
        <w:rPr>
          <w:rFonts w:ascii="Book Antiqua" w:hAnsi="Book Antiqua" w:cs="Times New Roman"/>
          <w:b/>
          <w:bCs/>
          <w:sz w:val="24"/>
          <w:szCs w:val="24"/>
        </w:rPr>
        <w:t>Siegel RL</w:t>
      </w:r>
      <w:r w:rsidR="00300AAD" w:rsidRPr="00300AAD">
        <w:rPr>
          <w:rFonts w:ascii="Book Antiqua" w:hAnsi="Book Antiqua" w:cs="Times New Roman"/>
          <w:sz w:val="24"/>
          <w:szCs w:val="24"/>
        </w:rPr>
        <w:t>, Miller KD, Jemal A. Cancer Statistics, 2017. </w:t>
      </w:r>
      <w:r w:rsidR="00300AAD" w:rsidRPr="00300AAD">
        <w:rPr>
          <w:rFonts w:ascii="Book Antiqua" w:hAnsi="Book Antiqua" w:cs="Times New Roman"/>
          <w:i/>
          <w:iCs/>
          <w:sz w:val="24"/>
          <w:szCs w:val="24"/>
        </w:rPr>
        <w:t>CA Cancer J Clin</w:t>
      </w:r>
      <w:r w:rsidR="00300AAD" w:rsidRPr="00300AAD">
        <w:rPr>
          <w:rFonts w:ascii="Book Antiqua" w:hAnsi="Book Antiqua" w:cs="Times New Roman"/>
          <w:sz w:val="24"/>
          <w:szCs w:val="24"/>
        </w:rPr>
        <w:t> 2017; </w:t>
      </w:r>
      <w:r w:rsidR="00300AAD" w:rsidRPr="00300AAD">
        <w:rPr>
          <w:rFonts w:ascii="Book Antiqua" w:hAnsi="Book Antiqua" w:cs="Times New Roman"/>
          <w:b/>
          <w:bCs/>
          <w:sz w:val="24"/>
          <w:szCs w:val="24"/>
        </w:rPr>
        <w:t>67</w:t>
      </w:r>
      <w:r w:rsidR="00300AAD" w:rsidRPr="00300AAD">
        <w:rPr>
          <w:rFonts w:ascii="Book Antiqua" w:hAnsi="Book Antiqua" w:cs="Times New Roman"/>
          <w:sz w:val="24"/>
          <w:szCs w:val="24"/>
        </w:rPr>
        <w:t>: 7-30 [PMID: 28055103 DOI: 10.3322/caac.21387]</w:t>
      </w:r>
    </w:p>
    <w:p w14:paraId="15DD9423"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2 </w:t>
      </w:r>
      <w:r w:rsidRPr="00300AAD">
        <w:rPr>
          <w:rFonts w:ascii="Book Antiqua" w:hAnsi="Book Antiqua" w:cs="Times New Roman"/>
          <w:b/>
          <w:bCs/>
          <w:sz w:val="24"/>
          <w:szCs w:val="24"/>
        </w:rPr>
        <w:t>Malvezzi M</w:t>
      </w:r>
      <w:r w:rsidRPr="00300AAD">
        <w:rPr>
          <w:rFonts w:ascii="Book Antiqua" w:hAnsi="Book Antiqua" w:cs="Times New Roman"/>
          <w:sz w:val="24"/>
          <w:szCs w:val="24"/>
        </w:rPr>
        <w:t>, Bertuccio P, Levi F, La Vecchia C, Negri E. European cancer mortality predictions for the year 2014. </w:t>
      </w:r>
      <w:r w:rsidRPr="00300AAD">
        <w:rPr>
          <w:rFonts w:ascii="Book Antiqua" w:hAnsi="Book Antiqua" w:cs="Times New Roman"/>
          <w:i/>
          <w:iCs/>
          <w:sz w:val="24"/>
          <w:szCs w:val="24"/>
        </w:rPr>
        <w:t>Ann Oncol</w:t>
      </w:r>
      <w:r w:rsidRPr="00300AAD">
        <w:rPr>
          <w:rFonts w:ascii="Book Antiqua" w:hAnsi="Book Antiqua" w:cs="Times New Roman"/>
          <w:sz w:val="24"/>
          <w:szCs w:val="24"/>
        </w:rPr>
        <w:t> 2014; </w:t>
      </w:r>
      <w:r w:rsidRPr="00300AAD">
        <w:rPr>
          <w:rFonts w:ascii="Book Antiqua" w:hAnsi="Book Antiqua" w:cs="Times New Roman"/>
          <w:b/>
          <w:bCs/>
          <w:sz w:val="24"/>
          <w:szCs w:val="24"/>
        </w:rPr>
        <w:t>25</w:t>
      </w:r>
      <w:r w:rsidRPr="00300AAD">
        <w:rPr>
          <w:rFonts w:ascii="Book Antiqua" w:hAnsi="Book Antiqua" w:cs="Times New Roman"/>
          <w:sz w:val="24"/>
          <w:szCs w:val="24"/>
        </w:rPr>
        <w:t>: 1650-1656 [PMID: 24759568 DOI: 10.1093/annonc/mdu138]</w:t>
      </w:r>
    </w:p>
    <w:p w14:paraId="7088B750"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3 </w:t>
      </w:r>
      <w:r w:rsidRPr="00300AAD">
        <w:rPr>
          <w:rFonts w:ascii="Book Antiqua" w:hAnsi="Book Antiqua" w:cs="Times New Roman"/>
          <w:b/>
          <w:bCs/>
          <w:sz w:val="24"/>
          <w:szCs w:val="24"/>
        </w:rPr>
        <w:t>Cowley MJ</w:t>
      </w:r>
      <w:r w:rsidRPr="00300AAD">
        <w:rPr>
          <w:rFonts w:ascii="Book Antiqua" w:hAnsi="Book Antiqua" w:cs="Times New Roman"/>
          <w:sz w:val="24"/>
          <w:szCs w:val="24"/>
        </w:rPr>
        <w:t>, Chang DK, Pajic M, Johns AL, Waddell N, Grimmond SM, Biankin AV. Understanding pancreatic cancer genomes. </w:t>
      </w:r>
      <w:r w:rsidRPr="00300AAD">
        <w:rPr>
          <w:rFonts w:ascii="Book Antiqua" w:hAnsi="Book Antiqua" w:cs="Times New Roman"/>
          <w:i/>
          <w:iCs/>
          <w:sz w:val="24"/>
          <w:szCs w:val="24"/>
        </w:rPr>
        <w:t>J Hepatobiliary Pancreat Sci</w:t>
      </w:r>
      <w:r w:rsidRPr="00300AAD">
        <w:rPr>
          <w:rFonts w:ascii="Book Antiqua" w:hAnsi="Book Antiqua" w:cs="Times New Roman"/>
          <w:sz w:val="24"/>
          <w:szCs w:val="24"/>
        </w:rPr>
        <w:t> 2013; </w:t>
      </w:r>
      <w:r w:rsidRPr="00300AAD">
        <w:rPr>
          <w:rFonts w:ascii="Book Antiqua" w:hAnsi="Book Antiqua" w:cs="Times New Roman"/>
          <w:b/>
          <w:bCs/>
          <w:sz w:val="24"/>
          <w:szCs w:val="24"/>
        </w:rPr>
        <w:t>20</w:t>
      </w:r>
      <w:r w:rsidRPr="00300AAD">
        <w:rPr>
          <w:rFonts w:ascii="Book Antiqua" w:hAnsi="Book Antiqua" w:cs="Times New Roman"/>
          <w:sz w:val="24"/>
          <w:szCs w:val="24"/>
        </w:rPr>
        <w:t>: 549-556 [PMID: 23660961 DOI: 10.1007/s00534-013-0610-6]</w:t>
      </w:r>
    </w:p>
    <w:p w14:paraId="47ED6588"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4 </w:t>
      </w:r>
      <w:r w:rsidRPr="00300AAD">
        <w:rPr>
          <w:rFonts w:ascii="Book Antiqua" w:hAnsi="Book Antiqua" w:cs="Times New Roman"/>
          <w:b/>
          <w:bCs/>
          <w:sz w:val="24"/>
          <w:szCs w:val="24"/>
        </w:rPr>
        <w:t>Vischioni B</w:t>
      </w:r>
      <w:r w:rsidRPr="00300AAD">
        <w:rPr>
          <w:rFonts w:ascii="Book Antiqua" w:hAnsi="Book Antiqua" w:cs="Times New Roman"/>
          <w:sz w:val="24"/>
          <w:szCs w:val="24"/>
        </w:rPr>
        <w:t>, van der Valk P, Span SW, Kruyt FA, Rodriguez JA, Giaccone G. Expression and localization of inhibitor of apoptosis proteins in normal human tissues. </w:t>
      </w:r>
      <w:r w:rsidRPr="00300AAD">
        <w:rPr>
          <w:rFonts w:ascii="Book Antiqua" w:hAnsi="Book Antiqua" w:cs="Times New Roman"/>
          <w:i/>
          <w:iCs/>
          <w:sz w:val="24"/>
          <w:szCs w:val="24"/>
        </w:rPr>
        <w:t>Hum Pathol</w:t>
      </w:r>
      <w:r w:rsidRPr="00300AAD">
        <w:rPr>
          <w:rFonts w:ascii="Book Antiqua" w:hAnsi="Book Antiqua" w:cs="Times New Roman"/>
          <w:sz w:val="24"/>
          <w:szCs w:val="24"/>
        </w:rPr>
        <w:t> 2006; </w:t>
      </w:r>
      <w:r w:rsidRPr="00300AAD">
        <w:rPr>
          <w:rFonts w:ascii="Book Antiqua" w:hAnsi="Book Antiqua" w:cs="Times New Roman"/>
          <w:b/>
          <w:bCs/>
          <w:sz w:val="24"/>
          <w:szCs w:val="24"/>
        </w:rPr>
        <w:t>37</w:t>
      </w:r>
      <w:r w:rsidRPr="00300AAD">
        <w:rPr>
          <w:rFonts w:ascii="Book Antiqua" w:hAnsi="Book Antiqua" w:cs="Times New Roman"/>
          <w:sz w:val="24"/>
          <w:szCs w:val="24"/>
        </w:rPr>
        <w:t>: 78-86 [PMID: 16360419 DOI: 10.1016/j.humpath.2005.09.022]</w:t>
      </w:r>
    </w:p>
    <w:p w14:paraId="795CFAC7"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5 </w:t>
      </w:r>
      <w:r w:rsidRPr="00300AAD">
        <w:rPr>
          <w:rFonts w:ascii="Book Antiqua" w:hAnsi="Book Antiqua" w:cs="Times New Roman"/>
          <w:b/>
          <w:bCs/>
          <w:sz w:val="24"/>
          <w:szCs w:val="24"/>
        </w:rPr>
        <w:t>Yang YL</w:t>
      </w:r>
      <w:r w:rsidRPr="00300AAD">
        <w:rPr>
          <w:rFonts w:ascii="Book Antiqua" w:hAnsi="Book Antiqua" w:cs="Times New Roman"/>
          <w:sz w:val="24"/>
          <w:szCs w:val="24"/>
        </w:rPr>
        <w:t>, Li XM. The IAP family: endogenous caspase inhibitors with multiple biological activities. </w:t>
      </w:r>
      <w:r w:rsidRPr="00300AAD">
        <w:rPr>
          <w:rFonts w:ascii="Book Antiqua" w:hAnsi="Book Antiqua" w:cs="Times New Roman"/>
          <w:i/>
          <w:iCs/>
          <w:sz w:val="24"/>
          <w:szCs w:val="24"/>
        </w:rPr>
        <w:t>Cell Res</w:t>
      </w:r>
      <w:r w:rsidRPr="00300AAD">
        <w:rPr>
          <w:rFonts w:ascii="Book Antiqua" w:hAnsi="Book Antiqua" w:cs="Times New Roman"/>
          <w:sz w:val="24"/>
          <w:szCs w:val="24"/>
        </w:rPr>
        <w:t> 2000; </w:t>
      </w:r>
      <w:r w:rsidRPr="00300AAD">
        <w:rPr>
          <w:rFonts w:ascii="Book Antiqua" w:hAnsi="Book Antiqua" w:cs="Times New Roman"/>
          <w:b/>
          <w:bCs/>
          <w:sz w:val="24"/>
          <w:szCs w:val="24"/>
        </w:rPr>
        <w:t>10</w:t>
      </w:r>
      <w:r w:rsidRPr="00300AAD">
        <w:rPr>
          <w:rFonts w:ascii="Book Antiqua" w:hAnsi="Book Antiqua" w:cs="Times New Roman"/>
          <w:sz w:val="24"/>
          <w:szCs w:val="24"/>
        </w:rPr>
        <w:t>: 169-177 [PMID: 11032169 DOI: 10.1038/sj.cr.7290046]</w:t>
      </w:r>
    </w:p>
    <w:p w14:paraId="7F0DA577"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6 </w:t>
      </w:r>
      <w:r w:rsidRPr="00300AAD">
        <w:rPr>
          <w:rFonts w:ascii="Book Antiqua" w:hAnsi="Book Antiqua" w:cs="Times New Roman"/>
          <w:b/>
          <w:bCs/>
          <w:sz w:val="24"/>
          <w:szCs w:val="24"/>
        </w:rPr>
        <w:t>Liston P</w:t>
      </w:r>
      <w:r w:rsidRPr="00300AAD">
        <w:rPr>
          <w:rFonts w:ascii="Book Antiqua" w:hAnsi="Book Antiqua" w:cs="Times New Roman"/>
          <w:sz w:val="24"/>
          <w:szCs w:val="24"/>
        </w:rPr>
        <w:t>, Fong WG, Korneluk RG. The inhibitors of apoptosis: there is more to life than Bcl2. </w:t>
      </w:r>
      <w:r w:rsidRPr="00300AAD">
        <w:rPr>
          <w:rFonts w:ascii="Book Antiqua" w:hAnsi="Book Antiqua" w:cs="Times New Roman"/>
          <w:i/>
          <w:iCs/>
          <w:sz w:val="24"/>
          <w:szCs w:val="24"/>
        </w:rPr>
        <w:t>Oncogene</w:t>
      </w:r>
      <w:r w:rsidRPr="00300AAD">
        <w:rPr>
          <w:rFonts w:ascii="Book Antiqua" w:hAnsi="Book Antiqua" w:cs="Times New Roman"/>
          <w:sz w:val="24"/>
          <w:szCs w:val="24"/>
        </w:rPr>
        <w:t> 2003; </w:t>
      </w:r>
      <w:r w:rsidRPr="00300AAD">
        <w:rPr>
          <w:rFonts w:ascii="Book Antiqua" w:hAnsi="Book Antiqua" w:cs="Times New Roman"/>
          <w:b/>
          <w:bCs/>
          <w:sz w:val="24"/>
          <w:szCs w:val="24"/>
        </w:rPr>
        <w:t>22</w:t>
      </w:r>
      <w:r w:rsidRPr="00300AAD">
        <w:rPr>
          <w:rFonts w:ascii="Book Antiqua" w:hAnsi="Book Antiqua" w:cs="Times New Roman"/>
          <w:sz w:val="24"/>
          <w:szCs w:val="24"/>
        </w:rPr>
        <w:t>: 8568-8580 [PMID: 14634619 DOI: 10.1038/sj.onc.1207101]</w:t>
      </w:r>
    </w:p>
    <w:p w14:paraId="4991CC21"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7 </w:t>
      </w:r>
      <w:r w:rsidRPr="00300AAD">
        <w:rPr>
          <w:rFonts w:ascii="Book Antiqua" w:hAnsi="Book Antiqua" w:cs="Times New Roman"/>
          <w:b/>
          <w:bCs/>
          <w:sz w:val="24"/>
          <w:szCs w:val="24"/>
        </w:rPr>
        <w:t>Samuel T</w:t>
      </w:r>
      <w:r w:rsidRPr="00300AAD">
        <w:rPr>
          <w:rFonts w:ascii="Book Antiqua" w:hAnsi="Book Antiqua" w:cs="Times New Roman"/>
          <w:sz w:val="24"/>
          <w:szCs w:val="24"/>
        </w:rPr>
        <w:t>, Okada K, Hyer M, Welsh K, Zapata JM, Reed JC. cIAP1 Localizes to the nuclear compartment and modulates the cell cycle. </w:t>
      </w:r>
      <w:r w:rsidRPr="00300AAD">
        <w:rPr>
          <w:rFonts w:ascii="Book Antiqua" w:hAnsi="Book Antiqua" w:cs="Times New Roman"/>
          <w:i/>
          <w:iCs/>
          <w:sz w:val="24"/>
          <w:szCs w:val="24"/>
        </w:rPr>
        <w:t>Cancer Res</w:t>
      </w:r>
      <w:r w:rsidRPr="00300AAD">
        <w:rPr>
          <w:rFonts w:ascii="Book Antiqua" w:hAnsi="Book Antiqua" w:cs="Times New Roman"/>
          <w:sz w:val="24"/>
          <w:szCs w:val="24"/>
        </w:rPr>
        <w:t> 2005; </w:t>
      </w:r>
      <w:r w:rsidRPr="00300AAD">
        <w:rPr>
          <w:rFonts w:ascii="Book Antiqua" w:hAnsi="Book Antiqua" w:cs="Times New Roman"/>
          <w:b/>
          <w:bCs/>
          <w:sz w:val="24"/>
          <w:szCs w:val="24"/>
        </w:rPr>
        <w:t>65</w:t>
      </w:r>
      <w:r w:rsidRPr="00300AAD">
        <w:rPr>
          <w:rFonts w:ascii="Book Antiqua" w:hAnsi="Book Antiqua" w:cs="Times New Roman"/>
          <w:sz w:val="24"/>
          <w:szCs w:val="24"/>
        </w:rPr>
        <w:t>: 210-218 [PMID: 15665297]</w:t>
      </w:r>
    </w:p>
    <w:p w14:paraId="7950D83D"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8 </w:t>
      </w:r>
      <w:r w:rsidRPr="00300AAD">
        <w:rPr>
          <w:rFonts w:ascii="Book Antiqua" w:hAnsi="Book Antiqua" w:cs="Times New Roman"/>
          <w:b/>
          <w:bCs/>
          <w:sz w:val="24"/>
          <w:szCs w:val="24"/>
        </w:rPr>
        <w:t>Fulda S</w:t>
      </w:r>
      <w:r w:rsidRPr="00300AAD">
        <w:rPr>
          <w:rFonts w:ascii="Book Antiqua" w:hAnsi="Book Antiqua" w:cs="Times New Roman"/>
          <w:sz w:val="24"/>
          <w:szCs w:val="24"/>
        </w:rPr>
        <w:t>, Vucic D. Targeting IAP proteins for therapeutic intervention in cancer. </w:t>
      </w:r>
      <w:r w:rsidRPr="00300AAD">
        <w:rPr>
          <w:rFonts w:ascii="Book Antiqua" w:hAnsi="Book Antiqua" w:cs="Times New Roman"/>
          <w:i/>
          <w:iCs/>
          <w:sz w:val="24"/>
          <w:szCs w:val="24"/>
        </w:rPr>
        <w:t>Nat Rev Drug Discov</w:t>
      </w:r>
      <w:r w:rsidRPr="00300AAD">
        <w:rPr>
          <w:rFonts w:ascii="Book Antiqua" w:hAnsi="Book Antiqua" w:cs="Times New Roman"/>
          <w:sz w:val="24"/>
          <w:szCs w:val="24"/>
        </w:rPr>
        <w:t> 2012; </w:t>
      </w:r>
      <w:r w:rsidRPr="00300AAD">
        <w:rPr>
          <w:rFonts w:ascii="Book Antiqua" w:hAnsi="Book Antiqua" w:cs="Times New Roman"/>
          <w:b/>
          <w:bCs/>
          <w:sz w:val="24"/>
          <w:szCs w:val="24"/>
        </w:rPr>
        <w:t>11</w:t>
      </w:r>
      <w:r w:rsidRPr="00300AAD">
        <w:rPr>
          <w:rFonts w:ascii="Book Antiqua" w:hAnsi="Book Antiqua" w:cs="Times New Roman"/>
          <w:sz w:val="24"/>
          <w:szCs w:val="24"/>
        </w:rPr>
        <w:t>: 109-124 [PMID: 22293567 DOI: 10.1038/nrd3627]</w:t>
      </w:r>
    </w:p>
    <w:p w14:paraId="2D849C97"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9 </w:t>
      </w:r>
      <w:r w:rsidRPr="00300AAD">
        <w:rPr>
          <w:rFonts w:ascii="Book Antiqua" w:hAnsi="Book Antiqua" w:cs="Times New Roman"/>
          <w:b/>
          <w:bCs/>
          <w:sz w:val="24"/>
          <w:szCs w:val="24"/>
        </w:rPr>
        <w:t>Ferreira CG</w:t>
      </w:r>
      <w:r w:rsidRPr="00300AAD">
        <w:rPr>
          <w:rFonts w:ascii="Book Antiqua" w:hAnsi="Book Antiqua" w:cs="Times New Roman"/>
          <w:sz w:val="24"/>
          <w:szCs w:val="24"/>
        </w:rPr>
        <w:t>, van der Valk P, Span SW, Ludwig I, Smit EF, Kruyt FA, Pinedo HM, van Tinteren H, Giaccone G. Expression of X-linked inhibitor of apoptosis as a novel prognostic marker in radically resected non-small cell lung cancer patients. </w:t>
      </w:r>
      <w:r w:rsidRPr="00300AAD">
        <w:rPr>
          <w:rFonts w:ascii="Book Antiqua" w:hAnsi="Book Antiqua" w:cs="Times New Roman"/>
          <w:i/>
          <w:iCs/>
          <w:sz w:val="24"/>
          <w:szCs w:val="24"/>
        </w:rPr>
        <w:t>Clin Cancer Res</w:t>
      </w:r>
      <w:r w:rsidRPr="00300AAD">
        <w:rPr>
          <w:rFonts w:ascii="Book Antiqua" w:hAnsi="Book Antiqua" w:cs="Times New Roman"/>
          <w:sz w:val="24"/>
          <w:szCs w:val="24"/>
        </w:rPr>
        <w:t> 2001; </w:t>
      </w:r>
      <w:r w:rsidRPr="00300AAD">
        <w:rPr>
          <w:rFonts w:ascii="Book Antiqua" w:hAnsi="Book Antiqua" w:cs="Times New Roman"/>
          <w:b/>
          <w:bCs/>
          <w:sz w:val="24"/>
          <w:szCs w:val="24"/>
        </w:rPr>
        <w:t>7</w:t>
      </w:r>
      <w:r w:rsidRPr="00300AAD">
        <w:rPr>
          <w:rFonts w:ascii="Book Antiqua" w:hAnsi="Book Antiqua" w:cs="Times New Roman"/>
          <w:sz w:val="24"/>
          <w:szCs w:val="24"/>
        </w:rPr>
        <w:t>: 2468-2474 [PMID: 11489828]</w:t>
      </w:r>
    </w:p>
    <w:p w14:paraId="53780D38" w14:textId="0681F8AA"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10 </w:t>
      </w:r>
      <w:r w:rsidRPr="00300AAD">
        <w:rPr>
          <w:rFonts w:ascii="Book Antiqua" w:hAnsi="Book Antiqua" w:cs="Times New Roman"/>
          <w:b/>
          <w:bCs/>
          <w:sz w:val="24"/>
          <w:szCs w:val="24"/>
        </w:rPr>
        <w:t>Valenzuela MM</w:t>
      </w:r>
      <w:r w:rsidRPr="00300AAD">
        <w:rPr>
          <w:rFonts w:ascii="Book Antiqua" w:hAnsi="Book Antiqua" w:cs="Times New Roman"/>
          <w:sz w:val="24"/>
          <w:szCs w:val="24"/>
        </w:rPr>
        <w:t xml:space="preserve">, Ferguson Bennit HR, Gonda A, Diaz Osterman CJ, Hibma A, Khan S, Wall NR. Exosomes Secreted from Human Cancer Cell Lines Contain </w:t>
      </w:r>
      <w:r w:rsidRPr="00300AAD">
        <w:rPr>
          <w:rFonts w:ascii="Book Antiqua" w:hAnsi="Book Antiqua" w:cs="Times New Roman"/>
          <w:sz w:val="24"/>
          <w:szCs w:val="24"/>
        </w:rPr>
        <w:lastRenderedPageBreak/>
        <w:t>Inhibitors of Apoptosis (IAP). </w:t>
      </w:r>
      <w:r w:rsidRPr="00300AAD">
        <w:rPr>
          <w:rFonts w:ascii="Book Antiqua" w:hAnsi="Book Antiqua" w:cs="Times New Roman"/>
          <w:i/>
          <w:iCs/>
          <w:sz w:val="24"/>
          <w:szCs w:val="24"/>
        </w:rPr>
        <w:t>Cancer Microenviron</w:t>
      </w:r>
      <w:r>
        <w:rPr>
          <w:rFonts w:ascii="Book Antiqua" w:hAnsi="Book Antiqua" w:cs="Times New Roman"/>
          <w:i/>
          <w:iCs/>
          <w:sz w:val="24"/>
          <w:szCs w:val="24"/>
        </w:rPr>
        <w:t xml:space="preserve"> </w:t>
      </w:r>
      <w:r w:rsidRPr="00300AAD">
        <w:rPr>
          <w:rFonts w:ascii="Book Antiqua" w:hAnsi="Book Antiqua" w:cs="Times New Roman"/>
          <w:sz w:val="24"/>
          <w:szCs w:val="24"/>
        </w:rPr>
        <w:t>2015; </w:t>
      </w:r>
      <w:r w:rsidRPr="00300AAD">
        <w:rPr>
          <w:rFonts w:ascii="Book Antiqua" w:hAnsi="Book Antiqua" w:cs="Times New Roman"/>
          <w:b/>
          <w:bCs/>
          <w:sz w:val="24"/>
          <w:szCs w:val="24"/>
        </w:rPr>
        <w:t>8</w:t>
      </w:r>
      <w:r w:rsidRPr="00300AAD">
        <w:rPr>
          <w:rFonts w:ascii="Book Antiqua" w:hAnsi="Book Antiqua" w:cs="Times New Roman"/>
          <w:sz w:val="24"/>
          <w:szCs w:val="24"/>
        </w:rPr>
        <w:t>: 65-73 [PMID: 25982218 DOI: 10.1007/s12307-015-0167-9]</w:t>
      </w:r>
    </w:p>
    <w:p w14:paraId="3F9FF84F" w14:textId="432D4FB9"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11 </w:t>
      </w:r>
      <w:r w:rsidRPr="00300AAD">
        <w:rPr>
          <w:rFonts w:ascii="Book Antiqua" w:hAnsi="Book Antiqua" w:cs="Times New Roman"/>
          <w:b/>
          <w:bCs/>
          <w:sz w:val="24"/>
          <w:szCs w:val="24"/>
        </w:rPr>
        <w:t>Lopes RB</w:t>
      </w:r>
      <w:r w:rsidRPr="00300AAD">
        <w:rPr>
          <w:rFonts w:ascii="Book Antiqua" w:hAnsi="Book Antiqua" w:cs="Times New Roman"/>
          <w:sz w:val="24"/>
          <w:szCs w:val="24"/>
        </w:rPr>
        <w:t>, Gangeswaran R, McNeish IA, Wang Y, Lemoine NR. Expression of the IAP protein family is dysregulated in pancreatic cancer cells and is important for resistance to chemotherapy. </w:t>
      </w:r>
      <w:r w:rsidRPr="00300AAD">
        <w:rPr>
          <w:rFonts w:ascii="Book Antiqua" w:hAnsi="Book Antiqua" w:cs="Times New Roman"/>
          <w:i/>
          <w:iCs/>
          <w:sz w:val="24"/>
          <w:szCs w:val="24"/>
        </w:rPr>
        <w:t>Int J Cancer</w:t>
      </w:r>
      <w:r>
        <w:rPr>
          <w:rFonts w:ascii="Book Antiqua" w:hAnsi="Book Antiqua" w:cs="Times New Roman"/>
          <w:i/>
          <w:iCs/>
          <w:sz w:val="24"/>
          <w:szCs w:val="24"/>
        </w:rPr>
        <w:t xml:space="preserve"> </w:t>
      </w:r>
      <w:r w:rsidRPr="00300AAD">
        <w:rPr>
          <w:rFonts w:ascii="Book Antiqua" w:hAnsi="Book Antiqua" w:cs="Times New Roman"/>
          <w:sz w:val="24"/>
          <w:szCs w:val="24"/>
        </w:rPr>
        <w:t>2007; </w:t>
      </w:r>
      <w:r w:rsidRPr="00300AAD">
        <w:rPr>
          <w:rFonts w:ascii="Book Antiqua" w:hAnsi="Book Antiqua" w:cs="Times New Roman"/>
          <w:b/>
          <w:bCs/>
          <w:sz w:val="24"/>
          <w:szCs w:val="24"/>
        </w:rPr>
        <w:t>120</w:t>
      </w:r>
      <w:r w:rsidRPr="00300AAD">
        <w:rPr>
          <w:rFonts w:ascii="Book Antiqua" w:hAnsi="Book Antiqua" w:cs="Times New Roman"/>
          <w:sz w:val="24"/>
          <w:szCs w:val="24"/>
        </w:rPr>
        <w:t>: 2344-2352 [PMID: 17311258 DOI: 10.1002/ijc.22554]</w:t>
      </w:r>
    </w:p>
    <w:p w14:paraId="7705B5CE"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12 </w:t>
      </w:r>
      <w:r w:rsidRPr="00300AAD">
        <w:rPr>
          <w:rFonts w:ascii="Book Antiqua" w:hAnsi="Book Antiqua" w:cs="Times New Roman"/>
          <w:b/>
          <w:bCs/>
          <w:sz w:val="24"/>
          <w:szCs w:val="24"/>
        </w:rPr>
        <w:t>Hinman MN</w:t>
      </w:r>
      <w:r w:rsidRPr="00300AAD">
        <w:rPr>
          <w:rFonts w:ascii="Book Antiqua" w:hAnsi="Book Antiqua" w:cs="Times New Roman"/>
          <w:sz w:val="24"/>
          <w:szCs w:val="24"/>
        </w:rPr>
        <w:t>, Lou H. Diverse molecular functions of Hu proteins. </w:t>
      </w:r>
      <w:r w:rsidRPr="00300AAD">
        <w:rPr>
          <w:rFonts w:ascii="Book Antiqua" w:hAnsi="Book Antiqua" w:cs="Times New Roman"/>
          <w:i/>
          <w:iCs/>
          <w:sz w:val="24"/>
          <w:szCs w:val="24"/>
        </w:rPr>
        <w:t>Cell Mol Life Sci</w:t>
      </w:r>
      <w:r w:rsidRPr="00300AAD">
        <w:rPr>
          <w:rFonts w:ascii="Book Antiqua" w:hAnsi="Book Antiqua" w:cs="Times New Roman"/>
          <w:sz w:val="24"/>
          <w:szCs w:val="24"/>
        </w:rPr>
        <w:t> 2008; </w:t>
      </w:r>
      <w:r w:rsidRPr="00300AAD">
        <w:rPr>
          <w:rFonts w:ascii="Book Antiqua" w:hAnsi="Book Antiqua" w:cs="Times New Roman"/>
          <w:b/>
          <w:bCs/>
          <w:sz w:val="24"/>
          <w:szCs w:val="24"/>
        </w:rPr>
        <w:t>65</w:t>
      </w:r>
      <w:r w:rsidRPr="00300AAD">
        <w:rPr>
          <w:rFonts w:ascii="Book Antiqua" w:hAnsi="Book Antiqua" w:cs="Times New Roman"/>
          <w:sz w:val="24"/>
          <w:szCs w:val="24"/>
        </w:rPr>
        <w:t>: 3168-3181 [PMID: 18581050 DOI: 10.1007/s00018-008-8252-6]</w:t>
      </w:r>
    </w:p>
    <w:p w14:paraId="311C8823"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13 </w:t>
      </w:r>
      <w:r w:rsidRPr="00300AAD">
        <w:rPr>
          <w:rFonts w:ascii="Book Antiqua" w:hAnsi="Book Antiqua" w:cs="Times New Roman"/>
          <w:b/>
          <w:bCs/>
          <w:sz w:val="24"/>
          <w:szCs w:val="24"/>
        </w:rPr>
        <w:t>Jimbo M</w:t>
      </w:r>
      <w:r w:rsidRPr="00300AAD">
        <w:rPr>
          <w:rFonts w:ascii="Book Antiqua" w:hAnsi="Book Antiqua" w:cs="Times New Roman"/>
          <w:sz w:val="24"/>
          <w:szCs w:val="24"/>
        </w:rPr>
        <w:t>, Blanco FF, Huang YH, Telonis AG, Screnci BA, Cosma GL, Alexeev V, Gonye GE, Yeo CJ, Sawicki JA, Winter JM, Brody JR. Targeting the mRNA-binding protein HuR impairs malignant characteristics of pancreatic ductal adenocarcinoma cells. </w:t>
      </w:r>
      <w:r w:rsidRPr="00300AAD">
        <w:rPr>
          <w:rFonts w:ascii="Book Antiqua" w:hAnsi="Book Antiqua" w:cs="Times New Roman"/>
          <w:i/>
          <w:iCs/>
          <w:sz w:val="24"/>
          <w:szCs w:val="24"/>
        </w:rPr>
        <w:t>Oncotarget</w:t>
      </w:r>
      <w:r w:rsidRPr="00300AAD">
        <w:rPr>
          <w:rFonts w:ascii="Book Antiqua" w:hAnsi="Book Antiqua" w:cs="Times New Roman"/>
          <w:sz w:val="24"/>
          <w:szCs w:val="24"/>
        </w:rPr>
        <w:t> 2015; </w:t>
      </w:r>
      <w:r w:rsidRPr="00300AAD">
        <w:rPr>
          <w:rFonts w:ascii="Book Antiqua" w:hAnsi="Book Antiqua" w:cs="Times New Roman"/>
          <w:b/>
          <w:bCs/>
          <w:sz w:val="24"/>
          <w:szCs w:val="24"/>
        </w:rPr>
        <w:t>6</w:t>
      </w:r>
      <w:r w:rsidRPr="00300AAD">
        <w:rPr>
          <w:rFonts w:ascii="Book Antiqua" w:hAnsi="Book Antiqua" w:cs="Times New Roman"/>
          <w:sz w:val="24"/>
          <w:szCs w:val="24"/>
        </w:rPr>
        <w:t>: 27312-27331 [PMID: 26314962 DOI: 10.18632/oncotarget.4743]</w:t>
      </w:r>
    </w:p>
    <w:p w14:paraId="2E9F7A90"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14 </w:t>
      </w:r>
      <w:r w:rsidRPr="00300AAD">
        <w:rPr>
          <w:rFonts w:ascii="Book Antiqua" w:hAnsi="Book Antiqua" w:cs="Times New Roman"/>
          <w:b/>
          <w:bCs/>
          <w:sz w:val="24"/>
          <w:szCs w:val="24"/>
        </w:rPr>
        <w:t>Burkhart RA</w:t>
      </w:r>
      <w:r w:rsidRPr="00300AAD">
        <w:rPr>
          <w:rFonts w:ascii="Book Antiqua" w:hAnsi="Book Antiqua" w:cs="Times New Roman"/>
          <w:sz w:val="24"/>
          <w:szCs w:val="24"/>
        </w:rPr>
        <w:t>, Pineda DM, Chand SN, Romeo C, Londin ER, Karoly ED, Cozzitorto JA, Rigoutsos I, Yeo CJ, Brody JR, Winter JM. HuR is a post-transcriptional regulator of core metabolic enzymes in pancreatic cancer. </w:t>
      </w:r>
      <w:r w:rsidRPr="00300AAD">
        <w:rPr>
          <w:rFonts w:ascii="Book Antiqua" w:hAnsi="Book Antiqua" w:cs="Times New Roman"/>
          <w:i/>
          <w:iCs/>
          <w:sz w:val="24"/>
          <w:szCs w:val="24"/>
        </w:rPr>
        <w:t>RNA Biol</w:t>
      </w:r>
      <w:r w:rsidRPr="00300AAD">
        <w:rPr>
          <w:rFonts w:ascii="Book Antiqua" w:hAnsi="Book Antiqua" w:cs="Times New Roman"/>
          <w:sz w:val="24"/>
          <w:szCs w:val="24"/>
        </w:rPr>
        <w:t> 2013; </w:t>
      </w:r>
      <w:r w:rsidRPr="00300AAD">
        <w:rPr>
          <w:rFonts w:ascii="Book Antiqua" w:hAnsi="Book Antiqua" w:cs="Times New Roman"/>
          <w:b/>
          <w:bCs/>
          <w:sz w:val="24"/>
          <w:szCs w:val="24"/>
        </w:rPr>
        <w:t>10</w:t>
      </w:r>
      <w:r w:rsidRPr="00300AAD">
        <w:rPr>
          <w:rFonts w:ascii="Book Antiqua" w:hAnsi="Book Antiqua" w:cs="Times New Roman"/>
          <w:sz w:val="24"/>
          <w:szCs w:val="24"/>
        </w:rPr>
        <w:t>: 1312-1323 [PMID: 23807417 DOI: 10.4161/rna.25274]</w:t>
      </w:r>
    </w:p>
    <w:p w14:paraId="372DA39B"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15 </w:t>
      </w:r>
      <w:r w:rsidRPr="00300AAD">
        <w:rPr>
          <w:rFonts w:ascii="Book Antiqua" w:hAnsi="Book Antiqua" w:cs="Times New Roman"/>
          <w:b/>
          <w:bCs/>
          <w:sz w:val="24"/>
          <w:szCs w:val="24"/>
        </w:rPr>
        <w:t>Wang J</w:t>
      </w:r>
      <w:r w:rsidRPr="00300AAD">
        <w:rPr>
          <w:rFonts w:ascii="Book Antiqua" w:hAnsi="Book Antiqua" w:cs="Times New Roman"/>
          <w:sz w:val="24"/>
          <w:szCs w:val="24"/>
        </w:rPr>
        <w:t>, Guo Y, Chu H, Guan Y, Bi J, Wang B. Multiple functions of the RNA-binding protein HuR in cancer progression, treatment responses and prognosis. </w:t>
      </w:r>
      <w:r w:rsidRPr="00300AAD">
        <w:rPr>
          <w:rFonts w:ascii="Book Antiqua" w:hAnsi="Book Antiqua" w:cs="Times New Roman"/>
          <w:i/>
          <w:iCs/>
          <w:sz w:val="24"/>
          <w:szCs w:val="24"/>
        </w:rPr>
        <w:t>Int J Mol Sci</w:t>
      </w:r>
      <w:r w:rsidRPr="00300AAD">
        <w:rPr>
          <w:rFonts w:ascii="Book Antiqua" w:hAnsi="Book Antiqua" w:cs="Times New Roman"/>
          <w:sz w:val="24"/>
          <w:szCs w:val="24"/>
        </w:rPr>
        <w:t> 2013; </w:t>
      </w:r>
      <w:r w:rsidRPr="00300AAD">
        <w:rPr>
          <w:rFonts w:ascii="Book Antiqua" w:hAnsi="Book Antiqua" w:cs="Times New Roman"/>
          <w:b/>
          <w:bCs/>
          <w:sz w:val="24"/>
          <w:szCs w:val="24"/>
        </w:rPr>
        <w:t>14</w:t>
      </w:r>
      <w:r w:rsidRPr="00300AAD">
        <w:rPr>
          <w:rFonts w:ascii="Book Antiqua" w:hAnsi="Book Antiqua" w:cs="Times New Roman"/>
          <w:sz w:val="24"/>
          <w:szCs w:val="24"/>
        </w:rPr>
        <w:t>: 10015-10041 [PMID: 23665903 DOI: 10.3390/ijms140510015]</w:t>
      </w:r>
    </w:p>
    <w:p w14:paraId="6CEA3B1C"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16 </w:t>
      </w:r>
      <w:r w:rsidRPr="00300AAD">
        <w:rPr>
          <w:rFonts w:ascii="Book Antiqua" w:hAnsi="Book Antiqua" w:cs="Times New Roman"/>
          <w:b/>
          <w:bCs/>
          <w:sz w:val="24"/>
          <w:szCs w:val="24"/>
        </w:rPr>
        <w:t>Jakstaite A</w:t>
      </w:r>
      <w:r w:rsidRPr="00300AAD">
        <w:rPr>
          <w:rFonts w:ascii="Book Antiqua" w:hAnsi="Book Antiqua" w:cs="Times New Roman"/>
          <w:sz w:val="24"/>
          <w:szCs w:val="24"/>
        </w:rPr>
        <w:t>, Maziukiene A, Silkuniene G, Kmieliute K, Gulbinas A, Dambrauskas Z. HuR mediated post-transcriptional regulation as a new potential adjuvant therapeutic target in chemotherapy for pancreatic cancer. </w:t>
      </w:r>
      <w:r w:rsidRPr="00300AAD">
        <w:rPr>
          <w:rFonts w:ascii="Book Antiqua" w:hAnsi="Book Antiqua" w:cs="Times New Roman"/>
          <w:i/>
          <w:iCs/>
          <w:sz w:val="24"/>
          <w:szCs w:val="24"/>
        </w:rPr>
        <w:t>World J Gastroenterol</w:t>
      </w:r>
      <w:r w:rsidRPr="00300AAD">
        <w:rPr>
          <w:rFonts w:ascii="Book Antiqua" w:hAnsi="Book Antiqua" w:cs="Times New Roman"/>
          <w:sz w:val="24"/>
          <w:szCs w:val="24"/>
        </w:rPr>
        <w:t> 2015; </w:t>
      </w:r>
      <w:r w:rsidRPr="00300AAD">
        <w:rPr>
          <w:rFonts w:ascii="Book Antiqua" w:hAnsi="Book Antiqua" w:cs="Times New Roman"/>
          <w:b/>
          <w:bCs/>
          <w:sz w:val="24"/>
          <w:szCs w:val="24"/>
        </w:rPr>
        <w:t>21</w:t>
      </w:r>
      <w:r w:rsidRPr="00300AAD">
        <w:rPr>
          <w:rFonts w:ascii="Book Antiqua" w:hAnsi="Book Antiqua" w:cs="Times New Roman"/>
          <w:sz w:val="24"/>
          <w:szCs w:val="24"/>
        </w:rPr>
        <w:t>: 13004-13019 [PMID: 26675757 DOI: 10.3748/wjg.v21.i46.13004]</w:t>
      </w:r>
    </w:p>
    <w:p w14:paraId="70EA9E26"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17 </w:t>
      </w:r>
      <w:r w:rsidRPr="00300AAD">
        <w:rPr>
          <w:rFonts w:ascii="Book Antiqua" w:hAnsi="Book Antiqua" w:cs="Times New Roman"/>
          <w:b/>
          <w:bCs/>
          <w:sz w:val="24"/>
          <w:szCs w:val="24"/>
        </w:rPr>
        <w:t>Costantino CL</w:t>
      </w:r>
      <w:r w:rsidRPr="00300AAD">
        <w:rPr>
          <w:rFonts w:ascii="Book Antiqua" w:hAnsi="Book Antiqua" w:cs="Times New Roman"/>
          <w:sz w:val="24"/>
          <w:szCs w:val="24"/>
        </w:rPr>
        <w:t>, Witkiewicz AK, Kuwano Y, Cozzitorto JA, Kennedy EP, Dasgupta A, Keen JC, Yeo CJ, Gorospe M, Brody JR. The role of HuR in gemcitabine efficacy in pancreatic cancer: HuR Up-regulates the expression of the gemcitabine metabolizing enzyme deoxycytidine kinase. </w:t>
      </w:r>
      <w:r w:rsidRPr="00300AAD">
        <w:rPr>
          <w:rFonts w:ascii="Book Antiqua" w:hAnsi="Book Antiqua" w:cs="Times New Roman"/>
          <w:i/>
          <w:iCs/>
          <w:sz w:val="24"/>
          <w:szCs w:val="24"/>
        </w:rPr>
        <w:t>Cancer Res</w:t>
      </w:r>
      <w:r w:rsidRPr="00300AAD">
        <w:rPr>
          <w:rFonts w:ascii="Book Antiqua" w:hAnsi="Book Antiqua" w:cs="Times New Roman"/>
          <w:sz w:val="24"/>
          <w:szCs w:val="24"/>
        </w:rPr>
        <w:t> 2009; </w:t>
      </w:r>
      <w:r w:rsidRPr="00300AAD">
        <w:rPr>
          <w:rFonts w:ascii="Book Antiqua" w:hAnsi="Book Antiqua" w:cs="Times New Roman"/>
          <w:b/>
          <w:bCs/>
          <w:sz w:val="24"/>
          <w:szCs w:val="24"/>
        </w:rPr>
        <w:t>69</w:t>
      </w:r>
      <w:r w:rsidRPr="00300AAD">
        <w:rPr>
          <w:rFonts w:ascii="Book Antiqua" w:hAnsi="Book Antiqua" w:cs="Times New Roman"/>
          <w:sz w:val="24"/>
          <w:szCs w:val="24"/>
        </w:rPr>
        <w:t>: 4567-4572 [PMID: 19487279 DOI: 10.1158/0008-5472.CAN-09-0371]</w:t>
      </w:r>
    </w:p>
    <w:p w14:paraId="73C2171B"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18 </w:t>
      </w:r>
      <w:r w:rsidRPr="00300AAD">
        <w:rPr>
          <w:rFonts w:ascii="Book Antiqua" w:hAnsi="Book Antiqua" w:cs="Times New Roman"/>
          <w:b/>
          <w:bCs/>
          <w:sz w:val="24"/>
          <w:szCs w:val="24"/>
        </w:rPr>
        <w:t>Durie D</w:t>
      </w:r>
      <w:r w:rsidRPr="00300AAD">
        <w:rPr>
          <w:rFonts w:ascii="Book Antiqua" w:hAnsi="Book Antiqua" w:cs="Times New Roman"/>
          <w:sz w:val="24"/>
          <w:szCs w:val="24"/>
        </w:rPr>
        <w:t xml:space="preserve">, Lewis SM, Liwak U, Kisilewicz M, Gorospe M, Holcik M. RNA-binding protein HuR mediates cytoprotection through stimulation of XIAP </w:t>
      </w:r>
      <w:r w:rsidRPr="00300AAD">
        <w:rPr>
          <w:rFonts w:ascii="Book Antiqua" w:hAnsi="Book Antiqua" w:cs="Times New Roman"/>
          <w:sz w:val="24"/>
          <w:szCs w:val="24"/>
        </w:rPr>
        <w:lastRenderedPageBreak/>
        <w:t>translation. </w:t>
      </w:r>
      <w:r w:rsidRPr="00300AAD">
        <w:rPr>
          <w:rFonts w:ascii="Book Antiqua" w:hAnsi="Book Antiqua" w:cs="Times New Roman"/>
          <w:i/>
          <w:iCs/>
          <w:sz w:val="24"/>
          <w:szCs w:val="24"/>
        </w:rPr>
        <w:t>Oncogene</w:t>
      </w:r>
      <w:r w:rsidRPr="00300AAD">
        <w:rPr>
          <w:rFonts w:ascii="Book Antiqua" w:hAnsi="Book Antiqua" w:cs="Times New Roman"/>
          <w:sz w:val="24"/>
          <w:szCs w:val="24"/>
        </w:rPr>
        <w:t> 2011; </w:t>
      </w:r>
      <w:r w:rsidRPr="00300AAD">
        <w:rPr>
          <w:rFonts w:ascii="Book Antiqua" w:hAnsi="Book Antiqua" w:cs="Times New Roman"/>
          <w:b/>
          <w:bCs/>
          <w:sz w:val="24"/>
          <w:szCs w:val="24"/>
        </w:rPr>
        <w:t>30</w:t>
      </w:r>
      <w:r w:rsidRPr="00300AAD">
        <w:rPr>
          <w:rFonts w:ascii="Book Antiqua" w:hAnsi="Book Antiqua" w:cs="Times New Roman"/>
          <w:sz w:val="24"/>
          <w:szCs w:val="24"/>
        </w:rPr>
        <w:t>: 1460-1469 [PMID: 21102524 DOI: 10.1038/onc.2010.527]</w:t>
      </w:r>
    </w:p>
    <w:p w14:paraId="77FD5806"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19 </w:t>
      </w:r>
      <w:r w:rsidRPr="00300AAD">
        <w:rPr>
          <w:rFonts w:ascii="Book Antiqua" w:hAnsi="Book Antiqua" w:cs="Times New Roman"/>
          <w:b/>
          <w:bCs/>
          <w:sz w:val="24"/>
          <w:szCs w:val="24"/>
        </w:rPr>
        <w:t>Kim GY</w:t>
      </w:r>
      <w:r w:rsidRPr="00300AAD">
        <w:rPr>
          <w:rFonts w:ascii="Book Antiqua" w:hAnsi="Book Antiqua" w:cs="Times New Roman"/>
          <w:sz w:val="24"/>
          <w:szCs w:val="24"/>
        </w:rPr>
        <w:t>, Lim SJ, Kim YW. Expression of HuR, COX-2, and survivin in lung cancers; cytoplasmic HuR stabilizes cyclooxygenase-2 in squamous cell carcinomas. </w:t>
      </w:r>
      <w:r w:rsidRPr="00300AAD">
        <w:rPr>
          <w:rFonts w:ascii="Book Antiqua" w:hAnsi="Book Antiqua" w:cs="Times New Roman"/>
          <w:i/>
          <w:iCs/>
          <w:sz w:val="24"/>
          <w:szCs w:val="24"/>
        </w:rPr>
        <w:t>Mod Pathol</w:t>
      </w:r>
      <w:r w:rsidRPr="00300AAD">
        <w:rPr>
          <w:rFonts w:ascii="Book Antiqua" w:hAnsi="Book Antiqua" w:cs="Times New Roman"/>
          <w:sz w:val="24"/>
          <w:szCs w:val="24"/>
        </w:rPr>
        <w:t> 2011; </w:t>
      </w:r>
      <w:r w:rsidRPr="00300AAD">
        <w:rPr>
          <w:rFonts w:ascii="Book Antiqua" w:hAnsi="Book Antiqua" w:cs="Times New Roman"/>
          <w:b/>
          <w:bCs/>
          <w:sz w:val="24"/>
          <w:szCs w:val="24"/>
        </w:rPr>
        <w:t>24</w:t>
      </w:r>
      <w:r w:rsidRPr="00300AAD">
        <w:rPr>
          <w:rFonts w:ascii="Book Antiqua" w:hAnsi="Book Antiqua" w:cs="Times New Roman"/>
          <w:sz w:val="24"/>
          <w:szCs w:val="24"/>
        </w:rPr>
        <w:t>: 1336-1347 [PMID: 21572400 DOI: 10.1038/modpathol.2011.90]</w:t>
      </w:r>
    </w:p>
    <w:p w14:paraId="4D26C9B4" w14:textId="3C584E5D"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20 </w:t>
      </w:r>
      <w:r w:rsidRPr="00300AAD">
        <w:rPr>
          <w:rFonts w:ascii="Book Antiqua" w:hAnsi="Book Antiqua" w:cs="Times New Roman"/>
          <w:b/>
          <w:bCs/>
          <w:sz w:val="24"/>
          <w:szCs w:val="24"/>
        </w:rPr>
        <w:t>Cha JD</w:t>
      </w:r>
      <w:r w:rsidRPr="00300AAD">
        <w:rPr>
          <w:rFonts w:ascii="Book Antiqua" w:hAnsi="Book Antiqua" w:cs="Times New Roman"/>
          <w:sz w:val="24"/>
          <w:szCs w:val="24"/>
        </w:rPr>
        <w:t>, Kim HK, Cha IH. Cytoplasmic HuR expression: correlation with cellular inhibitors of apoptosis protein-2 expression and clinicopathologic factors in oral squamous cell carcinoma cells. </w:t>
      </w:r>
      <w:r w:rsidRPr="00300AAD">
        <w:rPr>
          <w:rFonts w:ascii="Book Antiqua" w:hAnsi="Book Antiqua" w:cs="Times New Roman"/>
          <w:i/>
          <w:iCs/>
          <w:sz w:val="24"/>
          <w:szCs w:val="24"/>
        </w:rPr>
        <w:t>Head Neck</w:t>
      </w:r>
      <w:r>
        <w:rPr>
          <w:rFonts w:ascii="Book Antiqua" w:hAnsi="Book Antiqua" w:cs="Times New Roman"/>
          <w:i/>
          <w:iCs/>
          <w:sz w:val="24"/>
          <w:szCs w:val="24"/>
        </w:rPr>
        <w:t xml:space="preserve"> </w:t>
      </w:r>
      <w:r w:rsidRPr="00300AAD">
        <w:rPr>
          <w:rFonts w:ascii="Book Antiqua" w:hAnsi="Book Antiqua" w:cs="Times New Roman"/>
          <w:sz w:val="24"/>
          <w:szCs w:val="24"/>
        </w:rPr>
        <w:t>2014; </w:t>
      </w:r>
      <w:r w:rsidRPr="00300AAD">
        <w:rPr>
          <w:rFonts w:ascii="Book Antiqua" w:hAnsi="Book Antiqua" w:cs="Times New Roman"/>
          <w:b/>
          <w:bCs/>
          <w:sz w:val="24"/>
          <w:szCs w:val="24"/>
        </w:rPr>
        <w:t>36</w:t>
      </w:r>
      <w:r w:rsidRPr="00300AAD">
        <w:rPr>
          <w:rFonts w:ascii="Book Antiqua" w:hAnsi="Book Antiqua" w:cs="Times New Roman"/>
          <w:sz w:val="24"/>
          <w:szCs w:val="24"/>
        </w:rPr>
        <w:t>: 1168-1175 [PMID: 23852810 DOI: 10.1002/hed.23431]</w:t>
      </w:r>
    </w:p>
    <w:p w14:paraId="6414CB0A"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21 </w:t>
      </w:r>
      <w:r w:rsidRPr="00300AAD">
        <w:rPr>
          <w:rFonts w:ascii="Book Antiqua" w:hAnsi="Book Antiqua" w:cs="Times New Roman"/>
          <w:b/>
          <w:bCs/>
          <w:sz w:val="24"/>
          <w:szCs w:val="24"/>
        </w:rPr>
        <w:t>Uhlén M</w:t>
      </w:r>
      <w:r w:rsidRPr="00300AAD">
        <w:rPr>
          <w:rFonts w:ascii="Book Antiqua" w:hAnsi="Book Antiqua" w:cs="Times New Roman"/>
          <w:sz w:val="24"/>
          <w:szCs w:val="24"/>
        </w:rPr>
        <w:t>, Fagerberg L, Hallström BM, Lindskog C, Oksvold P, Mardinoglu A, Sivertsson Å, Kampf C, Sjöstedt E, Asplund A, Olsson I, Edlund K, Lundberg E, Navani S, Szigyarto CA, Odeberg J, Djureinovic D, Takanen JO, Hober S, Alm T, Edqvist PH, Berling H, Tegel H, Mulder J, Rockberg J, Nilsson P, Schwenk JM, Hamsten M, von Feilitzen K, Forsberg M, Persson L, Johansson F, Zwahlen M, von Heijne G, Nielsen J, Pontén F. Proteomics. Tissue-based map of the human proteome. </w:t>
      </w:r>
      <w:r w:rsidRPr="00300AAD">
        <w:rPr>
          <w:rFonts w:ascii="Book Antiqua" w:hAnsi="Book Antiqua" w:cs="Times New Roman"/>
          <w:i/>
          <w:iCs/>
          <w:sz w:val="24"/>
          <w:szCs w:val="24"/>
        </w:rPr>
        <w:t>Science</w:t>
      </w:r>
      <w:r w:rsidRPr="00300AAD">
        <w:rPr>
          <w:rFonts w:ascii="Book Antiqua" w:hAnsi="Book Antiqua" w:cs="Times New Roman"/>
          <w:sz w:val="24"/>
          <w:szCs w:val="24"/>
        </w:rPr>
        <w:t> 2015; </w:t>
      </w:r>
      <w:r w:rsidRPr="00300AAD">
        <w:rPr>
          <w:rFonts w:ascii="Book Antiqua" w:hAnsi="Book Antiqua" w:cs="Times New Roman"/>
          <w:b/>
          <w:bCs/>
          <w:sz w:val="24"/>
          <w:szCs w:val="24"/>
        </w:rPr>
        <w:t>347</w:t>
      </w:r>
      <w:r w:rsidRPr="00300AAD">
        <w:rPr>
          <w:rFonts w:ascii="Book Antiqua" w:hAnsi="Book Antiqua" w:cs="Times New Roman"/>
          <w:sz w:val="24"/>
          <w:szCs w:val="24"/>
        </w:rPr>
        <w:t>: 1260419 [PMID: 25613900 DOI: 10.1126/science.1260419]</w:t>
      </w:r>
    </w:p>
    <w:p w14:paraId="0CBE37DF"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22 </w:t>
      </w:r>
      <w:r w:rsidRPr="00300AAD">
        <w:rPr>
          <w:rFonts w:ascii="Book Antiqua" w:hAnsi="Book Antiqua" w:cs="Times New Roman"/>
          <w:b/>
          <w:bCs/>
          <w:sz w:val="24"/>
          <w:szCs w:val="24"/>
        </w:rPr>
        <w:t>Ponnelle T</w:t>
      </w:r>
      <w:r w:rsidRPr="00300AAD">
        <w:rPr>
          <w:rFonts w:ascii="Book Antiqua" w:hAnsi="Book Antiqua" w:cs="Times New Roman"/>
          <w:sz w:val="24"/>
          <w:szCs w:val="24"/>
        </w:rPr>
        <w:t>, Chapusot C, Martin L, Bonithon-Kopp C, Bouvier AM, Plenchette S, Rageot D, Faivre J, Solary E, Piard F. Subcellular expression of c-IAP1 and c-IAP2 in colorectal cancers: relationships with clinicopathological features and prognosis. </w:t>
      </w:r>
      <w:r w:rsidRPr="00300AAD">
        <w:rPr>
          <w:rFonts w:ascii="Book Antiqua" w:hAnsi="Book Antiqua" w:cs="Times New Roman"/>
          <w:i/>
          <w:iCs/>
          <w:sz w:val="24"/>
          <w:szCs w:val="24"/>
        </w:rPr>
        <w:t>Pathol Res Pract</w:t>
      </w:r>
      <w:r w:rsidRPr="00300AAD">
        <w:rPr>
          <w:rFonts w:ascii="Book Antiqua" w:hAnsi="Book Antiqua" w:cs="Times New Roman"/>
          <w:sz w:val="24"/>
          <w:szCs w:val="24"/>
        </w:rPr>
        <w:t> 2003; </w:t>
      </w:r>
      <w:r w:rsidRPr="00300AAD">
        <w:rPr>
          <w:rFonts w:ascii="Book Antiqua" w:hAnsi="Book Antiqua" w:cs="Times New Roman"/>
          <w:b/>
          <w:bCs/>
          <w:sz w:val="24"/>
          <w:szCs w:val="24"/>
        </w:rPr>
        <w:t>199</w:t>
      </w:r>
      <w:r w:rsidRPr="00300AAD">
        <w:rPr>
          <w:rFonts w:ascii="Book Antiqua" w:hAnsi="Book Antiqua" w:cs="Times New Roman"/>
          <w:sz w:val="24"/>
          <w:szCs w:val="24"/>
        </w:rPr>
        <w:t>: 723-731 [PMID: 14708638 DOI: 10.1078/0344-0338-00488]</w:t>
      </w:r>
    </w:p>
    <w:p w14:paraId="78721570"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23 </w:t>
      </w:r>
      <w:r w:rsidRPr="00300AAD">
        <w:rPr>
          <w:rFonts w:ascii="Book Antiqua" w:hAnsi="Book Antiqua" w:cs="Times New Roman"/>
          <w:b/>
          <w:bCs/>
          <w:sz w:val="24"/>
          <w:szCs w:val="24"/>
        </w:rPr>
        <w:t>Donahue JM</w:t>
      </w:r>
      <w:r w:rsidRPr="00300AAD">
        <w:rPr>
          <w:rFonts w:ascii="Book Antiqua" w:hAnsi="Book Antiqua" w:cs="Times New Roman"/>
          <w:sz w:val="24"/>
          <w:szCs w:val="24"/>
        </w:rPr>
        <w:t>, Chang ET, Xiao L, Wang PY, Rao JN, Turner DJ, Wang JY, Battafarano RJ. The RNA-binding protein HuR stabilizes survivin mRNA in human oesophageal epithelial cells. </w:t>
      </w:r>
      <w:r w:rsidRPr="00300AAD">
        <w:rPr>
          <w:rFonts w:ascii="Book Antiqua" w:hAnsi="Book Antiqua" w:cs="Times New Roman"/>
          <w:i/>
          <w:iCs/>
          <w:sz w:val="24"/>
          <w:szCs w:val="24"/>
        </w:rPr>
        <w:t>Biochem J</w:t>
      </w:r>
      <w:r w:rsidRPr="00300AAD">
        <w:rPr>
          <w:rFonts w:ascii="Book Antiqua" w:hAnsi="Book Antiqua" w:cs="Times New Roman"/>
          <w:sz w:val="24"/>
          <w:szCs w:val="24"/>
        </w:rPr>
        <w:t> 2011; </w:t>
      </w:r>
      <w:r w:rsidRPr="00300AAD">
        <w:rPr>
          <w:rFonts w:ascii="Book Antiqua" w:hAnsi="Book Antiqua" w:cs="Times New Roman"/>
          <w:b/>
          <w:bCs/>
          <w:sz w:val="24"/>
          <w:szCs w:val="24"/>
        </w:rPr>
        <w:t>437</w:t>
      </w:r>
      <w:r w:rsidRPr="00300AAD">
        <w:rPr>
          <w:rFonts w:ascii="Book Antiqua" w:hAnsi="Book Antiqua" w:cs="Times New Roman"/>
          <w:sz w:val="24"/>
          <w:szCs w:val="24"/>
        </w:rPr>
        <w:t>: 89-96 [PMID: 21443519 DOI: 10.1042/BJ20110028]</w:t>
      </w:r>
    </w:p>
    <w:p w14:paraId="4BAD6911"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24 </w:t>
      </w:r>
      <w:r w:rsidRPr="00300AAD">
        <w:rPr>
          <w:rFonts w:ascii="Book Antiqua" w:hAnsi="Book Antiqua" w:cs="Times New Roman"/>
          <w:b/>
          <w:bCs/>
          <w:sz w:val="24"/>
          <w:szCs w:val="24"/>
        </w:rPr>
        <w:t>Xie H</w:t>
      </w:r>
      <w:r w:rsidRPr="00300AAD">
        <w:rPr>
          <w:rFonts w:ascii="Book Antiqua" w:hAnsi="Book Antiqua" w:cs="Times New Roman"/>
          <w:sz w:val="24"/>
          <w:szCs w:val="24"/>
        </w:rPr>
        <w:t>, Jiang W, Xiao SY, Liu X. High expression of survivin is prognostic of shorter survival but not predictive of adjuvant gemcitabine benefit in patients with resected pancreatic adenocarcinoma. </w:t>
      </w:r>
      <w:r w:rsidRPr="00300AAD">
        <w:rPr>
          <w:rFonts w:ascii="Book Antiqua" w:hAnsi="Book Antiqua" w:cs="Times New Roman"/>
          <w:i/>
          <w:iCs/>
          <w:sz w:val="24"/>
          <w:szCs w:val="24"/>
        </w:rPr>
        <w:t>J Histochem Cytochem</w:t>
      </w:r>
      <w:r w:rsidRPr="00300AAD">
        <w:rPr>
          <w:rFonts w:ascii="Book Antiqua" w:hAnsi="Book Antiqua" w:cs="Times New Roman"/>
          <w:sz w:val="24"/>
          <w:szCs w:val="24"/>
        </w:rPr>
        <w:t> 2013; </w:t>
      </w:r>
      <w:r w:rsidRPr="00300AAD">
        <w:rPr>
          <w:rFonts w:ascii="Book Antiqua" w:hAnsi="Book Antiqua" w:cs="Times New Roman"/>
          <w:b/>
          <w:bCs/>
          <w:sz w:val="24"/>
          <w:szCs w:val="24"/>
        </w:rPr>
        <w:t>61</w:t>
      </w:r>
      <w:r w:rsidRPr="00300AAD">
        <w:rPr>
          <w:rFonts w:ascii="Book Antiqua" w:hAnsi="Book Antiqua" w:cs="Times New Roman"/>
          <w:sz w:val="24"/>
          <w:szCs w:val="24"/>
        </w:rPr>
        <w:t>: 148-155 [PMID: 23124118 DOI: 10.1369/0022155412468137]</w:t>
      </w:r>
    </w:p>
    <w:p w14:paraId="56A482EC"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25 </w:t>
      </w:r>
      <w:r w:rsidRPr="00300AAD">
        <w:rPr>
          <w:rFonts w:ascii="Book Antiqua" w:hAnsi="Book Antiqua" w:cs="Times New Roman"/>
          <w:b/>
          <w:bCs/>
          <w:sz w:val="24"/>
          <w:szCs w:val="24"/>
        </w:rPr>
        <w:t>Esposito I</w:t>
      </w:r>
      <w:r w:rsidRPr="00300AAD">
        <w:rPr>
          <w:rFonts w:ascii="Book Antiqua" w:hAnsi="Book Antiqua" w:cs="Times New Roman"/>
          <w:sz w:val="24"/>
          <w:szCs w:val="24"/>
        </w:rPr>
        <w:t xml:space="preserve">, Kleeff J, Abiatari I, Shi X, Giese N, Bergmann F, Roth W, Friess H, </w:t>
      </w:r>
      <w:r w:rsidRPr="00300AAD">
        <w:rPr>
          <w:rFonts w:ascii="Book Antiqua" w:hAnsi="Book Antiqua" w:cs="Times New Roman"/>
          <w:sz w:val="24"/>
          <w:szCs w:val="24"/>
        </w:rPr>
        <w:lastRenderedPageBreak/>
        <w:t>Schirmacher P. Overexpression of cellular inhibitor of apoptosis protein 2 is an early event in the progression of pancreatic cancer. </w:t>
      </w:r>
      <w:r w:rsidRPr="00300AAD">
        <w:rPr>
          <w:rFonts w:ascii="Book Antiqua" w:hAnsi="Book Antiqua" w:cs="Times New Roman"/>
          <w:i/>
          <w:iCs/>
          <w:sz w:val="24"/>
          <w:szCs w:val="24"/>
        </w:rPr>
        <w:t>J Clin Pathol</w:t>
      </w:r>
      <w:r w:rsidRPr="00300AAD">
        <w:rPr>
          <w:rFonts w:ascii="Book Antiqua" w:hAnsi="Book Antiqua" w:cs="Times New Roman"/>
          <w:sz w:val="24"/>
          <w:szCs w:val="24"/>
        </w:rPr>
        <w:t> 2007; </w:t>
      </w:r>
      <w:r w:rsidRPr="00300AAD">
        <w:rPr>
          <w:rFonts w:ascii="Book Antiqua" w:hAnsi="Book Antiqua" w:cs="Times New Roman"/>
          <w:b/>
          <w:bCs/>
          <w:sz w:val="24"/>
          <w:szCs w:val="24"/>
        </w:rPr>
        <w:t>60</w:t>
      </w:r>
      <w:r w:rsidRPr="00300AAD">
        <w:rPr>
          <w:rFonts w:ascii="Book Antiqua" w:hAnsi="Book Antiqua" w:cs="Times New Roman"/>
          <w:sz w:val="24"/>
          <w:szCs w:val="24"/>
        </w:rPr>
        <w:t>: 885-895 [PMID: 16775116 DOI: 10.1136/jcp.2006.038257]</w:t>
      </w:r>
    </w:p>
    <w:p w14:paraId="003F7819"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26 </w:t>
      </w:r>
      <w:r w:rsidRPr="00300AAD">
        <w:rPr>
          <w:rFonts w:ascii="Book Antiqua" w:hAnsi="Book Antiqua" w:cs="Times New Roman"/>
          <w:b/>
          <w:bCs/>
          <w:sz w:val="24"/>
          <w:szCs w:val="24"/>
        </w:rPr>
        <w:t>Zender L</w:t>
      </w:r>
      <w:r w:rsidRPr="00300AAD">
        <w:rPr>
          <w:rFonts w:ascii="Book Antiqua" w:hAnsi="Book Antiqua" w:cs="Times New Roman"/>
          <w:sz w:val="24"/>
          <w:szCs w:val="24"/>
        </w:rPr>
        <w:t>, Spector MS, Xue W, Flemming P, Cordon-Cardo C, Silke J, Fan ST, Luk JM, Wigler M, Hannon GJ, Mu D, Lucito R, Powers S, Lowe SW. Identification and validation of oncogenes in liver cancer using an integrative oncogenomic approach. </w:t>
      </w:r>
      <w:r w:rsidRPr="00300AAD">
        <w:rPr>
          <w:rFonts w:ascii="Book Antiqua" w:hAnsi="Book Antiqua" w:cs="Times New Roman"/>
          <w:i/>
          <w:iCs/>
          <w:sz w:val="24"/>
          <w:szCs w:val="24"/>
        </w:rPr>
        <w:t>Cell</w:t>
      </w:r>
      <w:r w:rsidRPr="00300AAD">
        <w:rPr>
          <w:rFonts w:ascii="Book Antiqua" w:hAnsi="Book Antiqua" w:cs="Times New Roman"/>
          <w:sz w:val="24"/>
          <w:szCs w:val="24"/>
        </w:rPr>
        <w:t> 2006; </w:t>
      </w:r>
      <w:r w:rsidRPr="00300AAD">
        <w:rPr>
          <w:rFonts w:ascii="Book Antiqua" w:hAnsi="Book Antiqua" w:cs="Times New Roman"/>
          <w:b/>
          <w:bCs/>
          <w:sz w:val="24"/>
          <w:szCs w:val="24"/>
        </w:rPr>
        <w:t>125</w:t>
      </w:r>
      <w:r w:rsidRPr="00300AAD">
        <w:rPr>
          <w:rFonts w:ascii="Book Antiqua" w:hAnsi="Book Antiqua" w:cs="Times New Roman"/>
          <w:sz w:val="24"/>
          <w:szCs w:val="24"/>
        </w:rPr>
        <w:t>: 1253-1267 [PMID: 16814713 DOI: 10.1016/j.cell.2006.05.030]</w:t>
      </w:r>
    </w:p>
    <w:p w14:paraId="1DEEFAD3"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27 </w:t>
      </w:r>
      <w:r w:rsidRPr="00300AAD">
        <w:rPr>
          <w:rFonts w:ascii="Book Antiqua" w:hAnsi="Book Antiqua" w:cs="Times New Roman"/>
          <w:b/>
          <w:bCs/>
          <w:sz w:val="24"/>
          <w:szCs w:val="24"/>
        </w:rPr>
        <w:t>Vince JE</w:t>
      </w:r>
      <w:r w:rsidRPr="00300AAD">
        <w:rPr>
          <w:rFonts w:ascii="Book Antiqua" w:hAnsi="Book Antiqua" w:cs="Times New Roman"/>
          <w:sz w:val="24"/>
          <w:szCs w:val="24"/>
        </w:rPr>
        <w:t>, Wong WW, Khan N, Feltham R, Chau D, Ahmed AU, Benetatos CA, Chunduru SK, Condon SM, McKinlay M, Brink R, Leverkus M, Tergaonkar V, Schneider P, Callus BA, Koentgen F, Vaux DL, Silke J. IAP antagonists target cIAP1 to induce TNFalpha-dependent apoptosis. </w:t>
      </w:r>
      <w:r w:rsidRPr="00300AAD">
        <w:rPr>
          <w:rFonts w:ascii="Book Antiqua" w:hAnsi="Book Antiqua" w:cs="Times New Roman"/>
          <w:i/>
          <w:iCs/>
          <w:sz w:val="24"/>
          <w:szCs w:val="24"/>
        </w:rPr>
        <w:t>Cell</w:t>
      </w:r>
      <w:r w:rsidRPr="00300AAD">
        <w:rPr>
          <w:rFonts w:ascii="Book Antiqua" w:hAnsi="Book Antiqua" w:cs="Times New Roman"/>
          <w:sz w:val="24"/>
          <w:szCs w:val="24"/>
        </w:rPr>
        <w:t> 2007; </w:t>
      </w:r>
      <w:r w:rsidRPr="00300AAD">
        <w:rPr>
          <w:rFonts w:ascii="Book Antiqua" w:hAnsi="Book Antiqua" w:cs="Times New Roman"/>
          <w:b/>
          <w:bCs/>
          <w:sz w:val="24"/>
          <w:szCs w:val="24"/>
        </w:rPr>
        <w:t>131</w:t>
      </w:r>
      <w:r w:rsidRPr="00300AAD">
        <w:rPr>
          <w:rFonts w:ascii="Book Antiqua" w:hAnsi="Book Antiqua" w:cs="Times New Roman"/>
          <w:sz w:val="24"/>
          <w:szCs w:val="24"/>
        </w:rPr>
        <w:t>: 682-693 [PMID: 18022363 DOI: 10.1016/j.cell.2007.10.037]</w:t>
      </w:r>
    </w:p>
    <w:p w14:paraId="74193CC7"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28 </w:t>
      </w:r>
      <w:r w:rsidRPr="00300AAD">
        <w:rPr>
          <w:rFonts w:ascii="Book Antiqua" w:hAnsi="Book Antiqua" w:cs="Times New Roman"/>
          <w:b/>
          <w:bCs/>
          <w:sz w:val="24"/>
          <w:szCs w:val="24"/>
        </w:rPr>
        <w:t>Zhang X</w:t>
      </w:r>
      <w:r w:rsidRPr="00300AAD">
        <w:rPr>
          <w:rFonts w:ascii="Book Antiqua" w:hAnsi="Book Antiqua" w:cs="Times New Roman"/>
          <w:sz w:val="24"/>
          <w:szCs w:val="24"/>
        </w:rPr>
        <w:t>, Zou T, Rao JN, Liu L, Xiao L, Wang PY, Cui YH, Gorospe M, Wang JY. Stabilization of XIAP mRNA through the RNA binding protein HuR regulated by cellular polyamines. </w:t>
      </w:r>
      <w:r w:rsidRPr="00300AAD">
        <w:rPr>
          <w:rFonts w:ascii="Book Antiqua" w:hAnsi="Book Antiqua" w:cs="Times New Roman"/>
          <w:i/>
          <w:iCs/>
          <w:sz w:val="24"/>
          <w:szCs w:val="24"/>
        </w:rPr>
        <w:t>Nucleic Acids Res</w:t>
      </w:r>
      <w:r w:rsidRPr="00300AAD">
        <w:rPr>
          <w:rFonts w:ascii="Book Antiqua" w:hAnsi="Book Antiqua" w:cs="Times New Roman"/>
          <w:sz w:val="24"/>
          <w:szCs w:val="24"/>
        </w:rPr>
        <w:t> 2009; </w:t>
      </w:r>
      <w:r w:rsidRPr="00300AAD">
        <w:rPr>
          <w:rFonts w:ascii="Book Antiqua" w:hAnsi="Book Antiqua" w:cs="Times New Roman"/>
          <w:b/>
          <w:bCs/>
          <w:sz w:val="24"/>
          <w:szCs w:val="24"/>
        </w:rPr>
        <w:t>37</w:t>
      </w:r>
      <w:r w:rsidRPr="00300AAD">
        <w:rPr>
          <w:rFonts w:ascii="Book Antiqua" w:hAnsi="Book Antiqua" w:cs="Times New Roman"/>
          <w:sz w:val="24"/>
          <w:szCs w:val="24"/>
        </w:rPr>
        <w:t>: 7623-7637 [PMID: 19825980 DOI: 10.1093/nar/gkp755]</w:t>
      </w:r>
    </w:p>
    <w:p w14:paraId="073D9B80"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29 </w:t>
      </w:r>
      <w:r w:rsidRPr="00300AAD">
        <w:rPr>
          <w:rFonts w:ascii="Book Antiqua" w:hAnsi="Book Antiqua" w:cs="Times New Roman"/>
          <w:b/>
          <w:bCs/>
          <w:sz w:val="24"/>
          <w:szCs w:val="24"/>
        </w:rPr>
        <w:t>Tatarian T</w:t>
      </w:r>
      <w:r w:rsidRPr="00300AAD">
        <w:rPr>
          <w:rFonts w:ascii="Book Antiqua" w:hAnsi="Book Antiqua" w:cs="Times New Roman"/>
          <w:sz w:val="24"/>
          <w:szCs w:val="24"/>
        </w:rPr>
        <w:t>, Jiang W, Leiby BE, Grigoli A, Jimbo M, Dabbish N, Neoptolemos JP, Greenhalf W, Costello E, Ghaneh P, Halloran C, Palmer D, Buchler M, Yeo CJ, Winter JM, Brody JR. Cytoplasmic HuR Status Predicts Disease-free Survival in Resected Pancreatic Cancer: A Post-hoc Analysis From the International Phase III ESPAC-3 Clinical Trial. </w:t>
      </w:r>
      <w:r w:rsidRPr="00300AAD">
        <w:rPr>
          <w:rFonts w:ascii="Book Antiqua" w:hAnsi="Book Antiqua" w:cs="Times New Roman"/>
          <w:i/>
          <w:iCs/>
          <w:sz w:val="24"/>
          <w:szCs w:val="24"/>
        </w:rPr>
        <w:t>Ann Surg</w:t>
      </w:r>
      <w:r w:rsidRPr="00300AAD">
        <w:rPr>
          <w:rFonts w:ascii="Book Antiqua" w:hAnsi="Book Antiqua" w:cs="Times New Roman"/>
          <w:sz w:val="24"/>
          <w:szCs w:val="24"/>
        </w:rPr>
        <w:t> 2018; </w:t>
      </w:r>
      <w:r w:rsidRPr="00300AAD">
        <w:rPr>
          <w:rFonts w:ascii="Book Antiqua" w:hAnsi="Book Antiqua" w:cs="Times New Roman"/>
          <w:b/>
          <w:bCs/>
          <w:sz w:val="24"/>
          <w:szCs w:val="24"/>
        </w:rPr>
        <w:t>267</w:t>
      </w:r>
      <w:r w:rsidRPr="00300AAD">
        <w:rPr>
          <w:rFonts w:ascii="Book Antiqua" w:hAnsi="Book Antiqua" w:cs="Times New Roman"/>
          <w:sz w:val="24"/>
          <w:szCs w:val="24"/>
        </w:rPr>
        <w:t>: 364-369 [PMID: 27893535 DOI: 10.1097/SLA.0000000000002088]</w:t>
      </w:r>
    </w:p>
    <w:p w14:paraId="6183450E"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30 </w:t>
      </w:r>
      <w:r w:rsidRPr="00300AAD">
        <w:rPr>
          <w:rFonts w:ascii="Book Antiqua" w:hAnsi="Book Antiqua" w:cs="Times New Roman"/>
          <w:b/>
          <w:bCs/>
          <w:sz w:val="24"/>
          <w:szCs w:val="24"/>
        </w:rPr>
        <w:t>Maréchal R</w:t>
      </w:r>
      <w:r w:rsidRPr="00300AAD">
        <w:rPr>
          <w:rFonts w:ascii="Book Antiqua" w:hAnsi="Book Antiqua" w:cs="Times New Roman"/>
          <w:sz w:val="24"/>
          <w:szCs w:val="24"/>
        </w:rPr>
        <w:t>, Van Laethem JL. HuR modulates gemcitabine efficacy: new perspectives in pancreatic cancer treatment. </w:t>
      </w:r>
      <w:r w:rsidRPr="00300AAD">
        <w:rPr>
          <w:rFonts w:ascii="Book Antiqua" w:hAnsi="Book Antiqua" w:cs="Times New Roman"/>
          <w:i/>
          <w:iCs/>
          <w:sz w:val="24"/>
          <w:szCs w:val="24"/>
        </w:rPr>
        <w:t>Expert Rev Anticancer Ther</w:t>
      </w:r>
      <w:r w:rsidRPr="00300AAD">
        <w:rPr>
          <w:rFonts w:ascii="Book Antiqua" w:hAnsi="Book Antiqua" w:cs="Times New Roman"/>
          <w:sz w:val="24"/>
          <w:szCs w:val="24"/>
        </w:rPr>
        <w:t> 2009; </w:t>
      </w:r>
      <w:r w:rsidRPr="00300AAD">
        <w:rPr>
          <w:rFonts w:ascii="Book Antiqua" w:hAnsi="Book Antiqua" w:cs="Times New Roman"/>
          <w:b/>
          <w:bCs/>
          <w:sz w:val="24"/>
          <w:szCs w:val="24"/>
        </w:rPr>
        <w:t>9</w:t>
      </w:r>
      <w:r w:rsidRPr="00300AAD">
        <w:rPr>
          <w:rFonts w:ascii="Book Antiqua" w:hAnsi="Book Antiqua" w:cs="Times New Roman"/>
          <w:sz w:val="24"/>
          <w:szCs w:val="24"/>
        </w:rPr>
        <w:t>: 1439-1441 [PMID: 19828005 DOI: 10.1586/era.09.119]</w:t>
      </w:r>
    </w:p>
    <w:p w14:paraId="03FD15D6"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31 </w:t>
      </w:r>
      <w:r w:rsidRPr="00300AAD">
        <w:rPr>
          <w:rFonts w:ascii="Book Antiqua" w:hAnsi="Book Antiqua" w:cs="Times New Roman"/>
          <w:b/>
          <w:bCs/>
          <w:sz w:val="24"/>
          <w:szCs w:val="24"/>
        </w:rPr>
        <w:t>Jakstaite A</w:t>
      </w:r>
      <w:r w:rsidRPr="00300AAD">
        <w:rPr>
          <w:rFonts w:ascii="Book Antiqua" w:hAnsi="Book Antiqua" w:cs="Times New Roman"/>
          <w:sz w:val="24"/>
          <w:szCs w:val="24"/>
        </w:rPr>
        <w:t>, Maziukiene A, Silkuniene G, Kmieliute K, Dauksa A, Paskauskas S, Gulbinas A, Dambrauskas Z. Upregulation of cugbp2 increases response of pancreatic cancer cells to chemotherapy. </w:t>
      </w:r>
      <w:r w:rsidRPr="00300AAD">
        <w:rPr>
          <w:rFonts w:ascii="Book Antiqua" w:hAnsi="Book Antiqua" w:cs="Times New Roman"/>
          <w:i/>
          <w:iCs/>
          <w:sz w:val="24"/>
          <w:szCs w:val="24"/>
        </w:rPr>
        <w:t>Langenbecks Arch Surg</w:t>
      </w:r>
      <w:r w:rsidRPr="00300AAD">
        <w:rPr>
          <w:rFonts w:ascii="Book Antiqua" w:hAnsi="Book Antiqua" w:cs="Times New Roman"/>
          <w:sz w:val="24"/>
          <w:szCs w:val="24"/>
        </w:rPr>
        <w:t> 2016; </w:t>
      </w:r>
      <w:r w:rsidRPr="00300AAD">
        <w:rPr>
          <w:rFonts w:ascii="Book Antiqua" w:hAnsi="Book Antiqua" w:cs="Times New Roman"/>
          <w:b/>
          <w:bCs/>
          <w:sz w:val="24"/>
          <w:szCs w:val="24"/>
        </w:rPr>
        <w:t>401</w:t>
      </w:r>
      <w:r w:rsidRPr="00300AAD">
        <w:rPr>
          <w:rFonts w:ascii="Book Antiqua" w:hAnsi="Book Antiqua" w:cs="Times New Roman"/>
          <w:sz w:val="24"/>
          <w:szCs w:val="24"/>
        </w:rPr>
        <w:t>: 99-111 [PMID: 26691217 DOI: 10.1007/s00423-015-1364-1]</w:t>
      </w:r>
    </w:p>
    <w:p w14:paraId="1F3B6DDD"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32 </w:t>
      </w:r>
      <w:r w:rsidRPr="00300AAD">
        <w:rPr>
          <w:rFonts w:ascii="Book Antiqua" w:hAnsi="Book Antiqua" w:cs="Times New Roman"/>
          <w:b/>
          <w:bCs/>
          <w:sz w:val="24"/>
          <w:szCs w:val="24"/>
        </w:rPr>
        <w:t>Richards NG</w:t>
      </w:r>
      <w:r w:rsidRPr="00300AAD">
        <w:rPr>
          <w:rFonts w:ascii="Book Antiqua" w:hAnsi="Book Antiqua" w:cs="Times New Roman"/>
          <w:sz w:val="24"/>
          <w:szCs w:val="24"/>
        </w:rPr>
        <w:t xml:space="preserve">, Rittenhouse DW, Freydin B, Cozzitorto JA, Grenda D, Rui H, Gonye G, Kennedy EP, Yeo CJ, Brody JR, Witkiewicz AK. HuR status is a powerful </w:t>
      </w:r>
      <w:r w:rsidRPr="00300AAD">
        <w:rPr>
          <w:rFonts w:ascii="Book Antiqua" w:hAnsi="Book Antiqua" w:cs="Times New Roman"/>
          <w:sz w:val="24"/>
          <w:szCs w:val="24"/>
        </w:rPr>
        <w:lastRenderedPageBreak/>
        <w:t>marker for prognosis and response to gemcitabine-based chemotherapy for resected pancreatic ductal adenocarcinoma patients. </w:t>
      </w:r>
      <w:r w:rsidRPr="00300AAD">
        <w:rPr>
          <w:rFonts w:ascii="Book Antiqua" w:hAnsi="Book Antiqua" w:cs="Times New Roman"/>
          <w:i/>
          <w:iCs/>
          <w:sz w:val="24"/>
          <w:szCs w:val="24"/>
        </w:rPr>
        <w:t>Ann Surg</w:t>
      </w:r>
      <w:r w:rsidRPr="00300AAD">
        <w:rPr>
          <w:rFonts w:ascii="Book Antiqua" w:hAnsi="Book Antiqua" w:cs="Times New Roman"/>
          <w:sz w:val="24"/>
          <w:szCs w:val="24"/>
        </w:rPr>
        <w:t> 2010; </w:t>
      </w:r>
      <w:r w:rsidRPr="00300AAD">
        <w:rPr>
          <w:rFonts w:ascii="Book Antiqua" w:hAnsi="Book Antiqua" w:cs="Times New Roman"/>
          <w:b/>
          <w:bCs/>
          <w:sz w:val="24"/>
          <w:szCs w:val="24"/>
        </w:rPr>
        <w:t>252</w:t>
      </w:r>
      <w:r w:rsidRPr="00300AAD">
        <w:rPr>
          <w:rFonts w:ascii="Book Antiqua" w:hAnsi="Book Antiqua" w:cs="Times New Roman"/>
          <w:sz w:val="24"/>
          <w:szCs w:val="24"/>
        </w:rPr>
        <w:t>: 499-505; discussion 505-6 [PMID: 20739850 DOI: 10.1097/SLA.0b013e3181f1fd44]</w:t>
      </w:r>
    </w:p>
    <w:p w14:paraId="45F276D3" w14:textId="77777777" w:rsidR="00300AAD" w:rsidRPr="00300AAD" w:rsidRDefault="00300AAD" w:rsidP="00300AAD">
      <w:pPr>
        <w:widowControl w:val="0"/>
        <w:snapToGrid w:val="0"/>
        <w:spacing w:line="360" w:lineRule="auto"/>
        <w:jc w:val="both"/>
        <w:rPr>
          <w:rFonts w:ascii="Book Antiqua" w:hAnsi="Book Antiqua" w:cs="Times New Roman"/>
          <w:sz w:val="24"/>
          <w:szCs w:val="24"/>
        </w:rPr>
      </w:pPr>
      <w:r w:rsidRPr="00300AAD">
        <w:rPr>
          <w:rFonts w:ascii="Book Antiqua" w:hAnsi="Book Antiqua" w:cs="Times New Roman"/>
          <w:sz w:val="24"/>
          <w:szCs w:val="24"/>
        </w:rPr>
        <w:t>33 </w:t>
      </w:r>
      <w:r w:rsidRPr="00300AAD">
        <w:rPr>
          <w:rFonts w:ascii="Book Antiqua" w:hAnsi="Book Antiqua" w:cs="Times New Roman"/>
          <w:b/>
          <w:bCs/>
          <w:sz w:val="24"/>
          <w:szCs w:val="24"/>
        </w:rPr>
        <w:t>Ozawa F</w:t>
      </w:r>
      <w:r w:rsidRPr="00300AAD">
        <w:rPr>
          <w:rFonts w:ascii="Book Antiqua" w:hAnsi="Book Antiqua" w:cs="Times New Roman"/>
          <w:sz w:val="24"/>
          <w:szCs w:val="24"/>
        </w:rPr>
        <w:t>, Friess H, Kleeff J, Xu ZW, Zimmermann A, Sheikh MS, Büchler MW. Effects and expression of TRAIL and its apoptosis-promoting receptors in human pancreatic cancer. </w:t>
      </w:r>
      <w:r w:rsidRPr="00300AAD">
        <w:rPr>
          <w:rFonts w:ascii="Book Antiqua" w:hAnsi="Book Antiqua" w:cs="Times New Roman"/>
          <w:i/>
          <w:iCs/>
          <w:sz w:val="24"/>
          <w:szCs w:val="24"/>
        </w:rPr>
        <w:t>Cancer Lett</w:t>
      </w:r>
      <w:r w:rsidRPr="00300AAD">
        <w:rPr>
          <w:rFonts w:ascii="Book Antiqua" w:hAnsi="Book Antiqua" w:cs="Times New Roman"/>
          <w:sz w:val="24"/>
          <w:szCs w:val="24"/>
        </w:rPr>
        <w:t> 2001; </w:t>
      </w:r>
      <w:r w:rsidRPr="00300AAD">
        <w:rPr>
          <w:rFonts w:ascii="Book Antiqua" w:hAnsi="Book Antiqua" w:cs="Times New Roman"/>
          <w:b/>
          <w:bCs/>
          <w:sz w:val="24"/>
          <w:szCs w:val="24"/>
        </w:rPr>
        <w:t>163</w:t>
      </w:r>
      <w:r w:rsidRPr="00300AAD">
        <w:rPr>
          <w:rFonts w:ascii="Book Antiqua" w:hAnsi="Book Antiqua" w:cs="Times New Roman"/>
          <w:sz w:val="24"/>
          <w:szCs w:val="24"/>
        </w:rPr>
        <w:t>: 71-81 [PMID: 11163110 DOI: 10.1016/S0304-3835(00)00660-1]</w:t>
      </w:r>
    </w:p>
    <w:p w14:paraId="177A79BE" w14:textId="003794BF" w:rsidR="00A23D3C" w:rsidRPr="00141E92" w:rsidRDefault="00A23D3C" w:rsidP="00300AAD">
      <w:pPr>
        <w:widowControl w:val="0"/>
        <w:snapToGrid w:val="0"/>
        <w:spacing w:line="360" w:lineRule="auto"/>
        <w:jc w:val="both"/>
        <w:rPr>
          <w:rFonts w:ascii="Book Antiqua" w:hAnsi="Book Antiqua"/>
          <w:sz w:val="24"/>
          <w:szCs w:val="24"/>
        </w:rPr>
      </w:pPr>
    </w:p>
    <w:p w14:paraId="0179194E" w14:textId="3DC4F592" w:rsidR="00300AAD" w:rsidRPr="00300AAD" w:rsidRDefault="00B93D69" w:rsidP="00300AAD">
      <w:pPr>
        <w:wordWrap w:val="0"/>
        <w:snapToGrid w:val="0"/>
        <w:spacing w:line="360" w:lineRule="auto"/>
        <w:jc w:val="right"/>
        <w:rPr>
          <w:rFonts w:ascii="Book Antiqua" w:hAnsi="Book Antiqua"/>
          <w:b/>
          <w:bCs/>
          <w:sz w:val="24"/>
          <w:szCs w:val="24"/>
        </w:rPr>
      </w:pPr>
      <w:r w:rsidRPr="00141E92">
        <w:rPr>
          <w:rFonts w:ascii="Book Antiqua" w:hAnsi="Book Antiqua"/>
          <w:b/>
          <w:sz w:val="24"/>
          <w:szCs w:val="24"/>
        </w:rPr>
        <w:fldChar w:fldCharType="end"/>
      </w:r>
      <w:bookmarkStart w:id="43" w:name="OLE_LINK148"/>
      <w:bookmarkStart w:id="44" w:name="OLE_LINK320"/>
      <w:bookmarkStart w:id="45" w:name="OLE_LINK387"/>
      <w:bookmarkStart w:id="46" w:name="OLE_LINK254"/>
      <w:bookmarkStart w:id="47" w:name="OLE_LINK149"/>
      <w:bookmarkStart w:id="48" w:name="OLE_LINK225"/>
      <w:bookmarkStart w:id="49" w:name="OLE_LINK207"/>
      <w:bookmarkStart w:id="50" w:name="OLE_LINK226"/>
      <w:bookmarkStart w:id="51" w:name="OLE_LINK212"/>
      <w:bookmarkStart w:id="52" w:name="OLE_LINK250"/>
      <w:bookmarkStart w:id="53" w:name="OLE_LINK281"/>
      <w:bookmarkStart w:id="54" w:name="OLE_LINK282"/>
      <w:bookmarkStart w:id="55" w:name="OLE_LINK313"/>
      <w:bookmarkStart w:id="56" w:name="OLE_LINK304"/>
      <w:bookmarkStart w:id="57" w:name="OLE_LINK321"/>
      <w:bookmarkStart w:id="58" w:name="OLE_LINK385"/>
      <w:bookmarkStart w:id="59" w:name="OLE_LINK400"/>
      <w:bookmarkStart w:id="60" w:name="OLE_LINK346"/>
      <w:bookmarkStart w:id="61" w:name="OLE_LINK371"/>
      <w:bookmarkStart w:id="62" w:name="OLE_LINK334"/>
      <w:bookmarkStart w:id="63" w:name="OLE_LINK1830"/>
      <w:bookmarkStart w:id="64" w:name="OLE_LINK457"/>
      <w:bookmarkStart w:id="65" w:name="OLE_LINK288"/>
      <w:bookmarkStart w:id="66" w:name="OLE_LINK384"/>
      <w:bookmarkStart w:id="67" w:name="OLE_LINK379"/>
      <w:bookmarkStart w:id="68" w:name="OLE_LINK303"/>
      <w:bookmarkStart w:id="69" w:name="OLE_LINK450"/>
      <w:bookmarkStart w:id="70" w:name="OLE_LINK489"/>
      <w:bookmarkStart w:id="71" w:name="OLE_LINK535"/>
      <w:bookmarkStart w:id="72" w:name="OLE_LINK648"/>
      <w:bookmarkStart w:id="73" w:name="OLE_LINK686"/>
      <w:bookmarkStart w:id="74" w:name="OLE_LINK471"/>
      <w:bookmarkStart w:id="75" w:name="OLE_LINK462"/>
      <w:bookmarkStart w:id="76" w:name="OLE_LINK519"/>
      <w:bookmarkStart w:id="77" w:name="OLE_LINK575"/>
      <w:bookmarkStart w:id="78" w:name="OLE_LINK491"/>
      <w:bookmarkStart w:id="79" w:name="OLE_LINK532"/>
      <w:bookmarkStart w:id="80" w:name="OLE_LINK572"/>
      <w:bookmarkStart w:id="81" w:name="OLE_LINK574"/>
      <w:bookmarkStart w:id="82" w:name="OLE_LINK480"/>
      <w:bookmarkStart w:id="83" w:name="OLE_LINK567"/>
      <w:bookmarkStart w:id="84" w:name="OLE_LINK2700"/>
      <w:bookmarkStart w:id="85" w:name="OLE_LINK581"/>
      <w:bookmarkStart w:id="86" w:name="OLE_LINK639"/>
      <w:bookmarkStart w:id="87" w:name="OLE_LINK688"/>
      <w:bookmarkStart w:id="88" w:name="OLE_LINK722"/>
      <w:bookmarkStart w:id="89" w:name="OLE_LINK542"/>
      <w:bookmarkStart w:id="90" w:name="OLE_LINK589"/>
      <w:bookmarkStart w:id="91" w:name="OLE_LINK582"/>
      <w:bookmarkStart w:id="92" w:name="OLE_LINK640"/>
      <w:bookmarkStart w:id="93" w:name="OLE_LINK714"/>
      <w:bookmarkStart w:id="94" w:name="OLE_LINK593"/>
      <w:bookmarkStart w:id="95" w:name="OLE_LINK716"/>
      <w:bookmarkStart w:id="96" w:name="OLE_LINK770"/>
      <w:bookmarkStart w:id="97" w:name="OLE_LINK801"/>
      <w:bookmarkStart w:id="98" w:name="OLE_LINK660"/>
      <w:bookmarkStart w:id="99" w:name="OLE_LINK781"/>
      <w:bookmarkStart w:id="100" w:name="OLE_LINK833"/>
      <w:bookmarkStart w:id="101" w:name="OLE_LINK642"/>
      <w:bookmarkStart w:id="102" w:name="OLE_LINK700"/>
      <w:bookmarkStart w:id="103" w:name="OLE_LINK792"/>
      <w:bookmarkStart w:id="104" w:name="OLE_LINK2882"/>
      <w:bookmarkStart w:id="105" w:name="OLE_LINK836"/>
      <w:bookmarkStart w:id="106" w:name="OLE_LINK889"/>
      <w:bookmarkStart w:id="107" w:name="OLE_LINK782"/>
      <w:bookmarkStart w:id="108" w:name="OLE_LINK826"/>
      <w:bookmarkStart w:id="109" w:name="OLE_LINK865"/>
      <w:bookmarkStart w:id="110" w:name="OLE_LINK856"/>
      <w:bookmarkStart w:id="111" w:name="OLE_LINK908"/>
      <w:bookmarkStart w:id="112" w:name="OLE_LINK980"/>
      <w:bookmarkStart w:id="113" w:name="OLE_LINK1018"/>
      <w:bookmarkStart w:id="114" w:name="OLE_LINK1049"/>
      <w:bookmarkStart w:id="115" w:name="OLE_LINK1076"/>
      <w:bookmarkStart w:id="116" w:name="OLE_LINK1106"/>
      <w:bookmarkStart w:id="117" w:name="OLE_LINK891"/>
      <w:bookmarkStart w:id="118" w:name="OLE_LINK943"/>
      <w:bookmarkStart w:id="119" w:name="OLE_LINK981"/>
      <w:bookmarkStart w:id="120" w:name="OLE_LINK1030"/>
      <w:bookmarkStart w:id="121" w:name="OLE_LINK847"/>
      <w:bookmarkStart w:id="122" w:name="OLE_LINK909"/>
      <w:bookmarkStart w:id="123" w:name="OLE_LINK906"/>
      <w:bookmarkStart w:id="124" w:name="OLE_LINK992"/>
      <w:bookmarkStart w:id="125" w:name="OLE_LINK993"/>
      <w:bookmarkStart w:id="126" w:name="OLE_LINK1052"/>
      <w:bookmarkStart w:id="127" w:name="OLE_LINK946"/>
      <w:bookmarkStart w:id="128" w:name="OLE_LINK911"/>
      <w:bookmarkStart w:id="129" w:name="OLE_LINK930"/>
      <w:bookmarkStart w:id="130" w:name="OLE_LINK1059"/>
      <w:bookmarkStart w:id="131" w:name="OLE_LINK1174"/>
      <w:bookmarkStart w:id="132" w:name="OLE_LINK1137"/>
      <w:bookmarkStart w:id="133" w:name="OLE_LINK1167"/>
      <w:bookmarkStart w:id="134" w:name="OLE_LINK1200"/>
      <w:bookmarkStart w:id="135" w:name="OLE_LINK1241"/>
      <w:bookmarkStart w:id="136" w:name="OLE_LINK1288"/>
      <w:bookmarkStart w:id="137" w:name="OLE_LINK1056"/>
      <w:bookmarkStart w:id="138" w:name="OLE_LINK1158"/>
      <w:bookmarkStart w:id="139" w:name="OLE_LINK1175"/>
      <w:bookmarkStart w:id="140" w:name="OLE_LINK1074"/>
      <w:bookmarkStart w:id="141" w:name="OLE_LINK1169"/>
      <w:bookmarkStart w:id="142" w:name="OLE_LINK386"/>
      <w:bookmarkStart w:id="143" w:name="OLE_LINK33"/>
      <w:bookmarkStart w:id="144" w:name="OLE_LINK34"/>
      <w:r w:rsidR="00300AAD" w:rsidRPr="00300AAD">
        <w:rPr>
          <w:rFonts w:ascii="Book Antiqua" w:hAnsi="Book Antiqua"/>
          <w:b/>
          <w:bCs/>
        </w:rPr>
        <w:t xml:space="preserve"> </w:t>
      </w:r>
      <w:r w:rsidR="00300AAD" w:rsidRPr="00300AAD">
        <w:rPr>
          <w:rFonts w:ascii="Book Antiqua" w:hAnsi="Book Antiqua"/>
          <w:b/>
          <w:bCs/>
          <w:sz w:val="24"/>
          <w:szCs w:val="24"/>
        </w:rPr>
        <w:t>P-Reviewer:</w:t>
      </w:r>
      <w:r w:rsidR="00300AAD" w:rsidRPr="00300AAD">
        <w:rPr>
          <w:rFonts w:ascii="Book Antiqua" w:hAnsi="Book Antiqua" w:hint="eastAsia"/>
          <w:b/>
          <w:bCs/>
          <w:sz w:val="24"/>
          <w:szCs w:val="24"/>
        </w:rPr>
        <w:t xml:space="preserve"> </w:t>
      </w:r>
      <w:r w:rsidR="00300AAD">
        <w:rPr>
          <w:rFonts w:ascii="Book Antiqua" w:hAnsi="Book Antiqua"/>
          <w:bCs/>
          <w:sz w:val="24"/>
          <w:szCs w:val="24"/>
        </w:rPr>
        <w:t>Jung YD, Sun X</w:t>
      </w:r>
      <w:r w:rsidR="00B251F5">
        <w:rPr>
          <w:rFonts w:ascii="Book Antiqua" w:hAnsi="Book Antiqua"/>
          <w:bCs/>
          <w:sz w:val="24"/>
          <w:szCs w:val="24"/>
        </w:rPr>
        <w:t>T</w:t>
      </w:r>
      <w:r w:rsidR="00300AAD">
        <w:rPr>
          <w:rFonts w:ascii="Book Antiqua" w:hAnsi="Book Antiqua"/>
          <w:bCs/>
          <w:sz w:val="24"/>
          <w:szCs w:val="24"/>
        </w:rPr>
        <w:t>, Xiao MB</w:t>
      </w:r>
    </w:p>
    <w:p w14:paraId="1DCC833B" w14:textId="68E573ED" w:rsidR="00300AAD" w:rsidRPr="00300AAD" w:rsidRDefault="00300AAD" w:rsidP="005A46CE">
      <w:pPr>
        <w:wordWrap w:val="0"/>
        <w:snapToGrid w:val="0"/>
        <w:spacing w:line="360" w:lineRule="auto"/>
        <w:jc w:val="right"/>
        <w:rPr>
          <w:rFonts w:ascii="Book Antiqua" w:hAnsi="Book Antiqua"/>
          <w:sz w:val="24"/>
          <w:szCs w:val="24"/>
          <w:lang w:eastAsia="zh-CN"/>
        </w:rPr>
      </w:pPr>
      <w:r w:rsidRPr="00300AAD">
        <w:rPr>
          <w:rFonts w:ascii="Book Antiqua" w:hAnsi="Book Antiqua"/>
          <w:b/>
          <w:bCs/>
          <w:sz w:val="24"/>
          <w:szCs w:val="24"/>
        </w:rPr>
        <w:t>S-Editor:</w:t>
      </w:r>
      <w:r w:rsidRPr="00300AAD">
        <w:rPr>
          <w:rFonts w:ascii="Book Antiqua" w:hAnsi="Book Antiqua" w:hint="eastAsia"/>
          <w:sz w:val="24"/>
          <w:szCs w:val="24"/>
        </w:rPr>
        <w:t xml:space="preserve"> </w:t>
      </w:r>
      <w:r w:rsidRPr="00300AAD">
        <w:rPr>
          <w:rFonts w:ascii="Book Antiqua" w:hAnsi="Book Antiqua"/>
          <w:sz w:val="24"/>
          <w:szCs w:val="24"/>
        </w:rPr>
        <w:t>Ma</w:t>
      </w:r>
      <w:r w:rsidRPr="00300AAD">
        <w:rPr>
          <w:rFonts w:ascii="Book Antiqua" w:hAnsi="Book Antiqua" w:hint="eastAsia"/>
          <w:sz w:val="24"/>
          <w:szCs w:val="24"/>
        </w:rPr>
        <w:t xml:space="preserve"> </w:t>
      </w:r>
      <w:r w:rsidRPr="00300AAD">
        <w:rPr>
          <w:rFonts w:ascii="Book Antiqua" w:hAnsi="Book Antiqua"/>
          <w:sz w:val="24"/>
          <w:szCs w:val="24"/>
        </w:rPr>
        <w:t>RY</w:t>
      </w:r>
      <w:r w:rsidRPr="00300AAD">
        <w:rPr>
          <w:rFonts w:ascii="Book Antiqua" w:hAnsi="Book Antiqua" w:hint="eastAsia"/>
          <w:sz w:val="24"/>
          <w:szCs w:val="24"/>
        </w:rPr>
        <w:t xml:space="preserve"> </w:t>
      </w:r>
      <w:r w:rsidRPr="00300AAD">
        <w:rPr>
          <w:rFonts w:ascii="Book Antiqua" w:hAnsi="Book Antiqua"/>
          <w:b/>
          <w:bCs/>
          <w:sz w:val="24"/>
          <w:szCs w:val="24"/>
        </w:rPr>
        <w:t>L-Editor:</w:t>
      </w:r>
      <w:r w:rsidRPr="00300AAD">
        <w:rPr>
          <w:rFonts w:ascii="Book Antiqua" w:hAnsi="Book Antiqua"/>
          <w:sz w:val="24"/>
          <w:szCs w:val="24"/>
        </w:rPr>
        <w:t xml:space="preserve"> </w:t>
      </w:r>
      <w:r w:rsidR="005A46CE" w:rsidRPr="005A46CE">
        <w:rPr>
          <w:rFonts w:ascii="Book Antiqua" w:hAnsi="Book Antiqua" w:hint="eastAsia"/>
          <w:sz w:val="24"/>
          <w:szCs w:val="24"/>
          <w:lang w:eastAsia="zh-CN"/>
        </w:rPr>
        <w:t>A</w:t>
      </w:r>
      <w:r w:rsidR="005A46CE">
        <w:rPr>
          <w:rFonts w:ascii="Book Antiqua" w:hAnsi="Book Antiqua" w:hint="eastAsia"/>
          <w:sz w:val="24"/>
          <w:szCs w:val="24"/>
          <w:lang w:eastAsia="zh-CN"/>
        </w:rPr>
        <w:t xml:space="preserve"> </w:t>
      </w:r>
      <w:r w:rsidRPr="00300AAD">
        <w:rPr>
          <w:rFonts w:ascii="Book Antiqua" w:hAnsi="Book Antiqua"/>
          <w:b/>
          <w:bCs/>
          <w:sz w:val="24"/>
          <w:szCs w:val="24"/>
        </w:rPr>
        <w:t>E-Editor:</w:t>
      </w:r>
      <w:r w:rsidR="005A46CE">
        <w:rPr>
          <w:rFonts w:ascii="Book Antiqua" w:hAnsi="Book Antiqua" w:hint="eastAsia"/>
          <w:b/>
          <w:bCs/>
          <w:sz w:val="24"/>
          <w:szCs w:val="24"/>
          <w:lang w:eastAsia="zh-CN"/>
        </w:rPr>
        <w:t xml:space="preserve"> </w:t>
      </w:r>
      <w:r w:rsidR="005A46CE" w:rsidRPr="005A46CE">
        <w:rPr>
          <w:rFonts w:ascii="Book Antiqua" w:hAnsi="Book Antiqua" w:hint="eastAsia"/>
          <w:bCs/>
          <w:sz w:val="24"/>
          <w:szCs w:val="24"/>
          <w:lang w:eastAsia="zh-CN"/>
        </w:rPr>
        <w:t>Yin SY</w:t>
      </w:r>
    </w:p>
    <w:p w14:paraId="49D32342" w14:textId="77777777" w:rsidR="00300AAD" w:rsidRPr="00300AAD" w:rsidRDefault="00300AAD" w:rsidP="00300AAD">
      <w:pPr>
        <w:shd w:val="clear" w:color="auto" w:fill="FFFFFF"/>
        <w:snapToGrid w:val="0"/>
        <w:spacing w:line="360" w:lineRule="auto"/>
        <w:jc w:val="both"/>
        <w:rPr>
          <w:rFonts w:ascii="Book Antiqua" w:hAnsi="Book Antiqua" w:cs="Helvetica"/>
          <w:b/>
          <w:sz w:val="24"/>
          <w:szCs w:val="24"/>
        </w:rPr>
      </w:pPr>
      <w:bookmarkStart w:id="145" w:name="OLE_LINK880"/>
      <w:bookmarkStart w:id="146" w:name="OLE_LINK881"/>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r w:rsidRPr="00300AAD">
        <w:rPr>
          <w:rFonts w:ascii="Book Antiqua" w:hAnsi="Book Antiqua" w:cs="Helvetica"/>
          <w:b/>
          <w:sz w:val="24"/>
          <w:szCs w:val="24"/>
        </w:rPr>
        <w:t xml:space="preserve">Specialty type: </w:t>
      </w:r>
      <w:r w:rsidRPr="00300AAD">
        <w:rPr>
          <w:rFonts w:ascii="Book Antiqua" w:hAnsi="Book Antiqua" w:cs="Helvetica"/>
          <w:sz w:val="24"/>
          <w:szCs w:val="24"/>
        </w:rPr>
        <w:t>Gastroenterology and</w:t>
      </w:r>
      <w:r w:rsidRPr="00300AAD">
        <w:rPr>
          <w:rFonts w:ascii="Book Antiqua" w:hAnsi="Book Antiqua" w:cs="Helvetica" w:hint="eastAsia"/>
          <w:sz w:val="24"/>
          <w:szCs w:val="24"/>
        </w:rPr>
        <w:t xml:space="preserve"> </w:t>
      </w:r>
      <w:r w:rsidRPr="00300AAD">
        <w:rPr>
          <w:rFonts w:ascii="Book Antiqua" w:hAnsi="Book Antiqua" w:cs="Helvetica"/>
          <w:sz w:val="24"/>
          <w:szCs w:val="24"/>
        </w:rPr>
        <w:t>hepatology</w:t>
      </w:r>
    </w:p>
    <w:p w14:paraId="43FC827D" w14:textId="5035E034" w:rsidR="00300AAD" w:rsidRPr="00300AAD" w:rsidRDefault="00300AAD" w:rsidP="00300AAD">
      <w:pPr>
        <w:shd w:val="clear" w:color="auto" w:fill="FFFFFF"/>
        <w:snapToGrid w:val="0"/>
        <w:spacing w:line="360" w:lineRule="auto"/>
        <w:jc w:val="both"/>
        <w:rPr>
          <w:rFonts w:ascii="Book Antiqua" w:hAnsi="Book Antiqua" w:cs="Helvetica"/>
          <w:b/>
          <w:sz w:val="24"/>
          <w:szCs w:val="24"/>
        </w:rPr>
      </w:pPr>
      <w:r w:rsidRPr="00300AAD">
        <w:rPr>
          <w:rFonts w:ascii="Book Antiqua" w:hAnsi="Book Antiqua" w:cs="Helvetica"/>
          <w:b/>
          <w:sz w:val="24"/>
          <w:szCs w:val="24"/>
        </w:rPr>
        <w:t xml:space="preserve">Country of origin: </w:t>
      </w:r>
      <w:r w:rsidRPr="00300AAD">
        <w:rPr>
          <w:rFonts w:ascii="Book Antiqua" w:hAnsi="Book Antiqua" w:cs="Helvetica"/>
          <w:sz w:val="24"/>
          <w:szCs w:val="24"/>
          <w:lang w:val="en-CA"/>
        </w:rPr>
        <w:t>Lithuania</w:t>
      </w:r>
    </w:p>
    <w:p w14:paraId="4926DFF5" w14:textId="77777777" w:rsidR="00300AAD" w:rsidRPr="00300AAD" w:rsidRDefault="00300AAD" w:rsidP="00300AAD">
      <w:pPr>
        <w:shd w:val="clear" w:color="auto" w:fill="FFFFFF"/>
        <w:snapToGrid w:val="0"/>
        <w:spacing w:line="360" w:lineRule="auto"/>
        <w:jc w:val="both"/>
        <w:rPr>
          <w:rFonts w:ascii="Book Antiqua" w:hAnsi="Book Antiqua" w:cs="Helvetica"/>
          <w:b/>
          <w:sz w:val="24"/>
          <w:szCs w:val="24"/>
        </w:rPr>
      </w:pPr>
      <w:r w:rsidRPr="00300AAD">
        <w:rPr>
          <w:rFonts w:ascii="Book Antiqua" w:hAnsi="Book Antiqua" w:cs="Helvetica"/>
          <w:b/>
          <w:sz w:val="24"/>
          <w:szCs w:val="24"/>
        </w:rPr>
        <w:t>Peer-review report classification</w:t>
      </w:r>
    </w:p>
    <w:p w14:paraId="736A9F14" w14:textId="77777777" w:rsidR="00300AAD" w:rsidRPr="00300AAD" w:rsidRDefault="00300AAD" w:rsidP="00300AAD">
      <w:pPr>
        <w:shd w:val="clear" w:color="auto" w:fill="FFFFFF"/>
        <w:snapToGrid w:val="0"/>
        <w:spacing w:line="360" w:lineRule="auto"/>
        <w:jc w:val="both"/>
        <w:rPr>
          <w:rFonts w:ascii="Book Antiqua" w:hAnsi="Book Antiqua" w:cs="Helvetica"/>
          <w:sz w:val="24"/>
          <w:szCs w:val="24"/>
        </w:rPr>
      </w:pPr>
      <w:r w:rsidRPr="00300AAD">
        <w:rPr>
          <w:rFonts w:ascii="Book Antiqua" w:hAnsi="Book Antiqua" w:cs="Helvetica"/>
          <w:sz w:val="24"/>
          <w:szCs w:val="24"/>
        </w:rPr>
        <w:t xml:space="preserve">Grade A (Excellent): </w:t>
      </w:r>
      <w:r w:rsidRPr="00300AAD">
        <w:rPr>
          <w:rFonts w:ascii="Book Antiqua" w:hAnsi="Book Antiqua" w:cs="Helvetica" w:hint="eastAsia"/>
          <w:sz w:val="24"/>
          <w:szCs w:val="24"/>
        </w:rPr>
        <w:t>0</w:t>
      </w:r>
    </w:p>
    <w:p w14:paraId="5C65C3BE" w14:textId="77777777" w:rsidR="00300AAD" w:rsidRPr="00300AAD" w:rsidRDefault="00300AAD" w:rsidP="00300AAD">
      <w:pPr>
        <w:shd w:val="clear" w:color="auto" w:fill="FFFFFF"/>
        <w:snapToGrid w:val="0"/>
        <w:spacing w:line="360" w:lineRule="auto"/>
        <w:jc w:val="both"/>
        <w:rPr>
          <w:rFonts w:ascii="Book Antiqua" w:hAnsi="Book Antiqua" w:cs="Helvetica"/>
          <w:sz w:val="24"/>
          <w:szCs w:val="24"/>
        </w:rPr>
      </w:pPr>
      <w:r w:rsidRPr="00300AAD">
        <w:rPr>
          <w:rFonts w:ascii="Book Antiqua" w:hAnsi="Book Antiqua" w:cs="Helvetica"/>
          <w:sz w:val="24"/>
          <w:szCs w:val="24"/>
        </w:rPr>
        <w:t xml:space="preserve">Grade B (Very good): </w:t>
      </w:r>
      <w:r w:rsidRPr="00300AAD">
        <w:rPr>
          <w:rFonts w:ascii="Book Antiqua" w:hAnsi="Book Antiqua" w:cs="Helvetica" w:hint="eastAsia"/>
          <w:sz w:val="24"/>
          <w:szCs w:val="24"/>
        </w:rPr>
        <w:t>B</w:t>
      </w:r>
    </w:p>
    <w:p w14:paraId="47132511" w14:textId="77777777" w:rsidR="00300AAD" w:rsidRPr="00300AAD" w:rsidRDefault="00300AAD" w:rsidP="00300AAD">
      <w:pPr>
        <w:shd w:val="clear" w:color="auto" w:fill="FFFFFF"/>
        <w:snapToGrid w:val="0"/>
        <w:spacing w:line="360" w:lineRule="auto"/>
        <w:jc w:val="both"/>
        <w:rPr>
          <w:rFonts w:ascii="Book Antiqua" w:hAnsi="Book Antiqua" w:cs="Helvetica"/>
          <w:sz w:val="24"/>
          <w:szCs w:val="24"/>
        </w:rPr>
      </w:pPr>
      <w:r w:rsidRPr="00300AAD">
        <w:rPr>
          <w:rFonts w:ascii="Book Antiqua" w:hAnsi="Book Antiqua" w:cs="Helvetica"/>
          <w:sz w:val="24"/>
          <w:szCs w:val="24"/>
        </w:rPr>
        <w:t xml:space="preserve">Grade C (Good): </w:t>
      </w:r>
      <w:r w:rsidRPr="00300AAD">
        <w:rPr>
          <w:rFonts w:ascii="Book Antiqua" w:hAnsi="Book Antiqua" w:cs="Helvetica" w:hint="eastAsia"/>
          <w:sz w:val="24"/>
          <w:szCs w:val="24"/>
        </w:rPr>
        <w:t>C, C</w:t>
      </w:r>
    </w:p>
    <w:p w14:paraId="4481DD3C" w14:textId="77777777" w:rsidR="00300AAD" w:rsidRPr="00300AAD" w:rsidRDefault="00300AAD" w:rsidP="00300AAD">
      <w:pPr>
        <w:shd w:val="clear" w:color="auto" w:fill="FFFFFF"/>
        <w:snapToGrid w:val="0"/>
        <w:spacing w:line="360" w:lineRule="auto"/>
        <w:jc w:val="both"/>
        <w:rPr>
          <w:rFonts w:ascii="Book Antiqua" w:hAnsi="Book Antiqua" w:cs="Helvetica"/>
          <w:sz w:val="24"/>
          <w:szCs w:val="24"/>
        </w:rPr>
      </w:pPr>
      <w:r w:rsidRPr="00300AAD">
        <w:rPr>
          <w:rFonts w:ascii="Book Antiqua" w:hAnsi="Book Antiqua" w:cs="Helvetica"/>
          <w:sz w:val="24"/>
          <w:szCs w:val="24"/>
        </w:rPr>
        <w:t xml:space="preserve">Grade D (Fair): </w:t>
      </w:r>
      <w:r w:rsidRPr="00300AAD">
        <w:rPr>
          <w:rFonts w:ascii="Book Antiqua" w:hAnsi="Book Antiqua" w:cs="Helvetica" w:hint="eastAsia"/>
          <w:sz w:val="24"/>
          <w:szCs w:val="24"/>
        </w:rPr>
        <w:t>0</w:t>
      </w:r>
    </w:p>
    <w:p w14:paraId="45111B64" w14:textId="77777777" w:rsidR="00300AAD" w:rsidRPr="00300AAD" w:rsidRDefault="00300AAD" w:rsidP="00300AAD">
      <w:pPr>
        <w:snapToGrid w:val="0"/>
        <w:spacing w:line="360" w:lineRule="auto"/>
        <w:jc w:val="both"/>
        <w:rPr>
          <w:rFonts w:ascii="Book Antiqua" w:hAnsi="Book Antiqua"/>
          <w:b/>
          <w:iCs/>
          <w:sz w:val="24"/>
          <w:szCs w:val="24"/>
        </w:rPr>
      </w:pPr>
      <w:r w:rsidRPr="00300AAD">
        <w:rPr>
          <w:rFonts w:ascii="Book Antiqua" w:hAnsi="Book Antiqua" w:cs="Helvetica"/>
          <w:sz w:val="24"/>
          <w:szCs w:val="24"/>
        </w:rPr>
        <w:t xml:space="preserve">Grade E (Poor): </w:t>
      </w:r>
      <w:r w:rsidRPr="00300AAD">
        <w:rPr>
          <w:rFonts w:ascii="Book Antiqua" w:hAnsi="Book Antiqua" w:cs="Helvetica" w:hint="eastAsia"/>
          <w:sz w:val="24"/>
          <w:szCs w:val="24"/>
        </w:rPr>
        <w:t>0</w:t>
      </w:r>
      <w:bookmarkEnd w:id="142"/>
      <w:bookmarkEnd w:id="145"/>
      <w:bookmarkEnd w:id="146"/>
    </w:p>
    <w:bookmarkEnd w:id="143"/>
    <w:bookmarkEnd w:id="144"/>
    <w:p w14:paraId="7A9047C1" w14:textId="77777777" w:rsidR="000451D4" w:rsidRPr="00141E92" w:rsidRDefault="0028606A" w:rsidP="003F50D4">
      <w:pPr>
        <w:snapToGrid w:val="0"/>
        <w:spacing w:line="360" w:lineRule="auto"/>
        <w:jc w:val="both"/>
        <w:outlineLvl w:val="0"/>
        <w:rPr>
          <w:rFonts w:ascii="Book Antiqua" w:hAnsi="Book Antiqua"/>
          <w:b/>
          <w:sz w:val="24"/>
          <w:szCs w:val="24"/>
        </w:rPr>
      </w:pPr>
      <w:r w:rsidRPr="00141E92">
        <w:rPr>
          <w:rFonts w:ascii="Book Antiqua" w:hAnsi="Book Antiqua"/>
          <w:b/>
          <w:i/>
          <w:sz w:val="24"/>
          <w:szCs w:val="24"/>
        </w:rPr>
        <w:br w:type="page"/>
      </w:r>
      <w:r w:rsidR="000451D4" w:rsidRPr="00141E92">
        <w:rPr>
          <w:rFonts w:ascii="Book Antiqua" w:hAnsi="Book Antiqua"/>
          <w:b/>
          <w:sz w:val="24"/>
          <w:szCs w:val="24"/>
        </w:rPr>
        <w:lastRenderedPageBreak/>
        <w:t>A</w:t>
      </w:r>
    </w:p>
    <w:p w14:paraId="77AC97D5" w14:textId="77777777" w:rsidR="00B63811" w:rsidRPr="00141E92" w:rsidRDefault="000451D4" w:rsidP="008530E2">
      <w:pPr>
        <w:snapToGrid w:val="0"/>
        <w:spacing w:line="360" w:lineRule="auto"/>
        <w:jc w:val="both"/>
        <w:rPr>
          <w:rFonts w:ascii="Book Antiqua" w:hAnsi="Book Antiqua"/>
          <w:b/>
          <w:i/>
          <w:sz w:val="24"/>
          <w:szCs w:val="24"/>
        </w:rPr>
      </w:pPr>
      <w:r w:rsidRPr="00141E92">
        <w:rPr>
          <w:rFonts w:ascii="Book Antiqua" w:hAnsi="Book Antiqua"/>
          <w:b/>
          <w:noProof/>
          <w:color w:val="000000" w:themeColor="text1"/>
          <w:sz w:val="24"/>
          <w:szCs w:val="24"/>
          <w:lang w:eastAsia="zh-CN"/>
        </w:rPr>
        <w:drawing>
          <wp:inline distT="0" distB="0" distL="0" distR="0" wp14:anchorId="0693DF83" wp14:editId="71F24ABA">
            <wp:extent cx="3851335" cy="210457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52575" cy="2105248"/>
                    </a:xfrm>
                    <a:prstGeom prst="rect">
                      <a:avLst/>
                    </a:prstGeom>
                  </pic:spPr>
                </pic:pic>
              </a:graphicData>
            </a:graphic>
          </wp:inline>
        </w:drawing>
      </w:r>
    </w:p>
    <w:p w14:paraId="32EECF6D" w14:textId="77777777" w:rsidR="00B63811" w:rsidRPr="00141E92" w:rsidRDefault="00B63811"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 xml:space="preserve">B </w:t>
      </w:r>
    </w:p>
    <w:p w14:paraId="32D24652" w14:textId="0E3922F6" w:rsidR="003E1A6F" w:rsidRPr="00141E92" w:rsidRDefault="003E1A6F" w:rsidP="008530E2">
      <w:pPr>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w:drawing>
          <wp:inline distT="0" distB="0" distL="0" distR="0" wp14:anchorId="4DD11DD8" wp14:editId="5303BC1E">
            <wp:extent cx="5003800" cy="1409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2.png"/>
                    <pic:cNvPicPr/>
                  </pic:nvPicPr>
                  <pic:blipFill>
                    <a:blip r:embed="rId12">
                      <a:extLst>
                        <a:ext uri="{28A0092B-C50C-407E-A947-70E740481C1C}">
                          <a14:useLocalDpi xmlns:a14="http://schemas.microsoft.com/office/drawing/2010/main" val="0"/>
                        </a:ext>
                      </a:extLst>
                    </a:blip>
                    <a:stretch>
                      <a:fillRect/>
                    </a:stretch>
                  </pic:blipFill>
                  <pic:spPr>
                    <a:xfrm>
                      <a:off x="0" y="0"/>
                      <a:ext cx="5003800" cy="1409700"/>
                    </a:xfrm>
                    <a:prstGeom prst="rect">
                      <a:avLst/>
                    </a:prstGeom>
                  </pic:spPr>
                </pic:pic>
              </a:graphicData>
            </a:graphic>
          </wp:inline>
        </w:drawing>
      </w:r>
    </w:p>
    <w:p w14:paraId="059D0017" w14:textId="74CAC0A7" w:rsidR="00434A81" w:rsidRPr="00141E92" w:rsidRDefault="00B63811" w:rsidP="008530E2">
      <w:pPr>
        <w:autoSpaceDE/>
        <w:autoSpaceDN/>
        <w:snapToGrid w:val="0"/>
        <w:spacing w:line="360" w:lineRule="auto"/>
        <w:jc w:val="both"/>
        <w:rPr>
          <w:rFonts w:ascii="Book Antiqua" w:eastAsia="Times New Roman" w:hAnsi="Book Antiqua" w:cs="Times New Roman"/>
          <w:color w:val="auto"/>
          <w:sz w:val="24"/>
          <w:szCs w:val="24"/>
        </w:rPr>
      </w:pPr>
      <w:r w:rsidRPr="00141E92">
        <w:rPr>
          <w:rFonts w:ascii="Book Antiqua" w:eastAsiaTheme="majorEastAsia" w:hAnsi="Book Antiqua" w:cstheme="majorBidi"/>
          <w:b/>
          <w:bCs/>
          <w:color w:val="000000" w:themeColor="text1"/>
          <w:kern w:val="24"/>
          <w:sz w:val="24"/>
          <w:szCs w:val="24"/>
        </w:rPr>
        <w:t>Figure 1 P</w:t>
      </w:r>
      <w:r w:rsidR="003B4F68" w:rsidRPr="00141E92">
        <w:rPr>
          <w:rFonts w:ascii="Book Antiqua" w:eastAsiaTheme="majorEastAsia" w:hAnsi="Book Antiqua" w:cstheme="majorBidi"/>
          <w:b/>
          <w:bCs/>
          <w:color w:val="000000" w:themeColor="text1"/>
          <w:kern w:val="24"/>
          <w:sz w:val="24"/>
          <w:szCs w:val="24"/>
        </w:rPr>
        <w:t xml:space="preserve">ancreatic </w:t>
      </w:r>
      <w:r w:rsidR="00171CE3" w:rsidRPr="00141E92">
        <w:rPr>
          <w:rFonts w:ascii="Book Antiqua" w:eastAsiaTheme="majorEastAsia" w:hAnsi="Book Antiqua" w:cstheme="majorBidi"/>
          <w:b/>
          <w:bCs/>
          <w:color w:val="000000" w:themeColor="text1"/>
          <w:kern w:val="24"/>
          <w:sz w:val="24"/>
          <w:szCs w:val="24"/>
        </w:rPr>
        <w:t>cancer</w:t>
      </w:r>
      <w:r w:rsidRPr="00141E92">
        <w:rPr>
          <w:rFonts w:ascii="Book Antiqua" w:eastAsiaTheme="majorEastAsia" w:hAnsi="Book Antiqua" w:cstheme="majorBidi"/>
          <w:b/>
          <w:bCs/>
          <w:color w:val="000000" w:themeColor="text1"/>
          <w:kern w:val="24"/>
          <w:sz w:val="24"/>
          <w:szCs w:val="24"/>
        </w:rPr>
        <w:t xml:space="preserve"> specimens displayed increased </w:t>
      </w:r>
      <w:r w:rsidR="00EE142D" w:rsidRPr="00141E92">
        <w:rPr>
          <w:rFonts w:ascii="Book Antiqua" w:eastAsiaTheme="majorEastAsia" w:hAnsi="Book Antiqua" w:cstheme="majorBidi"/>
          <w:b/>
          <w:bCs/>
          <w:color w:val="000000" w:themeColor="text1"/>
          <w:kern w:val="24"/>
          <w:sz w:val="24"/>
          <w:szCs w:val="24"/>
        </w:rPr>
        <w:t xml:space="preserve">Inhibitors of apoptosis proteins </w:t>
      </w:r>
      <w:r w:rsidRPr="00141E92">
        <w:rPr>
          <w:rFonts w:ascii="Book Antiqua" w:eastAsiaTheme="majorEastAsia" w:hAnsi="Book Antiqua" w:cstheme="majorBidi"/>
          <w:b/>
          <w:color w:val="000000" w:themeColor="text1"/>
          <w:kern w:val="24"/>
          <w:sz w:val="24"/>
          <w:szCs w:val="24"/>
        </w:rPr>
        <w:t>expression analysis in cancer tissues.</w:t>
      </w:r>
      <w:r w:rsidRPr="00141E92">
        <w:rPr>
          <w:rFonts w:ascii="Book Antiqua" w:eastAsiaTheme="majorEastAsia" w:hAnsi="Book Antiqua" w:cstheme="majorBidi"/>
          <w:i/>
          <w:color w:val="000000" w:themeColor="text1"/>
          <w:kern w:val="24"/>
          <w:sz w:val="24"/>
          <w:szCs w:val="24"/>
        </w:rPr>
        <w:t xml:space="preserve"> </w:t>
      </w:r>
      <w:r w:rsidRPr="00141E92">
        <w:rPr>
          <w:rFonts w:ascii="Book Antiqua" w:eastAsiaTheme="majorEastAsia" w:hAnsi="Book Antiqua" w:cstheme="majorBidi"/>
          <w:color w:val="000000" w:themeColor="text1"/>
          <w:kern w:val="24"/>
          <w:sz w:val="24"/>
          <w:szCs w:val="24"/>
        </w:rPr>
        <w:t xml:space="preserve">mRNA and protein expression of </w:t>
      </w:r>
      <w:r w:rsidR="005A59B9">
        <w:rPr>
          <w:rFonts w:ascii="Book Antiqua" w:hAnsi="Book Antiqua" w:cs="Times"/>
          <w:color w:val="000000" w:themeColor="text1"/>
          <w:sz w:val="24"/>
          <w:szCs w:val="24"/>
        </w:rPr>
        <w:t>i</w:t>
      </w:r>
      <w:r w:rsidR="00EE142D" w:rsidRPr="00141E92">
        <w:rPr>
          <w:rFonts w:ascii="Book Antiqua" w:hAnsi="Book Antiqua" w:cs="Times"/>
          <w:color w:val="000000" w:themeColor="text1"/>
          <w:sz w:val="24"/>
          <w:szCs w:val="24"/>
        </w:rPr>
        <w:t xml:space="preserve">nhibitors of apoptosis proteins </w:t>
      </w:r>
      <w:r w:rsidRPr="00141E92">
        <w:rPr>
          <w:rFonts w:ascii="Book Antiqua" w:eastAsiaTheme="majorEastAsia" w:hAnsi="Book Antiqua" w:cstheme="majorBidi"/>
          <w:color w:val="000000" w:themeColor="text1"/>
          <w:kern w:val="24"/>
          <w:sz w:val="24"/>
          <w:szCs w:val="24"/>
        </w:rPr>
        <w:t>in normal tissues (</w:t>
      </w:r>
      <w:r w:rsidRPr="005A59B9">
        <w:rPr>
          <w:rFonts w:ascii="Book Antiqua" w:eastAsiaTheme="majorEastAsia" w:hAnsi="Book Antiqua" w:cstheme="majorBidi"/>
          <w:i/>
          <w:color w:val="000000" w:themeColor="text1"/>
          <w:kern w:val="24"/>
          <w:sz w:val="24"/>
          <w:szCs w:val="24"/>
        </w:rPr>
        <w:t>n</w:t>
      </w:r>
      <w:r w:rsidRPr="00141E92">
        <w:rPr>
          <w:rFonts w:ascii="Book Antiqua" w:eastAsiaTheme="majorEastAsia" w:hAnsi="Book Antiqua" w:cstheme="majorBidi"/>
          <w:color w:val="000000" w:themeColor="text1"/>
          <w:kern w:val="24"/>
          <w:sz w:val="24"/>
          <w:szCs w:val="24"/>
        </w:rPr>
        <w:t xml:space="preserve"> = 9) and </w:t>
      </w:r>
      <w:r w:rsidR="00EE142D" w:rsidRPr="00141E92">
        <w:rPr>
          <w:rFonts w:ascii="Book Antiqua" w:eastAsiaTheme="majorEastAsia" w:hAnsi="Book Antiqua" w:cstheme="majorBidi"/>
          <w:color w:val="000000" w:themeColor="text1"/>
          <w:kern w:val="24"/>
          <w:sz w:val="24"/>
          <w:szCs w:val="24"/>
        </w:rPr>
        <w:t>pancreatic cancer</w:t>
      </w:r>
      <w:r w:rsidRPr="00141E92">
        <w:rPr>
          <w:rFonts w:ascii="Book Antiqua" w:eastAsiaTheme="majorEastAsia" w:hAnsi="Book Antiqua" w:cstheme="majorBidi"/>
          <w:color w:val="000000" w:themeColor="text1"/>
          <w:kern w:val="24"/>
          <w:sz w:val="24"/>
          <w:szCs w:val="24"/>
        </w:rPr>
        <w:t xml:space="preserve"> (</w:t>
      </w:r>
      <w:r w:rsidRPr="005A59B9">
        <w:rPr>
          <w:rFonts w:ascii="Book Antiqua" w:eastAsiaTheme="majorEastAsia" w:hAnsi="Book Antiqua" w:cstheme="majorBidi"/>
          <w:i/>
          <w:color w:val="000000" w:themeColor="text1"/>
          <w:kern w:val="24"/>
          <w:sz w:val="24"/>
          <w:szCs w:val="24"/>
        </w:rPr>
        <w:t xml:space="preserve">n </w:t>
      </w:r>
      <w:r w:rsidRPr="00141E92">
        <w:rPr>
          <w:rFonts w:ascii="Book Antiqua" w:eastAsiaTheme="majorEastAsia" w:hAnsi="Book Antiqua" w:cstheme="majorBidi"/>
          <w:color w:val="000000" w:themeColor="text1"/>
          <w:kern w:val="24"/>
          <w:sz w:val="24"/>
          <w:szCs w:val="24"/>
        </w:rPr>
        <w:t xml:space="preserve">= 61) were evaluated by </w:t>
      </w:r>
      <w:r w:rsidR="005A59B9">
        <w:rPr>
          <w:rFonts w:ascii="Book Antiqua" w:eastAsiaTheme="majorEastAsia" w:hAnsi="Book Antiqua" w:cstheme="majorBidi"/>
          <w:color w:val="000000" w:themeColor="text1"/>
          <w:kern w:val="24"/>
          <w:sz w:val="24"/>
          <w:szCs w:val="24"/>
        </w:rPr>
        <w:t xml:space="preserve">A: </w:t>
      </w:r>
      <w:r w:rsidR="003B4F68" w:rsidRPr="00141E92">
        <w:rPr>
          <w:rFonts w:ascii="Book Antiqua" w:hAnsi="Book Antiqua"/>
          <w:sz w:val="24"/>
          <w:szCs w:val="24"/>
        </w:rPr>
        <w:t>quantitative reverse transcription polymerase chain reaction</w:t>
      </w:r>
      <w:r w:rsidR="005A59B9">
        <w:rPr>
          <w:rFonts w:ascii="Book Antiqua" w:eastAsiaTheme="majorEastAsia" w:hAnsi="Book Antiqua" w:cstheme="majorBidi"/>
          <w:color w:val="000000" w:themeColor="text1"/>
          <w:kern w:val="24"/>
          <w:sz w:val="24"/>
          <w:szCs w:val="24"/>
        </w:rPr>
        <w:t>; and B: western b</w:t>
      </w:r>
      <w:r w:rsidRPr="00141E92">
        <w:rPr>
          <w:rFonts w:ascii="Book Antiqua" w:eastAsiaTheme="majorEastAsia" w:hAnsi="Book Antiqua" w:cstheme="majorBidi"/>
          <w:color w:val="000000" w:themeColor="text1"/>
          <w:kern w:val="24"/>
          <w:sz w:val="24"/>
          <w:szCs w:val="24"/>
        </w:rPr>
        <w:t>lot analysis.</w:t>
      </w:r>
      <w:r w:rsidRPr="00141E92">
        <w:rPr>
          <w:rFonts w:ascii="Book Antiqua" w:eastAsiaTheme="majorEastAsia" w:hAnsi="Book Antiqua" w:cstheme="majorBidi"/>
          <w:i/>
          <w:color w:val="000000" w:themeColor="text1"/>
          <w:kern w:val="24"/>
          <w:sz w:val="24"/>
          <w:szCs w:val="24"/>
        </w:rPr>
        <w:t xml:space="preserve"> </w:t>
      </w:r>
      <w:r w:rsidR="005A59B9">
        <w:rPr>
          <w:rFonts w:ascii="Book Antiqua" w:eastAsiaTheme="majorEastAsia" w:hAnsi="Book Antiqua" w:cstheme="majorBidi"/>
          <w:color w:val="000000" w:themeColor="text1"/>
          <w:kern w:val="24"/>
          <w:sz w:val="24"/>
          <w:szCs w:val="24"/>
        </w:rPr>
        <w:t>IAP1:</w:t>
      </w:r>
      <w:r w:rsidR="005A59B9" w:rsidRPr="00141E92">
        <w:rPr>
          <w:rFonts w:ascii="Book Antiqua" w:eastAsiaTheme="majorEastAsia" w:hAnsi="Book Antiqua" w:cstheme="majorBidi"/>
          <w:color w:val="000000" w:themeColor="text1"/>
          <w:kern w:val="24"/>
          <w:sz w:val="24"/>
          <w:szCs w:val="24"/>
        </w:rPr>
        <w:t xml:space="preserve"> </w:t>
      </w:r>
      <w:r w:rsidR="005A59B9">
        <w:rPr>
          <w:rFonts w:ascii="Book Antiqua" w:hAnsi="Book Antiqua" w:cs="Times"/>
          <w:color w:val="000000" w:themeColor="text1"/>
          <w:sz w:val="24"/>
          <w:szCs w:val="24"/>
        </w:rPr>
        <w:t>Inhibitor</w:t>
      </w:r>
      <w:r w:rsidR="005A59B9" w:rsidRPr="00141E92">
        <w:rPr>
          <w:rFonts w:ascii="Book Antiqua" w:hAnsi="Book Antiqua" w:cs="Times"/>
          <w:color w:val="000000" w:themeColor="text1"/>
          <w:sz w:val="24"/>
          <w:szCs w:val="24"/>
        </w:rPr>
        <w:t xml:space="preserve"> of apoptosis protein 1</w:t>
      </w:r>
      <w:r w:rsidR="005A59B9">
        <w:rPr>
          <w:rFonts w:ascii="Book Antiqua" w:hAnsi="Book Antiqua" w:cs="Times"/>
          <w:color w:val="000000" w:themeColor="text1"/>
          <w:sz w:val="24"/>
          <w:szCs w:val="24"/>
        </w:rPr>
        <w:t xml:space="preserve">; </w:t>
      </w:r>
      <w:r w:rsidR="005A59B9" w:rsidRPr="00141E92">
        <w:rPr>
          <w:rFonts w:ascii="Book Antiqua" w:eastAsiaTheme="majorEastAsia" w:hAnsi="Book Antiqua" w:cstheme="majorBidi"/>
          <w:color w:val="000000" w:themeColor="text1"/>
          <w:kern w:val="24"/>
          <w:sz w:val="24"/>
          <w:szCs w:val="24"/>
        </w:rPr>
        <w:t xml:space="preserve">IAP2: </w:t>
      </w:r>
      <w:r w:rsidR="005A59B9">
        <w:rPr>
          <w:rFonts w:ascii="Book Antiqua" w:hAnsi="Book Antiqua" w:cs="Times"/>
          <w:color w:val="000000" w:themeColor="text1"/>
          <w:sz w:val="24"/>
          <w:szCs w:val="24"/>
        </w:rPr>
        <w:t>Inhibitor</w:t>
      </w:r>
      <w:r w:rsidR="005A59B9" w:rsidRPr="00141E92">
        <w:rPr>
          <w:rFonts w:ascii="Book Antiqua" w:hAnsi="Book Antiqua" w:cs="Times"/>
          <w:color w:val="000000" w:themeColor="text1"/>
          <w:sz w:val="24"/>
          <w:szCs w:val="24"/>
        </w:rPr>
        <w:t xml:space="preserve"> of apopt</w:t>
      </w:r>
      <w:r w:rsidR="005A59B9">
        <w:rPr>
          <w:rFonts w:ascii="Book Antiqua" w:hAnsi="Book Antiqua" w:cs="Times"/>
          <w:color w:val="000000" w:themeColor="text1"/>
          <w:sz w:val="24"/>
          <w:szCs w:val="24"/>
        </w:rPr>
        <w:t>osis protein 2</w:t>
      </w:r>
      <w:r w:rsidR="00434A81" w:rsidRPr="00141E92">
        <w:rPr>
          <w:rFonts w:ascii="Book Antiqua" w:hAnsi="Book Antiqua" w:cs="Times"/>
          <w:color w:val="000000" w:themeColor="text1"/>
          <w:sz w:val="24"/>
          <w:szCs w:val="24"/>
        </w:rPr>
        <w:t xml:space="preserve">; GAPDH: </w:t>
      </w:r>
      <w:r w:rsidR="00434A81" w:rsidRPr="00141E92">
        <w:rPr>
          <w:rFonts w:ascii="Book Antiqua" w:eastAsia="Times New Roman" w:hAnsi="Book Antiqua" w:cs="Times New Roman"/>
          <w:color w:val="222222"/>
          <w:sz w:val="24"/>
          <w:szCs w:val="24"/>
        </w:rPr>
        <w:t>Glyceraldehyde-3-phosphate dehydrogenase.</w:t>
      </w:r>
    </w:p>
    <w:p w14:paraId="49631CAB" w14:textId="77777777" w:rsidR="005A59B9" w:rsidRDefault="005A59B9">
      <w:pPr>
        <w:autoSpaceDE/>
        <w:autoSpaceDN/>
        <w:adjustRightInd/>
        <w:rPr>
          <w:rFonts w:ascii="Book Antiqua" w:hAnsi="Book Antiqua"/>
          <w:sz w:val="24"/>
          <w:szCs w:val="24"/>
        </w:rPr>
      </w:pPr>
      <w:r>
        <w:rPr>
          <w:rFonts w:ascii="Book Antiqua" w:hAnsi="Book Antiqua"/>
          <w:sz w:val="24"/>
          <w:szCs w:val="24"/>
        </w:rPr>
        <w:br w:type="page"/>
      </w:r>
    </w:p>
    <w:p w14:paraId="1C3C9A00" w14:textId="4B02E6F5" w:rsidR="00566950" w:rsidRPr="00141E92" w:rsidRDefault="00566950"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A</w:t>
      </w:r>
    </w:p>
    <w:p w14:paraId="4DB5A70A" w14:textId="01EA7794" w:rsidR="000F45A5" w:rsidRPr="00141E92" w:rsidRDefault="00566950" w:rsidP="008530E2">
      <w:pPr>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w:drawing>
          <wp:inline distT="0" distB="0" distL="0" distR="0" wp14:anchorId="76963168" wp14:editId="4A7B3A1A">
            <wp:extent cx="3293165" cy="291141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r="9281" b="4156"/>
                    <a:stretch/>
                  </pic:blipFill>
                  <pic:spPr bwMode="auto">
                    <a:xfrm>
                      <a:off x="0" y="0"/>
                      <a:ext cx="3317645" cy="2933058"/>
                    </a:xfrm>
                    <a:prstGeom prst="rect">
                      <a:avLst/>
                    </a:prstGeom>
                    <a:ln>
                      <a:noFill/>
                    </a:ln>
                    <a:extLst>
                      <a:ext uri="{53640926-AAD7-44D8-BBD7-CCE9431645EC}">
                        <a14:shadowObscured xmlns:a14="http://schemas.microsoft.com/office/drawing/2010/main"/>
                      </a:ext>
                    </a:extLst>
                  </pic:spPr>
                </pic:pic>
              </a:graphicData>
            </a:graphic>
          </wp:inline>
        </w:drawing>
      </w:r>
    </w:p>
    <w:p w14:paraId="571005BF" w14:textId="77777777" w:rsidR="000F45A5" w:rsidRPr="00141E92" w:rsidRDefault="000F45A5" w:rsidP="008530E2">
      <w:pPr>
        <w:snapToGrid w:val="0"/>
        <w:spacing w:line="360" w:lineRule="auto"/>
        <w:jc w:val="both"/>
        <w:rPr>
          <w:rFonts w:ascii="Book Antiqua" w:hAnsi="Book Antiqua"/>
          <w:b/>
          <w:sz w:val="24"/>
          <w:szCs w:val="24"/>
        </w:rPr>
      </w:pPr>
    </w:p>
    <w:tbl>
      <w:tblPr>
        <w:tblStyle w:val="ad"/>
        <w:tblW w:w="0" w:type="auto"/>
        <w:tblLook w:val="04A0" w:firstRow="1" w:lastRow="0" w:firstColumn="1" w:lastColumn="0" w:noHBand="0" w:noVBand="1"/>
      </w:tblPr>
      <w:tblGrid>
        <w:gridCol w:w="1555"/>
        <w:gridCol w:w="1150"/>
        <w:gridCol w:w="1697"/>
        <w:gridCol w:w="1701"/>
      </w:tblGrid>
      <w:tr w:rsidR="00C90A25" w:rsidRPr="00141E92" w14:paraId="392B8B8C" w14:textId="77777777" w:rsidTr="009E63E9">
        <w:tc>
          <w:tcPr>
            <w:tcW w:w="1555" w:type="dxa"/>
            <w:vMerge w:val="restart"/>
          </w:tcPr>
          <w:p w14:paraId="753D7DED" w14:textId="77777777" w:rsidR="00C90A25" w:rsidRPr="00141E92" w:rsidRDefault="00C90A25" w:rsidP="008530E2">
            <w:pPr>
              <w:snapToGrid w:val="0"/>
              <w:spacing w:line="360" w:lineRule="auto"/>
              <w:jc w:val="both"/>
              <w:rPr>
                <w:rFonts w:ascii="Book Antiqua" w:hAnsi="Book Antiqua"/>
                <w:b/>
                <w:sz w:val="24"/>
                <w:szCs w:val="24"/>
              </w:rPr>
            </w:pPr>
          </w:p>
        </w:tc>
        <w:tc>
          <w:tcPr>
            <w:tcW w:w="4548" w:type="dxa"/>
            <w:gridSpan w:val="3"/>
          </w:tcPr>
          <w:p w14:paraId="65A9ABAA" w14:textId="56955E30"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Median</w:t>
            </w:r>
          </w:p>
        </w:tc>
      </w:tr>
      <w:tr w:rsidR="00C90A25" w:rsidRPr="00141E92" w14:paraId="372CBD00" w14:textId="77777777" w:rsidTr="009E63E9">
        <w:tc>
          <w:tcPr>
            <w:tcW w:w="1555" w:type="dxa"/>
            <w:vMerge/>
          </w:tcPr>
          <w:p w14:paraId="6756223C" w14:textId="77777777" w:rsidR="00C90A25" w:rsidRPr="00141E92" w:rsidRDefault="00C90A25" w:rsidP="008530E2">
            <w:pPr>
              <w:snapToGrid w:val="0"/>
              <w:spacing w:line="360" w:lineRule="auto"/>
              <w:jc w:val="both"/>
              <w:rPr>
                <w:rFonts w:ascii="Book Antiqua" w:hAnsi="Book Antiqua"/>
                <w:b/>
                <w:sz w:val="24"/>
                <w:szCs w:val="24"/>
              </w:rPr>
            </w:pPr>
          </w:p>
        </w:tc>
        <w:tc>
          <w:tcPr>
            <w:tcW w:w="1150" w:type="dxa"/>
          </w:tcPr>
          <w:p w14:paraId="6E6C43EA" w14:textId="77777777" w:rsidR="00C90A25" w:rsidRPr="00141E92" w:rsidRDefault="00C90A25" w:rsidP="008530E2">
            <w:pPr>
              <w:snapToGrid w:val="0"/>
              <w:spacing w:line="360" w:lineRule="auto"/>
              <w:jc w:val="both"/>
              <w:rPr>
                <w:rFonts w:ascii="Book Antiqua" w:hAnsi="Book Antiqua"/>
                <w:sz w:val="24"/>
                <w:szCs w:val="24"/>
              </w:rPr>
            </w:pPr>
          </w:p>
        </w:tc>
        <w:tc>
          <w:tcPr>
            <w:tcW w:w="3398" w:type="dxa"/>
            <w:gridSpan w:val="2"/>
          </w:tcPr>
          <w:p w14:paraId="3C26CA54" w14:textId="6545DC3A"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95% Confidence Interval</w:t>
            </w:r>
          </w:p>
        </w:tc>
      </w:tr>
      <w:tr w:rsidR="00C90A25" w:rsidRPr="00141E92" w14:paraId="57570AEA" w14:textId="77777777" w:rsidTr="009E63E9">
        <w:tc>
          <w:tcPr>
            <w:tcW w:w="1555" w:type="dxa"/>
            <w:vMerge/>
          </w:tcPr>
          <w:p w14:paraId="4A5B8397" w14:textId="77777777" w:rsidR="00C90A25" w:rsidRPr="00141E92" w:rsidRDefault="00C90A25" w:rsidP="008530E2">
            <w:pPr>
              <w:snapToGrid w:val="0"/>
              <w:spacing w:line="360" w:lineRule="auto"/>
              <w:jc w:val="both"/>
              <w:rPr>
                <w:rFonts w:ascii="Book Antiqua" w:hAnsi="Book Antiqua"/>
                <w:b/>
                <w:sz w:val="24"/>
                <w:szCs w:val="24"/>
              </w:rPr>
            </w:pPr>
          </w:p>
        </w:tc>
        <w:tc>
          <w:tcPr>
            <w:tcW w:w="1150" w:type="dxa"/>
          </w:tcPr>
          <w:p w14:paraId="33D4027C" w14:textId="3AD99F50"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Estimate</w:t>
            </w:r>
          </w:p>
        </w:tc>
        <w:tc>
          <w:tcPr>
            <w:tcW w:w="1697" w:type="dxa"/>
          </w:tcPr>
          <w:p w14:paraId="67702596" w14:textId="5AC5F9A3"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Lower Bound</w:t>
            </w:r>
          </w:p>
        </w:tc>
        <w:tc>
          <w:tcPr>
            <w:tcW w:w="1701" w:type="dxa"/>
          </w:tcPr>
          <w:p w14:paraId="545EE3D3" w14:textId="7806BF6C"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Upper Bound</w:t>
            </w:r>
          </w:p>
        </w:tc>
      </w:tr>
      <w:tr w:rsidR="00C24409" w:rsidRPr="00141E92" w14:paraId="588FDC7C" w14:textId="77777777" w:rsidTr="009E63E9">
        <w:tc>
          <w:tcPr>
            <w:tcW w:w="1555" w:type="dxa"/>
          </w:tcPr>
          <w:p w14:paraId="414A971D" w14:textId="6A351CAF" w:rsidR="00C24409" w:rsidRPr="00141E92" w:rsidRDefault="00C24409" w:rsidP="008530E2">
            <w:pPr>
              <w:snapToGrid w:val="0"/>
              <w:spacing w:line="360" w:lineRule="auto"/>
              <w:jc w:val="both"/>
              <w:rPr>
                <w:rFonts w:ascii="Book Antiqua" w:hAnsi="Book Antiqua"/>
                <w:b/>
                <w:sz w:val="24"/>
                <w:szCs w:val="24"/>
              </w:rPr>
            </w:pPr>
            <w:r w:rsidRPr="00141E92">
              <w:rPr>
                <w:rFonts w:ascii="Book Antiqua" w:hAnsi="Book Antiqua"/>
                <w:b/>
                <w:sz w:val="24"/>
                <w:szCs w:val="24"/>
              </w:rPr>
              <w:t>IAP1 low</w:t>
            </w:r>
          </w:p>
        </w:tc>
        <w:tc>
          <w:tcPr>
            <w:tcW w:w="1150" w:type="dxa"/>
          </w:tcPr>
          <w:p w14:paraId="659400C9" w14:textId="1DA87CA0"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29.13</w:t>
            </w:r>
          </w:p>
        </w:tc>
        <w:tc>
          <w:tcPr>
            <w:tcW w:w="1697" w:type="dxa"/>
          </w:tcPr>
          <w:p w14:paraId="79EF0345" w14:textId="74DF4DA2"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18.44</w:t>
            </w:r>
          </w:p>
        </w:tc>
        <w:tc>
          <w:tcPr>
            <w:tcW w:w="1701" w:type="dxa"/>
          </w:tcPr>
          <w:p w14:paraId="615D6F9E" w14:textId="35B23544"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39.82</w:t>
            </w:r>
          </w:p>
        </w:tc>
      </w:tr>
      <w:tr w:rsidR="00C24409" w:rsidRPr="00141E92" w14:paraId="4D3FA2AC" w14:textId="77777777" w:rsidTr="009E63E9">
        <w:tc>
          <w:tcPr>
            <w:tcW w:w="1555" w:type="dxa"/>
          </w:tcPr>
          <w:p w14:paraId="220A63F4" w14:textId="6DC1FB1B" w:rsidR="00C24409" w:rsidRPr="00141E92" w:rsidRDefault="00C90A25" w:rsidP="008530E2">
            <w:pPr>
              <w:snapToGrid w:val="0"/>
              <w:spacing w:line="360" w:lineRule="auto"/>
              <w:jc w:val="both"/>
              <w:rPr>
                <w:rFonts w:ascii="Book Antiqua" w:hAnsi="Book Antiqua"/>
                <w:b/>
                <w:sz w:val="24"/>
                <w:szCs w:val="24"/>
              </w:rPr>
            </w:pPr>
            <w:r w:rsidRPr="00141E92">
              <w:rPr>
                <w:rFonts w:ascii="Book Antiqua" w:hAnsi="Book Antiqua"/>
                <w:b/>
                <w:sz w:val="24"/>
                <w:szCs w:val="24"/>
              </w:rPr>
              <w:t>IAP1</w:t>
            </w:r>
            <w:r w:rsidR="00C24409" w:rsidRPr="00141E92">
              <w:rPr>
                <w:rFonts w:ascii="Book Antiqua" w:hAnsi="Book Antiqua"/>
                <w:b/>
                <w:sz w:val="24"/>
                <w:szCs w:val="24"/>
              </w:rPr>
              <w:t xml:space="preserve"> high</w:t>
            </w:r>
          </w:p>
        </w:tc>
        <w:tc>
          <w:tcPr>
            <w:tcW w:w="1150" w:type="dxa"/>
          </w:tcPr>
          <w:p w14:paraId="03A9587E" w14:textId="63C1BA59"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16.26</w:t>
            </w:r>
          </w:p>
        </w:tc>
        <w:tc>
          <w:tcPr>
            <w:tcW w:w="1697" w:type="dxa"/>
          </w:tcPr>
          <w:p w14:paraId="12B48CE1" w14:textId="1A16D954"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7.53</w:t>
            </w:r>
          </w:p>
        </w:tc>
        <w:tc>
          <w:tcPr>
            <w:tcW w:w="1701" w:type="dxa"/>
          </w:tcPr>
          <w:p w14:paraId="338D4292" w14:textId="799C1BB1"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24.99</w:t>
            </w:r>
          </w:p>
        </w:tc>
      </w:tr>
      <w:tr w:rsidR="00C24409" w:rsidRPr="00141E92" w14:paraId="0308230B" w14:textId="77777777" w:rsidTr="009E63E9">
        <w:tc>
          <w:tcPr>
            <w:tcW w:w="1555" w:type="dxa"/>
          </w:tcPr>
          <w:p w14:paraId="1D506CD7" w14:textId="44C4540F" w:rsidR="00C24409" w:rsidRPr="00141E92" w:rsidRDefault="00C24409" w:rsidP="008530E2">
            <w:pPr>
              <w:snapToGrid w:val="0"/>
              <w:spacing w:line="360" w:lineRule="auto"/>
              <w:jc w:val="both"/>
              <w:rPr>
                <w:rFonts w:ascii="Book Antiqua" w:hAnsi="Book Antiqua"/>
                <w:sz w:val="24"/>
                <w:szCs w:val="24"/>
              </w:rPr>
            </w:pPr>
            <w:r w:rsidRPr="00141E92">
              <w:rPr>
                <w:rFonts w:ascii="Book Antiqua" w:hAnsi="Book Antiqua"/>
                <w:sz w:val="24"/>
                <w:szCs w:val="24"/>
              </w:rPr>
              <w:t>Overall</w:t>
            </w:r>
          </w:p>
        </w:tc>
        <w:tc>
          <w:tcPr>
            <w:tcW w:w="1150" w:type="dxa"/>
          </w:tcPr>
          <w:p w14:paraId="316C2B1B" w14:textId="10B23D75"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23.10</w:t>
            </w:r>
          </w:p>
        </w:tc>
        <w:tc>
          <w:tcPr>
            <w:tcW w:w="1697" w:type="dxa"/>
          </w:tcPr>
          <w:p w14:paraId="1DBE6ABA" w14:textId="20EC7D7C"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14.15</w:t>
            </w:r>
          </w:p>
        </w:tc>
        <w:tc>
          <w:tcPr>
            <w:tcW w:w="1701" w:type="dxa"/>
          </w:tcPr>
          <w:p w14:paraId="2D1112BA" w14:textId="2B96B891" w:rsidR="00C24409"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32.04</w:t>
            </w:r>
          </w:p>
        </w:tc>
      </w:tr>
    </w:tbl>
    <w:p w14:paraId="55CC3289" w14:textId="77777777" w:rsidR="00C24409" w:rsidRPr="00141E92" w:rsidRDefault="00C24409" w:rsidP="008530E2">
      <w:pPr>
        <w:snapToGrid w:val="0"/>
        <w:spacing w:line="360" w:lineRule="auto"/>
        <w:jc w:val="both"/>
        <w:rPr>
          <w:rFonts w:ascii="Book Antiqua" w:hAnsi="Book Antiqua"/>
          <w:b/>
          <w:sz w:val="24"/>
          <w:szCs w:val="24"/>
        </w:rPr>
      </w:pPr>
    </w:p>
    <w:p w14:paraId="2986B93B" w14:textId="77777777" w:rsidR="000F45A5" w:rsidRPr="00141E92" w:rsidRDefault="000F45A5"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 xml:space="preserve">B </w:t>
      </w:r>
    </w:p>
    <w:p w14:paraId="63A486FB" w14:textId="39DD55D6" w:rsidR="000F45A5" w:rsidRPr="00141E92" w:rsidRDefault="000F45A5" w:rsidP="008530E2">
      <w:pPr>
        <w:snapToGrid w:val="0"/>
        <w:spacing w:line="360" w:lineRule="auto"/>
        <w:jc w:val="both"/>
        <w:rPr>
          <w:rFonts w:ascii="Book Antiqua" w:hAnsi="Book Antiqua"/>
          <w:b/>
          <w:sz w:val="24"/>
          <w:szCs w:val="24"/>
        </w:rPr>
      </w:pPr>
    </w:p>
    <w:p w14:paraId="2DE2E26F" w14:textId="7B32C2EA" w:rsidR="00E54215" w:rsidRPr="00141E92" w:rsidRDefault="00E54215" w:rsidP="008530E2">
      <w:pPr>
        <w:snapToGrid w:val="0"/>
        <w:spacing w:line="360" w:lineRule="auto"/>
        <w:jc w:val="both"/>
        <w:rPr>
          <w:rFonts w:ascii="Book Antiqua" w:hAnsi="Book Antiqua" w:cs="Times New Roman"/>
          <w:color w:val="auto"/>
          <w:sz w:val="24"/>
          <w:szCs w:val="24"/>
        </w:rPr>
      </w:pPr>
      <w:r w:rsidRPr="00141E92">
        <w:rPr>
          <w:rFonts w:ascii="Book Antiqua" w:hAnsi="Book Antiqua" w:cs="Times New Roman"/>
          <w:noProof/>
          <w:color w:val="auto"/>
          <w:sz w:val="24"/>
          <w:szCs w:val="24"/>
          <w:lang w:eastAsia="zh-CN"/>
        </w:rPr>
        <w:drawing>
          <wp:inline distT="0" distB="0" distL="0" distR="0" wp14:anchorId="2D453EA7" wp14:editId="35AEFC45">
            <wp:extent cx="3326141" cy="2662389"/>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60306" cy="2689736"/>
                    </a:xfrm>
                    <a:prstGeom prst="rect">
                      <a:avLst/>
                    </a:prstGeom>
                    <a:noFill/>
                    <a:ln>
                      <a:noFill/>
                    </a:ln>
                  </pic:spPr>
                </pic:pic>
              </a:graphicData>
            </a:graphic>
          </wp:inline>
        </w:drawing>
      </w:r>
    </w:p>
    <w:p w14:paraId="63AC3566" w14:textId="77777777" w:rsidR="00E54215" w:rsidRPr="00141E92" w:rsidRDefault="00E54215" w:rsidP="008530E2">
      <w:pPr>
        <w:snapToGrid w:val="0"/>
        <w:spacing w:line="360" w:lineRule="auto"/>
        <w:jc w:val="both"/>
        <w:rPr>
          <w:rFonts w:ascii="Book Antiqua" w:hAnsi="Book Antiqua"/>
          <w:b/>
          <w:sz w:val="24"/>
          <w:szCs w:val="24"/>
        </w:rPr>
      </w:pPr>
    </w:p>
    <w:tbl>
      <w:tblPr>
        <w:tblStyle w:val="ad"/>
        <w:tblW w:w="0" w:type="auto"/>
        <w:tblLook w:val="04A0" w:firstRow="1" w:lastRow="0" w:firstColumn="1" w:lastColumn="0" w:noHBand="0" w:noVBand="1"/>
      </w:tblPr>
      <w:tblGrid>
        <w:gridCol w:w="1555"/>
        <w:gridCol w:w="1150"/>
        <w:gridCol w:w="1697"/>
        <w:gridCol w:w="1701"/>
      </w:tblGrid>
      <w:tr w:rsidR="00C90A25" w:rsidRPr="00141E92" w14:paraId="5C0F4A7A" w14:textId="77777777" w:rsidTr="009E63E9">
        <w:tc>
          <w:tcPr>
            <w:tcW w:w="1555" w:type="dxa"/>
            <w:vMerge w:val="restart"/>
          </w:tcPr>
          <w:p w14:paraId="7CCD699D" w14:textId="77777777" w:rsidR="00C90A25" w:rsidRPr="00141E92" w:rsidRDefault="00C90A25" w:rsidP="008530E2">
            <w:pPr>
              <w:snapToGrid w:val="0"/>
              <w:spacing w:line="360" w:lineRule="auto"/>
              <w:jc w:val="both"/>
              <w:rPr>
                <w:rFonts w:ascii="Book Antiqua" w:hAnsi="Book Antiqua"/>
                <w:b/>
                <w:sz w:val="24"/>
                <w:szCs w:val="24"/>
              </w:rPr>
            </w:pPr>
          </w:p>
        </w:tc>
        <w:tc>
          <w:tcPr>
            <w:tcW w:w="4548" w:type="dxa"/>
            <w:gridSpan w:val="3"/>
          </w:tcPr>
          <w:p w14:paraId="6F599E00" w14:textId="77777777"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Median</w:t>
            </w:r>
          </w:p>
        </w:tc>
      </w:tr>
      <w:tr w:rsidR="00C90A25" w:rsidRPr="00141E92" w14:paraId="2A5AB4D4" w14:textId="77777777" w:rsidTr="009E63E9">
        <w:tc>
          <w:tcPr>
            <w:tcW w:w="1555" w:type="dxa"/>
            <w:vMerge/>
          </w:tcPr>
          <w:p w14:paraId="51A91A7D" w14:textId="77777777" w:rsidR="00C90A25" w:rsidRPr="00141E92" w:rsidRDefault="00C90A25" w:rsidP="008530E2">
            <w:pPr>
              <w:snapToGrid w:val="0"/>
              <w:spacing w:line="360" w:lineRule="auto"/>
              <w:jc w:val="both"/>
              <w:rPr>
                <w:rFonts w:ascii="Book Antiqua" w:hAnsi="Book Antiqua"/>
                <w:b/>
                <w:sz w:val="24"/>
                <w:szCs w:val="24"/>
              </w:rPr>
            </w:pPr>
          </w:p>
        </w:tc>
        <w:tc>
          <w:tcPr>
            <w:tcW w:w="1150" w:type="dxa"/>
          </w:tcPr>
          <w:p w14:paraId="5F6A0407" w14:textId="77777777" w:rsidR="00C90A25" w:rsidRPr="00141E92" w:rsidRDefault="00C90A25" w:rsidP="008530E2">
            <w:pPr>
              <w:snapToGrid w:val="0"/>
              <w:spacing w:line="360" w:lineRule="auto"/>
              <w:jc w:val="both"/>
              <w:rPr>
                <w:rFonts w:ascii="Book Antiqua" w:hAnsi="Book Antiqua"/>
                <w:sz w:val="24"/>
                <w:szCs w:val="24"/>
              </w:rPr>
            </w:pPr>
          </w:p>
        </w:tc>
        <w:tc>
          <w:tcPr>
            <w:tcW w:w="3398" w:type="dxa"/>
            <w:gridSpan w:val="2"/>
          </w:tcPr>
          <w:p w14:paraId="0129597D" w14:textId="77777777"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95% Confidence Interval</w:t>
            </w:r>
          </w:p>
        </w:tc>
      </w:tr>
      <w:tr w:rsidR="00C90A25" w:rsidRPr="00141E92" w14:paraId="1BA2C609" w14:textId="77777777" w:rsidTr="009E63E9">
        <w:tc>
          <w:tcPr>
            <w:tcW w:w="1555" w:type="dxa"/>
            <w:vMerge/>
          </w:tcPr>
          <w:p w14:paraId="74D7E721" w14:textId="77777777" w:rsidR="00C90A25" w:rsidRPr="00141E92" w:rsidRDefault="00C90A25" w:rsidP="008530E2">
            <w:pPr>
              <w:snapToGrid w:val="0"/>
              <w:spacing w:line="360" w:lineRule="auto"/>
              <w:jc w:val="both"/>
              <w:rPr>
                <w:rFonts w:ascii="Book Antiqua" w:hAnsi="Book Antiqua"/>
                <w:b/>
                <w:sz w:val="24"/>
                <w:szCs w:val="24"/>
              </w:rPr>
            </w:pPr>
          </w:p>
        </w:tc>
        <w:tc>
          <w:tcPr>
            <w:tcW w:w="1150" w:type="dxa"/>
          </w:tcPr>
          <w:p w14:paraId="19CAD896" w14:textId="77777777"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Estimate</w:t>
            </w:r>
          </w:p>
        </w:tc>
        <w:tc>
          <w:tcPr>
            <w:tcW w:w="1697" w:type="dxa"/>
          </w:tcPr>
          <w:p w14:paraId="15E3AA77" w14:textId="77777777"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Lower Bound</w:t>
            </w:r>
          </w:p>
        </w:tc>
        <w:tc>
          <w:tcPr>
            <w:tcW w:w="1701" w:type="dxa"/>
          </w:tcPr>
          <w:p w14:paraId="5A0F6501" w14:textId="77777777" w:rsidR="00C90A25" w:rsidRPr="00141E92" w:rsidRDefault="00C90A25" w:rsidP="008530E2">
            <w:pPr>
              <w:snapToGrid w:val="0"/>
              <w:spacing w:line="360" w:lineRule="auto"/>
              <w:jc w:val="both"/>
              <w:rPr>
                <w:rFonts w:ascii="Book Antiqua" w:hAnsi="Book Antiqua"/>
                <w:sz w:val="24"/>
                <w:szCs w:val="24"/>
              </w:rPr>
            </w:pPr>
            <w:r w:rsidRPr="00141E92">
              <w:rPr>
                <w:rFonts w:ascii="Book Antiqua" w:hAnsi="Book Antiqua"/>
                <w:sz w:val="24"/>
                <w:szCs w:val="24"/>
              </w:rPr>
              <w:t>Upper Bound</w:t>
            </w:r>
          </w:p>
        </w:tc>
      </w:tr>
      <w:tr w:rsidR="009E63E9" w:rsidRPr="00141E92" w14:paraId="3180DA23" w14:textId="77777777" w:rsidTr="009E63E9">
        <w:tc>
          <w:tcPr>
            <w:tcW w:w="1555" w:type="dxa"/>
          </w:tcPr>
          <w:p w14:paraId="4E94059C" w14:textId="6111B65D" w:rsidR="009E63E9" w:rsidRPr="00141E92" w:rsidRDefault="009E63E9" w:rsidP="008530E2">
            <w:pPr>
              <w:snapToGrid w:val="0"/>
              <w:spacing w:line="360" w:lineRule="auto"/>
              <w:jc w:val="both"/>
              <w:rPr>
                <w:rFonts w:ascii="Book Antiqua" w:hAnsi="Book Antiqua"/>
                <w:b/>
                <w:sz w:val="24"/>
                <w:szCs w:val="24"/>
              </w:rPr>
            </w:pPr>
            <w:r w:rsidRPr="00141E92">
              <w:rPr>
                <w:rFonts w:ascii="Book Antiqua" w:hAnsi="Book Antiqua"/>
                <w:b/>
                <w:sz w:val="24"/>
                <w:szCs w:val="24"/>
              </w:rPr>
              <w:t>IAP2 low</w:t>
            </w:r>
          </w:p>
        </w:tc>
        <w:tc>
          <w:tcPr>
            <w:tcW w:w="1150" w:type="dxa"/>
          </w:tcPr>
          <w:p w14:paraId="1FA8104F" w14:textId="6F9057A0"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22.16</w:t>
            </w:r>
          </w:p>
        </w:tc>
        <w:tc>
          <w:tcPr>
            <w:tcW w:w="1697" w:type="dxa"/>
            <w:vAlign w:val="center"/>
          </w:tcPr>
          <w:p w14:paraId="0D8669FD" w14:textId="529A7C3D"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11.85</w:t>
            </w:r>
          </w:p>
        </w:tc>
        <w:tc>
          <w:tcPr>
            <w:tcW w:w="1701" w:type="dxa"/>
            <w:vAlign w:val="center"/>
          </w:tcPr>
          <w:p w14:paraId="789CC6BB" w14:textId="7C4DE015"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32.47</w:t>
            </w:r>
          </w:p>
        </w:tc>
      </w:tr>
      <w:tr w:rsidR="009E63E9" w:rsidRPr="00141E92" w14:paraId="1534FCE0" w14:textId="77777777" w:rsidTr="009E63E9">
        <w:tc>
          <w:tcPr>
            <w:tcW w:w="1555" w:type="dxa"/>
          </w:tcPr>
          <w:p w14:paraId="373D4143" w14:textId="77777777" w:rsidR="009E63E9" w:rsidRPr="00141E92" w:rsidRDefault="009E63E9" w:rsidP="008530E2">
            <w:pPr>
              <w:snapToGrid w:val="0"/>
              <w:spacing w:line="360" w:lineRule="auto"/>
              <w:jc w:val="both"/>
              <w:rPr>
                <w:rFonts w:ascii="Book Antiqua" w:hAnsi="Book Antiqua"/>
                <w:b/>
                <w:sz w:val="24"/>
                <w:szCs w:val="24"/>
              </w:rPr>
            </w:pPr>
            <w:r w:rsidRPr="00141E92">
              <w:rPr>
                <w:rFonts w:ascii="Book Antiqua" w:hAnsi="Book Antiqua"/>
                <w:b/>
                <w:sz w:val="24"/>
                <w:szCs w:val="24"/>
              </w:rPr>
              <w:t>IAP2 high</w:t>
            </w:r>
          </w:p>
        </w:tc>
        <w:tc>
          <w:tcPr>
            <w:tcW w:w="1150" w:type="dxa"/>
          </w:tcPr>
          <w:p w14:paraId="43FD8B4B" w14:textId="12B3D220"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23.10</w:t>
            </w:r>
          </w:p>
        </w:tc>
        <w:tc>
          <w:tcPr>
            <w:tcW w:w="1697" w:type="dxa"/>
            <w:vAlign w:val="center"/>
          </w:tcPr>
          <w:p w14:paraId="70D5A1EC" w14:textId="0B9D1EAF"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19.24</w:t>
            </w:r>
          </w:p>
        </w:tc>
        <w:tc>
          <w:tcPr>
            <w:tcW w:w="1701" w:type="dxa"/>
            <w:vAlign w:val="center"/>
          </w:tcPr>
          <w:p w14:paraId="4EB1C73B" w14:textId="03E17B8F"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26.95</w:t>
            </w:r>
          </w:p>
        </w:tc>
      </w:tr>
      <w:tr w:rsidR="009E63E9" w:rsidRPr="00141E92" w14:paraId="69730122" w14:textId="77777777" w:rsidTr="009E63E9">
        <w:tc>
          <w:tcPr>
            <w:tcW w:w="1555" w:type="dxa"/>
          </w:tcPr>
          <w:p w14:paraId="2CD5DA12" w14:textId="77777777"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sz w:val="24"/>
                <w:szCs w:val="24"/>
              </w:rPr>
              <w:t>Overall</w:t>
            </w:r>
          </w:p>
        </w:tc>
        <w:tc>
          <w:tcPr>
            <w:tcW w:w="1150" w:type="dxa"/>
          </w:tcPr>
          <w:p w14:paraId="231B9CF6" w14:textId="77777777"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sz w:val="24"/>
                <w:szCs w:val="24"/>
              </w:rPr>
              <w:t>23.10</w:t>
            </w:r>
          </w:p>
        </w:tc>
        <w:tc>
          <w:tcPr>
            <w:tcW w:w="1697" w:type="dxa"/>
            <w:vAlign w:val="center"/>
          </w:tcPr>
          <w:p w14:paraId="75615A96" w14:textId="25AECFFB"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14.15</w:t>
            </w:r>
          </w:p>
        </w:tc>
        <w:tc>
          <w:tcPr>
            <w:tcW w:w="1701" w:type="dxa"/>
            <w:vAlign w:val="center"/>
          </w:tcPr>
          <w:p w14:paraId="32DD28CD" w14:textId="080A07FF" w:rsidR="009E63E9" w:rsidRPr="00141E92" w:rsidRDefault="009E63E9" w:rsidP="008530E2">
            <w:pPr>
              <w:snapToGrid w:val="0"/>
              <w:spacing w:line="360" w:lineRule="auto"/>
              <w:jc w:val="both"/>
              <w:rPr>
                <w:rFonts w:ascii="Book Antiqua" w:hAnsi="Book Antiqua"/>
                <w:sz w:val="24"/>
                <w:szCs w:val="24"/>
              </w:rPr>
            </w:pPr>
            <w:r w:rsidRPr="00141E92">
              <w:rPr>
                <w:rFonts w:ascii="Book Antiqua" w:hAnsi="Book Antiqua" w:cs="Arial"/>
                <w:sz w:val="24"/>
                <w:szCs w:val="24"/>
              </w:rPr>
              <w:t>32.04</w:t>
            </w:r>
          </w:p>
        </w:tc>
      </w:tr>
    </w:tbl>
    <w:p w14:paraId="291C525A" w14:textId="58E488B2" w:rsidR="000F45A5" w:rsidRPr="005A59B9" w:rsidRDefault="000F45A5" w:rsidP="005A59B9">
      <w:pPr>
        <w:pStyle w:val="a3"/>
        <w:snapToGrid w:val="0"/>
        <w:spacing w:before="0" w:beforeAutospacing="0" w:after="0" w:afterAutospacing="0" w:line="360" w:lineRule="auto"/>
        <w:jc w:val="both"/>
        <w:rPr>
          <w:rFonts w:ascii="Book Antiqua" w:hAnsi="Book Antiqua"/>
          <w:i/>
          <w:sz w:val="24"/>
          <w:szCs w:val="24"/>
        </w:rPr>
      </w:pPr>
      <w:r w:rsidRPr="00141E92">
        <w:rPr>
          <w:rFonts w:ascii="Book Antiqua" w:hAnsi="Book Antiqua" w:cstheme="minorBidi"/>
          <w:b/>
          <w:bCs/>
          <w:color w:val="000000" w:themeColor="text1"/>
          <w:kern w:val="24"/>
          <w:sz w:val="24"/>
          <w:szCs w:val="24"/>
        </w:rPr>
        <w:t>Figure 2</w:t>
      </w:r>
      <w:r w:rsidRPr="00141E92">
        <w:rPr>
          <w:rFonts w:ascii="Book Antiqua" w:hAnsi="Book Antiqua" w:cstheme="minorBidi"/>
          <w:b/>
          <w:bCs/>
          <w:i/>
          <w:color w:val="000000" w:themeColor="text1"/>
          <w:kern w:val="24"/>
          <w:sz w:val="24"/>
          <w:szCs w:val="24"/>
        </w:rPr>
        <w:t xml:space="preserve"> </w:t>
      </w:r>
      <w:r w:rsidRPr="00141E92">
        <w:rPr>
          <w:rFonts w:ascii="Book Antiqua" w:hAnsi="Book Antiqua" w:cstheme="minorBidi"/>
          <w:b/>
          <w:bCs/>
          <w:color w:val="000000" w:themeColor="text1"/>
          <w:kern w:val="24"/>
          <w:sz w:val="24"/>
          <w:szCs w:val="24"/>
        </w:rPr>
        <w:t>Survival analysis</w:t>
      </w:r>
      <w:r w:rsidR="00664810" w:rsidRPr="00141E92">
        <w:rPr>
          <w:rFonts w:ascii="Book Antiqua" w:hAnsi="Book Antiqua" w:cstheme="minorBidi"/>
          <w:b/>
          <w:bCs/>
          <w:color w:val="000000" w:themeColor="text1"/>
          <w:kern w:val="24"/>
          <w:sz w:val="24"/>
          <w:szCs w:val="24"/>
        </w:rPr>
        <w:t xml:space="preserve">. </w:t>
      </w:r>
      <w:r w:rsidRPr="00141E92">
        <w:rPr>
          <w:rFonts w:ascii="Book Antiqua" w:hAnsi="Book Antiqua"/>
          <w:color w:val="111111"/>
          <w:sz w:val="24"/>
          <w:szCs w:val="24"/>
        </w:rPr>
        <w:t xml:space="preserve">A: </w:t>
      </w:r>
      <w:r w:rsidR="005A59B9">
        <w:rPr>
          <w:rFonts w:ascii="Book Antiqua" w:hAnsi="Book Antiqua" w:cstheme="minorBidi"/>
          <w:color w:val="000000" w:themeColor="text1"/>
          <w:kern w:val="24"/>
          <w:sz w:val="24"/>
          <w:szCs w:val="24"/>
        </w:rPr>
        <w:t>T</w:t>
      </w:r>
      <w:r w:rsidRPr="00141E92">
        <w:rPr>
          <w:rFonts w:ascii="Book Antiqua" w:hAnsi="Book Antiqua" w:cstheme="minorBidi"/>
          <w:color w:val="000000" w:themeColor="text1"/>
          <w:kern w:val="24"/>
          <w:sz w:val="24"/>
          <w:szCs w:val="24"/>
        </w:rPr>
        <w:t xml:space="preserve">he survival time of patients with the low expression of </w:t>
      </w:r>
      <w:r w:rsidR="005A59B9">
        <w:rPr>
          <w:rFonts w:ascii="Book Antiqua" w:hAnsi="Book Antiqua" w:cs="Times"/>
          <w:color w:val="000000" w:themeColor="text1"/>
          <w:sz w:val="24"/>
          <w:szCs w:val="24"/>
        </w:rPr>
        <w:t>inhibitor</w:t>
      </w:r>
      <w:r w:rsidR="005A4503" w:rsidRPr="00141E92">
        <w:rPr>
          <w:rFonts w:ascii="Book Antiqua" w:hAnsi="Book Antiqua" w:cs="Times"/>
          <w:color w:val="000000" w:themeColor="text1"/>
          <w:sz w:val="24"/>
          <w:szCs w:val="24"/>
        </w:rPr>
        <w:t xml:space="preserve"> of apoptosis protein 1 </w:t>
      </w:r>
      <w:r w:rsidRPr="00141E92">
        <w:rPr>
          <w:rFonts w:ascii="Book Antiqua" w:hAnsi="Book Antiqua" w:cstheme="minorBidi"/>
          <w:color w:val="000000" w:themeColor="text1"/>
          <w:kern w:val="24"/>
          <w:sz w:val="24"/>
          <w:szCs w:val="24"/>
        </w:rPr>
        <w:t>tended to be longer than those with high expression (</w:t>
      </w:r>
      <w:r w:rsidR="0044038C" w:rsidRPr="00141E92">
        <w:rPr>
          <w:rFonts w:ascii="Book Antiqua" w:hAnsi="Book Antiqua" w:cstheme="minorBidi"/>
          <w:i/>
          <w:color w:val="000000" w:themeColor="text1"/>
          <w:kern w:val="24"/>
          <w:sz w:val="24"/>
          <w:szCs w:val="24"/>
        </w:rPr>
        <w:t xml:space="preserve">P </w:t>
      </w:r>
      <w:r w:rsidRPr="00141E92">
        <w:rPr>
          <w:rFonts w:ascii="Book Antiqua" w:hAnsi="Book Antiqua" w:cstheme="minorBidi"/>
          <w:color w:val="000000" w:themeColor="text1"/>
          <w:kern w:val="24"/>
          <w:sz w:val="24"/>
          <w:szCs w:val="24"/>
        </w:rPr>
        <w:t>&lt;</w:t>
      </w:r>
      <w:r w:rsidR="0044038C" w:rsidRPr="00141E92">
        <w:rPr>
          <w:rFonts w:ascii="Book Antiqua" w:hAnsi="Book Antiqua" w:cstheme="minorBidi"/>
          <w:color w:val="000000" w:themeColor="text1"/>
          <w:kern w:val="24"/>
          <w:sz w:val="24"/>
          <w:szCs w:val="24"/>
        </w:rPr>
        <w:t xml:space="preserve"> </w:t>
      </w:r>
      <w:r w:rsidRPr="00141E92">
        <w:rPr>
          <w:rFonts w:ascii="Book Antiqua" w:hAnsi="Book Antiqua" w:cstheme="minorBidi"/>
          <w:color w:val="000000" w:themeColor="text1"/>
          <w:kern w:val="24"/>
          <w:sz w:val="24"/>
          <w:szCs w:val="24"/>
        </w:rPr>
        <w:t xml:space="preserve">0.05). B: </w:t>
      </w:r>
      <w:r w:rsidR="005A59B9">
        <w:rPr>
          <w:rFonts w:ascii="Book Antiqua" w:hAnsi="Book Antiqua"/>
          <w:sz w:val="24"/>
          <w:szCs w:val="24"/>
        </w:rPr>
        <w:t>T</w:t>
      </w:r>
      <w:r w:rsidRPr="00141E92">
        <w:rPr>
          <w:rFonts w:ascii="Book Antiqua" w:hAnsi="Book Antiqua"/>
          <w:sz w:val="24"/>
          <w:szCs w:val="24"/>
        </w:rPr>
        <w:t xml:space="preserve">here was no difference of survival among high and low </w:t>
      </w:r>
      <w:r w:rsidR="005A59B9">
        <w:rPr>
          <w:rFonts w:ascii="Book Antiqua" w:hAnsi="Book Antiqua" w:cs="Times"/>
          <w:color w:val="000000" w:themeColor="text1"/>
          <w:sz w:val="24"/>
          <w:szCs w:val="24"/>
        </w:rPr>
        <w:t>inhibitor</w:t>
      </w:r>
      <w:r w:rsidR="005A4503" w:rsidRPr="00141E92">
        <w:rPr>
          <w:rFonts w:ascii="Book Antiqua" w:hAnsi="Book Antiqua" w:cs="Times"/>
          <w:color w:val="000000" w:themeColor="text1"/>
          <w:sz w:val="24"/>
          <w:szCs w:val="24"/>
        </w:rPr>
        <w:t xml:space="preserve"> of apoptosis protein 2 (</w:t>
      </w:r>
      <w:r w:rsidRPr="00141E92">
        <w:rPr>
          <w:rFonts w:ascii="Book Antiqua" w:hAnsi="Book Antiqua"/>
          <w:sz w:val="24"/>
          <w:szCs w:val="24"/>
        </w:rPr>
        <w:t>IAP2</w:t>
      </w:r>
      <w:r w:rsidR="005A4503" w:rsidRPr="00141E92">
        <w:rPr>
          <w:rFonts w:ascii="Book Antiqua" w:hAnsi="Book Antiqua"/>
          <w:sz w:val="24"/>
          <w:szCs w:val="24"/>
        </w:rPr>
        <w:t>)</w:t>
      </w:r>
      <w:r w:rsidRPr="00141E92">
        <w:rPr>
          <w:rFonts w:ascii="Book Antiqua" w:hAnsi="Book Antiqua"/>
          <w:sz w:val="24"/>
          <w:szCs w:val="24"/>
        </w:rPr>
        <w:t xml:space="preserve"> mRNA expression.</w:t>
      </w:r>
      <w:r w:rsidRPr="00141E92">
        <w:rPr>
          <w:rFonts w:ascii="Book Antiqua" w:hAnsi="Book Antiqua"/>
          <w:i/>
          <w:sz w:val="24"/>
          <w:szCs w:val="24"/>
        </w:rPr>
        <w:t xml:space="preserve"> </w:t>
      </w:r>
      <w:r w:rsidR="005A59B9">
        <w:rPr>
          <w:rFonts w:ascii="Book Antiqua" w:eastAsiaTheme="majorEastAsia" w:hAnsi="Book Antiqua" w:cstheme="majorBidi"/>
          <w:color w:val="000000" w:themeColor="text1"/>
          <w:kern w:val="24"/>
          <w:sz w:val="24"/>
          <w:szCs w:val="24"/>
        </w:rPr>
        <w:t>IAP1:</w:t>
      </w:r>
      <w:r w:rsidR="00171CE3" w:rsidRPr="00141E92">
        <w:rPr>
          <w:rFonts w:ascii="Book Antiqua" w:eastAsiaTheme="majorEastAsia" w:hAnsi="Book Antiqua" w:cstheme="majorBidi"/>
          <w:color w:val="000000" w:themeColor="text1"/>
          <w:kern w:val="24"/>
          <w:sz w:val="24"/>
          <w:szCs w:val="24"/>
        </w:rPr>
        <w:t xml:space="preserve"> </w:t>
      </w:r>
      <w:r w:rsidR="005A59B9">
        <w:rPr>
          <w:rFonts w:ascii="Book Antiqua" w:hAnsi="Book Antiqua" w:cs="Times"/>
          <w:color w:val="000000" w:themeColor="text1"/>
          <w:sz w:val="24"/>
          <w:szCs w:val="24"/>
        </w:rPr>
        <w:t>Inhibitor</w:t>
      </w:r>
      <w:r w:rsidR="005A59B9" w:rsidRPr="00141E92">
        <w:rPr>
          <w:rFonts w:ascii="Book Antiqua" w:hAnsi="Book Antiqua" w:cs="Times"/>
          <w:color w:val="000000" w:themeColor="text1"/>
          <w:sz w:val="24"/>
          <w:szCs w:val="24"/>
        </w:rPr>
        <w:t xml:space="preserve"> of apoptosis protein 1</w:t>
      </w:r>
      <w:r w:rsidR="005A59B9">
        <w:rPr>
          <w:rFonts w:ascii="Book Antiqua" w:hAnsi="Book Antiqua" w:cs="Times"/>
          <w:color w:val="000000" w:themeColor="text1"/>
          <w:sz w:val="24"/>
          <w:szCs w:val="24"/>
        </w:rPr>
        <w:t xml:space="preserve">; </w:t>
      </w:r>
      <w:r w:rsidR="00171CE3" w:rsidRPr="00141E92">
        <w:rPr>
          <w:rFonts w:ascii="Book Antiqua" w:eastAsiaTheme="majorEastAsia" w:hAnsi="Book Antiqua" w:cstheme="majorBidi"/>
          <w:color w:val="000000" w:themeColor="text1"/>
          <w:kern w:val="24"/>
          <w:sz w:val="24"/>
          <w:szCs w:val="24"/>
        </w:rPr>
        <w:t xml:space="preserve">IAP2: </w:t>
      </w:r>
      <w:r w:rsidR="005A59B9">
        <w:rPr>
          <w:rFonts w:ascii="Book Antiqua" w:hAnsi="Book Antiqua" w:cs="Times"/>
          <w:color w:val="000000" w:themeColor="text1"/>
          <w:sz w:val="24"/>
          <w:szCs w:val="24"/>
        </w:rPr>
        <w:t>Inhibitor</w:t>
      </w:r>
      <w:r w:rsidR="005A59B9" w:rsidRPr="00141E92">
        <w:rPr>
          <w:rFonts w:ascii="Book Antiqua" w:hAnsi="Book Antiqua" w:cs="Times"/>
          <w:color w:val="000000" w:themeColor="text1"/>
          <w:sz w:val="24"/>
          <w:szCs w:val="24"/>
        </w:rPr>
        <w:t xml:space="preserve"> of apopt</w:t>
      </w:r>
      <w:r w:rsidR="005A59B9">
        <w:rPr>
          <w:rFonts w:ascii="Book Antiqua" w:hAnsi="Book Antiqua" w:cs="Times"/>
          <w:color w:val="000000" w:themeColor="text1"/>
          <w:sz w:val="24"/>
          <w:szCs w:val="24"/>
        </w:rPr>
        <w:t>osis protein 2.</w:t>
      </w:r>
    </w:p>
    <w:p w14:paraId="1DC523D7" w14:textId="77777777" w:rsidR="0042774A" w:rsidRPr="00141E92" w:rsidRDefault="003050F9" w:rsidP="008530E2">
      <w:pPr>
        <w:snapToGrid w:val="0"/>
        <w:spacing w:line="360" w:lineRule="auto"/>
        <w:jc w:val="both"/>
        <w:rPr>
          <w:rFonts w:ascii="Book Antiqua" w:hAnsi="Book Antiqua"/>
          <w:b/>
          <w:sz w:val="24"/>
          <w:szCs w:val="24"/>
        </w:rPr>
      </w:pPr>
      <w:r w:rsidRPr="00141E92">
        <w:rPr>
          <w:rFonts w:ascii="Book Antiqua" w:hAnsi="Book Antiqua"/>
          <w:b/>
          <w:sz w:val="24"/>
          <w:szCs w:val="24"/>
        </w:rPr>
        <w:br w:type="page"/>
      </w:r>
    </w:p>
    <w:p w14:paraId="2D7D19B9" w14:textId="77777777" w:rsidR="0042774A" w:rsidRPr="00141E92" w:rsidRDefault="0042774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A</w:t>
      </w:r>
    </w:p>
    <w:p w14:paraId="37F28A0B" w14:textId="05B02D8D" w:rsidR="0042774A" w:rsidRPr="00141E92" w:rsidRDefault="0042774A" w:rsidP="008530E2">
      <w:pPr>
        <w:snapToGrid w:val="0"/>
        <w:spacing w:line="360" w:lineRule="auto"/>
        <w:jc w:val="both"/>
        <w:rPr>
          <w:rFonts w:ascii="Book Antiqua" w:hAnsi="Book Antiqua"/>
          <w:b/>
          <w:sz w:val="24"/>
          <w:szCs w:val="24"/>
        </w:rPr>
      </w:pPr>
      <w:r w:rsidRPr="00141E92">
        <w:rPr>
          <w:rFonts w:ascii="Book Antiqua" w:hAnsi="Book Antiqua"/>
          <w:b/>
          <w:noProof/>
          <w:color w:val="000000" w:themeColor="text1"/>
          <w:sz w:val="24"/>
          <w:szCs w:val="24"/>
          <w:lang w:eastAsia="zh-CN"/>
        </w:rPr>
        <w:drawing>
          <wp:inline distT="0" distB="0" distL="0" distR="0" wp14:anchorId="52D04021" wp14:editId="1A391DE3">
            <wp:extent cx="2989943" cy="18337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90387" cy="1834015"/>
                    </a:xfrm>
                    <a:prstGeom prst="rect">
                      <a:avLst/>
                    </a:prstGeom>
                  </pic:spPr>
                </pic:pic>
              </a:graphicData>
            </a:graphic>
          </wp:inline>
        </w:drawing>
      </w:r>
    </w:p>
    <w:p w14:paraId="1C3C5686" w14:textId="08AE5540" w:rsidR="0042774A" w:rsidRPr="00141E92" w:rsidRDefault="0042774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B</w:t>
      </w:r>
    </w:p>
    <w:p w14:paraId="45A1CF3C" w14:textId="44E9644F" w:rsidR="0042774A" w:rsidRPr="00141E92" w:rsidRDefault="003E1A6F" w:rsidP="008530E2">
      <w:pPr>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w:drawing>
          <wp:inline distT="0" distB="0" distL="0" distR="0" wp14:anchorId="48BA0F7A" wp14:editId="24F0A0ED">
            <wp:extent cx="5054600" cy="12319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_wb.png"/>
                    <pic:cNvPicPr/>
                  </pic:nvPicPr>
                  <pic:blipFill>
                    <a:blip r:embed="rId16">
                      <a:extLst>
                        <a:ext uri="{28A0092B-C50C-407E-A947-70E740481C1C}">
                          <a14:useLocalDpi xmlns:a14="http://schemas.microsoft.com/office/drawing/2010/main" val="0"/>
                        </a:ext>
                      </a:extLst>
                    </a:blip>
                    <a:stretch>
                      <a:fillRect/>
                    </a:stretch>
                  </pic:blipFill>
                  <pic:spPr>
                    <a:xfrm>
                      <a:off x="0" y="0"/>
                      <a:ext cx="5054600" cy="1231900"/>
                    </a:xfrm>
                    <a:prstGeom prst="rect">
                      <a:avLst/>
                    </a:prstGeom>
                  </pic:spPr>
                </pic:pic>
              </a:graphicData>
            </a:graphic>
          </wp:inline>
        </w:drawing>
      </w:r>
    </w:p>
    <w:p w14:paraId="654AAC36" w14:textId="7123FC2E" w:rsidR="0042774A" w:rsidRPr="00141E92" w:rsidRDefault="0042774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C</w:t>
      </w:r>
    </w:p>
    <w:p w14:paraId="37632234" w14:textId="70240AB6" w:rsidR="0042774A" w:rsidRPr="00141E92" w:rsidRDefault="0042774A" w:rsidP="008530E2">
      <w:pPr>
        <w:snapToGrid w:val="0"/>
        <w:spacing w:line="360" w:lineRule="auto"/>
        <w:jc w:val="both"/>
        <w:rPr>
          <w:rFonts w:ascii="Book Antiqua" w:hAnsi="Book Antiqua"/>
          <w:b/>
          <w:sz w:val="24"/>
          <w:szCs w:val="24"/>
        </w:rPr>
      </w:pPr>
      <w:r w:rsidRPr="00141E92">
        <w:rPr>
          <w:rFonts w:ascii="Book Antiqua" w:hAnsi="Book Antiqua"/>
          <w:noProof/>
          <w:sz w:val="24"/>
          <w:szCs w:val="24"/>
          <w:lang w:eastAsia="zh-CN"/>
        </w:rPr>
        <w:drawing>
          <wp:inline distT="0" distB="0" distL="0" distR="0" wp14:anchorId="3819451C" wp14:editId="3C7D0F99">
            <wp:extent cx="2571750" cy="2752725"/>
            <wp:effectExtent l="0" t="0" r="0" b="9525"/>
            <wp:docPr id="10" name="Picture 10"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r="35714" b="51265"/>
                    <a:stretch/>
                  </pic:blipFill>
                  <pic:spPr bwMode="auto">
                    <a:xfrm>
                      <a:off x="0" y="0"/>
                      <a:ext cx="2571750" cy="2752725"/>
                    </a:xfrm>
                    <a:prstGeom prst="rect">
                      <a:avLst/>
                    </a:prstGeom>
                    <a:noFill/>
                    <a:ln>
                      <a:noFill/>
                    </a:ln>
                    <a:extLst>
                      <a:ext uri="{53640926-AAD7-44D8-BBD7-CCE9431645EC}">
                        <a14:shadowObscured xmlns:a14="http://schemas.microsoft.com/office/drawing/2010/main"/>
                      </a:ext>
                    </a:extLst>
                  </pic:spPr>
                </pic:pic>
              </a:graphicData>
            </a:graphic>
          </wp:inline>
        </w:drawing>
      </w:r>
      <w:r w:rsidRPr="00141E92">
        <w:rPr>
          <w:rFonts w:ascii="Book Antiqua" w:hAnsi="Book Antiqua"/>
          <w:b/>
          <w:sz w:val="24"/>
          <w:szCs w:val="24"/>
        </w:rPr>
        <w:t xml:space="preserve"> </w:t>
      </w:r>
      <w:r w:rsidRPr="00141E92">
        <w:rPr>
          <w:rFonts w:ascii="Book Antiqua" w:hAnsi="Book Antiqua"/>
          <w:noProof/>
          <w:sz w:val="24"/>
          <w:szCs w:val="24"/>
          <w:lang w:eastAsia="zh-CN"/>
        </w:rPr>
        <w:drawing>
          <wp:inline distT="0" distB="0" distL="0" distR="0" wp14:anchorId="31BBD9EF" wp14:editId="0EA47C5F">
            <wp:extent cx="2638425" cy="2790825"/>
            <wp:effectExtent l="0" t="0" r="9525" b="9525"/>
            <wp:docPr id="11" name="Picture 11" descr="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48567" r="34047" b="2024"/>
                    <a:stretch/>
                  </pic:blipFill>
                  <pic:spPr bwMode="auto">
                    <a:xfrm>
                      <a:off x="0" y="0"/>
                      <a:ext cx="2638425" cy="2790825"/>
                    </a:xfrm>
                    <a:prstGeom prst="rect">
                      <a:avLst/>
                    </a:prstGeom>
                    <a:noFill/>
                    <a:ln>
                      <a:noFill/>
                    </a:ln>
                    <a:extLst>
                      <a:ext uri="{53640926-AAD7-44D8-BBD7-CCE9431645EC}">
                        <a14:shadowObscured xmlns:a14="http://schemas.microsoft.com/office/drawing/2010/main"/>
                      </a:ext>
                    </a:extLst>
                  </pic:spPr>
                </pic:pic>
              </a:graphicData>
            </a:graphic>
          </wp:inline>
        </w:drawing>
      </w:r>
    </w:p>
    <w:p w14:paraId="7196E2D1" w14:textId="77777777" w:rsidR="00C80084" w:rsidRPr="00141E92" w:rsidRDefault="00C80084" w:rsidP="008530E2">
      <w:pPr>
        <w:snapToGrid w:val="0"/>
        <w:spacing w:line="360" w:lineRule="auto"/>
        <w:jc w:val="both"/>
        <w:rPr>
          <w:rFonts w:ascii="Book Antiqua" w:hAnsi="Book Antiqua"/>
          <w:b/>
          <w:sz w:val="24"/>
          <w:szCs w:val="24"/>
        </w:rPr>
      </w:pPr>
    </w:p>
    <w:p w14:paraId="0F3894BA" w14:textId="64F91829" w:rsidR="0042774A" w:rsidRPr="00141E92" w:rsidRDefault="0042774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D</w:t>
      </w:r>
    </w:p>
    <w:p w14:paraId="6EA687AF" w14:textId="5427B2EC" w:rsidR="0042774A" w:rsidRPr="00141E92" w:rsidRDefault="0042774A" w:rsidP="008530E2">
      <w:pPr>
        <w:snapToGrid w:val="0"/>
        <w:spacing w:line="360" w:lineRule="auto"/>
        <w:jc w:val="both"/>
        <w:rPr>
          <w:rFonts w:ascii="Book Antiqua" w:hAnsi="Book Antiqua"/>
          <w:b/>
          <w:sz w:val="24"/>
          <w:szCs w:val="24"/>
        </w:rPr>
      </w:pPr>
      <w:r w:rsidRPr="00141E92">
        <w:rPr>
          <w:rFonts w:ascii="Book Antiqua" w:hAnsi="Book Antiqua"/>
          <w:b/>
          <w:noProof/>
          <w:color w:val="000000" w:themeColor="text1"/>
          <w:sz w:val="24"/>
          <w:szCs w:val="24"/>
          <w:lang w:eastAsia="zh-CN"/>
        </w:rPr>
        <w:lastRenderedPageBreak/>
        <w:drawing>
          <wp:inline distT="0" distB="0" distL="0" distR="0" wp14:anchorId="0DA32F4F" wp14:editId="485A8F50">
            <wp:extent cx="2786743" cy="233196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787168" cy="2332321"/>
                    </a:xfrm>
                    <a:prstGeom prst="rect">
                      <a:avLst/>
                    </a:prstGeom>
                  </pic:spPr>
                </pic:pic>
              </a:graphicData>
            </a:graphic>
          </wp:inline>
        </w:drawing>
      </w:r>
      <w:r w:rsidR="00777F40" w:rsidRPr="00141E92">
        <w:rPr>
          <w:rFonts w:ascii="Book Antiqua" w:hAnsi="Book Antiqua"/>
          <w:b/>
          <w:noProof/>
          <w:color w:val="000000" w:themeColor="text1"/>
          <w:sz w:val="24"/>
          <w:szCs w:val="24"/>
          <w:lang w:eastAsia="zh-CN"/>
        </w:rPr>
        <w:drawing>
          <wp:inline distT="0" distB="0" distL="0" distR="0" wp14:anchorId="1207E76C" wp14:editId="5445CBFC">
            <wp:extent cx="2858911" cy="239235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61197" cy="2394270"/>
                    </a:xfrm>
                    <a:prstGeom prst="rect">
                      <a:avLst/>
                    </a:prstGeom>
                  </pic:spPr>
                </pic:pic>
              </a:graphicData>
            </a:graphic>
          </wp:inline>
        </w:drawing>
      </w:r>
    </w:p>
    <w:p w14:paraId="0421B175" w14:textId="75285C60" w:rsidR="00317105" w:rsidRPr="00141E92" w:rsidRDefault="00317105" w:rsidP="008530E2">
      <w:pPr>
        <w:snapToGrid w:val="0"/>
        <w:spacing w:line="360" w:lineRule="auto"/>
        <w:jc w:val="both"/>
        <w:rPr>
          <w:rFonts w:ascii="Book Antiqua" w:hAnsi="Book Antiqua" w:cs="Times"/>
          <w:color w:val="000000" w:themeColor="text1"/>
          <w:sz w:val="24"/>
          <w:szCs w:val="24"/>
        </w:rPr>
      </w:pPr>
      <w:r w:rsidRPr="00141E92">
        <w:rPr>
          <w:rFonts w:ascii="Book Antiqua" w:eastAsiaTheme="majorEastAsia" w:hAnsi="Book Antiqua" w:cstheme="majorBidi"/>
          <w:b/>
          <w:bCs/>
          <w:color w:val="000000" w:themeColor="text1"/>
          <w:kern w:val="24"/>
          <w:sz w:val="24"/>
          <w:szCs w:val="24"/>
        </w:rPr>
        <w:t>Figure 3 P</w:t>
      </w:r>
      <w:r w:rsidR="00171CE3" w:rsidRPr="00141E92">
        <w:rPr>
          <w:rFonts w:ascii="Book Antiqua" w:eastAsiaTheme="majorEastAsia" w:hAnsi="Book Antiqua" w:cstheme="majorBidi"/>
          <w:b/>
          <w:bCs/>
          <w:color w:val="000000" w:themeColor="text1"/>
          <w:kern w:val="24"/>
          <w:sz w:val="24"/>
          <w:szCs w:val="24"/>
        </w:rPr>
        <w:t>ancreatic cancer</w:t>
      </w:r>
      <w:r w:rsidRPr="00141E92">
        <w:rPr>
          <w:rFonts w:ascii="Book Antiqua" w:eastAsiaTheme="majorEastAsia" w:hAnsi="Book Antiqua" w:cstheme="majorBidi"/>
          <w:b/>
          <w:bCs/>
          <w:color w:val="000000" w:themeColor="text1"/>
          <w:kern w:val="24"/>
          <w:sz w:val="24"/>
          <w:szCs w:val="24"/>
        </w:rPr>
        <w:t xml:space="preserve"> specimens displayed increased </w:t>
      </w:r>
      <w:r w:rsidR="00356C05">
        <w:rPr>
          <w:rFonts w:ascii="Book Antiqua" w:eastAsiaTheme="majorEastAsia" w:hAnsi="Book Antiqua" w:cstheme="majorBidi"/>
          <w:b/>
          <w:color w:val="000000" w:themeColor="text1"/>
          <w:kern w:val="24"/>
          <w:sz w:val="24"/>
          <w:szCs w:val="24"/>
        </w:rPr>
        <w:t>h</w:t>
      </w:r>
      <w:r w:rsidR="005A4503" w:rsidRPr="00141E92">
        <w:rPr>
          <w:rFonts w:ascii="Book Antiqua" w:eastAsiaTheme="majorEastAsia" w:hAnsi="Book Antiqua" w:cstheme="majorBidi"/>
          <w:b/>
          <w:color w:val="000000" w:themeColor="text1"/>
          <w:kern w:val="24"/>
          <w:sz w:val="24"/>
          <w:szCs w:val="24"/>
        </w:rPr>
        <w:t xml:space="preserve">uman antigen </w:t>
      </w:r>
      <w:r w:rsidRPr="00141E92">
        <w:rPr>
          <w:rFonts w:ascii="Book Antiqua" w:eastAsiaTheme="majorEastAsia" w:hAnsi="Book Antiqua" w:cstheme="majorBidi"/>
          <w:b/>
          <w:color w:val="000000" w:themeColor="text1"/>
          <w:kern w:val="24"/>
          <w:sz w:val="24"/>
          <w:szCs w:val="24"/>
        </w:rPr>
        <w:t>R expression analysis in cancer tissues.</w:t>
      </w:r>
      <w:r w:rsidRPr="00141E92">
        <w:rPr>
          <w:rFonts w:ascii="Book Antiqua" w:eastAsiaTheme="majorEastAsia" w:hAnsi="Book Antiqua" w:cstheme="majorBidi"/>
          <w:i/>
          <w:color w:val="000000" w:themeColor="text1"/>
          <w:kern w:val="24"/>
          <w:sz w:val="24"/>
          <w:szCs w:val="24"/>
        </w:rPr>
        <w:t xml:space="preserve"> </w:t>
      </w:r>
      <w:r w:rsidRPr="00141E92">
        <w:rPr>
          <w:rFonts w:ascii="Book Antiqua" w:eastAsiaTheme="majorEastAsia" w:hAnsi="Book Antiqua" w:cstheme="majorBidi"/>
          <w:color w:val="000000" w:themeColor="text1"/>
          <w:kern w:val="24"/>
          <w:sz w:val="24"/>
          <w:szCs w:val="24"/>
        </w:rPr>
        <w:t xml:space="preserve">mRNA and protein expression of </w:t>
      </w:r>
      <w:r w:rsidR="00356C05">
        <w:rPr>
          <w:rFonts w:ascii="Book Antiqua" w:eastAsiaTheme="majorEastAsia" w:hAnsi="Book Antiqua" w:cstheme="majorBidi"/>
          <w:color w:val="000000" w:themeColor="text1"/>
          <w:kern w:val="24"/>
          <w:sz w:val="24"/>
          <w:szCs w:val="24"/>
        </w:rPr>
        <w:t>h</w:t>
      </w:r>
      <w:r w:rsidR="005A4503" w:rsidRPr="00141E92">
        <w:rPr>
          <w:rFonts w:ascii="Book Antiqua" w:eastAsiaTheme="majorEastAsia" w:hAnsi="Book Antiqua" w:cstheme="majorBidi"/>
          <w:color w:val="000000" w:themeColor="text1"/>
          <w:kern w:val="24"/>
          <w:sz w:val="24"/>
          <w:szCs w:val="24"/>
        </w:rPr>
        <w:t>uman antigen R (</w:t>
      </w:r>
      <w:proofErr w:type="spellStart"/>
      <w:r w:rsidRPr="00141E92">
        <w:rPr>
          <w:rFonts w:ascii="Book Antiqua" w:eastAsiaTheme="majorEastAsia" w:hAnsi="Book Antiqua" w:cstheme="majorBidi"/>
          <w:color w:val="000000" w:themeColor="text1"/>
          <w:kern w:val="24"/>
          <w:sz w:val="24"/>
          <w:szCs w:val="24"/>
        </w:rPr>
        <w:t>HuR</w:t>
      </w:r>
      <w:proofErr w:type="spellEnd"/>
      <w:r w:rsidR="005A4503" w:rsidRPr="00141E92">
        <w:rPr>
          <w:rFonts w:ascii="Book Antiqua" w:eastAsiaTheme="majorEastAsia" w:hAnsi="Book Antiqua" w:cstheme="majorBidi"/>
          <w:color w:val="000000" w:themeColor="text1"/>
          <w:kern w:val="24"/>
          <w:sz w:val="24"/>
          <w:szCs w:val="24"/>
        </w:rPr>
        <w:t>)</w:t>
      </w:r>
      <w:r w:rsidRPr="00141E92">
        <w:rPr>
          <w:rFonts w:ascii="Book Antiqua" w:eastAsiaTheme="majorEastAsia" w:hAnsi="Book Antiqua" w:cstheme="majorBidi"/>
          <w:color w:val="000000" w:themeColor="text1"/>
          <w:kern w:val="24"/>
          <w:sz w:val="24"/>
          <w:szCs w:val="24"/>
        </w:rPr>
        <w:t xml:space="preserve"> were </w:t>
      </w:r>
      <w:proofErr w:type="spellStart"/>
      <w:r w:rsidRPr="00141E92">
        <w:rPr>
          <w:rFonts w:ascii="Book Antiqua" w:eastAsiaTheme="majorEastAsia" w:hAnsi="Book Antiqua" w:cstheme="majorBidi"/>
          <w:color w:val="000000" w:themeColor="text1"/>
          <w:kern w:val="24"/>
          <w:sz w:val="24"/>
          <w:szCs w:val="24"/>
        </w:rPr>
        <w:t>upregulated</w:t>
      </w:r>
      <w:proofErr w:type="spellEnd"/>
      <w:r w:rsidRPr="00141E92">
        <w:rPr>
          <w:rFonts w:ascii="Book Antiqua" w:eastAsiaTheme="majorEastAsia" w:hAnsi="Book Antiqua" w:cstheme="majorBidi"/>
          <w:color w:val="000000" w:themeColor="text1"/>
          <w:kern w:val="24"/>
          <w:sz w:val="24"/>
          <w:szCs w:val="24"/>
        </w:rPr>
        <w:t xml:space="preserve"> by </w:t>
      </w:r>
      <w:r w:rsidR="00356C05">
        <w:rPr>
          <w:rFonts w:ascii="Book Antiqua" w:eastAsiaTheme="majorEastAsia" w:hAnsi="Book Antiqua" w:cstheme="majorBidi"/>
          <w:color w:val="000000" w:themeColor="text1"/>
          <w:kern w:val="24"/>
          <w:sz w:val="24"/>
          <w:szCs w:val="24"/>
        </w:rPr>
        <w:t xml:space="preserve">A: </w:t>
      </w:r>
      <w:r w:rsidR="00171CE3" w:rsidRPr="00141E92">
        <w:rPr>
          <w:rFonts w:ascii="Book Antiqua" w:hAnsi="Book Antiqua"/>
          <w:sz w:val="24"/>
          <w:szCs w:val="24"/>
        </w:rPr>
        <w:t>quantitative reverse transcription polymerase chain reaction</w:t>
      </w:r>
      <w:r w:rsidR="00356C05">
        <w:rPr>
          <w:rFonts w:ascii="Book Antiqua" w:eastAsiaTheme="majorEastAsia" w:hAnsi="Book Antiqua" w:cstheme="majorBidi"/>
          <w:color w:val="000000" w:themeColor="text1"/>
          <w:kern w:val="24"/>
          <w:sz w:val="24"/>
          <w:szCs w:val="24"/>
        </w:rPr>
        <w:t>; and B: western b</w:t>
      </w:r>
      <w:r w:rsidRPr="00141E92">
        <w:rPr>
          <w:rFonts w:ascii="Book Antiqua" w:eastAsiaTheme="majorEastAsia" w:hAnsi="Book Antiqua" w:cstheme="majorBidi"/>
          <w:color w:val="000000" w:themeColor="text1"/>
          <w:kern w:val="24"/>
          <w:sz w:val="24"/>
          <w:szCs w:val="24"/>
        </w:rPr>
        <w:t xml:space="preserve">lot analysis. </w:t>
      </w:r>
      <w:r w:rsidR="00307D5F" w:rsidRPr="00141E92">
        <w:rPr>
          <w:rFonts w:ascii="Book Antiqua" w:eastAsiaTheme="majorEastAsia" w:hAnsi="Book Antiqua" w:cstheme="majorBidi"/>
          <w:color w:val="000000" w:themeColor="text1"/>
          <w:kern w:val="24"/>
          <w:sz w:val="24"/>
          <w:szCs w:val="24"/>
        </w:rPr>
        <w:t xml:space="preserve">C: </w:t>
      </w:r>
      <w:r w:rsidR="00307D5F" w:rsidRPr="00141E92">
        <w:rPr>
          <w:rFonts w:ascii="Book Antiqua" w:hAnsi="Book Antiqua"/>
          <w:color w:val="000000" w:themeColor="text1"/>
          <w:sz w:val="24"/>
          <w:szCs w:val="24"/>
        </w:rPr>
        <w:t>Immunohistochemistry</w:t>
      </w:r>
      <w:r w:rsidRPr="00141E92">
        <w:rPr>
          <w:rFonts w:ascii="Book Antiqua" w:hAnsi="Book Antiqua"/>
          <w:color w:val="000000" w:themeColor="text1"/>
          <w:sz w:val="24"/>
          <w:szCs w:val="24"/>
        </w:rPr>
        <w:t xml:space="preserve"> </w:t>
      </w:r>
      <w:r w:rsidR="00307D5F" w:rsidRPr="00141E92">
        <w:rPr>
          <w:rFonts w:ascii="Book Antiqua" w:hAnsi="Book Antiqua"/>
          <w:color w:val="000000" w:themeColor="text1"/>
          <w:sz w:val="24"/>
          <w:szCs w:val="24"/>
        </w:rPr>
        <w:t>showed that</w:t>
      </w:r>
      <w:r w:rsidRPr="00141E92">
        <w:rPr>
          <w:rFonts w:ascii="Book Antiqua" w:hAnsi="Book Antiqua"/>
          <w:color w:val="000000" w:themeColor="text1"/>
          <w:sz w:val="24"/>
          <w:szCs w:val="24"/>
        </w:rPr>
        <w:t xml:space="preserve">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was mainly positive in the ductal cancer cell’s nucleus and less in cytoplasm. </w:t>
      </w:r>
      <w:r w:rsidR="00D65101" w:rsidRPr="00141E92">
        <w:rPr>
          <w:rFonts w:ascii="Book Antiqua" w:hAnsi="Book Antiqua"/>
          <w:color w:val="000000" w:themeColor="text1"/>
          <w:sz w:val="24"/>
          <w:szCs w:val="24"/>
        </w:rPr>
        <w:t xml:space="preserve">D: </w:t>
      </w:r>
      <w:r w:rsidR="00356C05">
        <w:rPr>
          <w:rFonts w:ascii="Book Antiqua" w:hAnsi="Book Antiqua"/>
          <w:color w:val="000000" w:themeColor="text1"/>
          <w:sz w:val="24"/>
          <w:szCs w:val="24"/>
        </w:rPr>
        <w:t>E</w:t>
      </w:r>
      <w:r w:rsidRPr="00141E92">
        <w:rPr>
          <w:rFonts w:ascii="Book Antiqua" w:hAnsi="Book Antiqua"/>
          <w:color w:val="000000" w:themeColor="text1"/>
          <w:sz w:val="24"/>
          <w:szCs w:val="24"/>
        </w:rPr>
        <w:t>xpression</w:t>
      </w:r>
      <w:r w:rsidR="005A4503" w:rsidRPr="00141E92">
        <w:rPr>
          <w:rFonts w:ascii="Book Antiqua" w:hAnsi="Book Antiqua"/>
          <w:color w:val="000000" w:themeColor="text1"/>
          <w:sz w:val="24"/>
          <w:szCs w:val="24"/>
        </w:rPr>
        <w:t>s</w:t>
      </w:r>
      <w:r w:rsidRPr="00141E92">
        <w:rPr>
          <w:rFonts w:ascii="Book Antiqua" w:hAnsi="Book Antiqua"/>
          <w:color w:val="000000" w:themeColor="text1"/>
          <w:sz w:val="24"/>
          <w:szCs w:val="24"/>
        </w:rPr>
        <w:t xml:space="preserve"> of </w:t>
      </w:r>
      <w:r w:rsidR="00356C05">
        <w:rPr>
          <w:rFonts w:ascii="Book Antiqua" w:hAnsi="Book Antiqua" w:cs="Times"/>
          <w:color w:val="000000" w:themeColor="text1"/>
          <w:sz w:val="24"/>
          <w:szCs w:val="24"/>
        </w:rPr>
        <w:t>i</w:t>
      </w:r>
      <w:r w:rsidR="005A4503" w:rsidRPr="00141E92">
        <w:rPr>
          <w:rFonts w:ascii="Book Antiqua" w:hAnsi="Book Antiqua" w:cs="Times"/>
          <w:color w:val="000000" w:themeColor="text1"/>
          <w:sz w:val="24"/>
          <w:szCs w:val="24"/>
        </w:rPr>
        <w:t>nhibitors of apoptosis proteins</w:t>
      </w:r>
      <w:r w:rsidR="002E034C" w:rsidRPr="00141E92">
        <w:rPr>
          <w:rFonts w:ascii="Book Antiqua" w:hAnsi="Book Antiqua"/>
          <w:color w:val="000000" w:themeColor="text1"/>
          <w:sz w:val="24"/>
          <w:szCs w:val="24"/>
        </w:rPr>
        <w:t xml:space="preserve"> </w:t>
      </w:r>
      <w:r w:rsidR="0042774A" w:rsidRPr="00141E92">
        <w:rPr>
          <w:rFonts w:ascii="Book Antiqua" w:hAnsi="Book Antiqua"/>
          <w:color w:val="000000" w:themeColor="text1"/>
          <w:sz w:val="24"/>
          <w:szCs w:val="24"/>
        </w:rPr>
        <w:t>w</w:t>
      </w:r>
      <w:r w:rsidR="005A4503" w:rsidRPr="00141E92">
        <w:rPr>
          <w:rFonts w:ascii="Book Antiqua" w:hAnsi="Book Antiqua"/>
          <w:color w:val="000000" w:themeColor="text1"/>
          <w:sz w:val="24"/>
          <w:szCs w:val="24"/>
        </w:rPr>
        <w:t>ere</w:t>
      </w:r>
      <w:r w:rsidRPr="00141E92">
        <w:rPr>
          <w:rFonts w:ascii="Book Antiqua" w:hAnsi="Book Antiqua"/>
          <w:color w:val="000000" w:themeColor="text1"/>
          <w:sz w:val="24"/>
          <w:szCs w:val="24"/>
        </w:rPr>
        <w:t xml:space="preserve"> correlated with </w:t>
      </w:r>
      <w:proofErr w:type="spellStart"/>
      <w:r w:rsidRPr="00141E92">
        <w:rPr>
          <w:rFonts w:ascii="Book Antiqua" w:hAnsi="Book Antiqua"/>
          <w:color w:val="000000" w:themeColor="text1"/>
          <w:sz w:val="24"/>
          <w:szCs w:val="24"/>
        </w:rPr>
        <w:t>HuR</w:t>
      </w:r>
      <w:proofErr w:type="spellEnd"/>
      <w:r w:rsidRPr="00141E92">
        <w:rPr>
          <w:rFonts w:ascii="Book Antiqua" w:hAnsi="Book Antiqua"/>
          <w:color w:val="000000" w:themeColor="text1"/>
          <w:sz w:val="24"/>
          <w:szCs w:val="24"/>
        </w:rPr>
        <w:t xml:space="preserve"> expression. </w:t>
      </w:r>
      <w:bookmarkStart w:id="147" w:name="OLE_LINK15"/>
      <w:bookmarkStart w:id="148" w:name="OLE_LINK17"/>
      <w:r w:rsidR="00356C05">
        <w:rPr>
          <w:rFonts w:ascii="Book Antiqua" w:eastAsiaTheme="majorEastAsia" w:hAnsi="Book Antiqua" w:cstheme="majorBidi"/>
          <w:color w:val="000000" w:themeColor="text1"/>
          <w:kern w:val="24"/>
          <w:sz w:val="24"/>
          <w:szCs w:val="24"/>
        </w:rPr>
        <w:t>IAP1:</w:t>
      </w:r>
      <w:r w:rsidR="00356C05" w:rsidRPr="00141E92">
        <w:rPr>
          <w:rFonts w:ascii="Book Antiqua" w:eastAsiaTheme="majorEastAsia" w:hAnsi="Book Antiqua" w:cstheme="majorBidi"/>
          <w:color w:val="000000" w:themeColor="text1"/>
          <w:kern w:val="24"/>
          <w:sz w:val="24"/>
          <w:szCs w:val="24"/>
        </w:rPr>
        <w:t xml:space="preserve"> </w:t>
      </w:r>
      <w:r w:rsidR="00356C05">
        <w:rPr>
          <w:rFonts w:ascii="Book Antiqua" w:hAnsi="Book Antiqua" w:cs="Times"/>
          <w:color w:val="000000" w:themeColor="text1"/>
          <w:sz w:val="24"/>
          <w:szCs w:val="24"/>
        </w:rPr>
        <w:t>Inhibitor</w:t>
      </w:r>
      <w:r w:rsidR="00356C05" w:rsidRPr="00141E92">
        <w:rPr>
          <w:rFonts w:ascii="Book Antiqua" w:hAnsi="Book Antiqua" w:cs="Times"/>
          <w:color w:val="000000" w:themeColor="text1"/>
          <w:sz w:val="24"/>
          <w:szCs w:val="24"/>
        </w:rPr>
        <w:t xml:space="preserve"> of apoptosis protein 1</w:t>
      </w:r>
      <w:r w:rsidR="00356C05">
        <w:rPr>
          <w:rFonts w:ascii="Book Antiqua" w:hAnsi="Book Antiqua" w:cs="Times"/>
          <w:color w:val="000000" w:themeColor="text1"/>
          <w:sz w:val="24"/>
          <w:szCs w:val="24"/>
        </w:rPr>
        <w:t xml:space="preserve">; </w:t>
      </w:r>
      <w:r w:rsidR="00356C05" w:rsidRPr="00141E92">
        <w:rPr>
          <w:rFonts w:ascii="Book Antiqua" w:eastAsiaTheme="majorEastAsia" w:hAnsi="Book Antiqua" w:cstheme="majorBidi"/>
          <w:color w:val="000000" w:themeColor="text1"/>
          <w:kern w:val="24"/>
          <w:sz w:val="24"/>
          <w:szCs w:val="24"/>
        </w:rPr>
        <w:t xml:space="preserve">IAP2: </w:t>
      </w:r>
      <w:r w:rsidR="00356C05">
        <w:rPr>
          <w:rFonts w:ascii="Book Antiqua" w:hAnsi="Book Antiqua" w:cs="Times"/>
          <w:color w:val="000000" w:themeColor="text1"/>
          <w:sz w:val="24"/>
          <w:szCs w:val="24"/>
        </w:rPr>
        <w:t>Inhibitor</w:t>
      </w:r>
      <w:r w:rsidR="00356C05" w:rsidRPr="00141E92">
        <w:rPr>
          <w:rFonts w:ascii="Book Antiqua" w:hAnsi="Book Antiqua" w:cs="Times"/>
          <w:color w:val="000000" w:themeColor="text1"/>
          <w:sz w:val="24"/>
          <w:szCs w:val="24"/>
        </w:rPr>
        <w:t xml:space="preserve"> of apopt</w:t>
      </w:r>
      <w:r w:rsidR="00356C05">
        <w:rPr>
          <w:rFonts w:ascii="Book Antiqua" w:hAnsi="Book Antiqua" w:cs="Times"/>
          <w:color w:val="000000" w:themeColor="text1"/>
          <w:sz w:val="24"/>
          <w:szCs w:val="24"/>
        </w:rPr>
        <w:t>osis protein 2</w:t>
      </w:r>
      <w:r w:rsidR="00171CE3" w:rsidRPr="00141E92">
        <w:rPr>
          <w:rFonts w:ascii="Book Antiqua" w:hAnsi="Book Antiqua" w:cs="Times"/>
          <w:color w:val="000000" w:themeColor="text1"/>
          <w:sz w:val="24"/>
          <w:szCs w:val="24"/>
        </w:rPr>
        <w:t>;</w:t>
      </w:r>
      <w:bookmarkEnd w:id="147"/>
      <w:bookmarkEnd w:id="148"/>
      <w:r w:rsidR="00171CE3" w:rsidRPr="00141E92">
        <w:rPr>
          <w:rFonts w:ascii="Book Antiqua" w:hAnsi="Book Antiqua" w:cs="Times"/>
          <w:color w:val="000000" w:themeColor="text1"/>
          <w:sz w:val="24"/>
          <w:szCs w:val="24"/>
        </w:rPr>
        <w:t xml:space="preserve"> </w:t>
      </w:r>
      <w:proofErr w:type="spellStart"/>
      <w:r w:rsidR="00171CE3" w:rsidRPr="00141E92">
        <w:rPr>
          <w:rFonts w:ascii="Book Antiqua" w:hAnsi="Book Antiqua" w:cs="Times"/>
          <w:color w:val="000000" w:themeColor="text1"/>
          <w:sz w:val="24"/>
          <w:szCs w:val="24"/>
        </w:rPr>
        <w:t>HuR</w:t>
      </w:r>
      <w:proofErr w:type="spellEnd"/>
      <w:r w:rsidR="00171CE3" w:rsidRPr="00141E92">
        <w:rPr>
          <w:rFonts w:ascii="Book Antiqua" w:hAnsi="Book Antiqua" w:cs="Times"/>
          <w:color w:val="000000" w:themeColor="text1"/>
          <w:sz w:val="24"/>
          <w:szCs w:val="24"/>
        </w:rPr>
        <w:t xml:space="preserve">: Human antigen R; GAPDH: </w:t>
      </w:r>
      <w:r w:rsidR="00171CE3" w:rsidRPr="00141E92">
        <w:rPr>
          <w:rFonts w:ascii="Book Antiqua" w:eastAsia="Times New Roman" w:hAnsi="Book Antiqua" w:cs="Times New Roman"/>
          <w:color w:val="222222"/>
          <w:sz w:val="24"/>
          <w:szCs w:val="24"/>
        </w:rPr>
        <w:t>Glyceraldehyde-3-phosphate dehydrogenase</w:t>
      </w:r>
      <w:r w:rsidR="00322FF3">
        <w:rPr>
          <w:rFonts w:ascii="Book Antiqua" w:eastAsia="Times New Roman" w:hAnsi="Book Antiqua" w:cs="Times New Roman"/>
          <w:color w:val="222222"/>
          <w:sz w:val="24"/>
          <w:szCs w:val="24"/>
        </w:rPr>
        <w:t>; PDAC: P</w:t>
      </w:r>
      <w:r w:rsidR="003C12F4" w:rsidRPr="00141E92">
        <w:rPr>
          <w:rFonts w:ascii="Book Antiqua" w:eastAsia="Times New Roman" w:hAnsi="Book Antiqua" w:cs="Times New Roman"/>
          <w:color w:val="222222"/>
          <w:sz w:val="24"/>
          <w:szCs w:val="24"/>
        </w:rPr>
        <w:t>ancreatic ductal adenocarcinoma</w:t>
      </w:r>
      <w:r w:rsidR="00171CE3" w:rsidRPr="00141E92">
        <w:rPr>
          <w:rFonts w:ascii="Book Antiqua" w:eastAsia="Times New Roman" w:hAnsi="Book Antiqua" w:cs="Times New Roman"/>
          <w:color w:val="222222"/>
          <w:sz w:val="24"/>
          <w:szCs w:val="24"/>
        </w:rPr>
        <w:t>.</w:t>
      </w:r>
    </w:p>
    <w:p w14:paraId="39501443" w14:textId="77777777" w:rsidR="001929DB" w:rsidRPr="00141E92" w:rsidRDefault="001929DB" w:rsidP="008530E2">
      <w:pPr>
        <w:snapToGrid w:val="0"/>
        <w:spacing w:line="360" w:lineRule="auto"/>
        <w:jc w:val="both"/>
        <w:rPr>
          <w:rFonts w:ascii="Book Antiqua" w:hAnsi="Book Antiqua"/>
          <w:b/>
          <w:sz w:val="24"/>
          <w:szCs w:val="24"/>
        </w:rPr>
      </w:pPr>
      <w:r w:rsidRPr="00141E92">
        <w:rPr>
          <w:rFonts w:ascii="Book Antiqua" w:hAnsi="Book Antiqua"/>
          <w:b/>
          <w:sz w:val="24"/>
          <w:szCs w:val="24"/>
        </w:rPr>
        <w:br w:type="page"/>
      </w:r>
    </w:p>
    <w:p w14:paraId="280CC162" w14:textId="77777777" w:rsidR="001929DB" w:rsidRPr="00141E92" w:rsidRDefault="001929DB" w:rsidP="008530E2">
      <w:pPr>
        <w:snapToGrid w:val="0"/>
        <w:spacing w:line="360" w:lineRule="auto"/>
        <w:jc w:val="both"/>
        <w:rPr>
          <w:rFonts w:ascii="Book Antiqua" w:hAnsi="Book Antiqua" w:cs="Times"/>
          <w:b/>
          <w:i/>
          <w:color w:val="000000" w:themeColor="text1"/>
          <w:sz w:val="24"/>
          <w:szCs w:val="24"/>
        </w:rPr>
      </w:pPr>
      <w:r w:rsidRPr="00141E92">
        <w:rPr>
          <w:rFonts w:ascii="Book Antiqua" w:hAnsi="Book Antiqua" w:cs="Times"/>
          <w:b/>
          <w:i/>
          <w:noProof/>
          <w:color w:val="000000" w:themeColor="text1"/>
          <w:sz w:val="24"/>
          <w:szCs w:val="24"/>
          <w:lang w:eastAsia="zh-CN"/>
        </w:rPr>
        <w:lastRenderedPageBreak/>
        <w:drawing>
          <wp:inline distT="0" distB="0" distL="0" distR="0" wp14:anchorId="40A08B8B" wp14:editId="6A163460">
            <wp:extent cx="2575589" cy="130810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31788"/>
                    <a:stretch/>
                  </pic:blipFill>
                  <pic:spPr bwMode="auto">
                    <a:xfrm>
                      <a:off x="0" y="0"/>
                      <a:ext cx="2577540" cy="1309091"/>
                    </a:xfrm>
                    <a:prstGeom prst="rect">
                      <a:avLst/>
                    </a:prstGeom>
                    <a:ln>
                      <a:noFill/>
                    </a:ln>
                    <a:extLst>
                      <a:ext uri="{53640926-AAD7-44D8-BBD7-CCE9431645EC}">
                        <a14:shadowObscured xmlns:a14="http://schemas.microsoft.com/office/drawing/2010/main"/>
                      </a:ext>
                    </a:extLst>
                  </pic:spPr>
                </pic:pic>
              </a:graphicData>
            </a:graphic>
          </wp:inline>
        </w:drawing>
      </w:r>
    </w:p>
    <w:p w14:paraId="0C639AD5" w14:textId="77777777" w:rsidR="001929DB" w:rsidRPr="00141E92" w:rsidRDefault="001929DB" w:rsidP="008530E2">
      <w:pPr>
        <w:snapToGrid w:val="0"/>
        <w:spacing w:line="360" w:lineRule="auto"/>
        <w:jc w:val="both"/>
        <w:rPr>
          <w:rFonts w:ascii="Book Antiqua" w:hAnsi="Book Antiqua" w:cs="Times"/>
          <w:b/>
          <w:i/>
          <w:color w:val="000000" w:themeColor="text1"/>
          <w:sz w:val="24"/>
          <w:szCs w:val="24"/>
        </w:rPr>
      </w:pPr>
    </w:p>
    <w:p w14:paraId="643782C4" w14:textId="2B9C37D2" w:rsidR="001929DB" w:rsidRPr="00141E92" w:rsidRDefault="001929DB" w:rsidP="008530E2">
      <w:pPr>
        <w:snapToGrid w:val="0"/>
        <w:spacing w:line="360" w:lineRule="auto"/>
        <w:jc w:val="both"/>
        <w:rPr>
          <w:rFonts w:ascii="Book Antiqua" w:hAnsi="Book Antiqua"/>
          <w:sz w:val="24"/>
          <w:szCs w:val="24"/>
        </w:rPr>
      </w:pPr>
      <w:r w:rsidRPr="00141E92">
        <w:rPr>
          <w:rFonts w:ascii="Book Antiqua" w:hAnsi="Book Antiqua" w:cs="Times"/>
          <w:b/>
          <w:color w:val="000000" w:themeColor="text1"/>
          <w:sz w:val="24"/>
          <w:szCs w:val="24"/>
        </w:rPr>
        <w:t xml:space="preserve">Figure 4 </w:t>
      </w:r>
      <w:r w:rsidRPr="00322FF3">
        <w:rPr>
          <w:rFonts w:ascii="Book Antiqua" w:hAnsi="Book Antiqua"/>
          <w:b/>
          <w:sz w:val="24"/>
          <w:szCs w:val="24"/>
        </w:rPr>
        <w:t>H</w:t>
      </w:r>
      <w:r w:rsidR="00AE5BFE" w:rsidRPr="00322FF3">
        <w:rPr>
          <w:rFonts w:ascii="Book Antiqua" w:hAnsi="Book Antiqua"/>
          <w:b/>
          <w:sz w:val="24"/>
          <w:szCs w:val="24"/>
        </w:rPr>
        <w:t>uman antigen R</w:t>
      </w:r>
      <w:r w:rsidRPr="00322FF3">
        <w:rPr>
          <w:rFonts w:ascii="Book Antiqua" w:hAnsi="Book Antiqua"/>
          <w:b/>
          <w:sz w:val="24"/>
          <w:szCs w:val="24"/>
        </w:rPr>
        <w:t xml:space="preserve"> protein binds to</w:t>
      </w:r>
      <w:r w:rsidR="00AE5BFE" w:rsidRPr="00322FF3">
        <w:rPr>
          <w:rFonts w:ascii="Book Antiqua" w:hAnsi="Book Antiqua"/>
          <w:b/>
          <w:sz w:val="24"/>
          <w:szCs w:val="24"/>
        </w:rPr>
        <w:t xml:space="preserve"> </w:t>
      </w:r>
      <w:r w:rsidR="00322FF3" w:rsidRPr="00322FF3">
        <w:rPr>
          <w:rFonts w:ascii="Book Antiqua" w:hAnsi="Book Antiqua" w:cs="Times"/>
          <w:b/>
          <w:color w:val="000000" w:themeColor="text1"/>
          <w:sz w:val="24"/>
          <w:szCs w:val="24"/>
        </w:rPr>
        <w:t>i</w:t>
      </w:r>
      <w:r w:rsidR="00AE5BFE" w:rsidRPr="00322FF3">
        <w:rPr>
          <w:rFonts w:ascii="Book Antiqua" w:hAnsi="Book Antiqua" w:cs="Times"/>
          <w:b/>
          <w:color w:val="000000" w:themeColor="text1"/>
          <w:sz w:val="24"/>
          <w:szCs w:val="24"/>
        </w:rPr>
        <w:t>nhibitors of apoptosis proteins</w:t>
      </w:r>
      <w:r w:rsidR="000B42F4" w:rsidRPr="00322FF3">
        <w:rPr>
          <w:rFonts w:ascii="Book Antiqua" w:hAnsi="Book Antiqua"/>
          <w:b/>
          <w:sz w:val="24"/>
          <w:szCs w:val="24"/>
        </w:rPr>
        <w:t xml:space="preserve"> </w:t>
      </w:r>
      <w:r w:rsidRPr="00322FF3">
        <w:rPr>
          <w:rFonts w:ascii="Book Antiqua" w:hAnsi="Book Antiqua"/>
          <w:b/>
          <w:sz w:val="24"/>
          <w:szCs w:val="24"/>
        </w:rPr>
        <w:t xml:space="preserve">mRNA in pancreatic cancer cells. </w:t>
      </w:r>
      <w:r w:rsidR="000B42F4" w:rsidRPr="00141E92">
        <w:rPr>
          <w:rFonts w:ascii="Book Antiqua" w:hAnsi="Book Antiqua"/>
          <w:sz w:val="24"/>
          <w:szCs w:val="24"/>
        </w:rPr>
        <w:t>Human antigen R (</w:t>
      </w:r>
      <w:proofErr w:type="spellStart"/>
      <w:r w:rsidRPr="00141E92">
        <w:rPr>
          <w:rFonts w:ascii="Book Antiqua" w:hAnsi="Book Antiqua"/>
          <w:sz w:val="24"/>
          <w:szCs w:val="24"/>
        </w:rPr>
        <w:t>HuR</w:t>
      </w:r>
      <w:proofErr w:type="spellEnd"/>
      <w:r w:rsidR="000B42F4" w:rsidRPr="00141E92">
        <w:rPr>
          <w:rFonts w:ascii="Book Antiqua" w:hAnsi="Book Antiqua"/>
          <w:sz w:val="24"/>
          <w:szCs w:val="24"/>
        </w:rPr>
        <w:t>)</w:t>
      </w:r>
      <w:r w:rsidRPr="00141E92">
        <w:rPr>
          <w:rFonts w:ascii="Book Antiqua" w:hAnsi="Book Antiqua"/>
          <w:sz w:val="24"/>
          <w:szCs w:val="24"/>
        </w:rPr>
        <w:t xml:space="preserve"> </w:t>
      </w:r>
      <w:r w:rsidRPr="00141E92">
        <w:rPr>
          <w:rFonts w:ascii="Book Antiqua" w:hAnsi="Book Antiqua"/>
          <w:color w:val="111111"/>
          <w:sz w:val="24"/>
          <w:szCs w:val="24"/>
        </w:rPr>
        <w:t xml:space="preserve">and </w:t>
      </w:r>
      <w:r w:rsidR="000B42F4" w:rsidRPr="00141E92">
        <w:rPr>
          <w:rFonts w:ascii="Book Antiqua" w:eastAsia="Times New Roman" w:hAnsi="Book Antiqua" w:cs="Times New Roman"/>
          <w:color w:val="222222"/>
          <w:sz w:val="24"/>
          <w:szCs w:val="24"/>
        </w:rPr>
        <w:t>Glyceraldehyde-3-phosphate dehydrogenase</w:t>
      </w:r>
      <w:r w:rsidRPr="00141E92">
        <w:rPr>
          <w:rFonts w:ascii="Book Antiqua" w:hAnsi="Book Antiqua"/>
          <w:color w:val="111111"/>
          <w:sz w:val="24"/>
          <w:szCs w:val="24"/>
        </w:rPr>
        <w:t xml:space="preserve"> protein</w:t>
      </w:r>
      <w:r w:rsidR="00322FF3">
        <w:rPr>
          <w:rFonts w:ascii="Book Antiqua" w:hAnsi="Book Antiqua"/>
          <w:color w:val="111111"/>
          <w:sz w:val="24"/>
          <w:szCs w:val="24"/>
        </w:rPr>
        <w:t xml:space="preserve"> levels in whole cell lysates (i</w:t>
      </w:r>
      <w:r w:rsidRPr="00141E92">
        <w:rPr>
          <w:rFonts w:ascii="Book Antiqua" w:hAnsi="Book Antiqua"/>
          <w:color w:val="111111"/>
          <w:sz w:val="24"/>
          <w:szCs w:val="24"/>
        </w:rPr>
        <w:t>nput), magnetic beads with anti-</w:t>
      </w:r>
      <w:proofErr w:type="spellStart"/>
      <w:r w:rsidRPr="00141E92">
        <w:rPr>
          <w:rFonts w:ascii="Book Antiqua" w:hAnsi="Book Antiqua"/>
          <w:color w:val="111111"/>
          <w:sz w:val="24"/>
          <w:szCs w:val="24"/>
        </w:rPr>
        <w:t>HuR</w:t>
      </w:r>
      <w:proofErr w:type="spellEnd"/>
      <w:r w:rsidRPr="00141E92">
        <w:rPr>
          <w:rFonts w:ascii="Book Antiqua" w:hAnsi="Book Antiqua"/>
          <w:color w:val="111111"/>
          <w:sz w:val="24"/>
          <w:szCs w:val="24"/>
        </w:rPr>
        <w:t xml:space="preserve"> antibody and protein precipitates (</w:t>
      </w:r>
      <w:proofErr w:type="spellStart"/>
      <w:r w:rsidRPr="00141E92">
        <w:rPr>
          <w:rFonts w:ascii="Book Antiqua" w:hAnsi="Book Antiqua"/>
          <w:color w:val="111111"/>
          <w:sz w:val="24"/>
          <w:szCs w:val="24"/>
        </w:rPr>
        <w:t>HuR</w:t>
      </w:r>
      <w:proofErr w:type="spellEnd"/>
      <w:r w:rsidRPr="00141E92">
        <w:rPr>
          <w:rFonts w:ascii="Book Antiqua" w:hAnsi="Book Antiqua"/>
          <w:color w:val="111111"/>
          <w:sz w:val="24"/>
          <w:szCs w:val="24"/>
        </w:rPr>
        <w:t>), and magnetic beads with anti-IgG and protein precipitates (IgG).</w:t>
      </w:r>
      <w:r w:rsidR="00171CE3" w:rsidRPr="00141E92">
        <w:rPr>
          <w:rFonts w:ascii="Book Antiqua" w:eastAsiaTheme="majorEastAsia" w:hAnsi="Book Antiqua" w:cstheme="majorBidi"/>
          <w:color w:val="000000" w:themeColor="text1"/>
          <w:kern w:val="24"/>
          <w:sz w:val="24"/>
          <w:szCs w:val="24"/>
        </w:rPr>
        <w:t xml:space="preserve"> </w:t>
      </w:r>
      <w:proofErr w:type="spellStart"/>
      <w:r w:rsidR="00171CE3" w:rsidRPr="00141E92">
        <w:rPr>
          <w:rFonts w:ascii="Book Antiqua" w:hAnsi="Book Antiqua" w:cs="Times"/>
          <w:color w:val="000000" w:themeColor="text1"/>
          <w:sz w:val="24"/>
          <w:szCs w:val="24"/>
        </w:rPr>
        <w:t>HuR</w:t>
      </w:r>
      <w:proofErr w:type="spellEnd"/>
      <w:r w:rsidR="00171CE3" w:rsidRPr="00141E92">
        <w:rPr>
          <w:rFonts w:ascii="Book Antiqua" w:hAnsi="Book Antiqua" w:cs="Times"/>
          <w:color w:val="000000" w:themeColor="text1"/>
          <w:sz w:val="24"/>
          <w:szCs w:val="24"/>
        </w:rPr>
        <w:t xml:space="preserve">: Human antigen R; GAPDH: </w:t>
      </w:r>
      <w:r w:rsidR="00171CE3" w:rsidRPr="00141E92">
        <w:rPr>
          <w:rFonts w:ascii="Book Antiqua" w:eastAsia="Times New Roman" w:hAnsi="Book Antiqua" w:cs="Times New Roman"/>
          <w:color w:val="222222"/>
          <w:sz w:val="24"/>
          <w:szCs w:val="24"/>
        </w:rPr>
        <w:t>Glyceraldehyde-3-phosphate dehydrogenase.</w:t>
      </w:r>
    </w:p>
    <w:p w14:paraId="57EEC16A" w14:textId="77777777" w:rsidR="001929DB" w:rsidRPr="00141E92" w:rsidRDefault="001929DB" w:rsidP="008530E2">
      <w:pPr>
        <w:snapToGrid w:val="0"/>
        <w:spacing w:line="360" w:lineRule="auto"/>
        <w:jc w:val="both"/>
        <w:rPr>
          <w:rFonts w:ascii="Book Antiqua" w:hAnsi="Book Antiqua"/>
          <w:b/>
          <w:sz w:val="24"/>
          <w:szCs w:val="24"/>
        </w:rPr>
      </w:pPr>
      <w:r w:rsidRPr="00141E92">
        <w:rPr>
          <w:rFonts w:ascii="Book Antiqua" w:hAnsi="Book Antiqua"/>
          <w:b/>
          <w:sz w:val="24"/>
          <w:szCs w:val="24"/>
        </w:rPr>
        <w:br w:type="page"/>
      </w:r>
    </w:p>
    <w:p w14:paraId="56774026" w14:textId="46814011" w:rsidR="00FC3951" w:rsidRPr="00141E92" w:rsidRDefault="002801A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lastRenderedPageBreak/>
        <w:t>A</w:t>
      </w:r>
    </w:p>
    <w:p w14:paraId="5E76B559" w14:textId="29C592EB" w:rsidR="00FC3951" w:rsidRPr="00141E92" w:rsidRDefault="00F071AA" w:rsidP="008530E2">
      <w:pPr>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w:drawing>
          <wp:inline distT="0" distB="0" distL="0" distR="0" wp14:anchorId="1BA20077" wp14:editId="0357491D">
            <wp:extent cx="4471332" cy="2583809"/>
            <wp:effectExtent l="0" t="0" r="0" b="0"/>
            <wp:docPr id="13" name="Chart 1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DE90D85-6021-F148-830E-94E7AEBAA6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5C71056" w14:textId="311AF10D" w:rsidR="002801AA" w:rsidRPr="00141E92" w:rsidRDefault="002801AA" w:rsidP="003F50D4">
      <w:pPr>
        <w:snapToGrid w:val="0"/>
        <w:spacing w:line="360" w:lineRule="auto"/>
        <w:jc w:val="both"/>
        <w:outlineLvl w:val="0"/>
        <w:rPr>
          <w:rFonts w:ascii="Book Antiqua" w:hAnsi="Book Antiqua"/>
          <w:b/>
          <w:sz w:val="24"/>
          <w:szCs w:val="24"/>
        </w:rPr>
      </w:pPr>
      <w:r w:rsidRPr="00141E92">
        <w:rPr>
          <w:rFonts w:ascii="Book Antiqua" w:hAnsi="Book Antiqua"/>
          <w:b/>
          <w:sz w:val="24"/>
          <w:szCs w:val="24"/>
        </w:rPr>
        <w:t>B</w:t>
      </w:r>
    </w:p>
    <w:p w14:paraId="3691CB47" w14:textId="23163D9F" w:rsidR="00BB6A59" w:rsidRPr="00141E92" w:rsidRDefault="00E01339" w:rsidP="008530E2">
      <w:pPr>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mc:AlternateContent>
          <mc:Choice Requires="wps">
            <w:drawing>
              <wp:anchor distT="0" distB="0" distL="114300" distR="114300" simplePos="0" relativeHeight="251672576" behindDoc="0" locked="0" layoutInCell="1" allowOverlap="1" wp14:anchorId="19939D57" wp14:editId="001F54D6">
                <wp:simplePos x="0" y="0"/>
                <wp:positionH relativeFrom="column">
                  <wp:posOffset>-551815</wp:posOffset>
                </wp:positionH>
                <wp:positionV relativeFrom="paragraph">
                  <wp:posOffset>1199136</wp:posOffset>
                </wp:positionV>
                <wp:extent cx="1554143" cy="354226"/>
                <wp:effectExtent l="0" t="0" r="0" b="0"/>
                <wp:wrapNone/>
                <wp:docPr id="4" name="TextBox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2C8D679-BF65-C24C-B85C-A4E13D04D15E}"/>
                    </a:ext>
                  </a:extLst>
                </wp:docPr>
                <wp:cNvGraphicFramePr/>
                <a:graphic xmlns:a="http://schemas.openxmlformats.org/drawingml/2006/main">
                  <a:graphicData uri="http://schemas.microsoft.com/office/word/2010/wordprocessingShape">
                    <wps:wsp>
                      <wps:cNvSpPr txBox="1"/>
                      <wps:spPr>
                        <a:xfrm rot="16200000">
                          <a:off x="0" y="0"/>
                          <a:ext cx="1554143" cy="354226"/>
                        </a:xfrm>
                        <a:prstGeom prst="rect">
                          <a:avLst/>
                        </a:prstGeom>
                        <a:noFill/>
                      </wps:spPr>
                      <wps:txbx>
                        <w:txbxContent>
                          <w:p w14:paraId="165A7228" w14:textId="36E35477" w:rsidR="00B44A7B" w:rsidRDefault="00B44A7B" w:rsidP="00E01339">
                            <w:pPr>
                              <w:pStyle w:val="a3"/>
                              <w:spacing w:before="0" w:beforeAutospacing="0" w:after="0" w:afterAutospacing="0"/>
                              <w:rPr>
                                <w:sz w:val="24"/>
                                <w:szCs w:val="24"/>
                              </w:rPr>
                            </w:pPr>
                            <w:r>
                              <w:rPr>
                                <w:rFonts w:ascii="Book Antiqua" w:hAnsi="Book Antiqua" w:cstheme="minorBidi"/>
                                <w:color w:val="000000" w:themeColor="text1"/>
                                <w:kern w:val="24"/>
                              </w:rPr>
                              <w:t>protein levels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Box 3" o:spid="_x0000_s1026" type="#_x0000_t202" style="position:absolute;left:0;text-align:left;margin-left:-43.45pt;margin-top:94.4pt;width:122.35pt;height:27.9pt;rotation:-9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" filled="f" stroked="f">
                <v:textbox>
                  <w:txbxContent>
                    <w:p w14:paraId="165A7228" w14:textId="36E35477" w:rsidR="00B44A7B" w:rsidRDefault="00B44A7B" w:rsidP="00E01339">
                      <w:pPr>
                        <w:pStyle w:val="a3"/>
                        <w:spacing w:before="0" w:beforeAutospacing="0" w:after="0" w:afterAutospacing="0"/>
                        <w:rPr>
                          <w:sz w:val="24"/>
                          <w:szCs w:val="24"/>
                        </w:rPr>
                      </w:pPr>
                      <w:r>
                        <w:rPr>
                          <w:rFonts w:ascii="Book Antiqua" w:hAnsi="Book Antiqua" w:cstheme="minorBidi"/>
                          <w:color w:val="000000" w:themeColor="text1"/>
                          <w:kern w:val="24"/>
                        </w:rPr>
                        <w:t>protein levels</w:t>
                      </w:r>
                    </w:p>
                  </w:txbxContent>
                </v:textbox>
              </v:shape>
            </w:pict>
          </mc:Fallback>
        </mc:AlternateContent>
      </w:r>
      <w:r w:rsidR="00A45F85" w:rsidRPr="00141E92">
        <w:rPr>
          <w:rFonts w:ascii="Book Antiqua" w:hAnsi="Book Antiqua"/>
          <w:b/>
          <w:sz w:val="24"/>
          <w:szCs w:val="24"/>
        </w:rPr>
        <w:t xml:space="preserve">  </w:t>
      </w:r>
      <w:r w:rsidRPr="00141E92">
        <w:rPr>
          <w:rFonts w:ascii="Book Antiqua" w:hAnsi="Book Antiqua"/>
          <w:b/>
          <w:sz w:val="24"/>
          <w:szCs w:val="24"/>
        </w:rPr>
        <w:t xml:space="preserve">      </w:t>
      </w:r>
      <w:r w:rsidR="00A45F85" w:rsidRPr="00141E92">
        <w:rPr>
          <w:rFonts w:ascii="Book Antiqua" w:hAnsi="Book Antiqua"/>
          <w:b/>
          <w:sz w:val="24"/>
          <w:szCs w:val="24"/>
        </w:rPr>
        <w:t xml:space="preserve"> </w:t>
      </w:r>
      <w:r w:rsidR="00A45F85" w:rsidRPr="00141E92">
        <w:rPr>
          <w:rFonts w:ascii="Book Antiqua" w:hAnsi="Book Antiqua"/>
          <w:b/>
          <w:noProof/>
          <w:sz w:val="24"/>
          <w:szCs w:val="24"/>
          <w:lang w:eastAsia="zh-CN"/>
        </w:rPr>
        <w:drawing>
          <wp:inline distT="0" distB="0" distL="0" distR="0" wp14:anchorId="3CBA934F" wp14:editId="184CB604">
            <wp:extent cx="5033394" cy="3028426"/>
            <wp:effectExtent l="0" t="0" r="0" b="0"/>
            <wp:docPr id="34" name="Chart 3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28E9997F-04E6-EE42-87A6-DAF63F6941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93055D6" w14:textId="4A2C2E46" w:rsidR="004D767B" w:rsidRPr="00141E92" w:rsidRDefault="004D767B" w:rsidP="008530E2">
      <w:pPr>
        <w:widowControl w:val="0"/>
        <w:snapToGrid w:val="0"/>
        <w:spacing w:line="360" w:lineRule="auto"/>
        <w:jc w:val="both"/>
        <w:rPr>
          <w:rFonts w:ascii="Book Antiqua" w:hAnsi="Book Antiqua"/>
          <w:sz w:val="24"/>
          <w:szCs w:val="24"/>
        </w:rPr>
      </w:pPr>
      <w:r w:rsidRPr="00141E92">
        <w:rPr>
          <w:rFonts w:ascii="Book Antiqua" w:hAnsi="Book Antiqua"/>
          <w:sz w:val="24"/>
          <w:szCs w:val="24"/>
        </w:rPr>
        <w:t xml:space="preserve">  </w:t>
      </w:r>
      <w:r w:rsidRPr="00141E92">
        <w:rPr>
          <w:rFonts w:ascii="Book Antiqua" w:hAnsi="Book Antiqua"/>
          <w:noProof/>
          <w:sz w:val="24"/>
          <w:szCs w:val="24"/>
          <w:lang w:eastAsia="zh-CN"/>
        </w:rPr>
        <w:drawing>
          <wp:inline distT="0" distB="0" distL="0" distR="0" wp14:anchorId="10D6AC8B" wp14:editId="16A60E17">
            <wp:extent cx="2046605" cy="21361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514" t="3430" r="4824" b="8546"/>
                    <a:stretch/>
                  </pic:blipFill>
                  <pic:spPr bwMode="auto">
                    <a:xfrm>
                      <a:off x="0" y="0"/>
                      <a:ext cx="2114982" cy="2207468"/>
                    </a:xfrm>
                    <a:prstGeom prst="rect">
                      <a:avLst/>
                    </a:prstGeom>
                    <a:ln>
                      <a:noFill/>
                    </a:ln>
                    <a:extLst>
                      <a:ext uri="{53640926-AAD7-44D8-BBD7-CCE9431645EC}">
                        <a14:shadowObscured xmlns:a14="http://schemas.microsoft.com/office/drawing/2010/main"/>
                      </a:ext>
                    </a:extLst>
                  </pic:spPr>
                </pic:pic>
              </a:graphicData>
            </a:graphic>
          </wp:inline>
        </w:drawing>
      </w:r>
    </w:p>
    <w:p w14:paraId="00CA7EB3" w14:textId="72B0C9D5" w:rsidR="002801AA" w:rsidRPr="00141E92" w:rsidRDefault="002801AA" w:rsidP="008530E2">
      <w:pPr>
        <w:snapToGrid w:val="0"/>
        <w:spacing w:line="360" w:lineRule="auto"/>
        <w:jc w:val="both"/>
        <w:rPr>
          <w:rFonts w:ascii="Book Antiqua" w:hAnsi="Book Antiqua"/>
          <w:b/>
          <w:sz w:val="24"/>
          <w:szCs w:val="24"/>
        </w:rPr>
      </w:pPr>
      <w:r w:rsidRPr="00141E92">
        <w:rPr>
          <w:rFonts w:ascii="Book Antiqua" w:hAnsi="Book Antiqua"/>
          <w:b/>
          <w:sz w:val="24"/>
          <w:szCs w:val="24"/>
        </w:rPr>
        <w:lastRenderedPageBreak/>
        <w:t xml:space="preserve">Figure 5 </w:t>
      </w:r>
      <w:r w:rsidRPr="00322FF3">
        <w:rPr>
          <w:rFonts w:ascii="Book Antiqua" w:hAnsi="Book Antiqua"/>
          <w:b/>
          <w:sz w:val="24"/>
          <w:szCs w:val="24"/>
        </w:rPr>
        <w:t>H</w:t>
      </w:r>
      <w:r w:rsidR="000B42F4" w:rsidRPr="00322FF3">
        <w:rPr>
          <w:rFonts w:ascii="Book Antiqua" w:hAnsi="Book Antiqua"/>
          <w:b/>
          <w:sz w:val="24"/>
          <w:szCs w:val="24"/>
        </w:rPr>
        <w:t xml:space="preserve">uman antigen </w:t>
      </w:r>
      <w:r w:rsidRPr="00322FF3">
        <w:rPr>
          <w:rFonts w:ascii="Book Antiqua" w:hAnsi="Book Antiqua"/>
          <w:b/>
          <w:sz w:val="24"/>
          <w:szCs w:val="24"/>
        </w:rPr>
        <w:t>R silencing is associated with</w:t>
      </w:r>
      <w:r w:rsidR="000B42F4" w:rsidRPr="00322FF3">
        <w:rPr>
          <w:rFonts w:ascii="Book Antiqua" w:hAnsi="Book Antiqua"/>
          <w:b/>
          <w:sz w:val="24"/>
          <w:szCs w:val="24"/>
        </w:rPr>
        <w:t xml:space="preserve"> </w:t>
      </w:r>
      <w:r w:rsidR="00322FF3" w:rsidRPr="00322FF3">
        <w:rPr>
          <w:rFonts w:ascii="Book Antiqua" w:hAnsi="Book Antiqua" w:cs="Times"/>
          <w:b/>
          <w:color w:val="000000" w:themeColor="text1"/>
          <w:sz w:val="24"/>
          <w:szCs w:val="24"/>
        </w:rPr>
        <w:t>i</w:t>
      </w:r>
      <w:r w:rsidR="000B42F4" w:rsidRPr="00322FF3">
        <w:rPr>
          <w:rFonts w:ascii="Book Antiqua" w:hAnsi="Book Antiqua" w:cs="Times"/>
          <w:b/>
          <w:color w:val="000000" w:themeColor="text1"/>
          <w:sz w:val="24"/>
          <w:szCs w:val="24"/>
        </w:rPr>
        <w:t>nhibitors of apoptosis proteins</w:t>
      </w:r>
      <w:r w:rsidRPr="00322FF3">
        <w:rPr>
          <w:rFonts w:ascii="Book Antiqua" w:hAnsi="Book Antiqua"/>
          <w:b/>
          <w:sz w:val="24"/>
          <w:szCs w:val="24"/>
        </w:rPr>
        <w:t xml:space="preserve"> mRNA and protein expression regulation in pancreatic cancer cells. </w:t>
      </w:r>
      <w:r w:rsidR="000B42F4" w:rsidRPr="00141E92">
        <w:rPr>
          <w:rFonts w:ascii="Book Antiqua" w:hAnsi="Book Antiqua"/>
          <w:sz w:val="24"/>
          <w:szCs w:val="24"/>
        </w:rPr>
        <w:t>Human antigen R (</w:t>
      </w:r>
      <w:proofErr w:type="spellStart"/>
      <w:r w:rsidRPr="00141E92">
        <w:rPr>
          <w:rFonts w:ascii="Book Antiqua" w:hAnsi="Book Antiqua"/>
          <w:sz w:val="24"/>
          <w:szCs w:val="24"/>
        </w:rPr>
        <w:t>HuR</w:t>
      </w:r>
      <w:proofErr w:type="spellEnd"/>
      <w:r w:rsidR="000B42F4" w:rsidRPr="00141E92">
        <w:rPr>
          <w:rFonts w:ascii="Book Antiqua" w:hAnsi="Book Antiqua"/>
          <w:sz w:val="24"/>
          <w:szCs w:val="24"/>
        </w:rPr>
        <w:t>)</w:t>
      </w:r>
      <w:r w:rsidRPr="00141E92">
        <w:rPr>
          <w:rFonts w:ascii="Book Antiqua" w:hAnsi="Book Antiqua"/>
          <w:sz w:val="24"/>
          <w:szCs w:val="24"/>
        </w:rPr>
        <w:t xml:space="preserve"> silencing decreased </w:t>
      </w:r>
      <w:r w:rsidR="00322FF3">
        <w:rPr>
          <w:rFonts w:ascii="Book Antiqua" w:hAnsi="Book Antiqua" w:cs="Times"/>
          <w:color w:val="000000" w:themeColor="text1"/>
          <w:sz w:val="24"/>
          <w:szCs w:val="24"/>
        </w:rPr>
        <w:t>inhibitor</w:t>
      </w:r>
      <w:r w:rsidR="000B42F4" w:rsidRPr="00141E92">
        <w:rPr>
          <w:rFonts w:ascii="Book Antiqua" w:hAnsi="Book Antiqua" w:cs="Times"/>
          <w:color w:val="000000" w:themeColor="text1"/>
          <w:sz w:val="24"/>
          <w:szCs w:val="24"/>
        </w:rPr>
        <w:t xml:space="preserve"> of apoptosis protein 1 </w:t>
      </w:r>
      <w:r w:rsidR="000B42F4" w:rsidRPr="00141E92">
        <w:rPr>
          <w:rFonts w:ascii="Book Antiqua" w:hAnsi="Book Antiqua"/>
          <w:sz w:val="24"/>
          <w:szCs w:val="24"/>
        </w:rPr>
        <w:t>(</w:t>
      </w:r>
      <w:r w:rsidRPr="00141E92">
        <w:rPr>
          <w:rFonts w:ascii="Book Antiqua" w:hAnsi="Book Antiqua"/>
          <w:sz w:val="24"/>
          <w:szCs w:val="24"/>
        </w:rPr>
        <w:t>IAP1</w:t>
      </w:r>
      <w:r w:rsidR="000B42F4" w:rsidRPr="00141E92">
        <w:rPr>
          <w:rFonts w:ascii="Book Antiqua" w:hAnsi="Book Antiqua"/>
          <w:sz w:val="24"/>
          <w:szCs w:val="24"/>
        </w:rPr>
        <w:t>)</w:t>
      </w:r>
      <w:r w:rsidRPr="00141E92">
        <w:rPr>
          <w:rFonts w:ascii="Book Antiqua" w:hAnsi="Book Antiqua"/>
          <w:sz w:val="24"/>
          <w:szCs w:val="24"/>
        </w:rPr>
        <w:t xml:space="preserve"> and increased </w:t>
      </w:r>
      <w:r w:rsidR="00322FF3">
        <w:rPr>
          <w:rFonts w:ascii="Book Antiqua" w:hAnsi="Book Antiqua" w:cs="Times"/>
          <w:color w:val="000000" w:themeColor="text1"/>
          <w:sz w:val="24"/>
          <w:szCs w:val="24"/>
        </w:rPr>
        <w:t>i</w:t>
      </w:r>
      <w:r w:rsidR="000B42F4" w:rsidRPr="00141E92">
        <w:rPr>
          <w:rFonts w:ascii="Book Antiqua" w:hAnsi="Book Antiqua" w:cs="Times"/>
          <w:color w:val="000000" w:themeColor="text1"/>
          <w:sz w:val="24"/>
          <w:szCs w:val="24"/>
        </w:rPr>
        <w:t>nhibitors of apoptosis protein 2</w:t>
      </w:r>
      <w:r w:rsidR="000B42F4" w:rsidRPr="00141E92">
        <w:rPr>
          <w:rFonts w:ascii="Book Antiqua" w:hAnsi="Book Antiqua"/>
          <w:sz w:val="24"/>
          <w:szCs w:val="24"/>
        </w:rPr>
        <w:t xml:space="preserve"> (</w:t>
      </w:r>
      <w:r w:rsidRPr="00141E92">
        <w:rPr>
          <w:rFonts w:ascii="Book Antiqua" w:hAnsi="Book Antiqua"/>
          <w:sz w:val="24"/>
          <w:szCs w:val="24"/>
        </w:rPr>
        <w:t>IAP2</w:t>
      </w:r>
      <w:r w:rsidR="000B42F4" w:rsidRPr="00141E92">
        <w:rPr>
          <w:rFonts w:ascii="Book Antiqua" w:hAnsi="Book Antiqua"/>
          <w:sz w:val="24"/>
          <w:szCs w:val="24"/>
        </w:rPr>
        <w:t>)</w:t>
      </w:r>
      <w:r w:rsidRPr="00141E92">
        <w:rPr>
          <w:rFonts w:ascii="Book Antiqua" w:hAnsi="Book Antiqua"/>
          <w:sz w:val="24"/>
          <w:szCs w:val="24"/>
        </w:rPr>
        <w:t xml:space="preserve"> mRNA expression (A) and decreased IAP1 and increased IAP2 protein expression (B).</w:t>
      </w:r>
      <w:r w:rsidR="00171CE3" w:rsidRPr="00141E92">
        <w:rPr>
          <w:rFonts w:ascii="Book Antiqua" w:hAnsi="Book Antiqua"/>
          <w:sz w:val="24"/>
          <w:szCs w:val="24"/>
        </w:rPr>
        <w:t xml:space="preserve"> </w:t>
      </w:r>
      <w:bookmarkStart w:id="149" w:name="OLE_LINK18"/>
      <w:r w:rsidR="00322FF3">
        <w:rPr>
          <w:rFonts w:ascii="Book Antiqua" w:eastAsiaTheme="majorEastAsia" w:hAnsi="Book Antiqua" w:cstheme="majorBidi"/>
          <w:color w:val="000000" w:themeColor="text1"/>
          <w:kern w:val="24"/>
          <w:sz w:val="24"/>
          <w:szCs w:val="24"/>
        </w:rPr>
        <w:t>IAP1:</w:t>
      </w:r>
      <w:r w:rsidR="00322FF3" w:rsidRPr="00141E92">
        <w:rPr>
          <w:rFonts w:ascii="Book Antiqua" w:eastAsiaTheme="majorEastAsia" w:hAnsi="Book Antiqua" w:cstheme="majorBidi"/>
          <w:color w:val="000000" w:themeColor="text1"/>
          <w:kern w:val="24"/>
          <w:sz w:val="24"/>
          <w:szCs w:val="24"/>
        </w:rPr>
        <w:t xml:space="preserve"> </w:t>
      </w:r>
      <w:r w:rsidR="00322FF3">
        <w:rPr>
          <w:rFonts w:ascii="Book Antiqua" w:hAnsi="Book Antiqua" w:cs="Times"/>
          <w:color w:val="000000" w:themeColor="text1"/>
          <w:sz w:val="24"/>
          <w:szCs w:val="24"/>
        </w:rPr>
        <w:t>Inhibitor</w:t>
      </w:r>
      <w:r w:rsidR="00322FF3" w:rsidRPr="00141E92">
        <w:rPr>
          <w:rFonts w:ascii="Book Antiqua" w:hAnsi="Book Antiqua" w:cs="Times"/>
          <w:color w:val="000000" w:themeColor="text1"/>
          <w:sz w:val="24"/>
          <w:szCs w:val="24"/>
        </w:rPr>
        <w:t xml:space="preserve"> of apoptosis protein 1</w:t>
      </w:r>
      <w:r w:rsidR="00322FF3">
        <w:rPr>
          <w:rFonts w:ascii="Book Antiqua" w:hAnsi="Book Antiqua" w:cs="Times"/>
          <w:color w:val="000000" w:themeColor="text1"/>
          <w:sz w:val="24"/>
          <w:szCs w:val="24"/>
        </w:rPr>
        <w:t xml:space="preserve">; </w:t>
      </w:r>
      <w:r w:rsidR="00322FF3" w:rsidRPr="00141E92">
        <w:rPr>
          <w:rFonts w:ascii="Book Antiqua" w:eastAsiaTheme="majorEastAsia" w:hAnsi="Book Antiqua" w:cstheme="majorBidi"/>
          <w:color w:val="000000" w:themeColor="text1"/>
          <w:kern w:val="24"/>
          <w:sz w:val="24"/>
          <w:szCs w:val="24"/>
        </w:rPr>
        <w:t xml:space="preserve">IAP2: </w:t>
      </w:r>
      <w:r w:rsidR="00322FF3">
        <w:rPr>
          <w:rFonts w:ascii="Book Antiqua" w:hAnsi="Book Antiqua" w:cs="Times"/>
          <w:color w:val="000000" w:themeColor="text1"/>
          <w:sz w:val="24"/>
          <w:szCs w:val="24"/>
        </w:rPr>
        <w:t>Inhibitor</w:t>
      </w:r>
      <w:r w:rsidR="00322FF3" w:rsidRPr="00141E92">
        <w:rPr>
          <w:rFonts w:ascii="Book Antiqua" w:hAnsi="Book Antiqua" w:cs="Times"/>
          <w:color w:val="000000" w:themeColor="text1"/>
          <w:sz w:val="24"/>
          <w:szCs w:val="24"/>
        </w:rPr>
        <w:t xml:space="preserve"> of apopt</w:t>
      </w:r>
      <w:r w:rsidR="00322FF3">
        <w:rPr>
          <w:rFonts w:ascii="Book Antiqua" w:hAnsi="Book Antiqua" w:cs="Times"/>
          <w:color w:val="000000" w:themeColor="text1"/>
          <w:sz w:val="24"/>
          <w:szCs w:val="24"/>
        </w:rPr>
        <w:t>osis protein 2</w:t>
      </w:r>
      <w:bookmarkEnd w:id="149"/>
      <w:r w:rsidR="00322FF3" w:rsidRPr="00141E92">
        <w:rPr>
          <w:rFonts w:ascii="Book Antiqua" w:hAnsi="Book Antiqua" w:cs="Times"/>
          <w:color w:val="000000" w:themeColor="text1"/>
          <w:sz w:val="24"/>
          <w:szCs w:val="24"/>
        </w:rPr>
        <w:t>;</w:t>
      </w:r>
      <w:r w:rsidR="00322FF3">
        <w:rPr>
          <w:rFonts w:ascii="Book Antiqua" w:hAnsi="Book Antiqua" w:cs="Times"/>
          <w:color w:val="000000" w:themeColor="text1"/>
          <w:sz w:val="24"/>
          <w:szCs w:val="24"/>
        </w:rPr>
        <w:t xml:space="preserve"> </w:t>
      </w:r>
      <w:proofErr w:type="spellStart"/>
      <w:r w:rsidR="00171CE3" w:rsidRPr="00141E92">
        <w:rPr>
          <w:rFonts w:ascii="Book Antiqua" w:hAnsi="Book Antiqua" w:cs="Times"/>
          <w:color w:val="000000" w:themeColor="text1"/>
          <w:sz w:val="24"/>
          <w:szCs w:val="24"/>
        </w:rPr>
        <w:t>HuR</w:t>
      </w:r>
      <w:proofErr w:type="spellEnd"/>
      <w:r w:rsidR="00171CE3" w:rsidRPr="00141E92">
        <w:rPr>
          <w:rFonts w:ascii="Book Antiqua" w:hAnsi="Book Antiqua" w:cs="Times"/>
          <w:color w:val="000000" w:themeColor="text1"/>
          <w:sz w:val="24"/>
          <w:szCs w:val="24"/>
        </w:rPr>
        <w:t xml:space="preserve">: Human antigen R; GAPDH: </w:t>
      </w:r>
      <w:r w:rsidR="00171CE3" w:rsidRPr="00141E92">
        <w:rPr>
          <w:rFonts w:ascii="Book Antiqua" w:eastAsia="Times New Roman" w:hAnsi="Book Antiqua" w:cs="Times New Roman"/>
          <w:color w:val="222222"/>
          <w:sz w:val="24"/>
          <w:szCs w:val="24"/>
        </w:rPr>
        <w:t>Glyceraldehyde-3-phosphate dehydrogenase.</w:t>
      </w:r>
    </w:p>
    <w:p w14:paraId="6A645DF3" w14:textId="0C0FD3CD" w:rsidR="00B63811" w:rsidRPr="00141E92" w:rsidRDefault="00302B24" w:rsidP="008530E2">
      <w:pPr>
        <w:snapToGrid w:val="0"/>
        <w:spacing w:line="360" w:lineRule="auto"/>
        <w:jc w:val="both"/>
        <w:rPr>
          <w:rFonts w:ascii="Book Antiqua" w:hAnsi="Book Antiqua"/>
          <w:b/>
          <w:sz w:val="24"/>
          <w:szCs w:val="24"/>
        </w:rPr>
      </w:pPr>
      <w:r w:rsidRPr="00141E92">
        <w:rPr>
          <w:rFonts w:ascii="Book Antiqua" w:hAnsi="Book Antiqua"/>
          <w:b/>
          <w:sz w:val="24"/>
          <w:szCs w:val="24"/>
        </w:rPr>
        <w:br w:type="page"/>
      </w:r>
    </w:p>
    <w:p w14:paraId="23778495" w14:textId="734E2A39" w:rsidR="006742CC" w:rsidRPr="00141E92" w:rsidRDefault="006742CC" w:rsidP="008530E2">
      <w:pPr>
        <w:autoSpaceDE/>
        <w:autoSpaceDN/>
        <w:snapToGrid w:val="0"/>
        <w:spacing w:line="360" w:lineRule="auto"/>
        <w:jc w:val="both"/>
        <w:rPr>
          <w:rFonts w:ascii="Book Antiqua" w:hAnsi="Book Antiqua"/>
          <w:b/>
          <w:sz w:val="24"/>
          <w:szCs w:val="24"/>
        </w:rPr>
      </w:pPr>
      <w:r w:rsidRPr="00141E92">
        <w:rPr>
          <w:rFonts w:ascii="Book Antiqua" w:hAnsi="Book Antiqua"/>
          <w:b/>
          <w:noProof/>
          <w:sz w:val="24"/>
          <w:szCs w:val="24"/>
          <w:lang w:eastAsia="zh-CN"/>
        </w:rPr>
        <w:lastRenderedPageBreak/>
        <w:drawing>
          <wp:inline distT="0" distB="0" distL="0" distR="0" wp14:anchorId="18B6BC6E" wp14:editId="14B692F2">
            <wp:extent cx="5727700" cy="4295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27700" cy="4295775"/>
                    </a:xfrm>
                    <a:prstGeom prst="rect">
                      <a:avLst/>
                    </a:prstGeom>
                  </pic:spPr>
                </pic:pic>
              </a:graphicData>
            </a:graphic>
          </wp:inline>
        </w:drawing>
      </w:r>
    </w:p>
    <w:p w14:paraId="5956FFB6" w14:textId="20DB6622" w:rsidR="00926935" w:rsidRPr="00141E92" w:rsidRDefault="006742CC" w:rsidP="008530E2">
      <w:pPr>
        <w:snapToGrid w:val="0"/>
        <w:spacing w:line="360" w:lineRule="auto"/>
        <w:jc w:val="both"/>
        <w:rPr>
          <w:rFonts w:ascii="Book Antiqua" w:eastAsia="MS Mincho" w:hAnsi="Book Antiqua" w:cs="Times New Roman"/>
          <w:b/>
          <w:sz w:val="24"/>
          <w:szCs w:val="24"/>
        </w:rPr>
      </w:pPr>
      <w:r w:rsidRPr="00141E92">
        <w:rPr>
          <w:rFonts w:ascii="Book Antiqua" w:hAnsi="Book Antiqua"/>
          <w:b/>
          <w:sz w:val="24"/>
          <w:szCs w:val="24"/>
        </w:rPr>
        <w:t>Figure 6</w:t>
      </w:r>
      <w:r w:rsidR="00926935" w:rsidRPr="00141E92">
        <w:rPr>
          <w:rFonts w:ascii="Book Antiqua" w:hAnsi="Book Antiqua"/>
          <w:b/>
          <w:sz w:val="24"/>
          <w:szCs w:val="24"/>
        </w:rPr>
        <w:t xml:space="preserve"> </w:t>
      </w:r>
      <w:r w:rsidR="00926935" w:rsidRPr="00141E92">
        <w:rPr>
          <w:rFonts w:ascii="Book Antiqua" w:eastAsia="MS Mincho" w:hAnsi="Book Antiqua" w:cs="Times New Roman"/>
          <w:b/>
          <w:sz w:val="24"/>
          <w:szCs w:val="24"/>
        </w:rPr>
        <w:t>H</w:t>
      </w:r>
      <w:r w:rsidR="00762FE3" w:rsidRPr="00141E92">
        <w:rPr>
          <w:rFonts w:ascii="Book Antiqua" w:eastAsia="MS Mincho" w:hAnsi="Book Antiqua" w:cs="Times New Roman"/>
          <w:b/>
          <w:sz w:val="24"/>
          <w:szCs w:val="24"/>
        </w:rPr>
        <w:t>uman antigen R</w:t>
      </w:r>
      <w:r w:rsidR="00926935" w:rsidRPr="00141E92">
        <w:rPr>
          <w:rFonts w:ascii="Book Antiqua" w:eastAsia="MS Mincho" w:hAnsi="Book Antiqua" w:cs="Times New Roman"/>
          <w:b/>
          <w:sz w:val="24"/>
          <w:szCs w:val="24"/>
        </w:rPr>
        <w:t xml:space="preserve"> is an important regulator of pancreatic cancer cell growth and survival. </w:t>
      </w:r>
      <w:r w:rsidR="00926935" w:rsidRPr="00141E92">
        <w:rPr>
          <w:rFonts w:ascii="Book Antiqua" w:hAnsi="Book Antiqua" w:cs="TimesNewRomanPSMT"/>
          <w:sz w:val="24"/>
          <w:szCs w:val="24"/>
        </w:rPr>
        <w:t>H</w:t>
      </w:r>
      <w:r w:rsidR="00762FE3" w:rsidRPr="00141E92">
        <w:rPr>
          <w:rFonts w:ascii="Book Antiqua" w:hAnsi="Book Antiqua" w:cs="TimesNewRomanPSMT"/>
          <w:sz w:val="24"/>
          <w:szCs w:val="24"/>
        </w:rPr>
        <w:t>uman antigen R (</w:t>
      </w:r>
      <w:proofErr w:type="spellStart"/>
      <w:r w:rsidR="00762FE3" w:rsidRPr="00141E92">
        <w:rPr>
          <w:rFonts w:ascii="Book Antiqua" w:hAnsi="Book Antiqua" w:cs="TimesNewRomanPSMT"/>
          <w:sz w:val="24"/>
          <w:szCs w:val="24"/>
        </w:rPr>
        <w:t>H</w:t>
      </w:r>
      <w:r w:rsidR="00926935" w:rsidRPr="00141E92">
        <w:rPr>
          <w:rFonts w:ascii="Book Antiqua" w:hAnsi="Book Antiqua" w:cs="TimesNewRomanPSMT"/>
          <w:sz w:val="24"/>
          <w:szCs w:val="24"/>
        </w:rPr>
        <w:t>uR</w:t>
      </w:r>
      <w:proofErr w:type="spellEnd"/>
      <w:r w:rsidR="00762FE3" w:rsidRPr="00141E92">
        <w:rPr>
          <w:rFonts w:ascii="Book Antiqua" w:hAnsi="Book Antiqua" w:cs="TimesNewRomanPSMT"/>
          <w:sz w:val="24"/>
          <w:szCs w:val="24"/>
        </w:rPr>
        <w:t>)</w:t>
      </w:r>
      <w:r w:rsidR="00926935" w:rsidRPr="00141E92">
        <w:rPr>
          <w:rFonts w:ascii="Book Antiqua" w:hAnsi="Book Antiqua" w:cs="TimesNewRomanPSMT"/>
          <w:sz w:val="24"/>
          <w:szCs w:val="24"/>
        </w:rPr>
        <w:t xml:space="preserve"> </w:t>
      </w:r>
      <w:r w:rsidR="00DB21CF" w:rsidRPr="00141E92">
        <w:rPr>
          <w:rFonts w:ascii="Book Antiqua" w:hAnsi="Book Antiqua" w:cs="TimesNewRomanPSMT"/>
          <w:sz w:val="24"/>
          <w:szCs w:val="24"/>
        </w:rPr>
        <w:t>can function</w:t>
      </w:r>
      <w:r w:rsidR="00926935" w:rsidRPr="00141E92">
        <w:rPr>
          <w:rFonts w:ascii="Book Antiqua" w:hAnsi="Book Antiqua" w:cs="TimesNewRomanPSMT"/>
          <w:sz w:val="24"/>
          <w:szCs w:val="24"/>
        </w:rPr>
        <w:t xml:space="preserve"> through the regulation of the stability or translation of target mRNAs that encode multiple cancer-related proteins as </w:t>
      </w:r>
      <w:r w:rsidR="00322FF3">
        <w:rPr>
          <w:rFonts w:ascii="Book Antiqua" w:hAnsi="Book Antiqua" w:cs="Times"/>
          <w:color w:val="000000" w:themeColor="text1"/>
          <w:sz w:val="24"/>
          <w:szCs w:val="24"/>
        </w:rPr>
        <w:t>i</w:t>
      </w:r>
      <w:r w:rsidR="00762FE3" w:rsidRPr="00141E92">
        <w:rPr>
          <w:rFonts w:ascii="Book Antiqua" w:hAnsi="Book Antiqua" w:cs="Times"/>
          <w:color w:val="000000" w:themeColor="text1"/>
          <w:sz w:val="24"/>
          <w:szCs w:val="24"/>
        </w:rPr>
        <w:t xml:space="preserve">nhibitors of apoptosis proteins (IAPs), </w:t>
      </w:r>
      <w:r w:rsidR="00762FE3" w:rsidRPr="00141E92">
        <w:rPr>
          <w:rFonts w:ascii="Book Antiqua" w:hAnsi="Book Antiqua"/>
          <w:color w:val="000000" w:themeColor="text1"/>
          <w:sz w:val="24"/>
          <w:szCs w:val="24"/>
        </w:rPr>
        <w:t>heme oxygenase-1 (HO-1), cyclooxygenase-2 (COX-2).</w:t>
      </w:r>
      <w:r w:rsidR="00926935" w:rsidRPr="00141E92">
        <w:rPr>
          <w:rFonts w:ascii="Book Antiqua" w:hAnsi="Book Antiqua"/>
          <w:sz w:val="24"/>
          <w:szCs w:val="24"/>
        </w:rPr>
        <w:t xml:space="preserve"> </w:t>
      </w:r>
      <w:proofErr w:type="spellStart"/>
      <w:r w:rsidR="00926935" w:rsidRPr="00141E92">
        <w:rPr>
          <w:rFonts w:ascii="Book Antiqua" w:hAnsi="Book Antiqua"/>
          <w:sz w:val="24"/>
          <w:szCs w:val="24"/>
        </w:rPr>
        <w:t>HuR</w:t>
      </w:r>
      <w:proofErr w:type="spellEnd"/>
      <w:r w:rsidR="00926935" w:rsidRPr="00141E92">
        <w:rPr>
          <w:rFonts w:ascii="Book Antiqua" w:hAnsi="Book Antiqua"/>
          <w:sz w:val="24"/>
          <w:szCs w:val="24"/>
        </w:rPr>
        <w:t xml:space="preserve"> can bind to IAPs and</w:t>
      </w:r>
      <w:r w:rsidR="00DB21CF" w:rsidRPr="00141E92">
        <w:rPr>
          <w:rFonts w:ascii="Book Antiqua" w:hAnsi="Book Antiqua"/>
          <w:sz w:val="24"/>
          <w:szCs w:val="24"/>
        </w:rPr>
        <w:t xml:space="preserve"> HO-1</w:t>
      </w:r>
      <w:r w:rsidR="00F73372" w:rsidRPr="00141E92">
        <w:rPr>
          <w:rFonts w:ascii="Book Antiqua" w:hAnsi="Book Antiqua"/>
          <w:sz w:val="24"/>
          <w:szCs w:val="24"/>
        </w:rPr>
        <w:t xml:space="preserve"> and</w:t>
      </w:r>
      <w:r w:rsidR="008712DA" w:rsidRPr="00141E92">
        <w:rPr>
          <w:rFonts w:ascii="Book Antiqua" w:hAnsi="Book Antiqua"/>
          <w:sz w:val="24"/>
          <w:szCs w:val="24"/>
        </w:rPr>
        <w:t xml:space="preserve"> </w:t>
      </w:r>
      <w:r w:rsidR="00926935" w:rsidRPr="00141E92">
        <w:rPr>
          <w:rFonts w:ascii="Book Antiqua" w:hAnsi="Book Antiqua"/>
          <w:sz w:val="24"/>
          <w:szCs w:val="24"/>
        </w:rPr>
        <w:t xml:space="preserve">stabilize </w:t>
      </w:r>
      <w:r w:rsidR="00DB21CF" w:rsidRPr="00141E92">
        <w:rPr>
          <w:rFonts w:ascii="Book Antiqua" w:hAnsi="Book Antiqua"/>
          <w:sz w:val="24"/>
          <w:szCs w:val="24"/>
        </w:rPr>
        <w:t>them</w:t>
      </w:r>
      <w:r w:rsidR="00926935" w:rsidRPr="00141E92">
        <w:rPr>
          <w:rFonts w:ascii="Book Antiqua" w:hAnsi="Book Antiqua"/>
          <w:sz w:val="24"/>
          <w:szCs w:val="24"/>
        </w:rPr>
        <w:t xml:space="preserve">, leading to an increased cell growth. However, when </w:t>
      </w:r>
      <w:proofErr w:type="spellStart"/>
      <w:r w:rsidR="00926935" w:rsidRPr="00141E92">
        <w:rPr>
          <w:rFonts w:ascii="Book Antiqua" w:hAnsi="Book Antiqua"/>
          <w:sz w:val="24"/>
          <w:szCs w:val="24"/>
        </w:rPr>
        <w:t>HuR</w:t>
      </w:r>
      <w:proofErr w:type="spellEnd"/>
      <w:r w:rsidR="00926935" w:rsidRPr="00141E92">
        <w:rPr>
          <w:rFonts w:ascii="Book Antiqua" w:hAnsi="Book Antiqua"/>
          <w:sz w:val="24"/>
          <w:szCs w:val="24"/>
        </w:rPr>
        <w:t xml:space="preserve"> is silenced, IAP2 overexpression is altered that could be modulated by HO-1 and a production of the COX-2 metabolite</w:t>
      </w:r>
      <w:r w:rsidR="00DB21CF" w:rsidRPr="00141E92">
        <w:rPr>
          <w:rFonts w:ascii="Book Antiqua" w:hAnsi="Book Antiqua"/>
          <w:sz w:val="24"/>
          <w:szCs w:val="24"/>
        </w:rPr>
        <w:t>s:</w:t>
      </w:r>
      <w:r w:rsidR="00926935" w:rsidRPr="00141E92">
        <w:rPr>
          <w:rFonts w:ascii="Book Antiqua" w:hAnsi="Book Antiqua"/>
          <w:sz w:val="24"/>
          <w:szCs w:val="24"/>
        </w:rPr>
        <w:t xml:space="preserve"> </w:t>
      </w:r>
      <w:r w:rsidR="00762FE3" w:rsidRPr="00141E92">
        <w:rPr>
          <w:rFonts w:ascii="Book Antiqua" w:hAnsi="Book Antiqua"/>
          <w:color w:val="000000" w:themeColor="text1"/>
          <w:sz w:val="24"/>
          <w:szCs w:val="24"/>
        </w:rPr>
        <w:t>prostaglandin E2</w:t>
      </w:r>
      <w:r w:rsidR="00DB21CF" w:rsidRPr="00141E92">
        <w:rPr>
          <w:rFonts w:ascii="Book Antiqua" w:hAnsi="Book Antiqua"/>
          <w:sz w:val="24"/>
          <w:szCs w:val="24"/>
        </w:rPr>
        <w:t xml:space="preserve"> and</w:t>
      </w:r>
      <w:r w:rsidR="00926935" w:rsidRPr="00141E92">
        <w:rPr>
          <w:rFonts w:ascii="Book Antiqua" w:hAnsi="Book Antiqua"/>
          <w:sz w:val="24"/>
          <w:szCs w:val="24"/>
        </w:rPr>
        <w:t xml:space="preserve"> </w:t>
      </w:r>
      <w:r w:rsidR="00762FE3" w:rsidRPr="00141E92">
        <w:rPr>
          <w:rFonts w:ascii="Book Antiqua" w:hAnsi="Book Antiqua"/>
          <w:color w:val="000000" w:themeColor="text1"/>
          <w:sz w:val="24"/>
          <w:szCs w:val="24"/>
        </w:rPr>
        <w:t>carbon monoxide</w:t>
      </w:r>
      <w:r w:rsidR="00926935" w:rsidRPr="00141E92">
        <w:rPr>
          <w:rFonts w:ascii="Book Antiqua" w:hAnsi="Book Antiqua"/>
          <w:sz w:val="24"/>
          <w:szCs w:val="24"/>
        </w:rPr>
        <w:t>.</w:t>
      </w:r>
      <w:r w:rsidR="00DB21CF" w:rsidRPr="00141E92">
        <w:rPr>
          <w:rFonts w:ascii="Book Antiqua" w:hAnsi="Book Antiqua"/>
          <w:sz w:val="24"/>
          <w:szCs w:val="24"/>
        </w:rPr>
        <w:t xml:space="preserve"> Additionally,</w:t>
      </w:r>
      <w:r w:rsidR="00926935" w:rsidRPr="00141E92">
        <w:rPr>
          <w:rFonts w:ascii="Book Antiqua" w:hAnsi="Book Antiqua"/>
          <w:sz w:val="24"/>
          <w:szCs w:val="24"/>
        </w:rPr>
        <w:t xml:space="preserve"> IAPs</w:t>
      </w:r>
      <w:r w:rsidR="00FC03F1" w:rsidRPr="00141E92">
        <w:rPr>
          <w:rFonts w:ascii="Book Antiqua" w:hAnsi="Book Antiqua"/>
          <w:sz w:val="24"/>
          <w:szCs w:val="24"/>
        </w:rPr>
        <w:t xml:space="preserve"> </w:t>
      </w:r>
      <w:r w:rsidR="00FC03F1" w:rsidRPr="00141E92">
        <w:rPr>
          <w:rFonts w:ascii="Book Antiqua" w:eastAsia="Times New Roman" w:hAnsi="Book Antiqua" w:cs="Times New Roman"/>
          <w:sz w:val="24"/>
          <w:szCs w:val="24"/>
        </w:rPr>
        <w:t>inhibit caspase activation and/or activity.</w:t>
      </w:r>
      <w:r w:rsidR="00FC03F1" w:rsidRPr="00141E92" w:rsidDel="00FC03F1">
        <w:rPr>
          <w:rFonts w:ascii="Book Antiqua" w:hAnsi="Book Antiqua"/>
          <w:sz w:val="24"/>
          <w:szCs w:val="24"/>
        </w:rPr>
        <w:t xml:space="preserve"> </w:t>
      </w:r>
      <w:r w:rsidR="00FC03F1" w:rsidRPr="00141E92">
        <w:rPr>
          <w:rFonts w:ascii="Book Antiqua" w:hAnsi="Book Antiqua"/>
          <w:sz w:val="24"/>
          <w:szCs w:val="24"/>
        </w:rPr>
        <w:t>I</w:t>
      </w:r>
      <w:r w:rsidR="00926935" w:rsidRPr="00141E92">
        <w:rPr>
          <w:rFonts w:ascii="Book Antiqua" w:eastAsiaTheme="majorEastAsia" w:hAnsi="Book Antiqua" w:cstheme="majorBidi"/>
          <w:color w:val="000000" w:themeColor="text1"/>
          <w:kern w:val="24"/>
          <w:sz w:val="24"/>
          <w:szCs w:val="24"/>
        </w:rPr>
        <w:t>AP</w:t>
      </w:r>
      <w:r w:rsidR="00FC03F1" w:rsidRPr="00141E92">
        <w:rPr>
          <w:rFonts w:ascii="Book Antiqua" w:eastAsiaTheme="majorEastAsia" w:hAnsi="Book Antiqua" w:cstheme="majorBidi"/>
          <w:color w:val="000000" w:themeColor="text1"/>
          <w:kern w:val="24"/>
          <w:sz w:val="24"/>
          <w:szCs w:val="24"/>
        </w:rPr>
        <w:t>s</w:t>
      </w:r>
      <w:r w:rsidR="00926935" w:rsidRPr="00141E92">
        <w:rPr>
          <w:rFonts w:ascii="Book Antiqua" w:eastAsiaTheme="majorEastAsia" w:hAnsi="Book Antiqua" w:cstheme="majorBidi"/>
          <w:color w:val="000000" w:themeColor="text1"/>
          <w:kern w:val="24"/>
          <w:sz w:val="24"/>
          <w:szCs w:val="24"/>
        </w:rPr>
        <w:t xml:space="preserve">: </w:t>
      </w:r>
      <w:r w:rsidR="00926935" w:rsidRPr="00141E92">
        <w:rPr>
          <w:rFonts w:ascii="Book Antiqua" w:hAnsi="Book Antiqua" w:cs="Times"/>
          <w:color w:val="000000" w:themeColor="text1"/>
          <w:sz w:val="24"/>
          <w:szCs w:val="24"/>
        </w:rPr>
        <w:t xml:space="preserve">Inhibitors of apoptosis proteins; </w:t>
      </w:r>
      <w:proofErr w:type="spellStart"/>
      <w:r w:rsidR="00926935" w:rsidRPr="00141E92">
        <w:rPr>
          <w:rFonts w:ascii="Book Antiqua" w:hAnsi="Book Antiqua" w:cs="Times"/>
          <w:color w:val="000000" w:themeColor="text1"/>
          <w:sz w:val="24"/>
          <w:szCs w:val="24"/>
        </w:rPr>
        <w:t>HuR</w:t>
      </w:r>
      <w:proofErr w:type="spellEnd"/>
      <w:r w:rsidR="00926935" w:rsidRPr="00141E92">
        <w:rPr>
          <w:rFonts w:ascii="Book Antiqua" w:hAnsi="Book Antiqua" w:cs="Times"/>
          <w:color w:val="000000" w:themeColor="text1"/>
          <w:sz w:val="24"/>
          <w:szCs w:val="24"/>
        </w:rPr>
        <w:t>: Human antigen R; HO-1</w:t>
      </w:r>
      <w:r w:rsidR="00875075" w:rsidRPr="00141E92">
        <w:rPr>
          <w:rFonts w:ascii="Book Antiqua" w:hAnsi="Book Antiqua"/>
          <w:color w:val="000000" w:themeColor="text1"/>
          <w:sz w:val="24"/>
          <w:szCs w:val="24"/>
        </w:rPr>
        <w:t xml:space="preserve">: </w:t>
      </w:r>
      <w:r w:rsidR="00322FF3">
        <w:rPr>
          <w:rFonts w:ascii="Book Antiqua" w:hAnsi="Book Antiqua"/>
          <w:color w:val="000000" w:themeColor="text1"/>
          <w:sz w:val="24"/>
          <w:szCs w:val="24"/>
        </w:rPr>
        <w:t>H</w:t>
      </w:r>
      <w:r w:rsidR="00926935" w:rsidRPr="00141E92">
        <w:rPr>
          <w:rFonts w:ascii="Book Antiqua" w:hAnsi="Book Antiqua"/>
          <w:color w:val="000000" w:themeColor="text1"/>
          <w:sz w:val="24"/>
          <w:szCs w:val="24"/>
        </w:rPr>
        <w:t>eme oxygenase-1</w:t>
      </w:r>
      <w:r w:rsidR="00875075" w:rsidRPr="00141E92">
        <w:rPr>
          <w:rFonts w:ascii="Book Antiqua" w:hAnsi="Book Antiqua"/>
          <w:color w:val="000000" w:themeColor="text1"/>
          <w:sz w:val="24"/>
          <w:szCs w:val="24"/>
        </w:rPr>
        <w:t xml:space="preserve">; COX-2: </w:t>
      </w:r>
      <w:r w:rsidR="00322FF3">
        <w:rPr>
          <w:rFonts w:ascii="Book Antiqua" w:hAnsi="Book Antiqua"/>
          <w:color w:val="000000" w:themeColor="text1"/>
          <w:sz w:val="24"/>
          <w:szCs w:val="24"/>
        </w:rPr>
        <w:t>C</w:t>
      </w:r>
      <w:r w:rsidR="00926935" w:rsidRPr="00141E92">
        <w:rPr>
          <w:rFonts w:ascii="Book Antiqua" w:hAnsi="Book Antiqua"/>
          <w:color w:val="000000" w:themeColor="text1"/>
          <w:sz w:val="24"/>
          <w:szCs w:val="24"/>
        </w:rPr>
        <w:t>yclooxygenase-2</w:t>
      </w:r>
      <w:r w:rsidR="00875075" w:rsidRPr="00141E92">
        <w:rPr>
          <w:rFonts w:ascii="Book Antiqua" w:hAnsi="Book Antiqua"/>
          <w:color w:val="000000" w:themeColor="text1"/>
          <w:sz w:val="24"/>
          <w:szCs w:val="24"/>
        </w:rPr>
        <w:t>; PGE</w:t>
      </w:r>
      <w:r w:rsidR="00875075" w:rsidRPr="00141E92">
        <w:rPr>
          <w:rFonts w:ascii="Book Antiqua" w:hAnsi="Book Antiqua"/>
          <w:color w:val="000000" w:themeColor="text1"/>
          <w:sz w:val="24"/>
          <w:szCs w:val="24"/>
          <w:vertAlign w:val="subscript"/>
        </w:rPr>
        <w:t>2</w:t>
      </w:r>
      <w:r w:rsidR="00322FF3">
        <w:rPr>
          <w:rFonts w:ascii="Book Antiqua" w:hAnsi="Book Antiqua"/>
          <w:color w:val="000000" w:themeColor="text1"/>
          <w:sz w:val="24"/>
          <w:szCs w:val="24"/>
        </w:rPr>
        <w:t>: Prostaglandin E2; CO: C</w:t>
      </w:r>
      <w:r w:rsidR="00875075" w:rsidRPr="00141E92">
        <w:rPr>
          <w:rFonts w:ascii="Book Antiqua" w:hAnsi="Book Antiqua"/>
          <w:color w:val="000000" w:themeColor="text1"/>
          <w:sz w:val="24"/>
          <w:szCs w:val="24"/>
        </w:rPr>
        <w:t>arbon monoxide.</w:t>
      </w:r>
    </w:p>
    <w:p w14:paraId="398A1E20" w14:textId="09CEB088" w:rsidR="00B63811" w:rsidRPr="00141E92" w:rsidRDefault="006742CC" w:rsidP="008530E2">
      <w:pPr>
        <w:autoSpaceDE/>
        <w:autoSpaceDN/>
        <w:snapToGrid w:val="0"/>
        <w:spacing w:line="360" w:lineRule="auto"/>
        <w:jc w:val="both"/>
        <w:rPr>
          <w:rFonts w:ascii="Book Antiqua" w:hAnsi="Book Antiqua"/>
          <w:b/>
          <w:i/>
          <w:sz w:val="24"/>
          <w:szCs w:val="24"/>
        </w:rPr>
      </w:pPr>
      <w:r w:rsidRPr="00141E92">
        <w:rPr>
          <w:rFonts w:ascii="Book Antiqua" w:hAnsi="Book Antiqua"/>
          <w:b/>
          <w:i/>
          <w:sz w:val="24"/>
          <w:szCs w:val="24"/>
        </w:rPr>
        <w:br w:type="page"/>
      </w:r>
    </w:p>
    <w:p w14:paraId="1BEB63EF" w14:textId="2C9706D7" w:rsidR="0028606A" w:rsidRPr="003042E0" w:rsidRDefault="0028606A" w:rsidP="008530E2">
      <w:pPr>
        <w:snapToGrid w:val="0"/>
        <w:spacing w:line="360" w:lineRule="auto"/>
        <w:jc w:val="both"/>
        <w:rPr>
          <w:rFonts w:ascii="Book Antiqua" w:hAnsi="Book Antiqua"/>
          <w:b/>
          <w:i/>
          <w:sz w:val="24"/>
          <w:szCs w:val="24"/>
        </w:rPr>
      </w:pPr>
      <w:r w:rsidRPr="00141E92">
        <w:rPr>
          <w:rFonts w:ascii="Book Antiqua" w:hAnsi="Book Antiqua"/>
          <w:b/>
          <w:sz w:val="24"/>
          <w:szCs w:val="24"/>
        </w:rPr>
        <w:lastRenderedPageBreak/>
        <w:t xml:space="preserve">Table 1 Characteristics of the patients after pancreatoduodenectomy for </w:t>
      </w:r>
      <w:r w:rsidR="00171CE3" w:rsidRPr="00141E92">
        <w:rPr>
          <w:rFonts w:ascii="Book Antiqua" w:hAnsi="Book Antiqua"/>
          <w:b/>
          <w:sz w:val="24"/>
          <w:szCs w:val="24"/>
        </w:rPr>
        <w:t>pancreatic cancer</w:t>
      </w:r>
      <w:r w:rsidR="003042E0">
        <w:rPr>
          <w:rFonts w:ascii="Book Antiqua" w:hAnsi="Book Antiqua"/>
          <w:b/>
          <w:sz w:val="24"/>
          <w:szCs w:val="24"/>
        </w:rPr>
        <w:t xml:space="preserve"> </w:t>
      </w:r>
      <w:r w:rsidR="003042E0" w:rsidRPr="003042E0">
        <w:rPr>
          <w:rFonts w:ascii="Book Antiqua" w:hAnsi="Book Antiqua"/>
          <w:b/>
          <w:i/>
          <w:sz w:val="24"/>
          <w:szCs w:val="24"/>
        </w:rPr>
        <w:t>n</w:t>
      </w:r>
      <w:r w:rsidR="003042E0">
        <w:rPr>
          <w:rFonts w:ascii="Book Antiqua" w:hAnsi="Book Antiqua"/>
          <w:b/>
          <w:sz w:val="24"/>
          <w:szCs w:val="24"/>
        </w:rPr>
        <w:t xml:space="preserve"> (%)</w:t>
      </w:r>
    </w:p>
    <w:tbl>
      <w:tblPr>
        <w:tblW w:w="4644" w:type="dxa"/>
        <w:tblInd w:w="-108" w:type="dxa"/>
        <w:tblBorders>
          <w:top w:val="single" w:sz="8" w:space="0" w:color="000000"/>
          <w:left w:val="single" w:sz="8" w:space="0" w:color="000000"/>
          <w:bottom w:val="single" w:sz="8" w:space="0" w:color="000000"/>
          <w:right w:val="single" w:sz="8" w:space="0" w:color="000000"/>
        </w:tblBorders>
        <w:tblLayout w:type="fixed"/>
        <w:tblLook w:val="0000" w:firstRow="0" w:lastRow="0" w:firstColumn="0" w:lastColumn="0" w:noHBand="0" w:noVBand="0"/>
      </w:tblPr>
      <w:tblGrid>
        <w:gridCol w:w="2660"/>
        <w:gridCol w:w="1984"/>
      </w:tblGrid>
      <w:tr w:rsidR="00620875" w:rsidRPr="00141E92" w14:paraId="2D46E2D9" w14:textId="77777777" w:rsidTr="00620875">
        <w:tc>
          <w:tcPr>
            <w:tcW w:w="2660" w:type="dxa"/>
            <w:tcBorders>
              <w:top w:val="single" w:sz="8" w:space="0" w:color="000000"/>
              <w:left w:val="nil"/>
              <w:bottom w:val="single" w:sz="8" w:space="0" w:color="000000"/>
            </w:tcBorders>
            <w:shd w:val="clear" w:color="auto" w:fill="auto"/>
            <w:tcMar>
              <w:top w:w="140" w:type="nil"/>
              <w:left w:w="20" w:type="nil"/>
              <w:right w:w="140" w:type="nil"/>
            </w:tcMar>
          </w:tcPr>
          <w:p w14:paraId="7671F8EB" w14:textId="77777777" w:rsidR="00620875" w:rsidRPr="00141E92" w:rsidRDefault="00620875" w:rsidP="008530E2">
            <w:pPr>
              <w:snapToGrid w:val="0"/>
              <w:spacing w:line="360" w:lineRule="auto"/>
              <w:jc w:val="both"/>
              <w:rPr>
                <w:rFonts w:ascii="Book Antiqua" w:hAnsi="Book Antiqua"/>
                <w:b/>
                <w:sz w:val="24"/>
                <w:szCs w:val="24"/>
              </w:rPr>
            </w:pPr>
            <w:r w:rsidRPr="00141E92">
              <w:rPr>
                <w:rFonts w:ascii="Book Antiqua" w:hAnsi="Book Antiqua"/>
                <w:b/>
                <w:bCs/>
                <w:sz w:val="24"/>
                <w:szCs w:val="24"/>
              </w:rPr>
              <w:t>Variable</w:t>
            </w:r>
          </w:p>
        </w:tc>
        <w:tc>
          <w:tcPr>
            <w:tcW w:w="1984" w:type="dxa"/>
            <w:tcBorders>
              <w:top w:val="single" w:sz="8" w:space="0" w:color="000000"/>
              <w:bottom w:val="single" w:sz="8" w:space="0" w:color="000000"/>
              <w:right w:val="nil"/>
            </w:tcBorders>
            <w:shd w:val="clear" w:color="auto" w:fill="auto"/>
            <w:tcMar>
              <w:top w:w="140" w:type="nil"/>
              <w:left w:w="20" w:type="nil"/>
              <w:right w:w="140" w:type="nil"/>
            </w:tcMar>
          </w:tcPr>
          <w:p w14:paraId="4EEBD195" w14:textId="771EF972" w:rsidR="00620875" w:rsidRPr="00141E92" w:rsidRDefault="00620875" w:rsidP="000766A5">
            <w:pPr>
              <w:snapToGrid w:val="0"/>
              <w:spacing w:line="360" w:lineRule="auto"/>
              <w:jc w:val="center"/>
              <w:rPr>
                <w:rFonts w:ascii="Book Antiqua" w:hAnsi="Book Antiqua"/>
                <w:b/>
                <w:bCs/>
                <w:sz w:val="24"/>
                <w:szCs w:val="24"/>
              </w:rPr>
            </w:pPr>
            <w:r w:rsidRPr="00141E92">
              <w:rPr>
                <w:rFonts w:ascii="Book Antiqua" w:hAnsi="Book Antiqua"/>
                <w:b/>
                <w:bCs/>
                <w:sz w:val="24"/>
                <w:szCs w:val="24"/>
              </w:rPr>
              <w:t>No. of cases</w:t>
            </w:r>
          </w:p>
          <w:p w14:paraId="47D40EC1" w14:textId="77777777" w:rsidR="00620875" w:rsidRPr="00141E92" w:rsidRDefault="00620875" w:rsidP="000766A5">
            <w:pPr>
              <w:snapToGrid w:val="0"/>
              <w:spacing w:line="360" w:lineRule="auto"/>
              <w:jc w:val="center"/>
              <w:rPr>
                <w:rFonts w:ascii="Book Antiqua" w:hAnsi="Book Antiqua"/>
                <w:b/>
                <w:bCs/>
                <w:sz w:val="24"/>
                <w:szCs w:val="24"/>
              </w:rPr>
            </w:pPr>
            <w:r w:rsidRPr="00141E92">
              <w:rPr>
                <w:rFonts w:ascii="Book Antiqua" w:hAnsi="Book Antiqua"/>
                <w:b/>
                <w:bCs/>
                <w:sz w:val="24"/>
                <w:szCs w:val="24"/>
              </w:rPr>
              <w:t>(</w:t>
            </w:r>
            <w:r w:rsidRPr="00141E92">
              <w:rPr>
                <w:rFonts w:ascii="Book Antiqua" w:hAnsi="Book Antiqua"/>
                <w:b/>
                <w:bCs/>
                <w:i/>
                <w:sz w:val="24"/>
                <w:szCs w:val="24"/>
              </w:rPr>
              <w:t xml:space="preserve">n </w:t>
            </w:r>
            <w:r w:rsidRPr="00141E92">
              <w:rPr>
                <w:rFonts w:ascii="Book Antiqua" w:hAnsi="Book Antiqua"/>
                <w:b/>
                <w:bCs/>
                <w:sz w:val="24"/>
                <w:szCs w:val="24"/>
              </w:rPr>
              <w:t>= 61)</w:t>
            </w:r>
          </w:p>
        </w:tc>
      </w:tr>
      <w:tr w:rsidR="00620875" w:rsidRPr="00141E92" w14:paraId="47B4DE1A" w14:textId="77777777" w:rsidTr="00620875">
        <w:trPr>
          <w:trHeight w:val="1629"/>
        </w:trPr>
        <w:tc>
          <w:tcPr>
            <w:tcW w:w="2660" w:type="dxa"/>
            <w:tcBorders>
              <w:top w:val="single" w:sz="8" w:space="0" w:color="000000"/>
              <w:left w:val="nil"/>
            </w:tcBorders>
            <w:shd w:val="clear" w:color="auto" w:fill="auto"/>
            <w:tcMar>
              <w:top w:w="140" w:type="nil"/>
              <w:left w:w="20" w:type="nil"/>
              <w:right w:w="140" w:type="nil"/>
            </w:tcMar>
          </w:tcPr>
          <w:p w14:paraId="1379656B" w14:textId="2D1C92FD" w:rsidR="00620875" w:rsidRPr="00141E92" w:rsidRDefault="00620875" w:rsidP="008530E2">
            <w:pPr>
              <w:snapToGrid w:val="0"/>
              <w:spacing w:line="360" w:lineRule="auto"/>
              <w:jc w:val="both"/>
              <w:rPr>
                <w:rFonts w:ascii="Book Antiqua" w:hAnsi="Book Antiqua"/>
                <w:bCs/>
                <w:sz w:val="24"/>
                <w:szCs w:val="24"/>
              </w:rPr>
            </w:pPr>
            <w:r w:rsidRPr="00141E92">
              <w:rPr>
                <w:rFonts w:ascii="Book Antiqua" w:hAnsi="Book Antiqua"/>
                <w:bCs/>
                <w:sz w:val="24"/>
                <w:szCs w:val="24"/>
              </w:rPr>
              <w:t>Gender</w:t>
            </w:r>
          </w:p>
          <w:p w14:paraId="33347165" w14:textId="31D41975" w:rsidR="00620875" w:rsidRPr="00141E92" w:rsidRDefault="00620875" w:rsidP="00130941">
            <w:pPr>
              <w:snapToGrid w:val="0"/>
              <w:spacing w:line="360" w:lineRule="auto"/>
              <w:ind w:firstLineChars="100" w:firstLine="240"/>
              <w:jc w:val="both"/>
              <w:rPr>
                <w:rFonts w:ascii="Book Antiqua" w:hAnsi="Book Antiqua"/>
                <w:bCs/>
                <w:sz w:val="24"/>
                <w:szCs w:val="24"/>
              </w:rPr>
            </w:pPr>
            <w:r>
              <w:rPr>
                <w:rFonts w:ascii="Book Antiqua" w:hAnsi="Book Antiqua"/>
                <w:bCs/>
                <w:sz w:val="24"/>
                <w:szCs w:val="24"/>
              </w:rPr>
              <w:t>Male</w:t>
            </w:r>
          </w:p>
          <w:p w14:paraId="53FA72D9" w14:textId="30E15A7F" w:rsidR="00620875" w:rsidRPr="00141E92" w:rsidRDefault="00620875" w:rsidP="00130941">
            <w:pPr>
              <w:snapToGrid w:val="0"/>
              <w:spacing w:line="360" w:lineRule="auto"/>
              <w:ind w:firstLineChars="100" w:firstLine="240"/>
              <w:jc w:val="both"/>
              <w:rPr>
                <w:rFonts w:ascii="Book Antiqua" w:hAnsi="Book Antiqua"/>
                <w:bCs/>
                <w:sz w:val="24"/>
                <w:szCs w:val="24"/>
              </w:rPr>
            </w:pPr>
            <w:r w:rsidRPr="00141E92">
              <w:rPr>
                <w:rFonts w:ascii="Book Antiqua" w:hAnsi="Book Antiqua"/>
                <w:bCs/>
                <w:sz w:val="24"/>
                <w:szCs w:val="24"/>
              </w:rPr>
              <w:t>Female</w:t>
            </w:r>
          </w:p>
          <w:p w14:paraId="4A14D15D" w14:textId="408E3BED" w:rsidR="00620875" w:rsidRPr="00141E92" w:rsidRDefault="00620875" w:rsidP="000766A5">
            <w:pPr>
              <w:snapToGrid w:val="0"/>
              <w:spacing w:line="360" w:lineRule="auto"/>
              <w:jc w:val="both"/>
              <w:rPr>
                <w:rFonts w:ascii="Book Antiqua" w:hAnsi="Book Antiqua"/>
                <w:bCs/>
                <w:sz w:val="24"/>
                <w:szCs w:val="24"/>
              </w:rPr>
            </w:pPr>
            <w:r w:rsidRPr="00141E92">
              <w:rPr>
                <w:rFonts w:ascii="Book Antiqua" w:hAnsi="Book Antiqua"/>
                <w:bCs/>
                <w:sz w:val="24"/>
                <w:szCs w:val="24"/>
              </w:rPr>
              <w:t xml:space="preserve">Age, </w:t>
            </w:r>
            <w:proofErr w:type="spellStart"/>
            <w:r w:rsidRPr="00141E92">
              <w:rPr>
                <w:rFonts w:ascii="Book Antiqua" w:hAnsi="Book Antiqua"/>
                <w:bCs/>
                <w:sz w:val="24"/>
                <w:szCs w:val="24"/>
              </w:rPr>
              <w:t>y</w:t>
            </w:r>
            <w:r>
              <w:rPr>
                <w:rFonts w:ascii="Book Antiqua" w:hAnsi="Book Antiqua"/>
                <w:bCs/>
                <w:sz w:val="24"/>
                <w:szCs w:val="24"/>
              </w:rPr>
              <w:t>r</w:t>
            </w:r>
            <w:proofErr w:type="spellEnd"/>
            <w:r>
              <w:rPr>
                <w:rFonts w:ascii="Book Antiqua" w:hAnsi="Book Antiqua"/>
                <w:bCs/>
                <w:sz w:val="24"/>
                <w:szCs w:val="24"/>
              </w:rPr>
              <w:t xml:space="preserve"> </w:t>
            </w:r>
            <w:r w:rsidRPr="00141E92">
              <w:rPr>
                <w:rFonts w:ascii="Book Antiqua" w:hAnsi="Book Antiqua"/>
                <w:bCs/>
                <w:sz w:val="24"/>
                <w:szCs w:val="24"/>
              </w:rPr>
              <w:t>(median)</w:t>
            </w:r>
          </w:p>
        </w:tc>
        <w:tc>
          <w:tcPr>
            <w:tcW w:w="1984" w:type="dxa"/>
            <w:tcBorders>
              <w:top w:val="single" w:sz="8" w:space="0" w:color="000000"/>
              <w:right w:val="nil"/>
            </w:tcBorders>
            <w:shd w:val="clear" w:color="auto" w:fill="auto"/>
            <w:tcMar>
              <w:top w:w="140" w:type="nil"/>
              <w:left w:w="20" w:type="nil"/>
              <w:right w:w="140" w:type="nil"/>
            </w:tcMar>
          </w:tcPr>
          <w:p w14:paraId="61AC52D4" w14:textId="77777777" w:rsidR="00620875" w:rsidRPr="00141E92" w:rsidRDefault="00620875" w:rsidP="000766A5">
            <w:pPr>
              <w:snapToGrid w:val="0"/>
              <w:spacing w:line="360" w:lineRule="auto"/>
              <w:jc w:val="center"/>
              <w:rPr>
                <w:rFonts w:ascii="Book Antiqua" w:hAnsi="Book Antiqua"/>
                <w:sz w:val="24"/>
                <w:szCs w:val="24"/>
              </w:rPr>
            </w:pPr>
          </w:p>
          <w:p w14:paraId="339E8959" w14:textId="70B561DE" w:rsidR="00620875" w:rsidRPr="00141E92" w:rsidRDefault="00620875" w:rsidP="00620875">
            <w:pPr>
              <w:snapToGrid w:val="0"/>
              <w:spacing w:line="360" w:lineRule="auto"/>
              <w:jc w:val="center"/>
              <w:rPr>
                <w:rFonts w:ascii="Book Antiqua" w:hAnsi="Book Antiqua"/>
                <w:sz w:val="24"/>
                <w:szCs w:val="24"/>
              </w:rPr>
            </w:pPr>
            <w:r>
              <w:rPr>
                <w:rFonts w:ascii="Book Antiqua" w:hAnsi="Book Antiqua"/>
                <w:sz w:val="24"/>
                <w:szCs w:val="24"/>
              </w:rPr>
              <w:t>26 (42.6</w:t>
            </w:r>
            <w:r w:rsidRPr="00141E92">
              <w:rPr>
                <w:rFonts w:ascii="Book Antiqua" w:hAnsi="Book Antiqua"/>
                <w:sz w:val="24"/>
                <w:szCs w:val="24"/>
              </w:rPr>
              <w:t>)</w:t>
            </w:r>
          </w:p>
          <w:p w14:paraId="6407EF2D" w14:textId="73915998" w:rsidR="00620875" w:rsidRPr="00141E92" w:rsidRDefault="00620875" w:rsidP="000766A5">
            <w:pPr>
              <w:snapToGrid w:val="0"/>
              <w:spacing w:line="360" w:lineRule="auto"/>
              <w:jc w:val="center"/>
              <w:rPr>
                <w:rFonts w:ascii="Book Antiqua" w:hAnsi="Book Antiqua" w:cs="Arial"/>
                <w:sz w:val="24"/>
                <w:szCs w:val="24"/>
              </w:rPr>
            </w:pPr>
            <w:r>
              <w:rPr>
                <w:rFonts w:ascii="Book Antiqua" w:hAnsi="Book Antiqua" w:cs="Arial"/>
                <w:sz w:val="24"/>
                <w:szCs w:val="24"/>
              </w:rPr>
              <w:t>35 (57.4</w:t>
            </w:r>
            <w:r w:rsidRPr="00141E92">
              <w:rPr>
                <w:rFonts w:ascii="Book Antiqua" w:hAnsi="Book Antiqua" w:cs="Arial"/>
                <w:sz w:val="24"/>
                <w:szCs w:val="24"/>
              </w:rPr>
              <w:t>)</w:t>
            </w:r>
          </w:p>
          <w:p w14:paraId="1D4A553E" w14:textId="2554D871" w:rsidR="00620875" w:rsidRPr="00620875" w:rsidRDefault="00620875" w:rsidP="00620875">
            <w:pPr>
              <w:snapToGrid w:val="0"/>
              <w:spacing w:line="360" w:lineRule="auto"/>
              <w:jc w:val="center"/>
              <w:rPr>
                <w:rFonts w:ascii="Book Antiqua" w:hAnsi="Book Antiqua" w:cs="Arial"/>
                <w:sz w:val="24"/>
                <w:szCs w:val="24"/>
              </w:rPr>
            </w:pPr>
            <w:r w:rsidRPr="00141E92">
              <w:rPr>
                <w:rFonts w:ascii="Book Antiqua" w:hAnsi="Book Antiqua" w:cs="Arial"/>
                <w:sz w:val="24"/>
                <w:szCs w:val="24"/>
              </w:rPr>
              <w:t>68</w:t>
            </w:r>
          </w:p>
        </w:tc>
      </w:tr>
      <w:tr w:rsidR="00620875" w:rsidRPr="00141E92" w14:paraId="012D50BD" w14:textId="77777777" w:rsidTr="00620875">
        <w:trPr>
          <w:trHeight w:val="321"/>
        </w:trPr>
        <w:tc>
          <w:tcPr>
            <w:tcW w:w="2660" w:type="dxa"/>
            <w:tcBorders>
              <w:left w:val="nil"/>
            </w:tcBorders>
            <w:shd w:val="clear" w:color="auto" w:fill="auto"/>
            <w:tcMar>
              <w:top w:w="140" w:type="nil"/>
              <w:left w:w="20" w:type="nil"/>
              <w:right w:w="140" w:type="nil"/>
            </w:tcMar>
          </w:tcPr>
          <w:p w14:paraId="00B9563A" w14:textId="3C3FC79B" w:rsidR="00620875" w:rsidRPr="00141E92" w:rsidRDefault="00620875" w:rsidP="009F7A89">
            <w:pPr>
              <w:snapToGrid w:val="0"/>
              <w:spacing w:line="360" w:lineRule="auto"/>
              <w:jc w:val="both"/>
              <w:rPr>
                <w:rFonts w:ascii="Book Antiqua" w:hAnsi="Book Antiqua"/>
                <w:bCs/>
                <w:sz w:val="24"/>
                <w:szCs w:val="24"/>
              </w:rPr>
            </w:pPr>
            <w:r w:rsidRPr="00141E92">
              <w:rPr>
                <w:rFonts w:ascii="Book Antiqua" w:hAnsi="Book Antiqua"/>
                <w:bCs/>
                <w:sz w:val="24"/>
                <w:szCs w:val="24"/>
              </w:rPr>
              <w:t>T stage</w:t>
            </w:r>
          </w:p>
        </w:tc>
        <w:tc>
          <w:tcPr>
            <w:tcW w:w="1984" w:type="dxa"/>
            <w:tcBorders>
              <w:right w:val="nil"/>
            </w:tcBorders>
            <w:shd w:val="clear" w:color="auto" w:fill="auto"/>
            <w:tcMar>
              <w:top w:w="140" w:type="nil"/>
              <w:left w:w="20" w:type="nil"/>
              <w:right w:w="140" w:type="nil"/>
            </w:tcMar>
          </w:tcPr>
          <w:p w14:paraId="3059D42B"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7D70C184" w14:textId="77777777" w:rsidTr="00620875">
        <w:trPr>
          <w:trHeight w:val="475"/>
        </w:trPr>
        <w:tc>
          <w:tcPr>
            <w:tcW w:w="2660" w:type="dxa"/>
            <w:tcBorders>
              <w:left w:val="nil"/>
            </w:tcBorders>
            <w:shd w:val="clear" w:color="auto" w:fill="auto"/>
            <w:tcMar>
              <w:top w:w="140" w:type="nil"/>
              <w:left w:w="20" w:type="nil"/>
              <w:right w:w="140" w:type="nil"/>
            </w:tcMar>
          </w:tcPr>
          <w:p w14:paraId="427F1157" w14:textId="50598E6E"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T1</w:t>
            </w:r>
          </w:p>
        </w:tc>
        <w:tc>
          <w:tcPr>
            <w:tcW w:w="1984" w:type="dxa"/>
            <w:tcBorders>
              <w:right w:val="nil"/>
            </w:tcBorders>
            <w:shd w:val="clear" w:color="auto" w:fill="auto"/>
            <w:tcMar>
              <w:top w:w="140" w:type="nil"/>
              <w:left w:w="20" w:type="nil"/>
              <w:right w:w="140" w:type="nil"/>
            </w:tcMar>
          </w:tcPr>
          <w:p w14:paraId="007757D2" w14:textId="39F8A74B"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3 (4.9</w:t>
            </w:r>
            <w:r w:rsidRPr="00141E92">
              <w:rPr>
                <w:rFonts w:ascii="Book Antiqua" w:hAnsi="Book Antiqua"/>
                <w:sz w:val="24"/>
                <w:szCs w:val="24"/>
              </w:rPr>
              <w:t>)</w:t>
            </w:r>
          </w:p>
        </w:tc>
      </w:tr>
      <w:tr w:rsidR="00620875" w:rsidRPr="00141E92" w14:paraId="0A40400D" w14:textId="77777777" w:rsidTr="00620875">
        <w:tc>
          <w:tcPr>
            <w:tcW w:w="2660" w:type="dxa"/>
            <w:tcBorders>
              <w:left w:val="nil"/>
            </w:tcBorders>
            <w:shd w:val="clear" w:color="auto" w:fill="auto"/>
            <w:tcMar>
              <w:top w:w="140" w:type="nil"/>
              <w:left w:w="20" w:type="nil"/>
              <w:right w:w="140" w:type="nil"/>
            </w:tcMar>
          </w:tcPr>
          <w:p w14:paraId="69BCE7ED" w14:textId="16B9F911"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T2</w:t>
            </w:r>
          </w:p>
        </w:tc>
        <w:tc>
          <w:tcPr>
            <w:tcW w:w="1984" w:type="dxa"/>
            <w:tcBorders>
              <w:right w:val="nil"/>
            </w:tcBorders>
            <w:shd w:val="clear" w:color="auto" w:fill="auto"/>
            <w:tcMar>
              <w:top w:w="140" w:type="nil"/>
              <w:left w:w="20" w:type="nil"/>
              <w:right w:w="140" w:type="nil"/>
            </w:tcMar>
          </w:tcPr>
          <w:p w14:paraId="0312FB53" w14:textId="338D5C86"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3 (4.9</w:t>
            </w:r>
            <w:r w:rsidRPr="00141E92">
              <w:rPr>
                <w:rFonts w:ascii="Book Antiqua" w:hAnsi="Book Antiqua"/>
                <w:sz w:val="24"/>
                <w:szCs w:val="24"/>
              </w:rPr>
              <w:t>)</w:t>
            </w:r>
          </w:p>
        </w:tc>
      </w:tr>
      <w:tr w:rsidR="00620875" w:rsidRPr="00141E92" w14:paraId="742041D5" w14:textId="77777777" w:rsidTr="00620875">
        <w:tc>
          <w:tcPr>
            <w:tcW w:w="2660" w:type="dxa"/>
            <w:tcBorders>
              <w:left w:val="nil"/>
            </w:tcBorders>
            <w:shd w:val="clear" w:color="auto" w:fill="auto"/>
            <w:tcMar>
              <w:top w:w="140" w:type="nil"/>
              <w:left w:w="20" w:type="nil"/>
              <w:right w:w="140" w:type="nil"/>
            </w:tcMar>
          </w:tcPr>
          <w:p w14:paraId="44DF4C21" w14:textId="7794B240" w:rsidR="00620875" w:rsidRPr="00141E92" w:rsidRDefault="00620875" w:rsidP="00130941">
            <w:pPr>
              <w:snapToGrid w:val="0"/>
              <w:spacing w:line="360" w:lineRule="auto"/>
              <w:ind w:firstLineChars="100" w:firstLine="240"/>
              <w:jc w:val="both"/>
              <w:rPr>
                <w:rFonts w:ascii="Book Antiqua" w:hAnsi="Book Antiqua"/>
                <w:bCs/>
                <w:sz w:val="24"/>
                <w:szCs w:val="24"/>
              </w:rPr>
            </w:pPr>
            <w:r w:rsidRPr="00141E92">
              <w:rPr>
                <w:rFonts w:ascii="Book Antiqua" w:hAnsi="Book Antiqua"/>
                <w:bCs/>
                <w:sz w:val="24"/>
                <w:szCs w:val="24"/>
              </w:rPr>
              <w:t>T3</w:t>
            </w:r>
          </w:p>
          <w:p w14:paraId="5DE5DC3C" w14:textId="1E87407B"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T4</w:t>
            </w:r>
          </w:p>
        </w:tc>
        <w:tc>
          <w:tcPr>
            <w:tcW w:w="1984" w:type="dxa"/>
            <w:tcBorders>
              <w:right w:val="nil"/>
            </w:tcBorders>
            <w:shd w:val="clear" w:color="auto" w:fill="auto"/>
            <w:tcMar>
              <w:top w:w="140" w:type="nil"/>
              <w:left w:w="20" w:type="nil"/>
              <w:right w:w="140" w:type="nil"/>
            </w:tcMar>
          </w:tcPr>
          <w:p w14:paraId="79B41BC5" w14:textId="520CEC3E"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55 (90.2</w:t>
            </w:r>
            <w:r w:rsidRPr="00141E92">
              <w:rPr>
                <w:rFonts w:ascii="Book Antiqua" w:hAnsi="Book Antiqua"/>
                <w:sz w:val="24"/>
                <w:szCs w:val="24"/>
              </w:rPr>
              <w:t>)</w:t>
            </w:r>
          </w:p>
          <w:p w14:paraId="0D9A50F3" w14:textId="44B14F09" w:rsidR="00620875" w:rsidRPr="00141E92" w:rsidRDefault="00620875" w:rsidP="000766A5">
            <w:pPr>
              <w:snapToGrid w:val="0"/>
              <w:spacing w:line="360" w:lineRule="auto"/>
              <w:jc w:val="center"/>
              <w:rPr>
                <w:rFonts w:ascii="Book Antiqua" w:hAnsi="Book Antiqua"/>
                <w:sz w:val="24"/>
                <w:szCs w:val="24"/>
              </w:rPr>
            </w:pPr>
            <w:r w:rsidRPr="00141E92">
              <w:rPr>
                <w:rFonts w:ascii="Book Antiqua" w:hAnsi="Book Antiqua"/>
                <w:sz w:val="24"/>
                <w:szCs w:val="24"/>
              </w:rPr>
              <w:t>0</w:t>
            </w:r>
            <w:r>
              <w:rPr>
                <w:rFonts w:ascii="Book Antiqua" w:hAnsi="Book Antiqua"/>
                <w:sz w:val="24"/>
                <w:szCs w:val="24"/>
              </w:rPr>
              <w:t xml:space="preserve"> (0</w:t>
            </w:r>
            <w:r w:rsidRPr="00141E92">
              <w:rPr>
                <w:rFonts w:ascii="Book Antiqua" w:hAnsi="Book Antiqua"/>
                <w:sz w:val="24"/>
                <w:szCs w:val="24"/>
              </w:rPr>
              <w:t>)</w:t>
            </w:r>
          </w:p>
        </w:tc>
      </w:tr>
      <w:tr w:rsidR="00620875" w:rsidRPr="00141E92" w14:paraId="5E909AEF" w14:textId="77777777" w:rsidTr="00620875">
        <w:tc>
          <w:tcPr>
            <w:tcW w:w="2660" w:type="dxa"/>
            <w:tcBorders>
              <w:left w:val="nil"/>
            </w:tcBorders>
            <w:shd w:val="clear" w:color="auto" w:fill="auto"/>
            <w:tcMar>
              <w:top w:w="140" w:type="nil"/>
              <w:left w:w="20" w:type="nil"/>
              <w:right w:w="140" w:type="nil"/>
            </w:tcMar>
          </w:tcPr>
          <w:p w14:paraId="148A7421" w14:textId="75D95B06" w:rsidR="00620875" w:rsidRPr="00141E92" w:rsidRDefault="00620875" w:rsidP="009F7A89">
            <w:pPr>
              <w:snapToGrid w:val="0"/>
              <w:spacing w:line="360" w:lineRule="auto"/>
              <w:jc w:val="both"/>
              <w:rPr>
                <w:rFonts w:ascii="Book Antiqua" w:hAnsi="Book Antiqua"/>
                <w:bCs/>
                <w:sz w:val="24"/>
                <w:szCs w:val="24"/>
              </w:rPr>
            </w:pPr>
            <w:r w:rsidRPr="00141E92">
              <w:rPr>
                <w:rFonts w:ascii="Book Antiqua" w:hAnsi="Book Antiqua"/>
                <w:bCs/>
                <w:sz w:val="24"/>
                <w:szCs w:val="24"/>
              </w:rPr>
              <w:t>N status</w:t>
            </w:r>
          </w:p>
        </w:tc>
        <w:tc>
          <w:tcPr>
            <w:tcW w:w="1984" w:type="dxa"/>
            <w:tcBorders>
              <w:right w:val="nil"/>
            </w:tcBorders>
            <w:shd w:val="clear" w:color="auto" w:fill="auto"/>
            <w:tcMar>
              <w:top w:w="140" w:type="nil"/>
              <w:left w:w="20" w:type="nil"/>
              <w:right w:w="140" w:type="nil"/>
            </w:tcMar>
          </w:tcPr>
          <w:p w14:paraId="74899E73"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5EB1C522" w14:textId="77777777" w:rsidTr="00620875">
        <w:tc>
          <w:tcPr>
            <w:tcW w:w="2660" w:type="dxa"/>
            <w:tcBorders>
              <w:left w:val="nil"/>
            </w:tcBorders>
            <w:shd w:val="clear" w:color="auto" w:fill="auto"/>
            <w:tcMar>
              <w:top w:w="140" w:type="nil"/>
              <w:left w:w="20" w:type="nil"/>
              <w:right w:w="140" w:type="nil"/>
            </w:tcMar>
          </w:tcPr>
          <w:p w14:paraId="6C94B816" w14:textId="45C1727E"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N0</w:t>
            </w:r>
          </w:p>
        </w:tc>
        <w:tc>
          <w:tcPr>
            <w:tcW w:w="1984" w:type="dxa"/>
            <w:tcBorders>
              <w:right w:val="nil"/>
            </w:tcBorders>
            <w:shd w:val="clear" w:color="auto" w:fill="auto"/>
            <w:tcMar>
              <w:top w:w="140" w:type="nil"/>
              <w:left w:w="20" w:type="nil"/>
              <w:right w:w="140" w:type="nil"/>
            </w:tcMar>
          </w:tcPr>
          <w:p w14:paraId="2BAE7456" w14:textId="53DF6020"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11 (18.0</w:t>
            </w:r>
            <w:r w:rsidRPr="00141E92">
              <w:rPr>
                <w:rFonts w:ascii="Book Antiqua" w:hAnsi="Book Antiqua"/>
                <w:sz w:val="24"/>
                <w:szCs w:val="24"/>
              </w:rPr>
              <w:t>)</w:t>
            </w:r>
          </w:p>
        </w:tc>
      </w:tr>
      <w:tr w:rsidR="00620875" w:rsidRPr="00141E92" w14:paraId="7DE2B734" w14:textId="77777777" w:rsidTr="00620875">
        <w:tc>
          <w:tcPr>
            <w:tcW w:w="2660" w:type="dxa"/>
            <w:tcBorders>
              <w:left w:val="nil"/>
            </w:tcBorders>
            <w:shd w:val="clear" w:color="auto" w:fill="auto"/>
            <w:tcMar>
              <w:top w:w="140" w:type="nil"/>
              <w:left w:w="20" w:type="nil"/>
              <w:right w:w="140" w:type="nil"/>
            </w:tcMar>
          </w:tcPr>
          <w:p w14:paraId="64E4848A" w14:textId="29523460"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N1</w:t>
            </w:r>
          </w:p>
        </w:tc>
        <w:tc>
          <w:tcPr>
            <w:tcW w:w="1984" w:type="dxa"/>
            <w:tcBorders>
              <w:right w:val="nil"/>
            </w:tcBorders>
            <w:shd w:val="clear" w:color="auto" w:fill="auto"/>
            <w:tcMar>
              <w:top w:w="140" w:type="nil"/>
              <w:left w:w="20" w:type="nil"/>
              <w:right w:w="140" w:type="nil"/>
            </w:tcMar>
          </w:tcPr>
          <w:p w14:paraId="599D2D61" w14:textId="74D785EC"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50 (82.0</w:t>
            </w:r>
            <w:r w:rsidRPr="00141E92">
              <w:rPr>
                <w:rFonts w:ascii="Book Antiqua" w:hAnsi="Book Antiqua"/>
                <w:sz w:val="24"/>
                <w:szCs w:val="24"/>
              </w:rPr>
              <w:t>)</w:t>
            </w:r>
          </w:p>
        </w:tc>
      </w:tr>
      <w:tr w:rsidR="00620875" w:rsidRPr="00141E92" w14:paraId="4C0E81CD" w14:textId="77777777" w:rsidTr="00620875">
        <w:trPr>
          <w:trHeight w:val="376"/>
        </w:trPr>
        <w:tc>
          <w:tcPr>
            <w:tcW w:w="2660" w:type="dxa"/>
            <w:tcBorders>
              <w:left w:val="nil"/>
            </w:tcBorders>
            <w:shd w:val="clear" w:color="auto" w:fill="auto"/>
            <w:tcMar>
              <w:top w:w="140" w:type="nil"/>
              <w:left w:w="20" w:type="nil"/>
              <w:right w:w="140" w:type="nil"/>
            </w:tcMar>
          </w:tcPr>
          <w:p w14:paraId="7D9B4557" w14:textId="2E85ED97" w:rsidR="00620875" w:rsidRPr="00141E92" w:rsidRDefault="00620875" w:rsidP="009F7A89">
            <w:pPr>
              <w:snapToGrid w:val="0"/>
              <w:spacing w:line="360" w:lineRule="auto"/>
              <w:jc w:val="both"/>
              <w:rPr>
                <w:rFonts w:ascii="Book Antiqua" w:hAnsi="Book Antiqua"/>
                <w:bCs/>
                <w:sz w:val="24"/>
                <w:szCs w:val="24"/>
              </w:rPr>
            </w:pPr>
            <w:r w:rsidRPr="00141E92">
              <w:rPr>
                <w:rFonts w:ascii="Book Antiqua" w:hAnsi="Book Antiqua"/>
                <w:bCs/>
                <w:sz w:val="24"/>
                <w:szCs w:val="24"/>
              </w:rPr>
              <w:t>Lymphatic invasion</w:t>
            </w:r>
          </w:p>
        </w:tc>
        <w:tc>
          <w:tcPr>
            <w:tcW w:w="1984" w:type="dxa"/>
            <w:tcBorders>
              <w:right w:val="nil"/>
            </w:tcBorders>
            <w:shd w:val="clear" w:color="auto" w:fill="auto"/>
            <w:tcMar>
              <w:top w:w="140" w:type="nil"/>
              <w:left w:w="20" w:type="nil"/>
              <w:right w:w="140" w:type="nil"/>
            </w:tcMar>
          </w:tcPr>
          <w:p w14:paraId="0CA90AC3"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4B2C9734" w14:textId="77777777" w:rsidTr="00620875">
        <w:tc>
          <w:tcPr>
            <w:tcW w:w="2660" w:type="dxa"/>
            <w:tcBorders>
              <w:left w:val="nil"/>
            </w:tcBorders>
            <w:shd w:val="clear" w:color="auto" w:fill="auto"/>
            <w:tcMar>
              <w:top w:w="140" w:type="nil"/>
              <w:left w:w="20" w:type="nil"/>
              <w:right w:w="140" w:type="nil"/>
            </w:tcMar>
          </w:tcPr>
          <w:p w14:paraId="639680B1" w14:textId="51B0103B"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L0</w:t>
            </w:r>
          </w:p>
        </w:tc>
        <w:tc>
          <w:tcPr>
            <w:tcW w:w="1984" w:type="dxa"/>
            <w:tcBorders>
              <w:right w:val="nil"/>
            </w:tcBorders>
            <w:shd w:val="clear" w:color="auto" w:fill="auto"/>
            <w:tcMar>
              <w:top w:w="140" w:type="nil"/>
              <w:left w:w="20" w:type="nil"/>
              <w:right w:w="140" w:type="nil"/>
            </w:tcMar>
          </w:tcPr>
          <w:p w14:paraId="239FF952" w14:textId="3F4C5B1C"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11 (18.0</w:t>
            </w:r>
            <w:r w:rsidRPr="00141E92">
              <w:rPr>
                <w:rFonts w:ascii="Book Antiqua" w:hAnsi="Book Antiqua"/>
                <w:sz w:val="24"/>
                <w:szCs w:val="24"/>
              </w:rPr>
              <w:t>)</w:t>
            </w:r>
          </w:p>
        </w:tc>
      </w:tr>
      <w:tr w:rsidR="00620875" w:rsidRPr="00141E92" w14:paraId="6FD5B520" w14:textId="77777777" w:rsidTr="00620875">
        <w:tc>
          <w:tcPr>
            <w:tcW w:w="2660" w:type="dxa"/>
            <w:tcBorders>
              <w:left w:val="nil"/>
            </w:tcBorders>
            <w:shd w:val="clear" w:color="auto" w:fill="auto"/>
            <w:tcMar>
              <w:top w:w="140" w:type="nil"/>
              <w:left w:w="20" w:type="nil"/>
              <w:right w:w="140" w:type="nil"/>
            </w:tcMar>
          </w:tcPr>
          <w:p w14:paraId="08B18C9F" w14:textId="6A6B7A9A"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L1</w:t>
            </w:r>
          </w:p>
        </w:tc>
        <w:tc>
          <w:tcPr>
            <w:tcW w:w="1984" w:type="dxa"/>
            <w:tcBorders>
              <w:right w:val="nil"/>
            </w:tcBorders>
            <w:shd w:val="clear" w:color="auto" w:fill="auto"/>
            <w:tcMar>
              <w:top w:w="140" w:type="nil"/>
              <w:left w:w="20" w:type="nil"/>
              <w:right w:w="140" w:type="nil"/>
            </w:tcMar>
          </w:tcPr>
          <w:p w14:paraId="3F530AE4" w14:textId="6E6E3C2A"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50 (82.0</w:t>
            </w:r>
            <w:r w:rsidRPr="00141E92">
              <w:rPr>
                <w:rFonts w:ascii="Book Antiqua" w:hAnsi="Book Antiqua"/>
                <w:sz w:val="24"/>
                <w:szCs w:val="24"/>
              </w:rPr>
              <w:t>)</w:t>
            </w:r>
          </w:p>
        </w:tc>
      </w:tr>
      <w:tr w:rsidR="00620875" w:rsidRPr="00141E92" w14:paraId="043BD549" w14:textId="77777777" w:rsidTr="00620875">
        <w:tc>
          <w:tcPr>
            <w:tcW w:w="2660" w:type="dxa"/>
            <w:tcBorders>
              <w:left w:val="nil"/>
            </w:tcBorders>
            <w:shd w:val="clear" w:color="auto" w:fill="auto"/>
            <w:tcMar>
              <w:top w:w="140" w:type="nil"/>
              <w:left w:w="20" w:type="nil"/>
              <w:right w:w="140" w:type="nil"/>
            </w:tcMar>
          </w:tcPr>
          <w:p w14:paraId="749286D5" w14:textId="62F88FCC" w:rsidR="00620875" w:rsidRPr="00141E92" w:rsidRDefault="00620875" w:rsidP="009F7A89">
            <w:pPr>
              <w:snapToGrid w:val="0"/>
              <w:spacing w:line="360" w:lineRule="auto"/>
              <w:jc w:val="both"/>
              <w:rPr>
                <w:rFonts w:ascii="Book Antiqua" w:hAnsi="Book Antiqua"/>
                <w:sz w:val="24"/>
                <w:szCs w:val="24"/>
              </w:rPr>
            </w:pPr>
            <w:r w:rsidRPr="00141E92">
              <w:rPr>
                <w:rFonts w:ascii="Book Antiqua" w:hAnsi="Book Antiqua"/>
                <w:bCs/>
                <w:sz w:val="24"/>
                <w:szCs w:val="24"/>
              </w:rPr>
              <w:t>Microvascular invasion</w:t>
            </w:r>
          </w:p>
        </w:tc>
        <w:tc>
          <w:tcPr>
            <w:tcW w:w="1984" w:type="dxa"/>
            <w:tcBorders>
              <w:right w:val="nil"/>
            </w:tcBorders>
            <w:shd w:val="clear" w:color="auto" w:fill="auto"/>
            <w:tcMar>
              <w:top w:w="140" w:type="nil"/>
              <w:left w:w="20" w:type="nil"/>
              <w:right w:w="140" w:type="nil"/>
            </w:tcMar>
          </w:tcPr>
          <w:p w14:paraId="4F0B6C05"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50002002" w14:textId="77777777" w:rsidTr="00620875">
        <w:tc>
          <w:tcPr>
            <w:tcW w:w="2660" w:type="dxa"/>
            <w:tcBorders>
              <w:left w:val="nil"/>
            </w:tcBorders>
            <w:shd w:val="clear" w:color="auto" w:fill="auto"/>
            <w:tcMar>
              <w:top w:w="140" w:type="nil"/>
              <w:left w:w="20" w:type="nil"/>
              <w:right w:w="140" w:type="nil"/>
            </w:tcMar>
          </w:tcPr>
          <w:p w14:paraId="0672005B" w14:textId="384B579D"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V0</w:t>
            </w:r>
          </w:p>
        </w:tc>
        <w:tc>
          <w:tcPr>
            <w:tcW w:w="1984" w:type="dxa"/>
            <w:tcBorders>
              <w:right w:val="nil"/>
            </w:tcBorders>
            <w:shd w:val="clear" w:color="auto" w:fill="auto"/>
            <w:tcMar>
              <w:top w:w="140" w:type="nil"/>
              <w:left w:w="20" w:type="nil"/>
              <w:right w:w="140" w:type="nil"/>
            </w:tcMar>
          </w:tcPr>
          <w:p w14:paraId="133E16DF" w14:textId="28F39D6D"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12 (19.7</w:t>
            </w:r>
            <w:r w:rsidRPr="00141E92">
              <w:rPr>
                <w:rFonts w:ascii="Book Antiqua" w:hAnsi="Book Antiqua"/>
                <w:sz w:val="24"/>
                <w:szCs w:val="24"/>
              </w:rPr>
              <w:t>)</w:t>
            </w:r>
          </w:p>
        </w:tc>
      </w:tr>
      <w:tr w:rsidR="00620875" w:rsidRPr="00141E92" w14:paraId="39896618" w14:textId="77777777" w:rsidTr="00620875">
        <w:tc>
          <w:tcPr>
            <w:tcW w:w="2660" w:type="dxa"/>
            <w:tcBorders>
              <w:left w:val="nil"/>
            </w:tcBorders>
            <w:shd w:val="clear" w:color="auto" w:fill="auto"/>
            <w:tcMar>
              <w:top w:w="140" w:type="nil"/>
              <w:left w:w="20" w:type="nil"/>
              <w:right w:w="140" w:type="nil"/>
            </w:tcMar>
          </w:tcPr>
          <w:p w14:paraId="2FD8D301" w14:textId="3D6CEA91"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V1</w:t>
            </w:r>
          </w:p>
        </w:tc>
        <w:tc>
          <w:tcPr>
            <w:tcW w:w="1984" w:type="dxa"/>
            <w:tcBorders>
              <w:right w:val="nil"/>
            </w:tcBorders>
            <w:shd w:val="clear" w:color="auto" w:fill="auto"/>
            <w:tcMar>
              <w:top w:w="140" w:type="nil"/>
              <w:left w:w="20" w:type="nil"/>
              <w:right w:w="140" w:type="nil"/>
            </w:tcMar>
          </w:tcPr>
          <w:p w14:paraId="6E792B92" w14:textId="6D00E7F4"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49 (80.3</w:t>
            </w:r>
            <w:r w:rsidRPr="00141E92">
              <w:rPr>
                <w:rFonts w:ascii="Book Antiqua" w:hAnsi="Book Antiqua"/>
                <w:sz w:val="24"/>
                <w:szCs w:val="24"/>
              </w:rPr>
              <w:t>)</w:t>
            </w:r>
          </w:p>
        </w:tc>
      </w:tr>
      <w:tr w:rsidR="00620875" w:rsidRPr="00141E92" w14:paraId="5DD1AECB" w14:textId="77777777" w:rsidTr="00620875">
        <w:trPr>
          <w:trHeight w:val="461"/>
        </w:trPr>
        <w:tc>
          <w:tcPr>
            <w:tcW w:w="2660" w:type="dxa"/>
            <w:tcBorders>
              <w:left w:val="nil"/>
            </w:tcBorders>
            <w:shd w:val="clear" w:color="auto" w:fill="auto"/>
            <w:tcMar>
              <w:top w:w="140" w:type="nil"/>
              <w:left w:w="20" w:type="nil"/>
              <w:right w:w="140" w:type="nil"/>
            </w:tcMar>
          </w:tcPr>
          <w:p w14:paraId="14C16775" w14:textId="558B6B51" w:rsidR="00620875" w:rsidRPr="00141E92" w:rsidRDefault="00620875" w:rsidP="008530E2">
            <w:pPr>
              <w:snapToGrid w:val="0"/>
              <w:spacing w:line="360" w:lineRule="auto"/>
              <w:jc w:val="both"/>
              <w:rPr>
                <w:rFonts w:ascii="Book Antiqua" w:hAnsi="Book Antiqua"/>
                <w:bCs/>
                <w:sz w:val="24"/>
                <w:szCs w:val="24"/>
              </w:rPr>
            </w:pPr>
            <w:r w:rsidRPr="00141E92">
              <w:rPr>
                <w:rFonts w:ascii="Book Antiqua" w:hAnsi="Book Antiqua"/>
                <w:bCs/>
                <w:sz w:val="24"/>
                <w:szCs w:val="24"/>
              </w:rPr>
              <w:t xml:space="preserve">Perineural invasion </w:t>
            </w:r>
          </w:p>
        </w:tc>
        <w:tc>
          <w:tcPr>
            <w:tcW w:w="1984" w:type="dxa"/>
            <w:tcBorders>
              <w:right w:val="nil"/>
            </w:tcBorders>
            <w:shd w:val="clear" w:color="auto" w:fill="auto"/>
            <w:tcMar>
              <w:top w:w="140" w:type="nil"/>
              <w:left w:w="20" w:type="nil"/>
              <w:right w:w="140" w:type="nil"/>
            </w:tcMar>
          </w:tcPr>
          <w:p w14:paraId="6041F7F0"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37A4CCA1" w14:textId="77777777" w:rsidTr="00620875">
        <w:tc>
          <w:tcPr>
            <w:tcW w:w="2660" w:type="dxa"/>
            <w:tcBorders>
              <w:left w:val="nil"/>
            </w:tcBorders>
            <w:shd w:val="clear" w:color="auto" w:fill="auto"/>
            <w:tcMar>
              <w:top w:w="140" w:type="nil"/>
              <w:left w:w="20" w:type="nil"/>
              <w:right w:w="140" w:type="nil"/>
            </w:tcMar>
          </w:tcPr>
          <w:p w14:paraId="502B7E35" w14:textId="166F8FED"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N</w:t>
            </w:r>
            <w:r>
              <w:rPr>
                <w:rFonts w:ascii="Book Antiqua" w:hAnsi="Book Antiqua"/>
                <w:bCs/>
                <w:sz w:val="24"/>
                <w:szCs w:val="24"/>
              </w:rPr>
              <w:t>o</w:t>
            </w:r>
          </w:p>
        </w:tc>
        <w:tc>
          <w:tcPr>
            <w:tcW w:w="1984" w:type="dxa"/>
            <w:tcBorders>
              <w:right w:val="nil"/>
            </w:tcBorders>
            <w:shd w:val="clear" w:color="auto" w:fill="auto"/>
            <w:tcMar>
              <w:top w:w="140" w:type="nil"/>
              <w:left w:w="20" w:type="nil"/>
              <w:right w:w="140" w:type="nil"/>
            </w:tcMar>
          </w:tcPr>
          <w:p w14:paraId="18C0CDD3" w14:textId="70648413"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9 (14.8</w:t>
            </w:r>
            <w:r w:rsidRPr="00141E92">
              <w:rPr>
                <w:rFonts w:ascii="Book Antiqua" w:hAnsi="Book Antiqua"/>
                <w:sz w:val="24"/>
                <w:szCs w:val="24"/>
              </w:rPr>
              <w:t>)</w:t>
            </w:r>
          </w:p>
        </w:tc>
      </w:tr>
      <w:tr w:rsidR="00620875" w:rsidRPr="00141E92" w14:paraId="6CC93F05" w14:textId="77777777" w:rsidTr="00620875">
        <w:tc>
          <w:tcPr>
            <w:tcW w:w="2660" w:type="dxa"/>
            <w:tcBorders>
              <w:left w:val="nil"/>
            </w:tcBorders>
            <w:shd w:val="clear" w:color="auto" w:fill="auto"/>
            <w:tcMar>
              <w:top w:w="140" w:type="nil"/>
              <w:left w:w="20" w:type="nil"/>
              <w:right w:w="140" w:type="nil"/>
            </w:tcMar>
          </w:tcPr>
          <w:p w14:paraId="484B0013" w14:textId="50F12301"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Y</w:t>
            </w:r>
            <w:r>
              <w:rPr>
                <w:rFonts w:ascii="Book Antiqua" w:hAnsi="Book Antiqua"/>
                <w:bCs/>
                <w:sz w:val="24"/>
                <w:szCs w:val="24"/>
              </w:rPr>
              <w:t>es</w:t>
            </w:r>
          </w:p>
        </w:tc>
        <w:tc>
          <w:tcPr>
            <w:tcW w:w="1984" w:type="dxa"/>
            <w:tcBorders>
              <w:right w:val="nil"/>
            </w:tcBorders>
            <w:shd w:val="clear" w:color="auto" w:fill="auto"/>
            <w:tcMar>
              <w:top w:w="140" w:type="nil"/>
              <w:left w:w="20" w:type="nil"/>
              <w:right w:w="140" w:type="nil"/>
            </w:tcMar>
          </w:tcPr>
          <w:p w14:paraId="65403F4C" w14:textId="3688A340"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52 (85.2</w:t>
            </w:r>
            <w:r w:rsidRPr="00141E92">
              <w:rPr>
                <w:rFonts w:ascii="Book Antiqua" w:hAnsi="Book Antiqua"/>
                <w:sz w:val="24"/>
                <w:szCs w:val="24"/>
              </w:rPr>
              <w:t>)</w:t>
            </w:r>
          </w:p>
        </w:tc>
      </w:tr>
      <w:tr w:rsidR="00620875" w:rsidRPr="00141E92" w14:paraId="590B864F" w14:textId="77777777" w:rsidTr="00620875">
        <w:trPr>
          <w:trHeight w:val="546"/>
        </w:trPr>
        <w:tc>
          <w:tcPr>
            <w:tcW w:w="2660" w:type="dxa"/>
            <w:tcBorders>
              <w:left w:val="nil"/>
            </w:tcBorders>
            <w:shd w:val="clear" w:color="auto" w:fill="auto"/>
            <w:tcMar>
              <w:top w:w="140" w:type="nil"/>
              <w:left w:w="20" w:type="nil"/>
              <w:right w:w="140" w:type="nil"/>
            </w:tcMar>
          </w:tcPr>
          <w:p w14:paraId="73E198E0" w14:textId="5059F060" w:rsidR="00620875" w:rsidRPr="009F7A89" w:rsidRDefault="00620875" w:rsidP="008530E2">
            <w:pPr>
              <w:snapToGrid w:val="0"/>
              <w:spacing w:line="360" w:lineRule="auto"/>
              <w:jc w:val="both"/>
              <w:rPr>
                <w:rFonts w:ascii="Book Antiqua" w:hAnsi="Book Antiqua"/>
                <w:bCs/>
                <w:sz w:val="24"/>
                <w:szCs w:val="24"/>
              </w:rPr>
            </w:pPr>
            <w:r w:rsidRPr="00141E92">
              <w:rPr>
                <w:rFonts w:ascii="Book Antiqua" w:hAnsi="Book Antiqua"/>
                <w:bCs/>
                <w:sz w:val="24"/>
                <w:szCs w:val="24"/>
              </w:rPr>
              <w:t>Differentiation grade</w:t>
            </w:r>
          </w:p>
        </w:tc>
        <w:tc>
          <w:tcPr>
            <w:tcW w:w="1984" w:type="dxa"/>
            <w:tcBorders>
              <w:right w:val="nil"/>
            </w:tcBorders>
            <w:shd w:val="clear" w:color="auto" w:fill="auto"/>
            <w:tcMar>
              <w:top w:w="140" w:type="nil"/>
              <w:left w:w="20" w:type="nil"/>
              <w:right w:w="140" w:type="nil"/>
            </w:tcMar>
          </w:tcPr>
          <w:p w14:paraId="52992ACB"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535D0CE3" w14:textId="77777777" w:rsidTr="00620875">
        <w:tc>
          <w:tcPr>
            <w:tcW w:w="2660" w:type="dxa"/>
            <w:tcBorders>
              <w:left w:val="nil"/>
            </w:tcBorders>
            <w:shd w:val="clear" w:color="auto" w:fill="auto"/>
            <w:tcMar>
              <w:top w:w="140" w:type="nil"/>
              <w:left w:w="20" w:type="nil"/>
              <w:right w:w="140" w:type="nil"/>
            </w:tcMar>
          </w:tcPr>
          <w:p w14:paraId="2A2C795D" w14:textId="4DD8C823"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G1</w:t>
            </w:r>
          </w:p>
        </w:tc>
        <w:tc>
          <w:tcPr>
            <w:tcW w:w="1984" w:type="dxa"/>
            <w:tcBorders>
              <w:right w:val="nil"/>
            </w:tcBorders>
            <w:shd w:val="clear" w:color="auto" w:fill="auto"/>
            <w:tcMar>
              <w:top w:w="140" w:type="nil"/>
              <w:left w:w="20" w:type="nil"/>
              <w:right w:w="140" w:type="nil"/>
            </w:tcMar>
          </w:tcPr>
          <w:p w14:paraId="25E4BE16" w14:textId="0BC55A07"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9 (14.8</w:t>
            </w:r>
            <w:r w:rsidRPr="00141E92">
              <w:rPr>
                <w:rFonts w:ascii="Book Antiqua" w:hAnsi="Book Antiqua"/>
                <w:sz w:val="24"/>
                <w:szCs w:val="24"/>
              </w:rPr>
              <w:t>)</w:t>
            </w:r>
          </w:p>
        </w:tc>
      </w:tr>
      <w:tr w:rsidR="00620875" w:rsidRPr="00141E92" w14:paraId="57AC5732" w14:textId="77777777" w:rsidTr="00620875">
        <w:trPr>
          <w:trHeight w:val="546"/>
        </w:trPr>
        <w:tc>
          <w:tcPr>
            <w:tcW w:w="2660" w:type="dxa"/>
            <w:tcBorders>
              <w:left w:val="nil"/>
            </w:tcBorders>
            <w:shd w:val="clear" w:color="auto" w:fill="auto"/>
            <w:tcMar>
              <w:top w:w="140" w:type="nil"/>
              <w:left w:w="20" w:type="nil"/>
              <w:right w:w="140" w:type="nil"/>
            </w:tcMar>
          </w:tcPr>
          <w:p w14:paraId="33C43177" w14:textId="1082BA57"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G2</w:t>
            </w:r>
          </w:p>
        </w:tc>
        <w:tc>
          <w:tcPr>
            <w:tcW w:w="1984" w:type="dxa"/>
            <w:tcBorders>
              <w:right w:val="nil"/>
            </w:tcBorders>
            <w:shd w:val="clear" w:color="auto" w:fill="auto"/>
            <w:tcMar>
              <w:top w:w="140" w:type="nil"/>
              <w:left w:w="20" w:type="nil"/>
              <w:right w:w="140" w:type="nil"/>
            </w:tcMar>
          </w:tcPr>
          <w:p w14:paraId="0BAF1B05" w14:textId="1042A361"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t>35 (57.4</w:t>
            </w:r>
            <w:r w:rsidRPr="00141E92">
              <w:rPr>
                <w:rFonts w:ascii="Book Antiqua" w:hAnsi="Book Antiqua"/>
                <w:sz w:val="24"/>
                <w:szCs w:val="24"/>
              </w:rPr>
              <w:t>)</w:t>
            </w:r>
          </w:p>
        </w:tc>
      </w:tr>
      <w:tr w:rsidR="00620875" w:rsidRPr="00141E92" w14:paraId="2D68884F" w14:textId="77777777" w:rsidTr="00620875">
        <w:tc>
          <w:tcPr>
            <w:tcW w:w="2660" w:type="dxa"/>
            <w:tcBorders>
              <w:left w:val="nil"/>
            </w:tcBorders>
            <w:shd w:val="clear" w:color="auto" w:fill="auto"/>
            <w:tcMar>
              <w:top w:w="140" w:type="nil"/>
              <w:left w:w="20" w:type="nil"/>
              <w:right w:w="140" w:type="nil"/>
            </w:tcMar>
          </w:tcPr>
          <w:p w14:paraId="515FE9F2" w14:textId="023343FF" w:rsidR="00620875" w:rsidRPr="00141E92" w:rsidRDefault="00620875" w:rsidP="00130941">
            <w:pPr>
              <w:snapToGrid w:val="0"/>
              <w:spacing w:line="360" w:lineRule="auto"/>
              <w:ind w:firstLineChars="100" w:firstLine="240"/>
              <w:jc w:val="both"/>
              <w:rPr>
                <w:rFonts w:ascii="Book Antiqua" w:hAnsi="Book Antiqua"/>
                <w:bCs/>
                <w:sz w:val="24"/>
                <w:szCs w:val="24"/>
              </w:rPr>
            </w:pPr>
            <w:r w:rsidRPr="00141E92">
              <w:rPr>
                <w:rFonts w:ascii="Book Antiqua" w:hAnsi="Book Antiqua"/>
                <w:bCs/>
                <w:sz w:val="24"/>
                <w:szCs w:val="24"/>
              </w:rPr>
              <w:t>G3</w:t>
            </w:r>
          </w:p>
          <w:p w14:paraId="099A04D7" w14:textId="03C43D72"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lastRenderedPageBreak/>
              <w:t>G4</w:t>
            </w:r>
          </w:p>
        </w:tc>
        <w:tc>
          <w:tcPr>
            <w:tcW w:w="1984" w:type="dxa"/>
            <w:tcBorders>
              <w:right w:val="nil"/>
            </w:tcBorders>
            <w:shd w:val="clear" w:color="auto" w:fill="auto"/>
            <w:tcMar>
              <w:top w:w="140" w:type="nil"/>
              <w:left w:w="20" w:type="nil"/>
              <w:right w:w="140" w:type="nil"/>
            </w:tcMar>
          </w:tcPr>
          <w:p w14:paraId="09F43336" w14:textId="15BA4155"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lastRenderedPageBreak/>
              <w:t>16 (26.2</w:t>
            </w:r>
            <w:r w:rsidRPr="00141E92">
              <w:rPr>
                <w:rFonts w:ascii="Book Antiqua" w:hAnsi="Book Antiqua"/>
                <w:sz w:val="24"/>
                <w:szCs w:val="24"/>
              </w:rPr>
              <w:t>)</w:t>
            </w:r>
          </w:p>
          <w:p w14:paraId="785D468D" w14:textId="4B883E57" w:rsidR="00620875" w:rsidRPr="00141E92" w:rsidRDefault="00620875" w:rsidP="000766A5">
            <w:pPr>
              <w:snapToGrid w:val="0"/>
              <w:spacing w:line="360" w:lineRule="auto"/>
              <w:jc w:val="center"/>
              <w:rPr>
                <w:rFonts w:ascii="Book Antiqua" w:hAnsi="Book Antiqua"/>
                <w:sz w:val="24"/>
                <w:szCs w:val="24"/>
              </w:rPr>
            </w:pPr>
            <w:r>
              <w:rPr>
                <w:rFonts w:ascii="Book Antiqua" w:hAnsi="Book Antiqua"/>
                <w:sz w:val="24"/>
                <w:szCs w:val="24"/>
              </w:rPr>
              <w:lastRenderedPageBreak/>
              <w:t>1 (1.6</w:t>
            </w:r>
            <w:r w:rsidRPr="00141E92">
              <w:rPr>
                <w:rFonts w:ascii="Book Antiqua" w:hAnsi="Book Antiqua"/>
                <w:sz w:val="24"/>
                <w:szCs w:val="24"/>
              </w:rPr>
              <w:t>)</w:t>
            </w:r>
          </w:p>
        </w:tc>
      </w:tr>
      <w:tr w:rsidR="00620875" w:rsidRPr="00141E92" w14:paraId="2AD655A2" w14:textId="77777777" w:rsidTr="00620875">
        <w:tc>
          <w:tcPr>
            <w:tcW w:w="2660" w:type="dxa"/>
            <w:tcBorders>
              <w:left w:val="nil"/>
            </w:tcBorders>
            <w:shd w:val="clear" w:color="auto" w:fill="auto"/>
            <w:tcMar>
              <w:top w:w="140" w:type="nil"/>
              <w:left w:w="20" w:type="nil"/>
              <w:right w:w="140" w:type="nil"/>
            </w:tcMar>
          </w:tcPr>
          <w:p w14:paraId="1E42068F" w14:textId="5DBEDBA0" w:rsidR="00620875" w:rsidRPr="00141E92" w:rsidRDefault="00620875" w:rsidP="000766A5">
            <w:pPr>
              <w:snapToGrid w:val="0"/>
              <w:spacing w:line="360" w:lineRule="auto"/>
              <w:jc w:val="both"/>
              <w:rPr>
                <w:rFonts w:ascii="Book Antiqua" w:hAnsi="Book Antiqua"/>
                <w:bCs/>
                <w:sz w:val="24"/>
                <w:szCs w:val="24"/>
              </w:rPr>
            </w:pPr>
            <w:r>
              <w:rPr>
                <w:rFonts w:ascii="Book Antiqua" w:hAnsi="Book Antiqua"/>
                <w:bCs/>
                <w:sz w:val="24"/>
                <w:szCs w:val="24"/>
              </w:rPr>
              <w:lastRenderedPageBreak/>
              <w:t>Resection status</w:t>
            </w:r>
          </w:p>
        </w:tc>
        <w:tc>
          <w:tcPr>
            <w:tcW w:w="1984" w:type="dxa"/>
            <w:tcBorders>
              <w:right w:val="nil"/>
            </w:tcBorders>
            <w:shd w:val="clear" w:color="auto" w:fill="auto"/>
            <w:tcMar>
              <w:top w:w="140" w:type="nil"/>
              <w:left w:w="20" w:type="nil"/>
              <w:right w:w="140" w:type="nil"/>
            </w:tcMar>
          </w:tcPr>
          <w:p w14:paraId="02CA6D78" w14:textId="77777777" w:rsidR="00620875" w:rsidRPr="00141E92" w:rsidRDefault="00620875" w:rsidP="000766A5">
            <w:pPr>
              <w:snapToGrid w:val="0"/>
              <w:spacing w:line="360" w:lineRule="auto"/>
              <w:jc w:val="center"/>
              <w:rPr>
                <w:rFonts w:ascii="Book Antiqua" w:hAnsi="Book Antiqua"/>
                <w:sz w:val="24"/>
                <w:szCs w:val="24"/>
              </w:rPr>
            </w:pPr>
          </w:p>
        </w:tc>
      </w:tr>
      <w:tr w:rsidR="00620875" w:rsidRPr="00141E92" w14:paraId="79B0857B" w14:textId="77777777" w:rsidTr="00620875">
        <w:trPr>
          <w:trHeight w:val="475"/>
        </w:trPr>
        <w:tc>
          <w:tcPr>
            <w:tcW w:w="2660" w:type="dxa"/>
            <w:tcBorders>
              <w:left w:val="nil"/>
            </w:tcBorders>
            <w:shd w:val="clear" w:color="auto" w:fill="auto"/>
            <w:tcMar>
              <w:top w:w="140" w:type="nil"/>
              <w:left w:w="20" w:type="nil"/>
              <w:right w:w="140" w:type="nil"/>
            </w:tcMar>
          </w:tcPr>
          <w:p w14:paraId="7B9FF4CD" w14:textId="1A75ED8D"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R0</w:t>
            </w:r>
          </w:p>
        </w:tc>
        <w:tc>
          <w:tcPr>
            <w:tcW w:w="1984" w:type="dxa"/>
            <w:tcBorders>
              <w:right w:val="nil"/>
            </w:tcBorders>
            <w:shd w:val="clear" w:color="auto" w:fill="auto"/>
            <w:tcMar>
              <w:top w:w="140" w:type="nil"/>
              <w:left w:w="20" w:type="nil"/>
              <w:right w:w="140" w:type="nil"/>
            </w:tcMar>
          </w:tcPr>
          <w:p w14:paraId="2BE7E107" w14:textId="599DCAAC" w:rsidR="00620875" w:rsidRPr="00141E92" w:rsidRDefault="00620875" w:rsidP="000766A5">
            <w:pPr>
              <w:snapToGrid w:val="0"/>
              <w:spacing w:line="360" w:lineRule="auto"/>
              <w:jc w:val="center"/>
              <w:rPr>
                <w:rFonts w:ascii="Book Antiqua" w:hAnsi="Book Antiqua"/>
                <w:sz w:val="24"/>
                <w:szCs w:val="24"/>
              </w:rPr>
            </w:pPr>
            <w:r w:rsidRPr="00141E92">
              <w:rPr>
                <w:rFonts w:ascii="Book Antiqua" w:hAnsi="Book Antiqua"/>
                <w:sz w:val="24"/>
                <w:szCs w:val="24"/>
              </w:rPr>
              <w:t>56 (91.8)</w:t>
            </w:r>
          </w:p>
        </w:tc>
      </w:tr>
      <w:tr w:rsidR="00620875" w:rsidRPr="00141E92" w14:paraId="721CDD5D" w14:textId="77777777" w:rsidTr="00620875">
        <w:tc>
          <w:tcPr>
            <w:tcW w:w="2660" w:type="dxa"/>
            <w:tcBorders>
              <w:left w:val="nil"/>
            </w:tcBorders>
            <w:shd w:val="clear" w:color="auto" w:fill="auto"/>
            <w:tcMar>
              <w:top w:w="140" w:type="nil"/>
              <w:left w:w="20" w:type="nil"/>
              <w:right w:w="140" w:type="nil"/>
            </w:tcMar>
          </w:tcPr>
          <w:p w14:paraId="03FDCBE1" w14:textId="3926E800" w:rsidR="00620875" w:rsidRPr="00141E92" w:rsidRDefault="00620875" w:rsidP="00130941">
            <w:pPr>
              <w:snapToGrid w:val="0"/>
              <w:spacing w:line="360" w:lineRule="auto"/>
              <w:ind w:firstLineChars="100" w:firstLine="240"/>
              <w:jc w:val="both"/>
              <w:rPr>
                <w:rFonts w:ascii="Book Antiqua" w:hAnsi="Book Antiqua"/>
                <w:sz w:val="24"/>
                <w:szCs w:val="24"/>
              </w:rPr>
            </w:pPr>
            <w:r w:rsidRPr="00141E92">
              <w:rPr>
                <w:rFonts w:ascii="Book Antiqua" w:hAnsi="Book Antiqua"/>
                <w:bCs/>
                <w:sz w:val="24"/>
                <w:szCs w:val="24"/>
              </w:rPr>
              <w:t>R1</w:t>
            </w:r>
          </w:p>
        </w:tc>
        <w:tc>
          <w:tcPr>
            <w:tcW w:w="1984" w:type="dxa"/>
            <w:tcBorders>
              <w:right w:val="nil"/>
            </w:tcBorders>
            <w:shd w:val="clear" w:color="auto" w:fill="auto"/>
            <w:tcMar>
              <w:top w:w="140" w:type="nil"/>
              <w:left w:w="20" w:type="nil"/>
              <w:right w:w="140" w:type="nil"/>
            </w:tcMar>
          </w:tcPr>
          <w:p w14:paraId="541CDB7B" w14:textId="157514E9" w:rsidR="00620875" w:rsidRPr="00141E92" w:rsidRDefault="00620875" w:rsidP="000766A5">
            <w:pPr>
              <w:snapToGrid w:val="0"/>
              <w:spacing w:line="360" w:lineRule="auto"/>
              <w:jc w:val="center"/>
              <w:rPr>
                <w:rFonts w:ascii="Book Antiqua" w:hAnsi="Book Antiqua"/>
                <w:sz w:val="24"/>
                <w:szCs w:val="24"/>
              </w:rPr>
            </w:pPr>
            <w:r w:rsidRPr="00141E92">
              <w:rPr>
                <w:rFonts w:ascii="Book Antiqua" w:hAnsi="Book Antiqua"/>
                <w:sz w:val="24"/>
                <w:szCs w:val="24"/>
              </w:rPr>
              <w:t>5 (8.2)</w:t>
            </w:r>
          </w:p>
        </w:tc>
      </w:tr>
      <w:tr w:rsidR="00620875" w:rsidRPr="00141E92" w14:paraId="2D58CBE1" w14:textId="77777777" w:rsidTr="00620875">
        <w:tc>
          <w:tcPr>
            <w:tcW w:w="2660" w:type="dxa"/>
            <w:tcBorders>
              <w:left w:val="nil"/>
              <w:bottom w:val="single" w:sz="8" w:space="0" w:color="000000"/>
            </w:tcBorders>
            <w:shd w:val="clear" w:color="auto" w:fill="auto"/>
            <w:tcMar>
              <w:top w:w="140" w:type="nil"/>
              <w:left w:w="20" w:type="nil"/>
              <w:right w:w="140" w:type="nil"/>
            </w:tcMar>
          </w:tcPr>
          <w:p w14:paraId="58653743" w14:textId="7DFC783D" w:rsidR="00620875" w:rsidRPr="00141E92" w:rsidRDefault="00620875" w:rsidP="000766A5">
            <w:pPr>
              <w:snapToGrid w:val="0"/>
              <w:spacing w:line="360" w:lineRule="auto"/>
              <w:jc w:val="both"/>
              <w:rPr>
                <w:rFonts w:ascii="Book Antiqua" w:hAnsi="Book Antiqua"/>
                <w:sz w:val="24"/>
                <w:szCs w:val="24"/>
              </w:rPr>
            </w:pPr>
            <w:r w:rsidRPr="00141E92">
              <w:rPr>
                <w:rFonts w:ascii="Book Antiqua" w:hAnsi="Book Antiqua"/>
                <w:bCs/>
                <w:sz w:val="24"/>
                <w:szCs w:val="24"/>
              </w:rPr>
              <w:t xml:space="preserve"> Median survival (</w:t>
            </w:r>
            <w:proofErr w:type="spellStart"/>
            <w:r w:rsidRPr="00141E92">
              <w:rPr>
                <w:rFonts w:ascii="Book Antiqua" w:hAnsi="Book Antiqua"/>
                <w:bCs/>
                <w:sz w:val="24"/>
                <w:szCs w:val="24"/>
              </w:rPr>
              <w:t>mo</w:t>
            </w:r>
            <w:proofErr w:type="spellEnd"/>
            <w:r w:rsidRPr="00141E92">
              <w:rPr>
                <w:rFonts w:ascii="Book Antiqua" w:hAnsi="Book Antiqua"/>
                <w:bCs/>
                <w:sz w:val="24"/>
                <w:szCs w:val="24"/>
              </w:rPr>
              <w:t>)</w:t>
            </w:r>
          </w:p>
        </w:tc>
        <w:tc>
          <w:tcPr>
            <w:tcW w:w="1984" w:type="dxa"/>
            <w:tcBorders>
              <w:bottom w:val="single" w:sz="8" w:space="0" w:color="000000"/>
              <w:right w:val="nil"/>
            </w:tcBorders>
            <w:shd w:val="clear" w:color="auto" w:fill="auto"/>
            <w:tcMar>
              <w:top w:w="140" w:type="nil"/>
              <w:left w:w="20" w:type="nil"/>
              <w:right w:w="140" w:type="nil"/>
            </w:tcMar>
          </w:tcPr>
          <w:p w14:paraId="05D09109" w14:textId="77777777" w:rsidR="00620875" w:rsidRPr="00141E92" w:rsidRDefault="00620875" w:rsidP="000766A5">
            <w:pPr>
              <w:snapToGrid w:val="0"/>
              <w:spacing w:line="360" w:lineRule="auto"/>
              <w:jc w:val="center"/>
              <w:rPr>
                <w:rFonts w:ascii="Book Antiqua" w:hAnsi="Book Antiqua"/>
                <w:sz w:val="24"/>
                <w:szCs w:val="24"/>
              </w:rPr>
            </w:pPr>
            <w:r w:rsidRPr="00141E92">
              <w:rPr>
                <w:rFonts w:ascii="Book Antiqua" w:hAnsi="Book Antiqua"/>
                <w:sz w:val="24"/>
                <w:szCs w:val="24"/>
              </w:rPr>
              <w:t>23.10</w:t>
            </w:r>
          </w:p>
        </w:tc>
      </w:tr>
    </w:tbl>
    <w:p w14:paraId="34D1F897" w14:textId="47C8B613" w:rsidR="000451D4" w:rsidRPr="00141E92" w:rsidRDefault="000451D4" w:rsidP="008530E2">
      <w:pPr>
        <w:snapToGrid w:val="0"/>
        <w:spacing w:line="360" w:lineRule="auto"/>
        <w:jc w:val="both"/>
        <w:rPr>
          <w:rFonts w:ascii="Book Antiqua" w:hAnsi="Book Antiqua"/>
          <w:b/>
          <w:sz w:val="24"/>
          <w:szCs w:val="24"/>
        </w:rPr>
      </w:pPr>
    </w:p>
    <w:p w14:paraId="0F90F9B8" w14:textId="71DB36AE" w:rsidR="00026CA1" w:rsidRPr="00141E92" w:rsidRDefault="000451D4" w:rsidP="008530E2">
      <w:pPr>
        <w:snapToGrid w:val="0"/>
        <w:spacing w:line="360" w:lineRule="auto"/>
        <w:jc w:val="both"/>
        <w:rPr>
          <w:rFonts w:ascii="Book Antiqua" w:hAnsi="Book Antiqua"/>
          <w:b/>
          <w:sz w:val="24"/>
          <w:szCs w:val="24"/>
        </w:rPr>
      </w:pPr>
      <w:r w:rsidRPr="00141E92">
        <w:rPr>
          <w:rFonts w:ascii="Book Antiqua" w:hAnsi="Book Antiqua"/>
          <w:b/>
          <w:sz w:val="24"/>
          <w:szCs w:val="24"/>
        </w:rPr>
        <w:br w:type="page"/>
      </w:r>
    </w:p>
    <w:p w14:paraId="6FB07C12" w14:textId="3D631021" w:rsidR="00026CA1" w:rsidRPr="00620875" w:rsidRDefault="00026CA1" w:rsidP="00620875">
      <w:pPr>
        <w:snapToGrid w:val="0"/>
        <w:spacing w:line="360" w:lineRule="auto"/>
        <w:jc w:val="both"/>
        <w:outlineLvl w:val="0"/>
        <w:rPr>
          <w:rFonts w:ascii="Book Antiqua" w:hAnsi="Book Antiqua"/>
          <w:b/>
          <w:color w:val="000000" w:themeColor="text1"/>
          <w:sz w:val="24"/>
          <w:szCs w:val="24"/>
        </w:rPr>
      </w:pPr>
      <w:r w:rsidRPr="00141E92">
        <w:rPr>
          <w:rFonts w:ascii="Book Antiqua" w:hAnsi="Book Antiqua"/>
          <w:b/>
          <w:color w:val="000000" w:themeColor="text1"/>
          <w:sz w:val="24"/>
          <w:szCs w:val="24"/>
        </w:rPr>
        <w:lastRenderedPageBreak/>
        <w:t>Table 2 Univariate analysis of histopathological features (log-rank)</w:t>
      </w:r>
    </w:p>
    <w:tbl>
      <w:tblPr>
        <w:tblW w:w="732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Layout w:type="fixed"/>
        <w:tblLook w:val="0000" w:firstRow="0" w:lastRow="0" w:firstColumn="0" w:lastColumn="0" w:noHBand="0" w:noVBand="0"/>
      </w:tblPr>
      <w:tblGrid>
        <w:gridCol w:w="2802"/>
        <w:gridCol w:w="2097"/>
        <w:gridCol w:w="2421"/>
      </w:tblGrid>
      <w:tr w:rsidR="00026CA1" w:rsidRPr="00141E92" w14:paraId="3745D21C" w14:textId="77777777" w:rsidTr="00620875">
        <w:trPr>
          <w:trHeight w:val="57"/>
        </w:trPr>
        <w:tc>
          <w:tcPr>
            <w:tcW w:w="2802" w:type="dxa"/>
            <w:tcBorders>
              <w:top w:val="single" w:sz="8" w:space="0" w:color="000000" w:themeColor="text1"/>
              <w:left w:val="nil"/>
              <w:bottom w:val="single" w:sz="8" w:space="0" w:color="000000" w:themeColor="text1"/>
            </w:tcBorders>
            <w:shd w:val="clear" w:color="auto" w:fill="auto"/>
            <w:tcMar>
              <w:top w:w="192" w:type="nil"/>
              <w:left w:w="96" w:type="nil"/>
              <w:bottom w:w="96" w:type="nil"/>
              <w:right w:w="192" w:type="nil"/>
            </w:tcMar>
          </w:tcPr>
          <w:p w14:paraId="763A8A4D" w14:textId="77777777" w:rsidR="00026CA1" w:rsidRPr="00141E92" w:rsidRDefault="00026CA1" w:rsidP="008530E2">
            <w:pPr>
              <w:snapToGrid w:val="0"/>
              <w:spacing w:line="360" w:lineRule="auto"/>
              <w:jc w:val="both"/>
              <w:rPr>
                <w:rFonts w:ascii="Book Antiqua" w:hAnsi="Book Antiqua"/>
                <w:b/>
                <w:color w:val="000000" w:themeColor="text1"/>
                <w:sz w:val="24"/>
                <w:szCs w:val="24"/>
              </w:rPr>
            </w:pPr>
            <w:r w:rsidRPr="00141E92">
              <w:rPr>
                <w:rFonts w:ascii="Book Antiqua" w:hAnsi="Book Antiqua"/>
                <w:b/>
                <w:bCs/>
                <w:color w:val="000000" w:themeColor="text1"/>
                <w:sz w:val="24"/>
                <w:szCs w:val="24"/>
              </w:rPr>
              <w:t>Variable</w:t>
            </w:r>
          </w:p>
        </w:tc>
        <w:tc>
          <w:tcPr>
            <w:tcW w:w="2097" w:type="dxa"/>
            <w:tcBorders>
              <w:top w:val="single" w:sz="8" w:space="0" w:color="000000" w:themeColor="text1"/>
              <w:bottom w:val="single" w:sz="8" w:space="0" w:color="000000" w:themeColor="text1"/>
            </w:tcBorders>
            <w:shd w:val="clear" w:color="auto" w:fill="auto"/>
            <w:tcMar>
              <w:top w:w="192" w:type="nil"/>
              <w:left w:w="96" w:type="nil"/>
              <w:bottom w:w="96" w:type="nil"/>
              <w:right w:w="192" w:type="nil"/>
            </w:tcMar>
          </w:tcPr>
          <w:p w14:paraId="3ED896D2" w14:textId="77777777" w:rsidR="00026CA1" w:rsidRPr="00141E92" w:rsidRDefault="00026CA1" w:rsidP="008530E2">
            <w:pPr>
              <w:snapToGrid w:val="0"/>
              <w:spacing w:line="360" w:lineRule="auto"/>
              <w:jc w:val="both"/>
              <w:rPr>
                <w:rFonts w:ascii="Book Antiqua" w:hAnsi="Book Antiqua"/>
                <w:b/>
                <w:color w:val="000000" w:themeColor="text1"/>
                <w:sz w:val="24"/>
                <w:szCs w:val="24"/>
              </w:rPr>
            </w:pPr>
          </w:p>
        </w:tc>
        <w:tc>
          <w:tcPr>
            <w:tcW w:w="2421" w:type="dxa"/>
            <w:tcBorders>
              <w:top w:val="single" w:sz="8" w:space="0" w:color="000000" w:themeColor="text1"/>
              <w:bottom w:val="single" w:sz="8" w:space="0" w:color="000000" w:themeColor="text1"/>
              <w:right w:val="nil"/>
            </w:tcBorders>
            <w:shd w:val="clear" w:color="auto" w:fill="auto"/>
            <w:tcMar>
              <w:top w:w="192" w:type="nil"/>
              <w:left w:w="96" w:type="nil"/>
              <w:bottom w:w="96" w:type="nil"/>
              <w:right w:w="192" w:type="nil"/>
            </w:tcMar>
          </w:tcPr>
          <w:p w14:paraId="161ED108" w14:textId="3A39A8E5" w:rsidR="00026CA1" w:rsidRPr="00141E92" w:rsidRDefault="00AD00AB" w:rsidP="00620875">
            <w:pPr>
              <w:snapToGrid w:val="0"/>
              <w:spacing w:line="360" w:lineRule="auto"/>
              <w:jc w:val="center"/>
              <w:rPr>
                <w:rFonts w:ascii="Book Antiqua" w:hAnsi="Book Antiqua"/>
                <w:b/>
                <w:color w:val="000000" w:themeColor="text1"/>
                <w:sz w:val="24"/>
                <w:szCs w:val="24"/>
              </w:rPr>
            </w:pPr>
            <w:r w:rsidRPr="00141E92">
              <w:rPr>
                <w:rFonts w:ascii="Book Antiqua" w:hAnsi="Book Antiqua"/>
                <w:b/>
                <w:bCs/>
                <w:i/>
                <w:color w:val="000000" w:themeColor="text1"/>
                <w:sz w:val="24"/>
                <w:szCs w:val="24"/>
              </w:rPr>
              <w:t>P</w:t>
            </w:r>
            <w:r w:rsidR="00026CA1" w:rsidRPr="00141E92">
              <w:rPr>
                <w:rFonts w:ascii="Book Antiqua" w:hAnsi="Book Antiqua"/>
                <w:b/>
                <w:bCs/>
                <w:i/>
                <w:color w:val="000000" w:themeColor="text1"/>
                <w:sz w:val="24"/>
                <w:szCs w:val="24"/>
              </w:rPr>
              <w:t xml:space="preserve"> </w:t>
            </w:r>
            <w:r w:rsidR="00026CA1" w:rsidRPr="00141E92">
              <w:rPr>
                <w:rFonts w:ascii="Book Antiqua" w:hAnsi="Book Antiqua"/>
                <w:b/>
                <w:bCs/>
                <w:color w:val="000000" w:themeColor="text1"/>
                <w:sz w:val="24"/>
                <w:szCs w:val="24"/>
              </w:rPr>
              <w:t>value</w:t>
            </w:r>
          </w:p>
        </w:tc>
      </w:tr>
      <w:tr w:rsidR="00026CA1" w:rsidRPr="00141E92" w14:paraId="34F4026F" w14:textId="77777777" w:rsidTr="00620875">
        <w:trPr>
          <w:trHeight w:val="57"/>
        </w:trPr>
        <w:tc>
          <w:tcPr>
            <w:tcW w:w="2802" w:type="dxa"/>
            <w:tcBorders>
              <w:top w:val="single" w:sz="8" w:space="0" w:color="000000" w:themeColor="text1"/>
              <w:left w:val="nil"/>
            </w:tcBorders>
            <w:shd w:val="clear" w:color="auto" w:fill="auto"/>
            <w:tcMar>
              <w:top w:w="192" w:type="nil"/>
              <w:left w:w="96" w:type="nil"/>
              <w:bottom w:w="96" w:type="nil"/>
              <w:right w:w="192" w:type="nil"/>
            </w:tcMar>
          </w:tcPr>
          <w:p w14:paraId="0C9A4A7A"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Resection status</w:t>
            </w:r>
          </w:p>
        </w:tc>
        <w:tc>
          <w:tcPr>
            <w:tcW w:w="2097" w:type="dxa"/>
            <w:tcBorders>
              <w:top w:val="single" w:sz="8" w:space="0" w:color="000000" w:themeColor="text1"/>
            </w:tcBorders>
            <w:shd w:val="clear" w:color="auto" w:fill="auto"/>
            <w:tcMar>
              <w:top w:w="192" w:type="nil"/>
              <w:left w:w="96" w:type="nil"/>
              <w:bottom w:w="96" w:type="nil"/>
              <w:right w:w="192" w:type="nil"/>
            </w:tcMar>
          </w:tcPr>
          <w:p w14:paraId="1627D6AE" w14:textId="609E8880"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R0/R1-R2</w:t>
            </w:r>
          </w:p>
        </w:tc>
        <w:tc>
          <w:tcPr>
            <w:tcW w:w="2421" w:type="dxa"/>
            <w:tcBorders>
              <w:top w:val="single" w:sz="8" w:space="0" w:color="000000" w:themeColor="text1"/>
              <w:right w:val="nil"/>
            </w:tcBorders>
            <w:shd w:val="clear" w:color="auto" w:fill="auto"/>
            <w:tcMar>
              <w:top w:w="192" w:type="nil"/>
              <w:left w:w="96" w:type="nil"/>
              <w:bottom w:w="96" w:type="nil"/>
              <w:right w:w="192" w:type="nil"/>
            </w:tcMar>
          </w:tcPr>
          <w:p w14:paraId="11639912" w14:textId="1C6E8739" w:rsidR="00026CA1" w:rsidRPr="00141E92" w:rsidRDefault="00026CA1" w:rsidP="00620875">
            <w:pPr>
              <w:tabs>
                <w:tab w:val="left" w:pos="274"/>
                <w:tab w:val="center" w:pos="1102"/>
              </w:tabs>
              <w:snapToGrid w:val="0"/>
              <w:spacing w:line="360" w:lineRule="auto"/>
              <w:jc w:val="center"/>
              <w:rPr>
                <w:rFonts w:ascii="Book Antiqua" w:hAnsi="Book Antiqua"/>
                <w:sz w:val="24"/>
                <w:szCs w:val="24"/>
              </w:rPr>
            </w:pPr>
            <w:r w:rsidRPr="00141E92">
              <w:rPr>
                <w:rFonts w:ascii="Book Antiqua" w:hAnsi="Book Antiqua"/>
                <w:sz w:val="24"/>
                <w:szCs w:val="24"/>
              </w:rPr>
              <w:t>0.005</w:t>
            </w:r>
          </w:p>
        </w:tc>
      </w:tr>
      <w:tr w:rsidR="00026CA1" w:rsidRPr="00141E92" w14:paraId="5836227E"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100E2D53"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T stage</w:t>
            </w:r>
          </w:p>
        </w:tc>
        <w:tc>
          <w:tcPr>
            <w:tcW w:w="2097" w:type="dxa"/>
            <w:shd w:val="clear" w:color="auto" w:fill="auto"/>
            <w:tcMar>
              <w:top w:w="192" w:type="nil"/>
              <w:left w:w="96" w:type="nil"/>
              <w:bottom w:w="96" w:type="nil"/>
              <w:right w:w="192" w:type="nil"/>
            </w:tcMar>
          </w:tcPr>
          <w:p w14:paraId="0AED8A32"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T1-T2/T3-T4</w:t>
            </w:r>
          </w:p>
        </w:tc>
        <w:tc>
          <w:tcPr>
            <w:tcW w:w="2421" w:type="dxa"/>
            <w:tcBorders>
              <w:right w:val="nil"/>
            </w:tcBorders>
            <w:shd w:val="clear" w:color="auto" w:fill="auto"/>
            <w:tcMar>
              <w:top w:w="192" w:type="nil"/>
              <w:left w:w="96" w:type="nil"/>
              <w:bottom w:w="96" w:type="nil"/>
              <w:right w:w="192" w:type="nil"/>
            </w:tcMar>
          </w:tcPr>
          <w:p w14:paraId="55DB46C0"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0.146</w:t>
            </w:r>
          </w:p>
        </w:tc>
      </w:tr>
      <w:tr w:rsidR="00026CA1" w:rsidRPr="00141E92" w14:paraId="4397DFED"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2FD62772"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Lymph-nodes</w:t>
            </w:r>
          </w:p>
        </w:tc>
        <w:tc>
          <w:tcPr>
            <w:tcW w:w="2097" w:type="dxa"/>
            <w:shd w:val="clear" w:color="auto" w:fill="auto"/>
            <w:tcMar>
              <w:top w:w="192" w:type="nil"/>
              <w:left w:w="96" w:type="nil"/>
              <w:bottom w:w="96" w:type="nil"/>
              <w:right w:w="192" w:type="nil"/>
            </w:tcMar>
          </w:tcPr>
          <w:p w14:paraId="45B41AED" w14:textId="3CE78D30"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N0/N1</w:t>
            </w:r>
          </w:p>
        </w:tc>
        <w:tc>
          <w:tcPr>
            <w:tcW w:w="2421" w:type="dxa"/>
            <w:tcBorders>
              <w:right w:val="nil"/>
            </w:tcBorders>
            <w:shd w:val="clear" w:color="auto" w:fill="auto"/>
            <w:tcMar>
              <w:top w:w="192" w:type="nil"/>
              <w:left w:w="96" w:type="nil"/>
              <w:bottom w:w="96" w:type="nil"/>
              <w:right w:w="192" w:type="nil"/>
            </w:tcMar>
          </w:tcPr>
          <w:p w14:paraId="2979E01F"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0.046</w:t>
            </w:r>
          </w:p>
        </w:tc>
      </w:tr>
      <w:tr w:rsidR="00026CA1" w:rsidRPr="00141E92" w14:paraId="133E29FD"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347658B2"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Tumor differentiation</w:t>
            </w:r>
          </w:p>
        </w:tc>
        <w:tc>
          <w:tcPr>
            <w:tcW w:w="2097" w:type="dxa"/>
            <w:shd w:val="clear" w:color="auto" w:fill="auto"/>
            <w:tcMar>
              <w:top w:w="192" w:type="nil"/>
              <w:left w:w="96" w:type="nil"/>
              <w:bottom w:w="96" w:type="nil"/>
              <w:right w:w="192" w:type="nil"/>
            </w:tcMar>
          </w:tcPr>
          <w:p w14:paraId="3B357716" w14:textId="1A2044F4" w:rsidR="00026CA1" w:rsidRPr="00141E92" w:rsidRDefault="00026CA1" w:rsidP="008530E2">
            <w:pPr>
              <w:snapToGrid w:val="0"/>
              <w:spacing w:line="360" w:lineRule="auto"/>
              <w:jc w:val="both"/>
              <w:rPr>
                <w:rFonts w:ascii="Book Antiqua" w:hAnsi="Book Antiqua"/>
                <w:sz w:val="24"/>
                <w:szCs w:val="24"/>
                <w:vertAlign w:val="superscript"/>
              </w:rPr>
            </w:pPr>
            <w:r w:rsidRPr="00141E92">
              <w:rPr>
                <w:rFonts w:ascii="Book Antiqua" w:hAnsi="Book Antiqua"/>
                <w:sz w:val="24"/>
                <w:szCs w:val="24"/>
              </w:rPr>
              <w:t>G1-G2/G3-G4</w:t>
            </w:r>
          </w:p>
        </w:tc>
        <w:tc>
          <w:tcPr>
            <w:tcW w:w="2421" w:type="dxa"/>
            <w:tcBorders>
              <w:right w:val="nil"/>
            </w:tcBorders>
            <w:shd w:val="clear" w:color="auto" w:fill="auto"/>
            <w:tcMar>
              <w:top w:w="192" w:type="nil"/>
              <w:left w:w="96" w:type="nil"/>
              <w:bottom w:w="96" w:type="nil"/>
              <w:right w:w="192" w:type="nil"/>
            </w:tcMar>
          </w:tcPr>
          <w:p w14:paraId="0D265958"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0.027</w:t>
            </w:r>
          </w:p>
        </w:tc>
      </w:tr>
      <w:tr w:rsidR="00026CA1" w:rsidRPr="00141E92" w14:paraId="56D3E38D"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52DD780C"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Perineural invasion</w:t>
            </w:r>
          </w:p>
        </w:tc>
        <w:tc>
          <w:tcPr>
            <w:tcW w:w="2097" w:type="dxa"/>
            <w:shd w:val="clear" w:color="auto" w:fill="auto"/>
            <w:tcMar>
              <w:top w:w="192" w:type="nil"/>
              <w:left w:w="96" w:type="nil"/>
              <w:bottom w:w="96" w:type="nil"/>
              <w:right w:w="192" w:type="nil"/>
            </w:tcMar>
          </w:tcPr>
          <w:p w14:paraId="1553337D" w14:textId="78AD19B5" w:rsidR="00026CA1" w:rsidRPr="00141E92" w:rsidRDefault="00620875" w:rsidP="008530E2">
            <w:pPr>
              <w:snapToGrid w:val="0"/>
              <w:spacing w:line="360" w:lineRule="auto"/>
              <w:jc w:val="both"/>
              <w:rPr>
                <w:rFonts w:ascii="Book Antiqua" w:hAnsi="Book Antiqua"/>
                <w:sz w:val="24"/>
                <w:szCs w:val="24"/>
              </w:rPr>
            </w:pPr>
            <w:r>
              <w:rPr>
                <w:rFonts w:ascii="Book Antiqua" w:hAnsi="Book Antiqua"/>
                <w:sz w:val="24"/>
                <w:szCs w:val="24"/>
              </w:rPr>
              <w:t>Yes/No</w:t>
            </w:r>
          </w:p>
        </w:tc>
        <w:tc>
          <w:tcPr>
            <w:tcW w:w="2421" w:type="dxa"/>
            <w:tcBorders>
              <w:right w:val="nil"/>
            </w:tcBorders>
            <w:shd w:val="clear" w:color="auto" w:fill="auto"/>
            <w:tcMar>
              <w:top w:w="192" w:type="nil"/>
              <w:left w:w="96" w:type="nil"/>
              <w:bottom w:w="96" w:type="nil"/>
              <w:right w:w="192" w:type="nil"/>
            </w:tcMar>
          </w:tcPr>
          <w:p w14:paraId="33EAEEB2"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0.010</w:t>
            </w:r>
          </w:p>
        </w:tc>
      </w:tr>
      <w:tr w:rsidR="00026CA1" w:rsidRPr="00141E92" w14:paraId="17653537"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19CD7D9A"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Micro-vessel infiltration</w:t>
            </w:r>
          </w:p>
        </w:tc>
        <w:tc>
          <w:tcPr>
            <w:tcW w:w="2097" w:type="dxa"/>
            <w:shd w:val="clear" w:color="auto" w:fill="auto"/>
            <w:tcMar>
              <w:top w:w="192" w:type="nil"/>
              <w:left w:w="96" w:type="nil"/>
              <w:bottom w:w="96" w:type="nil"/>
              <w:right w:w="192" w:type="nil"/>
            </w:tcMar>
          </w:tcPr>
          <w:p w14:paraId="7B584D91" w14:textId="26ACABE6" w:rsidR="00026CA1" w:rsidRPr="00141E92" w:rsidRDefault="00620875" w:rsidP="008530E2">
            <w:pPr>
              <w:snapToGrid w:val="0"/>
              <w:spacing w:line="360" w:lineRule="auto"/>
              <w:jc w:val="both"/>
              <w:rPr>
                <w:rFonts w:ascii="Book Antiqua" w:hAnsi="Book Antiqua"/>
                <w:sz w:val="24"/>
                <w:szCs w:val="24"/>
              </w:rPr>
            </w:pPr>
            <w:r>
              <w:rPr>
                <w:rFonts w:ascii="Book Antiqua" w:hAnsi="Book Antiqua"/>
                <w:sz w:val="24"/>
                <w:szCs w:val="24"/>
              </w:rPr>
              <w:t>Yes/No</w:t>
            </w:r>
          </w:p>
        </w:tc>
        <w:tc>
          <w:tcPr>
            <w:tcW w:w="2421" w:type="dxa"/>
            <w:tcBorders>
              <w:right w:val="nil"/>
            </w:tcBorders>
            <w:shd w:val="clear" w:color="auto" w:fill="auto"/>
            <w:tcMar>
              <w:top w:w="192" w:type="nil"/>
              <w:left w:w="96" w:type="nil"/>
              <w:bottom w:w="96" w:type="nil"/>
              <w:right w:w="192" w:type="nil"/>
            </w:tcMar>
          </w:tcPr>
          <w:p w14:paraId="05A49E9A"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0.073</w:t>
            </w:r>
          </w:p>
        </w:tc>
      </w:tr>
      <w:tr w:rsidR="00026CA1" w:rsidRPr="00141E92" w14:paraId="240C563F"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20B74C75"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Lymphatic invasion</w:t>
            </w:r>
          </w:p>
        </w:tc>
        <w:tc>
          <w:tcPr>
            <w:tcW w:w="2097" w:type="dxa"/>
            <w:shd w:val="clear" w:color="auto" w:fill="auto"/>
            <w:tcMar>
              <w:top w:w="192" w:type="nil"/>
              <w:left w:w="96" w:type="nil"/>
              <w:bottom w:w="96" w:type="nil"/>
              <w:right w:w="192" w:type="nil"/>
            </w:tcMar>
          </w:tcPr>
          <w:p w14:paraId="32FCF74D" w14:textId="6ACB0AE6" w:rsidR="00026CA1" w:rsidRPr="00141E92" w:rsidRDefault="00620875" w:rsidP="008530E2">
            <w:pPr>
              <w:snapToGrid w:val="0"/>
              <w:spacing w:line="360" w:lineRule="auto"/>
              <w:jc w:val="both"/>
              <w:rPr>
                <w:rFonts w:ascii="Book Antiqua" w:hAnsi="Book Antiqua"/>
                <w:sz w:val="24"/>
                <w:szCs w:val="24"/>
              </w:rPr>
            </w:pPr>
            <w:r>
              <w:rPr>
                <w:rFonts w:ascii="Book Antiqua" w:hAnsi="Book Antiqua"/>
                <w:sz w:val="24"/>
                <w:szCs w:val="24"/>
              </w:rPr>
              <w:t>Yes/No</w:t>
            </w:r>
          </w:p>
        </w:tc>
        <w:tc>
          <w:tcPr>
            <w:tcW w:w="2421" w:type="dxa"/>
            <w:tcBorders>
              <w:right w:val="nil"/>
            </w:tcBorders>
            <w:shd w:val="clear" w:color="auto" w:fill="auto"/>
            <w:tcMar>
              <w:top w:w="192" w:type="nil"/>
              <w:left w:w="96" w:type="nil"/>
              <w:bottom w:w="96" w:type="nil"/>
              <w:right w:w="192" w:type="nil"/>
            </w:tcMar>
          </w:tcPr>
          <w:p w14:paraId="2DA813CC"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0.039</w:t>
            </w:r>
          </w:p>
        </w:tc>
      </w:tr>
      <w:tr w:rsidR="00026CA1" w:rsidRPr="00141E92" w14:paraId="4748D052" w14:textId="77777777" w:rsidTr="00620875">
        <w:trPr>
          <w:trHeight w:val="57"/>
        </w:trPr>
        <w:tc>
          <w:tcPr>
            <w:tcW w:w="2802" w:type="dxa"/>
            <w:tcBorders>
              <w:left w:val="nil"/>
            </w:tcBorders>
            <w:shd w:val="clear" w:color="auto" w:fill="auto"/>
            <w:tcMar>
              <w:top w:w="192" w:type="nil"/>
              <w:left w:w="96" w:type="nil"/>
              <w:bottom w:w="96" w:type="nil"/>
              <w:right w:w="192" w:type="nil"/>
            </w:tcMar>
          </w:tcPr>
          <w:p w14:paraId="08558043"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IAP1 expression</w:t>
            </w:r>
          </w:p>
        </w:tc>
        <w:tc>
          <w:tcPr>
            <w:tcW w:w="2097" w:type="dxa"/>
            <w:shd w:val="clear" w:color="auto" w:fill="auto"/>
            <w:tcMar>
              <w:top w:w="192" w:type="nil"/>
              <w:left w:w="96" w:type="nil"/>
              <w:bottom w:w="96" w:type="nil"/>
              <w:right w:w="192" w:type="nil"/>
            </w:tcMar>
          </w:tcPr>
          <w:p w14:paraId="532647DB" w14:textId="4659DAD0"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High/low</w:t>
            </w:r>
          </w:p>
        </w:tc>
        <w:tc>
          <w:tcPr>
            <w:tcW w:w="2421" w:type="dxa"/>
            <w:tcBorders>
              <w:right w:val="nil"/>
            </w:tcBorders>
            <w:shd w:val="clear" w:color="auto" w:fill="auto"/>
            <w:tcMar>
              <w:top w:w="192" w:type="nil"/>
              <w:left w:w="96" w:type="nil"/>
              <w:bottom w:w="96" w:type="nil"/>
              <w:right w:w="192" w:type="nil"/>
            </w:tcMar>
          </w:tcPr>
          <w:p w14:paraId="7E9F7B44"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0.022</w:t>
            </w:r>
          </w:p>
        </w:tc>
      </w:tr>
      <w:tr w:rsidR="00026CA1" w:rsidRPr="00141E92" w14:paraId="7686C68D" w14:textId="77777777" w:rsidTr="00620875">
        <w:trPr>
          <w:trHeight w:val="57"/>
        </w:trPr>
        <w:tc>
          <w:tcPr>
            <w:tcW w:w="2802" w:type="dxa"/>
            <w:tcBorders>
              <w:left w:val="nil"/>
              <w:bottom w:val="single" w:sz="8" w:space="0" w:color="000000" w:themeColor="text1"/>
            </w:tcBorders>
            <w:shd w:val="clear" w:color="auto" w:fill="auto"/>
            <w:tcMar>
              <w:top w:w="192" w:type="nil"/>
              <w:left w:w="96" w:type="nil"/>
              <w:bottom w:w="96" w:type="nil"/>
              <w:right w:w="192" w:type="nil"/>
            </w:tcMar>
          </w:tcPr>
          <w:p w14:paraId="4F6CB3ED"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IAP2 expression</w:t>
            </w:r>
          </w:p>
        </w:tc>
        <w:tc>
          <w:tcPr>
            <w:tcW w:w="2097" w:type="dxa"/>
            <w:tcBorders>
              <w:bottom w:val="single" w:sz="8" w:space="0" w:color="000000" w:themeColor="text1"/>
            </w:tcBorders>
            <w:shd w:val="clear" w:color="auto" w:fill="auto"/>
            <w:tcMar>
              <w:top w:w="192" w:type="nil"/>
              <w:left w:w="96" w:type="nil"/>
              <w:bottom w:w="96" w:type="nil"/>
              <w:right w:w="192" w:type="nil"/>
            </w:tcMar>
          </w:tcPr>
          <w:p w14:paraId="183F78A5"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High/low</w:t>
            </w:r>
          </w:p>
        </w:tc>
        <w:tc>
          <w:tcPr>
            <w:tcW w:w="2421" w:type="dxa"/>
            <w:tcBorders>
              <w:bottom w:val="single" w:sz="8" w:space="0" w:color="000000" w:themeColor="text1"/>
              <w:right w:val="nil"/>
            </w:tcBorders>
            <w:shd w:val="clear" w:color="auto" w:fill="auto"/>
            <w:tcMar>
              <w:top w:w="192" w:type="nil"/>
              <w:left w:w="96" w:type="nil"/>
              <w:bottom w:w="96" w:type="nil"/>
              <w:right w:w="192" w:type="nil"/>
            </w:tcMar>
          </w:tcPr>
          <w:p w14:paraId="56041AD8"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0.624</w:t>
            </w:r>
          </w:p>
        </w:tc>
      </w:tr>
    </w:tbl>
    <w:p w14:paraId="4BD9B8B8" w14:textId="4F9FB647" w:rsidR="000451D4" w:rsidRPr="00141E92" w:rsidRDefault="00620875" w:rsidP="008530E2">
      <w:pPr>
        <w:snapToGrid w:val="0"/>
        <w:spacing w:line="360" w:lineRule="auto"/>
        <w:jc w:val="both"/>
        <w:rPr>
          <w:rFonts w:ascii="Book Antiqua" w:hAnsi="Book Antiqua"/>
          <w:b/>
          <w:bCs/>
          <w:sz w:val="24"/>
          <w:szCs w:val="24"/>
        </w:rPr>
      </w:pPr>
      <w:r>
        <w:rPr>
          <w:rFonts w:ascii="Book Antiqua" w:eastAsiaTheme="majorEastAsia" w:hAnsi="Book Antiqua" w:cstheme="majorBidi"/>
          <w:color w:val="000000" w:themeColor="text1"/>
          <w:kern w:val="24"/>
          <w:sz w:val="24"/>
          <w:szCs w:val="24"/>
        </w:rPr>
        <w:t>IAP1:</w:t>
      </w:r>
      <w:r w:rsidRPr="00141E92">
        <w:rPr>
          <w:rFonts w:ascii="Book Antiqua" w:eastAsiaTheme="majorEastAsia" w:hAnsi="Book Antiqua" w:cstheme="majorBidi"/>
          <w:color w:val="000000" w:themeColor="text1"/>
          <w:kern w:val="24"/>
          <w:sz w:val="24"/>
          <w:szCs w:val="24"/>
        </w:rPr>
        <w:t xml:space="preserve"> </w:t>
      </w:r>
      <w:r>
        <w:rPr>
          <w:rFonts w:ascii="Book Antiqua" w:hAnsi="Book Antiqua" w:cs="Times"/>
          <w:color w:val="000000" w:themeColor="text1"/>
          <w:sz w:val="24"/>
          <w:szCs w:val="24"/>
        </w:rPr>
        <w:t>Inhibitor</w:t>
      </w:r>
      <w:r w:rsidRPr="00141E92">
        <w:rPr>
          <w:rFonts w:ascii="Book Antiqua" w:hAnsi="Book Antiqua" w:cs="Times"/>
          <w:color w:val="000000" w:themeColor="text1"/>
          <w:sz w:val="24"/>
          <w:szCs w:val="24"/>
        </w:rPr>
        <w:t xml:space="preserve"> of apoptosis protein 1</w:t>
      </w:r>
      <w:r>
        <w:rPr>
          <w:rFonts w:ascii="Book Antiqua" w:hAnsi="Book Antiqua" w:cs="Times"/>
          <w:color w:val="000000" w:themeColor="text1"/>
          <w:sz w:val="24"/>
          <w:szCs w:val="24"/>
        </w:rPr>
        <w:t xml:space="preserve">; </w:t>
      </w:r>
      <w:r w:rsidRPr="00141E92">
        <w:rPr>
          <w:rFonts w:ascii="Book Antiqua" w:eastAsiaTheme="majorEastAsia" w:hAnsi="Book Antiqua" w:cstheme="majorBidi"/>
          <w:color w:val="000000" w:themeColor="text1"/>
          <w:kern w:val="24"/>
          <w:sz w:val="24"/>
          <w:szCs w:val="24"/>
        </w:rPr>
        <w:t xml:space="preserve">IAP2: </w:t>
      </w:r>
      <w:r>
        <w:rPr>
          <w:rFonts w:ascii="Book Antiqua" w:hAnsi="Book Antiqua" w:cs="Times"/>
          <w:color w:val="000000" w:themeColor="text1"/>
          <w:sz w:val="24"/>
          <w:szCs w:val="24"/>
        </w:rPr>
        <w:t>Inhibitor</w:t>
      </w:r>
      <w:r w:rsidRPr="00141E92">
        <w:rPr>
          <w:rFonts w:ascii="Book Antiqua" w:hAnsi="Book Antiqua" w:cs="Times"/>
          <w:color w:val="000000" w:themeColor="text1"/>
          <w:sz w:val="24"/>
          <w:szCs w:val="24"/>
        </w:rPr>
        <w:t xml:space="preserve"> of apopt</w:t>
      </w:r>
      <w:r>
        <w:rPr>
          <w:rFonts w:ascii="Book Antiqua" w:hAnsi="Book Antiqua" w:cs="Times"/>
          <w:color w:val="000000" w:themeColor="text1"/>
          <w:sz w:val="24"/>
          <w:szCs w:val="24"/>
        </w:rPr>
        <w:t>osis protein 2</w:t>
      </w:r>
      <w:r w:rsidR="000E78CE" w:rsidRPr="00141E92">
        <w:rPr>
          <w:rFonts w:ascii="Book Antiqua" w:hAnsi="Book Antiqua" w:cs="Times"/>
          <w:color w:val="000000" w:themeColor="text1"/>
          <w:sz w:val="24"/>
          <w:szCs w:val="24"/>
        </w:rPr>
        <w:t>.</w:t>
      </w:r>
      <w:r w:rsidR="00171CE3" w:rsidRPr="00141E92">
        <w:rPr>
          <w:rFonts w:ascii="Book Antiqua" w:hAnsi="Book Antiqua" w:cs="Times"/>
          <w:color w:val="000000" w:themeColor="text1"/>
          <w:sz w:val="24"/>
          <w:szCs w:val="24"/>
        </w:rPr>
        <w:t xml:space="preserve"> </w:t>
      </w:r>
      <w:r w:rsidR="000451D4" w:rsidRPr="00141E92">
        <w:rPr>
          <w:rFonts w:ascii="Book Antiqua" w:hAnsi="Book Antiqua"/>
          <w:b/>
          <w:bCs/>
          <w:sz w:val="24"/>
          <w:szCs w:val="24"/>
        </w:rPr>
        <w:br w:type="page"/>
      </w:r>
    </w:p>
    <w:p w14:paraId="75997BCF" w14:textId="57C0AB19" w:rsidR="00026CA1" w:rsidRPr="00141E92" w:rsidRDefault="00026CA1" w:rsidP="00620875">
      <w:pPr>
        <w:snapToGrid w:val="0"/>
        <w:spacing w:line="360" w:lineRule="auto"/>
        <w:jc w:val="both"/>
        <w:outlineLvl w:val="0"/>
        <w:rPr>
          <w:rFonts w:ascii="Book Antiqua" w:hAnsi="Book Antiqua"/>
          <w:b/>
          <w:sz w:val="24"/>
          <w:szCs w:val="24"/>
        </w:rPr>
      </w:pPr>
      <w:r w:rsidRPr="00141E92">
        <w:rPr>
          <w:rFonts w:ascii="Book Antiqua" w:hAnsi="Book Antiqua"/>
          <w:b/>
          <w:bCs/>
          <w:sz w:val="24"/>
          <w:szCs w:val="24"/>
        </w:rPr>
        <w:lastRenderedPageBreak/>
        <w:t>Table 3</w:t>
      </w:r>
      <w:r w:rsidRPr="00141E92">
        <w:rPr>
          <w:rFonts w:ascii="Book Antiqua" w:hAnsi="Book Antiqua"/>
          <w:b/>
          <w:sz w:val="24"/>
          <w:szCs w:val="24"/>
        </w:rPr>
        <w:t xml:space="preserve"> Mul</w:t>
      </w:r>
      <w:r w:rsidR="00620875">
        <w:rPr>
          <w:rFonts w:ascii="Book Antiqua" w:hAnsi="Book Antiqua"/>
          <w:b/>
          <w:sz w:val="24"/>
          <w:szCs w:val="24"/>
        </w:rPr>
        <w:t>tivariate analysis for overall s</w:t>
      </w:r>
      <w:r w:rsidRPr="00141E92">
        <w:rPr>
          <w:rFonts w:ascii="Book Antiqua" w:hAnsi="Book Antiqua"/>
          <w:b/>
          <w:sz w:val="24"/>
          <w:szCs w:val="24"/>
        </w:rPr>
        <w:t>urvival</w:t>
      </w:r>
    </w:p>
    <w:tbl>
      <w:tblPr>
        <w:tblW w:w="9604" w:type="dxa"/>
        <w:tblInd w:w="-282" w:type="dxa"/>
        <w:tblBorders>
          <w:top w:val="single" w:sz="8" w:space="0" w:color="auto"/>
          <w:left w:val="single" w:sz="8" w:space="0" w:color="auto"/>
          <w:bottom w:val="single" w:sz="8" w:space="0" w:color="auto"/>
          <w:right w:val="single" w:sz="8" w:space="0" w:color="auto"/>
        </w:tblBorders>
        <w:tblCellMar>
          <w:left w:w="0" w:type="dxa"/>
          <w:right w:w="0" w:type="dxa"/>
        </w:tblCellMar>
        <w:tblLook w:val="0420" w:firstRow="1" w:lastRow="0" w:firstColumn="0" w:lastColumn="0" w:noHBand="0" w:noVBand="1"/>
      </w:tblPr>
      <w:tblGrid>
        <w:gridCol w:w="4605"/>
        <w:gridCol w:w="1349"/>
        <w:gridCol w:w="1919"/>
        <w:gridCol w:w="1731"/>
      </w:tblGrid>
      <w:tr w:rsidR="00026CA1" w:rsidRPr="00141E92" w14:paraId="10C5AC3C" w14:textId="77777777" w:rsidTr="002F5449">
        <w:trPr>
          <w:trHeight w:val="57"/>
        </w:trPr>
        <w:tc>
          <w:tcPr>
            <w:tcW w:w="4605" w:type="dxa"/>
            <w:tcBorders>
              <w:top w:val="single" w:sz="8" w:space="0" w:color="auto"/>
              <w:left w:val="nil"/>
              <w:bottom w:val="nil"/>
            </w:tcBorders>
            <w:shd w:val="clear" w:color="auto" w:fill="auto"/>
            <w:tcMar>
              <w:top w:w="72" w:type="dxa"/>
              <w:left w:w="144" w:type="dxa"/>
              <w:bottom w:w="72" w:type="dxa"/>
              <w:right w:w="144" w:type="dxa"/>
            </w:tcMar>
            <w:hideMark/>
          </w:tcPr>
          <w:p w14:paraId="63FFE677" w14:textId="77777777" w:rsidR="00026CA1" w:rsidRPr="00141E92" w:rsidRDefault="00026CA1" w:rsidP="008530E2">
            <w:pPr>
              <w:snapToGrid w:val="0"/>
              <w:spacing w:line="360" w:lineRule="auto"/>
              <w:jc w:val="both"/>
              <w:rPr>
                <w:rFonts w:ascii="Book Antiqua" w:hAnsi="Book Antiqua"/>
                <w:sz w:val="24"/>
                <w:szCs w:val="24"/>
              </w:rPr>
            </w:pPr>
          </w:p>
        </w:tc>
        <w:tc>
          <w:tcPr>
            <w:tcW w:w="4998" w:type="dxa"/>
            <w:gridSpan w:val="3"/>
            <w:tcBorders>
              <w:top w:val="single" w:sz="8" w:space="0" w:color="auto"/>
              <w:bottom w:val="nil"/>
              <w:right w:val="nil"/>
            </w:tcBorders>
            <w:shd w:val="clear" w:color="auto" w:fill="auto"/>
            <w:tcMar>
              <w:top w:w="72" w:type="dxa"/>
              <w:left w:w="144" w:type="dxa"/>
              <w:bottom w:w="72" w:type="dxa"/>
              <w:right w:w="144" w:type="dxa"/>
            </w:tcMar>
            <w:hideMark/>
          </w:tcPr>
          <w:p w14:paraId="6B39502D"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b/>
                <w:bCs/>
                <w:sz w:val="24"/>
                <w:szCs w:val="24"/>
              </w:rPr>
              <w:t>Overall Survival</w:t>
            </w:r>
          </w:p>
        </w:tc>
      </w:tr>
      <w:tr w:rsidR="00026CA1" w:rsidRPr="00141E92" w14:paraId="58AEDDC2" w14:textId="77777777" w:rsidTr="002F5449">
        <w:trPr>
          <w:trHeight w:val="57"/>
        </w:trPr>
        <w:tc>
          <w:tcPr>
            <w:tcW w:w="4605" w:type="dxa"/>
            <w:tcBorders>
              <w:top w:val="nil"/>
              <w:left w:val="nil"/>
              <w:bottom w:val="single" w:sz="8" w:space="0" w:color="auto"/>
            </w:tcBorders>
            <w:shd w:val="clear" w:color="auto" w:fill="auto"/>
            <w:tcMar>
              <w:top w:w="72" w:type="dxa"/>
              <w:left w:w="144" w:type="dxa"/>
              <w:bottom w:w="72" w:type="dxa"/>
              <w:right w:w="144" w:type="dxa"/>
            </w:tcMar>
            <w:hideMark/>
          </w:tcPr>
          <w:p w14:paraId="0A6D4434"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b/>
                <w:bCs/>
                <w:sz w:val="24"/>
                <w:szCs w:val="24"/>
              </w:rPr>
              <w:t>Variables</w:t>
            </w:r>
          </w:p>
        </w:tc>
        <w:tc>
          <w:tcPr>
            <w:tcW w:w="1349" w:type="dxa"/>
            <w:tcBorders>
              <w:top w:val="nil"/>
              <w:bottom w:val="single" w:sz="8" w:space="0" w:color="auto"/>
            </w:tcBorders>
            <w:shd w:val="clear" w:color="auto" w:fill="auto"/>
            <w:tcMar>
              <w:top w:w="72" w:type="dxa"/>
              <w:left w:w="144" w:type="dxa"/>
              <w:bottom w:w="72" w:type="dxa"/>
              <w:right w:w="144" w:type="dxa"/>
            </w:tcMar>
            <w:hideMark/>
          </w:tcPr>
          <w:p w14:paraId="1CDE4088"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b/>
                <w:bCs/>
                <w:sz w:val="24"/>
                <w:szCs w:val="24"/>
              </w:rPr>
              <w:t>HR</w:t>
            </w:r>
          </w:p>
        </w:tc>
        <w:tc>
          <w:tcPr>
            <w:tcW w:w="1919" w:type="dxa"/>
            <w:tcBorders>
              <w:top w:val="nil"/>
              <w:bottom w:val="single" w:sz="8" w:space="0" w:color="auto"/>
            </w:tcBorders>
            <w:shd w:val="clear" w:color="auto" w:fill="auto"/>
            <w:tcMar>
              <w:top w:w="72" w:type="dxa"/>
              <w:left w:w="144" w:type="dxa"/>
              <w:bottom w:w="72" w:type="dxa"/>
              <w:right w:w="144" w:type="dxa"/>
            </w:tcMar>
            <w:hideMark/>
          </w:tcPr>
          <w:p w14:paraId="155E5961" w14:textId="61E09AF7" w:rsidR="00026CA1" w:rsidRPr="00141E92" w:rsidRDefault="00620875" w:rsidP="00620875">
            <w:pPr>
              <w:snapToGrid w:val="0"/>
              <w:spacing w:line="360" w:lineRule="auto"/>
              <w:jc w:val="center"/>
              <w:rPr>
                <w:rFonts w:ascii="Book Antiqua" w:hAnsi="Book Antiqua"/>
                <w:sz w:val="24"/>
                <w:szCs w:val="24"/>
              </w:rPr>
            </w:pPr>
            <w:r>
              <w:rPr>
                <w:rFonts w:ascii="Book Antiqua" w:hAnsi="Book Antiqua"/>
                <w:b/>
                <w:bCs/>
                <w:sz w:val="24"/>
                <w:szCs w:val="24"/>
              </w:rPr>
              <w:t>95%</w:t>
            </w:r>
            <w:r w:rsidR="00026CA1" w:rsidRPr="00141E92">
              <w:rPr>
                <w:rFonts w:ascii="Book Antiqua" w:hAnsi="Book Antiqua"/>
                <w:b/>
                <w:bCs/>
                <w:sz w:val="24"/>
                <w:szCs w:val="24"/>
              </w:rPr>
              <w:t>CI</w:t>
            </w:r>
          </w:p>
        </w:tc>
        <w:tc>
          <w:tcPr>
            <w:tcW w:w="1731" w:type="dxa"/>
            <w:tcBorders>
              <w:top w:val="nil"/>
              <w:bottom w:val="single" w:sz="8" w:space="0" w:color="auto"/>
              <w:right w:val="nil"/>
            </w:tcBorders>
            <w:shd w:val="clear" w:color="auto" w:fill="auto"/>
            <w:tcMar>
              <w:top w:w="72" w:type="dxa"/>
              <w:left w:w="144" w:type="dxa"/>
              <w:bottom w:w="72" w:type="dxa"/>
              <w:right w:w="144" w:type="dxa"/>
            </w:tcMar>
            <w:hideMark/>
          </w:tcPr>
          <w:p w14:paraId="5F97AC03" w14:textId="03406EA2" w:rsidR="00026CA1" w:rsidRPr="00141E92" w:rsidRDefault="00AD00AB" w:rsidP="00620875">
            <w:pPr>
              <w:snapToGrid w:val="0"/>
              <w:spacing w:line="360" w:lineRule="auto"/>
              <w:jc w:val="center"/>
              <w:rPr>
                <w:rFonts w:ascii="Book Antiqua" w:hAnsi="Book Antiqua"/>
                <w:sz w:val="24"/>
                <w:szCs w:val="24"/>
              </w:rPr>
            </w:pPr>
            <w:r w:rsidRPr="00141E92">
              <w:rPr>
                <w:rFonts w:ascii="Book Antiqua" w:hAnsi="Book Antiqua"/>
                <w:b/>
                <w:bCs/>
                <w:i/>
                <w:iCs/>
                <w:sz w:val="24"/>
                <w:szCs w:val="24"/>
              </w:rPr>
              <w:t>P</w:t>
            </w:r>
            <w:r w:rsidR="00026CA1" w:rsidRPr="00141E92">
              <w:rPr>
                <w:rFonts w:ascii="Book Antiqua" w:hAnsi="Book Antiqua"/>
                <w:b/>
                <w:bCs/>
                <w:sz w:val="24"/>
                <w:szCs w:val="24"/>
              </w:rPr>
              <w:t xml:space="preserve"> value</w:t>
            </w:r>
          </w:p>
        </w:tc>
      </w:tr>
      <w:tr w:rsidR="00026CA1" w:rsidRPr="00141E92" w14:paraId="718B6967" w14:textId="77777777" w:rsidTr="002F5449">
        <w:trPr>
          <w:trHeight w:val="283"/>
        </w:trPr>
        <w:tc>
          <w:tcPr>
            <w:tcW w:w="4605" w:type="dxa"/>
            <w:tcBorders>
              <w:top w:val="single" w:sz="8" w:space="0" w:color="auto"/>
              <w:left w:val="nil"/>
            </w:tcBorders>
            <w:shd w:val="clear" w:color="auto" w:fill="auto"/>
            <w:tcMar>
              <w:top w:w="72" w:type="dxa"/>
              <w:left w:w="144" w:type="dxa"/>
              <w:bottom w:w="72" w:type="dxa"/>
              <w:right w:w="144" w:type="dxa"/>
            </w:tcMar>
            <w:hideMark/>
          </w:tcPr>
          <w:p w14:paraId="477E402E"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 xml:space="preserve">Tumor differentiation, G1-G2/G3-G4 </w:t>
            </w:r>
          </w:p>
        </w:tc>
        <w:tc>
          <w:tcPr>
            <w:tcW w:w="1349" w:type="dxa"/>
            <w:tcBorders>
              <w:top w:val="single" w:sz="8" w:space="0" w:color="auto"/>
            </w:tcBorders>
            <w:shd w:val="clear" w:color="auto" w:fill="auto"/>
            <w:tcMar>
              <w:top w:w="72" w:type="dxa"/>
              <w:left w:w="144" w:type="dxa"/>
              <w:bottom w:w="72" w:type="dxa"/>
              <w:right w:w="144" w:type="dxa"/>
            </w:tcMar>
            <w:hideMark/>
          </w:tcPr>
          <w:p w14:paraId="51710358"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2.73</w:t>
            </w:r>
          </w:p>
        </w:tc>
        <w:tc>
          <w:tcPr>
            <w:tcW w:w="1919" w:type="dxa"/>
            <w:tcBorders>
              <w:top w:val="single" w:sz="8" w:space="0" w:color="auto"/>
            </w:tcBorders>
            <w:shd w:val="clear" w:color="auto" w:fill="auto"/>
            <w:tcMar>
              <w:top w:w="72" w:type="dxa"/>
              <w:left w:w="144" w:type="dxa"/>
              <w:bottom w:w="72" w:type="dxa"/>
              <w:right w:w="144" w:type="dxa"/>
            </w:tcMar>
            <w:hideMark/>
          </w:tcPr>
          <w:p w14:paraId="779A309D" w14:textId="75B9B2F5"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1.17-6.37</w:t>
            </w:r>
          </w:p>
        </w:tc>
        <w:tc>
          <w:tcPr>
            <w:tcW w:w="1731" w:type="dxa"/>
            <w:tcBorders>
              <w:top w:val="single" w:sz="8" w:space="0" w:color="auto"/>
              <w:right w:val="nil"/>
            </w:tcBorders>
            <w:shd w:val="clear" w:color="auto" w:fill="auto"/>
            <w:tcMar>
              <w:top w:w="72" w:type="dxa"/>
              <w:left w:w="144" w:type="dxa"/>
              <w:bottom w:w="72" w:type="dxa"/>
              <w:right w:w="144" w:type="dxa"/>
            </w:tcMar>
            <w:hideMark/>
          </w:tcPr>
          <w:p w14:paraId="7147FB95"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0.02</w:t>
            </w:r>
          </w:p>
        </w:tc>
      </w:tr>
      <w:tr w:rsidR="00026CA1" w:rsidRPr="00141E92" w14:paraId="7873B0A3" w14:textId="77777777" w:rsidTr="002F5449">
        <w:trPr>
          <w:trHeight w:val="120"/>
        </w:trPr>
        <w:tc>
          <w:tcPr>
            <w:tcW w:w="4605" w:type="dxa"/>
            <w:tcBorders>
              <w:left w:val="nil"/>
            </w:tcBorders>
            <w:shd w:val="clear" w:color="auto" w:fill="auto"/>
            <w:tcMar>
              <w:top w:w="72" w:type="dxa"/>
              <w:left w:w="144" w:type="dxa"/>
              <w:bottom w:w="72" w:type="dxa"/>
              <w:right w:w="144" w:type="dxa"/>
            </w:tcMar>
            <w:hideMark/>
          </w:tcPr>
          <w:p w14:paraId="0C579260"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 xml:space="preserve">Resection status, R0/R1-R2 </w:t>
            </w:r>
          </w:p>
        </w:tc>
        <w:tc>
          <w:tcPr>
            <w:tcW w:w="1349" w:type="dxa"/>
            <w:shd w:val="clear" w:color="auto" w:fill="auto"/>
            <w:tcMar>
              <w:top w:w="72" w:type="dxa"/>
              <w:left w:w="144" w:type="dxa"/>
              <w:bottom w:w="72" w:type="dxa"/>
              <w:right w:w="144" w:type="dxa"/>
            </w:tcMar>
            <w:hideMark/>
          </w:tcPr>
          <w:p w14:paraId="16972D64"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2.87</w:t>
            </w:r>
          </w:p>
        </w:tc>
        <w:tc>
          <w:tcPr>
            <w:tcW w:w="1919" w:type="dxa"/>
            <w:shd w:val="clear" w:color="auto" w:fill="auto"/>
            <w:tcMar>
              <w:top w:w="72" w:type="dxa"/>
              <w:left w:w="144" w:type="dxa"/>
              <w:bottom w:w="72" w:type="dxa"/>
              <w:right w:w="144" w:type="dxa"/>
            </w:tcMar>
            <w:hideMark/>
          </w:tcPr>
          <w:p w14:paraId="40B517DD" w14:textId="2F23D265"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1.31-6.29</w:t>
            </w:r>
          </w:p>
        </w:tc>
        <w:tc>
          <w:tcPr>
            <w:tcW w:w="1731" w:type="dxa"/>
            <w:tcBorders>
              <w:right w:val="nil"/>
            </w:tcBorders>
            <w:shd w:val="clear" w:color="auto" w:fill="auto"/>
            <w:tcMar>
              <w:top w:w="72" w:type="dxa"/>
              <w:left w:w="144" w:type="dxa"/>
              <w:bottom w:w="72" w:type="dxa"/>
              <w:right w:w="144" w:type="dxa"/>
            </w:tcMar>
            <w:hideMark/>
          </w:tcPr>
          <w:p w14:paraId="7E615E83"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0.008</w:t>
            </w:r>
          </w:p>
        </w:tc>
      </w:tr>
      <w:tr w:rsidR="00026CA1" w:rsidRPr="00141E92" w14:paraId="6B5E3CC9" w14:textId="77777777" w:rsidTr="002F5449">
        <w:trPr>
          <w:trHeight w:val="85"/>
        </w:trPr>
        <w:tc>
          <w:tcPr>
            <w:tcW w:w="4605" w:type="dxa"/>
            <w:tcBorders>
              <w:left w:val="nil"/>
              <w:bottom w:val="single" w:sz="8" w:space="0" w:color="auto"/>
            </w:tcBorders>
            <w:shd w:val="clear" w:color="auto" w:fill="auto"/>
            <w:tcMar>
              <w:top w:w="72" w:type="dxa"/>
              <w:left w:w="144" w:type="dxa"/>
              <w:bottom w:w="72" w:type="dxa"/>
              <w:right w:w="144" w:type="dxa"/>
            </w:tcMar>
            <w:hideMark/>
          </w:tcPr>
          <w:p w14:paraId="094C5088" w14:textId="77777777" w:rsidR="00026CA1" w:rsidRPr="00141E92" w:rsidRDefault="00026CA1" w:rsidP="008530E2">
            <w:pPr>
              <w:snapToGrid w:val="0"/>
              <w:spacing w:line="360" w:lineRule="auto"/>
              <w:jc w:val="both"/>
              <w:rPr>
                <w:rFonts w:ascii="Book Antiqua" w:hAnsi="Book Antiqua"/>
                <w:sz w:val="24"/>
                <w:szCs w:val="24"/>
              </w:rPr>
            </w:pPr>
            <w:r w:rsidRPr="00141E92">
              <w:rPr>
                <w:rFonts w:ascii="Book Antiqua" w:hAnsi="Book Antiqua"/>
                <w:sz w:val="24"/>
                <w:szCs w:val="24"/>
              </w:rPr>
              <w:t>IAP1 expression, high/low</w:t>
            </w:r>
          </w:p>
        </w:tc>
        <w:tc>
          <w:tcPr>
            <w:tcW w:w="1349" w:type="dxa"/>
            <w:tcBorders>
              <w:bottom w:val="single" w:sz="8" w:space="0" w:color="auto"/>
            </w:tcBorders>
            <w:shd w:val="clear" w:color="auto" w:fill="auto"/>
            <w:tcMar>
              <w:top w:w="72" w:type="dxa"/>
              <w:left w:w="144" w:type="dxa"/>
              <w:bottom w:w="72" w:type="dxa"/>
              <w:right w:w="144" w:type="dxa"/>
            </w:tcMar>
            <w:hideMark/>
          </w:tcPr>
          <w:p w14:paraId="4FBA39DC"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5.51</w:t>
            </w:r>
          </w:p>
        </w:tc>
        <w:tc>
          <w:tcPr>
            <w:tcW w:w="1919" w:type="dxa"/>
            <w:tcBorders>
              <w:bottom w:val="single" w:sz="8" w:space="0" w:color="auto"/>
            </w:tcBorders>
            <w:shd w:val="clear" w:color="auto" w:fill="auto"/>
            <w:tcMar>
              <w:top w:w="72" w:type="dxa"/>
              <w:left w:w="144" w:type="dxa"/>
              <w:bottom w:w="72" w:type="dxa"/>
              <w:right w:w="144" w:type="dxa"/>
            </w:tcMar>
            <w:hideMark/>
          </w:tcPr>
          <w:p w14:paraId="364A9F90" w14:textId="3AD2CFA3"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1.95-15.59</w:t>
            </w:r>
          </w:p>
        </w:tc>
        <w:tc>
          <w:tcPr>
            <w:tcW w:w="1731" w:type="dxa"/>
            <w:tcBorders>
              <w:bottom w:val="single" w:sz="8" w:space="0" w:color="auto"/>
              <w:right w:val="nil"/>
            </w:tcBorders>
            <w:shd w:val="clear" w:color="auto" w:fill="auto"/>
            <w:tcMar>
              <w:top w:w="72" w:type="dxa"/>
              <w:left w:w="144" w:type="dxa"/>
              <w:bottom w:w="72" w:type="dxa"/>
              <w:right w:w="144" w:type="dxa"/>
            </w:tcMar>
            <w:hideMark/>
          </w:tcPr>
          <w:p w14:paraId="67D82DB4" w14:textId="77777777" w:rsidR="00026CA1" w:rsidRPr="00141E92" w:rsidRDefault="00026CA1" w:rsidP="00620875">
            <w:pPr>
              <w:snapToGrid w:val="0"/>
              <w:spacing w:line="360" w:lineRule="auto"/>
              <w:jc w:val="center"/>
              <w:rPr>
                <w:rFonts w:ascii="Book Antiqua" w:hAnsi="Book Antiqua"/>
                <w:sz w:val="24"/>
                <w:szCs w:val="24"/>
              </w:rPr>
            </w:pPr>
            <w:r w:rsidRPr="00141E92">
              <w:rPr>
                <w:rFonts w:ascii="Book Antiqua" w:hAnsi="Book Antiqua"/>
                <w:sz w:val="24"/>
                <w:szCs w:val="24"/>
              </w:rPr>
              <w:t>0.001</w:t>
            </w:r>
          </w:p>
        </w:tc>
      </w:tr>
    </w:tbl>
    <w:p w14:paraId="4249CC3B" w14:textId="32AFA36E" w:rsidR="00171CE3" w:rsidRPr="00620875" w:rsidRDefault="00620875" w:rsidP="008530E2">
      <w:pPr>
        <w:pStyle w:val="a3"/>
        <w:snapToGrid w:val="0"/>
        <w:spacing w:before="0" w:beforeAutospacing="0" w:after="0" w:afterAutospacing="0" w:line="360" w:lineRule="auto"/>
        <w:jc w:val="both"/>
        <w:rPr>
          <w:rFonts w:ascii="Book Antiqua" w:hAnsi="Book Antiqua" w:cstheme="minorBidi"/>
          <w:color w:val="000000" w:themeColor="text1"/>
          <w:kern w:val="24"/>
          <w:sz w:val="24"/>
          <w:szCs w:val="24"/>
        </w:rPr>
      </w:pPr>
      <w:r>
        <w:rPr>
          <w:rFonts w:ascii="Book Antiqua" w:hAnsi="Book Antiqua" w:cstheme="minorBidi"/>
          <w:color w:val="000000" w:themeColor="text1"/>
          <w:kern w:val="24"/>
          <w:sz w:val="24"/>
          <w:szCs w:val="24"/>
        </w:rPr>
        <w:t xml:space="preserve">CI: Confidence interval; HR: Hazard ratio; </w:t>
      </w:r>
      <w:r w:rsidR="00171CE3" w:rsidRPr="00141E92">
        <w:rPr>
          <w:rFonts w:ascii="Book Antiqua" w:eastAsiaTheme="majorEastAsia" w:hAnsi="Book Antiqua" w:cstheme="majorBidi"/>
          <w:color w:val="000000" w:themeColor="text1"/>
          <w:kern w:val="24"/>
          <w:sz w:val="24"/>
          <w:szCs w:val="24"/>
        </w:rPr>
        <w:t xml:space="preserve">IAP1: </w:t>
      </w:r>
      <w:r w:rsidR="00171CE3" w:rsidRPr="00141E92">
        <w:rPr>
          <w:rFonts w:ascii="Book Antiqua" w:hAnsi="Book Antiqua" w:cs="Times"/>
          <w:color w:val="000000" w:themeColor="text1"/>
          <w:sz w:val="24"/>
          <w:szCs w:val="24"/>
        </w:rPr>
        <w:t>Inhibitor of apoptosis protein</w:t>
      </w:r>
      <w:r w:rsidR="00087EB8" w:rsidRPr="00141E92">
        <w:rPr>
          <w:rFonts w:ascii="Book Antiqua" w:hAnsi="Book Antiqua" w:cs="Times"/>
          <w:color w:val="000000" w:themeColor="text1"/>
          <w:sz w:val="24"/>
          <w:szCs w:val="24"/>
        </w:rPr>
        <w:t xml:space="preserve"> 1</w:t>
      </w:r>
      <w:r w:rsidR="000E78CE" w:rsidRPr="00141E92">
        <w:rPr>
          <w:rFonts w:ascii="Book Antiqua" w:hAnsi="Book Antiqua" w:cs="Times"/>
          <w:color w:val="000000" w:themeColor="text1"/>
          <w:sz w:val="24"/>
          <w:szCs w:val="24"/>
        </w:rPr>
        <w:t>.</w:t>
      </w:r>
    </w:p>
    <w:sectPr w:rsidR="00171CE3" w:rsidRPr="00620875" w:rsidSect="001A169B">
      <w:footerReference w:type="even" r:id="rId25"/>
      <w:footerReference w:type="default" r:id="rId26"/>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E05DB4" w14:textId="77777777" w:rsidR="000E37C6" w:rsidRDefault="000E37C6" w:rsidP="000F5767">
      <w:r>
        <w:separator/>
      </w:r>
    </w:p>
  </w:endnote>
  <w:endnote w:type="continuationSeparator" w:id="0">
    <w:p w14:paraId="6D752354" w14:textId="77777777" w:rsidR="000E37C6" w:rsidRDefault="000E37C6" w:rsidP="000F57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DengXian">
    <w:altName w:val="Arial Unicode MS"/>
    <w:charset w:val="86"/>
    <w:family w:val="auto"/>
    <w:pitch w:val="variable"/>
    <w:sig w:usb0="00000000" w:usb1="38CF7CFA" w:usb2="00000016" w:usb3="00000000" w:csb0="0004000F" w:csb1="00000000"/>
  </w:font>
  <w:font w:name="Calibri Light">
    <w:panose1 w:val="020F0302020204030204"/>
    <w:charset w:val="00"/>
    <w:family w:val="swiss"/>
    <w:pitch w:val="variable"/>
    <w:sig w:usb0="A00002EF" w:usb1="4000207B" w:usb2="00000000" w:usb3="00000000" w:csb0="0000019F" w:csb1="00000000"/>
  </w:font>
  <w:font w:name="DengXian Light">
    <w:altName w:val="等线 Light"/>
    <w:charset w:val="86"/>
    <w:family w:val="auto"/>
    <w:pitch w:val="variable"/>
    <w:sig w:usb0="A00002BF" w:usb1="38CF7CFA" w:usb2="00000016" w:usb3="00000000" w:csb0="0004000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TimesNewRomanPSMT">
    <w:altName w:val="Times New Roman"/>
    <w:charset w:val="00"/>
    <w:family w:val="auto"/>
    <w:pitch w:val="variable"/>
    <w:sig w:usb0="E0002AEF" w:usb1="C0007841" w:usb2="00000009" w:usb3="00000000" w:csb0="000001F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20000287" w:usb1="00000000" w:usb2="00000000" w:usb3="00000000" w:csb0="0000019F" w:csb1="00000000"/>
  </w:font>
  <w:font w:name="Songti SC">
    <w:charset w:val="86"/>
    <w:family w:val="auto"/>
    <w:pitch w:val="variable"/>
    <w:sig w:usb0="00000287" w:usb1="080F0000" w:usb2="00000010" w:usb3="00000000" w:csb0="0004009F" w:csb1="00000000"/>
  </w:font>
  <w:font w:name="Segoe UI">
    <w:altName w:val="Calibri"/>
    <w:panose1 w:val="020B0502040204020203"/>
    <w:charset w:val="00"/>
    <w:family w:val="swiss"/>
    <w:pitch w:val="variable"/>
    <w:sig w:usb0="E10002FF" w:usb1="4000E47F" w:usb2="00000029"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1"/>
      </w:rPr>
      <w:id w:val="-1306313827"/>
      <w:docPartObj>
        <w:docPartGallery w:val="Page Numbers (Bottom of Page)"/>
        <w:docPartUnique/>
      </w:docPartObj>
    </w:sdtPr>
    <w:sdtEndPr>
      <w:rPr>
        <w:rStyle w:val="af1"/>
      </w:rPr>
    </w:sdtEndPr>
    <w:sdtContent>
      <w:p w14:paraId="6690EB2C" w14:textId="3199FA2D" w:rsidR="00B44A7B" w:rsidRDefault="00B44A7B" w:rsidP="001874A8">
        <w:pPr>
          <w:pStyle w:val="ac"/>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end"/>
        </w:r>
      </w:p>
    </w:sdtContent>
  </w:sdt>
  <w:p w14:paraId="1140307D" w14:textId="77777777" w:rsidR="00B44A7B" w:rsidRDefault="00B44A7B" w:rsidP="007D7024">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af1"/>
      </w:rPr>
      <w:id w:val="1288699827"/>
      <w:docPartObj>
        <w:docPartGallery w:val="Page Numbers (Bottom of Page)"/>
        <w:docPartUnique/>
      </w:docPartObj>
    </w:sdtPr>
    <w:sdtEndPr>
      <w:rPr>
        <w:rStyle w:val="af1"/>
      </w:rPr>
    </w:sdtEndPr>
    <w:sdtContent>
      <w:p w14:paraId="7DE792EA" w14:textId="6738D0BA" w:rsidR="00B44A7B" w:rsidRDefault="00B44A7B" w:rsidP="001874A8">
        <w:pPr>
          <w:pStyle w:val="ac"/>
          <w:framePr w:wrap="none" w:vAnchor="text" w:hAnchor="margin" w:xAlign="right" w:y="1"/>
          <w:rPr>
            <w:rStyle w:val="af1"/>
          </w:rPr>
        </w:pPr>
        <w:r>
          <w:rPr>
            <w:rStyle w:val="af1"/>
          </w:rPr>
          <w:fldChar w:fldCharType="begin"/>
        </w:r>
        <w:r>
          <w:rPr>
            <w:rStyle w:val="af1"/>
          </w:rPr>
          <w:instrText xml:space="preserve"> PAGE </w:instrText>
        </w:r>
        <w:r>
          <w:rPr>
            <w:rStyle w:val="af1"/>
          </w:rPr>
          <w:fldChar w:fldCharType="separate"/>
        </w:r>
        <w:r w:rsidR="00C41CEA">
          <w:rPr>
            <w:rStyle w:val="af1"/>
            <w:noProof/>
          </w:rPr>
          <w:t>25</w:t>
        </w:r>
        <w:r>
          <w:rPr>
            <w:rStyle w:val="af1"/>
          </w:rPr>
          <w:fldChar w:fldCharType="end"/>
        </w:r>
      </w:p>
    </w:sdtContent>
  </w:sdt>
  <w:p w14:paraId="244ECBA7" w14:textId="77777777" w:rsidR="00B44A7B" w:rsidRDefault="00B44A7B" w:rsidP="007D7024">
    <w:pPr>
      <w:pStyle w:val="ac"/>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372C95" w14:textId="77777777" w:rsidR="000E37C6" w:rsidRDefault="000E37C6" w:rsidP="000F5767">
      <w:r>
        <w:separator/>
      </w:r>
    </w:p>
  </w:footnote>
  <w:footnote w:type="continuationSeparator" w:id="0">
    <w:p w14:paraId="4D2101FC" w14:textId="77777777" w:rsidR="000E37C6" w:rsidRDefault="000E37C6" w:rsidP="000F576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714AF3"/>
    <w:multiLevelType w:val="hybridMultilevel"/>
    <w:tmpl w:val="DBE6B6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C3E30FE"/>
    <w:multiLevelType w:val="hybridMultilevel"/>
    <w:tmpl w:val="AF90A37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206916A5"/>
    <w:multiLevelType w:val="hybridMultilevel"/>
    <w:tmpl w:val="403A71F8"/>
    <w:lvl w:ilvl="0" w:tplc="C73617F8">
      <w:start w:val="1"/>
      <w:numFmt w:val="decimal"/>
      <w:lvlText w:val="%1."/>
      <w:lvlJc w:val="left"/>
      <w:pPr>
        <w:ind w:left="786" w:hanging="360"/>
      </w:pPr>
      <w:rPr>
        <w:rFonts w:eastAsiaTheme="minorHAnsi"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12C4CC7"/>
    <w:multiLevelType w:val="hybridMultilevel"/>
    <w:tmpl w:val="64C689DA"/>
    <w:lvl w:ilvl="0" w:tplc="1436A99C">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2D74886"/>
    <w:multiLevelType w:val="hybridMultilevel"/>
    <w:tmpl w:val="7020FDE4"/>
    <w:lvl w:ilvl="0" w:tplc="EE748164">
      <w:start w:val="1"/>
      <w:numFmt w:val="decimal"/>
      <w:lvlText w:val="%1."/>
      <w:lvlJc w:val="left"/>
      <w:pPr>
        <w:ind w:left="720" w:hanging="360"/>
      </w:pPr>
      <w:rPr>
        <w:rFonts w:ascii="Times New Roman" w:hAnsi="Times New Roman"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5653CF1"/>
    <w:multiLevelType w:val="hybridMultilevel"/>
    <w:tmpl w:val="D406627E"/>
    <w:lvl w:ilvl="0" w:tplc="D6AADF00">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1236D2"/>
    <w:multiLevelType w:val="hybridMultilevel"/>
    <w:tmpl w:val="114876C8"/>
    <w:lvl w:ilvl="0" w:tplc="348AD856">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3556EF0"/>
    <w:multiLevelType w:val="hybridMultilevel"/>
    <w:tmpl w:val="85D25CFC"/>
    <w:lvl w:ilvl="0" w:tplc="AAD2B41E">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35D410F"/>
    <w:multiLevelType w:val="hybridMultilevel"/>
    <w:tmpl w:val="6CC2D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62D43B2"/>
    <w:multiLevelType w:val="hybridMultilevel"/>
    <w:tmpl w:val="38187E1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98B6C11"/>
    <w:multiLevelType w:val="hybridMultilevel"/>
    <w:tmpl w:val="0DF4BA5A"/>
    <w:lvl w:ilvl="0" w:tplc="648226C8">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6D4D64CC"/>
    <w:multiLevelType w:val="hybridMultilevel"/>
    <w:tmpl w:val="439AC6D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7C6C19B5"/>
    <w:multiLevelType w:val="multilevel"/>
    <w:tmpl w:val="EC609E64"/>
    <w:lvl w:ilvl="0">
      <w:start w:val="1"/>
      <w:numFmt w:val="decimal"/>
      <w:lvlText w:val="%1"/>
      <w:lvlJc w:val="left"/>
      <w:pPr>
        <w:ind w:left="360" w:hanging="360"/>
      </w:pPr>
      <w:rPr>
        <w:rFonts w:ascii="Book Antiqua" w:hAnsi="Book Antiqua" w:hint="default"/>
      </w:rPr>
    </w:lvl>
    <w:lvl w:ilvl="1">
      <w:start w:val="1"/>
      <w:numFmt w:val="decimal"/>
      <w:lvlText w:val="%1.%2"/>
      <w:lvlJc w:val="left"/>
      <w:pPr>
        <w:ind w:left="360" w:hanging="360"/>
      </w:pPr>
      <w:rPr>
        <w:rFonts w:ascii="Book Antiqua" w:hAnsi="Book Antiqua" w:hint="default"/>
      </w:rPr>
    </w:lvl>
    <w:lvl w:ilvl="2">
      <w:start w:val="1"/>
      <w:numFmt w:val="decimalZero"/>
      <w:lvlText w:val="%1.%2.%3"/>
      <w:lvlJc w:val="left"/>
      <w:pPr>
        <w:ind w:left="720" w:hanging="720"/>
      </w:pPr>
      <w:rPr>
        <w:rFonts w:ascii="Book Antiqua" w:hAnsi="Book Antiqua" w:hint="default"/>
      </w:rPr>
    </w:lvl>
    <w:lvl w:ilvl="3">
      <w:start w:val="1"/>
      <w:numFmt w:val="decimal"/>
      <w:lvlText w:val="%1.%2.%3.%4"/>
      <w:lvlJc w:val="left"/>
      <w:pPr>
        <w:ind w:left="1080" w:hanging="1080"/>
      </w:pPr>
      <w:rPr>
        <w:rFonts w:ascii="Book Antiqua" w:hAnsi="Book Antiqua" w:hint="default"/>
      </w:rPr>
    </w:lvl>
    <w:lvl w:ilvl="4">
      <w:start w:val="1"/>
      <w:numFmt w:val="decimal"/>
      <w:lvlText w:val="%1.%2.%3.%4.%5"/>
      <w:lvlJc w:val="left"/>
      <w:pPr>
        <w:ind w:left="1080" w:hanging="1080"/>
      </w:pPr>
      <w:rPr>
        <w:rFonts w:ascii="Book Antiqua" w:hAnsi="Book Antiqua" w:hint="default"/>
      </w:rPr>
    </w:lvl>
    <w:lvl w:ilvl="5">
      <w:start w:val="1"/>
      <w:numFmt w:val="decimal"/>
      <w:lvlText w:val="%1.%2.%3.%4.%5.%6"/>
      <w:lvlJc w:val="left"/>
      <w:pPr>
        <w:ind w:left="1440" w:hanging="1440"/>
      </w:pPr>
      <w:rPr>
        <w:rFonts w:ascii="Book Antiqua" w:hAnsi="Book Antiqua" w:hint="default"/>
      </w:rPr>
    </w:lvl>
    <w:lvl w:ilvl="6">
      <w:start w:val="1"/>
      <w:numFmt w:val="decimal"/>
      <w:lvlText w:val="%1.%2.%3.%4.%5.%6.%7"/>
      <w:lvlJc w:val="left"/>
      <w:pPr>
        <w:ind w:left="1440" w:hanging="1440"/>
      </w:pPr>
      <w:rPr>
        <w:rFonts w:ascii="Book Antiqua" w:hAnsi="Book Antiqua" w:hint="default"/>
      </w:rPr>
    </w:lvl>
    <w:lvl w:ilvl="7">
      <w:start w:val="1"/>
      <w:numFmt w:val="decimal"/>
      <w:lvlText w:val="%1.%2.%3.%4.%5.%6.%7.%8"/>
      <w:lvlJc w:val="left"/>
      <w:pPr>
        <w:ind w:left="1800" w:hanging="1800"/>
      </w:pPr>
      <w:rPr>
        <w:rFonts w:ascii="Book Antiqua" w:hAnsi="Book Antiqua" w:hint="default"/>
      </w:rPr>
    </w:lvl>
    <w:lvl w:ilvl="8">
      <w:start w:val="1"/>
      <w:numFmt w:val="decimal"/>
      <w:lvlText w:val="%1.%2.%3.%4.%5.%6.%7.%8.%9"/>
      <w:lvlJc w:val="left"/>
      <w:pPr>
        <w:ind w:left="1800" w:hanging="1800"/>
      </w:pPr>
      <w:rPr>
        <w:rFonts w:ascii="Book Antiqua" w:hAnsi="Book Antiqua" w:hint="default"/>
      </w:rPr>
    </w:lvl>
  </w:abstractNum>
  <w:num w:numId="1">
    <w:abstractNumId w:val="1"/>
  </w:num>
  <w:num w:numId="2">
    <w:abstractNumId w:val="0"/>
  </w:num>
  <w:num w:numId="3">
    <w:abstractNumId w:val="5"/>
  </w:num>
  <w:num w:numId="4">
    <w:abstractNumId w:val="2"/>
  </w:num>
  <w:num w:numId="5">
    <w:abstractNumId w:val="10"/>
  </w:num>
  <w:num w:numId="6">
    <w:abstractNumId w:val="4"/>
  </w:num>
  <w:num w:numId="7">
    <w:abstractNumId w:val="7"/>
  </w:num>
  <w:num w:numId="8">
    <w:abstractNumId w:val="8"/>
  </w:num>
  <w:num w:numId="9">
    <w:abstractNumId w:val="3"/>
  </w:num>
  <w:num w:numId="10">
    <w:abstractNumId w:val="9"/>
  </w:num>
  <w:num w:numId="11">
    <w:abstractNumId w:val="11"/>
  </w:num>
  <w:num w:numId="12">
    <w:abstractNumId w:val="6"/>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proofState w:spelling="clean" w:grammar="clean"/>
  <w:defaultTabStop w:val="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079"/>
    <w:rsid w:val="000044B8"/>
    <w:rsid w:val="00015B7B"/>
    <w:rsid w:val="00016065"/>
    <w:rsid w:val="00022B37"/>
    <w:rsid w:val="00026CA1"/>
    <w:rsid w:val="00027ABA"/>
    <w:rsid w:val="00031DED"/>
    <w:rsid w:val="00040A5B"/>
    <w:rsid w:val="000451D4"/>
    <w:rsid w:val="00046E3F"/>
    <w:rsid w:val="00051CD9"/>
    <w:rsid w:val="00054A99"/>
    <w:rsid w:val="00056661"/>
    <w:rsid w:val="0006460E"/>
    <w:rsid w:val="000750C6"/>
    <w:rsid w:val="000766A5"/>
    <w:rsid w:val="00085467"/>
    <w:rsid w:val="00086999"/>
    <w:rsid w:val="00086D9A"/>
    <w:rsid w:val="00087EB8"/>
    <w:rsid w:val="00090BE9"/>
    <w:rsid w:val="00093F50"/>
    <w:rsid w:val="0009653B"/>
    <w:rsid w:val="0009699A"/>
    <w:rsid w:val="000A6CF3"/>
    <w:rsid w:val="000B42F4"/>
    <w:rsid w:val="000B6041"/>
    <w:rsid w:val="000B759C"/>
    <w:rsid w:val="000C064E"/>
    <w:rsid w:val="000C637B"/>
    <w:rsid w:val="000D0519"/>
    <w:rsid w:val="000D66DD"/>
    <w:rsid w:val="000D7F84"/>
    <w:rsid w:val="000E37C6"/>
    <w:rsid w:val="000E7196"/>
    <w:rsid w:val="000E78CE"/>
    <w:rsid w:val="000F45A5"/>
    <w:rsid w:val="000F5767"/>
    <w:rsid w:val="00102AC0"/>
    <w:rsid w:val="00110CC3"/>
    <w:rsid w:val="00111DA7"/>
    <w:rsid w:val="0011295B"/>
    <w:rsid w:val="00113401"/>
    <w:rsid w:val="0012635A"/>
    <w:rsid w:val="00130941"/>
    <w:rsid w:val="00135B89"/>
    <w:rsid w:val="00140DA8"/>
    <w:rsid w:val="00141E92"/>
    <w:rsid w:val="0014455D"/>
    <w:rsid w:val="001578CE"/>
    <w:rsid w:val="00167723"/>
    <w:rsid w:val="00171CE3"/>
    <w:rsid w:val="00174218"/>
    <w:rsid w:val="00174EF6"/>
    <w:rsid w:val="001874A8"/>
    <w:rsid w:val="001929DB"/>
    <w:rsid w:val="00196A99"/>
    <w:rsid w:val="001A169B"/>
    <w:rsid w:val="001B37DF"/>
    <w:rsid w:val="001D13A3"/>
    <w:rsid w:val="001D2D97"/>
    <w:rsid w:val="001D6A38"/>
    <w:rsid w:val="001E2845"/>
    <w:rsid w:val="001E2EFB"/>
    <w:rsid w:val="001E4751"/>
    <w:rsid w:val="001F1616"/>
    <w:rsid w:val="001F303F"/>
    <w:rsid w:val="001F37CF"/>
    <w:rsid w:val="001F4463"/>
    <w:rsid w:val="001F5A6E"/>
    <w:rsid w:val="00212614"/>
    <w:rsid w:val="00217C41"/>
    <w:rsid w:val="002230B0"/>
    <w:rsid w:val="00232991"/>
    <w:rsid w:val="0023633B"/>
    <w:rsid w:val="002405B5"/>
    <w:rsid w:val="002417DB"/>
    <w:rsid w:val="00242878"/>
    <w:rsid w:val="00266CF2"/>
    <w:rsid w:val="00275F85"/>
    <w:rsid w:val="00277DE2"/>
    <w:rsid w:val="002801AA"/>
    <w:rsid w:val="0028606A"/>
    <w:rsid w:val="00290675"/>
    <w:rsid w:val="00291057"/>
    <w:rsid w:val="00296CC4"/>
    <w:rsid w:val="002B0D6D"/>
    <w:rsid w:val="002B2741"/>
    <w:rsid w:val="002C4225"/>
    <w:rsid w:val="002C486C"/>
    <w:rsid w:val="002C5E95"/>
    <w:rsid w:val="002C7E8A"/>
    <w:rsid w:val="002D02C1"/>
    <w:rsid w:val="002D3271"/>
    <w:rsid w:val="002D3649"/>
    <w:rsid w:val="002E034C"/>
    <w:rsid w:val="002E3A4D"/>
    <w:rsid w:val="002F09CB"/>
    <w:rsid w:val="002F537F"/>
    <w:rsid w:val="002F5449"/>
    <w:rsid w:val="00300AAD"/>
    <w:rsid w:val="00301365"/>
    <w:rsid w:val="00302B24"/>
    <w:rsid w:val="003042E0"/>
    <w:rsid w:val="003050F9"/>
    <w:rsid w:val="00307D5F"/>
    <w:rsid w:val="00310A79"/>
    <w:rsid w:val="00310C0A"/>
    <w:rsid w:val="00317105"/>
    <w:rsid w:val="00317391"/>
    <w:rsid w:val="00317559"/>
    <w:rsid w:val="00321DB3"/>
    <w:rsid w:val="00322FF3"/>
    <w:rsid w:val="00326581"/>
    <w:rsid w:val="00331944"/>
    <w:rsid w:val="003472C3"/>
    <w:rsid w:val="00351C2B"/>
    <w:rsid w:val="00356C05"/>
    <w:rsid w:val="003661E9"/>
    <w:rsid w:val="00366404"/>
    <w:rsid w:val="00371C6A"/>
    <w:rsid w:val="003729B3"/>
    <w:rsid w:val="00380309"/>
    <w:rsid w:val="00382289"/>
    <w:rsid w:val="00396381"/>
    <w:rsid w:val="00396B06"/>
    <w:rsid w:val="003B4F68"/>
    <w:rsid w:val="003C01D4"/>
    <w:rsid w:val="003C12F4"/>
    <w:rsid w:val="003C5E88"/>
    <w:rsid w:val="003D1700"/>
    <w:rsid w:val="003D258B"/>
    <w:rsid w:val="003D5B7F"/>
    <w:rsid w:val="003D6FC3"/>
    <w:rsid w:val="003E1A6F"/>
    <w:rsid w:val="003F4552"/>
    <w:rsid w:val="003F50D4"/>
    <w:rsid w:val="004028A5"/>
    <w:rsid w:val="00406781"/>
    <w:rsid w:val="00420694"/>
    <w:rsid w:val="00422686"/>
    <w:rsid w:val="004240B8"/>
    <w:rsid w:val="00425586"/>
    <w:rsid w:val="0042774A"/>
    <w:rsid w:val="00427E17"/>
    <w:rsid w:val="00430C13"/>
    <w:rsid w:val="00434A81"/>
    <w:rsid w:val="00436D91"/>
    <w:rsid w:val="0044038C"/>
    <w:rsid w:val="00450F41"/>
    <w:rsid w:val="00455450"/>
    <w:rsid w:val="00465DDB"/>
    <w:rsid w:val="00467A62"/>
    <w:rsid w:val="00477FCC"/>
    <w:rsid w:val="004803D8"/>
    <w:rsid w:val="00495489"/>
    <w:rsid w:val="004A1EBA"/>
    <w:rsid w:val="004A7AC7"/>
    <w:rsid w:val="004B135C"/>
    <w:rsid w:val="004B21B3"/>
    <w:rsid w:val="004B3446"/>
    <w:rsid w:val="004B3EB8"/>
    <w:rsid w:val="004B54C2"/>
    <w:rsid w:val="004B6173"/>
    <w:rsid w:val="004C21F2"/>
    <w:rsid w:val="004D08D5"/>
    <w:rsid w:val="004D3012"/>
    <w:rsid w:val="004D337D"/>
    <w:rsid w:val="004D767B"/>
    <w:rsid w:val="004F1147"/>
    <w:rsid w:val="004F3C63"/>
    <w:rsid w:val="004F4145"/>
    <w:rsid w:val="004F6882"/>
    <w:rsid w:val="004F7496"/>
    <w:rsid w:val="005064EE"/>
    <w:rsid w:val="00507288"/>
    <w:rsid w:val="00510756"/>
    <w:rsid w:val="00510FB4"/>
    <w:rsid w:val="005164FC"/>
    <w:rsid w:val="005215F1"/>
    <w:rsid w:val="00525B4C"/>
    <w:rsid w:val="005300D1"/>
    <w:rsid w:val="00531BDA"/>
    <w:rsid w:val="00533CF9"/>
    <w:rsid w:val="00566950"/>
    <w:rsid w:val="00570072"/>
    <w:rsid w:val="00573B19"/>
    <w:rsid w:val="00581936"/>
    <w:rsid w:val="00582111"/>
    <w:rsid w:val="00583659"/>
    <w:rsid w:val="005A19D1"/>
    <w:rsid w:val="005A3245"/>
    <w:rsid w:val="005A4503"/>
    <w:rsid w:val="005A46CE"/>
    <w:rsid w:val="005A59B9"/>
    <w:rsid w:val="005C2CF1"/>
    <w:rsid w:val="005D06DC"/>
    <w:rsid w:val="005D2DD3"/>
    <w:rsid w:val="005D3A93"/>
    <w:rsid w:val="005D55D4"/>
    <w:rsid w:val="005E55FC"/>
    <w:rsid w:val="00601EAE"/>
    <w:rsid w:val="00604A74"/>
    <w:rsid w:val="00604CC8"/>
    <w:rsid w:val="006073AD"/>
    <w:rsid w:val="00617A45"/>
    <w:rsid w:val="00620875"/>
    <w:rsid w:val="006302CC"/>
    <w:rsid w:val="00633F12"/>
    <w:rsid w:val="00634B88"/>
    <w:rsid w:val="00641E24"/>
    <w:rsid w:val="00643F7E"/>
    <w:rsid w:val="00650CD6"/>
    <w:rsid w:val="00660C62"/>
    <w:rsid w:val="00664810"/>
    <w:rsid w:val="00665FBE"/>
    <w:rsid w:val="00671394"/>
    <w:rsid w:val="006742CC"/>
    <w:rsid w:val="00675183"/>
    <w:rsid w:val="00681527"/>
    <w:rsid w:val="00687079"/>
    <w:rsid w:val="006B0534"/>
    <w:rsid w:val="006B37F1"/>
    <w:rsid w:val="006B43A2"/>
    <w:rsid w:val="006B5985"/>
    <w:rsid w:val="006C21A7"/>
    <w:rsid w:val="006C2609"/>
    <w:rsid w:val="006F2B87"/>
    <w:rsid w:val="006F6826"/>
    <w:rsid w:val="006F6F26"/>
    <w:rsid w:val="007079A1"/>
    <w:rsid w:val="00712A7E"/>
    <w:rsid w:val="00726F29"/>
    <w:rsid w:val="00731D7B"/>
    <w:rsid w:val="00732536"/>
    <w:rsid w:val="00733A77"/>
    <w:rsid w:val="0073475F"/>
    <w:rsid w:val="00735FA3"/>
    <w:rsid w:val="0075108B"/>
    <w:rsid w:val="00752448"/>
    <w:rsid w:val="00755B97"/>
    <w:rsid w:val="00755DE8"/>
    <w:rsid w:val="007565D6"/>
    <w:rsid w:val="00762FE3"/>
    <w:rsid w:val="00766095"/>
    <w:rsid w:val="00766DA1"/>
    <w:rsid w:val="0077435F"/>
    <w:rsid w:val="00777F40"/>
    <w:rsid w:val="00790556"/>
    <w:rsid w:val="00791F79"/>
    <w:rsid w:val="00794C18"/>
    <w:rsid w:val="007B21C7"/>
    <w:rsid w:val="007B25D8"/>
    <w:rsid w:val="007B2DF8"/>
    <w:rsid w:val="007B65DA"/>
    <w:rsid w:val="007B76CE"/>
    <w:rsid w:val="007C17B6"/>
    <w:rsid w:val="007C64D9"/>
    <w:rsid w:val="007C6AE8"/>
    <w:rsid w:val="007D4DBA"/>
    <w:rsid w:val="007D7024"/>
    <w:rsid w:val="007D78F8"/>
    <w:rsid w:val="007E4A65"/>
    <w:rsid w:val="007F2912"/>
    <w:rsid w:val="008058AB"/>
    <w:rsid w:val="0082064C"/>
    <w:rsid w:val="00824E8C"/>
    <w:rsid w:val="0083576D"/>
    <w:rsid w:val="008364AC"/>
    <w:rsid w:val="00842D1B"/>
    <w:rsid w:val="00846E86"/>
    <w:rsid w:val="00847300"/>
    <w:rsid w:val="008530E2"/>
    <w:rsid w:val="00855F30"/>
    <w:rsid w:val="0085763A"/>
    <w:rsid w:val="0086019B"/>
    <w:rsid w:val="0087052D"/>
    <w:rsid w:val="008712DA"/>
    <w:rsid w:val="00875075"/>
    <w:rsid w:val="008763A6"/>
    <w:rsid w:val="00877764"/>
    <w:rsid w:val="008843C4"/>
    <w:rsid w:val="00886D5C"/>
    <w:rsid w:val="00895B29"/>
    <w:rsid w:val="0089761B"/>
    <w:rsid w:val="008A2EA2"/>
    <w:rsid w:val="008B6289"/>
    <w:rsid w:val="008C4B76"/>
    <w:rsid w:val="008D2D57"/>
    <w:rsid w:val="008E3274"/>
    <w:rsid w:val="008F38FA"/>
    <w:rsid w:val="00904C63"/>
    <w:rsid w:val="009128AB"/>
    <w:rsid w:val="009131DB"/>
    <w:rsid w:val="009229FE"/>
    <w:rsid w:val="00922F00"/>
    <w:rsid w:val="00926935"/>
    <w:rsid w:val="00927350"/>
    <w:rsid w:val="0093448C"/>
    <w:rsid w:val="0093519B"/>
    <w:rsid w:val="00940CD3"/>
    <w:rsid w:val="00942B2F"/>
    <w:rsid w:val="00954575"/>
    <w:rsid w:val="00965BE5"/>
    <w:rsid w:val="00977C02"/>
    <w:rsid w:val="00983427"/>
    <w:rsid w:val="009A0DD4"/>
    <w:rsid w:val="009A4BE7"/>
    <w:rsid w:val="009A6670"/>
    <w:rsid w:val="009B036E"/>
    <w:rsid w:val="009B0474"/>
    <w:rsid w:val="009B0F2F"/>
    <w:rsid w:val="009B131F"/>
    <w:rsid w:val="009B4B74"/>
    <w:rsid w:val="009B6230"/>
    <w:rsid w:val="009C06D4"/>
    <w:rsid w:val="009C7F04"/>
    <w:rsid w:val="009D693E"/>
    <w:rsid w:val="009D7A17"/>
    <w:rsid w:val="009E2446"/>
    <w:rsid w:val="009E63E9"/>
    <w:rsid w:val="009F2155"/>
    <w:rsid w:val="009F6042"/>
    <w:rsid w:val="009F7A89"/>
    <w:rsid w:val="00A0395A"/>
    <w:rsid w:val="00A13312"/>
    <w:rsid w:val="00A15E13"/>
    <w:rsid w:val="00A23D3C"/>
    <w:rsid w:val="00A27544"/>
    <w:rsid w:val="00A30EA6"/>
    <w:rsid w:val="00A32C39"/>
    <w:rsid w:val="00A33CFB"/>
    <w:rsid w:val="00A35A42"/>
    <w:rsid w:val="00A3700F"/>
    <w:rsid w:val="00A45B0B"/>
    <w:rsid w:val="00A45F85"/>
    <w:rsid w:val="00A46FEB"/>
    <w:rsid w:val="00A47675"/>
    <w:rsid w:val="00A52016"/>
    <w:rsid w:val="00A64CB7"/>
    <w:rsid w:val="00A65BB0"/>
    <w:rsid w:val="00A744D9"/>
    <w:rsid w:val="00A75513"/>
    <w:rsid w:val="00A772A3"/>
    <w:rsid w:val="00A8115F"/>
    <w:rsid w:val="00A87F88"/>
    <w:rsid w:val="00AA2F6A"/>
    <w:rsid w:val="00AB4998"/>
    <w:rsid w:val="00AC5348"/>
    <w:rsid w:val="00AC7732"/>
    <w:rsid w:val="00AD00AB"/>
    <w:rsid w:val="00AD2633"/>
    <w:rsid w:val="00AD5BD3"/>
    <w:rsid w:val="00AE278D"/>
    <w:rsid w:val="00AE32FC"/>
    <w:rsid w:val="00AE5BFE"/>
    <w:rsid w:val="00AE6DDA"/>
    <w:rsid w:val="00B11318"/>
    <w:rsid w:val="00B12B4A"/>
    <w:rsid w:val="00B13285"/>
    <w:rsid w:val="00B1446A"/>
    <w:rsid w:val="00B20E1E"/>
    <w:rsid w:val="00B251F5"/>
    <w:rsid w:val="00B258AE"/>
    <w:rsid w:val="00B25A87"/>
    <w:rsid w:val="00B3000D"/>
    <w:rsid w:val="00B302BC"/>
    <w:rsid w:val="00B3394F"/>
    <w:rsid w:val="00B4233C"/>
    <w:rsid w:val="00B44A7B"/>
    <w:rsid w:val="00B6207A"/>
    <w:rsid w:val="00B63811"/>
    <w:rsid w:val="00B6793A"/>
    <w:rsid w:val="00B83AAB"/>
    <w:rsid w:val="00B93D69"/>
    <w:rsid w:val="00B93EA5"/>
    <w:rsid w:val="00BA3C79"/>
    <w:rsid w:val="00BA4250"/>
    <w:rsid w:val="00BA68A9"/>
    <w:rsid w:val="00BA71AE"/>
    <w:rsid w:val="00BB073D"/>
    <w:rsid w:val="00BB1EAF"/>
    <w:rsid w:val="00BB6A59"/>
    <w:rsid w:val="00BC0526"/>
    <w:rsid w:val="00BC0D0D"/>
    <w:rsid w:val="00BC463D"/>
    <w:rsid w:val="00BD42D8"/>
    <w:rsid w:val="00BE2795"/>
    <w:rsid w:val="00BE73DB"/>
    <w:rsid w:val="00C06B7B"/>
    <w:rsid w:val="00C07AC5"/>
    <w:rsid w:val="00C1056E"/>
    <w:rsid w:val="00C21523"/>
    <w:rsid w:val="00C217B2"/>
    <w:rsid w:val="00C21DF2"/>
    <w:rsid w:val="00C224F7"/>
    <w:rsid w:val="00C24409"/>
    <w:rsid w:val="00C2543D"/>
    <w:rsid w:val="00C306D9"/>
    <w:rsid w:val="00C31208"/>
    <w:rsid w:val="00C31EC4"/>
    <w:rsid w:val="00C3493F"/>
    <w:rsid w:val="00C40BD5"/>
    <w:rsid w:val="00C41CEA"/>
    <w:rsid w:val="00C45A72"/>
    <w:rsid w:val="00C61153"/>
    <w:rsid w:val="00C61D8F"/>
    <w:rsid w:val="00C701BA"/>
    <w:rsid w:val="00C73750"/>
    <w:rsid w:val="00C80084"/>
    <w:rsid w:val="00C80147"/>
    <w:rsid w:val="00C81283"/>
    <w:rsid w:val="00C81CEB"/>
    <w:rsid w:val="00C8739C"/>
    <w:rsid w:val="00C90A25"/>
    <w:rsid w:val="00C90F96"/>
    <w:rsid w:val="00CA0A1D"/>
    <w:rsid w:val="00CA1203"/>
    <w:rsid w:val="00CA6F1B"/>
    <w:rsid w:val="00CC54ED"/>
    <w:rsid w:val="00CC69ED"/>
    <w:rsid w:val="00CC78E2"/>
    <w:rsid w:val="00CD0E09"/>
    <w:rsid w:val="00CD3374"/>
    <w:rsid w:val="00CD47E1"/>
    <w:rsid w:val="00CD4BCA"/>
    <w:rsid w:val="00CE1148"/>
    <w:rsid w:val="00CE3F32"/>
    <w:rsid w:val="00CE42E7"/>
    <w:rsid w:val="00CE4B9D"/>
    <w:rsid w:val="00CF35B1"/>
    <w:rsid w:val="00CF50E9"/>
    <w:rsid w:val="00CF7BC2"/>
    <w:rsid w:val="00D1076E"/>
    <w:rsid w:val="00D147F9"/>
    <w:rsid w:val="00D16352"/>
    <w:rsid w:val="00D201B2"/>
    <w:rsid w:val="00D2368F"/>
    <w:rsid w:val="00D420C5"/>
    <w:rsid w:val="00D42B31"/>
    <w:rsid w:val="00D43D4E"/>
    <w:rsid w:val="00D526D3"/>
    <w:rsid w:val="00D52B2A"/>
    <w:rsid w:val="00D54280"/>
    <w:rsid w:val="00D579CC"/>
    <w:rsid w:val="00D65101"/>
    <w:rsid w:val="00D65A02"/>
    <w:rsid w:val="00D8305A"/>
    <w:rsid w:val="00D833DA"/>
    <w:rsid w:val="00D90CC9"/>
    <w:rsid w:val="00D9561A"/>
    <w:rsid w:val="00DA1DC9"/>
    <w:rsid w:val="00DA50A1"/>
    <w:rsid w:val="00DA5717"/>
    <w:rsid w:val="00DA79EB"/>
    <w:rsid w:val="00DA7ACC"/>
    <w:rsid w:val="00DB21CF"/>
    <w:rsid w:val="00DB598B"/>
    <w:rsid w:val="00DB5A37"/>
    <w:rsid w:val="00DC6761"/>
    <w:rsid w:val="00DD5348"/>
    <w:rsid w:val="00DE7CFF"/>
    <w:rsid w:val="00DF1329"/>
    <w:rsid w:val="00DF6D55"/>
    <w:rsid w:val="00E01339"/>
    <w:rsid w:val="00E03CFE"/>
    <w:rsid w:val="00E15B60"/>
    <w:rsid w:val="00E160D4"/>
    <w:rsid w:val="00E215DE"/>
    <w:rsid w:val="00E26F91"/>
    <w:rsid w:val="00E35BAD"/>
    <w:rsid w:val="00E4336D"/>
    <w:rsid w:val="00E52764"/>
    <w:rsid w:val="00E54215"/>
    <w:rsid w:val="00E54296"/>
    <w:rsid w:val="00E71A84"/>
    <w:rsid w:val="00E72EB7"/>
    <w:rsid w:val="00E96006"/>
    <w:rsid w:val="00E96AE1"/>
    <w:rsid w:val="00E97CF2"/>
    <w:rsid w:val="00EA7E14"/>
    <w:rsid w:val="00EB2C34"/>
    <w:rsid w:val="00EB46B1"/>
    <w:rsid w:val="00EB6C70"/>
    <w:rsid w:val="00EC2CB2"/>
    <w:rsid w:val="00ED043D"/>
    <w:rsid w:val="00EE142D"/>
    <w:rsid w:val="00EE6C74"/>
    <w:rsid w:val="00F02441"/>
    <w:rsid w:val="00F03EC9"/>
    <w:rsid w:val="00F04647"/>
    <w:rsid w:val="00F047F5"/>
    <w:rsid w:val="00F071AA"/>
    <w:rsid w:val="00F12DEC"/>
    <w:rsid w:val="00F2202D"/>
    <w:rsid w:val="00F26AB1"/>
    <w:rsid w:val="00F30736"/>
    <w:rsid w:val="00F41FBC"/>
    <w:rsid w:val="00F43ECB"/>
    <w:rsid w:val="00F507A4"/>
    <w:rsid w:val="00F56C9F"/>
    <w:rsid w:val="00F61D82"/>
    <w:rsid w:val="00F624B0"/>
    <w:rsid w:val="00F64E90"/>
    <w:rsid w:val="00F65F7B"/>
    <w:rsid w:val="00F73372"/>
    <w:rsid w:val="00F76020"/>
    <w:rsid w:val="00F84130"/>
    <w:rsid w:val="00FA666F"/>
    <w:rsid w:val="00FC03F1"/>
    <w:rsid w:val="00FC0650"/>
    <w:rsid w:val="00FC1025"/>
    <w:rsid w:val="00FC3951"/>
    <w:rsid w:val="00FC5ADF"/>
    <w:rsid w:val="00FC6A79"/>
    <w:rsid w:val="00FD2123"/>
    <w:rsid w:val="00FD4880"/>
    <w:rsid w:val="00FE3986"/>
    <w:rsid w:val="00FE3C18"/>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1225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63E9"/>
    <w:pPr>
      <w:autoSpaceDE w:val="0"/>
      <w:autoSpaceDN w:val="0"/>
      <w:adjustRightInd w:val="0"/>
    </w:pPr>
    <w:rPr>
      <w:rFonts w:ascii="Courier New" w:hAnsi="Courier New" w:cs="Courier New"/>
      <w:color w:val="000000"/>
      <w:sz w:val="28"/>
      <w:szCs w:val="28"/>
      <w:lang w:val="en-US"/>
    </w:rPr>
  </w:style>
  <w:style w:type="paragraph" w:styleId="1">
    <w:name w:val="heading 1"/>
    <w:basedOn w:val="a"/>
    <w:next w:val="a"/>
    <w:link w:val="1Char"/>
    <w:uiPriority w:val="9"/>
    <w:qFormat/>
    <w:rsid w:val="007C64D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Char"/>
    <w:uiPriority w:val="9"/>
    <w:qFormat/>
    <w:rsid w:val="00290675"/>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526D3"/>
    <w:pPr>
      <w:spacing w:before="100" w:beforeAutospacing="1" w:after="100" w:afterAutospacing="1"/>
    </w:pPr>
  </w:style>
  <w:style w:type="paragraph" w:styleId="a4">
    <w:name w:val="footnote text"/>
    <w:basedOn w:val="a"/>
    <w:link w:val="Char"/>
    <w:uiPriority w:val="99"/>
    <w:semiHidden/>
    <w:unhideWhenUsed/>
    <w:rsid w:val="000F5767"/>
    <w:rPr>
      <w:sz w:val="20"/>
      <w:szCs w:val="20"/>
      <w:lang w:val="en-GB" w:eastAsia="en-GB"/>
    </w:rPr>
  </w:style>
  <w:style w:type="character" w:customStyle="1" w:styleId="Char">
    <w:name w:val="脚注文本 Char"/>
    <w:basedOn w:val="a0"/>
    <w:link w:val="a4"/>
    <w:uiPriority w:val="99"/>
    <w:semiHidden/>
    <w:rsid w:val="000F5767"/>
    <w:rPr>
      <w:rFonts w:ascii="Times New Roman" w:hAnsi="Times New Roman" w:cs="Times New Roman"/>
      <w:sz w:val="20"/>
      <w:szCs w:val="20"/>
      <w:lang w:eastAsia="en-GB"/>
    </w:rPr>
  </w:style>
  <w:style w:type="character" w:styleId="a5">
    <w:name w:val="footnote reference"/>
    <w:basedOn w:val="a0"/>
    <w:uiPriority w:val="99"/>
    <w:semiHidden/>
    <w:unhideWhenUsed/>
    <w:rsid w:val="000F5767"/>
    <w:rPr>
      <w:vertAlign w:val="superscript"/>
    </w:rPr>
  </w:style>
  <w:style w:type="character" w:customStyle="1" w:styleId="2Char">
    <w:name w:val="标题 2 Char"/>
    <w:basedOn w:val="a0"/>
    <w:link w:val="2"/>
    <w:uiPriority w:val="9"/>
    <w:rsid w:val="00290675"/>
    <w:rPr>
      <w:rFonts w:ascii="Times New Roman" w:eastAsia="Times New Roman" w:hAnsi="Times New Roman" w:cs="Times New Roman"/>
      <w:b/>
      <w:bCs/>
      <w:sz w:val="36"/>
      <w:szCs w:val="36"/>
      <w:lang w:val="en-US"/>
    </w:rPr>
  </w:style>
  <w:style w:type="character" w:customStyle="1" w:styleId="gmail-ff1">
    <w:name w:val="gmail-ff1"/>
    <w:basedOn w:val="a0"/>
    <w:rsid w:val="00290675"/>
  </w:style>
  <w:style w:type="character" w:customStyle="1" w:styleId="apple-converted-space">
    <w:name w:val="apple-converted-space"/>
    <w:basedOn w:val="a0"/>
    <w:rsid w:val="00290675"/>
  </w:style>
  <w:style w:type="paragraph" w:styleId="a6">
    <w:name w:val="List Paragraph"/>
    <w:basedOn w:val="a"/>
    <w:uiPriority w:val="34"/>
    <w:qFormat/>
    <w:rsid w:val="00E15B60"/>
    <w:pPr>
      <w:spacing w:after="200" w:line="276" w:lineRule="auto"/>
      <w:ind w:left="720"/>
      <w:contextualSpacing/>
    </w:pPr>
    <w:rPr>
      <w:rFonts w:asciiTheme="minorHAnsi" w:hAnsiTheme="minorHAnsi" w:cstheme="minorBidi"/>
      <w:sz w:val="22"/>
      <w:szCs w:val="22"/>
    </w:rPr>
  </w:style>
  <w:style w:type="character" w:customStyle="1" w:styleId="fontstyle21">
    <w:name w:val="fontstyle21"/>
    <w:basedOn w:val="a0"/>
    <w:rsid w:val="00E15B60"/>
    <w:rPr>
      <w:rFonts w:ascii="Times New Roman" w:hAnsi="Times New Roman" w:cs="Times New Roman" w:hint="default"/>
      <w:b w:val="0"/>
      <w:bCs w:val="0"/>
      <w:i w:val="0"/>
      <w:iCs w:val="0"/>
      <w:color w:val="000000"/>
      <w:sz w:val="20"/>
      <w:szCs w:val="20"/>
    </w:rPr>
  </w:style>
  <w:style w:type="character" w:customStyle="1" w:styleId="fontstyle01">
    <w:name w:val="fontstyle01"/>
    <w:basedOn w:val="a0"/>
    <w:rsid w:val="00E15B60"/>
    <w:rPr>
      <w:rFonts w:ascii="Times New Roman" w:hAnsi="Times New Roman" w:cs="Times New Roman" w:hint="default"/>
      <w:b/>
      <w:bCs/>
      <w:i w:val="0"/>
      <w:iCs w:val="0"/>
      <w:color w:val="000000"/>
      <w:sz w:val="20"/>
      <w:szCs w:val="20"/>
    </w:rPr>
  </w:style>
  <w:style w:type="paragraph" w:customStyle="1" w:styleId="A-fig">
    <w:name w:val="A-fig"/>
    <w:basedOn w:val="a"/>
    <w:qFormat/>
    <w:rsid w:val="00E15B60"/>
    <w:pPr>
      <w:spacing w:before="120" w:after="240"/>
      <w:jc w:val="center"/>
    </w:pPr>
    <w:rPr>
      <w:rFonts w:eastAsia="Calibri"/>
      <w:b/>
      <w:i/>
      <w:lang w:val="lt-LT"/>
    </w:rPr>
  </w:style>
  <w:style w:type="paragraph" w:styleId="a7">
    <w:name w:val="Balloon Text"/>
    <w:basedOn w:val="a"/>
    <w:link w:val="Char0"/>
    <w:uiPriority w:val="99"/>
    <w:semiHidden/>
    <w:unhideWhenUsed/>
    <w:rsid w:val="00E215DE"/>
    <w:rPr>
      <w:rFonts w:ascii="Tahoma" w:hAnsi="Tahoma" w:cs="Tahoma"/>
      <w:sz w:val="16"/>
      <w:szCs w:val="16"/>
    </w:rPr>
  </w:style>
  <w:style w:type="character" w:customStyle="1" w:styleId="Char0">
    <w:name w:val="批注框文本 Char"/>
    <w:basedOn w:val="a0"/>
    <w:link w:val="a7"/>
    <w:uiPriority w:val="99"/>
    <w:semiHidden/>
    <w:rsid w:val="00E215DE"/>
    <w:rPr>
      <w:rFonts w:ascii="Tahoma" w:hAnsi="Tahoma" w:cs="Tahoma"/>
      <w:sz w:val="16"/>
      <w:szCs w:val="16"/>
      <w:lang w:eastAsia="en-GB"/>
    </w:rPr>
  </w:style>
  <w:style w:type="character" w:styleId="a8">
    <w:name w:val="annotation reference"/>
    <w:basedOn w:val="a0"/>
    <w:uiPriority w:val="99"/>
    <w:semiHidden/>
    <w:unhideWhenUsed/>
    <w:rsid w:val="00054A99"/>
    <w:rPr>
      <w:sz w:val="16"/>
      <w:szCs w:val="16"/>
    </w:rPr>
  </w:style>
  <w:style w:type="paragraph" w:styleId="a9">
    <w:name w:val="annotation text"/>
    <w:basedOn w:val="a"/>
    <w:link w:val="Char1"/>
    <w:uiPriority w:val="99"/>
    <w:unhideWhenUsed/>
    <w:rsid w:val="00054A99"/>
    <w:rPr>
      <w:sz w:val="20"/>
      <w:szCs w:val="20"/>
    </w:rPr>
  </w:style>
  <w:style w:type="character" w:customStyle="1" w:styleId="Char1">
    <w:name w:val="批注文字 Char"/>
    <w:basedOn w:val="a0"/>
    <w:link w:val="a9"/>
    <w:uiPriority w:val="99"/>
    <w:rsid w:val="00054A99"/>
    <w:rPr>
      <w:rFonts w:ascii="Times New Roman" w:eastAsia="Times New Roman" w:hAnsi="Times New Roman" w:cs="Times New Roman"/>
      <w:sz w:val="20"/>
      <w:szCs w:val="20"/>
      <w:lang w:val="en-US"/>
    </w:rPr>
  </w:style>
  <w:style w:type="paragraph" w:styleId="aa">
    <w:name w:val="annotation subject"/>
    <w:basedOn w:val="a9"/>
    <w:next w:val="a9"/>
    <w:link w:val="Char2"/>
    <w:uiPriority w:val="99"/>
    <w:semiHidden/>
    <w:unhideWhenUsed/>
    <w:rsid w:val="00054A99"/>
    <w:rPr>
      <w:b/>
      <w:bCs/>
    </w:rPr>
  </w:style>
  <w:style w:type="character" w:customStyle="1" w:styleId="Char2">
    <w:name w:val="批注主题 Char"/>
    <w:basedOn w:val="Char1"/>
    <w:link w:val="aa"/>
    <w:uiPriority w:val="99"/>
    <w:semiHidden/>
    <w:rsid w:val="00054A99"/>
    <w:rPr>
      <w:rFonts w:ascii="Times New Roman" w:eastAsia="Times New Roman" w:hAnsi="Times New Roman" w:cs="Times New Roman"/>
      <w:b/>
      <w:bCs/>
      <w:sz w:val="20"/>
      <w:szCs w:val="20"/>
      <w:lang w:val="en-US"/>
    </w:rPr>
  </w:style>
  <w:style w:type="paragraph" w:styleId="ab">
    <w:name w:val="header"/>
    <w:basedOn w:val="a"/>
    <w:link w:val="Char3"/>
    <w:uiPriority w:val="99"/>
    <w:unhideWhenUsed/>
    <w:rsid w:val="00634B88"/>
    <w:pPr>
      <w:tabs>
        <w:tab w:val="center" w:pos="4680"/>
        <w:tab w:val="right" w:pos="9360"/>
      </w:tabs>
    </w:pPr>
  </w:style>
  <w:style w:type="character" w:customStyle="1" w:styleId="Char3">
    <w:name w:val="页眉 Char"/>
    <w:basedOn w:val="a0"/>
    <w:link w:val="ab"/>
    <w:uiPriority w:val="99"/>
    <w:rsid w:val="00634B88"/>
    <w:rPr>
      <w:rFonts w:ascii="Times New Roman" w:eastAsia="Times New Roman" w:hAnsi="Times New Roman" w:cs="Times New Roman"/>
      <w:lang w:val="en-US"/>
    </w:rPr>
  </w:style>
  <w:style w:type="paragraph" w:styleId="ac">
    <w:name w:val="footer"/>
    <w:basedOn w:val="a"/>
    <w:link w:val="Char4"/>
    <w:uiPriority w:val="99"/>
    <w:unhideWhenUsed/>
    <w:rsid w:val="00634B88"/>
    <w:pPr>
      <w:tabs>
        <w:tab w:val="center" w:pos="4680"/>
        <w:tab w:val="right" w:pos="9360"/>
      </w:tabs>
    </w:pPr>
  </w:style>
  <w:style w:type="character" w:customStyle="1" w:styleId="Char4">
    <w:name w:val="页脚 Char"/>
    <w:basedOn w:val="a0"/>
    <w:link w:val="ac"/>
    <w:uiPriority w:val="99"/>
    <w:rsid w:val="00634B88"/>
    <w:rPr>
      <w:rFonts w:ascii="Times New Roman" w:eastAsia="Times New Roman" w:hAnsi="Times New Roman" w:cs="Times New Roman"/>
      <w:lang w:val="en-US"/>
    </w:rPr>
  </w:style>
  <w:style w:type="table" w:styleId="ad">
    <w:name w:val="Table Grid"/>
    <w:basedOn w:val="a1"/>
    <w:uiPriority w:val="39"/>
    <w:rsid w:val="002C48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uiPriority w:val="22"/>
    <w:qFormat/>
    <w:rsid w:val="005300D1"/>
    <w:rPr>
      <w:b/>
      <w:bCs/>
    </w:rPr>
  </w:style>
  <w:style w:type="character" w:styleId="af">
    <w:name w:val="Hyperlink"/>
    <w:basedOn w:val="a0"/>
    <w:uiPriority w:val="99"/>
    <w:unhideWhenUsed/>
    <w:rsid w:val="007E4A65"/>
    <w:rPr>
      <w:color w:val="0563C1" w:themeColor="hyperlink"/>
      <w:u w:val="single"/>
    </w:rPr>
  </w:style>
  <w:style w:type="character" w:customStyle="1" w:styleId="UnresolvedMention1">
    <w:name w:val="Unresolved Mention1"/>
    <w:basedOn w:val="a0"/>
    <w:uiPriority w:val="99"/>
    <w:semiHidden/>
    <w:unhideWhenUsed/>
    <w:rsid w:val="007E4A65"/>
    <w:rPr>
      <w:color w:val="605E5C"/>
      <w:shd w:val="clear" w:color="auto" w:fill="E1DFDD"/>
    </w:rPr>
  </w:style>
  <w:style w:type="character" w:customStyle="1" w:styleId="UnresolvedMention2">
    <w:name w:val="Unresolved Mention2"/>
    <w:basedOn w:val="a0"/>
    <w:uiPriority w:val="99"/>
    <w:rsid w:val="00D201B2"/>
    <w:rPr>
      <w:color w:val="605E5C"/>
      <w:shd w:val="clear" w:color="auto" w:fill="E1DFDD"/>
    </w:rPr>
  </w:style>
  <w:style w:type="character" w:customStyle="1" w:styleId="1Char">
    <w:name w:val="标题 1 Char"/>
    <w:basedOn w:val="a0"/>
    <w:link w:val="1"/>
    <w:uiPriority w:val="9"/>
    <w:rsid w:val="007C64D9"/>
    <w:rPr>
      <w:rFonts w:asciiTheme="majorHAnsi" w:eastAsiaTheme="majorEastAsia" w:hAnsiTheme="majorHAnsi" w:cstheme="majorBidi"/>
      <w:color w:val="2F5496" w:themeColor="accent1" w:themeShade="BF"/>
      <w:sz w:val="32"/>
      <w:szCs w:val="32"/>
      <w:lang w:val="en-US"/>
    </w:rPr>
  </w:style>
  <w:style w:type="paragraph" w:styleId="af0">
    <w:name w:val="No Spacing"/>
    <w:uiPriority w:val="1"/>
    <w:qFormat/>
    <w:rsid w:val="00F41FBC"/>
    <w:rPr>
      <w:sz w:val="22"/>
      <w:szCs w:val="22"/>
      <w:lang w:val="en-US"/>
    </w:rPr>
  </w:style>
  <w:style w:type="character" w:styleId="af1">
    <w:name w:val="page number"/>
    <w:basedOn w:val="a0"/>
    <w:uiPriority w:val="99"/>
    <w:semiHidden/>
    <w:unhideWhenUsed/>
    <w:rsid w:val="007D7024"/>
  </w:style>
  <w:style w:type="paragraph" w:customStyle="1" w:styleId="10">
    <w:name w:val="正文1"/>
    <w:uiPriority w:val="99"/>
    <w:rsid w:val="003D1700"/>
    <w:pPr>
      <w:spacing w:line="276" w:lineRule="auto"/>
    </w:pPr>
    <w:rPr>
      <w:rFonts w:ascii="Arial" w:eastAsia="宋体" w:hAnsi="Arial" w:cs="Arial"/>
      <w:color w:val="000000"/>
      <w:sz w:val="22"/>
      <w:szCs w:val="20"/>
      <w:lang w:val="pl-PL" w:eastAsia="pl-PL"/>
    </w:rPr>
  </w:style>
  <w:style w:type="paragraph" w:customStyle="1" w:styleId="p1">
    <w:name w:val="p1"/>
    <w:basedOn w:val="a"/>
    <w:rsid w:val="003D1700"/>
    <w:pPr>
      <w:autoSpaceDE/>
      <w:autoSpaceDN/>
      <w:adjustRightInd/>
    </w:pPr>
    <w:rPr>
      <w:rFonts w:ascii="Helvetica" w:hAnsi="Helvetica" w:cs="Times New Roman"/>
      <w:color w:val="auto"/>
      <w:sz w:val="18"/>
      <w:szCs w:val="18"/>
      <w:lang w:eastAsia="zh-CN"/>
    </w:rPr>
  </w:style>
  <w:style w:type="character" w:styleId="af2">
    <w:name w:val="FollowedHyperlink"/>
    <w:basedOn w:val="a0"/>
    <w:uiPriority w:val="99"/>
    <w:semiHidden/>
    <w:unhideWhenUsed/>
    <w:rsid w:val="003D1700"/>
    <w:rPr>
      <w:color w:val="954F72" w:themeColor="followedHyperlink"/>
      <w:u w:val="single"/>
    </w:rPr>
  </w:style>
  <w:style w:type="paragraph" w:styleId="af3">
    <w:name w:val="Revision"/>
    <w:hidden/>
    <w:uiPriority w:val="99"/>
    <w:semiHidden/>
    <w:rsid w:val="00CC69ED"/>
    <w:rPr>
      <w:rFonts w:ascii="Courier New" w:hAnsi="Courier New" w:cs="Courier New"/>
      <w:color w:val="000000"/>
      <w:sz w:val="28"/>
      <w:szCs w:val="28"/>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63E9"/>
    <w:pPr>
      <w:autoSpaceDE w:val="0"/>
      <w:autoSpaceDN w:val="0"/>
      <w:adjustRightInd w:val="0"/>
    </w:pPr>
    <w:rPr>
      <w:rFonts w:ascii="Courier New" w:hAnsi="Courier New" w:cs="Courier New"/>
      <w:color w:val="000000"/>
      <w:sz w:val="28"/>
      <w:szCs w:val="28"/>
      <w:lang w:val="en-US"/>
    </w:rPr>
  </w:style>
  <w:style w:type="paragraph" w:styleId="1">
    <w:name w:val="heading 1"/>
    <w:basedOn w:val="a"/>
    <w:next w:val="a"/>
    <w:link w:val="1Char"/>
    <w:uiPriority w:val="9"/>
    <w:qFormat/>
    <w:rsid w:val="007C64D9"/>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Char"/>
    <w:uiPriority w:val="9"/>
    <w:qFormat/>
    <w:rsid w:val="00290675"/>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526D3"/>
    <w:pPr>
      <w:spacing w:before="100" w:beforeAutospacing="1" w:after="100" w:afterAutospacing="1"/>
    </w:pPr>
  </w:style>
  <w:style w:type="paragraph" w:styleId="a4">
    <w:name w:val="footnote text"/>
    <w:basedOn w:val="a"/>
    <w:link w:val="Char"/>
    <w:uiPriority w:val="99"/>
    <w:semiHidden/>
    <w:unhideWhenUsed/>
    <w:rsid w:val="000F5767"/>
    <w:rPr>
      <w:sz w:val="20"/>
      <w:szCs w:val="20"/>
      <w:lang w:val="en-GB" w:eastAsia="en-GB"/>
    </w:rPr>
  </w:style>
  <w:style w:type="character" w:customStyle="1" w:styleId="Char">
    <w:name w:val="脚注文本 Char"/>
    <w:basedOn w:val="a0"/>
    <w:link w:val="a4"/>
    <w:uiPriority w:val="99"/>
    <w:semiHidden/>
    <w:rsid w:val="000F5767"/>
    <w:rPr>
      <w:rFonts w:ascii="Times New Roman" w:hAnsi="Times New Roman" w:cs="Times New Roman"/>
      <w:sz w:val="20"/>
      <w:szCs w:val="20"/>
      <w:lang w:eastAsia="en-GB"/>
    </w:rPr>
  </w:style>
  <w:style w:type="character" w:styleId="a5">
    <w:name w:val="footnote reference"/>
    <w:basedOn w:val="a0"/>
    <w:uiPriority w:val="99"/>
    <w:semiHidden/>
    <w:unhideWhenUsed/>
    <w:rsid w:val="000F5767"/>
    <w:rPr>
      <w:vertAlign w:val="superscript"/>
    </w:rPr>
  </w:style>
  <w:style w:type="character" w:customStyle="1" w:styleId="2Char">
    <w:name w:val="标题 2 Char"/>
    <w:basedOn w:val="a0"/>
    <w:link w:val="2"/>
    <w:uiPriority w:val="9"/>
    <w:rsid w:val="00290675"/>
    <w:rPr>
      <w:rFonts w:ascii="Times New Roman" w:eastAsia="Times New Roman" w:hAnsi="Times New Roman" w:cs="Times New Roman"/>
      <w:b/>
      <w:bCs/>
      <w:sz w:val="36"/>
      <w:szCs w:val="36"/>
      <w:lang w:val="en-US"/>
    </w:rPr>
  </w:style>
  <w:style w:type="character" w:customStyle="1" w:styleId="gmail-ff1">
    <w:name w:val="gmail-ff1"/>
    <w:basedOn w:val="a0"/>
    <w:rsid w:val="00290675"/>
  </w:style>
  <w:style w:type="character" w:customStyle="1" w:styleId="apple-converted-space">
    <w:name w:val="apple-converted-space"/>
    <w:basedOn w:val="a0"/>
    <w:rsid w:val="00290675"/>
  </w:style>
  <w:style w:type="paragraph" w:styleId="a6">
    <w:name w:val="List Paragraph"/>
    <w:basedOn w:val="a"/>
    <w:uiPriority w:val="34"/>
    <w:qFormat/>
    <w:rsid w:val="00E15B60"/>
    <w:pPr>
      <w:spacing w:after="200" w:line="276" w:lineRule="auto"/>
      <w:ind w:left="720"/>
      <w:contextualSpacing/>
    </w:pPr>
    <w:rPr>
      <w:rFonts w:asciiTheme="minorHAnsi" w:hAnsiTheme="minorHAnsi" w:cstheme="minorBidi"/>
      <w:sz w:val="22"/>
      <w:szCs w:val="22"/>
    </w:rPr>
  </w:style>
  <w:style w:type="character" w:customStyle="1" w:styleId="fontstyle21">
    <w:name w:val="fontstyle21"/>
    <w:basedOn w:val="a0"/>
    <w:rsid w:val="00E15B60"/>
    <w:rPr>
      <w:rFonts w:ascii="Times New Roman" w:hAnsi="Times New Roman" w:cs="Times New Roman" w:hint="default"/>
      <w:b w:val="0"/>
      <w:bCs w:val="0"/>
      <w:i w:val="0"/>
      <w:iCs w:val="0"/>
      <w:color w:val="000000"/>
      <w:sz w:val="20"/>
      <w:szCs w:val="20"/>
    </w:rPr>
  </w:style>
  <w:style w:type="character" w:customStyle="1" w:styleId="fontstyle01">
    <w:name w:val="fontstyle01"/>
    <w:basedOn w:val="a0"/>
    <w:rsid w:val="00E15B60"/>
    <w:rPr>
      <w:rFonts w:ascii="Times New Roman" w:hAnsi="Times New Roman" w:cs="Times New Roman" w:hint="default"/>
      <w:b/>
      <w:bCs/>
      <w:i w:val="0"/>
      <w:iCs w:val="0"/>
      <w:color w:val="000000"/>
      <w:sz w:val="20"/>
      <w:szCs w:val="20"/>
    </w:rPr>
  </w:style>
  <w:style w:type="paragraph" w:customStyle="1" w:styleId="A-fig">
    <w:name w:val="A-fig"/>
    <w:basedOn w:val="a"/>
    <w:qFormat/>
    <w:rsid w:val="00E15B60"/>
    <w:pPr>
      <w:spacing w:before="120" w:after="240"/>
      <w:jc w:val="center"/>
    </w:pPr>
    <w:rPr>
      <w:rFonts w:eastAsia="Calibri"/>
      <w:b/>
      <w:i/>
      <w:lang w:val="lt-LT"/>
    </w:rPr>
  </w:style>
  <w:style w:type="paragraph" w:styleId="a7">
    <w:name w:val="Balloon Text"/>
    <w:basedOn w:val="a"/>
    <w:link w:val="Char0"/>
    <w:uiPriority w:val="99"/>
    <w:semiHidden/>
    <w:unhideWhenUsed/>
    <w:rsid w:val="00E215DE"/>
    <w:rPr>
      <w:rFonts w:ascii="Tahoma" w:hAnsi="Tahoma" w:cs="Tahoma"/>
      <w:sz w:val="16"/>
      <w:szCs w:val="16"/>
    </w:rPr>
  </w:style>
  <w:style w:type="character" w:customStyle="1" w:styleId="Char0">
    <w:name w:val="批注框文本 Char"/>
    <w:basedOn w:val="a0"/>
    <w:link w:val="a7"/>
    <w:uiPriority w:val="99"/>
    <w:semiHidden/>
    <w:rsid w:val="00E215DE"/>
    <w:rPr>
      <w:rFonts w:ascii="Tahoma" w:hAnsi="Tahoma" w:cs="Tahoma"/>
      <w:sz w:val="16"/>
      <w:szCs w:val="16"/>
      <w:lang w:eastAsia="en-GB"/>
    </w:rPr>
  </w:style>
  <w:style w:type="character" w:styleId="a8">
    <w:name w:val="annotation reference"/>
    <w:basedOn w:val="a0"/>
    <w:uiPriority w:val="99"/>
    <w:semiHidden/>
    <w:unhideWhenUsed/>
    <w:rsid w:val="00054A99"/>
    <w:rPr>
      <w:sz w:val="16"/>
      <w:szCs w:val="16"/>
    </w:rPr>
  </w:style>
  <w:style w:type="paragraph" w:styleId="a9">
    <w:name w:val="annotation text"/>
    <w:basedOn w:val="a"/>
    <w:link w:val="Char1"/>
    <w:uiPriority w:val="99"/>
    <w:unhideWhenUsed/>
    <w:rsid w:val="00054A99"/>
    <w:rPr>
      <w:sz w:val="20"/>
      <w:szCs w:val="20"/>
    </w:rPr>
  </w:style>
  <w:style w:type="character" w:customStyle="1" w:styleId="Char1">
    <w:name w:val="批注文字 Char"/>
    <w:basedOn w:val="a0"/>
    <w:link w:val="a9"/>
    <w:uiPriority w:val="99"/>
    <w:rsid w:val="00054A99"/>
    <w:rPr>
      <w:rFonts w:ascii="Times New Roman" w:eastAsia="Times New Roman" w:hAnsi="Times New Roman" w:cs="Times New Roman"/>
      <w:sz w:val="20"/>
      <w:szCs w:val="20"/>
      <w:lang w:val="en-US"/>
    </w:rPr>
  </w:style>
  <w:style w:type="paragraph" w:styleId="aa">
    <w:name w:val="annotation subject"/>
    <w:basedOn w:val="a9"/>
    <w:next w:val="a9"/>
    <w:link w:val="Char2"/>
    <w:uiPriority w:val="99"/>
    <w:semiHidden/>
    <w:unhideWhenUsed/>
    <w:rsid w:val="00054A99"/>
    <w:rPr>
      <w:b/>
      <w:bCs/>
    </w:rPr>
  </w:style>
  <w:style w:type="character" w:customStyle="1" w:styleId="Char2">
    <w:name w:val="批注主题 Char"/>
    <w:basedOn w:val="Char1"/>
    <w:link w:val="aa"/>
    <w:uiPriority w:val="99"/>
    <w:semiHidden/>
    <w:rsid w:val="00054A99"/>
    <w:rPr>
      <w:rFonts w:ascii="Times New Roman" w:eastAsia="Times New Roman" w:hAnsi="Times New Roman" w:cs="Times New Roman"/>
      <w:b/>
      <w:bCs/>
      <w:sz w:val="20"/>
      <w:szCs w:val="20"/>
      <w:lang w:val="en-US"/>
    </w:rPr>
  </w:style>
  <w:style w:type="paragraph" w:styleId="ab">
    <w:name w:val="header"/>
    <w:basedOn w:val="a"/>
    <w:link w:val="Char3"/>
    <w:uiPriority w:val="99"/>
    <w:unhideWhenUsed/>
    <w:rsid w:val="00634B88"/>
    <w:pPr>
      <w:tabs>
        <w:tab w:val="center" w:pos="4680"/>
        <w:tab w:val="right" w:pos="9360"/>
      </w:tabs>
    </w:pPr>
  </w:style>
  <w:style w:type="character" w:customStyle="1" w:styleId="Char3">
    <w:name w:val="页眉 Char"/>
    <w:basedOn w:val="a0"/>
    <w:link w:val="ab"/>
    <w:uiPriority w:val="99"/>
    <w:rsid w:val="00634B88"/>
    <w:rPr>
      <w:rFonts w:ascii="Times New Roman" w:eastAsia="Times New Roman" w:hAnsi="Times New Roman" w:cs="Times New Roman"/>
      <w:lang w:val="en-US"/>
    </w:rPr>
  </w:style>
  <w:style w:type="paragraph" w:styleId="ac">
    <w:name w:val="footer"/>
    <w:basedOn w:val="a"/>
    <w:link w:val="Char4"/>
    <w:uiPriority w:val="99"/>
    <w:unhideWhenUsed/>
    <w:rsid w:val="00634B88"/>
    <w:pPr>
      <w:tabs>
        <w:tab w:val="center" w:pos="4680"/>
        <w:tab w:val="right" w:pos="9360"/>
      </w:tabs>
    </w:pPr>
  </w:style>
  <w:style w:type="character" w:customStyle="1" w:styleId="Char4">
    <w:name w:val="页脚 Char"/>
    <w:basedOn w:val="a0"/>
    <w:link w:val="ac"/>
    <w:uiPriority w:val="99"/>
    <w:rsid w:val="00634B88"/>
    <w:rPr>
      <w:rFonts w:ascii="Times New Roman" w:eastAsia="Times New Roman" w:hAnsi="Times New Roman" w:cs="Times New Roman"/>
      <w:lang w:val="en-US"/>
    </w:rPr>
  </w:style>
  <w:style w:type="table" w:styleId="ad">
    <w:name w:val="Table Grid"/>
    <w:basedOn w:val="a1"/>
    <w:uiPriority w:val="39"/>
    <w:rsid w:val="002C486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Strong"/>
    <w:basedOn w:val="a0"/>
    <w:uiPriority w:val="22"/>
    <w:qFormat/>
    <w:rsid w:val="005300D1"/>
    <w:rPr>
      <w:b/>
      <w:bCs/>
    </w:rPr>
  </w:style>
  <w:style w:type="character" w:styleId="af">
    <w:name w:val="Hyperlink"/>
    <w:basedOn w:val="a0"/>
    <w:uiPriority w:val="99"/>
    <w:unhideWhenUsed/>
    <w:rsid w:val="007E4A65"/>
    <w:rPr>
      <w:color w:val="0563C1" w:themeColor="hyperlink"/>
      <w:u w:val="single"/>
    </w:rPr>
  </w:style>
  <w:style w:type="character" w:customStyle="1" w:styleId="UnresolvedMention1">
    <w:name w:val="Unresolved Mention1"/>
    <w:basedOn w:val="a0"/>
    <w:uiPriority w:val="99"/>
    <w:semiHidden/>
    <w:unhideWhenUsed/>
    <w:rsid w:val="007E4A65"/>
    <w:rPr>
      <w:color w:val="605E5C"/>
      <w:shd w:val="clear" w:color="auto" w:fill="E1DFDD"/>
    </w:rPr>
  </w:style>
  <w:style w:type="character" w:customStyle="1" w:styleId="UnresolvedMention2">
    <w:name w:val="Unresolved Mention2"/>
    <w:basedOn w:val="a0"/>
    <w:uiPriority w:val="99"/>
    <w:rsid w:val="00D201B2"/>
    <w:rPr>
      <w:color w:val="605E5C"/>
      <w:shd w:val="clear" w:color="auto" w:fill="E1DFDD"/>
    </w:rPr>
  </w:style>
  <w:style w:type="character" w:customStyle="1" w:styleId="1Char">
    <w:name w:val="标题 1 Char"/>
    <w:basedOn w:val="a0"/>
    <w:link w:val="1"/>
    <w:uiPriority w:val="9"/>
    <w:rsid w:val="007C64D9"/>
    <w:rPr>
      <w:rFonts w:asciiTheme="majorHAnsi" w:eastAsiaTheme="majorEastAsia" w:hAnsiTheme="majorHAnsi" w:cstheme="majorBidi"/>
      <w:color w:val="2F5496" w:themeColor="accent1" w:themeShade="BF"/>
      <w:sz w:val="32"/>
      <w:szCs w:val="32"/>
      <w:lang w:val="en-US"/>
    </w:rPr>
  </w:style>
  <w:style w:type="paragraph" w:styleId="af0">
    <w:name w:val="No Spacing"/>
    <w:uiPriority w:val="1"/>
    <w:qFormat/>
    <w:rsid w:val="00F41FBC"/>
    <w:rPr>
      <w:sz w:val="22"/>
      <w:szCs w:val="22"/>
      <w:lang w:val="en-US"/>
    </w:rPr>
  </w:style>
  <w:style w:type="character" w:styleId="af1">
    <w:name w:val="page number"/>
    <w:basedOn w:val="a0"/>
    <w:uiPriority w:val="99"/>
    <w:semiHidden/>
    <w:unhideWhenUsed/>
    <w:rsid w:val="007D7024"/>
  </w:style>
  <w:style w:type="paragraph" w:customStyle="1" w:styleId="10">
    <w:name w:val="正文1"/>
    <w:uiPriority w:val="99"/>
    <w:rsid w:val="003D1700"/>
    <w:pPr>
      <w:spacing w:line="276" w:lineRule="auto"/>
    </w:pPr>
    <w:rPr>
      <w:rFonts w:ascii="Arial" w:eastAsia="宋体" w:hAnsi="Arial" w:cs="Arial"/>
      <w:color w:val="000000"/>
      <w:sz w:val="22"/>
      <w:szCs w:val="20"/>
      <w:lang w:val="pl-PL" w:eastAsia="pl-PL"/>
    </w:rPr>
  </w:style>
  <w:style w:type="paragraph" w:customStyle="1" w:styleId="p1">
    <w:name w:val="p1"/>
    <w:basedOn w:val="a"/>
    <w:rsid w:val="003D1700"/>
    <w:pPr>
      <w:autoSpaceDE/>
      <w:autoSpaceDN/>
      <w:adjustRightInd/>
    </w:pPr>
    <w:rPr>
      <w:rFonts w:ascii="Helvetica" w:hAnsi="Helvetica" w:cs="Times New Roman"/>
      <w:color w:val="auto"/>
      <w:sz w:val="18"/>
      <w:szCs w:val="18"/>
      <w:lang w:eastAsia="zh-CN"/>
    </w:rPr>
  </w:style>
  <w:style w:type="character" w:styleId="af2">
    <w:name w:val="FollowedHyperlink"/>
    <w:basedOn w:val="a0"/>
    <w:uiPriority w:val="99"/>
    <w:semiHidden/>
    <w:unhideWhenUsed/>
    <w:rsid w:val="003D1700"/>
    <w:rPr>
      <w:color w:val="954F72" w:themeColor="followedHyperlink"/>
      <w:u w:val="single"/>
    </w:rPr>
  </w:style>
  <w:style w:type="paragraph" w:styleId="af3">
    <w:name w:val="Revision"/>
    <w:hidden/>
    <w:uiPriority w:val="99"/>
    <w:semiHidden/>
    <w:rsid w:val="00CC69ED"/>
    <w:rPr>
      <w:rFonts w:ascii="Courier New" w:hAnsi="Courier New" w:cs="Courier New"/>
      <w:color w:val="000000"/>
      <w:sz w:val="28"/>
      <w:szCs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51068">
      <w:bodyDiv w:val="1"/>
      <w:marLeft w:val="0"/>
      <w:marRight w:val="0"/>
      <w:marTop w:val="0"/>
      <w:marBottom w:val="0"/>
      <w:divBdr>
        <w:top w:val="none" w:sz="0" w:space="0" w:color="auto"/>
        <w:left w:val="none" w:sz="0" w:space="0" w:color="auto"/>
        <w:bottom w:val="none" w:sz="0" w:space="0" w:color="auto"/>
        <w:right w:val="none" w:sz="0" w:space="0" w:color="auto"/>
      </w:divBdr>
      <w:divsChild>
        <w:div w:id="992562391">
          <w:marLeft w:val="0"/>
          <w:marRight w:val="0"/>
          <w:marTop w:val="0"/>
          <w:marBottom w:val="0"/>
          <w:divBdr>
            <w:top w:val="none" w:sz="0" w:space="0" w:color="auto"/>
            <w:left w:val="none" w:sz="0" w:space="0" w:color="auto"/>
            <w:bottom w:val="none" w:sz="0" w:space="0" w:color="auto"/>
            <w:right w:val="none" w:sz="0" w:space="0" w:color="auto"/>
          </w:divBdr>
          <w:divsChild>
            <w:div w:id="1787895281">
              <w:marLeft w:val="0"/>
              <w:marRight w:val="0"/>
              <w:marTop w:val="0"/>
              <w:marBottom w:val="0"/>
              <w:divBdr>
                <w:top w:val="none" w:sz="0" w:space="0" w:color="auto"/>
                <w:left w:val="none" w:sz="0" w:space="0" w:color="auto"/>
                <w:bottom w:val="none" w:sz="0" w:space="0" w:color="auto"/>
                <w:right w:val="none" w:sz="0" w:space="0" w:color="auto"/>
              </w:divBdr>
              <w:divsChild>
                <w:div w:id="1593199466">
                  <w:marLeft w:val="0"/>
                  <w:marRight w:val="0"/>
                  <w:marTop w:val="0"/>
                  <w:marBottom w:val="0"/>
                  <w:divBdr>
                    <w:top w:val="none" w:sz="0" w:space="0" w:color="auto"/>
                    <w:left w:val="none" w:sz="0" w:space="0" w:color="auto"/>
                    <w:bottom w:val="none" w:sz="0" w:space="0" w:color="auto"/>
                    <w:right w:val="none" w:sz="0" w:space="0" w:color="auto"/>
                  </w:divBdr>
                </w:div>
                <w:div w:id="898826907">
                  <w:marLeft w:val="0"/>
                  <w:marRight w:val="0"/>
                  <w:marTop w:val="0"/>
                  <w:marBottom w:val="0"/>
                  <w:divBdr>
                    <w:top w:val="none" w:sz="0" w:space="0" w:color="auto"/>
                    <w:left w:val="none" w:sz="0" w:space="0" w:color="auto"/>
                    <w:bottom w:val="none" w:sz="0" w:space="0" w:color="auto"/>
                    <w:right w:val="none" w:sz="0" w:space="0" w:color="auto"/>
                  </w:divBdr>
                </w:div>
              </w:divsChild>
            </w:div>
            <w:div w:id="640575437">
              <w:marLeft w:val="0"/>
              <w:marRight w:val="0"/>
              <w:marTop w:val="0"/>
              <w:marBottom w:val="0"/>
              <w:divBdr>
                <w:top w:val="none" w:sz="0" w:space="0" w:color="auto"/>
                <w:left w:val="none" w:sz="0" w:space="0" w:color="auto"/>
                <w:bottom w:val="none" w:sz="0" w:space="0" w:color="auto"/>
                <w:right w:val="none" w:sz="0" w:space="0" w:color="auto"/>
              </w:divBdr>
              <w:divsChild>
                <w:div w:id="1167358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5288">
      <w:bodyDiv w:val="1"/>
      <w:marLeft w:val="0"/>
      <w:marRight w:val="0"/>
      <w:marTop w:val="0"/>
      <w:marBottom w:val="0"/>
      <w:divBdr>
        <w:top w:val="none" w:sz="0" w:space="0" w:color="auto"/>
        <w:left w:val="none" w:sz="0" w:space="0" w:color="auto"/>
        <w:bottom w:val="none" w:sz="0" w:space="0" w:color="auto"/>
        <w:right w:val="none" w:sz="0" w:space="0" w:color="auto"/>
      </w:divBdr>
      <w:divsChild>
        <w:div w:id="916403991">
          <w:marLeft w:val="0"/>
          <w:marRight w:val="0"/>
          <w:marTop w:val="0"/>
          <w:marBottom w:val="0"/>
          <w:divBdr>
            <w:top w:val="none" w:sz="0" w:space="0" w:color="auto"/>
            <w:left w:val="none" w:sz="0" w:space="0" w:color="auto"/>
            <w:bottom w:val="none" w:sz="0" w:space="0" w:color="auto"/>
            <w:right w:val="none" w:sz="0" w:space="0" w:color="auto"/>
          </w:divBdr>
          <w:divsChild>
            <w:div w:id="521674782">
              <w:marLeft w:val="0"/>
              <w:marRight w:val="0"/>
              <w:marTop w:val="0"/>
              <w:marBottom w:val="0"/>
              <w:divBdr>
                <w:top w:val="none" w:sz="0" w:space="0" w:color="auto"/>
                <w:left w:val="none" w:sz="0" w:space="0" w:color="auto"/>
                <w:bottom w:val="none" w:sz="0" w:space="0" w:color="auto"/>
                <w:right w:val="none" w:sz="0" w:space="0" w:color="auto"/>
              </w:divBdr>
              <w:divsChild>
                <w:div w:id="1933077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78973">
      <w:bodyDiv w:val="1"/>
      <w:marLeft w:val="0"/>
      <w:marRight w:val="0"/>
      <w:marTop w:val="0"/>
      <w:marBottom w:val="0"/>
      <w:divBdr>
        <w:top w:val="none" w:sz="0" w:space="0" w:color="auto"/>
        <w:left w:val="none" w:sz="0" w:space="0" w:color="auto"/>
        <w:bottom w:val="none" w:sz="0" w:space="0" w:color="auto"/>
        <w:right w:val="none" w:sz="0" w:space="0" w:color="auto"/>
      </w:divBdr>
      <w:divsChild>
        <w:div w:id="1140346542">
          <w:marLeft w:val="0"/>
          <w:marRight w:val="0"/>
          <w:marTop w:val="0"/>
          <w:marBottom w:val="0"/>
          <w:divBdr>
            <w:top w:val="none" w:sz="0" w:space="0" w:color="auto"/>
            <w:left w:val="none" w:sz="0" w:space="0" w:color="auto"/>
            <w:bottom w:val="none" w:sz="0" w:space="0" w:color="auto"/>
            <w:right w:val="none" w:sz="0" w:space="0" w:color="auto"/>
          </w:divBdr>
          <w:divsChild>
            <w:div w:id="1001391016">
              <w:marLeft w:val="0"/>
              <w:marRight w:val="0"/>
              <w:marTop w:val="0"/>
              <w:marBottom w:val="0"/>
              <w:divBdr>
                <w:top w:val="none" w:sz="0" w:space="0" w:color="auto"/>
                <w:left w:val="none" w:sz="0" w:space="0" w:color="auto"/>
                <w:bottom w:val="none" w:sz="0" w:space="0" w:color="auto"/>
                <w:right w:val="none" w:sz="0" w:space="0" w:color="auto"/>
              </w:divBdr>
              <w:divsChild>
                <w:div w:id="143786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329895">
      <w:bodyDiv w:val="1"/>
      <w:marLeft w:val="0"/>
      <w:marRight w:val="0"/>
      <w:marTop w:val="0"/>
      <w:marBottom w:val="0"/>
      <w:divBdr>
        <w:top w:val="none" w:sz="0" w:space="0" w:color="auto"/>
        <w:left w:val="none" w:sz="0" w:space="0" w:color="auto"/>
        <w:bottom w:val="none" w:sz="0" w:space="0" w:color="auto"/>
        <w:right w:val="none" w:sz="0" w:space="0" w:color="auto"/>
      </w:divBdr>
      <w:divsChild>
        <w:div w:id="623968386">
          <w:marLeft w:val="0"/>
          <w:marRight w:val="0"/>
          <w:marTop w:val="0"/>
          <w:marBottom w:val="0"/>
          <w:divBdr>
            <w:top w:val="none" w:sz="0" w:space="0" w:color="auto"/>
            <w:left w:val="none" w:sz="0" w:space="0" w:color="auto"/>
            <w:bottom w:val="none" w:sz="0" w:space="0" w:color="auto"/>
            <w:right w:val="none" w:sz="0" w:space="0" w:color="auto"/>
          </w:divBdr>
          <w:divsChild>
            <w:div w:id="2064256959">
              <w:marLeft w:val="0"/>
              <w:marRight w:val="0"/>
              <w:marTop w:val="0"/>
              <w:marBottom w:val="0"/>
              <w:divBdr>
                <w:top w:val="none" w:sz="0" w:space="0" w:color="auto"/>
                <w:left w:val="none" w:sz="0" w:space="0" w:color="auto"/>
                <w:bottom w:val="none" w:sz="0" w:space="0" w:color="auto"/>
                <w:right w:val="none" w:sz="0" w:space="0" w:color="auto"/>
              </w:divBdr>
              <w:divsChild>
                <w:div w:id="1329595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7207">
      <w:bodyDiv w:val="1"/>
      <w:marLeft w:val="0"/>
      <w:marRight w:val="0"/>
      <w:marTop w:val="0"/>
      <w:marBottom w:val="0"/>
      <w:divBdr>
        <w:top w:val="none" w:sz="0" w:space="0" w:color="auto"/>
        <w:left w:val="none" w:sz="0" w:space="0" w:color="auto"/>
        <w:bottom w:val="none" w:sz="0" w:space="0" w:color="auto"/>
        <w:right w:val="none" w:sz="0" w:space="0" w:color="auto"/>
      </w:divBdr>
    </w:div>
    <w:div w:id="210768344">
      <w:bodyDiv w:val="1"/>
      <w:marLeft w:val="0"/>
      <w:marRight w:val="0"/>
      <w:marTop w:val="0"/>
      <w:marBottom w:val="0"/>
      <w:divBdr>
        <w:top w:val="none" w:sz="0" w:space="0" w:color="auto"/>
        <w:left w:val="none" w:sz="0" w:space="0" w:color="auto"/>
        <w:bottom w:val="none" w:sz="0" w:space="0" w:color="auto"/>
        <w:right w:val="none" w:sz="0" w:space="0" w:color="auto"/>
      </w:divBdr>
      <w:divsChild>
        <w:div w:id="1179151605">
          <w:marLeft w:val="0"/>
          <w:marRight w:val="0"/>
          <w:marTop w:val="0"/>
          <w:marBottom w:val="0"/>
          <w:divBdr>
            <w:top w:val="none" w:sz="0" w:space="0" w:color="auto"/>
            <w:left w:val="none" w:sz="0" w:space="0" w:color="auto"/>
            <w:bottom w:val="none" w:sz="0" w:space="0" w:color="auto"/>
            <w:right w:val="none" w:sz="0" w:space="0" w:color="auto"/>
          </w:divBdr>
          <w:divsChild>
            <w:div w:id="599684469">
              <w:marLeft w:val="0"/>
              <w:marRight w:val="0"/>
              <w:marTop w:val="0"/>
              <w:marBottom w:val="0"/>
              <w:divBdr>
                <w:top w:val="none" w:sz="0" w:space="0" w:color="auto"/>
                <w:left w:val="none" w:sz="0" w:space="0" w:color="auto"/>
                <w:bottom w:val="none" w:sz="0" w:space="0" w:color="auto"/>
                <w:right w:val="none" w:sz="0" w:space="0" w:color="auto"/>
              </w:divBdr>
              <w:divsChild>
                <w:div w:id="71251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173349">
      <w:bodyDiv w:val="1"/>
      <w:marLeft w:val="0"/>
      <w:marRight w:val="0"/>
      <w:marTop w:val="0"/>
      <w:marBottom w:val="0"/>
      <w:divBdr>
        <w:top w:val="none" w:sz="0" w:space="0" w:color="auto"/>
        <w:left w:val="none" w:sz="0" w:space="0" w:color="auto"/>
        <w:bottom w:val="none" w:sz="0" w:space="0" w:color="auto"/>
        <w:right w:val="none" w:sz="0" w:space="0" w:color="auto"/>
      </w:divBdr>
      <w:divsChild>
        <w:div w:id="2003311708">
          <w:marLeft w:val="0"/>
          <w:marRight w:val="0"/>
          <w:marTop w:val="0"/>
          <w:marBottom w:val="0"/>
          <w:divBdr>
            <w:top w:val="none" w:sz="0" w:space="0" w:color="auto"/>
            <w:left w:val="none" w:sz="0" w:space="0" w:color="auto"/>
            <w:bottom w:val="none" w:sz="0" w:space="0" w:color="auto"/>
            <w:right w:val="none" w:sz="0" w:space="0" w:color="auto"/>
          </w:divBdr>
          <w:divsChild>
            <w:div w:id="23481072">
              <w:marLeft w:val="0"/>
              <w:marRight w:val="0"/>
              <w:marTop w:val="0"/>
              <w:marBottom w:val="0"/>
              <w:divBdr>
                <w:top w:val="none" w:sz="0" w:space="0" w:color="auto"/>
                <w:left w:val="none" w:sz="0" w:space="0" w:color="auto"/>
                <w:bottom w:val="none" w:sz="0" w:space="0" w:color="auto"/>
                <w:right w:val="none" w:sz="0" w:space="0" w:color="auto"/>
              </w:divBdr>
              <w:divsChild>
                <w:div w:id="1924872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8320576">
      <w:bodyDiv w:val="1"/>
      <w:marLeft w:val="0"/>
      <w:marRight w:val="0"/>
      <w:marTop w:val="0"/>
      <w:marBottom w:val="0"/>
      <w:divBdr>
        <w:top w:val="none" w:sz="0" w:space="0" w:color="auto"/>
        <w:left w:val="none" w:sz="0" w:space="0" w:color="auto"/>
        <w:bottom w:val="none" w:sz="0" w:space="0" w:color="auto"/>
        <w:right w:val="none" w:sz="0" w:space="0" w:color="auto"/>
      </w:divBdr>
      <w:divsChild>
        <w:div w:id="597830626">
          <w:marLeft w:val="0"/>
          <w:marRight w:val="0"/>
          <w:marTop w:val="0"/>
          <w:marBottom w:val="0"/>
          <w:divBdr>
            <w:top w:val="none" w:sz="0" w:space="0" w:color="auto"/>
            <w:left w:val="none" w:sz="0" w:space="0" w:color="auto"/>
            <w:bottom w:val="none" w:sz="0" w:space="0" w:color="auto"/>
            <w:right w:val="none" w:sz="0" w:space="0" w:color="auto"/>
          </w:divBdr>
          <w:divsChild>
            <w:div w:id="1408041525">
              <w:marLeft w:val="0"/>
              <w:marRight w:val="0"/>
              <w:marTop w:val="0"/>
              <w:marBottom w:val="0"/>
              <w:divBdr>
                <w:top w:val="none" w:sz="0" w:space="0" w:color="auto"/>
                <w:left w:val="none" w:sz="0" w:space="0" w:color="auto"/>
                <w:bottom w:val="none" w:sz="0" w:space="0" w:color="auto"/>
                <w:right w:val="none" w:sz="0" w:space="0" w:color="auto"/>
              </w:divBdr>
              <w:divsChild>
                <w:div w:id="335501143">
                  <w:marLeft w:val="0"/>
                  <w:marRight w:val="0"/>
                  <w:marTop w:val="0"/>
                  <w:marBottom w:val="0"/>
                  <w:divBdr>
                    <w:top w:val="none" w:sz="0" w:space="0" w:color="auto"/>
                    <w:left w:val="none" w:sz="0" w:space="0" w:color="auto"/>
                    <w:bottom w:val="none" w:sz="0" w:space="0" w:color="auto"/>
                    <w:right w:val="none" w:sz="0" w:space="0" w:color="auto"/>
                  </w:divBdr>
                  <w:divsChild>
                    <w:div w:id="33579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006613">
      <w:bodyDiv w:val="1"/>
      <w:marLeft w:val="0"/>
      <w:marRight w:val="0"/>
      <w:marTop w:val="0"/>
      <w:marBottom w:val="0"/>
      <w:divBdr>
        <w:top w:val="none" w:sz="0" w:space="0" w:color="auto"/>
        <w:left w:val="none" w:sz="0" w:space="0" w:color="auto"/>
        <w:bottom w:val="none" w:sz="0" w:space="0" w:color="auto"/>
        <w:right w:val="none" w:sz="0" w:space="0" w:color="auto"/>
      </w:divBdr>
    </w:div>
    <w:div w:id="356661259">
      <w:bodyDiv w:val="1"/>
      <w:marLeft w:val="0"/>
      <w:marRight w:val="0"/>
      <w:marTop w:val="0"/>
      <w:marBottom w:val="0"/>
      <w:divBdr>
        <w:top w:val="none" w:sz="0" w:space="0" w:color="auto"/>
        <w:left w:val="none" w:sz="0" w:space="0" w:color="auto"/>
        <w:bottom w:val="none" w:sz="0" w:space="0" w:color="auto"/>
        <w:right w:val="none" w:sz="0" w:space="0" w:color="auto"/>
      </w:divBdr>
      <w:divsChild>
        <w:div w:id="1729262337">
          <w:marLeft w:val="0"/>
          <w:marRight w:val="0"/>
          <w:marTop w:val="0"/>
          <w:marBottom w:val="0"/>
          <w:divBdr>
            <w:top w:val="none" w:sz="0" w:space="0" w:color="auto"/>
            <w:left w:val="none" w:sz="0" w:space="0" w:color="auto"/>
            <w:bottom w:val="none" w:sz="0" w:space="0" w:color="auto"/>
            <w:right w:val="none" w:sz="0" w:space="0" w:color="auto"/>
          </w:divBdr>
          <w:divsChild>
            <w:div w:id="1969627668">
              <w:marLeft w:val="0"/>
              <w:marRight w:val="0"/>
              <w:marTop w:val="0"/>
              <w:marBottom w:val="0"/>
              <w:divBdr>
                <w:top w:val="none" w:sz="0" w:space="0" w:color="auto"/>
                <w:left w:val="none" w:sz="0" w:space="0" w:color="auto"/>
                <w:bottom w:val="none" w:sz="0" w:space="0" w:color="auto"/>
                <w:right w:val="none" w:sz="0" w:space="0" w:color="auto"/>
              </w:divBdr>
              <w:divsChild>
                <w:div w:id="1706632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892151">
      <w:bodyDiv w:val="1"/>
      <w:marLeft w:val="0"/>
      <w:marRight w:val="0"/>
      <w:marTop w:val="0"/>
      <w:marBottom w:val="0"/>
      <w:divBdr>
        <w:top w:val="none" w:sz="0" w:space="0" w:color="auto"/>
        <w:left w:val="none" w:sz="0" w:space="0" w:color="auto"/>
        <w:bottom w:val="none" w:sz="0" w:space="0" w:color="auto"/>
        <w:right w:val="none" w:sz="0" w:space="0" w:color="auto"/>
      </w:divBdr>
      <w:divsChild>
        <w:div w:id="59906661">
          <w:marLeft w:val="0"/>
          <w:marRight w:val="0"/>
          <w:marTop w:val="0"/>
          <w:marBottom w:val="0"/>
          <w:divBdr>
            <w:top w:val="none" w:sz="0" w:space="0" w:color="auto"/>
            <w:left w:val="none" w:sz="0" w:space="0" w:color="auto"/>
            <w:bottom w:val="none" w:sz="0" w:space="0" w:color="auto"/>
            <w:right w:val="none" w:sz="0" w:space="0" w:color="auto"/>
          </w:divBdr>
          <w:divsChild>
            <w:div w:id="389310174">
              <w:marLeft w:val="0"/>
              <w:marRight w:val="0"/>
              <w:marTop w:val="0"/>
              <w:marBottom w:val="0"/>
              <w:divBdr>
                <w:top w:val="none" w:sz="0" w:space="0" w:color="auto"/>
                <w:left w:val="none" w:sz="0" w:space="0" w:color="auto"/>
                <w:bottom w:val="none" w:sz="0" w:space="0" w:color="auto"/>
                <w:right w:val="none" w:sz="0" w:space="0" w:color="auto"/>
              </w:divBdr>
              <w:divsChild>
                <w:div w:id="1705642122">
                  <w:marLeft w:val="0"/>
                  <w:marRight w:val="0"/>
                  <w:marTop w:val="0"/>
                  <w:marBottom w:val="0"/>
                  <w:divBdr>
                    <w:top w:val="none" w:sz="0" w:space="0" w:color="auto"/>
                    <w:left w:val="none" w:sz="0" w:space="0" w:color="auto"/>
                    <w:bottom w:val="none" w:sz="0" w:space="0" w:color="auto"/>
                    <w:right w:val="none" w:sz="0" w:space="0" w:color="auto"/>
                  </w:divBdr>
                </w:div>
                <w:div w:id="71003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282163">
      <w:bodyDiv w:val="1"/>
      <w:marLeft w:val="0"/>
      <w:marRight w:val="0"/>
      <w:marTop w:val="0"/>
      <w:marBottom w:val="0"/>
      <w:divBdr>
        <w:top w:val="none" w:sz="0" w:space="0" w:color="auto"/>
        <w:left w:val="none" w:sz="0" w:space="0" w:color="auto"/>
        <w:bottom w:val="none" w:sz="0" w:space="0" w:color="auto"/>
        <w:right w:val="none" w:sz="0" w:space="0" w:color="auto"/>
      </w:divBdr>
      <w:divsChild>
        <w:div w:id="1117338512">
          <w:marLeft w:val="0"/>
          <w:marRight w:val="0"/>
          <w:marTop w:val="0"/>
          <w:marBottom w:val="0"/>
          <w:divBdr>
            <w:top w:val="none" w:sz="0" w:space="0" w:color="auto"/>
            <w:left w:val="none" w:sz="0" w:space="0" w:color="auto"/>
            <w:bottom w:val="none" w:sz="0" w:space="0" w:color="auto"/>
            <w:right w:val="none" w:sz="0" w:space="0" w:color="auto"/>
          </w:divBdr>
          <w:divsChild>
            <w:div w:id="786971417">
              <w:marLeft w:val="0"/>
              <w:marRight w:val="0"/>
              <w:marTop w:val="0"/>
              <w:marBottom w:val="0"/>
              <w:divBdr>
                <w:top w:val="none" w:sz="0" w:space="0" w:color="auto"/>
                <w:left w:val="none" w:sz="0" w:space="0" w:color="auto"/>
                <w:bottom w:val="none" w:sz="0" w:space="0" w:color="auto"/>
                <w:right w:val="none" w:sz="0" w:space="0" w:color="auto"/>
              </w:divBdr>
              <w:divsChild>
                <w:div w:id="1681354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636716">
      <w:bodyDiv w:val="1"/>
      <w:marLeft w:val="0"/>
      <w:marRight w:val="0"/>
      <w:marTop w:val="0"/>
      <w:marBottom w:val="0"/>
      <w:divBdr>
        <w:top w:val="none" w:sz="0" w:space="0" w:color="auto"/>
        <w:left w:val="none" w:sz="0" w:space="0" w:color="auto"/>
        <w:bottom w:val="none" w:sz="0" w:space="0" w:color="auto"/>
        <w:right w:val="none" w:sz="0" w:space="0" w:color="auto"/>
      </w:divBdr>
      <w:divsChild>
        <w:div w:id="502478372">
          <w:marLeft w:val="0"/>
          <w:marRight w:val="0"/>
          <w:marTop w:val="0"/>
          <w:marBottom w:val="0"/>
          <w:divBdr>
            <w:top w:val="none" w:sz="0" w:space="0" w:color="auto"/>
            <w:left w:val="none" w:sz="0" w:space="0" w:color="auto"/>
            <w:bottom w:val="none" w:sz="0" w:space="0" w:color="auto"/>
            <w:right w:val="none" w:sz="0" w:space="0" w:color="auto"/>
          </w:divBdr>
          <w:divsChild>
            <w:div w:id="1452750272">
              <w:marLeft w:val="0"/>
              <w:marRight w:val="0"/>
              <w:marTop w:val="0"/>
              <w:marBottom w:val="0"/>
              <w:divBdr>
                <w:top w:val="none" w:sz="0" w:space="0" w:color="auto"/>
                <w:left w:val="none" w:sz="0" w:space="0" w:color="auto"/>
                <w:bottom w:val="none" w:sz="0" w:space="0" w:color="auto"/>
                <w:right w:val="none" w:sz="0" w:space="0" w:color="auto"/>
              </w:divBdr>
              <w:divsChild>
                <w:div w:id="36814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5565881">
      <w:bodyDiv w:val="1"/>
      <w:marLeft w:val="0"/>
      <w:marRight w:val="0"/>
      <w:marTop w:val="0"/>
      <w:marBottom w:val="0"/>
      <w:divBdr>
        <w:top w:val="none" w:sz="0" w:space="0" w:color="auto"/>
        <w:left w:val="none" w:sz="0" w:space="0" w:color="auto"/>
        <w:bottom w:val="none" w:sz="0" w:space="0" w:color="auto"/>
        <w:right w:val="none" w:sz="0" w:space="0" w:color="auto"/>
      </w:divBdr>
      <w:divsChild>
        <w:div w:id="393045450">
          <w:marLeft w:val="0"/>
          <w:marRight w:val="0"/>
          <w:marTop w:val="0"/>
          <w:marBottom w:val="0"/>
          <w:divBdr>
            <w:top w:val="none" w:sz="0" w:space="0" w:color="auto"/>
            <w:left w:val="none" w:sz="0" w:space="0" w:color="auto"/>
            <w:bottom w:val="none" w:sz="0" w:space="0" w:color="auto"/>
            <w:right w:val="none" w:sz="0" w:space="0" w:color="auto"/>
          </w:divBdr>
          <w:divsChild>
            <w:div w:id="1796754638">
              <w:marLeft w:val="0"/>
              <w:marRight w:val="0"/>
              <w:marTop w:val="0"/>
              <w:marBottom w:val="0"/>
              <w:divBdr>
                <w:top w:val="none" w:sz="0" w:space="0" w:color="auto"/>
                <w:left w:val="none" w:sz="0" w:space="0" w:color="auto"/>
                <w:bottom w:val="none" w:sz="0" w:space="0" w:color="auto"/>
                <w:right w:val="none" w:sz="0" w:space="0" w:color="auto"/>
              </w:divBdr>
              <w:divsChild>
                <w:div w:id="145655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392048">
      <w:bodyDiv w:val="1"/>
      <w:marLeft w:val="0"/>
      <w:marRight w:val="0"/>
      <w:marTop w:val="0"/>
      <w:marBottom w:val="0"/>
      <w:divBdr>
        <w:top w:val="none" w:sz="0" w:space="0" w:color="auto"/>
        <w:left w:val="none" w:sz="0" w:space="0" w:color="auto"/>
        <w:bottom w:val="none" w:sz="0" w:space="0" w:color="auto"/>
        <w:right w:val="none" w:sz="0" w:space="0" w:color="auto"/>
      </w:divBdr>
    </w:div>
    <w:div w:id="499779570">
      <w:bodyDiv w:val="1"/>
      <w:marLeft w:val="0"/>
      <w:marRight w:val="0"/>
      <w:marTop w:val="0"/>
      <w:marBottom w:val="0"/>
      <w:divBdr>
        <w:top w:val="none" w:sz="0" w:space="0" w:color="auto"/>
        <w:left w:val="none" w:sz="0" w:space="0" w:color="auto"/>
        <w:bottom w:val="none" w:sz="0" w:space="0" w:color="auto"/>
        <w:right w:val="none" w:sz="0" w:space="0" w:color="auto"/>
      </w:divBdr>
    </w:div>
    <w:div w:id="572931174">
      <w:bodyDiv w:val="1"/>
      <w:marLeft w:val="0"/>
      <w:marRight w:val="0"/>
      <w:marTop w:val="0"/>
      <w:marBottom w:val="0"/>
      <w:divBdr>
        <w:top w:val="none" w:sz="0" w:space="0" w:color="auto"/>
        <w:left w:val="none" w:sz="0" w:space="0" w:color="auto"/>
        <w:bottom w:val="none" w:sz="0" w:space="0" w:color="auto"/>
        <w:right w:val="none" w:sz="0" w:space="0" w:color="auto"/>
      </w:divBdr>
      <w:divsChild>
        <w:div w:id="762142587">
          <w:marLeft w:val="0"/>
          <w:marRight w:val="0"/>
          <w:marTop w:val="0"/>
          <w:marBottom w:val="0"/>
          <w:divBdr>
            <w:top w:val="none" w:sz="0" w:space="0" w:color="auto"/>
            <w:left w:val="none" w:sz="0" w:space="0" w:color="auto"/>
            <w:bottom w:val="none" w:sz="0" w:space="0" w:color="auto"/>
            <w:right w:val="none" w:sz="0" w:space="0" w:color="auto"/>
          </w:divBdr>
          <w:divsChild>
            <w:div w:id="835533439">
              <w:marLeft w:val="0"/>
              <w:marRight w:val="0"/>
              <w:marTop w:val="0"/>
              <w:marBottom w:val="0"/>
              <w:divBdr>
                <w:top w:val="none" w:sz="0" w:space="0" w:color="auto"/>
                <w:left w:val="none" w:sz="0" w:space="0" w:color="auto"/>
                <w:bottom w:val="none" w:sz="0" w:space="0" w:color="auto"/>
                <w:right w:val="none" w:sz="0" w:space="0" w:color="auto"/>
              </w:divBdr>
              <w:divsChild>
                <w:div w:id="1691298575">
                  <w:marLeft w:val="0"/>
                  <w:marRight w:val="0"/>
                  <w:marTop w:val="0"/>
                  <w:marBottom w:val="0"/>
                  <w:divBdr>
                    <w:top w:val="none" w:sz="0" w:space="0" w:color="auto"/>
                    <w:left w:val="none" w:sz="0" w:space="0" w:color="auto"/>
                    <w:bottom w:val="none" w:sz="0" w:space="0" w:color="auto"/>
                    <w:right w:val="none" w:sz="0" w:space="0" w:color="auto"/>
                  </w:divBdr>
                </w:div>
                <w:div w:id="1719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558088">
      <w:bodyDiv w:val="1"/>
      <w:marLeft w:val="0"/>
      <w:marRight w:val="0"/>
      <w:marTop w:val="0"/>
      <w:marBottom w:val="0"/>
      <w:divBdr>
        <w:top w:val="none" w:sz="0" w:space="0" w:color="auto"/>
        <w:left w:val="none" w:sz="0" w:space="0" w:color="auto"/>
        <w:bottom w:val="none" w:sz="0" w:space="0" w:color="auto"/>
        <w:right w:val="none" w:sz="0" w:space="0" w:color="auto"/>
      </w:divBdr>
    </w:div>
    <w:div w:id="615522274">
      <w:bodyDiv w:val="1"/>
      <w:marLeft w:val="0"/>
      <w:marRight w:val="0"/>
      <w:marTop w:val="0"/>
      <w:marBottom w:val="0"/>
      <w:divBdr>
        <w:top w:val="none" w:sz="0" w:space="0" w:color="auto"/>
        <w:left w:val="none" w:sz="0" w:space="0" w:color="auto"/>
        <w:bottom w:val="none" w:sz="0" w:space="0" w:color="auto"/>
        <w:right w:val="none" w:sz="0" w:space="0" w:color="auto"/>
      </w:divBdr>
      <w:divsChild>
        <w:div w:id="452751452">
          <w:marLeft w:val="0"/>
          <w:marRight w:val="0"/>
          <w:marTop w:val="0"/>
          <w:marBottom w:val="0"/>
          <w:divBdr>
            <w:top w:val="none" w:sz="0" w:space="0" w:color="auto"/>
            <w:left w:val="none" w:sz="0" w:space="0" w:color="auto"/>
            <w:bottom w:val="none" w:sz="0" w:space="0" w:color="auto"/>
            <w:right w:val="none" w:sz="0" w:space="0" w:color="auto"/>
          </w:divBdr>
        </w:div>
      </w:divsChild>
    </w:div>
    <w:div w:id="663509105">
      <w:bodyDiv w:val="1"/>
      <w:marLeft w:val="0"/>
      <w:marRight w:val="0"/>
      <w:marTop w:val="0"/>
      <w:marBottom w:val="0"/>
      <w:divBdr>
        <w:top w:val="none" w:sz="0" w:space="0" w:color="auto"/>
        <w:left w:val="none" w:sz="0" w:space="0" w:color="auto"/>
        <w:bottom w:val="none" w:sz="0" w:space="0" w:color="auto"/>
        <w:right w:val="none" w:sz="0" w:space="0" w:color="auto"/>
      </w:divBdr>
      <w:divsChild>
        <w:div w:id="382481693">
          <w:marLeft w:val="0"/>
          <w:marRight w:val="0"/>
          <w:marTop w:val="0"/>
          <w:marBottom w:val="0"/>
          <w:divBdr>
            <w:top w:val="none" w:sz="0" w:space="0" w:color="auto"/>
            <w:left w:val="none" w:sz="0" w:space="0" w:color="auto"/>
            <w:bottom w:val="none" w:sz="0" w:space="0" w:color="auto"/>
            <w:right w:val="none" w:sz="0" w:space="0" w:color="auto"/>
          </w:divBdr>
          <w:divsChild>
            <w:div w:id="360858459">
              <w:marLeft w:val="0"/>
              <w:marRight w:val="0"/>
              <w:marTop w:val="0"/>
              <w:marBottom w:val="0"/>
              <w:divBdr>
                <w:top w:val="none" w:sz="0" w:space="0" w:color="auto"/>
                <w:left w:val="none" w:sz="0" w:space="0" w:color="auto"/>
                <w:bottom w:val="none" w:sz="0" w:space="0" w:color="auto"/>
                <w:right w:val="none" w:sz="0" w:space="0" w:color="auto"/>
              </w:divBdr>
              <w:divsChild>
                <w:div w:id="716859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923909">
      <w:bodyDiv w:val="1"/>
      <w:marLeft w:val="0"/>
      <w:marRight w:val="0"/>
      <w:marTop w:val="0"/>
      <w:marBottom w:val="0"/>
      <w:divBdr>
        <w:top w:val="none" w:sz="0" w:space="0" w:color="auto"/>
        <w:left w:val="none" w:sz="0" w:space="0" w:color="auto"/>
        <w:bottom w:val="none" w:sz="0" w:space="0" w:color="auto"/>
        <w:right w:val="none" w:sz="0" w:space="0" w:color="auto"/>
      </w:divBdr>
      <w:divsChild>
        <w:div w:id="824710660">
          <w:marLeft w:val="0"/>
          <w:marRight w:val="0"/>
          <w:marTop w:val="0"/>
          <w:marBottom w:val="0"/>
          <w:divBdr>
            <w:top w:val="none" w:sz="0" w:space="0" w:color="auto"/>
            <w:left w:val="none" w:sz="0" w:space="0" w:color="auto"/>
            <w:bottom w:val="none" w:sz="0" w:space="0" w:color="auto"/>
            <w:right w:val="none" w:sz="0" w:space="0" w:color="auto"/>
          </w:divBdr>
          <w:divsChild>
            <w:div w:id="1876772043">
              <w:marLeft w:val="0"/>
              <w:marRight w:val="0"/>
              <w:marTop w:val="0"/>
              <w:marBottom w:val="0"/>
              <w:divBdr>
                <w:top w:val="none" w:sz="0" w:space="0" w:color="auto"/>
                <w:left w:val="none" w:sz="0" w:space="0" w:color="auto"/>
                <w:bottom w:val="none" w:sz="0" w:space="0" w:color="auto"/>
                <w:right w:val="none" w:sz="0" w:space="0" w:color="auto"/>
              </w:divBdr>
              <w:divsChild>
                <w:div w:id="1593051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8504804">
      <w:bodyDiv w:val="1"/>
      <w:marLeft w:val="0"/>
      <w:marRight w:val="0"/>
      <w:marTop w:val="0"/>
      <w:marBottom w:val="0"/>
      <w:divBdr>
        <w:top w:val="none" w:sz="0" w:space="0" w:color="auto"/>
        <w:left w:val="none" w:sz="0" w:space="0" w:color="auto"/>
        <w:bottom w:val="none" w:sz="0" w:space="0" w:color="auto"/>
        <w:right w:val="none" w:sz="0" w:space="0" w:color="auto"/>
      </w:divBdr>
      <w:divsChild>
        <w:div w:id="1122924870">
          <w:marLeft w:val="0"/>
          <w:marRight w:val="0"/>
          <w:marTop w:val="0"/>
          <w:marBottom w:val="0"/>
          <w:divBdr>
            <w:top w:val="none" w:sz="0" w:space="0" w:color="auto"/>
            <w:left w:val="none" w:sz="0" w:space="0" w:color="auto"/>
            <w:bottom w:val="none" w:sz="0" w:space="0" w:color="auto"/>
            <w:right w:val="none" w:sz="0" w:space="0" w:color="auto"/>
          </w:divBdr>
          <w:divsChild>
            <w:div w:id="2119332633">
              <w:marLeft w:val="0"/>
              <w:marRight w:val="0"/>
              <w:marTop w:val="0"/>
              <w:marBottom w:val="0"/>
              <w:divBdr>
                <w:top w:val="none" w:sz="0" w:space="0" w:color="auto"/>
                <w:left w:val="none" w:sz="0" w:space="0" w:color="auto"/>
                <w:bottom w:val="none" w:sz="0" w:space="0" w:color="auto"/>
                <w:right w:val="none" w:sz="0" w:space="0" w:color="auto"/>
              </w:divBdr>
              <w:divsChild>
                <w:div w:id="24295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0936427">
      <w:bodyDiv w:val="1"/>
      <w:marLeft w:val="0"/>
      <w:marRight w:val="0"/>
      <w:marTop w:val="0"/>
      <w:marBottom w:val="0"/>
      <w:divBdr>
        <w:top w:val="none" w:sz="0" w:space="0" w:color="auto"/>
        <w:left w:val="none" w:sz="0" w:space="0" w:color="auto"/>
        <w:bottom w:val="none" w:sz="0" w:space="0" w:color="auto"/>
        <w:right w:val="none" w:sz="0" w:space="0" w:color="auto"/>
      </w:divBdr>
      <w:divsChild>
        <w:div w:id="1795100854">
          <w:marLeft w:val="0"/>
          <w:marRight w:val="0"/>
          <w:marTop w:val="0"/>
          <w:marBottom w:val="0"/>
          <w:divBdr>
            <w:top w:val="none" w:sz="0" w:space="0" w:color="auto"/>
            <w:left w:val="none" w:sz="0" w:space="0" w:color="auto"/>
            <w:bottom w:val="none" w:sz="0" w:space="0" w:color="auto"/>
            <w:right w:val="none" w:sz="0" w:space="0" w:color="auto"/>
          </w:divBdr>
          <w:divsChild>
            <w:div w:id="1476750930">
              <w:marLeft w:val="0"/>
              <w:marRight w:val="0"/>
              <w:marTop w:val="0"/>
              <w:marBottom w:val="0"/>
              <w:divBdr>
                <w:top w:val="none" w:sz="0" w:space="0" w:color="auto"/>
                <w:left w:val="none" w:sz="0" w:space="0" w:color="auto"/>
                <w:bottom w:val="none" w:sz="0" w:space="0" w:color="auto"/>
                <w:right w:val="none" w:sz="0" w:space="0" w:color="auto"/>
              </w:divBdr>
              <w:divsChild>
                <w:div w:id="208221962">
                  <w:marLeft w:val="0"/>
                  <w:marRight w:val="0"/>
                  <w:marTop w:val="0"/>
                  <w:marBottom w:val="0"/>
                  <w:divBdr>
                    <w:top w:val="none" w:sz="0" w:space="0" w:color="auto"/>
                    <w:left w:val="none" w:sz="0" w:space="0" w:color="auto"/>
                    <w:bottom w:val="none" w:sz="0" w:space="0" w:color="auto"/>
                    <w:right w:val="none" w:sz="0" w:space="0" w:color="auto"/>
                  </w:divBdr>
                </w:div>
                <w:div w:id="6988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062973">
      <w:bodyDiv w:val="1"/>
      <w:marLeft w:val="0"/>
      <w:marRight w:val="0"/>
      <w:marTop w:val="0"/>
      <w:marBottom w:val="0"/>
      <w:divBdr>
        <w:top w:val="none" w:sz="0" w:space="0" w:color="auto"/>
        <w:left w:val="none" w:sz="0" w:space="0" w:color="auto"/>
        <w:bottom w:val="none" w:sz="0" w:space="0" w:color="auto"/>
        <w:right w:val="none" w:sz="0" w:space="0" w:color="auto"/>
      </w:divBdr>
      <w:divsChild>
        <w:div w:id="478571832">
          <w:marLeft w:val="0"/>
          <w:marRight w:val="0"/>
          <w:marTop w:val="0"/>
          <w:marBottom w:val="0"/>
          <w:divBdr>
            <w:top w:val="none" w:sz="0" w:space="0" w:color="auto"/>
            <w:left w:val="none" w:sz="0" w:space="0" w:color="auto"/>
            <w:bottom w:val="none" w:sz="0" w:space="0" w:color="auto"/>
            <w:right w:val="none" w:sz="0" w:space="0" w:color="auto"/>
          </w:divBdr>
          <w:divsChild>
            <w:div w:id="1694107976">
              <w:marLeft w:val="0"/>
              <w:marRight w:val="0"/>
              <w:marTop w:val="0"/>
              <w:marBottom w:val="0"/>
              <w:divBdr>
                <w:top w:val="none" w:sz="0" w:space="0" w:color="auto"/>
                <w:left w:val="none" w:sz="0" w:space="0" w:color="auto"/>
                <w:bottom w:val="none" w:sz="0" w:space="0" w:color="auto"/>
                <w:right w:val="none" w:sz="0" w:space="0" w:color="auto"/>
              </w:divBdr>
              <w:divsChild>
                <w:div w:id="84764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608501">
      <w:bodyDiv w:val="1"/>
      <w:marLeft w:val="0"/>
      <w:marRight w:val="0"/>
      <w:marTop w:val="0"/>
      <w:marBottom w:val="0"/>
      <w:divBdr>
        <w:top w:val="none" w:sz="0" w:space="0" w:color="auto"/>
        <w:left w:val="none" w:sz="0" w:space="0" w:color="auto"/>
        <w:bottom w:val="none" w:sz="0" w:space="0" w:color="auto"/>
        <w:right w:val="none" w:sz="0" w:space="0" w:color="auto"/>
      </w:divBdr>
      <w:divsChild>
        <w:div w:id="48772157">
          <w:marLeft w:val="0"/>
          <w:marRight w:val="0"/>
          <w:marTop w:val="0"/>
          <w:marBottom w:val="0"/>
          <w:divBdr>
            <w:top w:val="none" w:sz="0" w:space="0" w:color="auto"/>
            <w:left w:val="none" w:sz="0" w:space="0" w:color="auto"/>
            <w:bottom w:val="none" w:sz="0" w:space="0" w:color="auto"/>
            <w:right w:val="none" w:sz="0" w:space="0" w:color="auto"/>
          </w:divBdr>
          <w:divsChild>
            <w:div w:id="2141258956">
              <w:marLeft w:val="0"/>
              <w:marRight w:val="0"/>
              <w:marTop w:val="0"/>
              <w:marBottom w:val="0"/>
              <w:divBdr>
                <w:top w:val="none" w:sz="0" w:space="0" w:color="auto"/>
                <w:left w:val="none" w:sz="0" w:space="0" w:color="auto"/>
                <w:bottom w:val="none" w:sz="0" w:space="0" w:color="auto"/>
                <w:right w:val="none" w:sz="0" w:space="0" w:color="auto"/>
              </w:divBdr>
              <w:divsChild>
                <w:div w:id="1927880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1875227">
      <w:bodyDiv w:val="1"/>
      <w:marLeft w:val="0"/>
      <w:marRight w:val="0"/>
      <w:marTop w:val="0"/>
      <w:marBottom w:val="0"/>
      <w:divBdr>
        <w:top w:val="none" w:sz="0" w:space="0" w:color="auto"/>
        <w:left w:val="none" w:sz="0" w:space="0" w:color="auto"/>
        <w:bottom w:val="none" w:sz="0" w:space="0" w:color="auto"/>
        <w:right w:val="none" w:sz="0" w:space="0" w:color="auto"/>
      </w:divBdr>
      <w:divsChild>
        <w:div w:id="381252754">
          <w:marLeft w:val="0"/>
          <w:marRight w:val="0"/>
          <w:marTop w:val="0"/>
          <w:marBottom w:val="0"/>
          <w:divBdr>
            <w:top w:val="none" w:sz="0" w:space="0" w:color="auto"/>
            <w:left w:val="none" w:sz="0" w:space="0" w:color="auto"/>
            <w:bottom w:val="none" w:sz="0" w:space="0" w:color="auto"/>
            <w:right w:val="none" w:sz="0" w:space="0" w:color="auto"/>
          </w:divBdr>
          <w:divsChild>
            <w:div w:id="2125537693">
              <w:marLeft w:val="0"/>
              <w:marRight w:val="0"/>
              <w:marTop w:val="0"/>
              <w:marBottom w:val="0"/>
              <w:divBdr>
                <w:top w:val="none" w:sz="0" w:space="0" w:color="auto"/>
                <w:left w:val="none" w:sz="0" w:space="0" w:color="auto"/>
                <w:bottom w:val="none" w:sz="0" w:space="0" w:color="auto"/>
                <w:right w:val="none" w:sz="0" w:space="0" w:color="auto"/>
              </w:divBdr>
              <w:divsChild>
                <w:div w:id="181583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378198">
      <w:bodyDiv w:val="1"/>
      <w:marLeft w:val="0"/>
      <w:marRight w:val="0"/>
      <w:marTop w:val="0"/>
      <w:marBottom w:val="0"/>
      <w:divBdr>
        <w:top w:val="none" w:sz="0" w:space="0" w:color="auto"/>
        <w:left w:val="none" w:sz="0" w:space="0" w:color="auto"/>
        <w:bottom w:val="none" w:sz="0" w:space="0" w:color="auto"/>
        <w:right w:val="none" w:sz="0" w:space="0" w:color="auto"/>
      </w:divBdr>
    </w:div>
    <w:div w:id="827668955">
      <w:bodyDiv w:val="1"/>
      <w:marLeft w:val="0"/>
      <w:marRight w:val="0"/>
      <w:marTop w:val="0"/>
      <w:marBottom w:val="0"/>
      <w:divBdr>
        <w:top w:val="none" w:sz="0" w:space="0" w:color="auto"/>
        <w:left w:val="none" w:sz="0" w:space="0" w:color="auto"/>
        <w:bottom w:val="none" w:sz="0" w:space="0" w:color="auto"/>
        <w:right w:val="none" w:sz="0" w:space="0" w:color="auto"/>
      </w:divBdr>
      <w:divsChild>
        <w:div w:id="548565705">
          <w:marLeft w:val="0"/>
          <w:marRight w:val="0"/>
          <w:marTop w:val="0"/>
          <w:marBottom w:val="0"/>
          <w:divBdr>
            <w:top w:val="none" w:sz="0" w:space="0" w:color="auto"/>
            <w:left w:val="none" w:sz="0" w:space="0" w:color="auto"/>
            <w:bottom w:val="none" w:sz="0" w:space="0" w:color="auto"/>
            <w:right w:val="none" w:sz="0" w:space="0" w:color="auto"/>
          </w:divBdr>
          <w:divsChild>
            <w:div w:id="1621182687">
              <w:marLeft w:val="0"/>
              <w:marRight w:val="0"/>
              <w:marTop w:val="0"/>
              <w:marBottom w:val="0"/>
              <w:divBdr>
                <w:top w:val="none" w:sz="0" w:space="0" w:color="auto"/>
                <w:left w:val="none" w:sz="0" w:space="0" w:color="auto"/>
                <w:bottom w:val="none" w:sz="0" w:space="0" w:color="auto"/>
                <w:right w:val="none" w:sz="0" w:space="0" w:color="auto"/>
              </w:divBdr>
              <w:divsChild>
                <w:div w:id="135233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088866">
      <w:bodyDiv w:val="1"/>
      <w:marLeft w:val="0"/>
      <w:marRight w:val="0"/>
      <w:marTop w:val="0"/>
      <w:marBottom w:val="0"/>
      <w:divBdr>
        <w:top w:val="none" w:sz="0" w:space="0" w:color="auto"/>
        <w:left w:val="none" w:sz="0" w:space="0" w:color="auto"/>
        <w:bottom w:val="none" w:sz="0" w:space="0" w:color="auto"/>
        <w:right w:val="none" w:sz="0" w:space="0" w:color="auto"/>
      </w:divBdr>
    </w:div>
    <w:div w:id="882133474">
      <w:bodyDiv w:val="1"/>
      <w:marLeft w:val="0"/>
      <w:marRight w:val="0"/>
      <w:marTop w:val="0"/>
      <w:marBottom w:val="0"/>
      <w:divBdr>
        <w:top w:val="none" w:sz="0" w:space="0" w:color="auto"/>
        <w:left w:val="none" w:sz="0" w:space="0" w:color="auto"/>
        <w:bottom w:val="none" w:sz="0" w:space="0" w:color="auto"/>
        <w:right w:val="none" w:sz="0" w:space="0" w:color="auto"/>
      </w:divBdr>
      <w:divsChild>
        <w:div w:id="456143146">
          <w:marLeft w:val="0"/>
          <w:marRight w:val="0"/>
          <w:marTop w:val="0"/>
          <w:marBottom w:val="0"/>
          <w:divBdr>
            <w:top w:val="none" w:sz="0" w:space="0" w:color="auto"/>
            <w:left w:val="none" w:sz="0" w:space="0" w:color="auto"/>
            <w:bottom w:val="none" w:sz="0" w:space="0" w:color="auto"/>
            <w:right w:val="none" w:sz="0" w:space="0" w:color="auto"/>
          </w:divBdr>
          <w:divsChild>
            <w:div w:id="332149551">
              <w:marLeft w:val="0"/>
              <w:marRight w:val="0"/>
              <w:marTop w:val="0"/>
              <w:marBottom w:val="0"/>
              <w:divBdr>
                <w:top w:val="none" w:sz="0" w:space="0" w:color="auto"/>
                <w:left w:val="none" w:sz="0" w:space="0" w:color="auto"/>
                <w:bottom w:val="none" w:sz="0" w:space="0" w:color="auto"/>
                <w:right w:val="none" w:sz="0" w:space="0" w:color="auto"/>
              </w:divBdr>
              <w:divsChild>
                <w:div w:id="1483039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7882715">
      <w:bodyDiv w:val="1"/>
      <w:marLeft w:val="0"/>
      <w:marRight w:val="0"/>
      <w:marTop w:val="0"/>
      <w:marBottom w:val="0"/>
      <w:divBdr>
        <w:top w:val="none" w:sz="0" w:space="0" w:color="auto"/>
        <w:left w:val="none" w:sz="0" w:space="0" w:color="auto"/>
        <w:bottom w:val="none" w:sz="0" w:space="0" w:color="auto"/>
        <w:right w:val="none" w:sz="0" w:space="0" w:color="auto"/>
      </w:divBdr>
      <w:divsChild>
        <w:div w:id="450713814">
          <w:marLeft w:val="0"/>
          <w:marRight w:val="0"/>
          <w:marTop w:val="0"/>
          <w:marBottom w:val="0"/>
          <w:divBdr>
            <w:top w:val="none" w:sz="0" w:space="0" w:color="auto"/>
            <w:left w:val="none" w:sz="0" w:space="0" w:color="auto"/>
            <w:bottom w:val="none" w:sz="0" w:space="0" w:color="auto"/>
            <w:right w:val="none" w:sz="0" w:space="0" w:color="auto"/>
          </w:divBdr>
          <w:divsChild>
            <w:div w:id="1632200301">
              <w:marLeft w:val="0"/>
              <w:marRight w:val="0"/>
              <w:marTop w:val="0"/>
              <w:marBottom w:val="0"/>
              <w:divBdr>
                <w:top w:val="none" w:sz="0" w:space="0" w:color="auto"/>
                <w:left w:val="none" w:sz="0" w:space="0" w:color="auto"/>
                <w:bottom w:val="none" w:sz="0" w:space="0" w:color="auto"/>
                <w:right w:val="none" w:sz="0" w:space="0" w:color="auto"/>
              </w:divBdr>
              <w:divsChild>
                <w:div w:id="1950312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9509804">
      <w:bodyDiv w:val="1"/>
      <w:marLeft w:val="0"/>
      <w:marRight w:val="0"/>
      <w:marTop w:val="0"/>
      <w:marBottom w:val="0"/>
      <w:divBdr>
        <w:top w:val="none" w:sz="0" w:space="0" w:color="auto"/>
        <w:left w:val="none" w:sz="0" w:space="0" w:color="auto"/>
        <w:bottom w:val="none" w:sz="0" w:space="0" w:color="auto"/>
        <w:right w:val="none" w:sz="0" w:space="0" w:color="auto"/>
      </w:divBdr>
      <w:divsChild>
        <w:div w:id="458649212">
          <w:marLeft w:val="0"/>
          <w:marRight w:val="0"/>
          <w:marTop w:val="0"/>
          <w:marBottom w:val="0"/>
          <w:divBdr>
            <w:top w:val="none" w:sz="0" w:space="0" w:color="auto"/>
            <w:left w:val="none" w:sz="0" w:space="0" w:color="auto"/>
            <w:bottom w:val="none" w:sz="0" w:space="0" w:color="auto"/>
            <w:right w:val="none" w:sz="0" w:space="0" w:color="auto"/>
          </w:divBdr>
          <w:divsChild>
            <w:div w:id="697121466">
              <w:marLeft w:val="0"/>
              <w:marRight w:val="0"/>
              <w:marTop w:val="0"/>
              <w:marBottom w:val="0"/>
              <w:divBdr>
                <w:top w:val="none" w:sz="0" w:space="0" w:color="auto"/>
                <w:left w:val="none" w:sz="0" w:space="0" w:color="auto"/>
                <w:bottom w:val="none" w:sz="0" w:space="0" w:color="auto"/>
                <w:right w:val="none" w:sz="0" w:space="0" w:color="auto"/>
              </w:divBdr>
              <w:divsChild>
                <w:div w:id="346172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6285379">
      <w:bodyDiv w:val="1"/>
      <w:marLeft w:val="0"/>
      <w:marRight w:val="0"/>
      <w:marTop w:val="0"/>
      <w:marBottom w:val="0"/>
      <w:divBdr>
        <w:top w:val="none" w:sz="0" w:space="0" w:color="auto"/>
        <w:left w:val="none" w:sz="0" w:space="0" w:color="auto"/>
        <w:bottom w:val="none" w:sz="0" w:space="0" w:color="auto"/>
        <w:right w:val="none" w:sz="0" w:space="0" w:color="auto"/>
      </w:divBdr>
      <w:divsChild>
        <w:div w:id="738745512">
          <w:marLeft w:val="0"/>
          <w:marRight w:val="0"/>
          <w:marTop w:val="0"/>
          <w:marBottom w:val="0"/>
          <w:divBdr>
            <w:top w:val="none" w:sz="0" w:space="0" w:color="auto"/>
            <w:left w:val="none" w:sz="0" w:space="0" w:color="auto"/>
            <w:bottom w:val="none" w:sz="0" w:space="0" w:color="auto"/>
            <w:right w:val="none" w:sz="0" w:space="0" w:color="auto"/>
          </w:divBdr>
          <w:divsChild>
            <w:div w:id="927154028">
              <w:marLeft w:val="0"/>
              <w:marRight w:val="0"/>
              <w:marTop w:val="0"/>
              <w:marBottom w:val="0"/>
              <w:divBdr>
                <w:top w:val="none" w:sz="0" w:space="0" w:color="auto"/>
                <w:left w:val="none" w:sz="0" w:space="0" w:color="auto"/>
                <w:bottom w:val="none" w:sz="0" w:space="0" w:color="auto"/>
                <w:right w:val="none" w:sz="0" w:space="0" w:color="auto"/>
              </w:divBdr>
              <w:divsChild>
                <w:div w:id="100809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132375">
      <w:bodyDiv w:val="1"/>
      <w:marLeft w:val="0"/>
      <w:marRight w:val="0"/>
      <w:marTop w:val="0"/>
      <w:marBottom w:val="0"/>
      <w:divBdr>
        <w:top w:val="none" w:sz="0" w:space="0" w:color="auto"/>
        <w:left w:val="none" w:sz="0" w:space="0" w:color="auto"/>
        <w:bottom w:val="none" w:sz="0" w:space="0" w:color="auto"/>
        <w:right w:val="none" w:sz="0" w:space="0" w:color="auto"/>
      </w:divBdr>
    </w:div>
    <w:div w:id="983244256">
      <w:bodyDiv w:val="1"/>
      <w:marLeft w:val="0"/>
      <w:marRight w:val="0"/>
      <w:marTop w:val="0"/>
      <w:marBottom w:val="0"/>
      <w:divBdr>
        <w:top w:val="none" w:sz="0" w:space="0" w:color="auto"/>
        <w:left w:val="none" w:sz="0" w:space="0" w:color="auto"/>
        <w:bottom w:val="none" w:sz="0" w:space="0" w:color="auto"/>
        <w:right w:val="none" w:sz="0" w:space="0" w:color="auto"/>
      </w:divBdr>
      <w:divsChild>
        <w:div w:id="134298408">
          <w:marLeft w:val="0"/>
          <w:marRight w:val="0"/>
          <w:marTop w:val="0"/>
          <w:marBottom w:val="0"/>
          <w:divBdr>
            <w:top w:val="none" w:sz="0" w:space="0" w:color="auto"/>
            <w:left w:val="none" w:sz="0" w:space="0" w:color="auto"/>
            <w:bottom w:val="none" w:sz="0" w:space="0" w:color="auto"/>
            <w:right w:val="none" w:sz="0" w:space="0" w:color="auto"/>
          </w:divBdr>
        </w:div>
        <w:div w:id="159006581">
          <w:marLeft w:val="0"/>
          <w:marRight w:val="0"/>
          <w:marTop w:val="0"/>
          <w:marBottom w:val="0"/>
          <w:divBdr>
            <w:top w:val="none" w:sz="0" w:space="0" w:color="auto"/>
            <w:left w:val="none" w:sz="0" w:space="0" w:color="auto"/>
            <w:bottom w:val="none" w:sz="0" w:space="0" w:color="auto"/>
            <w:right w:val="none" w:sz="0" w:space="0" w:color="auto"/>
          </w:divBdr>
        </w:div>
        <w:div w:id="397168178">
          <w:marLeft w:val="0"/>
          <w:marRight w:val="0"/>
          <w:marTop w:val="0"/>
          <w:marBottom w:val="0"/>
          <w:divBdr>
            <w:top w:val="none" w:sz="0" w:space="0" w:color="auto"/>
            <w:left w:val="none" w:sz="0" w:space="0" w:color="auto"/>
            <w:bottom w:val="none" w:sz="0" w:space="0" w:color="auto"/>
            <w:right w:val="none" w:sz="0" w:space="0" w:color="auto"/>
          </w:divBdr>
        </w:div>
        <w:div w:id="2111510514">
          <w:marLeft w:val="0"/>
          <w:marRight w:val="0"/>
          <w:marTop w:val="0"/>
          <w:marBottom w:val="0"/>
          <w:divBdr>
            <w:top w:val="none" w:sz="0" w:space="0" w:color="auto"/>
            <w:left w:val="none" w:sz="0" w:space="0" w:color="auto"/>
            <w:bottom w:val="none" w:sz="0" w:space="0" w:color="auto"/>
            <w:right w:val="none" w:sz="0" w:space="0" w:color="auto"/>
          </w:divBdr>
        </w:div>
        <w:div w:id="472409665">
          <w:marLeft w:val="0"/>
          <w:marRight w:val="0"/>
          <w:marTop w:val="0"/>
          <w:marBottom w:val="0"/>
          <w:divBdr>
            <w:top w:val="none" w:sz="0" w:space="0" w:color="auto"/>
            <w:left w:val="none" w:sz="0" w:space="0" w:color="auto"/>
            <w:bottom w:val="none" w:sz="0" w:space="0" w:color="auto"/>
            <w:right w:val="none" w:sz="0" w:space="0" w:color="auto"/>
          </w:divBdr>
        </w:div>
        <w:div w:id="2020425933">
          <w:marLeft w:val="0"/>
          <w:marRight w:val="0"/>
          <w:marTop w:val="0"/>
          <w:marBottom w:val="0"/>
          <w:divBdr>
            <w:top w:val="none" w:sz="0" w:space="0" w:color="auto"/>
            <w:left w:val="none" w:sz="0" w:space="0" w:color="auto"/>
            <w:bottom w:val="none" w:sz="0" w:space="0" w:color="auto"/>
            <w:right w:val="none" w:sz="0" w:space="0" w:color="auto"/>
          </w:divBdr>
        </w:div>
        <w:div w:id="318391632">
          <w:marLeft w:val="0"/>
          <w:marRight w:val="0"/>
          <w:marTop w:val="0"/>
          <w:marBottom w:val="0"/>
          <w:divBdr>
            <w:top w:val="none" w:sz="0" w:space="0" w:color="auto"/>
            <w:left w:val="none" w:sz="0" w:space="0" w:color="auto"/>
            <w:bottom w:val="none" w:sz="0" w:space="0" w:color="auto"/>
            <w:right w:val="none" w:sz="0" w:space="0" w:color="auto"/>
          </w:divBdr>
        </w:div>
        <w:div w:id="617492068">
          <w:marLeft w:val="0"/>
          <w:marRight w:val="0"/>
          <w:marTop w:val="0"/>
          <w:marBottom w:val="0"/>
          <w:divBdr>
            <w:top w:val="none" w:sz="0" w:space="0" w:color="auto"/>
            <w:left w:val="none" w:sz="0" w:space="0" w:color="auto"/>
            <w:bottom w:val="none" w:sz="0" w:space="0" w:color="auto"/>
            <w:right w:val="none" w:sz="0" w:space="0" w:color="auto"/>
          </w:divBdr>
        </w:div>
        <w:div w:id="1409692305">
          <w:marLeft w:val="0"/>
          <w:marRight w:val="0"/>
          <w:marTop w:val="0"/>
          <w:marBottom w:val="0"/>
          <w:divBdr>
            <w:top w:val="none" w:sz="0" w:space="0" w:color="auto"/>
            <w:left w:val="none" w:sz="0" w:space="0" w:color="auto"/>
            <w:bottom w:val="none" w:sz="0" w:space="0" w:color="auto"/>
            <w:right w:val="none" w:sz="0" w:space="0" w:color="auto"/>
          </w:divBdr>
        </w:div>
        <w:div w:id="1920938219">
          <w:marLeft w:val="0"/>
          <w:marRight w:val="0"/>
          <w:marTop w:val="0"/>
          <w:marBottom w:val="0"/>
          <w:divBdr>
            <w:top w:val="none" w:sz="0" w:space="0" w:color="auto"/>
            <w:left w:val="none" w:sz="0" w:space="0" w:color="auto"/>
            <w:bottom w:val="none" w:sz="0" w:space="0" w:color="auto"/>
            <w:right w:val="none" w:sz="0" w:space="0" w:color="auto"/>
          </w:divBdr>
        </w:div>
        <w:div w:id="922223297">
          <w:marLeft w:val="0"/>
          <w:marRight w:val="0"/>
          <w:marTop w:val="0"/>
          <w:marBottom w:val="0"/>
          <w:divBdr>
            <w:top w:val="none" w:sz="0" w:space="0" w:color="auto"/>
            <w:left w:val="none" w:sz="0" w:space="0" w:color="auto"/>
            <w:bottom w:val="none" w:sz="0" w:space="0" w:color="auto"/>
            <w:right w:val="none" w:sz="0" w:space="0" w:color="auto"/>
          </w:divBdr>
        </w:div>
        <w:div w:id="648561460">
          <w:marLeft w:val="0"/>
          <w:marRight w:val="0"/>
          <w:marTop w:val="0"/>
          <w:marBottom w:val="0"/>
          <w:divBdr>
            <w:top w:val="none" w:sz="0" w:space="0" w:color="auto"/>
            <w:left w:val="none" w:sz="0" w:space="0" w:color="auto"/>
            <w:bottom w:val="none" w:sz="0" w:space="0" w:color="auto"/>
            <w:right w:val="none" w:sz="0" w:space="0" w:color="auto"/>
          </w:divBdr>
        </w:div>
        <w:div w:id="1303653917">
          <w:marLeft w:val="0"/>
          <w:marRight w:val="0"/>
          <w:marTop w:val="0"/>
          <w:marBottom w:val="0"/>
          <w:divBdr>
            <w:top w:val="none" w:sz="0" w:space="0" w:color="auto"/>
            <w:left w:val="none" w:sz="0" w:space="0" w:color="auto"/>
            <w:bottom w:val="none" w:sz="0" w:space="0" w:color="auto"/>
            <w:right w:val="none" w:sz="0" w:space="0" w:color="auto"/>
          </w:divBdr>
        </w:div>
        <w:div w:id="390083133">
          <w:marLeft w:val="0"/>
          <w:marRight w:val="0"/>
          <w:marTop w:val="0"/>
          <w:marBottom w:val="0"/>
          <w:divBdr>
            <w:top w:val="none" w:sz="0" w:space="0" w:color="auto"/>
            <w:left w:val="none" w:sz="0" w:space="0" w:color="auto"/>
            <w:bottom w:val="none" w:sz="0" w:space="0" w:color="auto"/>
            <w:right w:val="none" w:sz="0" w:space="0" w:color="auto"/>
          </w:divBdr>
        </w:div>
        <w:div w:id="1860318709">
          <w:marLeft w:val="0"/>
          <w:marRight w:val="0"/>
          <w:marTop w:val="0"/>
          <w:marBottom w:val="0"/>
          <w:divBdr>
            <w:top w:val="none" w:sz="0" w:space="0" w:color="auto"/>
            <w:left w:val="none" w:sz="0" w:space="0" w:color="auto"/>
            <w:bottom w:val="none" w:sz="0" w:space="0" w:color="auto"/>
            <w:right w:val="none" w:sz="0" w:space="0" w:color="auto"/>
          </w:divBdr>
        </w:div>
        <w:div w:id="581644977">
          <w:marLeft w:val="0"/>
          <w:marRight w:val="0"/>
          <w:marTop w:val="0"/>
          <w:marBottom w:val="0"/>
          <w:divBdr>
            <w:top w:val="none" w:sz="0" w:space="0" w:color="auto"/>
            <w:left w:val="none" w:sz="0" w:space="0" w:color="auto"/>
            <w:bottom w:val="none" w:sz="0" w:space="0" w:color="auto"/>
            <w:right w:val="none" w:sz="0" w:space="0" w:color="auto"/>
          </w:divBdr>
        </w:div>
        <w:div w:id="1413119938">
          <w:marLeft w:val="0"/>
          <w:marRight w:val="0"/>
          <w:marTop w:val="0"/>
          <w:marBottom w:val="0"/>
          <w:divBdr>
            <w:top w:val="none" w:sz="0" w:space="0" w:color="auto"/>
            <w:left w:val="none" w:sz="0" w:space="0" w:color="auto"/>
            <w:bottom w:val="none" w:sz="0" w:space="0" w:color="auto"/>
            <w:right w:val="none" w:sz="0" w:space="0" w:color="auto"/>
          </w:divBdr>
        </w:div>
        <w:div w:id="1678074515">
          <w:marLeft w:val="0"/>
          <w:marRight w:val="0"/>
          <w:marTop w:val="0"/>
          <w:marBottom w:val="0"/>
          <w:divBdr>
            <w:top w:val="none" w:sz="0" w:space="0" w:color="auto"/>
            <w:left w:val="none" w:sz="0" w:space="0" w:color="auto"/>
            <w:bottom w:val="none" w:sz="0" w:space="0" w:color="auto"/>
            <w:right w:val="none" w:sz="0" w:space="0" w:color="auto"/>
          </w:divBdr>
        </w:div>
        <w:div w:id="898514294">
          <w:marLeft w:val="0"/>
          <w:marRight w:val="0"/>
          <w:marTop w:val="0"/>
          <w:marBottom w:val="0"/>
          <w:divBdr>
            <w:top w:val="none" w:sz="0" w:space="0" w:color="auto"/>
            <w:left w:val="none" w:sz="0" w:space="0" w:color="auto"/>
            <w:bottom w:val="none" w:sz="0" w:space="0" w:color="auto"/>
            <w:right w:val="none" w:sz="0" w:space="0" w:color="auto"/>
          </w:divBdr>
        </w:div>
        <w:div w:id="1885292470">
          <w:marLeft w:val="0"/>
          <w:marRight w:val="0"/>
          <w:marTop w:val="0"/>
          <w:marBottom w:val="0"/>
          <w:divBdr>
            <w:top w:val="none" w:sz="0" w:space="0" w:color="auto"/>
            <w:left w:val="none" w:sz="0" w:space="0" w:color="auto"/>
            <w:bottom w:val="none" w:sz="0" w:space="0" w:color="auto"/>
            <w:right w:val="none" w:sz="0" w:space="0" w:color="auto"/>
          </w:divBdr>
        </w:div>
        <w:div w:id="870149940">
          <w:marLeft w:val="0"/>
          <w:marRight w:val="0"/>
          <w:marTop w:val="0"/>
          <w:marBottom w:val="0"/>
          <w:divBdr>
            <w:top w:val="none" w:sz="0" w:space="0" w:color="auto"/>
            <w:left w:val="none" w:sz="0" w:space="0" w:color="auto"/>
            <w:bottom w:val="none" w:sz="0" w:space="0" w:color="auto"/>
            <w:right w:val="none" w:sz="0" w:space="0" w:color="auto"/>
          </w:divBdr>
        </w:div>
      </w:divsChild>
    </w:div>
    <w:div w:id="989291176">
      <w:bodyDiv w:val="1"/>
      <w:marLeft w:val="0"/>
      <w:marRight w:val="0"/>
      <w:marTop w:val="0"/>
      <w:marBottom w:val="0"/>
      <w:divBdr>
        <w:top w:val="none" w:sz="0" w:space="0" w:color="auto"/>
        <w:left w:val="none" w:sz="0" w:space="0" w:color="auto"/>
        <w:bottom w:val="none" w:sz="0" w:space="0" w:color="auto"/>
        <w:right w:val="none" w:sz="0" w:space="0" w:color="auto"/>
      </w:divBdr>
    </w:div>
    <w:div w:id="994918835">
      <w:bodyDiv w:val="1"/>
      <w:marLeft w:val="0"/>
      <w:marRight w:val="0"/>
      <w:marTop w:val="0"/>
      <w:marBottom w:val="0"/>
      <w:divBdr>
        <w:top w:val="none" w:sz="0" w:space="0" w:color="auto"/>
        <w:left w:val="none" w:sz="0" w:space="0" w:color="auto"/>
        <w:bottom w:val="none" w:sz="0" w:space="0" w:color="auto"/>
        <w:right w:val="none" w:sz="0" w:space="0" w:color="auto"/>
      </w:divBdr>
    </w:div>
    <w:div w:id="1028721138">
      <w:bodyDiv w:val="1"/>
      <w:marLeft w:val="0"/>
      <w:marRight w:val="0"/>
      <w:marTop w:val="0"/>
      <w:marBottom w:val="0"/>
      <w:divBdr>
        <w:top w:val="none" w:sz="0" w:space="0" w:color="auto"/>
        <w:left w:val="none" w:sz="0" w:space="0" w:color="auto"/>
        <w:bottom w:val="none" w:sz="0" w:space="0" w:color="auto"/>
        <w:right w:val="none" w:sz="0" w:space="0" w:color="auto"/>
      </w:divBdr>
      <w:divsChild>
        <w:div w:id="1495610243">
          <w:marLeft w:val="0"/>
          <w:marRight w:val="0"/>
          <w:marTop w:val="0"/>
          <w:marBottom w:val="0"/>
          <w:divBdr>
            <w:top w:val="none" w:sz="0" w:space="0" w:color="auto"/>
            <w:left w:val="none" w:sz="0" w:space="0" w:color="auto"/>
            <w:bottom w:val="none" w:sz="0" w:space="0" w:color="auto"/>
            <w:right w:val="none" w:sz="0" w:space="0" w:color="auto"/>
          </w:divBdr>
          <w:divsChild>
            <w:div w:id="223374726">
              <w:marLeft w:val="0"/>
              <w:marRight w:val="0"/>
              <w:marTop w:val="0"/>
              <w:marBottom w:val="0"/>
              <w:divBdr>
                <w:top w:val="none" w:sz="0" w:space="0" w:color="auto"/>
                <w:left w:val="none" w:sz="0" w:space="0" w:color="auto"/>
                <w:bottom w:val="none" w:sz="0" w:space="0" w:color="auto"/>
                <w:right w:val="none" w:sz="0" w:space="0" w:color="auto"/>
              </w:divBdr>
              <w:divsChild>
                <w:div w:id="50163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421839">
      <w:bodyDiv w:val="1"/>
      <w:marLeft w:val="0"/>
      <w:marRight w:val="0"/>
      <w:marTop w:val="0"/>
      <w:marBottom w:val="0"/>
      <w:divBdr>
        <w:top w:val="none" w:sz="0" w:space="0" w:color="auto"/>
        <w:left w:val="none" w:sz="0" w:space="0" w:color="auto"/>
        <w:bottom w:val="none" w:sz="0" w:space="0" w:color="auto"/>
        <w:right w:val="none" w:sz="0" w:space="0" w:color="auto"/>
      </w:divBdr>
      <w:divsChild>
        <w:div w:id="1990403053">
          <w:marLeft w:val="0"/>
          <w:marRight w:val="0"/>
          <w:marTop w:val="0"/>
          <w:marBottom w:val="0"/>
          <w:divBdr>
            <w:top w:val="none" w:sz="0" w:space="0" w:color="auto"/>
            <w:left w:val="none" w:sz="0" w:space="0" w:color="auto"/>
            <w:bottom w:val="none" w:sz="0" w:space="0" w:color="auto"/>
            <w:right w:val="none" w:sz="0" w:space="0" w:color="auto"/>
          </w:divBdr>
          <w:divsChild>
            <w:div w:id="475029153">
              <w:marLeft w:val="0"/>
              <w:marRight w:val="0"/>
              <w:marTop w:val="0"/>
              <w:marBottom w:val="0"/>
              <w:divBdr>
                <w:top w:val="none" w:sz="0" w:space="0" w:color="auto"/>
                <w:left w:val="none" w:sz="0" w:space="0" w:color="auto"/>
                <w:bottom w:val="none" w:sz="0" w:space="0" w:color="auto"/>
                <w:right w:val="none" w:sz="0" w:space="0" w:color="auto"/>
              </w:divBdr>
              <w:divsChild>
                <w:div w:id="1099957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397084">
      <w:bodyDiv w:val="1"/>
      <w:marLeft w:val="0"/>
      <w:marRight w:val="0"/>
      <w:marTop w:val="0"/>
      <w:marBottom w:val="0"/>
      <w:divBdr>
        <w:top w:val="none" w:sz="0" w:space="0" w:color="auto"/>
        <w:left w:val="none" w:sz="0" w:space="0" w:color="auto"/>
        <w:bottom w:val="none" w:sz="0" w:space="0" w:color="auto"/>
        <w:right w:val="none" w:sz="0" w:space="0" w:color="auto"/>
      </w:divBdr>
    </w:div>
    <w:div w:id="1127775670">
      <w:bodyDiv w:val="1"/>
      <w:marLeft w:val="0"/>
      <w:marRight w:val="0"/>
      <w:marTop w:val="0"/>
      <w:marBottom w:val="0"/>
      <w:divBdr>
        <w:top w:val="none" w:sz="0" w:space="0" w:color="auto"/>
        <w:left w:val="none" w:sz="0" w:space="0" w:color="auto"/>
        <w:bottom w:val="none" w:sz="0" w:space="0" w:color="auto"/>
        <w:right w:val="none" w:sz="0" w:space="0" w:color="auto"/>
      </w:divBdr>
    </w:div>
    <w:div w:id="1147668494">
      <w:bodyDiv w:val="1"/>
      <w:marLeft w:val="0"/>
      <w:marRight w:val="0"/>
      <w:marTop w:val="0"/>
      <w:marBottom w:val="0"/>
      <w:divBdr>
        <w:top w:val="none" w:sz="0" w:space="0" w:color="auto"/>
        <w:left w:val="none" w:sz="0" w:space="0" w:color="auto"/>
        <w:bottom w:val="none" w:sz="0" w:space="0" w:color="auto"/>
        <w:right w:val="none" w:sz="0" w:space="0" w:color="auto"/>
      </w:divBdr>
      <w:divsChild>
        <w:div w:id="1018430299">
          <w:marLeft w:val="0"/>
          <w:marRight w:val="0"/>
          <w:marTop w:val="0"/>
          <w:marBottom w:val="0"/>
          <w:divBdr>
            <w:top w:val="none" w:sz="0" w:space="0" w:color="auto"/>
            <w:left w:val="none" w:sz="0" w:space="0" w:color="auto"/>
            <w:bottom w:val="none" w:sz="0" w:space="0" w:color="auto"/>
            <w:right w:val="none" w:sz="0" w:space="0" w:color="auto"/>
          </w:divBdr>
          <w:divsChild>
            <w:div w:id="1736077738">
              <w:marLeft w:val="0"/>
              <w:marRight w:val="0"/>
              <w:marTop w:val="0"/>
              <w:marBottom w:val="0"/>
              <w:divBdr>
                <w:top w:val="none" w:sz="0" w:space="0" w:color="auto"/>
                <w:left w:val="none" w:sz="0" w:space="0" w:color="auto"/>
                <w:bottom w:val="none" w:sz="0" w:space="0" w:color="auto"/>
                <w:right w:val="none" w:sz="0" w:space="0" w:color="auto"/>
              </w:divBdr>
              <w:divsChild>
                <w:div w:id="1263033663">
                  <w:marLeft w:val="0"/>
                  <w:marRight w:val="0"/>
                  <w:marTop w:val="0"/>
                  <w:marBottom w:val="0"/>
                  <w:divBdr>
                    <w:top w:val="none" w:sz="0" w:space="0" w:color="auto"/>
                    <w:left w:val="none" w:sz="0" w:space="0" w:color="auto"/>
                    <w:bottom w:val="none" w:sz="0" w:space="0" w:color="auto"/>
                    <w:right w:val="none" w:sz="0" w:space="0" w:color="auto"/>
                  </w:divBdr>
                  <w:divsChild>
                    <w:div w:id="203353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09967">
      <w:bodyDiv w:val="1"/>
      <w:marLeft w:val="0"/>
      <w:marRight w:val="0"/>
      <w:marTop w:val="0"/>
      <w:marBottom w:val="0"/>
      <w:divBdr>
        <w:top w:val="none" w:sz="0" w:space="0" w:color="auto"/>
        <w:left w:val="none" w:sz="0" w:space="0" w:color="auto"/>
        <w:bottom w:val="none" w:sz="0" w:space="0" w:color="auto"/>
        <w:right w:val="none" w:sz="0" w:space="0" w:color="auto"/>
      </w:divBdr>
    </w:div>
    <w:div w:id="1196457820">
      <w:bodyDiv w:val="1"/>
      <w:marLeft w:val="0"/>
      <w:marRight w:val="0"/>
      <w:marTop w:val="0"/>
      <w:marBottom w:val="0"/>
      <w:divBdr>
        <w:top w:val="none" w:sz="0" w:space="0" w:color="auto"/>
        <w:left w:val="none" w:sz="0" w:space="0" w:color="auto"/>
        <w:bottom w:val="none" w:sz="0" w:space="0" w:color="auto"/>
        <w:right w:val="none" w:sz="0" w:space="0" w:color="auto"/>
      </w:divBdr>
      <w:divsChild>
        <w:div w:id="1736732892">
          <w:marLeft w:val="0"/>
          <w:marRight w:val="0"/>
          <w:marTop w:val="0"/>
          <w:marBottom w:val="0"/>
          <w:divBdr>
            <w:top w:val="none" w:sz="0" w:space="0" w:color="auto"/>
            <w:left w:val="none" w:sz="0" w:space="0" w:color="auto"/>
            <w:bottom w:val="none" w:sz="0" w:space="0" w:color="auto"/>
            <w:right w:val="none" w:sz="0" w:space="0" w:color="auto"/>
          </w:divBdr>
          <w:divsChild>
            <w:div w:id="324863913">
              <w:marLeft w:val="0"/>
              <w:marRight w:val="0"/>
              <w:marTop w:val="0"/>
              <w:marBottom w:val="0"/>
              <w:divBdr>
                <w:top w:val="none" w:sz="0" w:space="0" w:color="auto"/>
                <w:left w:val="none" w:sz="0" w:space="0" w:color="auto"/>
                <w:bottom w:val="none" w:sz="0" w:space="0" w:color="auto"/>
                <w:right w:val="none" w:sz="0" w:space="0" w:color="auto"/>
              </w:divBdr>
              <w:divsChild>
                <w:div w:id="122236686">
                  <w:marLeft w:val="0"/>
                  <w:marRight w:val="0"/>
                  <w:marTop w:val="0"/>
                  <w:marBottom w:val="0"/>
                  <w:divBdr>
                    <w:top w:val="none" w:sz="0" w:space="0" w:color="auto"/>
                    <w:left w:val="none" w:sz="0" w:space="0" w:color="auto"/>
                    <w:bottom w:val="none" w:sz="0" w:space="0" w:color="auto"/>
                    <w:right w:val="none" w:sz="0" w:space="0" w:color="auto"/>
                  </w:divBdr>
                </w:div>
                <w:div w:id="141617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152662">
      <w:bodyDiv w:val="1"/>
      <w:marLeft w:val="0"/>
      <w:marRight w:val="0"/>
      <w:marTop w:val="0"/>
      <w:marBottom w:val="0"/>
      <w:divBdr>
        <w:top w:val="none" w:sz="0" w:space="0" w:color="auto"/>
        <w:left w:val="none" w:sz="0" w:space="0" w:color="auto"/>
        <w:bottom w:val="none" w:sz="0" w:space="0" w:color="auto"/>
        <w:right w:val="none" w:sz="0" w:space="0" w:color="auto"/>
      </w:divBdr>
    </w:div>
    <w:div w:id="1233661576">
      <w:bodyDiv w:val="1"/>
      <w:marLeft w:val="0"/>
      <w:marRight w:val="0"/>
      <w:marTop w:val="0"/>
      <w:marBottom w:val="0"/>
      <w:divBdr>
        <w:top w:val="none" w:sz="0" w:space="0" w:color="auto"/>
        <w:left w:val="none" w:sz="0" w:space="0" w:color="auto"/>
        <w:bottom w:val="none" w:sz="0" w:space="0" w:color="auto"/>
        <w:right w:val="none" w:sz="0" w:space="0" w:color="auto"/>
      </w:divBdr>
      <w:divsChild>
        <w:div w:id="1879657476">
          <w:marLeft w:val="0"/>
          <w:marRight w:val="0"/>
          <w:marTop w:val="0"/>
          <w:marBottom w:val="0"/>
          <w:divBdr>
            <w:top w:val="none" w:sz="0" w:space="0" w:color="auto"/>
            <w:left w:val="none" w:sz="0" w:space="0" w:color="auto"/>
            <w:bottom w:val="none" w:sz="0" w:space="0" w:color="auto"/>
            <w:right w:val="none" w:sz="0" w:space="0" w:color="auto"/>
          </w:divBdr>
          <w:divsChild>
            <w:div w:id="27267500">
              <w:marLeft w:val="0"/>
              <w:marRight w:val="0"/>
              <w:marTop w:val="0"/>
              <w:marBottom w:val="0"/>
              <w:divBdr>
                <w:top w:val="none" w:sz="0" w:space="0" w:color="auto"/>
                <w:left w:val="none" w:sz="0" w:space="0" w:color="auto"/>
                <w:bottom w:val="none" w:sz="0" w:space="0" w:color="auto"/>
                <w:right w:val="none" w:sz="0" w:space="0" w:color="auto"/>
              </w:divBdr>
              <w:divsChild>
                <w:div w:id="98412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462577">
      <w:bodyDiv w:val="1"/>
      <w:marLeft w:val="0"/>
      <w:marRight w:val="0"/>
      <w:marTop w:val="0"/>
      <w:marBottom w:val="0"/>
      <w:divBdr>
        <w:top w:val="none" w:sz="0" w:space="0" w:color="auto"/>
        <w:left w:val="none" w:sz="0" w:space="0" w:color="auto"/>
        <w:bottom w:val="none" w:sz="0" w:space="0" w:color="auto"/>
        <w:right w:val="none" w:sz="0" w:space="0" w:color="auto"/>
      </w:divBdr>
      <w:divsChild>
        <w:div w:id="251159287">
          <w:marLeft w:val="0"/>
          <w:marRight w:val="0"/>
          <w:marTop w:val="0"/>
          <w:marBottom w:val="0"/>
          <w:divBdr>
            <w:top w:val="none" w:sz="0" w:space="0" w:color="auto"/>
            <w:left w:val="none" w:sz="0" w:space="0" w:color="auto"/>
            <w:bottom w:val="none" w:sz="0" w:space="0" w:color="auto"/>
            <w:right w:val="none" w:sz="0" w:space="0" w:color="auto"/>
          </w:divBdr>
          <w:divsChild>
            <w:div w:id="1432048793">
              <w:marLeft w:val="0"/>
              <w:marRight w:val="0"/>
              <w:marTop w:val="0"/>
              <w:marBottom w:val="0"/>
              <w:divBdr>
                <w:top w:val="none" w:sz="0" w:space="0" w:color="auto"/>
                <w:left w:val="none" w:sz="0" w:space="0" w:color="auto"/>
                <w:bottom w:val="none" w:sz="0" w:space="0" w:color="auto"/>
                <w:right w:val="none" w:sz="0" w:space="0" w:color="auto"/>
              </w:divBdr>
              <w:divsChild>
                <w:div w:id="1762723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211744">
      <w:bodyDiv w:val="1"/>
      <w:marLeft w:val="0"/>
      <w:marRight w:val="0"/>
      <w:marTop w:val="0"/>
      <w:marBottom w:val="0"/>
      <w:divBdr>
        <w:top w:val="none" w:sz="0" w:space="0" w:color="auto"/>
        <w:left w:val="none" w:sz="0" w:space="0" w:color="auto"/>
        <w:bottom w:val="none" w:sz="0" w:space="0" w:color="auto"/>
        <w:right w:val="none" w:sz="0" w:space="0" w:color="auto"/>
      </w:divBdr>
      <w:divsChild>
        <w:div w:id="65613182">
          <w:marLeft w:val="0"/>
          <w:marRight w:val="0"/>
          <w:marTop w:val="0"/>
          <w:marBottom w:val="0"/>
          <w:divBdr>
            <w:top w:val="none" w:sz="0" w:space="0" w:color="auto"/>
            <w:left w:val="none" w:sz="0" w:space="0" w:color="auto"/>
            <w:bottom w:val="none" w:sz="0" w:space="0" w:color="auto"/>
            <w:right w:val="none" w:sz="0" w:space="0" w:color="auto"/>
          </w:divBdr>
          <w:divsChild>
            <w:div w:id="975569944">
              <w:marLeft w:val="0"/>
              <w:marRight w:val="0"/>
              <w:marTop w:val="0"/>
              <w:marBottom w:val="0"/>
              <w:divBdr>
                <w:top w:val="none" w:sz="0" w:space="0" w:color="auto"/>
                <w:left w:val="none" w:sz="0" w:space="0" w:color="auto"/>
                <w:bottom w:val="none" w:sz="0" w:space="0" w:color="auto"/>
                <w:right w:val="none" w:sz="0" w:space="0" w:color="auto"/>
              </w:divBdr>
              <w:divsChild>
                <w:div w:id="52036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935050">
      <w:bodyDiv w:val="1"/>
      <w:marLeft w:val="0"/>
      <w:marRight w:val="0"/>
      <w:marTop w:val="0"/>
      <w:marBottom w:val="0"/>
      <w:divBdr>
        <w:top w:val="none" w:sz="0" w:space="0" w:color="auto"/>
        <w:left w:val="none" w:sz="0" w:space="0" w:color="auto"/>
        <w:bottom w:val="none" w:sz="0" w:space="0" w:color="auto"/>
        <w:right w:val="none" w:sz="0" w:space="0" w:color="auto"/>
      </w:divBdr>
    </w:div>
    <w:div w:id="1397823580">
      <w:bodyDiv w:val="1"/>
      <w:marLeft w:val="0"/>
      <w:marRight w:val="0"/>
      <w:marTop w:val="0"/>
      <w:marBottom w:val="0"/>
      <w:divBdr>
        <w:top w:val="none" w:sz="0" w:space="0" w:color="auto"/>
        <w:left w:val="none" w:sz="0" w:space="0" w:color="auto"/>
        <w:bottom w:val="none" w:sz="0" w:space="0" w:color="auto"/>
        <w:right w:val="none" w:sz="0" w:space="0" w:color="auto"/>
      </w:divBdr>
    </w:div>
    <w:div w:id="1446773070">
      <w:bodyDiv w:val="1"/>
      <w:marLeft w:val="0"/>
      <w:marRight w:val="0"/>
      <w:marTop w:val="0"/>
      <w:marBottom w:val="0"/>
      <w:divBdr>
        <w:top w:val="none" w:sz="0" w:space="0" w:color="auto"/>
        <w:left w:val="none" w:sz="0" w:space="0" w:color="auto"/>
        <w:bottom w:val="none" w:sz="0" w:space="0" w:color="auto"/>
        <w:right w:val="none" w:sz="0" w:space="0" w:color="auto"/>
      </w:divBdr>
      <w:divsChild>
        <w:div w:id="1481842545">
          <w:marLeft w:val="0"/>
          <w:marRight w:val="0"/>
          <w:marTop w:val="0"/>
          <w:marBottom w:val="0"/>
          <w:divBdr>
            <w:top w:val="none" w:sz="0" w:space="0" w:color="auto"/>
            <w:left w:val="none" w:sz="0" w:space="0" w:color="auto"/>
            <w:bottom w:val="none" w:sz="0" w:space="0" w:color="auto"/>
            <w:right w:val="none" w:sz="0" w:space="0" w:color="auto"/>
          </w:divBdr>
        </w:div>
      </w:divsChild>
    </w:div>
    <w:div w:id="1484467609">
      <w:bodyDiv w:val="1"/>
      <w:marLeft w:val="0"/>
      <w:marRight w:val="0"/>
      <w:marTop w:val="0"/>
      <w:marBottom w:val="0"/>
      <w:divBdr>
        <w:top w:val="none" w:sz="0" w:space="0" w:color="auto"/>
        <w:left w:val="none" w:sz="0" w:space="0" w:color="auto"/>
        <w:bottom w:val="none" w:sz="0" w:space="0" w:color="auto"/>
        <w:right w:val="none" w:sz="0" w:space="0" w:color="auto"/>
      </w:divBdr>
      <w:divsChild>
        <w:div w:id="1347513564">
          <w:marLeft w:val="0"/>
          <w:marRight w:val="0"/>
          <w:marTop w:val="0"/>
          <w:marBottom w:val="0"/>
          <w:divBdr>
            <w:top w:val="none" w:sz="0" w:space="0" w:color="auto"/>
            <w:left w:val="none" w:sz="0" w:space="0" w:color="auto"/>
            <w:bottom w:val="none" w:sz="0" w:space="0" w:color="auto"/>
            <w:right w:val="none" w:sz="0" w:space="0" w:color="auto"/>
          </w:divBdr>
          <w:divsChild>
            <w:div w:id="947467500">
              <w:marLeft w:val="0"/>
              <w:marRight w:val="0"/>
              <w:marTop w:val="0"/>
              <w:marBottom w:val="0"/>
              <w:divBdr>
                <w:top w:val="none" w:sz="0" w:space="0" w:color="auto"/>
                <w:left w:val="none" w:sz="0" w:space="0" w:color="auto"/>
                <w:bottom w:val="none" w:sz="0" w:space="0" w:color="auto"/>
                <w:right w:val="none" w:sz="0" w:space="0" w:color="auto"/>
              </w:divBdr>
              <w:divsChild>
                <w:div w:id="168474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341494">
      <w:bodyDiv w:val="1"/>
      <w:marLeft w:val="0"/>
      <w:marRight w:val="0"/>
      <w:marTop w:val="0"/>
      <w:marBottom w:val="0"/>
      <w:divBdr>
        <w:top w:val="none" w:sz="0" w:space="0" w:color="auto"/>
        <w:left w:val="none" w:sz="0" w:space="0" w:color="auto"/>
        <w:bottom w:val="none" w:sz="0" w:space="0" w:color="auto"/>
        <w:right w:val="none" w:sz="0" w:space="0" w:color="auto"/>
      </w:divBdr>
      <w:divsChild>
        <w:div w:id="618684045">
          <w:marLeft w:val="0"/>
          <w:marRight w:val="0"/>
          <w:marTop w:val="0"/>
          <w:marBottom w:val="0"/>
          <w:divBdr>
            <w:top w:val="none" w:sz="0" w:space="0" w:color="auto"/>
            <w:left w:val="none" w:sz="0" w:space="0" w:color="auto"/>
            <w:bottom w:val="none" w:sz="0" w:space="0" w:color="auto"/>
            <w:right w:val="none" w:sz="0" w:space="0" w:color="auto"/>
          </w:divBdr>
          <w:divsChild>
            <w:div w:id="1414426182">
              <w:marLeft w:val="0"/>
              <w:marRight w:val="0"/>
              <w:marTop w:val="0"/>
              <w:marBottom w:val="0"/>
              <w:divBdr>
                <w:top w:val="none" w:sz="0" w:space="0" w:color="auto"/>
                <w:left w:val="none" w:sz="0" w:space="0" w:color="auto"/>
                <w:bottom w:val="none" w:sz="0" w:space="0" w:color="auto"/>
                <w:right w:val="none" w:sz="0" w:space="0" w:color="auto"/>
              </w:divBdr>
              <w:divsChild>
                <w:div w:id="79942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147476">
      <w:bodyDiv w:val="1"/>
      <w:marLeft w:val="0"/>
      <w:marRight w:val="0"/>
      <w:marTop w:val="0"/>
      <w:marBottom w:val="0"/>
      <w:divBdr>
        <w:top w:val="none" w:sz="0" w:space="0" w:color="auto"/>
        <w:left w:val="none" w:sz="0" w:space="0" w:color="auto"/>
        <w:bottom w:val="none" w:sz="0" w:space="0" w:color="auto"/>
        <w:right w:val="none" w:sz="0" w:space="0" w:color="auto"/>
      </w:divBdr>
    </w:div>
    <w:div w:id="1810392022">
      <w:bodyDiv w:val="1"/>
      <w:marLeft w:val="0"/>
      <w:marRight w:val="0"/>
      <w:marTop w:val="0"/>
      <w:marBottom w:val="0"/>
      <w:divBdr>
        <w:top w:val="none" w:sz="0" w:space="0" w:color="auto"/>
        <w:left w:val="none" w:sz="0" w:space="0" w:color="auto"/>
        <w:bottom w:val="none" w:sz="0" w:space="0" w:color="auto"/>
        <w:right w:val="none" w:sz="0" w:space="0" w:color="auto"/>
      </w:divBdr>
    </w:div>
    <w:div w:id="1857840995">
      <w:bodyDiv w:val="1"/>
      <w:marLeft w:val="0"/>
      <w:marRight w:val="0"/>
      <w:marTop w:val="0"/>
      <w:marBottom w:val="0"/>
      <w:divBdr>
        <w:top w:val="none" w:sz="0" w:space="0" w:color="auto"/>
        <w:left w:val="none" w:sz="0" w:space="0" w:color="auto"/>
        <w:bottom w:val="none" w:sz="0" w:space="0" w:color="auto"/>
        <w:right w:val="none" w:sz="0" w:space="0" w:color="auto"/>
      </w:divBdr>
      <w:divsChild>
        <w:div w:id="947663461">
          <w:marLeft w:val="0"/>
          <w:marRight w:val="0"/>
          <w:marTop w:val="0"/>
          <w:marBottom w:val="0"/>
          <w:divBdr>
            <w:top w:val="none" w:sz="0" w:space="0" w:color="auto"/>
            <w:left w:val="none" w:sz="0" w:space="0" w:color="auto"/>
            <w:bottom w:val="none" w:sz="0" w:space="0" w:color="auto"/>
            <w:right w:val="none" w:sz="0" w:space="0" w:color="auto"/>
          </w:divBdr>
          <w:divsChild>
            <w:div w:id="1684360315">
              <w:marLeft w:val="0"/>
              <w:marRight w:val="0"/>
              <w:marTop w:val="0"/>
              <w:marBottom w:val="0"/>
              <w:divBdr>
                <w:top w:val="none" w:sz="0" w:space="0" w:color="auto"/>
                <w:left w:val="none" w:sz="0" w:space="0" w:color="auto"/>
                <w:bottom w:val="none" w:sz="0" w:space="0" w:color="auto"/>
                <w:right w:val="none" w:sz="0" w:space="0" w:color="auto"/>
              </w:divBdr>
              <w:divsChild>
                <w:div w:id="12126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355463">
      <w:bodyDiv w:val="1"/>
      <w:marLeft w:val="0"/>
      <w:marRight w:val="0"/>
      <w:marTop w:val="0"/>
      <w:marBottom w:val="0"/>
      <w:divBdr>
        <w:top w:val="none" w:sz="0" w:space="0" w:color="auto"/>
        <w:left w:val="none" w:sz="0" w:space="0" w:color="auto"/>
        <w:bottom w:val="none" w:sz="0" w:space="0" w:color="auto"/>
        <w:right w:val="none" w:sz="0" w:space="0" w:color="auto"/>
      </w:divBdr>
      <w:divsChild>
        <w:div w:id="804007368">
          <w:marLeft w:val="0"/>
          <w:marRight w:val="0"/>
          <w:marTop w:val="0"/>
          <w:marBottom w:val="0"/>
          <w:divBdr>
            <w:top w:val="none" w:sz="0" w:space="0" w:color="auto"/>
            <w:left w:val="none" w:sz="0" w:space="0" w:color="auto"/>
            <w:bottom w:val="none" w:sz="0" w:space="0" w:color="auto"/>
            <w:right w:val="none" w:sz="0" w:space="0" w:color="auto"/>
          </w:divBdr>
          <w:divsChild>
            <w:div w:id="1218512337">
              <w:marLeft w:val="0"/>
              <w:marRight w:val="0"/>
              <w:marTop w:val="0"/>
              <w:marBottom w:val="0"/>
              <w:divBdr>
                <w:top w:val="none" w:sz="0" w:space="0" w:color="auto"/>
                <w:left w:val="none" w:sz="0" w:space="0" w:color="auto"/>
                <w:bottom w:val="none" w:sz="0" w:space="0" w:color="auto"/>
                <w:right w:val="none" w:sz="0" w:space="0" w:color="auto"/>
              </w:divBdr>
              <w:divsChild>
                <w:div w:id="439253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4171803">
      <w:bodyDiv w:val="1"/>
      <w:marLeft w:val="0"/>
      <w:marRight w:val="0"/>
      <w:marTop w:val="0"/>
      <w:marBottom w:val="0"/>
      <w:divBdr>
        <w:top w:val="none" w:sz="0" w:space="0" w:color="auto"/>
        <w:left w:val="none" w:sz="0" w:space="0" w:color="auto"/>
        <w:bottom w:val="none" w:sz="0" w:space="0" w:color="auto"/>
        <w:right w:val="none" w:sz="0" w:space="0" w:color="auto"/>
      </w:divBdr>
    </w:div>
    <w:div w:id="1949697045">
      <w:bodyDiv w:val="1"/>
      <w:marLeft w:val="0"/>
      <w:marRight w:val="0"/>
      <w:marTop w:val="0"/>
      <w:marBottom w:val="0"/>
      <w:divBdr>
        <w:top w:val="none" w:sz="0" w:space="0" w:color="auto"/>
        <w:left w:val="none" w:sz="0" w:space="0" w:color="auto"/>
        <w:bottom w:val="none" w:sz="0" w:space="0" w:color="auto"/>
        <w:right w:val="none" w:sz="0" w:space="0" w:color="auto"/>
      </w:divBdr>
    </w:div>
    <w:div w:id="1986202471">
      <w:bodyDiv w:val="1"/>
      <w:marLeft w:val="0"/>
      <w:marRight w:val="0"/>
      <w:marTop w:val="0"/>
      <w:marBottom w:val="0"/>
      <w:divBdr>
        <w:top w:val="none" w:sz="0" w:space="0" w:color="auto"/>
        <w:left w:val="none" w:sz="0" w:space="0" w:color="auto"/>
        <w:bottom w:val="none" w:sz="0" w:space="0" w:color="auto"/>
        <w:right w:val="none" w:sz="0" w:space="0" w:color="auto"/>
      </w:divBdr>
    </w:div>
    <w:div w:id="2021738114">
      <w:bodyDiv w:val="1"/>
      <w:marLeft w:val="0"/>
      <w:marRight w:val="0"/>
      <w:marTop w:val="0"/>
      <w:marBottom w:val="0"/>
      <w:divBdr>
        <w:top w:val="none" w:sz="0" w:space="0" w:color="auto"/>
        <w:left w:val="none" w:sz="0" w:space="0" w:color="auto"/>
        <w:bottom w:val="none" w:sz="0" w:space="0" w:color="auto"/>
        <w:right w:val="none" w:sz="0" w:space="0" w:color="auto"/>
      </w:divBdr>
    </w:div>
    <w:div w:id="2037459747">
      <w:bodyDiv w:val="1"/>
      <w:marLeft w:val="0"/>
      <w:marRight w:val="0"/>
      <w:marTop w:val="0"/>
      <w:marBottom w:val="0"/>
      <w:divBdr>
        <w:top w:val="none" w:sz="0" w:space="0" w:color="auto"/>
        <w:left w:val="none" w:sz="0" w:space="0" w:color="auto"/>
        <w:bottom w:val="none" w:sz="0" w:space="0" w:color="auto"/>
        <w:right w:val="none" w:sz="0" w:space="0" w:color="auto"/>
      </w:divBdr>
      <w:divsChild>
        <w:div w:id="857962007">
          <w:marLeft w:val="0"/>
          <w:marRight w:val="0"/>
          <w:marTop w:val="0"/>
          <w:marBottom w:val="0"/>
          <w:divBdr>
            <w:top w:val="none" w:sz="0" w:space="0" w:color="auto"/>
            <w:left w:val="none" w:sz="0" w:space="0" w:color="auto"/>
            <w:bottom w:val="none" w:sz="0" w:space="0" w:color="auto"/>
            <w:right w:val="none" w:sz="0" w:space="0" w:color="auto"/>
          </w:divBdr>
          <w:divsChild>
            <w:div w:id="308287354">
              <w:marLeft w:val="0"/>
              <w:marRight w:val="0"/>
              <w:marTop w:val="0"/>
              <w:marBottom w:val="0"/>
              <w:divBdr>
                <w:top w:val="none" w:sz="0" w:space="0" w:color="auto"/>
                <w:left w:val="none" w:sz="0" w:space="0" w:color="auto"/>
                <w:bottom w:val="none" w:sz="0" w:space="0" w:color="auto"/>
                <w:right w:val="none" w:sz="0" w:space="0" w:color="auto"/>
              </w:divBdr>
              <w:divsChild>
                <w:div w:id="7597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tiff"/><Relationship Id="rId18" Type="http://schemas.openxmlformats.org/officeDocument/2006/relationships/image" Target="media/image8.tiff"/><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chart" Target="charts/chart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tif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24" Type="http://schemas.openxmlformats.org/officeDocument/2006/relationships/image" Target="media/image12.emf"/><Relationship Id="rId5" Type="http://schemas.openxmlformats.org/officeDocument/2006/relationships/settings" Target="settings.xml"/><Relationship Id="rId15" Type="http://schemas.openxmlformats.org/officeDocument/2006/relationships/image" Target="media/image5.tiff"/><Relationship Id="rId23" Type="http://schemas.openxmlformats.org/officeDocument/2006/relationships/image" Target="media/image11.tiff"/><Relationship Id="rId28" Type="http://schemas.openxmlformats.org/officeDocument/2006/relationships/theme" Target="theme/theme1.xml"/><Relationship Id="rId10" Type="http://schemas.openxmlformats.org/officeDocument/2006/relationships/hyperlink" Target="mailto:ausra.urboniene2@lsmuni.lt" TargetMode="External"/><Relationship Id="rId19" Type="http://schemas.openxmlformats.org/officeDocument/2006/relationships/image" Target="media/image9.tiff"/><Relationship Id="rId4" Type="http://schemas.microsoft.com/office/2007/relationships/stylesWithEffects" Target="stylesWithEffects.xml"/><Relationship Id="rId9" Type="http://schemas.openxmlformats.org/officeDocument/2006/relationships/hyperlink" Target="https://orcid.org/0000-0002-7332-5995" TargetMode="External"/><Relationship Id="rId14" Type="http://schemas.openxmlformats.org/officeDocument/2006/relationships/image" Target="media/image4.png"/><Relationship Id="rId22" Type="http://schemas.openxmlformats.org/officeDocument/2006/relationships/chart" Target="charts/chart2.xml"/><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oleObject" Target="file:///\\Users\ausra\Documents\phd\IAP\duomenys\LASTELES\si_Hur_72_PANC1\PANC1_siHuR_72h_PCR_dat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ausra\Desktop\2018%2005%2022%20western%20analiz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table!$A$3</c:f>
              <c:strCache>
                <c:ptCount val="1"/>
                <c:pt idx="0">
                  <c:v>siControl</c:v>
                </c:pt>
              </c:strCache>
            </c:strRef>
          </c:tx>
          <c:spPr>
            <a:noFill/>
            <a:ln w="12700">
              <a:solidFill>
                <a:srgbClr val="000000"/>
              </a:solidFill>
              <a:prstDash val="solid"/>
            </a:ln>
          </c:spPr>
          <c:invertIfNegative val="0"/>
          <c:cat>
            <c:strRef>
              <c:f>table!$B$2:$D$2</c:f>
              <c:strCache>
                <c:ptCount val="3"/>
                <c:pt idx="0">
                  <c:v>HuR</c:v>
                </c:pt>
                <c:pt idx="1">
                  <c:v>IAP1</c:v>
                </c:pt>
                <c:pt idx="2">
                  <c:v>IAP2</c:v>
                </c:pt>
              </c:strCache>
            </c:strRef>
          </c:cat>
          <c:val>
            <c:numRef>
              <c:f>table!$B$3:$D$3</c:f>
              <c:numCache>
                <c:formatCode>General</c:formatCode>
                <c:ptCount val="3"/>
                <c:pt idx="0">
                  <c:v>1</c:v>
                </c:pt>
                <c:pt idx="1">
                  <c:v>1</c:v>
                </c:pt>
                <c:pt idx="2">
                  <c:v>1</c:v>
                </c:pt>
              </c:numCache>
            </c:numRef>
          </c:val>
          <c:extLst xmlns:c16r2="http://schemas.microsoft.com/office/drawing/2015/06/chart">
            <c:ext xmlns:c16="http://schemas.microsoft.com/office/drawing/2014/chart" uri="{C3380CC4-5D6E-409C-BE32-E72D297353CC}">
              <c16:uniqueId val="{00000000-1C63-1C4D-93E7-3441C21132F8}"/>
            </c:ext>
          </c:extLst>
        </c:ser>
        <c:ser>
          <c:idx val="1"/>
          <c:order val="1"/>
          <c:tx>
            <c:strRef>
              <c:f>table!$A$4</c:f>
              <c:strCache>
                <c:ptCount val="1"/>
                <c:pt idx="0">
                  <c:v>siHuR</c:v>
                </c:pt>
              </c:strCache>
            </c:strRef>
          </c:tx>
          <c:spPr>
            <a:solidFill>
              <a:schemeClr val="tx1"/>
            </a:solidFill>
            <a:ln w="12700">
              <a:solidFill>
                <a:srgbClr val="000000"/>
              </a:solidFill>
              <a:prstDash val="solid"/>
            </a:ln>
          </c:spPr>
          <c:invertIfNegative val="0"/>
          <c:cat>
            <c:strRef>
              <c:f>table!$B$2:$D$2</c:f>
              <c:strCache>
                <c:ptCount val="3"/>
                <c:pt idx="0">
                  <c:v>HuR</c:v>
                </c:pt>
                <c:pt idx="1">
                  <c:v>IAP1</c:v>
                </c:pt>
                <c:pt idx="2">
                  <c:v>IAP2</c:v>
                </c:pt>
              </c:strCache>
            </c:strRef>
          </c:cat>
          <c:val>
            <c:numRef>
              <c:f>table!$B$4:$D$4</c:f>
              <c:numCache>
                <c:formatCode>General</c:formatCode>
                <c:ptCount val="3"/>
                <c:pt idx="0">
                  <c:v>0.08</c:v>
                </c:pt>
                <c:pt idx="1">
                  <c:v>0.03</c:v>
                </c:pt>
                <c:pt idx="2">
                  <c:v>1.64</c:v>
                </c:pt>
              </c:numCache>
            </c:numRef>
          </c:val>
          <c:extLst xmlns:c16r2="http://schemas.microsoft.com/office/drawing/2015/06/chart">
            <c:ext xmlns:c16="http://schemas.microsoft.com/office/drawing/2014/chart" uri="{C3380CC4-5D6E-409C-BE32-E72D297353CC}">
              <c16:uniqueId val="{00000001-1C63-1C4D-93E7-3441C21132F8}"/>
            </c:ext>
          </c:extLst>
        </c:ser>
        <c:dLbls>
          <c:showLegendKey val="0"/>
          <c:showVal val="0"/>
          <c:showCatName val="0"/>
          <c:showSerName val="0"/>
          <c:showPercent val="0"/>
          <c:showBubbleSize val="0"/>
        </c:dLbls>
        <c:gapWidth val="219"/>
        <c:overlap val="-27"/>
        <c:axId val="290224384"/>
        <c:axId val="290234368"/>
      </c:barChart>
      <c:catAx>
        <c:axId val="290224384"/>
        <c:scaling>
          <c:orientation val="minMax"/>
        </c:scaling>
        <c:delete val="0"/>
        <c:axPos val="b"/>
        <c:numFmt formatCode="General" sourceLinked="1"/>
        <c:majorTickMark val="none"/>
        <c:minorTickMark val="none"/>
        <c:tickLblPos val="nextTo"/>
        <c:spPr>
          <a:ln w="3175">
            <a:solidFill>
              <a:srgbClr val="000000"/>
            </a:solidFill>
            <a:prstDash val="solid"/>
          </a:ln>
        </c:spPr>
        <c:txPr>
          <a:bodyPr rot="0" vert="horz"/>
          <a:lstStyle/>
          <a:p>
            <a:pPr>
              <a:defRPr sz="1200" b="0" i="0" u="none" strike="noStrike" baseline="0">
                <a:solidFill>
                  <a:srgbClr val="000000"/>
                </a:solidFill>
                <a:latin typeface="Book Antiqua" panose="02040602050305030304" pitchFamily="18" charset="0"/>
                <a:ea typeface="Calibri"/>
                <a:cs typeface="Calibri"/>
              </a:defRPr>
            </a:pPr>
            <a:endParaRPr lang="zh-CN"/>
          </a:p>
        </c:txPr>
        <c:crossAx val="290234368"/>
        <c:crosses val="autoZero"/>
        <c:auto val="1"/>
        <c:lblAlgn val="ctr"/>
        <c:lblOffset val="100"/>
        <c:noMultiLvlLbl val="0"/>
      </c:catAx>
      <c:valAx>
        <c:axId val="290234368"/>
        <c:scaling>
          <c:orientation val="minMax"/>
          <c:max val="2"/>
        </c:scaling>
        <c:delete val="0"/>
        <c:axPos val="l"/>
        <c:title>
          <c:tx>
            <c:rich>
              <a:bodyPr/>
              <a:lstStyle/>
              <a:p>
                <a:pPr>
                  <a:defRPr sz="1200" b="0" i="0" u="none" strike="noStrike" baseline="0">
                    <a:solidFill>
                      <a:srgbClr val="000000"/>
                    </a:solidFill>
                    <a:latin typeface="Book Antiqua" panose="02040602050305030304" pitchFamily="18" charset="0"/>
                    <a:ea typeface="Calibri"/>
                    <a:cs typeface="Calibri"/>
                  </a:defRPr>
                </a:pPr>
                <a:r>
                  <a:rPr lang="en-US" sz="1200" b="0">
                    <a:latin typeface="Book Antiqua" panose="02040602050305030304" pitchFamily="18" charset="0"/>
                  </a:rPr>
                  <a:t>mRNA levels</a:t>
                </a:r>
              </a:p>
            </c:rich>
          </c:tx>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1200" b="0" i="0" u="none" strike="noStrike" baseline="0">
                <a:solidFill>
                  <a:schemeClr val="tx1"/>
                </a:solidFill>
                <a:latin typeface="Book Antiqua" panose="02040602050305030304" pitchFamily="18" charset="0"/>
                <a:ea typeface="Calibri"/>
                <a:cs typeface="Calibri"/>
              </a:defRPr>
            </a:pPr>
            <a:endParaRPr lang="zh-CN"/>
          </a:p>
        </c:txPr>
        <c:crossAx val="290224384"/>
        <c:crosses val="autoZero"/>
        <c:crossBetween val="between"/>
        <c:majorUnit val="1"/>
      </c:valAx>
      <c:spPr>
        <a:noFill/>
        <a:ln w="25400">
          <a:noFill/>
        </a:ln>
      </c:spPr>
    </c:plotArea>
    <c:legend>
      <c:legendPos val="tr"/>
      <c:layout>
        <c:manualLayout>
          <c:xMode val="edge"/>
          <c:yMode val="edge"/>
          <c:x val="0.76287846627867195"/>
          <c:y val="0.101069038725108"/>
          <c:w val="0.18473262581307801"/>
          <c:h val="0.186266805934972"/>
        </c:manualLayout>
      </c:layout>
      <c:overlay val="0"/>
      <c:spPr>
        <a:noFill/>
        <a:ln w="25400">
          <a:noFill/>
        </a:ln>
      </c:spPr>
      <c:txPr>
        <a:bodyPr/>
        <a:lstStyle/>
        <a:p>
          <a:pPr>
            <a:defRPr sz="1200" b="0" i="0" u="none" strike="noStrike" baseline="0">
              <a:solidFill>
                <a:srgbClr val="000000"/>
              </a:solidFill>
              <a:latin typeface="Book Antiqua" panose="02040602050305030304" pitchFamily="18" charset="0"/>
              <a:ea typeface="Calibri"/>
              <a:cs typeface="Calibri"/>
            </a:defRPr>
          </a:pPr>
          <a:endParaRPr lang="zh-CN"/>
        </a:p>
      </c:txPr>
    </c:legend>
    <c:plotVisOnly val="1"/>
    <c:dispBlanksAs val="gap"/>
    <c:showDLblsOverMax val="0"/>
  </c:chart>
  <c:spPr>
    <a:solidFill>
      <a:srgbClr val="FFFFFF"/>
    </a:solidFill>
    <a:ln w="3175">
      <a:noFill/>
      <a:prstDash val="solid"/>
    </a:ln>
  </c:spPr>
  <c:txPr>
    <a:bodyPr/>
    <a:lstStyle/>
    <a:p>
      <a:pPr>
        <a:defRPr sz="1000" b="0" i="0" u="none" strike="noStrike" baseline="0">
          <a:solidFill>
            <a:srgbClr val="000000"/>
          </a:solidFill>
          <a:latin typeface="Calibri"/>
          <a:ea typeface="Calibri"/>
          <a:cs typeface="Calibri"/>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graph!$A$6</c:f>
              <c:strCache>
                <c:ptCount val="1"/>
                <c:pt idx="0">
                  <c:v>siControl</c:v>
                </c:pt>
              </c:strCache>
            </c:strRef>
          </c:tx>
          <c:spPr>
            <a:noFill/>
            <a:ln w="12700">
              <a:solidFill>
                <a:schemeClr val="tx1"/>
              </a:solidFill>
            </a:ln>
            <a:effectLst/>
          </c:spPr>
          <c:invertIfNegative val="0"/>
          <c:cat>
            <c:strRef>
              <c:f>graph!$B$5:$D$5</c:f>
              <c:strCache>
                <c:ptCount val="3"/>
                <c:pt idx="0">
                  <c:v>HuR</c:v>
                </c:pt>
                <c:pt idx="1">
                  <c:v>IAP1</c:v>
                </c:pt>
                <c:pt idx="2">
                  <c:v>IAP2</c:v>
                </c:pt>
              </c:strCache>
            </c:strRef>
          </c:cat>
          <c:val>
            <c:numRef>
              <c:f>graph!$B$6:$D$6</c:f>
              <c:numCache>
                <c:formatCode>General</c:formatCode>
                <c:ptCount val="3"/>
                <c:pt idx="0">
                  <c:v>0.84339190221543203</c:v>
                </c:pt>
                <c:pt idx="1">
                  <c:v>2.6176725235548761</c:v>
                </c:pt>
                <c:pt idx="2">
                  <c:v>0.24706900942195101</c:v>
                </c:pt>
              </c:numCache>
            </c:numRef>
          </c:val>
          <c:extLst xmlns:c16r2="http://schemas.microsoft.com/office/drawing/2015/06/chart">
            <c:ext xmlns:c16="http://schemas.microsoft.com/office/drawing/2014/chart" uri="{C3380CC4-5D6E-409C-BE32-E72D297353CC}">
              <c16:uniqueId val="{00000000-A4F8-3749-A0B6-99FA2A04AB39}"/>
            </c:ext>
          </c:extLst>
        </c:ser>
        <c:ser>
          <c:idx val="1"/>
          <c:order val="1"/>
          <c:tx>
            <c:strRef>
              <c:f>graph!$A$7</c:f>
              <c:strCache>
                <c:ptCount val="1"/>
                <c:pt idx="0">
                  <c:v>siHuR</c:v>
                </c:pt>
              </c:strCache>
            </c:strRef>
          </c:tx>
          <c:spPr>
            <a:solidFill>
              <a:schemeClr val="tx1"/>
            </a:solidFill>
            <a:ln>
              <a:solidFill>
                <a:schemeClr val="tx1"/>
              </a:solidFill>
            </a:ln>
            <a:effectLst/>
          </c:spPr>
          <c:invertIfNegative val="0"/>
          <c:cat>
            <c:strRef>
              <c:f>graph!$B$5:$D$5</c:f>
              <c:strCache>
                <c:ptCount val="3"/>
                <c:pt idx="0">
                  <c:v>HuR</c:v>
                </c:pt>
                <c:pt idx="1">
                  <c:v>IAP1</c:v>
                </c:pt>
                <c:pt idx="2">
                  <c:v>IAP2</c:v>
                </c:pt>
              </c:strCache>
            </c:strRef>
          </c:cat>
          <c:val>
            <c:numRef>
              <c:f>graph!$B$7:$D$7</c:f>
              <c:numCache>
                <c:formatCode>General</c:formatCode>
                <c:ptCount val="3"/>
                <c:pt idx="0">
                  <c:v>3.0068270953372399E-2</c:v>
                </c:pt>
                <c:pt idx="1">
                  <c:v>0.73411046014299797</c:v>
                </c:pt>
                <c:pt idx="2">
                  <c:v>0.93067996578382495</c:v>
                </c:pt>
              </c:numCache>
            </c:numRef>
          </c:val>
          <c:extLst xmlns:c16r2="http://schemas.microsoft.com/office/drawing/2015/06/chart">
            <c:ext xmlns:c16="http://schemas.microsoft.com/office/drawing/2014/chart" uri="{C3380CC4-5D6E-409C-BE32-E72D297353CC}">
              <c16:uniqueId val="{00000001-A4F8-3749-A0B6-99FA2A04AB39}"/>
            </c:ext>
          </c:extLst>
        </c:ser>
        <c:dLbls>
          <c:showLegendKey val="0"/>
          <c:showVal val="0"/>
          <c:showCatName val="0"/>
          <c:showSerName val="0"/>
          <c:showPercent val="0"/>
          <c:showBubbleSize val="0"/>
        </c:dLbls>
        <c:gapWidth val="219"/>
        <c:overlap val="-27"/>
        <c:axId val="290249344"/>
        <c:axId val="290251136"/>
      </c:barChart>
      <c:catAx>
        <c:axId val="290249344"/>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Book Antiqua" panose="02040602050305030304" pitchFamily="18" charset="0"/>
                <a:ea typeface="+mn-ea"/>
                <a:cs typeface="+mn-cs"/>
              </a:defRPr>
            </a:pPr>
            <a:endParaRPr lang="zh-CN"/>
          </a:p>
        </c:txPr>
        <c:crossAx val="290251136"/>
        <c:crosses val="autoZero"/>
        <c:auto val="1"/>
        <c:lblAlgn val="ctr"/>
        <c:lblOffset val="100"/>
        <c:noMultiLvlLbl val="0"/>
      </c:catAx>
      <c:valAx>
        <c:axId val="290251136"/>
        <c:scaling>
          <c:orientation val="minMax"/>
        </c:scaling>
        <c:delete val="0"/>
        <c:axPos val="l"/>
        <c:numFmt formatCode="General" sourceLinked="1"/>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200" b="0" i="0" u="none" strike="noStrike" kern="1200" baseline="0">
                <a:solidFill>
                  <a:schemeClr val="tx1"/>
                </a:solidFill>
                <a:latin typeface="Book Antiqua" panose="02040602050305030304" pitchFamily="18" charset="0"/>
                <a:ea typeface="+mn-ea"/>
                <a:cs typeface="+mn-cs"/>
              </a:defRPr>
            </a:pPr>
            <a:endParaRPr lang="zh-CN"/>
          </a:p>
        </c:txPr>
        <c:crossAx val="290249344"/>
        <c:crosses val="autoZero"/>
        <c:crossBetween val="between"/>
        <c:majorUnit val="1"/>
      </c:valAx>
      <c:spPr>
        <a:noFill/>
        <a:ln>
          <a:noFill/>
        </a:ln>
        <a:effectLst/>
      </c:spPr>
    </c:plotArea>
    <c:legend>
      <c:legendPos val="tr"/>
      <c:layout>
        <c:manualLayout>
          <c:xMode val="edge"/>
          <c:yMode val="edge"/>
          <c:x val="0.70065409629886999"/>
          <c:y val="0.220553015315681"/>
          <c:w val="0.162300290976025"/>
          <c:h val="0.14620383719640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Book Antiqua" panose="02040602050305030304" pitchFamily="18" charset="0"/>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Placeholder1</b:Tag>
    <b:SourceType>Book</b:SourceType>
    <b:Guid>{1634C42D-B880-9D44-BE17-0E91E1E98767}</b:Guid>
    <b:RefOrder>1</b:RefOrder>
  </b:Source>
</b:Sources>
</file>

<file path=customXml/itemProps1.xml><?xml version="1.0" encoding="utf-8"?>
<ds:datastoreItem xmlns:ds="http://schemas.openxmlformats.org/officeDocument/2006/customXml" ds:itemID="{B5A1F352-5E34-4C98-82BB-62B285AB8D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38</Pages>
  <Words>35664</Words>
  <Characters>203286</Characters>
  <Application>Microsoft Office Word</Application>
  <DocSecurity>0</DocSecurity>
  <Lines>1694</Lines>
  <Paragraphs>476</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238474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Administrator</cp:lastModifiedBy>
  <cp:revision>5</cp:revision>
  <cp:lastPrinted>2018-10-14T13:07:00Z</cp:lastPrinted>
  <dcterms:created xsi:type="dcterms:W3CDTF">2018-11-16T18:33:00Z</dcterms:created>
  <dcterms:modified xsi:type="dcterms:W3CDTF">2019-01-13T13:56:00Z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http://www.zotero.org/styles/modern-language-association</vt:lpwstr>
  </property>
  <property fmtid="{D5CDD505-2E9C-101B-9397-08002B2CF9AE}" pid="17" name="Mendeley Recent Style Name 7_1">
    <vt:lpwstr>Modern Language Association 8th edition</vt:lpwstr>
  </property>
  <property fmtid="{D5CDD505-2E9C-101B-9397-08002B2CF9AE}" pid="18" name="Mendeley Recent Style Id 8_1">
    <vt:lpwstr>http://www.zotero.org/styles/vancouver</vt:lpwstr>
  </property>
  <property fmtid="{D5CDD505-2E9C-101B-9397-08002B2CF9AE}" pid="19" name="Mendeley Recent Style Name 8_1">
    <vt:lpwstr>Vancouver</vt:lpwstr>
  </property>
  <property fmtid="{D5CDD505-2E9C-101B-9397-08002B2CF9AE}" pid="20" name="Mendeley Recent Style Id 9_1">
    <vt:lpwstr>http://www.zotero.org/styles/world-journal-of-gastroenterology</vt:lpwstr>
  </property>
  <property fmtid="{D5CDD505-2E9C-101B-9397-08002B2CF9AE}" pid="21" name="Mendeley Recent Style Name 9_1">
    <vt:lpwstr>World Journal of Gastroenterology</vt:lpwstr>
  </property>
  <property fmtid="{D5CDD505-2E9C-101B-9397-08002B2CF9AE}" pid="22" name="Mendeley Document_1">
    <vt:lpwstr>True</vt:lpwstr>
  </property>
  <property fmtid="{D5CDD505-2E9C-101B-9397-08002B2CF9AE}" pid="23" name="Mendeley Unique User Id_1">
    <vt:lpwstr>0c2501b5-3ffa-3fc4-acf5-b073bd70b946</vt:lpwstr>
  </property>
  <property fmtid="{D5CDD505-2E9C-101B-9397-08002B2CF9AE}" pid="24" name="Mendeley Citation Style_1">
    <vt:lpwstr>http://www.zotero.org/styles/world-journal-of-gastroenterology</vt:lpwstr>
  </property>
</Properties>
</file>