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107" w:rsidRPr="001659B8" w:rsidRDefault="002E702A">
      <w:pPr>
        <w:pStyle w:val="10"/>
        <w:adjustRightInd w:val="0"/>
        <w:snapToGrid w:val="0"/>
        <w:spacing w:line="360" w:lineRule="auto"/>
        <w:jc w:val="both"/>
        <w:outlineLvl w:val="0"/>
        <w:rPr>
          <w:rFonts w:ascii="Book Antiqua" w:hAnsi="Book Antiqua" w:cs="Times New Roman"/>
          <w:b/>
          <w:sz w:val="24"/>
          <w:szCs w:val="24"/>
          <w:lang w:val="en-US" w:eastAsia="zh-CN"/>
        </w:rPr>
      </w:pPr>
      <w:bookmarkStart w:id="0" w:name="OLE_LINK373"/>
      <w:bookmarkStart w:id="1" w:name="OLE_LINK1024"/>
      <w:bookmarkStart w:id="2" w:name="OLE_LINK887"/>
      <w:bookmarkStart w:id="3" w:name="OLE_LINK923"/>
      <w:bookmarkStart w:id="4" w:name="OLE_LINK866"/>
      <w:bookmarkStart w:id="5" w:name="OLE_LINK709"/>
      <w:bookmarkStart w:id="6" w:name="OLE_LINK987"/>
      <w:bookmarkStart w:id="7" w:name="OLE_LINK707"/>
      <w:bookmarkStart w:id="8" w:name="OLE_LINK737"/>
      <w:bookmarkStart w:id="9" w:name="OLE_LINK840"/>
      <w:bookmarkStart w:id="10" w:name="OLE_LINK970"/>
      <w:bookmarkStart w:id="11" w:name="OLE_LINK708"/>
      <w:bookmarkStart w:id="12" w:name="OLE_LINK61"/>
      <w:r w:rsidRPr="001659B8">
        <w:rPr>
          <w:rFonts w:ascii="Book Antiqua" w:hAnsi="Book Antiqua" w:cs="Times New Roman"/>
          <w:b/>
          <w:sz w:val="24"/>
          <w:szCs w:val="24"/>
          <w:lang w:val="en-US" w:eastAsia="zh-CN"/>
        </w:rPr>
        <w:t xml:space="preserve">Name of </w:t>
      </w:r>
      <w:r w:rsidRPr="001659B8">
        <w:rPr>
          <w:rFonts w:ascii="Book Antiqua" w:hAnsi="Book Antiqua" w:cs="Times New Roman"/>
          <w:b/>
          <w:caps/>
          <w:sz w:val="24"/>
          <w:szCs w:val="24"/>
          <w:lang w:val="en-US" w:eastAsia="zh-CN"/>
        </w:rPr>
        <w:t>j</w:t>
      </w:r>
      <w:r w:rsidRPr="001659B8">
        <w:rPr>
          <w:rFonts w:ascii="Book Antiqua" w:hAnsi="Book Antiqua" w:cs="Times New Roman"/>
          <w:b/>
          <w:sz w:val="24"/>
          <w:szCs w:val="24"/>
          <w:lang w:val="en-US" w:eastAsia="zh-CN"/>
        </w:rPr>
        <w:t xml:space="preserve">ournal: </w:t>
      </w:r>
      <w:bookmarkStart w:id="13" w:name="OLE_LINK719"/>
      <w:bookmarkStart w:id="14" w:name="OLE_LINK718"/>
      <w:r w:rsidRPr="001659B8">
        <w:rPr>
          <w:rFonts w:ascii="Book Antiqua" w:hAnsi="Book Antiqua" w:cs="Times New Roman"/>
          <w:b/>
          <w:i/>
          <w:sz w:val="24"/>
          <w:szCs w:val="24"/>
          <w:lang w:val="en-US" w:eastAsia="zh-CN"/>
        </w:rPr>
        <w:t>World Journal of Gastroenterology</w:t>
      </w:r>
      <w:bookmarkEnd w:id="13"/>
      <w:bookmarkEnd w:id="14"/>
    </w:p>
    <w:p w:rsidR="00510107" w:rsidRPr="001659B8" w:rsidRDefault="002E702A">
      <w:pPr>
        <w:pStyle w:val="10"/>
        <w:adjustRightInd w:val="0"/>
        <w:snapToGrid w:val="0"/>
        <w:spacing w:line="360" w:lineRule="auto"/>
        <w:jc w:val="both"/>
        <w:outlineLvl w:val="0"/>
        <w:rPr>
          <w:rFonts w:ascii="Book Antiqua" w:hAnsi="Book Antiqua" w:cs="Times New Roman"/>
          <w:b/>
          <w:i/>
          <w:sz w:val="24"/>
          <w:szCs w:val="24"/>
          <w:lang w:val="en-US" w:eastAsia="zh-CN"/>
        </w:rPr>
      </w:pPr>
      <w:bookmarkStart w:id="15" w:name="OLE_LINK486"/>
      <w:bookmarkStart w:id="16" w:name="OLE_LINK768"/>
      <w:bookmarkStart w:id="17" w:name="OLE_LINK485"/>
      <w:bookmarkStart w:id="18" w:name="OLE_LINK661"/>
      <w:bookmarkStart w:id="19" w:name="OLE_LINK514"/>
      <w:bookmarkStart w:id="20" w:name="OLE_LINK515"/>
      <w:r w:rsidRPr="001659B8">
        <w:rPr>
          <w:rFonts w:ascii="Book Antiqua" w:hAnsi="Book Antiqua" w:cs="Times New Roman"/>
          <w:b/>
          <w:sz w:val="24"/>
          <w:szCs w:val="24"/>
          <w:lang w:val="en-US" w:eastAsia="zh-CN"/>
        </w:rPr>
        <w:t>Manuscript NO:</w:t>
      </w:r>
      <w:bookmarkEnd w:id="15"/>
      <w:bookmarkEnd w:id="16"/>
      <w:bookmarkEnd w:id="17"/>
      <w:bookmarkEnd w:id="18"/>
      <w:r w:rsidRPr="001659B8">
        <w:rPr>
          <w:rFonts w:ascii="Book Antiqua" w:hAnsi="Book Antiqua" w:cs="Times New Roman"/>
          <w:b/>
          <w:sz w:val="24"/>
          <w:szCs w:val="24"/>
          <w:lang w:val="en-US" w:eastAsia="zh-CN"/>
        </w:rPr>
        <w:t xml:space="preserve"> 43013</w:t>
      </w:r>
    </w:p>
    <w:bookmarkEnd w:id="19"/>
    <w:bookmarkEnd w:id="20"/>
    <w:p w:rsidR="00510107" w:rsidRPr="001659B8" w:rsidRDefault="002E702A">
      <w:pPr>
        <w:adjustRightInd w:val="0"/>
        <w:snapToGrid w:val="0"/>
        <w:spacing w:after="0" w:line="360" w:lineRule="auto"/>
        <w:outlineLvl w:val="0"/>
        <w:rPr>
          <w:rFonts w:ascii="Book Antiqua" w:hAnsi="Book Antiqua"/>
          <w:b/>
          <w:color w:val="000000"/>
          <w:sz w:val="24"/>
        </w:rPr>
      </w:pPr>
      <w:r w:rsidRPr="001659B8">
        <w:rPr>
          <w:rFonts w:ascii="Book Antiqua" w:hAnsi="Book Antiqua"/>
          <w:b/>
          <w:color w:val="000000"/>
          <w:sz w:val="24"/>
        </w:rPr>
        <w:t xml:space="preserve">Manuscript </w:t>
      </w:r>
      <w:r w:rsidRPr="001659B8">
        <w:rPr>
          <w:rFonts w:ascii="Book Antiqua" w:hAnsi="Book Antiqua"/>
          <w:b/>
          <w:caps/>
          <w:color w:val="000000"/>
          <w:sz w:val="24"/>
        </w:rPr>
        <w:t>t</w:t>
      </w:r>
      <w:r w:rsidRPr="001659B8">
        <w:rPr>
          <w:rFonts w:ascii="Book Antiqua" w:hAnsi="Book Antiqua"/>
          <w:b/>
          <w:color w:val="000000"/>
          <w:sz w:val="24"/>
        </w:rPr>
        <w:t>ype:</w:t>
      </w:r>
      <w:bookmarkEnd w:id="1"/>
      <w:bookmarkEnd w:id="2"/>
      <w:bookmarkEnd w:id="3"/>
      <w:bookmarkEnd w:id="4"/>
      <w:bookmarkEnd w:id="5"/>
      <w:bookmarkEnd w:id="6"/>
      <w:bookmarkEnd w:id="7"/>
      <w:bookmarkEnd w:id="8"/>
      <w:bookmarkEnd w:id="9"/>
      <w:bookmarkEnd w:id="10"/>
      <w:bookmarkEnd w:id="11"/>
      <w:r w:rsidRPr="001659B8">
        <w:rPr>
          <w:rFonts w:ascii="Book Antiqua" w:hAnsi="Book Antiqua"/>
          <w:b/>
          <w:color w:val="000000"/>
          <w:sz w:val="24"/>
        </w:rPr>
        <w:t xml:space="preserve"> ORIGINAL ARTICLE</w:t>
      </w:r>
      <w:bookmarkEnd w:id="12"/>
    </w:p>
    <w:p w:rsidR="00510107" w:rsidRPr="001659B8" w:rsidRDefault="00510107">
      <w:pPr>
        <w:adjustRightInd w:val="0"/>
        <w:snapToGrid w:val="0"/>
        <w:spacing w:after="0" w:line="360" w:lineRule="auto"/>
        <w:rPr>
          <w:rFonts w:ascii="Book Antiqua" w:hAnsi="Book Antiqua"/>
          <w:b/>
          <w:color w:val="000000"/>
          <w:sz w:val="24"/>
        </w:rPr>
      </w:pPr>
      <w:bookmarkStart w:id="21" w:name="OLE_LINK45"/>
    </w:p>
    <w:bookmarkEnd w:id="21"/>
    <w:p w:rsidR="00510107" w:rsidRPr="001659B8" w:rsidRDefault="002E702A">
      <w:pPr>
        <w:adjustRightInd w:val="0"/>
        <w:snapToGrid w:val="0"/>
        <w:spacing w:after="0" w:line="360" w:lineRule="auto"/>
        <w:outlineLvl w:val="0"/>
        <w:rPr>
          <w:rStyle w:val="a9"/>
          <w:b w:val="0"/>
          <w:bCs w:val="0"/>
          <w:color w:val="000000" w:themeColor="text1"/>
          <w:sz w:val="24"/>
        </w:rPr>
      </w:pPr>
      <w:r w:rsidRPr="001659B8">
        <w:rPr>
          <w:rFonts w:ascii="Book Antiqua" w:eastAsia="幼圆" w:hAnsi="Book Antiqua"/>
          <w:b/>
          <w:i/>
          <w:sz w:val="24"/>
        </w:rPr>
        <w:t>Retrospective Study</w:t>
      </w:r>
      <w:bookmarkEnd w:id="0"/>
      <w:r w:rsidRPr="001659B8">
        <w:rPr>
          <w:rStyle w:val="a9"/>
          <w:b w:val="0"/>
          <w:bCs w:val="0"/>
          <w:color w:val="000000" w:themeColor="text1"/>
          <w:sz w:val="24"/>
        </w:rPr>
        <w:t xml:space="preserve"> </w:t>
      </w:r>
    </w:p>
    <w:p w:rsidR="00510107" w:rsidRPr="001659B8" w:rsidRDefault="002E702A">
      <w:pPr>
        <w:adjustRightInd w:val="0"/>
        <w:snapToGrid w:val="0"/>
        <w:spacing w:after="0" w:line="360" w:lineRule="auto"/>
        <w:rPr>
          <w:rStyle w:val="fontstyle31"/>
          <w:rFonts w:cs="Times New Roman"/>
          <w:b/>
          <w:bCs/>
          <w:color w:val="000000" w:themeColor="text1"/>
        </w:rPr>
      </w:pPr>
      <w:r w:rsidRPr="001659B8">
        <w:rPr>
          <w:rStyle w:val="fontstyle31"/>
          <w:rFonts w:cs="Times New Roman"/>
          <w:b/>
          <w:bCs/>
          <w:color w:val="000000" w:themeColor="text1"/>
        </w:rPr>
        <w:t xml:space="preserve">Hepatocellular carcinoma: Can LI-RADS v2017 </w:t>
      </w:r>
      <w:r w:rsidR="00500226" w:rsidRPr="001659B8">
        <w:rPr>
          <w:rStyle w:val="fontstyle31"/>
          <w:rFonts w:cs="Times New Roman"/>
          <w:b/>
          <w:bCs/>
          <w:color w:val="000000" w:themeColor="text1"/>
        </w:rPr>
        <w:t>with</w:t>
      </w:r>
      <w:r w:rsidRPr="001659B8">
        <w:rPr>
          <w:rStyle w:val="fontstyle31"/>
          <w:rFonts w:cs="Times New Roman"/>
          <w:b/>
          <w:bCs/>
          <w:color w:val="000000" w:themeColor="text1"/>
        </w:rPr>
        <w:t xml:space="preserve"> gadoxetic-acid enhancement magnetic resonance and diffusion-weighted imaging improve diagnostic accuracy?</w:t>
      </w:r>
    </w:p>
    <w:p w:rsidR="00510107" w:rsidRPr="001659B8" w:rsidRDefault="002E702A">
      <w:pPr>
        <w:adjustRightInd w:val="0"/>
        <w:snapToGrid w:val="0"/>
        <w:spacing w:after="0" w:line="360" w:lineRule="auto"/>
        <w:rPr>
          <w:rStyle w:val="fontstyle31"/>
          <w:rFonts w:cs="Times New Roman"/>
          <w:b/>
          <w:bCs/>
          <w:color w:val="000000" w:themeColor="text1"/>
        </w:rPr>
      </w:pPr>
      <w:r w:rsidRPr="001659B8">
        <w:rPr>
          <w:rFonts w:ascii="Book Antiqua" w:eastAsia="Book Antiqua" w:hAnsi="Book Antiqua"/>
          <w:b/>
          <w:color w:val="000000" w:themeColor="text1"/>
          <w:sz w:val="24"/>
        </w:rPr>
        <w:br/>
      </w:r>
      <w:r w:rsidRPr="001659B8">
        <w:rPr>
          <w:rFonts w:ascii="Book Antiqua" w:hAnsi="Book Antiqua"/>
          <w:bCs/>
          <w:color w:val="000000" w:themeColor="text1"/>
          <w:sz w:val="24"/>
        </w:rPr>
        <w:t>Zhang T</w:t>
      </w:r>
      <w:r w:rsidRPr="001659B8">
        <w:rPr>
          <w:rStyle w:val="fontstyle31"/>
          <w:rFonts w:cs="Times New Roman"/>
          <w:color w:val="000000" w:themeColor="text1"/>
        </w:rPr>
        <w:t xml:space="preserve"> </w:t>
      </w:r>
      <w:r w:rsidRPr="001659B8">
        <w:rPr>
          <w:rStyle w:val="fontstyle21"/>
          <w:rFonts w:cs="Times New Roman"/>
          <w:color w:val="000000" w:themeColor="text1"/>
        </w:rPr>
        <w:t xml:space="preserve">et al. </w:t>
      </w:r>
      <w:r w:rsidRPr="001659B8">
        <w:rPr>
          <w:rStyle w:val="fontstyle31"/>
          <w:rFonts w:cs="Times New Roman"/>
          <w:color w:val="000000" w:themeColor="text1"/>
        </w:rPr>
        <w:t>Diagnostic accuracy for HCC based on LI-RADS v2017</w:t>
      </w:r>
    </w:p>
    <w:p w:rsidR="00510107" w:rsidRPr="001659B8" w:rsidRDefault="00510107">
      <w:pPr>
        <w:adjustRightInd w:val="0"/>
        <w:snapToGrid w:val="0"/>
        <w:spacing w:after="0" w:line="360" w:lineRule="auto"/>
        <w:rPr>
          <w:rStyle w:val="fontstyle31"/>
          <w:rFonts w:cs="Times New Roman"/>
          <w:color w:val="000000" w:themeColor="text1"/>
        </w:rPr>
      </w:pPr>
    </w:p>
    <w:p w:rsidR="00510107" w:rsidRPr="001659B8" w:rsidRDefault="002E702A">
      <w:pPr>
        <w:pStyle w:val="a8"/>
        <w:adjustRightInd w:val="0"/>
        <w:snapToGrid w:val="0"/>
        <w:spacing w:before="0" w:beforeAutospacing="0" w:after="0" w:afterAutospacing="0" w:line="360" w:lineRule="auto"/>
        <w:jc w:val="both"/>
        <w:rPr>
          <w:rFonts w:ascii="Book Antiqua" w:hAnsi="Book Antiqua"/>
          <w:bCs/>
          <w:color w:val="000000" w:themeColor="text1"/>
        </w:rPr>
      </w:pPr>
      <w:r w:rsidRPr="001659B8">
        <w:rPr>
          <w:rFonts w:ascii="Book Antiqua" w:hAnsi="Book Antiqua"/>
          <w:bCs/>
          <w:color w:val="000000" w:themeColor="text1"/>
        </w:rPr>
        <w:t>Tong Zhang, Zi-Xing Huang, Yi Wei, Han-Yu Jiang, Jie</w:t>
      </w:r>
      <w:r w:rsidRPr="001659B8">
        <w:rPr>
          <w:rFonts w:ascii="Book Antiqua" w:eastAsia="宋体" w:hAnsi="Book Antiqua"/>
          <w:bCs/>
          <w:color w:val="000000" w:themeColor="text1"/>
        </w:rPr>
        <w:t xml:space="preserve"> </w:t>
      </w:r>
      <w:r w:rsidRPr="001659B8">
        <w:rPr>
          <w:rFonts w:ascii="Book Antiqua" w:hAnsi="Book Antiqua"/>
          <w:bCs/>
          <w:color w:val="000000" w:themeColor="text1"/>
        </w:rPr>
        <w:t xml:space="preserve">Chen, Xi-Jiao Liu, </w:t>
      </w:r>
      <w:bookmarkStart w:id="22" w:name="OLE_LINK9"/>
      <w:r w:rsidRPr="001659B8">
        <w:rPr>
          <w:rFonts w:ascii="Book Antiqua" w:hAnsi="Book Antiqua"/>
          <w:bCs/>
          <w:color w:val="000000" w:themeColor="text1"/>
        </w:rPr>
        <w:t>Li-Kun Cao</w:t>
      </w:r>
      <w:bookmarkEnd w:id="22"/>
      <w:r w:rsidRPr="001659B8">
        <w:rPr>
          <w:rFonts w:ascii="Book Antiqua" w:hAnsi="Book Antiqua"/>
          <w:bCs/>
          <w:color w:val="000000" w:themeColor="text1"/>
        </w:rPr>
        <w:t xml:space="preserve">, </w:t>
      </w:r>
      <w:bookmarkStart w:id="23" w:name="OLE_LINK10"/>
      <w:r w:rsidRPr="001659B8">
        <w:rPr>
          <w:rFonts w:ascii="Book Antiqua" w:hAnsi="Book Antiqua"/>
          <w:bCs/>
          <w:color w:val="000000" w:themeColor="text1"/>
        </w:rPr>
        <w:t>Ting Duan</w:t>
      </w:r>
      <w:bookmarkEnd w:id="23"/>
      <w:r w:rsidRPr="001659B8">
        <w:rPr>
          <w:rFonts w:ascii="Book Antiqua" w:hAnsi="Book Antiqua"/>
          <w:bCs/>
          <w:color w:val="000000" w:themeColor="text1"/>
        </w:rPr>
        <w:t>, Xiao-Peng He, Chun-Chao Xia, Bin Song</w:t>
      </w:r>
    </w:p>
    <w:p w:rsidR="00510107" w:rsidRPr="001659B8" w:rsidRDefault="00510107">
      <w:pPr>
        <w:pStyle w:val="a8"/>
        <w:adjustRightInd w:val="0"/>
        <w:snapToGrid w:val="0"/>
        <w:spacing w:before="0" w:beforeAutospacing="0" w:after="0" w:afterAutospacing="0" w:line="360" w:lineRule="auto"/>
        <w:jc w:val="both"/>
        <w:rPr>
          <w:rFonts w:ascii="Book Antiqua" w:hAnsi="Book Antiqua"/>
          <w:bCs/>
          <w:color w:val="000000" w:themeColor="text1"/>
        </w:rPr>
      </w:pPr>
    </w:p>
    <w:p w:rsidR="00510107" w:rsidRPr="001659B8" w:rsidRDefault="002E702A">
      <w:pPr>
        <w:pStyle w:val="a8"/>
        <w:adjustRightInd w:val="0"/>
        <w:snapToGrid w:val="0"/>
        <w:spacing w:before="0" w:beforeAutospacing="0" w:after="0" w:afterAutospacing="0" w:line="360" w:lineRule="auto"/>
        <w:jc w:val="both"/>
        <w:rPr>
          <w:rFonts w:ascii="Book Antiqua" w:hAnsi="Book Antiqua"/>
          <w:bCs/>
          <w:color w:val="000000" w:themeColor="text1"/>
        </w:rPr>
      </w:pPr>
      <w:r w:rsidRPr="001659B8">
        <w:rPr>
          <w:rFonts w:ascii="Book Antiqua" w:hAnsi="Book Antiqua"/>
          <w:b/>
          <w:color w:val="000000" w:themeColor="text1"/>
        </w:rPr>
        <w:t>Tong Zhang, Zi-Xing Huang, Yi Wei, Han-Yu Jiang, Jie</w:t>
      </w:r>
      <w:r w:rsidRPr="001659B8">
        <w:rPr>
          <w:rFonts w:ascii="Book Antiqua" w:eastAsia="宋体" w:hAnsi="Book Antiqua"/>
          <w:b/>
          <w:color w:val="000000" w:themeColor="text1"/>
        </w:rPr>
        <w:t xml:space="preserve"> </w:t>
      </w:r>
      <w:r w:rsidRPr="001659B8">
        <w:rPr>
          <w:rFonts w:ascii="Book Antiqua" w:hAnsi="Book Antiqua"/>
          <w:b/>
          <w:color w:val="000000" w:themeColor="text1"/>
        </w:rPr>
        <w:t>Chen, Xi-Jiao Liu, Li-Kun Cao, Ting Duan,</w:t>
      </w:r>
      <w:bookmarkStart w:id="24" w:name="OLE_LINK11"/>
      <w:r w:rsidRPr="001659B8">
        <w:rPr>
          <w:rFonts w:ascii="Book Antiqua" w:hAnsi="Book Antiqua"/>
          <w:b/>
          <w:color w:val="000000" w:themeColor="text1"/>
        </w:rPr>
        <w:t xml:space="preserve"> </w:t>
      </w:r>
      <w:bookmarkStart w:id="25" w:name="OLE_LINK8"/>
      <w:r w:rsidRPr="001659B8">
        <w:rPr>
          <w:rFonts w:ascii="Book Antiqua" w:hAnsi="Book Antiqua"/>
          <w:b/>
          <w:color w:val="000000" w:themeColor="text1"/>
        </w:rPr>
        <w:t>Xiao-Peng He</w:t>
      </w:r>
      <w:bookmarkEnd w:id="24"/>
      <w:bookmarkEnd w:id="25"/>
      <w:r w:rsidRPr="001659B8">
        <w:rPr>
          <w:rFonts w:ascii="Book Antiqua" w:hAnsi="Book Antiqua"/>
          <w:b/>
          <w:color w:val="000000" w:themeColor="text1"/>
        </w:rPr>
        <w:t>, Chun-Chao Xia, Bin Song,</w:t>
      </w:r>
      <w:r w:rsidRPr="001659B8">
        <w:rPr>
          <w:rFonts w:ascii="Book Antiqua" w:hAnsi="Book Antiqua"/>
          <w:bCs/>
          <w:color w:val="000000" w:themeColor="text1"/>
        </w:rPr>
        <w:t xml:space="preserve"> </w:t>
      </w:r>
      <w:bookmarkStart w:id="26" w:name="OLE_LINK13"/>
      <w:r w:rsidRPr="001659B8">
        <w:rPr>
          <w:rFonts w:ascii="Book Antiqua" w:hAnsi="Book Antiqua"/>
          <w:bCs/>
          <w:color w:val="000000" w:themeColor="text1"/>
        </w:rPr>
        <w:t>Department of Radiology, Sichuan University West China Hospital, Chengdu 610041, Sichuan Province, China</w:t>
      </w:r>
    </w:p>
    <w:bookmarkEnd w:id="26"/>
    <w:p w:rsidR="00510107" w:rsidRPr="001659B8" w:rsidRDefault="00510107">
      <w:pPr>
        <w:pStyle w:val="a8"/>
        <w:adjustRightInd w:val="0"/>
        <w:snapToGrid w:val="0"/>
        <w:spacing w:before="0" w:beforeAutospacing="0" w:after="0" w:afterAutospacing="0" w:line="360" w:lineRule="auto"/>
        <w:jc w:val="both"/>
        <w:rPr>
          <w:rFonts w:ascii="Book Antiqua" w:hAnsi="Book Antiqua"/>
          <w:bCs/>
          <w:color w:val="000000" w:themeColor="text1"/>
        </w:rPr>
      </w:pPr>
    </w:p>
    <w:p w:rsidR="00510107" w:rsidRPr="001659B8" w:rsidRDefault="002E702A">
      <w:pPr>
        <w:adjustRightInd w:val="0"/>
        <w:snapToGrid w:val="0"/>
        <w:spacing w:after="0" w:line="360" w:lineRule="auto"/>
        <w:rPr>
          <w:rFonts w:ascii="Book Antiqua" w:eastAsia="Book Antiqua" w:hAnsi="Book Antiqua"/>
          <w:bCs/>
          <w:color w:val="000000" w:themeColor="text1"/>
          <w:sz w:val="24"/>
        </w:rPr>
      </w:pPr>
      <w:r w:rsidRPr="001659B8">
        <w:rPr>
          <w:rFonts w:ascii="Book Antiqua" w:eastAsia="Book Antiqua" w:hAnsi="Book Antiqua"/>
          <w:b/>
          <w:color w:val="000000" w:themeColor="text1"/>
          <w:sz w:val="24"/>
        </w:rPr>
        <w:t>ORCID number:</w:t>
      </w:r>
      <w:r w:rsidRPr="001659B8">
        <w:rPr>
          <w:rFonts w:ascii="Book Antiqua" w:eastAsia="Book Antiqua" w:hAnsi="Book Antiqua"/>
          <w:bCs/>
          <w:color w:val="000000" w:themeColor="text1"/>
          <w:sz w:val="24"/>
        </w:rPr>
        <w:t xml:space="preserve"> </w:t>
      </w:r>
      <w:r w:rsidRPr="001659B8">
        <w:rPr>
          <w:rFonts w:ascii="Book Antiqua" w:hAnsi="Book Antiqua"/>
          <w:bCs/>
          <w:color w:val="000000" w:themeColor="text1"/>
          <w:sz w:val="24"/>
        </w:rPr>
        <w:t>Tong Zhang (0000-0002-3260-2570); Zi-Xing Huang (</w:t>
      </w:r>
      <w:bookmarkStart w:id="27" w:name="OLE_LINK1"/>
      <w:r w:rsidRPr="001659B8">
        <w:rPr>
          <w:rFonts w:ascii="Book Antiqua" w:hAnsi="Book Antiqua"/>
          <w:bCs/>
          <w:color w:val="000000" w:themeColor="text1"/>
          <w:sz w:val="24"/>
        </w:rPr>
        <w:t>0000-0001-7967-5948</w:t>
      </w:r>
      <w:bookmarkEnd w:id="27"/>
      <w:r w:rsidRPr="001659B8">
        <w:rPr>
          <w:rFonts w:ascii="Book Antiqua" w:hAnsi="Book Antiqua"/>
          <w:bCs/>
          <w:color w:val="000000" w:themeColor="text1"/>
          <w:sz w:val="24"/>
        </w:rPr>
        <w:t xml:space="preserve">); Yi Wei (0000-0003-3993-9747); </w:t>
      </w:r>
      <w:r w:rsidRPr="001659B8">
        <w:rPr>
          <w:rFonts w:ascii="Book Antiqua" w:eastAsia="Book Antiqua" w:hAnsi="Book Antiqua"/>
          <w:bCs/>
          <w:color w:val="000000" w:themeColor="text1"/>
          <w:sz w:val="24"/>
        </w:rPr>
        <w:t>Han-Yu Jiang (0000-0002-7726-1618); Jie</w:t>
      </w:r>
      <w:r w:rsidRPr="001659B8">
        <w:rPr>
          <w:rFonts w:ascii="Book Antiqua" w:hAnsi="Book Antiqua"/>
          <w:bCs/>
          <w:color w:val="000000" w:themeColor="text1"/>
          <w:sz w:val="24"/>
        </w:rPr>
        <w:t xml:space="preserve"> </w:t>
      </w:r>
      <w:r w:rsidRPr="001659B8">
        <w:rPr>
          <w:rFonts w:ascii="Book Antiqua" w:eastAsia="Book Antiqua" w:hAnsi="Book Antiqua"/>
          <w:bCs/>
          <w:color w:val="000000" w:themeColor="text1"/>
          <w:sz w:val="24"/>
        </w:rPr>
        <w:t>Chen (0000-0002-7543-0449);</w:t>
      </w:r>
      <w:r w:rsidRPr="001659B8">
        <w:rPr>
          <w:rFonts w:ascii="Book Antiqua" w:hAnsi="Book Antiqua"/>
          <w:bCs/>
          <w:color w:val="000000" w:themeColor="text1"/>
          <w:sz w:val="24"/>
        </w:rPr>
        <w:t xml:space="preserve"> Xi-Jiao Liu (0000-0002-6900-0696);</w:t>
      </w:r>
      <w:r w:rsidRPr="001659B8">
        <w:rPr>
          <w:rFonts w:ascii="Book Antiqua" w:eastAsia="Book Antiqua" w:hAnsi="Book Antiqua"/>
          <w:bCs/>
          <w:color w:val="000000" w:themeColor="text1"/>
          <w:sz w:val="24"/>
        </w:rPr>
        <w:t xml:space="preserve"> Li-Kun Cao (0000-0003-1505-9649)</w:t>
      </w:r>
      <w:r w:rsidRPr="001659B8">
        <w:rPr>
          <w:rFonts w:ascii="Book Antiqua" w:hAnsi="Book Antiqua"/>
          <w:bCs/>
          <w:color w:val="000000" w:themeColor="text1"/>
          <w:sz w:val="24"/>
        </w:rPr>
        <w:t xml:space="preserve">; </w:t>
      </w:r>
      <w:r w:rsidRPr="001659B8">
        <w:rPr>
          <w:rFonts w:ascii="Book Antiqua" w:eastAsia="Book Antiqua" w:hAnsi="Book Antiqua"/>
          <w:bCs/>
          <w:color w:val="000000" w:themeColor="text1"/>
          <w:sz w:val="24"/>
        </w:rPr>
        <w:t>Ting Duan</w:t>
      </w:r>
      <w:r w:rsidRPr="001659B8">
        <w:rPr>
          <w:rFonts w:ascii="Book Antiqua" w:hAnsi="Book Antiqua"/>
          <w:bCs/>
          <w:color w:val="000000" w:themeColor="text1"/>
          <w:sz w:val="24"/>
        </w:rPr>
        <w:t xml:space="preserve"> </w:t>
      </w:r>
      <w:r w:rsidRPr="001659B8">
        <w:rPr>
          <w:rFonts w:ascii="Book Antiqua" w:eastAsia="Book Antiqua" w:hAnsi="Book Antiqua"/>
          <w:bCs/>
          <w:color w:val="000000" w:themeColor="text1"/>
          <w:sz w:val="24"/>
        </w:rPr>
        <w:t>(0000-0001-6694-4520)</w:t>
      </w:r>
      <w:r w:rsidRPr="001659B8">
        <w:rPr>
          <w:rFonts w:ascii="Book Antiqua" w:hAnsi="Book Antiqua"/>
          <w:bCs/>
          <w:color w:val="000000" w:themeColor="text1"/>
          <w:sz w:val="24"/>
        </w:rPr>
        <w:t xml:space="preserve">; Xiao-Peng He (0000-0001-6630-1429); </w:t>
      </w:r>
      <w:r w:rsidRPr="001659B8">
        <w:rPr>
          <w:rFonts w:ascii="Book Antiqua" w:eastAsia="Book Antiqua" w:hAnsi="Book Antiqua"/>
          <w:bCs/>
          <w:color w:val="000000" w:themeColor="text1"/>
          <w:sz w:val="24"/>
        </w:rPr>
        <w:t>Chun-Chao Xia (0000-0003-4338-7199); Bin Song (0000-0001-7007-6367).</w:t>
      </w:r>
    </w:p>
    <w:p w:rsidR="00510107" w:rsidRPr="001659B8" w:rsidRDefault="002E702A">
      <w:pPr>
        <w:adjustRightInd w:val="0"/>
        <w:snapToGrid w:val="0"/>
        <w:spacing w:after="0" w:line="360" w:lineRule="auto"/>
        <w:rPr>
          <w:rFonts w:ascii="Book Antiqua" w:hAnsi="Book Antiqua"/>
          <w:bCs/>
          <w:color w:val="000000" w:themeColor="text1"/>
          <w:sz w:val="24"/>
        </w:rPr>
      </w:pPr>
      <w:r w:rsidRPr="001659B8">
        <w:rPr>
          <w:rStyle w:val="fontstyle31"/>
          <w:rFonts w:cs="Times New Roman"/>
          <w:color w:val="000000" w:themeColor="text1"/>
        </w:rPr>
        <w:br/>
      </w:r>
      <w:r w:rsidRPr="001659B8">
        <w:rPr>
          <w:rFonts w:ascii="Book Antiqua" w:hAnsi="Book Antiqua"/>
          <w:b/>
          <w:color w:val="000000" w:themeColor="text1"/>
          <w:sz w:val="24"/>
        </w:rPr>
        <w:t>Author contributions:</w:t>
      </w:r>
      <w:r w:rsidRPr="001659B8">
        <w:rPr>
          <w:rFonts w:ascii="Book Antiqua" w:hAnsi="Book Antiqua"/>
          <w:bCs/>
          <w:color w:val="000000" w:themeColor="text1"/>
          <w:sz w:val="24"/>
        </w:rPr>
        <w:t xml:space="preserve"> Zhang T, Wei Y, and Song B designed the research; Zhang T, Huang ZX, Jiang HY, and Chen J conducted literature search and analysis; Liu XJ, Cao Lk, Duan T, He XP, and Xia CC provided material support; Song B provided funding for the article; </w:t>
      </w:r>
      <w:r w:rsidRPr="001659B8">
        <w:rPr>
          <w:rFonts w:ascii="Book Antiqua" w:hAnsi="Book Antiqua"/>
          <w:color w:val="000000" w:themeColor="text1"/>
          <w:sz w:val="24"/>
        </w:rPr>
        <w:t>Zhang T and</w:t>
      </w:r>
      <w:r w:rsidRPr="001659B8">
        <w:rPr>
          <w:rFonts w:ascii="Book Antiqua" w:hAnsi="Book Antiqua"/>
          <w:bCs/>
          <w:color w:val="000000" w:themeColor="text1"/>
          <w:sz w:val="24"/>
        </w:rPr>
        <w:t xml:space="preserve"> Huang ZX wrote the paper.</w:t>
      </w:r>
    </w:p>
    <w:p w:rsidR="00510107" w:rsidRPr="001659B8" w:rsidRDefault="00510107">
      <w:pPr>
        <w:adjustRightInd w:val="0"/>
        <w:snapToGrid w:val="0"/>
        <w:spacing w:after="0" w:line="360" w:lineRule="auto"/>
        <w:rPr>
          <w:rFonts w:ascii="Book Antiqua" w:hAnsi="Book Antiqua"/>
          <w:bCs/>
          <w:color w:val="000000" w:themeColor="text1"/>
          <w:sz w:val="24"/>
        </w:rPr>
      </w:pPr>
    </w:p>
    <w:p w:rsidR="00510107" w:rsidRPr="001659B8" w:rsidRDefault="002E702A">
      <w:pPr>
        <w:adjustRightInd w:val="0"/>
        <w:snapToGrid w:val="0"/>
        <w:spacing w:after="0" w:line="360" w:lineRule="auto"/>
        <w:rPr>
          <w:rFonts w:ascii="Book Antiqua" w:hAnsi="Book Antiqua"/>
          <w:bCs/>
          <w:color w:val="000000" w:themeColor="text1"/>
          <w:sz w:val="24"/>
        </w:rPr>
      </w:pPr>
      <w:proofErr w:type="gramStart"/>
      <w:r w:rsidRPr="001659B8">
        <w:rPr>
          <w:rFonts w:ascii="Book Antiqua" w:eastAsia="Book Antiqua" w:hAnsi="Book Antiqua"/>
          <w:b/>
          <w:color w:val="000000" w:themeColor="text1"/>
          <w:sz w:val="24"/>
        </w:rPr>
        <w:t xml:space="preserve">Supported by </w:t>
      </w:r>
      <w:r w:rsidRPr="001659B8">
        <w:rPr>
          <w:rFonts w:ascii="Book Antiqua" w:hAnsi="Book Antiqua"/>
          <w:bCs/>
          <w:color w:val="000000" w:themeColor="text1"/>
          <w:sz w:val="24"/>
        </w:rPr>
        <w:t>National Natural Science Foundation of China, No. 81471658; and Science and Technology Support Program of Sichuan Province, No. 2017SZ0003.</w:t>
      </w:r>
      <w:proofErr w:type="gramEnd"/>
    </w:p>
    <w:p w:rsidR="00510107" w:rsidRPr="001659B8" w:rsidRDefault="00510107">
      <w:pPr>
        <w:adjustRightInd w:val="0"/>
        <w:snapToGrid w:val="0"/>
        <w:spacing w:after="0" w:line="360" w:lineRule="auto"/>
        <w:rPr>
          <w:rFonts w:ascii="Book Antiqua" w:hAnsi="Book Antiqua"/>
          <w:bCs/>
          <w:color w:val="000000" w:themeColor="text1"/>
          <w:sz w:val="24"/>
        </w:rPr>
      </w:pPr>
    </w:p>
    <w:p w:rsidR="00510107" w:rsidRPr="001659B8" w:rsidRDefault="002E702A">
      <w:pPr>
        <w:adjustRightInd w:val="0"/>
        <w:snapToGrid w:val="0"/>
        <w:spacing w:after="0" w:line="360" w:lineRule="auto"/>
        <w:rPr>
          <w:rStyle w:val="fontstyle31"/>
          <w:rFonts w:cs="Times New Roman"/>
          <w:color w:val="000000" w:themeColor="text1"/>
        </w:rPr>
      </w:pPr>
      <w:r w:rsidRPr="001659B8">
        <w:rPr>
          <w:rFonts w:ascii="Book Antiqua" w:eastAsia="Book Antiqua" w:hAnsi="Book Antiqua"/>
          <w:b/>
          <w:color w:val="000000" w:themeColor="text1"/>
          <w:sz w:val="24"/>
        </w:rPr>
        <w:t xml:space="preserve">Institutional review board statement: </w:t>
      </w:r>
      <w:r w:rsidRPr="001659B8">
        <w:rPr>
          <w:rStyle w:val="fontstyle31"/>
          <w:rFonts w:cs="Times New Roman"/>
          <w:color w:val="000000" w:themeColor="text1"/>
        </w:rPr>
        <w:t>This study was approved by the Ethics Committee of West China Hospital.</w:t>
      </w:r>
    </w:p>
    <w:p w:rsidR="00510107" w:rsidRPr="001659B8" w:rsidRDefault="002E702A">
      <w:pPr>
        <w:adjustRightInd w:val="0"/>
        <w:snapToGrid w:val="0"/>
        <w:spacing w:after="0" w:line="360" w:lineRule="auto"/>
        <w:rPr>
          <w:rStyle w:val="fontstyle31"/>
          <w:rFonts w:cs="Times New Roman"/>
          <w:color w:val="000000" w:themeColor="text1"/>
        </w:rPr>
      </w:pPr>
      <w:r w:rsidRPr="001659B8">
        <w:rPr>
          <w:rStyle w:val="fontstyle31"/>
          <w:rFonts w:cs="Times New Roman"/>
          <w:color w:val="000000" w:themeColor="text1"/>
        </w:rPr>
        <w:br/>
      </w:r>
      <w:r w:rsidRPr="001659B8">
        <w:rPr>
          <w:rFonts w:ascii="Book Antiqua" w:eastAsia="Book Antiqua" w:hAnsi="Book Antiqua"/>
          <w:b/>
          <w:color w:val="000000" w:themeColor="text1"/>
          <w:sz w:val="24"/>
        </w:rPr>
        <w:t xml:space="preserve">Informed consent statement: </w:t>
      </w:r>
      <w:r w:rsidRPr="001659B8">
        <w:rPr>
          <w:rStyle w:val="fontstyle31"/>
          <w:rFonts w:cs="Times New Roman"/>
          <w:color w:val="000000" w:themeColor="text1"/>
        </w:rPr>
        <w:t>Patients were not required to give informed consent to the study because this retrospective study used anonymous clinical data that were obtained after each patient agreed to treatment by written consent.</w:t>
      </w:r>
    </w:p>
    <w:p w:rsidR="00510107" w:rsidRPr="001659B8" w:rsidRDefault="002E702A">
      <w:pPr>
        <w:adjustRightInd w:val="0"/>
        <w:snapToGrid w:val="0"/>
        <w:spacing w:after="0" w:line="360" w:lineRule="auto"/>
        <w:rPr>
          <w:rStyle w:val="fontstyle31"/>
          <w:rFonts w:cs="Times New Roman"/>
          <w:color w:val="000000" w:themeColor="text1"/>
        </w:rPr>
      </w:pPr>
      <w:r w:rsidRPr="001659B8">
        <w:rPr>
          <w:rStyle w:val="fontstyle31"/>
          <w:rFonts w:cs="Times New Roman"/>
          <w:color w:val="000000" w:themeColor="text1"/>
        </w:rPr>
        <w:br/>
      </w:r>
      <w:r w:rsidRPr="001659B8">
        <w:rPr>
          <w:rFonts w:ascii="Book Antiqua" w:eastAsia="Book Antiqua" w:hAnsi="Book Antiqua"/>
          <w:b/>
          <w:color w:val="000000" w:themeColor="text1"/>
          <w:sz w:val="24"/>
        </w:rPr>
        <w:t xml:space="preserve">Conflict-of-interest statement: </w:t>
      </w:r>
      <w:r w:rsidRPr="001659B8">
        <w:rPr>
          <w:rStyle w:val="fontstyle31"/>
          <w:rFonts w:cs="Times New Roman"/>
          <w:color w:val="000000" w:themeColor="text1"/>
        </w:rPr>
        <w:t>All authors declare no conflicts of interest related to this article.</w:t>
      </w:r>
    </w:p>
    <w:p w:rsidR="00510107" w:rsidRPr="001659B8" w:rsidRDefault="002E702A">
      <w:pPr>
        <w:adjustRightInd w:val="0"/>
        <w:snapToGrid w:val="0"/>
        <w:spacing w:after="0" w:line="360" w:lineRule="auto"/>
        <w:rPr>
          <w:rStyle w:val="fontstyle31"/>
          <w:rFonts w:cs="Times New Roman"/>
          <w:color w:val="000000" w:themeColor="text1"/>
        </w:rPr>
      </w:pPr>
      <w:r w:rsidRPr="001659B8">
        <w:rPr>
          <w:rStyle w:val="fontstyle31"/>
          <w:rFonts w:cs="Times New Roman"/>
          <w:color w:val="000000" w:themeColor="text1"/>
        </w:rPr>
        <w:br/>
      </w:r>
      <w:r w:rsidRPr="001659B8">
        <w:rPr>
          <w:rFonts w:ascii="Book Antiqua" w:eastAsia="Book Antiqua" w:hAnsi="Book Antiqua"/>
          <w:b/>
          <w:color w:val="000000" w:themeColor="text1"/>
          <w:sz w:val="24"/>
        </w:rPr>
        <w:t xml:space="preserve">Data sharing statement: </w:t>
      </w:r>
      <w:r w:rsidRPr="001659B8">
        <w:rPr>
          <w:rStyle w:val="fontstyle31"/>
          <w:rFonts w:cs="Times New Roman"/>
          <w:color w:val="000000" w:themeColor="text1"/>
        </w:rPr>
        <w:t>No additional data are available.</w:t>
      </w:r>
    </w:p>
    <w:p w:rsidR="00510107" w:rsidRPr="001659B8" w:rsidRDefault="00510107">
      <w:pPr>
        <w:adjustRightInd w:val="0"/>
        <w:snapToGrid w:val="0"/>
        <w:spacing w:after="0" w:line="360" w:lineRule="auto"/>
        <w:rPr>
          <w:rStyle w:val="fontstyle31"/>
          <w:rFonts w:cs="Times New Roman"/>
          <w:color w:val="000000" w:themeColor="text1"/>
        </w:rPr>
      </w:pPr>
    </w:p>
    <w:p w:rsidR="00510107" w:rsidRPr="001659B8" w:rsidRDefault="002E702A">
      <w:pPr>
        <w:adjustRightInd w:val="0"/>
        <w:snapToGrid w:val="0"/>
        <w:spacing w:after="0" w:line="360" w:lineRule="auto"/>
        <w:rPr>
          <w:rFonts w:ascii="Book Antiqua" w:hAnsi="Book Antiqua"/>
          <w:sz w:val="24"/>
        </w:rPr>
      </w:pPr>
      <w:bookmarkStart w:id="28" w:name="OLE_LINK381"/>
      <w:bookmarkStart w:id="29" w:name="OLE_LINK375"/>
      <w:bookmarkStart w:id="30" w:name="OLE_LINK25"/>
      <w:bookmarkStart w:id="31" w:name="OLE_LINK26"/>
      <w:bookmarkStart w:id="32" w:name="OLE_LINK32"/>
      <w:bookmarkStart w:id="33" w:name="OLE_LINK413"/>
      <w:r w:rsidRPr="001659B8">
        <w:rPr>
          <w:rFonts w:ascii="Book Antiqua" w:hAnsi="Book Antiqua"/>
          <w:b/>
          <w:color w:val="000000"/>
          <w:sz w:val="24"/>
        </w:rPr>
        <w:t xml:space="preserve">Open-Access: </w:t>
      </w:r>
      <w:bookmarkStart w:id="34" w:name="OLE_LINK73"/>
      <w:bookmarkStart w:id="35" w:name="OLE_LINK74"/>
      <w:r w:rsidRPr="001659B8">
        <w:rPr>
          <w:rFonts w:ascii="Book Antiqua" w:hAnsi="Book Antiqua"/>
          <w:color w:val="000000"/>
          <w:sz w:val="24"/>
        </w:rPr>
        <w:t xml:space="preserve">This is an </w:t>
      </w:r>
      <w:r w:rsidRPr="001659B8">
        <w:rPr>
          <w:rFonts w:ascii="Book Antiqua" w:hAnsi="Book Antiqua" w:cs="宋体"/>
          <w:sz w:val="24"/>
        </w:rPr>
        <w:t xml:space="preserve">open-access article that was </w:t>
      </w:r>
      <w:r w:rsidRPr="001659B8">
        <w:rPr>
          <w:rFonts w:ascii="Book Antiqua" w:hAnsi="Book Antiqua"/>
          <w:sz w:val="24"/>
        </w:rPr>
        <w:t xml:space="preserve">selected by an in-house editor and fully peer-reviewed by external reviewers. It is </w:t>
      </w:r>
      <w:r w:rsidRPr="001659B8">
        <w:rPr>
          <w:rFonts w:ascii="Book Antiqua" w:hAnsi="Book Antiqua" w:cs="宋体"/>
          <w:sz w:val="24"/>
        </w:rPr>
        <w:t xml:space="preserve">distributed in accordance with </w:t>
      </w:r>
      <w:r w:rsidRPr="001659B8">
        <w:rPr>
          <w:rFonts w:ascii="Book Antiqua" w:hAnsi="Book Antiqua"/>
          <w:sz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1659B8">
          <w:rPr>
            <w:rStyle w:val="ab"/>
            <w:rFonts w:ascii="Book Antiqua" w:hAnsi="Book Antiqua"/>
            <w:sz w:val="24"/>
          </w:rPr>
          <w:t>http://creativecommons.org/licenses/by-nc/4.0/</w:t>
        </w:r>
      </w:hyperlink>
      <w:bookmarkEnd w:id="34"/>
      <w:bookmarkEnd w:id="35"/>
    </w:p>
    <w:p w:rsidR="00510107" w:rsidRPr="001659B8" w:rsidRDefault="00510107">
      <w:pPr>
        <w:adjustRightInd w:val="0"/>
        <w:snapToGrid w:val="0"/>
        <w:spacing w:after="0" w:line="360" w:lineRule="auto"/>
        <w:rPr>
          <w:rFonts w:ascii="Book Antiqua" w:hAnsi="Book Antiqua"/>
          <w:sz w:val="24"/>
        </w:rPr>
      </w:pPr>
    </w:p>
    <w:p w:rsidR="00510107" w:rsidRPr="001659B8" w:rsidRDefault="002E702A">
      <w:pPr>
        <w:adjustRightInd w:val="0"/>
        <w:snapToGrid w:val="0"/>
        <w:spacing w:after="0" w:line="360" w:lineRule="auto"/>
        <w:outlineLvl w:val="0"/>
        <w:rPr>
          <w:rStyle w:val="fontstyle31"/>
          <w:rFonts w:cs="Times New Roman"/>
          <w:color w:val="000000" w:themeColor="text1"/>
        </w:rPr>
      </w:pPr>
      <w:r w:rsidRPr="001659B8">
        <w:rPr>
          <w:rFonts w:ascii="Book Antiqua" w:hAnsi="Book Antiqua"/>
          <w:b/>
          <w:bCs/>
          <w:sz w:val="24"/>
        </w:rPr>
        <w:t>Manuscript source:</w:t>
      </w:r>
      <w:r w:rsidRPr="001659B8">
        <w:rPr>
          <w:rFonts w:ascii="Book Antiqua" w:hAnsi="Book Antiqua" w:hint="eastAsia"/>
          <w:b/>
          <w:bCs/>
          <w:sz w:val="24"/>
        </w:rPr>
        <w:t xml:space="preserve"> </w:t>
      </w:r>
      <w:r w:rsidRPr="001659B8">
        <w:rPr>
          <w:rFonts w:ascii="Book Antiqua" w:hAnsi="Book Antiqua"/>
          <w:bCs/>
          <w:sz w:val="24"/>
        </w:rPr>
        <w:t>Invited manuscript</w:t>
      </w:r>
      <w:bookmarkEnd w:id="28"/>
      <w:bookmarkEnd w:id="29"/>
      <w:bookmarkEnd w:id="30"/>
      <w:bookmarkEnd w:id="31"/>
      <w:bookmarkEnd w:id="32"/>
      <w:bookmarkEnd w:id="33"/>
    </w:p>
    <w:p w:rsidR="00510107" w:rsidRPr="001659B8" w:rsidRDefault="002E702A">
      <w:pPr>
        <w:adjustRightInd w:val="0"/>
        <w:snapToGrid w:val="0"/>
        <w:spacing w:after="0" w:line="360" w:lineRule="auto"/>
        <w:rPr>
          <w:rFonts w:ascii="Book Antiqua" w:hAnsi="Book Antiqua"/>
          <w:bCs/>
          <w:color w:val="000000" w:themeColor="text1"/>
          <w:sz w:val="24"/>
        </w:rPr>
      </w:pPr>
      <w:r w:rsidRPr="001659B8">
        <w:rPr>
          <w:rStyle w:val="fontstyle31"/>
          <w:rFonts w:cs="Times New Roman"/>
          <w:color w:val="000000" w:themeColor="text1"/>
        </w:rPr>
        <w:br/>
      </w:r>
      <w:bookmarkStart w:id="36" w:name="OLE_LINK15"/>
      <w:bookmarkStart w:id="37" w:name="OLE_LINK56"/>
      <w:bookmarkStart w:id="38" w:name="OLE_LINK16"/>
      <w:bookmarkStart w:id="39" w:name="OLE_LINK295"/>
      <w:bookmarkStart w:id="40" w:name="OLE_LINK294"/>
      <w:bookmarkStart w:id="41" w:name="OLE_LINK12"/>
      <w:r w:rsidRPr="001659B8">
        <w:rPr>
          <w:rFonts w:ascii="Book Antiqua" w:hAnsi="Book Antiqua"/>
          <w:b/>
          <w:bCs/>
          <w:color w:val="000000" w:themeColor="text1"/>
          <w:sz w:val="24"/>
        </w:rPr>
        <w:t>Corresponding author:</w:t>
      </w:r>
      <w:bookmarkEnd w:id="36"/>
      <w:bookmarkEnd w:id="37"/>
      <w:bookmarkEnd w:id="38"/>
      <w:bookmarkEnd w:id="39"/>
      <w:bookmarkEnd w:id="40"/>
      <w:r w:rsidRPr="001659B8">
        <w:rPr>
          <w:rFonts w:ascii="Book Antiqua" w:hAnsi="Book Antiqua"/>
          <w:b/>
          <w:color w:val="000000" w:themeColor="text1"/>
          <w:sz w:val="24"/>
        </w:rPr>
        <w:t xml:space="preserve"> </w:t>
      </w:r>
      <w:bookmarkStart w:id="42" w:name="OLE_LINK7"/>
      <w:r w:rsidRPr="001659B8">
        <w:rPr>
          <w:rFonts w:ascii="Book Antiqua" w:hAnsi="Book Antiqua"/>
          <w:b/>
          <w:bCs/>
          <w:color w:val="000000" w:themeColor="text1"/>
          <w:sz w:val="24"/>
        </w:rPr>
        <w:t xml:space="preserve">Bin Song, MD, Chief Doctor, Doctor, Professor, </w:t>
      </w:r>
      <w:r w:rsidRPr="001659B8">
        <w:rPr>
          <w:rFonts w:ascii="Book Antiqua" w:hAnsi="Book Antiqua"/>
          <w:bCs/>
          <w:color w:val="000000" w:themeColor="text1"/>
          <w:sz w:val="24"/>
        </w:rPr>
        <w:t xml:space="preserve">Department of Radiology, Sichuan University West China Hospital, No. 37, Guoxue Alley, Chengdu 610041, Sichuan Province, China. </w:t>
      </w:r>
      <w:r w:rsidRPr="001659B8">
        <w:rPr>
          <w:rFonts w:ascii="Book Antiqua" w:hAnsi="Book Antiqua"/>
          <w:bCs/>
          <w:color w:val="000000" w:themeColor="text1"/>
          <w:sz w:val="24"/>
        </w:rPr>
        <w:lastRenderedPageBreak/>
        <w:t>anicesong@vip.sina.com</w:t>
      </w:r>
      <w:bookmarkEnd w:id="42"/>
    </w:p>
    <w:p w:rsidR="00510107" w:rsidRPr="001659B8" w:rsidRDefault="002E702A">
      <w:pPr>
        <w:adjustRightInd w:val="0"/>
        <w:snapToGrid w:val="0"/>
        <w:spacing w:after="0" w:line="360" w:lineRule="auto"/>
        <w:rPr>
          <w:rFonts w:ascii="Book Antiqua" w:hAnsi="Book Antiqua"/>
          <w:bCs/>
          <w:color w:val="000000" w:themeColor="text1"/>
          <w:sz w:val="24"/>
        </w:rPr>
      </w:pPr>
      <w:r w:rsidRPr="001659B8">
        <w:rPr>
          <w:rFonts w:ascii="Book Antiqua" w:hAnsi="Book Antiqua"/>
          <w:b/>
          <w:color w:val="000000" w:themeColor="text1"/>
          <w:sz w:val="24"/>
        </w:rPr>
        <w:t xml:space="preserve">Telephone: </w:t>
      </w:r>
      <w:r w:rsidRPr="001659B8">
        <w:rPr>
          <w:rFonts w:ascii="Book Antiqua" w:hAnsi="Book Antiqua"/>
          <w:bCs/>
          <w:color w:val="000000" w:themeColor="text1"/>
          <w:sz w:val="24"/>
        </w:rPr>
        <w:t>+86-28-85423680</w:t>
      </w:r>
    </w:p>
    <w:bookmarkEnd w:id="41"/>
    <w:p w:rsidR="00510107" w:rsidRPr="001659B8" w:rsidRDefault="002E702A">
      <w:pPr>
        <w:adjustRightInd w:val="0"/>
        <w:snapToGrid w:val="0"/>
        <w:spacing w:after="0" w:line="360" w:lineRule="auto"/>
        <w:rPr>
          <w:rFonts w:ascii="Book Antiqua" w:hAnsi="Book Antiqua"/>
          <w:bCs/>
          <w:color w:val="000000" w:themeColor="text1"/>
          <w:sz w:val="24"/>
        </w:rPr>
      </w:pPr>
      <w:r w:rsidRPr="001659B8">
        <w:rPr>
          <w:rFonts w:ascii="Book Antiqua" w:hAnsi="Book Antiqua"/>
          <w:b/>
          <w:bCs/>
          <w:color w:val="000000" w:themeColor="text1"/>
          <w:sz w:val="24"/>
        </w:rPr>
        <w:t>Fax:</w:t>
      </w:r>
      <w:r w:rsidRPr="001659B8">
        <w:rPr>
          <w:rFonts w:ascii="Book Antiqua" w:hAnsi="Book Antiqua"/>
          <w:bCs/>
          <w:color w:val="000000" w:themeColor="text1"/>
          <w:sz w:val="24"/>
        </w:rPr>
        <w:t xml:space="preserve"> +86-28-85582499</w:t>
      </w:r>
    </w:p>
    <w:p w:rsidR="00510107" w:rsidRPr="001659B8" w:rsidRDefault="00510107">
      <w:pPr>
        <w:adjustRightInd w:val="0"/>
        <w:snapToGrid w:val="0"/>
        <w:spacing w:after="0" w:line="360" w:lineRule="auto"/>
        <w:rPr>
          <w:rFonts w:ascii="Book Antiqua" w:hAnsi="Book Antiqua"/>
          <w:bCs/>
          <w:color w:val="000000" w:themeColor="text1"/>
          <w:sz w:val="24"/>
        </w:rPr>
      </w:pPr>
    </w:p>
    <w:p w:rsidR="00510107" w:rsidRPr="001659B8" w:rsidRDefault="002E702A">
      <w:pPr>
        <w:adjustRightInd w:val="0"/>
        <w:snapToGrid w:val="0"/>
        <w:spacing w:after="0" w:line="360" w:lineRule="auto"/>
        <w:outlineLvl w:val="0"/>
        <w:rPr>
          <w:rFonts w:ascii="Book Antiqua" w:hAnsi="Book Antiqua"/>
          <w:b/>
          <w:sz w:val="24"/>
        </w:rPr>
      </w:pPr>
      <w:bookmarkStart w:id="43" w:name="OLE_LINK14"/>
      <w:bookmarkStart w:id="44" w:name="OLE_LINK51"/>
      <w:bookmarkStart w:id="45" w:name="OLE_LINK27"/>
      <w:bookmarkStart w:id="46" w:name="OLE_LINK382"/>
      <w:r w:rsidRPr="001659B8">
        <w:rPr>
          <w:rFonts w:ascii="Book Antiqua" w:hAnsi="Book Antiqua"/>
          <w:b/>
          <w:sz w:val="24"/>
        </w:rPr>
        <w:t xml:space="preserve">Received: </w:t>
      </w:r>
      <w:r w:rsidRPr="001659B8">
        <w:rPr>
          <w:rFonts w:ascii="Book Antiqua" w:hAnsi="Book Antiqua"/>
          <w:sz w:val="24"/>
        </w:rPr>
        <w:t>October</w:t>
      </w:r>
      <w:r w:rsidRPr="001659B8">
        <w:rPr>
          <w:rFonts w:ascii="Book Antiqua" w:eastAsia="等线" w:hAnsi="Book Antiqua"/>
          <w:sz w:val="24"/>
        </w:rPr>
        <w:t xml:space="preserve"> 19, 2018</w:t>
      </w:r>
      <w:r w:rsidRPr="001659B8">
        <w:rPr>
          <w:rFonts w:ascii="Book Antiqua" w:hAnsi="Book Antiqua"/>
          <w:b/>
          <w:sz w:val="24"/>
        </w:rPr>
        <w:t xml:space="preserve">  </w:t>
      </w:r>
    </w:p>
    <w:p w:rsidR="00510107" w:rsidRPr="001659B8" w:rsidRDefault="002E702A">
      <w:pPr>
        <w:adjustRightInd w:val="0"/>
        <w:snapToGrid w:val="0"/>
        <w:spacing w:after="0" w:line="360" w:lineRule="auto"/>
        <w:outlineLvl w:val="0"/>
        <w:rPr>
          <w:rFonts w:ascii="Book Antiqua" w:eastAsia="等线" w:hAnsi="Book Antiqua"/>
          <w:b/>
          <w:sz w:val="24"/>
        </w:rPr>
      </w:pPr>
      <w:r w:rsidRPr="001659B8">
        <w:rPr>
          <w:rFonts w:ascii="Book Antiqua" w:hAnsi="Book Antiqua"/>
          <w:b/>
          <w:sz w:val="24"/>
        </w:rPr>
        <w:t>Peer-review started:</w:t>
      </w:r>
      <w:r w:rsidRPr="001659B8">
        <w:rPr>
          <w:rFonts w:ascii="Book Antiqua" w:eastAsia="等线" w:hAnsi="Book Antiqua"/>
          <w:b/>
          <w:sz w:val="24"/>
        </w:rPr>
        <w:t xml:space="preserve"> </w:t>
      </w:r>
      <w:r w:rsidRPr="001659B8">
        <w:rPr>
          <w:rFonts w:ascii="Book Antiqua" w:hAnsi="Book Antiqua"/>
          <w:sz w:val="24"/>
        </w:rPr>
        <w:t>October</w:t>
      </w:r>
      <w:r w:rsidRPr="001659B8">
        <w:rPr>
          <w:rFonts w:ascii="Book Antiqua" w:eastAsia="等线" w:hAnsi="Book Antiqua"/>
          <w:sz w:val="24"/>
        </w:rPr>
        <w:t xml:space="preserve"> 19, 2018</w:t>
      </w:r>
    </w:p>
    <w:p w:rsidR="00510107" w:rsidRPr="001659B8" w:rsidRDefault="002E702A">
      <w:pPr>
        <w:adjustRightInd w:val="0"/>
        <w:snapToGrid w:val="0"/>
        <w:spacing w:after="0" w:line="360" w:lineRule="auto"/>
        <w:outlineLvl w:val="0"/>
        <w:rPr>
          <w:rFonts w:ascii="Book Antiqua" w:eastAsia="等线" w:hAnsi="Book Antiqua"/>
          <w:b/>
          <w:sz w:val="24"/>
        </w:rPr>
      </w:pPr>
      <w:r w:rsidRPr="001659B8">
        <w:rPr>
          <w:rFonts w:ascii="Book Antiqua" w:hAnsi="Book Antiqua"/>
          <w:b/>
          <w:sz w:val="24"/>
        </w:rPr>
        <w:t>First decision:</w:t>
      </w:r>
      <w:r w:rsidRPr="001659B8">
        <w:rPr>
          <w:rFonts w:ascii="Book Antiqua" w:eastAsia="等线" w:hAnsi="Book Antiqua"/>
          <w:b/>
          <w:sz w:val="24"/>
        </w:rPr>
        <w:t xml:space="preserve"> </w:t>
      </w:r>
      <w:r w:rsidRPr="001659B8">
        <w:rPr>
          <w:rFonts w:ascii="Book Antiqua" w:hAnsi="Book Antiqua"/>
          <w:sz w:val="24"/>
        </w:rPr>
        <w:t>December</w:t>
      </w:r>
      <w:r w:rsidRPr="001659B8">
        <w:rPr>
          <w:rFonts w:ascii="Book Antiqua" w:eastAsia="等线" w:hAnsi="Book Antiqua"/>
          <w:sz w:val="24"/>
        </w:rPr>
        <w:t xml:space="preserve"> 20, 2018</w:t>
      </w:r>
    </w:p>
    <w:p w:rsidR="00510107" w:rsidRPr="001659B8" w:rsidRDefault="002E702A">
      <w:pPr>
        <w:adjustRightInd w:val="0"/>
        <w:snapToGrid w:val="0"/>
        <w:spacing w:after="0" w:line="360" w:lineRule="auto"/>
        <w:rPr>
          <w:rFonts w:ascii="Book Antiqua" w:hAnsi="Book Antiqua"/>
          <w:b/>
          <w:sz w:val="24"/>
        </w:rPr>
      </w:pPr>
      <w:r w:rsidRPr="001659B8">
        <w:rPr>
          <w:rFonts w:ascii="Book Antiqua" w:hAnsi="Book Antiqua"/>
          <w:b/>
          <w:sz w:val="24"/>
        </w:rPr>
        <w:t xml:space="preserve">Revised: </w:t>
      </w:r>
      <w:r w:rsidRPr="001659B8">
        <w:rPr>
          <w:rFonts w:ascii="Book Antiqua" w:hAnsi="Book Antiqua"/>
          <w:sz w:val="24"/>
        </w:rPr>
        <w:t>December</w:t>
      </w:r>
      <w:r w:rsidRPr="001659B8">
        <w:rPr>
          <w:rFonts w:ascii="Book Antiqua" w:eastAsia="等线" w:hAnsi="Book Antiqua"/>
          <w:sz w:val="24"/>
        </w:rPr>
        <w:t xml:space="preserve"> 25</w:t>
      </w:r>
      <w:r w:rsidRPr="001659B8">
        <w:rPr>
          <w:rFonts w:ascii="Book Antiqua" w:hAnsi="Book Antiqua"/>
          <w:sz w:val="24"/>
        </w:rPr>
        <w:t xml:space="preserve">, 2018 </w:t>
      </w:r>
    </w:p>
    <w:p w:rsidR="00510107" w:rsidRPr="001659B8" w:rsidRDefault="002E702A">
      <w:pPr>
        <w:adjustRightInd w:val="0"/>
        <w:snapToGrid w:val="0"/>
        <w:spacing w:after="0" w:line="360" w:lineRule="auto"/>
        <w:outlineLvl w:val="0"/>
        <w:rPr>
          <w:rFonts w:ascii="Book Antiqua" w:hAnsi="Book Antiqua"/>
          <w:b/>
          <w:sz w:val="24"/>
        </w:rPr>
      </w:pPr>
      <w:r w:rsidRPr="001659B8">
        <w:rPr>
          <w:rFonts w:ascii="Book Antiqua" w:hAnsi="Book Antiqua"/>
          <w:b/>
          <w:sz w:val="24"/>
        </w:rPr>
        <w:t>Accepted:</w:t>
      </w:r>
      <w:r w:rsidRPr="001659B8">
        <w:t xml:space="preserve"> </w:t>
      </w:r>
      <w:r w:rsidRPr="001659B8">
        <w:rPr>
          <w:rFonts w:ascii="Book Antiqua" w:hAnsi="Book Antiqua"/>
          <w:sz w:val="24"/>
        </w:rPr>
        <w:t>January 14, 2019</w:t>
      </w:r>
      <w:r w:rsidRPr="001659B8">
        <w:rPr>
          <w:rFonts w:ascii="Book Antiqua" w:hAnsi="Book Antiqua"/>
          <w:b/>
          <w:sz w:val="24"/>
        </w:rPr>
        <w:t xml:space="preserve"> </w:t>
      </w:r>
    </w:p>
    <w:p w:rsidR="00510107" w:rsidRPr="001659B8" w:rsidRDefault="002E702A">
      <w:pPr>
        <w:adjustRightInd w:val="0"/>
        <w:snapToGrid w:val="0"/>
        <w:spacing w:after="0" w:line="360" w:lineRule="auto"/>
        <w:outlineLvl w:val="0"/>
        <w:rPr>
          <w:rFonts w:ascii="Book Antiqua" w:hAnsi="Book Antiqua"/>
          <w:b/>
          <w:sz w:val="24"/>
        </w:rPr>
      </w:pPr>
      <w:r w:rsidRPr="001659B8">
        <w:rPr>
          <w:rFonts w:ascii="Book Antiqua" w:hAnsi="Book Antiqua"/>
          <w:b/>
          <w:sz w:val="24"/>
        </w:rPr>
        <w:t>Article in press:</w:t>
      </w:r>
      <w:r w:rsidR="00A447D7" w:rsidRPr="001659B8">
        <w:rPr>
          <w:rFonts w:ascii="Book Antiqua" w:hAnsi="Book Antiqua" w:hint="eastAsia"/>
          <w:b/>
          <w:sz w:val="24"/>
        </w:rPr>
        <w:t xml:space="preserve"> </w:t>
      </w:r>
      <w:r w:rsidR="00A447D7" w:rsidRPr="001659B8">
        <w:rPr>
          <w:rFonts w:ascii="Book Antiqua" w:hAnsi="Book Antiqua"/>
          <w:sz w:val="24"/>
        </w:rPr>
        <w:t>January 14, 2019</w:t>
      </w:r>
    </w:p>
    <w:p w:rsidR="00510107" w:rsidRPr="001659B8" w:rsidRDefault="002E702A">
      <w:pPr>
        <w:adjustRightInd w:val="0"/>
        <w:snapToGrid w:val="0"/>
        <w:spacing w:after="0" w:line="360" w:lineRule="auto"/>
        <w:outlineLvl w:val="0"/>
        <w:rPr>
          <w:rFonts w:ascii="Book Antiqua" w:hAnsi="Book Antiqua"/>
          <w:bCs/>
          <w:color w:val="000000" w:themeColor="text1"/>
          <w:sz w:val="24"/>
        </w:rPr>
      </w:pPr>
      <w:r w:rsidRPr="001659B8">
        <w:rPr>
          <w:rFonts w:ascii="Book Antiqua" w:hAnsi="Book Antiqua"/>
          <w:b/>
          <w:sz w:val="24"/>
        </w:rPr>
        <w:t>Published online:</w:t>
      </w:r>
      <w:bookmarkEnd w:id="43"/>
      <w:bookmarkEnd w:id="44"/>
      <w:bookmarkEnd w:id="45"/>
      <w:bookmarkEnd w:id="46"/>
      <w:r w:rsidR="00A447D7" w:rsidRPr="001659B8">
        <w:rPr>
          <w:rFonts w:ascii="Book Antiqua" w:hAnsi="Book Antiqua" w:hint="eastAsia"/>
          <w:b/>
          <w:sz w:val="24"/>
        </w:rPr>
        <w:t xml:space="preserve"> </w:t>
      </w:r>
      <w:r w:rsidR="00A447D7" w:rsidRPr="001659B8">
        <w:rPr>
          <w:rFonts w:ascii="Book Antiqua" w:hAnsi="Book Antiqua"/>
          <w:sz w:val="24"/>
        </w:rPr>
        <w:t>February 7, 2019</w:t>
      </w:r>
    </w:p>
    <w:p w:rsidR="00510107" w:rsidRPr="001659B8" w:rsidRDefault="002E702A">
      <w:pPr>
        <w:widowControl/>
        <w:adjustRightInd w:val="0"/>
        <w:snapToGrid w:val="0"/>
        <w:spacing w:after="0" w:line="360" w:lineRule="auto"/>
        <w:rPr>
          <w:rFonts w:ascii="Book Antiqua" w:hAnsi="Book Antiqua"/>
          <w:b/>
          <w:color w:val="000000" w:themeColor="text1"/>
          <w:sz w:val="24"/>
        </w:rPr>
      </w:pPr>
      <w:r w:rsidRPr="001659B8">
        <w:rPr>
          <w:rFonts w:ascii="Book Antiqua" w:hAnsi="Book Antiqua"/>
          <w:b/>
          <w:color w:val="000000" w:themeColor="text1"/>
          <w:sz w:val="24"/>
        </w:rPr>
        <w:br w:type="page"/>
      </w:r>
    </w:p>
    <w:p w:rsidR="00510107" w:rsidRPr="001659B8" w:rsidRDefault="002E702A">
      <w:pPr>
        <w:adjustRightInd w:val="0"/>
        <w:snapToGrid w:val="0"/>
        <w:spacing w:after="0" w:line="360" w:lineRule="auto"/>
        <w:outlineLvl w:val="0"/>
        <w:rPr>
          <w:rFonts w:ascii="Book Antiqua" w:hAnsi="Book Antiqua"/>
          <w:b/>
          <w:color w:val="000000" w:themeColor="text1"/>
          <w:sz w:val="24"/>
        </w:rPr>
      </w:pPr>
      <w:r w:rsidRPr="001659B8">
        <w:rPr>
          <w:rFonts w:ascii="Book Antiqua" w:hAnsi="Book Antiqua"/>
          <w:b/>
          <w:color w:val="000000" w:themeColor="text1"/>
          <w:sz w:val="24"/>
        </w:rPr>
        <w:lastRenderedPageBreak/>
        <w:t>Abstract</w:t>
      </w:r>
    </w:p>
    <w:p w:rsidR="00510107" w:rsidRPr="001659B8" w:rsidRDefault="002E702A">
      <w:pPr>
        <w:adjustRightInd w:val="0"/>
        <w:snapToGrid w:val="0"/>
        <w:spacing w:after="0" w:line="360" w:lineRule="auto"/>
        <w:outlineLvl w:val="0"/>
        <w:rPr>
          <w:rFonts w:ascii="Book Antiqua" w:hAnsi="Book Antiqua"/>
          <w:i/>
          <w:iCs/>
          <w:color w:val="000000" w:themeColor="text1"/>
          <w:sz w:val="24"/>
        </w:rPr>
      </w:pPr>
      <w:bookmarkStart w:id="47" w:name="OLE_LINK318"/>
      <w:r w:rsidRPr="001659B8">
        <w:rPr>
          <w:rFonts w:ascii="Book Antiqua" w:hAnsi="Book Antiqua"/>
          <w:b/>
          <w:i/>
          <w:color w:val="000000" w:themeColor="text1"/>
          <w:sz w:val="24"/>
        </w:rPr>
        <w:t>BACKGROUND</w:t>
      </w:r>
      <w:r w:rsidRPr="001659B8">
        <w:rPr>
          <w:rFonts w:ascii="Book Antiqua" w:hAnsi="Book Antiqua"/>
          <w:b/>
          <w:color w:val="000000" w:themeColor="text1"/>
          <w:sz w:val="24"/>
        </w:rPr>
        <w:t xml:space="preserve"> </w:t>
      </w:r>
      <w:bookmarkEnd w:id="47"/>
    </w:p>
    <w:p w:rsidR="00510107" w:rsidRPr="001659B8" w:rsidRDefault="002E702A">
      <w:pPr>
        <w:adjustRightInd w:val="0"/>
        <w:snapToGrid w:val="0"/>
        <w:spacing w:after="0" w:line="360" w:lineRule="auto"/>
        <w:rPr>
          <w:rFonts w:ascii="Book Antiqua" w:hAnsi="Book Antiqua" w:cs="Segoe UI"/>
          <w:b/>
          <w:caps/>
          <w:color w:val="000000" w:themeColor="text1"/>
          <w:sz w:val="24"/>
          <w:shd w:val="clear" w:color="auto" w:fill="FFFFFF"/>
        </w:rPr>
      </w:pPr>
      <w:r w:rsidRPr="001659B8">
        <w:rPr>
          <w:rFonts w:ascii="Book Antiqua" w:hAnsi="Book Antiqua"/>
          <w:color w:val="000000" w:themeColor="text1"/>
          <w:sz w:val="24"/>
        </w:rPr>
        <w:t>The Liver Imaging Reporting and Data System (LI-RADS), supported by the American College of Radiology (ACR), has been developed for standardizing the acquisition, interpretation, reporting, and data collection of liver imaging examinations in patients at risk for hepatocellular carcinoma (HCC). Diffusion-weighted imaging (DWI), which is described as an ancillary imaging feature of LI-RADS, can improve the diagnostic efficiency of LI-RADS v2017 with gadoxetic acid-enhanced magnetic resonance imaging (MRI) for HCC.</w:t>
      </w:r>
    </w:p>
    <w:p w:rsidR="00510107" w:rsidRPr="001659B8" w:rsidRDefault="00510107">
      <w:pPr>
        <w:adjustRightInd w:val="0"/>
        <w:snapToGrid w:val="0"/>
        <w:spacing w:after="0" w:line="360" w:lineRule="auto"/>
        <w:rPr>
          <w:rFonts w:ascii="Book Antiqua" w:hAnsi="Book Antiqua" w:cs="Segoe UI"/>
          <w:b/>
          <w:caps/>
          <w:color w:val="000000" w:themeColor="text1"/>
          <w:sz w:val="24"/>
          <w:shd w:val="clear" w:color="auto" w:fill="FFFFFF"/>
        </w:rPr>
      </w:pPr>
    </w:p>
    <w:p w:rsidR="00510107" w:rsidRPr="001659B8" w:rsidRDefault="002E702A">
      <w:pPr>
        <w:adjustRightInd w:val="0"/>
        <w:snapToGrid w:val="0"/>
        <w:spacing w:after="0" w:line="360" w:lineRule="auto"/>
        <w:outlineLvl w:val="0"/>
        <w:rPr>
          <w:rFonts w:ascii="Book Antiqua" w:hAnsi="Book Antiqua"/>
          <w:b/>
          <w:i/>
          <w:iCs/>
          <w:color w:val="000000" w:themeColor="text1"/>
          <w:sz w:val="24"/>
        </w:rPr>
      </w:pPr>
      <w:r w:rsidRPr="001659B8">
        <w:rPr>
          <w:rFonts w:ascii="Book Antiqua" w:hAnsi="Book Antiqua"/>
          <w:b/>
          <w:i/>
          <w:iCs/>
          <w:color w:val="000000" w:themeColor="text1"/>
          <w:sz w:val="24"/>
        </w:rPr>
        <w:t>AIM</w:t>
      </w:r>
    </w:p>
    <w:p w:rsidR="00510107" w:rsidRPr="001659B8" w:rsidRDefault="002E702A">
      <w:pPr>
        <w:adjustRightInd w:val="0"/>
        <w:snapToGrid w:val="0"/>
        <w:spacing w:after="0" w:line="360" w:lineRule="auto"/>
        <w:rPr>
          <w:rFonts w:ascii="Book Antiqua" w:hAnsi="Book Antiqua"/>
          <w:color w:val="000000" w:themeColor="text1"/>
          <w:sz w:val="24"/>
        </w:rPr>
      </w:pPr>
      <w:proofErr w:type="gramStart"/>
      <w:r w:rsidRPr="001659B8">
        <w:rPr>
          <w:rFonts w:ascii="Book Antiqua" w:hAnsi="Book Antiqua"/>
          <w:color w:val="000000" w:themeColor="text1"/>
          <w:sz w:val="24"/>
        </w:rPr>
        <w:t>To determine whether the use of DWI can improve the diagnostic efficiency of LI-RADS v2017 with gadoxetic acid-enhanced magnetic resonance MRI for HCC.</w:t>
      </w:r>
      <w:proofErr w:type="gramEnd"/>
    </w:p>
    <w:p w:rsidR="00510107" w:rsidRPr="001659B8" w:rsidRDefault="00510107">
      <w:pPr>
        <w:adjustRightInd w:val="0"/>
        <w:snapToGrid w:val="0"/>
        <w:spacing w:after="0" w:line="360" w:lineRule="auto"/>
        <w:rPr>
          <w:rFonts w:ascii="Book Antiqua" w:hAnsi="Book Antiqua"/>
          <w:b/>
          <w:bCs/>
          <w:i/>
          <w:iCs/>
          <w:color w:val="000000" w:themeColor="text1"/>
          <w:sz w:val="24"/>
        </w:rPr>
      </w:pPr>
    </w:p>
    <w:p w:rsidR="00510107" w:rsidRPr="001659B8" w:rsidRDefault="002E702A">
      <w:pPr>
        <w:adjustRightInd w:val="0"/>
        <w:snapToGrid w:val="0"/>
        <w:spacing w:after="0" w:line="360" w:lineRule="auto"/>
        <w:outlineLvl w:val="0"/>
        <w:rPr>
          <w:rFonts w:ascii="Book Antiqua" w:hAnsi="Book Antiqua"/>
          <w:color w:val="000000" w:themeColor="text1"/>
          <w:sz w:val="24"/>
        </w:rPr>
      </w:pPr>
      <w:r w:rsidRPr="001659B8">
        <w:rPr>
          <w:rFonts w:ascii="Book Antiqua" w:hAnsi="Book Antiqua"/>
          <w:b/>
          <w:bCs/>
          <w:i/>
          <w:iCs/>
          <w:color w:val="000000" w:themeColor="text1"/>
          <w:sz w:val="24"/>
        </w:rPr>
        <w:t>METHODS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In this institutional review board-approved study, 245 observations of high risk of HCC were retrospectively acquired from 203 patients who underwent gadoxetic acid-enhanced MRI from October 2013 to April 2018. Two readers independently measured the maximum diameter and recorded the presence of each lesion and assigned scores according to LI-RADS v2017. The test was used to determine the agreement between the two readers with or without DWI. In addition, the sensitivity (SE), specificity (SP), accuracy (AC), positive predictive value (PPV), and negative predictive value (NPV) of LI-RADS were calculated. Youden index values were used to compare the diagnostic performance of LI-RADS with or without DWI.</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bCs/>
          <w:i/>
          <w:iCs/>
          <w:color w:val="000000" w:themeColor="text1"/>
          <w:sz w:val="24"/>
        </w:rPr>
      </w:pPr>
      <w:r w:rsidRPr="001659B8">
        <w:rPr>
          <w:rFonts w:ascii="Book Antiqua" w:hAnsi="Book Antiqua"/>
          <w:b/>
          <w:bCs/>
          <w:i/>
          <w:iCs/>
          <w:color w:val="000000" w:themeColor="text1"/>
          <w:sz w:val="24"/>
        </w:rPr>
        <w:t>RESULTS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Almost perfect interobserver agreement was obtained for the categorization of observations with LI-RADS (</w:t>
      </w:r>
      <w:r w:rsidRPr="001659B8">
        <w:rPr>
          <w:rFonts w:ascii="Book Antiqua" w:hAnsi="Book Antiqua"/>
          <w:i/>
          <w:color w:val="000000" w:themeColor="text1"/>
          <w:sz w:val="24"/>
        </w:rPr>
        <w:t>kappa</w:t>
      </w:r>
      <w:r w:rsidRPr="001659B8">
        <w:rPr>
          <w:rFonts w:ascii="Book Antiqua" w:hAnsi="Book Antiqua"/>
          <w:color w:val="000000" w:themeColor="text1"/>
          <w:sz w:val="24"/>
        </w:rPr>
        <w:t xml:space="preserve"> value: 0.813 without DWI and 0.882 with </w:t>
      </w:r>
      <w:r w:rsidRPr="001659B8">
        <w:rPr>
          <w:rFonts w:ascii="Book Antiqua" w:hAnsi="Book Antiqua"/>
          <w:color w:val="000000" w:themeColor="text1"/>
          <w:sz w:val="24"/>
        </w:rPr>
        <w:lastRenderedPageBreak/>
        <w:t xml:space="preserve">DWI). For LR-5, the diagnostic SE, SP, and AC values were 61.2%, 92.5%, and 71.4%, respectively, with or without DWI; for LR-4/5, they were 73.9%, 80%, and 75.9% without DWI and 87.9%, 80%, and 85.3% with DWI; for LR-4/5/M, they were 75.8%, 58.8%, and 70.2% without DWI and 87.9%, 58.8%, and 78.4% with DWI; for LR- 4/5/TIV, they were 75.8%, 75%, and 75.5% without DWI and 89.7%, 75%, and 84.9% with DWI. The Youden index values of the LI-RADS classification without or with DWI were as follows: LR-4/5: 0.539 </w:t>
      </w:r>
      <w:r w:rsidRPr="001659B8">
        <w:rPr>
          <w:rFonts w:ascii="Book Antiqua" w:hAnsi="Book Antiqua"/>
          <w:i/>
          <w:color w:val="000000" w:themeColor="text1"/>
          <w:sz w:val="24"/>
        </w:rPr>
        <w:t xml:space="preserve">vs </w:t>
      </w:r>
      <w:r w:rsidRPr="001659B8">
        <w:rPr>
          <w:rFonts w:ascii="Book Antiqua" w:hAnsi="Book Antiqua"/>
          <w:color w:val="000000" w:themeColor="text1"/>
          <w:sz w:val="24"/>
        </w:rPr>
        <w:t xml:space="preserve">0.679; LR-4/5/M: 0.346 </w:t>
      </w:r>
      <w:r w:rsidRPr="001659B8">
        <w:rPr>
          <w:rFonts w:ascii="Book Antiqua" w:hAnsi="Book Antiqua"/>
          <w:i/>
          <w:color w:val="000000" w:themeColor="text1"/>
          <w:sz w:val="24"/>
        </w:rPr>
        <w:t xml:space="preserve">vs </w:t>
      </w:r>
      <w:r w:rsidRPr="001659B8">
        <w:rPr>
          <w:rFonts w:ascii="Book Antiqua" w:hAnsi="Book Antiqua"/>
          <w:color w:val="000000" w:themeColor="text1"/>
          <w:sz w:val="24"/>
        </w:rPr>
        <w:t xml:space="preserve">0.467; and LR-4/5/TIV: 0.508 </w:t>
      </w:r>
      <w:r w:rsidRPr="001659B8">
        <w:rPr>
          <w:rFonts w:ascii="Book Antiqua" w:hAnsi="Book Antiqua"/>
          <w:i/>
          <w:color w:val="000000" w:themeColor="text1"/>
          <w:sz w:val="24"/>
        </w:rPr>
        <w:t>vs</w:t>
      </w:r>
      <w:r w:rsidRPr="001659B8">
        <w:rPr>
          <w:rFonts w:ascii="Book Antiqua" w:hAnsi="Book Antiqua"/>
          <w:color w:val="000000" w:themeColor="text1"/>
          <w:sz w:val="24"/>
        </w:rPr>
        <w:t xml:space="preserve"> 0.647.</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i/>
          <w:iCs/>
          <w:color w:val="000000" w:themeColor="text1"/>
          <w:sz w:val="24"/>
        </w:rPr>
      </w:pPr>
      <w:r w:rsidRPr="001659B8">
        <w:rPr>
          <w:rFonts w:ascii="Book Antiqua" w:hAnsi="Book Antiqua"/>
          <w:b/>
          <w:bCs/>
          <w:i/>
          <w:iCs/>
          <w:color w:val="000000" w:themeColor="text1"/>
          <w:sz w:val="24"/>
        </w:rPr>
        <w:t>CONCLUSION</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LI-RADS v2017 has been successfully applied with gadoxetate-enhanced MRI for patients at high risk for HCC. The addition of DWI significantly increases the diagnostic efficiency for HCC.</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b/>
          <w:bCs/>
          <w:color w:val="000000" w:themeColor="text1"/>
          <w:sz w:val="24"/>
        </w:rPr>
        <w:t>Key words:</w:t>
      </w:r>
      <w:r w:rsidRPr="001659B8">
        <w:rPr>
          <w:rFonts w:ascii="Book Antiqua" w:hAnsi="Book Antiqua"/>
          <w:color w:val="000000" w:themeColor="text1"/>
          <w:sz w:val="24"/>
        </w:rPr>
        <w:t xml:space="preserve"> Hepatocellular carcinoma; Liver Imaging Reporting and Data System; Magnetic resonance imaging; Diffusion-weighted imaging; Diagnosis</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rPr>
          <w:rFonts w:ascii="Book Antiqua" w:hAnsi="Book Antiqua"/>
          <w:sz w:val="24"/>
        </w:rPr>
      </w:pPr>
      <w:bookmarkStart w:id="48" w:name="OLE_LINK44"/>
      <w:bookmarkStart w:id="49" w:name="OLE_LINK43"/>
      <w:proofErr w:type="gramStart"/>
      <w:r w:rsidRPr="001659B8">
        <w:rPr>
          <w:rFonts w:ascii="Book Antiqua" w:hAnsi="Book Antiqua"/>
          <w:b/>
          <w:sz w:val="24"/>
        </w:rPr>
        <w:t>© The Author(s) 201</w:t>
      </w:r>
      <w:r w:rsidRPr="001659B8">
        <w:rPr>
          <w:rFonts w:ascii="Book Antiqua" w:hAnsi="Book Antiqua" w:hint="eastAsia"/>
          <w:b/>
          <w:sz w:val="24"/>
        </w:rPr>
        <w:t>9</w:t>
      </w:r>
      <w:r w:rsidRPr="001659B8">
        <w:rPr>
          <w:rFonts w:ascii="Book Antiqua" w:hAnsi="Book Antiqua"/>
          <w:b/>
          <w:sz w:val="24"/>
        </w:rPr>
        <w:t>.</w:t>
      </w:r>
      <w:proofErr w:type="gramEnd"/>
      <w:r w:rsidRPr="001659B8">
        <w:rPr>
          <w:rFonts w:ascii="Book Antiqua" w:hAnsi="Book Antiqua"/>
          <w:b/>
          <w:sz w:val="24"/>
        </w:rPr>
        <w:t xml:space="preserve"> </w:t>
      </w:r>
      <w:proofErr w:type="gramStart"/>
      <w:r w:rsidRPr="001659B8">
        <w:rPr>
          <w:rFonts w:ascii="Book Antiqua" w:hAnsi="Book Antiqua"/>
          <w:sz w:val="24"/>
        </w:rPr>
        <w:t>Published by Baishideng Publishing Group Inc.</w:t>
      </w:r>
      <w:proofErr w:type="gramEnd"/>
      <w:r w:rsidRPr="001659B8">
        <w:rPr>
          <w:rFonts w:ascii="Book Antiqua" w:hAnsi="Book Antiqua"/>
          <w:sz w:val="24"/>
        </w:rPr>
        <w:t xml:space="preserve"> All rights reserved.</w:t>
      </w:r>
      <w:bookmarkEnd w:id="48"/>
      <w:bookmarkEnd w:id="49"/>
    </w:p>
    <w:p w:rsidR="00510107" w:rsidRPr="001659B8" w:rsidRDefault="00510107">
      <w:pPr>
        <w:adjustRightInd w:val="0"/>
        <w:snapToGrid w:val="0"/>
        <w:spacing w:after="0" w:line="360" w:lineRule="auto"/>
        <w:rPr>
          <w:rFonts w:ascii="Book Antiqua" w:hAnsi="Book Antiqua"/>
          <w:b/>
          <w:bCs/>
          <w:color w:val="000000" w:themeColor="text1"/>
          <w:sz w:val="24"/>
        </w:rPr>
      </w:pP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b/>
          <w:bCs/>
          <w:color w:val="000000" w:themeColor="text1"/>
          <w:sz w:val="24"/>
        </w:rPr>
        <w:t xml:space="preserve">Core tip: </w:t>
      </w:r>
      <w:r w:rsidRPr="001659B8">
        <w:rPr>
          <w:rFonts w:ascii="Book Antiqua" w:hAnsi="Book Antiqua"/>
          <w:color w:val="000000" w:themeColor="text1"/>
          <w:sz w:val="24"/>
        </w:rPr>
        <w:t>The aim of this study was to determine whether the use of diffusion-weighted imaging (DWI) improves the diagnostic efficiency</w:t>
      </w:r>
      <w:r w:rsidR="00EF211E" w:rsidRPr="001659B8">
        <w:rPr>
          <w:rFonts w:ascii="Book Antiqua" w:hAnsi="Book Antiqua"/>
          <w:color w:val="000000" w:themeColor="text1"/>
          <w:sz w:val="24"/>
        </w:rPr>
        <w:t xml:space="preserve"> </w:t>
      </w:r>
      <w:r w:rsidRPr="001659B8">
        <w:rPr>
          <w:rFonts w:ascii="Book Antiqua" w:hAnsi="Book Antiqua"/>
          <w:color w:val="000000" w:themeColor="text1"/>
          <w:sz w:val="24"/>
        </w:rPr>
        <w:t xml:space="preserve">of the Liver Imaging Reporting and Data System (LI-RADS) v2017 with gadoxetic acid-enhanced magnetic resonance (MR) for hepatocellular carcinoma (HCC). A total of 245 observations in 203 patients were analyzed. The Youden index values of the LI-RADS classification without or with DWI were as follows: LR-4/5: 0.539 </w:t>
      </w:r>
      <w:r w:rsidRPr="001659B8">
        <w:rPr>
          <w:rFonts w:ascii="Book Antiqua" w:hAnsi="Book Antiqua"/>
          <w:i/>
          <w:color w:val="000000" w:themeColor="text1"/>
          <w:sz w:val="24"/>
        </w:rPr>
        <w:t>vs</w:t>
      </w:r>
      <w:r w:rsidRPr="001659B8">
        <w:rPr>
          <w:rFonts w:ascii="Book Antiqua" w:hAnsi="Book Antiqua"/>
          <w:color w:val="000000" w:themeColor="text1"/>
          <w:sz w:val="24"/>
        </w:rPr>
        <w:t xml:space="preserve"> 0.679; LR-4/5/M: 0.346 </w:t>
      </w:r>
      <w:r w:rsidRPr="001659B8">
        <w:rPr>
          <w:rFonts w:ascii="Book Antiqua" w:hAnsi="Book Antiqua"/>
          <w:i/>
          <w:color w:val="000000" w:themeColor="text1"/>
          <w:sz w:val="24"/>
        </w:rPr>
        <w:t>vs</w:t>
      </w:r>
      <w:r w:rsidRPr="001659B8">
        <w:rPr>
          <w:rFonts w:ascii="Book Antiqua" w:hAnsi="Book Antiqua"/>
          <w:color w:val="000000" w:themeColor="text1"/>
          <w:sz w:val="24"/>
        </w:rPr>
        <w:t xml:space="preserve"> 0.467; and LR-4/5/TIV: 0.508 </w:t>
      </w:r>
      <w:r w:rsidRPr="001659B8">
        <w:rPr>
          <w:rFonts w:ascii="Book Antiqua" w:hAnsi="Book Antiqua"/>
          <w:i/>
          <w:color w:val="000000" w:themeColor="text1"/>
          <w:sz w:val="24"/>
        </w:rPr>
        <w:t xml:space="preserve">vs </w:t>
      </w:r>
      <w:r w:rsidRPr="001659B8">
        <w:rPr>
          <w:rFonts w:ascii="Book Antiqua" w:hAnsi="Book Antiqua"/>
          <w:color w:val="000000" w:themeColor="text1"/>
          <w:sz w:val="24"/>
        </w:rPr>
        <w:t xml:space="preserve">0.647. Using LI-RADS v2017 </w:t>
      </w:r>
      <w:r w:rsidR="00466CB5" w:rsidRPr="001659B8">
        <w:rPr>
          <w:rFonts w:ascii="Book Antiqua" w:hAnsi="Book Antiqua"/>
          <w:color w:val="000000" w:themeColor="text1"/>
          <w:sz w:val="24"/>
        </w:rPr>
        <w:t>with</w:t>
      </w:r>
      <w:r w:rsidRPr="001659B8">
        <w:rPr>
          <w:rFonts w:ascii="Book Antiqua" w:hAnsi="Book Antiqua"/>
          <w:color w:val="000000" w:themeColor="text1"/>
          <w:sz w:val="24"/>
        </w:rPr>
        <w:t xml:space="preserve"> gadoxetic acid-enhanced MR combined with DWI may result in a more accurate diagnosis of HCC.</w:t>
      </w:r>
    </w:p>
    <w:p w:rsidR="00510107" w:rsidRPr="001659B8" w:rsidRDefault="00510107">
      <w:pPr>
        <w:adjustRightInd w:val="0"/>
        <w:snapToGrid w:val="0"/>
        <w:spacing w:after="0" w:line="360" w:lineRule="auto"/>
        <w:rPr>
          <w:rFonts w:ascii="Book Antiqua" w:hAnsi="Book Antiqua"/>
          <w:color w:val="000000" w:themeColor="text1"/>
          <w:sz w:val="24"/>
        </w:rPr>
      </w:pPr>
    </w:p>
    <w:p w:rsidR="00A447D7" w:rsidRPr="001659B8" w:rsidRDefault="00A447D7" w:rsidP="00A447D7">
      <w:pPr>
        <w:spacing w:line="360" w:lineRule="auto"/>
        <w:contextualSpacing/>
        <w:rPr>
          <w:rFonts w:ascii="Book Antiqua" w:hAnsi="Book Antiqua" w:hint="eastAsia"/>
          <w:bCs/>
          <w:color w:val="000000" w:themeColor="text1"/>
          <w:sz w:val="24"/>
        </w:rPr>
      </w:pPr>
      <w:bookmarkStart w:id="50" w:name="OLE_LINK95"/>
      <w:bookmarkStart w:id="51" w:name="OLE_LINK53"/>
      <w:bookmarkStart w:id="52" w:name="OLE_LINK48"/>
      <w:bookmarkStart w:id="53" w:name="OLE_LINK289"/>
      <w:bookmarkStart w:id="54" w:name="OLE_LINK494"/>
      <w:bookmarkStart w:id="55" w:name="OLE_LINK47"/>
      <w:r w:rsidRPr="001659B8">
        <w:rPr>
          <w:rFonts w:ascii="Book Antiqua" w:hAnsi="Book Antiqua"/>
          <w:b/>
          <w:color w:val="000000" w:themeColor="text1"/>
          <w:sz w:val="24"/>
        </w:rPr>
        <w:t>Citation:</w:t>
      </w:r>
      <w:r w:rsidRPr="001659B8">
        <w:rPr>
          <w:rFonts w:ascii="Book Antiqua" w:hAnsi="Book Antiqua" w:hint="eastAsia"/>
          <w:color w:val="000000" w:themeColor="text1"/>
          <w:sz w:val="24"/>
        </w:rPr>
        <w:t xml:space="preserve"> </w:t>
      </w:r>
      <w:r w:rsidRPr="001659B8">
        <w:rPr>
          <w:rFonts w:ascii="Book Antiqua" w:hAnsi="Book Antiqua"/>
          <w:color w:val="000000" w:themeColor="text1"/>
          <w:sz w:val="24"/>
        </w:rPr>
        <w:t xml:space="preserve">Zhang T, Huang ZX, Wei Y, Jiang HY, Chen J, Liu XJ, Cao LK, Duan </w:t>
      </w:r>
      <w:r w:rsidRPr="001659B8">
        <w:rPr>
          <w:rFonts w:ascii="Book Antiqua" w:hAnsi="Book Antiqua"/>
          <w:color w:val="000000" w:themeColor="text1"/>
          <w:sz w:val="24"/>
        </w:rPr>
        <w:lastRenderedPageBreak/>
        <w:t xml:space="preserve">T, He XP, </w:t>
      </w:r>
      <w:proofErr w:type="gramStart"/>
      <w:r w:rsidRPr="001659B8">
        <w:rPr>
          <w:rFonts w:ascii="Book Antiqua" w:hAnsi="Book Antiqua"/>
          <w:color w:val="000000" w:themeColor="text1"/>
          <w:sz w:val="24"/>
        </w:rPr>
        <w:t>Xia</w:t>
      </w:r>
      <w:proofErr w:type="gramEnd"/>
      <w:r w:rsidRPr="001659B8">
        <w:rPr>
          <w:rFonts w:ascii="Book Antiqua" w:hAnsi="Book Antiqua"/>
          <w:color w:val="000000" w:themeColor="text1"/>
          <w:sz w:val="24"/>
        </w:rPr>
        <w:t xml:space="preserve"> CC, Song B</w:t>
      </w:r>
      <w:bookmarkStart w:id="56" w:name="OLE_LINK108"/>
      <w:bookmarkStart w:id="57" w:name="OLE_LINK109"/>
      <w:r w:rsidRPr="001659B8">
        <w:rPr>
          <w:rFonts w:ascii="Book Antiqua" w:hAnsi="Book Antiqua"/>
          <w:color w:val="000000" w:themeColor="text1"/>
          <w:sz w:val="24"/>
        </w:rPr>
        <w:t>.</w:t>
      </w:r>
      <w:bookmarkEnd w:id="50"/>
      <w:r w:rsidRPr="001659B8">
        <w:rPr>
          <w:rFonts w:ascii="Book Antiqua" w:hAnsi="Book Antiqua"/>
          <w:color w:val="000000" w:themeColor="text1"/>
          <w:sz w:val="24"/>
        </w:rPr>
        <w:t xml:space="preserve"> </w:t>
      </w:r>
      <w:bookmarkStart w:id="58" w:name="OLE_LINK1107"/>
      <w:bookmarkStart w:id="59" w:name="OLE_LINK1105"/>
      <w:bookmarkEnd w:id="51"/>
      <w:r w:rsidRPr="001659B8">
        <w:rPr>
          <w:rFonts w:ascii="Book Antiqua" w:hAnsi="Book Antiqua"/>
          <w:color w:val="000000" w:themeColor="text1"/>
          <w:sz w:val="24"/>
        </w:rPr>
        <w:t xml:space="preserve">Hepatocellular carcinoma: Can LI-RADS v2017 with gadoxetic-acid enhancement magnetic resonance and diffusion-weighted imaging improve diagnostic accuracy? </w:t>
      </w:r>
      <w:bookmarkEnd w:id="52"/>
      <w:bookmarkEnd w:id="53"/>
      <w:bookmarkEnd w:id="54"/>
      <w:bookmarkEnd w:id="55"/>
      <w:bookmarkEnd w:id="56"/>
      <w:bookmarkEnd w:id="57"/>
      <w:bookmarkEnd w:id="58"/>
      <w:bookmarkEnd w:id="59"/>
      <w:r w:rsidRPr="001659B8">
        <w:rPr>
          <w:rFonts w:ascii="Book Antiqua" w:hAnsi="Book Antiqua"/>
          <w:bCs/>
          <w:i/>
          <w:color w:val="000000" w:themeColor="text1"/>
          <w:sz w:val="24"/>
        </w:rPr>
        <w:t>World J Gastroenterol</w:t>
      </w:r>
      <w:r w:rsidRPr="001659B8">
        <w:rPr>
          <w:rFonts w:ascii="Book Antiqua" w:hAnsi="Book Antiqua"/>
          <w:bCs/>
          <w:color w:val="000000" w:themeColor="text1"/>
          <w:sz w:val="24"/>
        </w:rPr>
        <w:t xml:space="preserve"> 2019; 25(5): 622-631  </w:t>
      </w:r>
    </w:p>
    <w:p w:rsidR="00A447D7" w:rsidRPr="001659B8" w:rsidRDefault="00A447D7" w:rsidP="00A447D7">
      <w:pPr>
        <w:spacing w:line="360" w:lineRule="auto"/>
        <w:contextualSpacing/>
        <w:rPr>
          <w:rFonts w:ascii="Book Antiqua" w:hAnsi="Book Antiqua" w:hint="eastAsia"/>
          <w:bCs/>
          <w:color w:val="000000" w:themeColor="text1"/>
          <w:sz w:val="24"/>
        </w:rPr>
      </w:pPr>
      <w:r w:rsidRPr="001659B8">
        <w:rPr>
          <w:rFonts w:ascii="Book Antiqua" w:hAnsi="Book Antiqua"/>
          <w:b/>
          <w:bCs/>
          <w:color w:val="000000" w:themeColor="text1"/>
          <w:sz w:val="24"/>
        </w:rPr>
        <w:t xml:space="preserve">URL: </w:t>
      </w:r>
      <w:r w:rsidRPr="001659B8">
        <w:rPr>
          <w:rFonts w:ascii="Book Antiqua" w:hAnsi="Book Antiqua"/>
          <w:bCs/>
          <w:color w:val="000000" w:themeColor="text1"/>
          <w:sz w:val="24"/>
        </w:rPr>
        <w:t xml:space="preserve">https://www.wjgnet.com/1007-9327/full/v25/i5/622.htm  </w:t>
      </w:r>
    </w:p>
    <w:p w:rsidR="00A447D7" w:rsidRPr="001659B8" w:rsidRDefault="00A447D7" w:rsidP="00A447D7">
      <w:pPr>
        <w:spacing w:line="360" w:lineRule="auto"/>
        <w:contextualSpacing/>
        <w:rPr>
          <w:rFonts w:ascii="Book Antiqua" w:hAnsi="Book Antiqua"/>
          <w:bCs/>
          <w:color w:val="000000" w:themeColor="text1"/>
          <w:sz w:val="24"/>
        </w:rPr>
      </w:pPr>
      <w:r w:rsidRPr="001659B8">
        <w:rPr>
          <w:rFonts w:ascii="Book Antiqua" w:hAnsi="Book Antiqua"/>
          <w:b/>
          <w:bCs/>
          <w:color w:val="000000" w:themeColor="text1"/>
          <w:sz w:val="24"/>
        </w:rPr>
        <w:t>DOI:</w:t>
      </w:r>
      <w:r w:rsidRPr="001659B8">
        <w:rPr>
          <w:rFonts w:ascii="Book Antiqua" w:hAnsi="Book Antiqua"/>
          <w:bCs/>
          <w:color w:val="000000" w:themeColor="text1"/>
          <w:sz w:val="24"/>
        </w:rPr>
        <w:t xml:space="preserve"> https://dx.doi.org/10.3748/wjg.v25.i5.622</w:t>
      </w:r>
    </w:p>
    <w:p w:rsidR="00510107" w:rsidRPr="001659B8" w:rsidRDefault="002E702A">
      <w:pPr>
        <w:widowControl/>
        <w:spacing w:after="0" w:line="240" w:lineRule="auto"/>
        <w:jc w:val="left"/>
        <w:rPr>
          <w:rFonts w:ascii="Book Antiqua" w:hAnsi="Book Antiqua"/>
          <w:b/>
          <w:bCs/>
          <w:color w:val="000000" w:themeColor="text1"/>
          <w:sz w:val="24"/>
        </w:rPr>
      </w:pPr>
      <w:r w:rsidRPr="001659B8">
        <w:rPr>
          <w:rFonts w:ascii="Book Antiqua" w:hAnsi="Book Antiqua"/>
          <w:b/>
          <w:bCs/>
          <w:color w:val="000000" w:themeColor="text1"/>
          <w:sz w:val="24"/>
        </w:rPr>
        <w:br w:type="page"/>
      </w:r>
    </w:p>
    <w:p w:rsidR="00510107" w:rsidRPr="001659B8" w:rsidRDefault="002E702A">
      <w:pPr>
        <w:adjustRightInd w:val="0"/>
        <w:snapToGrid w:val="0"/>
        <w:spacing w:after="0" w:line="360" w:lineRule="auto"/>
        <w:outlineLvl w:val="0"/>
        <w:rPr>
          <w:rFonts w:ascii="Book Antiqua" w:hAnsi="Book Antiqua"/>
          <w:b/>
          <w:bCs/>
          <w:color w:val="000000" w:themeColor="text1"/>
          <w:sz w:val="24"/>
        </w:rPr>
      </w:pPr>
      <w:r w:rsidRPr="001659B8">
        <w:rPr>
          <w:rFonts w:ascii="Book Antiqua" w:hAnsi="Book Antiqua"/>
          <w:b/>
          <w:bCs/>
          <w:color w:val="000000" w:themeColor="text1"/>
          <w:sz w:val="24"/>
        </w:rPr>
        <w:lastRenderedPageBreak/>
        <w:t>INTRODUCTION</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Hepatocellular carcinoma (HCC) is the fifth most common cancer and the third leading cause of cancer-related </w:t>
      </w:r>
      <w:proofErr w:type="gramStart"/>
      <w:r w:rsidRPr="001659B8">
        <w:rPr>
          <w:rFonts w:ascii="Book Antiqua" w:hAnsi="Book Antiqua"/>
          <w:color w:val="000000" w:themeColor="text1"/>
          <w:sz w:val="24"/>
        </w:rPr>
        <w:t>deaths</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1]</w:t>
      </w:r>
      <w:r w:rsidRPr="001659B8">
        <w:rPr>
          <w:rFonts w:ascii="Book Antiqua" w:hAnsi="Book Antiqua"/>
          <w:color w:val="000000" w:themeColor="text1"/>
          <w:sz w:val="24"/>
        </w:rPr>
        <w:t xml:space="preserve">. In high-risk patients, HCC can be diagnosed noninvasively by computed tomography (CT) and magnetic resonance imaging (MRI) without the need for further histopathological confirmation when the imaging features are </w:t>
      </w:r>
      <w:proofErr w:type="gramStart"/>
      <w:r w:rsidRPr="001659B8">
        <w:rPr>
          <w:rFonts w:ascii="Book Antiqua" w:hAnsi="Book Antiqua"/>
          <w:color w:val="000000" w:themeColor="text1"/>
          <w:sz w:val="24"/>
        </w:rPr>
        <w:t>characteristic</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2-4]</w:t>
      </w:r>
      <w:r w:rsidRPr="001659B8">
        <w:rPr>
          <w:rFonts w:ascii="Book Antiqua" w:hAnsi="Book Antiqua"/>
          <w:color w:val="000000" w:themeColor="text1"/>
          <w:sz w:val="24"/>
        </w:rPr>
        <w:t>.</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  The Liver Imaging Reporting and Data System (</w:t>
      </w:r>
      <w:bookmarkStart w:id="60" w:name="OLE_LINK69"/>
      <w:bookmarkStart w:id="61" w:name="OLE_LINK68"/>
      <w:r w:rsidRPr="001659B8">
        <w:rPr>
          <w:rFonts w:ascii="Book Antiqua" w:hAnsi="Book Antiqua"/>
          <w:color w:val="000000" w:themeColor="text1"/>
          <w:sz w:val="24"/>
        </w:rPr>
        <w:t>LI-RADS</w:t>
      </w:r>
      <w:bookmarkEnd w:id="60"/>
      <w:bookmarkEnd w:id="61"/>
      <w:r w:rsidRPr="001659B8">
        <w:rPr>
          <w:rFonts w:ascii="Book Antiqua" w:hAnsi="Book Antiqua"/>
          <w:color w:val="000000" w:themeColor="text1"/>
          <w:sz w:val="24"/>
        </w:rPr>
        <w:t xml:space="preserve">), supported by the American College of Radiology (ACR), has been developed for standardizing the acquisition, interpretation, reporting, and data collection of liver imaging examinations in patients at risk for HCC. Initially released in 2011, the system has been updated in 2013, 2014, 2017, and 2018 based on the evolution of published evidence, integration of new technology, and incorporation of user </w:t>
      </w:r>
      <w:proofErr w:type="gramStart"/>
      <w:r w:rsidRPr="001659B8">
        <w:rPr>
          <w:rFonts w:ascii="Book Antiqua" w:hAnsi="Book Antiqua"/>
          <w:color w:val="000000" w:themeColor="text1"/>
          <w:sz w:val="24"/>
        </w:rPr>
        <w:t>feedback</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5-7]</w:t>
      </w:r>
      <w:r w:rsidRPr="001659B8">
        <w:rPr>
          <w:rFonts w:ascii="Book Antiqua" w:hAnsi="Book Antiqua"/>
          <w:color w:val="000000" w:themeColor="text1"/>
          <w:sz w:val="24"/>
        </w:rPr>
        <w:t>. Each liver observation is categorized according to its probability of HCC, from LR-1 to LR-5 (definitely benign, probably benign, intermediate, probably HCC, and definitely HCC</w:t>
      </w:r>
      <w:proofErr w:type="gramStart"/>
      <w:r w:rsidRPr="001659B8">
        <w:rPr>
          <w:rFonts w:ascii="Book Antiqua" w:hAnsi="Book Antiqua"/>
          <w:color w:val="000000" w:themeColor="text1"/>
          <w:sz w:val="24"/>
        </w:rPr>
        <w:t>)</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5]</w:t>
      </w:r>
      <w:r w:rsidRPr="001659B8">
        <w:rPr>
          <w:rFonts w:ascii="Book Antiqua" w:hAnsi="Book Antiqua"/>
          <w:color w:val="000000" w:themeColor="text1"/>
          <w:sz w:val="24"/>
        </w:rPr>
        <w:t xml:space="preserve">. In LI-RADS </w:t>
      </w:r>
      <w:proofErr w:type="gramStart"/>
      <w:r w:rsidRPr="001659B8">
        <w:rPr>
          <w:rFonts w:ascii="Book Antiqua" w:hAnsi="Book Antiqua"/>
          <w:color w:val="000000" w:themeColor="text1"/>
          <w:sz w:val="24"/>
        </w:rPr>
        <w:t>v2017</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8]</w:t>
      </w:r>
      <w:r w:rsidRPr="001659B8">
        <w:rPr>
          <w:rFonts w:ascii="Book Antiqua" w:hAnsi="Book Antiqua"/>
          <w:color w:val="000000" w:themeColor="text1"/>
          <w:sz w:val="24"/>
        </w:rPr>
        <w:t xml:space="preserve">, if an observation is probably or definitely malignant but is not specific for HCC, LR-M is allocated. Moreover, a new diagnostic category, LR-NC and LR-TIV (previously LR-5V), has been added. Ancillary features can be applied to upgrade or downgrade the initially assigned LI-RADS category based on major features </w:t>
      </w:r>
      <w:proofErr w:type="gramStart"/>
      <w:r w:rsidRPr="001659B8">
        <w:rPr>
          <w:rFonts w:ascii="Book Antiqua" w:hAnsi="Book Antiqua"/>
          <w:color w:val="000000" w:themeColor="text1"/>
          <w:sz w:val="24"/>
        </w:rPr>
        <w:t>only</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9]</w:t>
      </w:r>
      <w:r w:rsidRPr="001659B8">
        <w:rPr>
          <w:rFonts w:ascii="Book Antiqua" w:hAnsi="Book Antiqua"/>
          <w:color w:val="000000" w:themeColor="text1"/>
          <w:sz w:val="24"/>
        </w:rPr>
        <w:t>.</w:t>
      </w:r>
    </w:p>
    <w:p w:rsidR="00510107" w:rsidRPr="001659B8" w:rsidRDefault="002E702A">
      <w:pPr>
        <w:adjustRightInd w:val="0"/>
        <w:snapToGrid w:val="0"/>
        <w:spacing w:after="0" w:line="360" w:lineRule="auto"/>
        <w:ind w:firstLineChars="100" w:firstLine="240"/>
        <w:rPr>
          <w:rFonts w:ascii="Book Antiqua" w:hAnsi="Book Antiqua"/>
          <w:color w:val="000000" w:themeColor="text1"/>
          <w:sz w:val="24"/>
        </w:rPr>
      </w:pPr>
      <w:r w:rsidRPr="001659B8">
        <w:rPr>
          <w:rFonts w:ascii="Book Antiqua" w:hAnsi="Book Antiqua"/>
          <w:color w:val="000000" w:themeColor="text1"/>
          <w:sz w:val="24"/>
        </w:rPr>
        <w:t>MRI can be used for categorization of liver observations and diagnosis of HCC based on the major and ancillary features of LI-RADS</w:t>
      </w:r>
      <w:r w:rsidRPr="001659B8">
        <w:rPr>
          <w:rFonts w:ascii="Book Antiqua" w:hAnsi="Book Antiqua"/>
          <w:color w:val="000000" w:themeColor="text1"/>
          <w:sz w:val="24"/>
          <w:vertAlign w:val="superscript"/>
        </w:rPr>
        <w:t xml:space="preserve"> [10-12]</w:t>
      </w:r>
      <w:r w:rsidRPr="001659B8">
        <w:rPr>
          <w:rFonts w:ascii="Book Antiqua" w:hAnsi="Book Antiqua"/>
          <w:color w:val="000000" w:themeColor="text1"/>
          <w:sz w:val="24"/>
        </w:rPr>
        <w:t xml:space="preserve">. Gadoxetic-acid disodium (Gd-EOB-DTPA), a hepatobiliary contrast agent, could provide information on tumor vasculature and hepatocyte </w:t>
      </w:r>
      <w:proofErr w:type="gramStart"/>
      <w:r w:rsidRPr="001659B8">
        <w:rPr>
          <w:rFonts w:ascii="Book Antiqua" w:hAnsi="Book Antiqua"/>
          <w:color w:val="000000" w:themeColor="text1"/>
          <w:sz w:val="24"/>
        </w:rPr>
        <w:t>function</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13-15]</w:t>
      </w:r>
      <w:r w:rsidRPr="001659B8">
        <w:rPr>
          <w:rFonts w:ascii="Book Antiqua" w:hAnsi="Book Antiqua"/>
          <w:color w:val="000000" w:themeColor="text1"/>
          <w:sz w:val="24"/>
        </w:rPr>
        <w:t xml:space="preserve">. Diffusion-weighted imaging (DWI) can further quantitatively measure tissue proton diffusion and reflect tumor </w:t>
      </w:r>
      <w:proofErr w:type="gramStart"/>
      <w:r w:rsidRPr="001659B8">
        <w:rPr>
          <w:rFonts w:ascii="Book Antiqua" w:hAnsi="Book Antiqua"/>
          <w:color w:val="000000" w:themeColor="text1"/>
          <w:sz w:val="24"/>
        </w:rPr>
        <w:t>cellularity</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16-18]</w:t>
      </w:r>
      <w:r w:rsidRPr="001659B8">
        <w:rPr>
          <w:rFonts w:ascii="Book Antiqua" w:hAnsi="Book Antiqua"/>
          <w:color w:val="000000" w:themeColor="text1"/>
          <w:sz w:val="24"/>
        </w:rPr>
        <w:t xml:space="preserve">. Thus, the combination of Gd-EOB-DTPA-enhanced MRI and DWI has the potential to improve the sensitivity (SE) and overall </w:t>
      </w:r>
      <w:bookmarkStart w:id="62" w:name="OLE_LINK72"/>
      <w:r w:rsidRPr="001659B8">
        <w:rPr>
          <w:rFonts w:ascii="Book Antiqua" w:hAnsi="Book Antiqua"/>
          <w:color w:val="000000" w:themeColor="text1"/>
          <w:sz w:val="24"/>
        </w:rPr>
        <w:t>accuracy</w:t>
      </w:r>
      <w:bookmarkEnd w:id="62"/>
      <w:r w:rsidRPr="001659B8">
        <w:rPr>
          <w:rFonts w:ascii="Book Antiqua" w:hAnsi="Book Antiqua"/>
          <w:color w:val="000000" w:themeColor="text1"/>
          <w:sz w:val="24"/>
        </w:rPr>
        <w:t xml:space="preserve"> (AC) for diagnosing HCC.</w:t>
      </w:r>
    </w:p>
    <w:p w:rsidR="00510107" w:rsidRPr="001659B8" w:rsidRDefault="002E702A">
      <w:pPr>
        <w:adjustRightInd w:val="0"/>
        <w:snapToGrid w:val="0"/>
        <w:spacing w:after="0" w:line="360" w:lineRule="auto"/>
        <w:ind w:firstLineChars="100" w:firstLine="240"/>
        <w:rPr>
          <w:rFonts w:ascii="Book Antiqua" w:hAnsi="Book Antiqua"/>
          <w:color w:val="000000" w:themeColor="text1"/>
          <w:sz w:val="24"/>
        </w:rPr>
      </w:pPr>
      <w:r w:rsidRPr="001659B8">
        <w:rPr>
          <w:rFonts w:ascii="Book Antiqua" w:hAnsi="Book Antiqua"/>
          <w:color w:val="000000" w:themeColor="text1"/>
          <w:sz w:val="24"/>
        </w:rPr>
        <w:t xml:space="preserve">The aim of this retrospective study was to evaluate the interrater reliability and diagnostic AC of LI-RADS v2017 </w:t>
      </w:r>
      <w:r w:rsidR="00466CB5" w:rsidRPr="001659B8">
        <w:rPr>
          <w:rFonts w:ascii="Book Antiqua" w:hAnsi="Book Antiqua"/>
          <w:color w:val="000000" w:themeColor="text1"/>
          <w:sz w:val="24"/>
        </w:rPr>
        <w:t>with</w:t>
      </w:r>
      <w:r w:rsidRPr="001659B8">
        <w:rPr>
          <w:rFonts w:ascii="Book Antiqua" w:hAnsi="Book Antiqua"/>
          <w:color w:val="000000" w:themeColor="text1"/>
          <w:sz w:val="24"/>
        </w:rPr>
        <w:t xml:space="preserve"> Gd-EOB-DTPA-enhanced MRI </w:t>
      </w:r>
      <w:r w:rsidR="00466CB5" w:rsidRPr="001659B8">
        <w:rPr>
          <w:rFonts w:ascii="Book Antiqua" w:hAnsi="Book Antiqua"/>
          <w:color w:val="000000" w:themeColor="text1"/>
          <w:sz w:val="24"/>
        </w:rPr>
        <w:t xml:space="preserve">for HCC </w:t>
      </w:r>
      <w:r w:rsidRPr="001659B8">
        <w:rPr>
          <w:rFonts w:ascii="Book Antiqua" w:hAnsi="Book Antiqua"/>
          <w:color w:val="000000" w:themeColor="text1"/>
          <w:sz w:val="24"/>
        </w:rPr>
        <w:t xml:space="preserve">and to determine the incremental value of the ancillary feature </w:t>
      </w:r>
      <w:r w:rsidRPr="001659B8">
        <w:rPr>
          <w:rFonts w:ascii="Book Antiqua" w:hAnsi="Book Antiqua"/>
          <w:color w:val="000000" w:themeColor="text1"/>
          <w:sz w:val="24"/>
        </w:rPr>
        <w:lastRenderedPageBreak/>
        <w:t>“restricted diffusion” on DWI images.</w:t>
      </w:r>
    </w:p>
    <w:p w:rsidR="00510107" w:rsidRPr="001659B8" w:rsidRDefault="00510107">
      <w:pPr>
        <w:adjustRightInd w:val="0"/>
        <w:snapToGrid w:val="0"/>
        <w:spacing w:after="0" w:line="360" w:lineRule="auto"/>
        <w:rPr>
          <w:rFonts w:ascii="Book Antiqua" w:hAnsi="Book Antiqua"/>
          <w:b/>
          <w:bCs/>
          <w:caps/>
          <w:color w:val="000000" w:themeColor="text1"/>
          <w:sz w:val="24"/>
        </w:rPr>
      </w:pPr>
    </w:p>
    <w:p w:rsidR="00510107" w:rsidRPr="001659B8" w:rsidRDefault="002E702A">
      <w:pPr>
        <w:adjustRightInd w:val="0"/>
        <w:snapToGrid w:val="0"/>
        <w:spacing w:after="0" w:line="360" w:lineRule="auto"/>
        <w:outlineLvl w:val="0"/>
        <w:rPr>
          <w:rFonts w:ascii="Book Antiqua" w:hAnsi="Book Antiqua"/>
          <w:b/>
          <w:bCs/>
          <w:caps/>
          <w:color w:val="000000" w:themeColor="text1"/>
          <w:sz w:val="24"/>
        </w:rPr>
      </w:pPr>
      <w:r w:rsidRPr="001659B8">
        <w:rPr>
          <w:rFonts w:ascii="Book Antiqua" w:hAnsi="Book Antiqua"/>
          <w:b/>
          <w:bCs/>
          <w:caps/>
          <w:color w:val="000000" w:themeColor="text1"/>
          <w:sz w:val="24"/>
        </w:rPr>
        <w:t>Materials and methods</w:t>
      </w: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Patients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This retrospective cohort study was approved by our institutional review board, and the requirement for patient consent was waived. Between October 2013 and April 2018, a total of 414 consecutive patients who were at high risk [hepatitis B virus (HBV) infection, hepatitis C virus (HCV) infection, or hepatic cirrhosis] for HCC were enrolled. All included patients were confirmed by surgical pathology, needle biopsy, or more than two years of follow-up. Among these patients, 211 were excluded because of the exclusion criteria </w:t>
      </w:r>
      <w:r w:rsidRPr="001659B8">
        <w:rPr>
          <w:rFonts w:ascii="Book Antiqua" w:hAnsi="Book Antiqua"/>
          <w:bCs/>
          <w:color w:val="000000" w:themeColor="text1"/>
          <w:sz w:val="24"/>
        </w:rPr>
        <w:t>(Figure 1)</w:t>
      </w:r>
      <w:r w:rsidRPr="001659B8">
        <w:rPr>
          <w:rFonts w:ascii="Book Antiqua" w:hAnsi="Book Antiqua"/>
          <w:color w:val="000000" w:themeColor="text1"/>
          <w:sz w:val="24"/>
        </w:rPr>
        <w:t>. The exclusion criteria were as follows: (1) previously treated for HCC (</w:t>
      </w:r>
      <w:r w:rsidRPr="001659B8">
        <w:rPr>
          <w:rFonts w:ascii="Book Antiqua" w:hAnsi="Book Antiqua"/>
          <w:i/>
          <w:color w:val="000000" w:themeColor="text1"/>
          <w:sz w:val="24"/>
        </w:rPr>
        <w:t>n</w:t>
      </w:r>
      <w:r w:rsidRPr="001659B8">
        <w:rPr>
          <w:rFonts w:ascii="Book Antiqua" w:hAnsi="Book Antiqua"/>
          <w:color w:val="000000" w:themeColor="text1"/>
          <w:sz w:val="24"/>
        </w:rPr>
        <w:t xml:space="preserve"> =105); (2) pathologically proven HCC or benign lesions before gadoxetic acid-enhanced MRI (</w:t>
      </w:r>
      <w:r w:rsidRPr="001659B8">
        <w:rPr>
          <w:rFonts w:ascii="Book Antiqua" w:hAnsi="Book Antiqua"/>
          <w:i/>
          <w:color w:val="000000" w:themeColor="text1"/>
          <w:sz w:val="24"/>
        </w:rPr>
        <w:t>n</w:t>
      </w:r>
      <w:r w:rsidRPr="001659B8">
        <w:rPr>
          <w:rFonts w:ascii="Book Antiqua" w:hAnsi="Book Antiqua"/>
          <w:color w:val="000000" w:themeColor="text1"/>
          <w:sz w:val="24"/>
        </w:rPr>
        <w:t xml:space="preserve"> = 52); (3) less than 18 years old (</w:t>
      </w:r>
      <w:r w:rsidRPr="001659B8">
        <w:rPr>
          <w:rFonts w:ascii="Book Antiqua" w:hAnsi="Book Antiqua"/>
          <w:i/>
          <w:color w:val="000000" w:themeColor="text1"/>
          <w:sz w:val="24"/>
        </w:rPr>
        <w:t>n</w:t>
      </w:r>
      <w:r w:rsidRPr="001659B8">
        <w:rPr>
          <w:rFonts w:ascii="Book Antiqua" w:hAnsi="Book Antiqua"/>
          <w:color w:val="000000" w:themeColor="text1"/>
          <w:sz w:val="24"/>
        </w:rPr>
        <w:t xml:space="preserve"> = 17); and (4) underwent nonsurgical treatment without obtaining histopathological results (</w:t>
      </w:r>
      <w:r w:rsidRPr="001659B8">
        <w:rPr>
          <w:rFonts w:ascii="Book Antiqua" w:hAnsi="Book Antiqua"/>
          <w:i/>
          <w:color w:val="000000" w:themeColor="text1"/>
          <w:sz w:val="24"/>
        </w:rPr>
        <w:t>n</w:t>
      </w:r>
      <w:r w:rsidRPr="001659B8">
        <w:rPr>
          <w:rFonts w:ascii="Book Antiqua" w:hAnsi="Book Antiqua"/>
          <w:color w:val="000000" w:themeColor="text1"/>
          <w:sz w:val="24"/>
        </w:rPr>
        <w:t xml:space="preserve"> = 22) or lesions that could not be conclusively diagnosed based on 2-year follow-up imaging (</w:t>
      </w:r>
      <w:r w:rsidRPr="001659B8">
        <w:rPr>
          <w:rFonts w:ascii="Book Antiqua" w:hAnsi="Book Antiqua"/>
          <w:i/>
          <w:color w:val="000000" w:themeColor="text1"/>
          <w:sz w:val="24"/>
        </w:rPr>
        <w:t>n</w:t>
      </w:r>
      <w:r w:rsidRPr="001659B8">
        <w:rPr>
          <w:rFonts w:ascii="Book Antiqua" w:hAnsi="Book Antiqua"/>
          <w:color w:val="000000" w:themeColor="text1"/>
          <w:sz w:val="24"/>
        </w:rPr>
        <w:t xml:space="preserve"> = 15).</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color w:val="000000" w:themeColor="text1"/>
          <w:sz w:val="24"/>
        </w:rPr>
      </w:pPr>
      <w:r w:rsidRPr="001659B8">
        <w:rPr>
          <w:rFonts w:ascii="Book Antiqua" w:hAnsi="Book Antiqua"/>
          <w:b/>
          <w:i/>
          <w:color w:val="000000" w:themeColor="text1"/>
          <w:sz w:val="24"/>
        </w:rPr>
        <w:t>Imaging techniques</w:t>
      </w:r>
    </w:p>
    <w:p w:rsidR="00510107" w:rsidRPr="001659B8" w:rsidRDefault="002E702A">
      <w:pPr>
        <w:pStyle w:val="a8"/>
        <w:adjustRightInd w:val="0"/>
        <w:snapToGrid w:val="0"/>
        <w:spacing w:before="0" w:beforeAutospacing="0" w:after="0" w:afterAutospacing="0" w:line="360" w:lineRule="auto"/>
        <w:jc w:val="both"/>
        <w:rPr>
          <w:rFonts w:ascii="Book Antiqua" w:eastAsia="宋体" w:hAnsi="Book Antiqua"/>
          <w:bCs/>
          <w:color w:val="000000" w:themeColor="text1"/>
          <w:kern w:val="2"/>
        </w:rPr>
      </w:pPr>
      <w:r w:rsidRPr="001659B8">
        <w:rPr>
          <w:rFonts w:ascii="Book Antiqua" w:eastAsia="宋体" w:hAnsi="Book Antiqua"/>
          <w:color w:val="000000" w:themeColor="text1"/>
          <w:kern w:val="2"/>
        </w:rPr>
        <w:t>For all examinations, studies were carried out by using a 3.0 T MR system (</w:t>
      </w:r>
      <w:r w:rsidRPr="001659B8">
        <w:rPr>
          <w:rFonts w:ascii="Book Antiqua" w:hAnsi="Book Antiqua"/>
          <w:color w:val="000000" w:themeColor="text1"/>
        </w:rPr>
        <w:t xml:space="preserve">MAGNETOM Skyra, Siemens Healthcare, </w:t>
      </w:r>
      <w:proofErr w:type="gramStart"/>
      <w:r w:rsidRPr="001659B8">
        <w:rPr>
          <w:rFonts w:ascii="Book Antiqua" w:hAnsi="Book Antiqua"/>
          <w:color w:val="000000" w:themeColor="text1"/>
        </w:rPr>
        <w:t>Erlangen</w:t>
      </w:r>
      <w:proofErr w:type="gramEnd"/>
      <w:r w:rsidRPr="001659B8">
        <w:rPr>
          <w:rFonts w:ascii="Book Antiqua" w:hAnsi="Book Antiqua"/>
          <w:color w:val="000000" w:themeColor="text1"/>
        </w:rPr>
        <w:t>, Germany</w:t>
      </w:r>
      <w:r w:rsidRPr="001659B8">
        <w:rPr>
          <w:rFonts w:ascii="Book Antiqua" w:eastAsia="宋体" w:hAnsi="Book Antiqua"/>
          <w:color w:val="000000" w:themeColor="text1"/>
          <w:kern w:val="2"/>
        </w:rPr>
        <w:t xml:space="preserve">). An 18-channel phased-array torso coil was used for all measurements. Routine MRI sequences included in the standardized scanning protocol were a respiratory-triggered axial T2-weighted turbo spin echo (TSE) sequence with fat suppression; in and out of phase T1-weighted imaging acquired with a gradient recalled (GRE) dual echo sequence; and pre- and postcontrast T1-weighted three-dimensional VIBE sequences acquired with a GRE sequence in the arterial phase (20 s), portal venous phase (60 s), and delayed phase (180 s) </w:t>
      </w:r>
      <w:r w:rsidRPr="001659B8">
        <w:rPr>
          <w:rFonts w:ascii="Book Antiqua" w:hAnsi="Book Antiqua"/>
          <w:color w:val="000000" w:themeColor="text1"/>
        </w:rPr>
        <w:t xml:space="preserve">after the injection of Gd-EOB-DTPA (Primovist, Bayer Pharma AG, Berlin, Germany) at a rate of 2 mL/s. The delay time for the hepatobiliary </w:t>
      </w:r>
      <w:r w:rsidRPr="001659B8">
        <w:rPr>
          <w:rFonts w:ascii="Book Antiqua" w:hAnsi="Book Antiqua"/>
          <w:color w:val="000000" w:themeColor="text1"/>
        </w:rPr>
        <w:lastRenderedPageBreak/>
        <w:t>phase was 20 min.</w:t>
      </w:r>
      <w:r w:rsidRPr="001659B8">
        <w:rPr>
          <w:rFonts w:ascii="Book Antiqua" w:eastAsia="宋体" w:hAnsi="Book Antiqua"/>
          <w:color w:val="000000" w:themeColor="text1"/>
          <w:kern w:val="2"/>
        </w:rPr>
        <w:t xml:space="preserve"> The detailed parameters of each acquisition sequence are shown in </w:t>
      </w:r>
      <w:r w:rsidRPr="001659B8">
        <w:rPr>
          <w:rFonts w:ascii="Book Antiqua" w:eastAsia="宋体" w:hAnsi="Book Antiqua"/>
          <w:bCs/>
          <w:color w:val="000000" w:themeColor="text1"/>
          <w:kern w:val="2"/>
        </w:rPr>
        <w:t>Table 1.</w:t>
      </w:r>
    </w:p>
    <w:p w:rsidR="00510107" w:rsidRPr="001659B8" w:rsidRDefault="00510107">
      <w:pPr>
        <w:pStyle w:val="a8"/>
        <w:adjustRightInd w:val="0"/>
        <w:snapToGrid w:val="0"/>
        <w:spacing w:before="0" w:beforeAutospacing="0" w:after="0" w:afterAutospacing="0" w:line="360" w:lineRule="auto"/>
        <w:jc w:val="both"/>
        <w:rPr>
          <w:rFonts w:ascii="Book Antiqua" w:eastAsia="宋体" w:hAnsi="Book Antiqua"/>
          <w:color w:val="000000" w:themeColor="text1"/>
          <w:kern w:val="2"/>
        </w:rPr>
      </w:pP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Image analysis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Two radiologists (with more than ten years of experience in abdominal radiology) who were blinded to the clinical, laboratory, and pathology results reinterpreted the MR images. Each reader measured the maximum diameter and recorded the presence of each lesion and assigned scores according to LI-RADS </w:t>
      </w:r>
      <w:proofErr w:type="gramStart"/>
      <w:r w:rsidRPr="001659B8">
        <w:rPr>
          <w:rFonts w:ascii="Book Antiqua" w:hAnsi="Book Antiqua"/>
          <w:color w:val="000000" w:themeColor="text1"/>
          <w:sz w:val="24"/>
        </w:rPr>
        <w:t>v2017</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11]</w:t>
      </w:r>
      <w:r w:rsidRPr="001659B8">
        <w:rPr>
          <w:rFonts w:ascii="Book Antiqua" w:hAnsi="Book Antiqua"/>
          <w:color w:val="000000" w:themeColor="text1"/>
          <w:sz w:val="24"/>
        </w:rPr>
        <w:t>. The scoring categories were as follows: LR-1 was definitely benign, LR-2 was probably benign, LR-3 was an intermediate probability of malignancy, LR-4 was probably HCC, and LR-5 was definitely HCC. Findings that were probably or definitely malignant but not HCC specific were categorized as LR-M and those with definite tumor in vein as LR-TIV. The final category results were compared with the pathology to assess diagnostic AC.</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Statistical analysis</w:t>
      </w:r>
    </w:p>
    <w:p w:rsidR="00510107" w:rsidRPr="001659B8" w:rsidRDefault="002E702A">
      <w:pPr>
        <w:pStyle w:val="a8"/>
        <w:adjustRightInd w:val="0"/>
        <w:snapToGrid w:val="0"/>
        <w:spacing w:before="0" w:beforeAutospacing="0" w:after="0" w:afterAutospacing="0" w:line="360" w:lineRule="auto"/>
        <w:jc w:val="both"/>
        <w:rPr>
          <w:rFonts w:ascii="Book Antiqua" w:eastAsia="宋体" w:hAnsi="Book Antiqua"/>
          <w:color w:val="000000" w:themeColor="text1"/>
        </w:rPr>
      </w:pPr>
      <w:r w:rsidRPr="001659B8">
        <w:rPr>
          <w:rFonts w:ascii="Book Antiqua" w:hAnsi="Book Antiqua"/>
          <w:color w:val="000000" w:themeColor="text1"/>
        </w:rPr>
        <w:t xml:space="preserve">Categorical variables are reported as the number of cases and percentages. The </w:t>
      </w:r>
      <w:r w:rsidRPr="001659B8">
        <w:rPr>
          <w:rFonts w:ascii="Book Antiqua" w:eastAsia="宋体" w:hAnsi="Book Antiqua"/>
          <w:i/>
          <w:color w:val="000000" w:themeColor="text1"/>
        </w:rPr>
        <w:t>kappa</w:t>
      </w:r>
      <w:r w:rsidRPr="001659B8">
        <w:rPr>
          <w:rFonts w:ascii="Book Antiqua" w:eastAsia="宋体" w:hAnsi="Book Antiqua"/>
          <w:color w:val="000000" w:themeColor="text1"/>
        </w:rPr>
        <w:t xml:space="preserve"> test was first used to determine the agreement between the two independent radiologists in each item. A </w:t>
      </w:r>
      <w:r w:rsidRPr="001659B8">
        <w:rPr>
          <w:rFonts w:ascii="Book Antiqua" w:eastAsia="宋体" w:hAnsi="Book Antiqua"/>
          <w:i/>
          <w:color w:val="000000" w:themeColor="text1"/>
        </w:rPr>
        <w:t>kappa</w:t>
      </w:r>
      <w:r w:rsidRPr="001659B8">
        <w:rPr>
          <w:rFonts w:ascii="Book Antiqua" w:eastAsia="宋体" w:hAnsi="Book Antiqua"/>
          <w:color w:val="000000" w:themeColor="text1"/>
        </w:rPr>
        <w:t xml:space="preserve"> value of 0 indicates no agreement, </w:t>
      </w:r>
      <w:r w:rsidRPr="001659B8">
        <w:rPr>
          <w:rFonts w:ascii="Book Antiqua" w:eastAsia="宋体" w:hAnsi="Book Antiqua"/>
          <w:i/>
          <w:color w:val="000000" w:themeColor="text1"/>
        </w:rPr>
        <w:t>kappa</w:t>
      </w:r>
      <w:r w:rsidRPr="001659B8">
        <w:rPr>
          <w:rFonts w:ascii="Book Antiqua" w:hAnsi="Book Antiqua"/>
          <w:color w:val="000000" w:themeColor="text1"/>
        </w:rPr>
        <w:t xml:space="preserve"> values of 0.01-0.20 represent slight agreement, 0.21-0.40 fair agreement, 0.41-0.60 moderate agreement, 0.61-0.80 </w:t>
      </w:r>
      <w:r w:rsidRPr="001659B8">
        <w:rPr>
          <w:rFonts w:ascii="Book Antiqua" w:eastAsia="宋体" w:hAnsi="Book Antiqua"/>
          <w:color w:val="000000" w:themeColor="text1"/>
        </w:rPr>
        <w:t xml:space="preserve">good agreement, 0.81-0.99 almost perfect agreement, and 1 perfect </w:t>
      </w:r>
      <w:proofErr w:type="gramStart"/>
      <w:r w:rsidRPr="001659B8">
        <w:rPr>
          <w:rFonts w:ascii="Book Antiqua" w:eastAsia="宋体" w:hAnsi="Book Antiqua"/>
          <w:color w:val="000000" w:themeColor="text1"/>
        </w:rPr>
        <w:t>agreement</w:t>
      </w:r>
      <w:r w:rsidRPr="001659B8">
        <w:rPr>
          <w:rFonts w:ascii="Book Antiqua" w:eastAsia="宋体" w:hAnsi="Book Antiqua"/>
          <w:color w:val="000000" w:themeColor="text1"/>
          <w:vertAlign w:val="superscript"/>
        </w:rPr>
        <w:t>[</w:t>
      </w:r>
      <w:proofErr w:type="gramEnd"/>
      <w:r w:rsidRPr="001659B8">
        <w:rPr>
          <w:rFonts w:ascii="Book Antiqua" w:eastAsia="宋体" w:hAnsi="Book Antiqua"/>
          <w:color w:val="000000" w:themeColor="text1"/>
          <w:vertAlign w:val="superscript"/>
        </w:rPr>
        <w:t>19]</w:t>
      </w:r>
      <w:r w:rsidRPr="001659B8">
        <w:rPr>
          <w:rFonts w:ascii="Book Antiqua" w:eastAsia="宋体" w:hAnsi="Book Antiqua"/>
          <w:color w:val="000000" w:themeColor="text1"/>
        </w:rPr>
        <w:t xml:space="preserve">. </w:t>
      </w:r>
      <w:bookmarkStart w:id="63" w:name="OLE_LINK2"/>
      <w:r w:rsidRPr="001659B8">
        <w:rPr>
          <w:rFonts w:ascii="Book Antiqua" w:eastAsia="宋体" w:hAnsi="Book Antiqua"/>
          <w:color w:val="000000" w:themeColor="text1"/>
        </w:rPr>
        <w:t xml:space="preserve">In addition, the SE, specificity (SP), AC, positive predictive value (PPV), and negative predictive value (NPV) were calculated for the diagnostic performance of LI-RADS. Youden index values were used to compare the diagnostic performance of LI-RADS with or without DWI. </w:t>
      </w:r>
      <w:bookmarkEnd w:id="63"/>
      <w:r w:rsidRPr="001659B8">
        <w:rPr>
          <w:rFonts w:ascii="Book Antiqua" w:eastAsia="宋体" w:hAnsi="Book Antiqua"/>
          <w:color w:val="000000" w:themeColor="text1"/>
        </w:rPr>
        <w:t>All statistical analyses were performed using SPSS 23.0 (SPSS Inc, Chicago, IL, United States).</w:t>
      </w:r>
    </w:p>
    <w:p w:rsidR="00510107" w:rsidRPr="001659B8" w:rsidRDefault="00510107">
      <w:pPr>
        <w:pStyle w:val="a8"/>
        <w:adjustRightInd w:val="0"/>
        <w:snapToGrid w:val="0"/>
        <w:spacing w:before="0" w:beforeAutospacing="0" w:after="0" w:afterAutospacing="0" w:line="360" w:lineRule="auto"/>
        <w:jc w:val="both"/>
        <w:rPr>
          <w:rFonts w:ascii="Book Antiqua" w:hAnsi="Book Antiqua"/>
          <w:color w:val="000000" w:themeColor="text1"/>
        </w:rPr>
      </w:pPr>
    </w:p>
    <w:p w:rsidR="00510107" w:rsidRPr="001659B8" w:rsidRDefault="002E702A">
      <w:pPr>
        <w:pStyle w:val="a8"/>
        <w:adjustRightInd w:val="0"/>
        <w:snapToGrid w:val="0"/>
        <w:spacing w:before="0" w:beforeAutospacing="0" w:after="0" w:afterAutospacing="0" w:line="360" w:lineRule="auto"/>
        <w:jc w:val="both"/>
        <w:outlineLvl w:val="0"/>
        <w:rPr>
          <w:rFonts w:ascii="Book Antiqua" w:hAnsi="Book Antiqua"/>
          <w:caps/>
          <w:color w:val="000000" w:themeColor="text1"/>
        </w:rPr>
      </w:pPr>
      <w:r w:rsidRPr="001659B8">
        <w:rPr>
          <w:rFonts w:ascii="Book Antiqua" w:hAnsi="Book Antiqua"/>
          <w:b/>
          <w:caps/>
          <w:color w:val="000000" w:themeColor="text1"/>
        </w:rPr>
        <w:t>Results</w:t>
      </w: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Clinicopathologic characteristics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lastRenderedPageBreak/>
        <w:t xml:space="preserve">During the study period, 414 consecutive patients were selected for potential inclusion. Of these patients, 203 (mean age: 50.31 ± 10.87 years; range: 26-77 years) with 245 hepatic lesions, including 157 (77.34%) men (50.06 ± 10.05 years old; range: 26-77 years old) and 46 (22.66%) women (51.17 ± 11.67 years old; range: 30-77 years old) who met the inclusion criteria, were ultimately included. In the study cohort, 19 patients had multiple HCCs. Of these patients, 195 had Child-Pugh A, and 8 had Child-Pugh B. In addition, 194 (95.57%) patients had HBV infection, 8 (3.94%) had HCV infection, and 1 (0.4%) had both </w:t>
      </w:r>
      <w:r w:rsidR="00EF211E" w:rsidRPr="001659B8">
        <w:rPr>
          <w:rFonts w:ascii="Book Antiqua" w:hAnsi="Book Antiqua"/>
          <w:color w:val="000000" w:themeColor="text1"/>
          <w:sz w:val="24"/>
        </w:rPr>
        <w:t>HBV</w:t>
      </w:r>
      <w:r w:rsidRPr="001659B8">
        <w:rPr>
          <w:rFonts w:ascii="Book Antiqua" w:hAnsi="Book Antiqua"/>
          <w:color w:val="000000" w:themeColor="text1"/>
          <w:sz w:val="24"/>
        </w:rPr>
        <w:t xml:space="preserve"> and </w:t>
      </w:r>
      <w:r w:rsidR="00EF211E" w:rsidRPr="001659B8">
        <w:rPr>
          <w:rFonts w:ascii="Book Antiqua" w:hAnsi="Book Antiqua"/>
          <w:color w:val="000000" w:themeColor="text1"/>
          <w:sz w:val="24"/>
        </w:rPr>
        <w:t>H</w:t>
      </w:r>
      <w:r w:rsidRPr="001659B8">
        <w:rPr>
          <w:rFonts w:ascii="Book Antiqua" w:hAnsi="Book Antiqua"/>
          <w:color w:val="000000" w:themeColor="text1"/>
          <w:sz w:val="24"/>
        </w:rPr>
        <w:t>C</w:t>
      </w:r>
      <w:r w:rsidR="00EF211E" w:rsidRPr="001659B8">
        <w:rPr>
          <w:rFonts w:ascii="Book Antiqua" w:hAnsi="Book Antiqua"/>
          <w:color w:val="000000" w:themeColor="text1"/>
          <w:sz w:val="24"/>
        </w:rPr>
        <w:t>V</w:t>
      </w:r>
      <w:r w:rsidRPr="001659B8">
        <w:rPr>
          <w:rFonts w:ascii="Book Antiqua" w:hAnsi="Book Antiqua"/>
          <w:color w:val="000000" w:themeColor="text1"/>
          <w:sz w:val="24"/>
        </w:rPr>
        <w:t xml:space="preserve"> infections. The baseline characteristics of all patients are summarized in Table 2.</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Histologic results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Of all 245 hepatic lesions, 195 (79.59%) were confirmed as malignant by histologic analysis, including 165 (67.35%) lesions diagnosed as HCC </w:t>
      </w:r>
      <w:r w:rsidRPr="001659B8">
        <w:rPr>
          <w:rFonts w:ascii="Book Antiqua" w:hAnsi="Book Antiqua"/>
          <w:bCs/>
          <w:color w:val="000000" w:themeColor="text1"/>
          <w:sz w:val="24"/>
        </w:rPr>
        <w:t>(Figure 2)</w:t>
      </w:r>
      <w:r w:rsidRPr="001659B8">
        <w:rPr>
          <w:rFonts w:ascii="Book Antiqua" w:hAnsi="Book Antiqua"/>
          <w:color w:val="000000" w:themeColor="text1"/>
          <w:sz w:val="24"/>
        </w:rPr>
        <w:t>, 22 (8.98%)</w:t>
      </w:r>
      <w:r w:rsidR="000879F6" w:rsidRPr="001659B8">
        <w:rPr>
          <w:rFonts w:ascii="Book Antiqua" w:hAnsi="Book Antiqua"/>
          <w:color w:val="000000" w:themeColor="text1"/>
          <w:sz w:val="24"/>
        </w:rPr>
        <w:t xml:space="preserve"> </w:t>
      </w:r>
      <w:r w:rsidRPr="001659B8">
        <w:rPr>
          <w:rFonts w:ascii="Book Antiqua" w:hAnsi="Book Antiqua"/>
          <w:color w:val="000000" w:themeColor="text1"/>
          <w:sz w:val="24"/>
        </w:rPr>
        <w:t xml:space="preserve">as intrahepatic cholangiocarcinoma (ICC) </w:t>
      </w:r>
      <w:r w:rsidRPr="001659B8">
        <w:rPr>
          <w:rFonts w:ascii="Book Antiqua" w:hAnsi="Book Antiqua"/>
          <w:bCs/>
          <w:color w:val="000000" w:themeColor="text1"/>
          <w:sz w:val="24"/>
        </w:rPr>
        <w:t>(Figure 3)</w:t>
      </w:r>
      <w:r w:rsidRPr="001659B8">
        <w:rPr>
          <w:rFonts w:ascii="Book Antiqua" w:hAnsi="Book Antiqua"/>
          <w:color w:val="000000" w:themeColor="text1"/>
          <w:sz w:val="24"/>
        </w:rPr>
        <w:t>, 5 (2.04%) as combined HCC (cHCC), and 3 (1.22%) as sarcomatoid HCC (SHC). In addition, 50 (20.41%) lesions were diagnosed as benign by liver biopsy (</w:t>
      </w:r>
      <w:r w:rsidRPr="001659B8">
        <w:rPr>
          <w:rFonts w:ascii="Book Antiqua" w:hAnsi="Book Antiqua"/>
          <w:i/>
          <w:color w:val="000000" w:themeColor="text1"/>
          <w:sz w:val="24"/>
        </w:rPr>
        <w:t xml:space="preserve">n </w:t>
      </w:r>
      <w:r w:rsidRPr="001659B8">
        <w:rPr>
          <w:rFonts w:ascii="Book Antiqua" w:hAnsi="Book Antiqua"/>
          <w:color w:val="000000" w:themeColor="text1"/>
          <w:sz w:val="24"/>
        </w:rPr>
        <w:t>= 5) or two-year follow-up using CT or MRI (</w:t>
      </w:r>
      <w:r w:rsidRPr="001659B8">
        <w:rPr>
          <w:rFonts w:ascii="Book Antiqua" w:hAnsi="Book Antiqua"/>
          <w:i/>
          <w:color w:val="000000" w:themeColor="text1"/>
          <w:sz w:val="24"/>
        </w:rPr>
        <w:t>n</w:t>
      </w:r>
      <w:r w:rsidRPr="001659B8">
        <w:rPr>
          <w:rFonts w:ascii="Book Antiqua" w:hAnsi="Book Antiqua"/>
          <w:color w:val="000000" w:themeColor="text1"/>
          <w:sz w:val="24"/>
        </w:rPr>
        <w:t xml:space="preserve"> = 45). The median diameter for hepatic lesions was 5.3 cm (range: 1.1-12.8 cm).</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Interobserver agreement</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The agreement of the LI-RADS classification was almost perfect between the two observers [</w:t>
      </w:r>
      <w:r w:rsidRPr="001659B8">
        <w:rPr>
          <w:rFonts w:ascii="Book Antiqua" w:hAnsi="Book Antiqua"/>
          <w:i/>
          <w:color w:val="000000" w:themeColor="text1"/>
          <w:sz w:val="24"/>
        </w:rPr>
        <w:t>kappa</w:t>
      </w:r>
      <w:r w:rsidRPr="001659B8">
        <w:rPr>
          <w:rFonts w:ascii="Book Antiqua" w:hAnsi="Book Antiqua"/>
          <w:color w:val="000000" w:themeColor="text1"/>
          <w:sz w:val="24"/>
        </w:rPr>
        <w:t xml:space="preserve"> = 0.813; 95% confidence interval (CI): 0.748-0.871]. When DWI images were jointly viewed for LI-RADS classification, the agreement between the two observers was markedly increased (</w:t>
      </w:r>
      <w:r w:rsidRPr="001659B8">
        <w:rPr>
          <w:rFonts w:ascii="Book Antiqua" w:hAnsi="Book Antiqua"/>
          <w:i/>
          <w:color w:val="000000" w:themeColor="text1"/>
          <w:sz w:val="24"/>
        </w:rPr>
        <w:t>kappa</w:t>
      </w:r>
      <w:r w:rsidRPr="001659B8">
        <w:rPr>
          <w:rFonts w:ascii="Book Antiqua" w:hAnsi="Book Antiqua"/>
          <w:color w:val="000000" w:themeColor="text1"/>
          <w:sz w:val="24"/>
        </w:rPr>
        <w:t xml:space="preserve"> = 0.882; 95%CI: 0.834-0.928).</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 xml:space="preserve">LI-RADS lesion categories and diagnostic </w:t>
      </w:r>
      <w:bookmarkStart w:id="64" w:name="OLE_LINK5"/>
      <w:r w:rsidRPr="001659B8">
        <w:rPr>
          <w:rFonts w:ascii="Book Antiqua" w:hAnsi="Book Antiqua"/>
          <w:b/>
          <w:i/>
          <w:color w:val="000000" w:themeColor="text1"/>
          <w:sz w:val="24"/>
        </w:rPr>
        <w:t>efficiency</w:t>
      </w:r>
      <w:bookmarkEnd w:id="64"/>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When MR images were reviewed without DWI, HCCs were diagnosed in zero of 10 (0%) </w:t>
      </w:r>
      <w:proofErr w:type="gramStart"/>
      <w:r w:rsidRPr="001659B8">
        <w:rPr>
          <w:rFonts w:ascii="Book Antiqua" w:hAnsi="Book Antiqua"/>
          <w:color w:val="000000" w:themeColor="text1"/>
          <w:sz w:val="24"/>
        </w:rPr>
        <w:t xml:space="preserve">LR-1 lesions, one (5%) of 21 LR-2, 36 (73.5%) of 49 LR-3, 21 (67.7%) of 31 LR-4, 101 (94.4%) of 107 LR-5, 3 (15%) of 20 LR-M, and 3 (42.9%) of 7 </w:t>
      </w:r>
      <w:r w:rsidRPr="001659B8">
        <w:rPr>
          <w:rFonts w:ascii="Book Antiqua" w:hAnsi="Book Antiqua"/>
          <w:color w:val="000000" w:themeColor="text1"/>
          <w:sz w:val="24"/>
        </w:rPr>
        <w:lastRenderedPageBreak/>
        <w:t>LR-TIV.</w:t>
      </w:r>
      <w:proofErr w:type="gramEnd"/>
      <w:r w:rsidRPr="001659B8">
        <w:rPr>
          <w:rFonts w:ascii="Book Antiqua" w:hAnsi="Book Antiqua"/>
          <w:color w:val="000000" w:themeColor="text1"/>
          <w:sz w:val="24"/>
        </w:rPr>
        <w:t xml:space="preserve"> However, when the MR and DWI images were jointly viewed for the LI-RADS classification, HCCs were diagnosed in zero of 10 </w:t>
      </w:r>
      <w:bookmarkStart w:id="65" w:name="OLE_LINK3"/>
      <w:r w:rsidRPr="001659B8">
        <w:rPr>
          <w:rFonts w:ascii="Book Antiqua" w:hAnsi="Book Antiqua"/>
          <w:color w:val="000000" w:themeColor="text1"/>
          <w:sz w:val="24"/>
        </w:rPr>
        <w:t>(0%)</w:t>
      </w:r>
      <w:bookmarkEnd w:id="65"/>
      <w:r w:rsidRPr="001659B8">
        <w:rPr>
          <w:rFonts w:ascii="Book Antiqua" w:hAnsi="Book Antiqua"/>
          <w:color w:val="000000" w:themeColor="text1"/>
          <w:sz w:val="24"/>
        </w:rPr>
        <w:t xml:space="preserve"> </w:t>
      </w:r>
      <w:proofErr w:type="gramStart"/>
      <w:r w:rsidRPr="001659B8">
        <w:rPr>
          <w:rFonts w:ascii="Book Antiqua" w:hAnsi="Book Antiqua"/>
          <w:color w:val="000000" w:themeColor="text1"/>
          <w:sz w:val="24"/>
        </w:rPr>
        <w:t>LR-1 lesions, one (4%) of 24 LR-2, 16 (61.5%) of 26 LR-3, 44 (81.5%) of 54 LR-4, 101 (94.4%) of 107 LR-5, zero (0%) of 17 LR-M, and 3 (42.9%) of 7 LR-TIV.</w:t>
      </w:r>
      <w:proofErr w:type="gramEnd"/>
      <w:r w:rsidRPr="001659B8">
        <w:rPr>
          <w:rFonts w:ascii="Book Antiqua" w:hAnsi="Book Antiqua"/>
          <w:color w:val="000000" w:themeColor="text1"/>
          <w:sz w:val="24"/>
        </w:rPr>
        <w:t xml:space="preserve"> Regarding the diagnostic efficiency, </w:t>
      </w:r>
      <w:bookmarkStart w:id="66" w:name="OLE_LINK4"/>
      <w:r w:rsidRPr="001659B8">
        <w:rPr>
          <w:rFonts w:ascii="Book Antiqua" w:hAnsi="Book Antiqua"/>
          <w:color w:val="000000" w:themeColor="text1"/>
          <w:sz w:val="24"/>
        </w:rPr>
        <w:t>when considering only lesions classified as LR-5, the diagnostic SE, SP, and AC values were 61.2%, 92.5%, and 71.4% without DWI and 61.2%, 92.5%, and 71.4% with DW</w:t>
      </w:r>
      <w:bookmarkEnd w:id="66"/>
      <w:r w:rsidRPr="001659B8">
        <w:rPr>
          <w:rFonts w:ascii="Book Antiqua" w:hAnsi="Book Antiqua"/>
          <w:color w:val="000000" w:themeColor="text1"/>
          <w:sz w:val="24"/>
        </w:rPr>
        <w:t>I, respectively. For LR-4/5, the values were 73.9%, 80%, and 75.9% without DWI and 87.9%, 80%, and 85.3% with DWI, respectively. The Youden index value of this LI-RADS classification with DWI (0.679) was higher than that without DWI (0.539). For LR-4/5/M, the values were 75.8%, 58.8%, and 70.2% without DWI and 87.9%, 58.8%, and 78.4% with DWI, respectively.</w:t>
      </w:r>
      <w:r w:rsidRPr="001659B8">
        <w:rPr>
          <w:rFonts w:ascii="Book Antiqua" w:hAnsi="Book Antiqua"/>
          <w:b/>
          <w:color w:val="000000" w:themeColor="text1"/>
          <w:sz w:val="24"/>
        </w:rPr>
        <w:t xml:space="preserve"> </w:t>
      </w:r>
      <w:r w:rsidRPr="001659B8">
        <w:rPr>
          <w:rFonts w:ascii="Book Antiqua" w:hAnsi="Book Antiqua"/>
          <w:color w:val="000000" w:themeColor="text1"/>
          <w:sz w:val="24"/>
        </w:rPr>
        <w:t>The Youden index value of this LI-RADS classification with DWI (0.467) was higher than that without DWI (0.346). For LR- 4/5/TIV, the values were 75.8%, 75%, and 75.5% without DWI and 89.7%, 75%, and 84.9% with DWI, respectively.</w:t>
      </w:r>
      <w:r w:rsidRPr="001659B8">
        <w:rPr>
          <w:rFonts w:ascii="Book Antiqua" w:hAnsi="Book Antiqua"/>
          <w:b/>
          <w:color w:val="000000" w:themeColor="text1"/>
          <w:sz w:val="24"/>
        </w:rPr>
        <w:t xml:space="preserve"> </w:t>
      </w:r>
      <w:r w:rsidRPr="001659B8">
        <w:rPr>
          <w:rFonts w:ascii="Book Antiqua" w:hAnsi="Book Antiqua"/>
          <w:color w:val="000000" w:themeColor="text1"/>
          <w:sz w:val="24"/>
        </w:rPr>
        <w:t>The Youden index value of this LI-RADS classification with DWI (0.647) was higher than that without DWI (0.508). Detailed information about the diagnostic efficiency is summarized in Table 3.</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bCs/>
          <w:caps/>
          <w:color w:val="000000" w:themeColor="text1"/>
          <w:sz w:val="24"/>
        </w:rPr>
      </w:pPr>
      <w:r w:rsidRPr="001659B8">
        <w:rPr>
          <w:rFonts w:ascii="Book Antiqua" w:hAnsi="Book Antiqua"/>
          <w:b/>
          <w:bCs/>
          <w:caps/>
          <w:color w:val="000000" w:themeColor="text1"/>
          <w:sz w:val="24"/>
        </w:rPr>
        <w:t>Discussion</w:t>
      </w:r>
    </w:p>
    <w:p w:rsidR="00510107" w:rsidRPr="001659B8" w:rsidRDefault="002E702A">
      <w:pPr>
        <w:autoSpaceDE w:val="0"/>
        <w:autoSpaceDN w:val="0"/>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The results of this study demonstrated that the use of LI-RADS v2017 on gadoxetic acid-enhanced MR can provide high diagnostic efficacy for HCC. Furthermore, when DWI and MR images were jointly viewed for LI-RADS classification, the diagnostic AC was significantly increased. Thus, using LI-RADS v2017 </w:t>
      </w:r>
      <w:r w:rsidR="00E73FC4" w:rsidRPr="001659B8">
        <w:rPr>
          <w:rFonts w:ascii="Book Antiqua" w:hAnsi="Book Antiqua"/>
          <w:color w:val="000000" w:themeColor="text1"/>
          <w:sz w:val="24"/>
        </w:rPr>
        <w:t>with</w:t>
      </w:r>
      <w:r w:rsidRPr="001659B8">
        <w:rPr>
          <w:rFonts w:ascii="Book Antiqua" w:hAnsi="Book Antiqua"/>
          <w:color w:val="000000" w:themeColor="text1"/>
          <w:sz w:val="24"/>
        </w:rPr>
        <w:t xml:space="preserve"> gadoxetic acid-enhanced MR combined with DWI may result in a more accurate diagnosis of HCC.</w:t>
      </w:r>
    </w:p>
    <w:p w:rsidR="00510107" w:rsidRPr="001659B8" w:rsidRDefault="002E702A">
      <w:pPr>
        <w:autoSpaceDE w:val="0"/>
        <w:autoSpaceDN w:val="0"/>
        <w:adjustRightInd w:val="0"/>
        <w:snapToGrid w:val="0"/>
        <w:spacing w:after="0" w:line="360" w:lineRule="auto"/>
        <w:ind w:firstLineChars="100" w:firstLine="240"/>
        <w:rPr>
          <w:rFonts w:ascii="Book Antiqua" w:hAnsi="Book Antiqua"/>
          <w:color w:val="000000" w:themeColor="text1"/>
          <w:sz w:val="24"/>
        </w:rPr>
      </w:pPr>
      <w:r w:rsidRPr="001659B8">
        <w:rPr>
          <w:rFonts w:ascii="Book Antiqua" w:hAnsi="Book Antiqua"/>
          <w:color w:val="000000" w:themeColor="text1"/>
          <w:sz w:val="24"/>
        </w:rPr>
        <w:t xml:space="preserve">Several studies have compared the interobserver agreement of liver nodule classification based on LI-RADS. Liu </w:t>
      </w:r>
      <w:r w:rsidRPr="001659B8">
        <w:rPr>
          <w:rFonts w:ascii="Book Antiqua" w:hAnsi="Book Antiqua"/>
          <w:i/>
          <w:color w:val="000000" w:themeColor="text1"/>
          <w:sz w:val="24"/>
        </w:rPr>
        <w:t xml:space="preserve">et </w:t>
      </w:r>
      <w:proofErr w:type="gramStart"/>
      <w:r w:rsidRPr="001659B8">
        <w:rPr>
          <w:rFonts w:ascii="Book Antiqua" w:hAnsi="Book Antiqua"/>
          <w:i/>
          <w:color w:val="000000" w:themeColor="text1"/>
          <w:sz w:val="24"/>
        </w:rPr>
        <w:t>al</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20]</w:t>
      </w:r>
      <w:r w:rsidRPr="001659B8">
        <w:rPr>
          <w:rFonts w:ascii="Book Antiqua" w:hAnsi="Book Antiqua"/>
          <w:color w:val="000000" w:themeColor="text1"/>
          <w:sz w:val="24"/>
        </w:rPr>
        <w:t xml:space="preserve"> showed that the interobserver agreement was 0.44, and another study showed that the observer consistency was 0.748</w:t>
      </w:r>
      <w:r w:rsidRPr="001659B8">
        <w:rPr>
          <w:rFonts w:ascii="Book Antiqua" w:hAnsi="Book Antiqua"/>
          <w:color w:val="000000" w:themeColor="text1"/>
          <w:sz w:val="24"/>
          <w:vertAlign w:val="superscript"/>
        </w:rPr>
        <w:t>[21]</w:t>
      </w:r>
      <w:r w:rsidRPr="001659B8">
        <w:rPr>
          <w:rFonts w:ascii="Book Antiqua" w:hAnsi="Book Antiqua"/>
          <w:color w:val="000000" w:themeColor="text1"/>
          <w:sz w:val="24"/>
        </w:rPr>
        <w:t xml:space="preserve">. The interobserver agreement in our study was higher than that in previous studies, which might be explained by the application of the </w:t>
      </w:r>
      <w:r w:rsidRPr="001659B8">
        <w:rPr>
          <w:rFonts w:ascii="Book Antiqua" w:hAnsi="Book Antiqua"/>
          <w:color w:val="000000" w:themeColor="text1"/>
          <w:sz w:val="24"/>
        </w:rPr>
        <w:lastRenderedPageBreak/>
        <w:t>hepatobiliary phase (HBP) on gadoxetic acid-enhanced MRI. As Gd-EOB-DTPA is a liver-specific contrast agent with a unique EOB group, it can be specifically taken up by normal hepatocytes (approximately 50% uptake rate), thereby producing an enhancing effect in liver cells after Gd-EOB-DTPA administration</w:t>
      </w:r>
      <w:r w:rsidRPr="001659B8">
        <w:rPr>
          <w:rFonts w:ascii="Book Antiqua" w:hAnsi="Book Antiqua"/>
          <w:color w:val="000000" w:themeColor="text1"/>
          <w:sz w:val="24"/>
          <w:vertAlign w:val="superscript"/>
        </w:rPr>
        <w:t>[22]</w:t>
      </w:r>
      <w:r w:rsidRPr="001659B8">
        <w:rPr>
          <w:rFonts w:ascii="Book Antiqua" w:hAnsi="Book Antiqua"/>
          <w:color w:val="000000" w:themeColor="text1"/>
          <w:sz w:val="24"/>
        </w:rPr>
        <w:t xml:space="preserve">. However, dysfunctional liver cells cannot take up special liver contrast agents. Therefore, this imaging modality could provide useful information to distinguish abnormal hepatocytes (including HCC) from normal hepatocytes. In addition, the interobserver agreement of LI-RADS categorization was increased when DWI and MR were jointly viewed for the classification. The combination of Gd-EOB-DTPA-enhanced MRI and the DWI sequence can significantly improve both the diagnostic AC and SP for chronic liver disease-associated </w:t>
      </w:r>
      <w:proofErr w:type="gramStart"/>
      <w:r w:rsidRPr="001659B8">
        <w:rPr>
          <w:rFonts w:ascii="Book Antiqua" w:hAnsi="Book Antiqua"/>
          <w:color w:val="000000" w:themeColor="text1"/>
          <w:sz w:val="24"/>
        </w:rPr>
        <w:t>HCC</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23]</w:t>
      </w:r>
      <w:r w:rsidRPr="001659B8">
        <w:rPr>
          <w:rFonts w:ascii="Book Antiqua" w:hAnsi="Book Antiqua"/>
          <w:color w:val="000000" w:themeColor="text1"/>
          <w:sz w:val="24"/>
        </w:rPr>
        <w:t>. This finding might be explained by the ability of DWI to reflect the cellularity of tissue. Compared with normal tissue, tumor tissue with high cellularity could result in decreased extracellular space and limited water diffusion, represented by high signal intensity. In our study, a small number of lesions were classified as LR-3 without DWI; once DWI was added, these lesions were downgraded to LR-2 due to unrestricted diffusion. In addition, some lesions previously classified as LR-3 were upgraded to LR-4 due to restricted diffusion. Compared with the final pathological results, lesions degraded to LR-2 included atypical hemangioma and hepatic angiomyolipoma, and lesions upgraded to LR-4 were HCCs.</w:t>
      </w:r>
    </w:p>
    <w:p w:rsidR="00510107" w:rsidRPr="001659B8" w:rsidRDefault="002E702A">
      <w:pPr>
        <w:autoSpaceDE w:val="0"/>
        <w:autoSpaceDN w:val="0"/>
        <w:adjustRightInd w:val="0"/>
        <w:snapToGrid w:val="0"/>
        <w:spacing w:after="0" w:line="360" w:lineRule="auto"/>
        <w:ind w:firstLineChars="100" w:firstLine="240"/>
        <w:rPr>
          <w:rFonts w:ascii="Book Antiqua" w:hAnsi="Book Antiqua"/>
          <w:color w:val="000000" w:themeColor="text1"/>
          <w:sz w:val="24"/>
        </w:rPr>
      </w:pPr>
      <w:r w:rsidRPr="001659B8">
        <w:rPr>
          <w:rFonts w:ascii="Book Antiqua" w:hAnsi="Book Antiqua"/>
          <w:color w:val="000000" w:themeColor="text1"/>
          <w:sz w:val="24"/>
        </w:rPr>
        <w:t xml:space="preserve">Our study shows that LI-RADS v2017 on gadoxetic acid-enhanced MR and DWI can improve the diagnostic efficiency for the evaluation of patients at risk for HCC. When considering only lesions classified as LR-5, the diagnostic efficiency of HCC did not change with or without DWI. In LI-RADS v2017, DWI is an ancillary feature that can be applied for category adjustment but cannot be used to upgrade to LR-5. In addition, observations classified as LR-5 in our study strongly suggested HCCs based on major features; accordingly, no observations were downgraded to LR-4. For LR-4/5, LR-4/5/TIV, and LR-4/5/M, all diagnostic efficiencies were improved when </w:t>
      </w:r>
      <w:r w:rsidRPr="001659B8">
        <w:rPr>
          <w:rFonts w:ascii="Book Antiqua" w:hAnsi="Book Antiqua"/>
          <w:color w:val="000000" w:themeColor="text1"/>
          <w:sz w:val="24"/>
        </w:rPr>
        <w:lastRenderedPageBreak/>
        <w:t xml:space="preserve">DWI was added </w:t>
      </w:r>
      <w:bookmarkStart w:id="67" w:name="OLE_LINK6"/>
      <w:r w:rsidRPr="001659B8">
        <w:rPr>
          <w:rFonts w:ascii="Book Antiqua" w:hAnsi="Book Antiqua"/>
          <w:color w:val="000000" w:themeColor="text1"/>
          <w:sz w:val="24"/>
        </w:rPr>
        <w:t xml:space="preserve">(LR-4/5: 0.539 </w:t>
      </w:r>
      <w:r w:rsidRPr="001659B8">
        <w:rPr>
          <w:rFonts w:ascii="Book Antiqua" w:hAnsi="Book Antiqua"/>
          <w:i/>
          <w:color w:val="000000" w:themeColor="text1"/>
          <w:sz w:val="24"/>
        </w:rPr>
        <w:t xml:space="preserve">vs </w:t>
      </w:r>
      <w:r w:rsidRPr="001659B8">
        <w:rPr>
          <w:rFonts w:ascii="Book Antiqua" w:hAnsi="Book Antiqua"/>
          <w:color w:val="000000" w:themeColor="text1"/>
          <w:sz w:val="24"/>
        </w:rPr>
        <w:t xml:space="preserve">0.679; LR-4/5/M: 0.346 </w:t>
      </w:r>
      <w:r w:rsidRPr="001659B8">
        <w:rPr>
          <w:rFonts w:ascii="Book Antiqua" w:hAnsi="Book Antiqua"/>
          <w:i/>
          <w:color w:val="000000" w:themeColor="text1"/>
          <w:sz w:val="24"/>
        </w:rPr>
        <w:t xml:space="preserve">vs </w:t>
      </w:r>
      <w:r w:rsidRPr="001659B8">
        <w:rPr>
          <w:rFonts w:ascii="Book Antiqua" w:hAnsi="Book Antiqua"/>
          <w:color w:val="000000" w:themeColor="text1"/>
          <w:sz w:val="24"/>
        </w:rPr>
        <w:t xml:space="preserve">0.467; and LR-4/5/TIV: 0.508 </w:t>
      </w:r>
      <w:r w:rsidRPr="001659B8">
        <w:rPr>
          <w:rFonts w:ascii="Book Antiqua" w:hAnsi="Book Antiqua"/>
          <w:i/>
          <w:color w:val="000000" w:themeColor="text1"/>
          <w:sz w:val="24"/>
        </w:rPr>
        <w:t xml:space="preserve">vs </w:t>
      </w:r>
      <w:r w:rsidRPr="001659B8">
        <w:rPr>
          <w:rFonts w:ascii="Book Antiqua" w:hAnsi="Book Antiqua"/>
          <w:color w:val="000000" w:themeColor="text1"/>
          <w:sz w:val="24"/>
        </w:rPr>
        <w:t>0.647</w:t>
      </w:r>
      <w:bookmarkEnd w:id="67"/>
      <w:r w:rsidRPr="001659B8">
        <w:rPr>
          <w:rFonts w:ascii="Book Antiqua" w:hAnsi="Book Antiqua"/>
          <w:color w:val="000000" w:themeColor="text1"/>
          <w:sz w:val="24"/>
        </w:rPr>
        <w:t xml:space="preserve">). Although DWI is an ancillary feature, we could upgrade some LR-3 observations to LR-4, and many observations were confirmed as HCCs. Therefore, the diagnostic efficiency was improved. Our results were consistent with those of Kim </w:t>
      </w:r>
      <w:r w:rsidRPr="001659B8">
        <w:rPr>
          <w:rFonts w:ascii="Book Antiqua" w:hAnsi="Book Antiqua"/>
          <w:i/>
          <w:color w:val="000000" w:themeColor="text1"/>
          <w:sz w:val="24"/>
        </w:rPr>
        <w:t xml:space="preserve">et </w:t>
      </w:r>
      <w:proofErr w:type="gramStart"/>
      <w:r w:rsidRPr="001659B8">
        <w:rPr>
          <w:rFonts w:ascii="Book Antiqua" w:hAnsi="Book Antiqua"/>
          <w:i/>
          <w:color w:val="000000" w:themeColor="text1"/>
          <w:sz w:val="24"/>
        </w:rPr>
        <w:t>al</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 xml:space="preserve">23] </w:t>
      </w:r>
      <w:r w:rsidRPr="001659B8">
        <w:rPr>
          <w:rFonts w:ascii="Book Antiqua" w:hAnsi="Book Antiqua"/>
          <w:color w:val="000000" w:themeColor="text1"/>
          <w:sz w:val="24"/>
        </w:rPr>
        <w:t xml:space="preserve">who reported similar diagnostic efficacy of </w:t>
      </w:r>
      <w:r w:rsidRPr="001659B8">
        <w:rPr>
          <w:rFonts w:ascii="Book Antiqua" w:hAnsi="Book Antiqua"/>
          <w:bCs/>
          <w:color w:val="000000" w:themeColor="text1"/>
          <w:sz w:val="24"/>
        </w:rPr>
        <w:t>LI-RADS</w:t>
      </w:r>
      <w:r w:rsidRPr="001659B8">
        <w:rPr>
          <w:rFonts w:ascii="Book Antiqua" w:hAnsi="Book Antiqua"/>
          <w:b/>
          <w:color w:val="000000" w:themeColor="text1"/>
          <w:sz w:val="24"/>
        </w:rPr>
        <w:t xml:space="preserve"> </w:t>
      </w:r>
      <w:r w:rsidRPr="001659B8">
        <w:rPr>
          <w:rFonts w:ascii="Book Antiqua" w:hAnsi="Book Antiqua"/>
          <w:color w:val="000000" w:themeColor="text1"/>
          <w:sz w:val="24"/>
        </w:rPr>
        <w:t>on gadoxetate-enhanced MRI. However, compared with previous studies, the advantage of this study was the application of LI-RADS v2017, which offered more consummate categorization.</w:t>
      </w:r>
    </w:p>
    <w:p w:rsidR="00510107" w:rsidRPr="001659B8" w:rsidRDefault="002E702A">
      <w:pPr>
        <w:adjustRightInd w:val="0"/>
        <w:snapToGrid w:val="0"/>
        <w:spacing w:after="0" w:line="360" w:lineRule="auto"/>
        <w:ind w:firstLineChars="100" w:firstLine="240"/>
        <w:rPr>
          <w:rFonts w:ascii="Book Antiqua" w:hAnsi="Book Antiqua"/>
          <w:color w:val="000000" w:themeColor="text1"/>
          <w:sz w:val="24"/>
        </w:rPr>
      </w:pPr>
      <w:r w:rsidRPr="001659B8">
        <w:rPr>
          <w:rFonts w:ascii="Book Antiqua" w:hAnsi="Book Antiqua"/>
          <w:color w:val="000000" w:themeColor="text1"/>
          <w:sz w:val="24"/>
        </w:rPr>
        <w:t>In our study, one of 21/24 (without and with DWI, respectively)</w:t>
      </w:r>
      <w:r w:rsidRPr="001659B8">
        <w:rPr>
          <w:rFonts w:ascii="Book Antiqua" w:hAnsi="Book Antiqua"/>
          <w:color w:val="000000" w:themeColor="text1"/>
          <w:sz w:val="24"/>
        </w:rPr>
        <w:tab/>
        <w:t xml:space="preserve">category 2 lesions was ultimately diagnosed as HCC (well-differentiated). Some previous studies have also confirmed a few LR-2 </w:t>
      </w:r>
      <w:proofErr w:type="gramStart"/>
      <w:r w:rsidRPr="001659B8">
        <w:rPr>
          <w:rFonts w:ascii="Book Antiqua" w:hAnsi="Book Antiqua"/>
          <w:color w:val="000000" w:themeColor="text1"/>
          <w:sz w:val="24"/>
        </w:rPr>
        <w:t>lesions</w:t>
      </w:r>
      <w:r w:rsidRPr="001659B8">
        <w:rPr>
          <w:rFonts w:ascii="Book Antiqua" w:hAnsi="Book Antiqua"/>
          <w:color w:val="000000" w:themeColor="text1"/>
          <w:sz w:val="24"/>
          <w:vertAlign w:val="superscript"/>
        </w:rPr>
        <w:t>[</w:t>
      </w:r>
      <w:proofErr w:type="gramEnd"/>
      <w:r w:rsidRPr="001659B8">
        <w:rPr>
          <w:rFonts w:ascii="Book Antiqua" w:hAnsi="Book Antiqua"/>
          <w:color w:val="000000" w:themeColor="text1"/>
          <w:sz w:val="24"/>
          <w:vertAlign w:val="superscript"/>
        </w:rPr>
        <w:t xml:space="preserve">20,24] </w:t>
      </w:r>
      <w:r w:rsidRPr="001659B8">
        <w:rPr>
          <w:rFonts w:ascii="Book Antiqua" w:hAnsi="Book Antiqua"/>
          <w:color w:val="000000" w:themeColor="text1"/>
          <w:sz w:val="24"/>
        </w:rPr>
        <w:t>as HCCs. For LR-3, 36 out of 49 lesions were HCCs without DWI; however, 23 out of the 49 LR-3 lesions mentioned above were reclassified as LR-2 (</w:t>
      </w:r>
      <w:r w:rsidRPr="001659B8">
        <w:rPr>
          <w:rFonts w:ascii="Book Antiqua" w:hAnsi="Book Antiqua"/>
          <w:i/>
          <w:color w:val="000000" w:themeColor="text1"/>
          <w:sz w:val="24"/>
        </w:rPr>
        <w:t>n</w:t>
      </w:r>
      <w:r w:rsidRPr="001659B8">
        <w:rPr>
          <w:rFonts w:ascii="Book Antiqua" w:hAnsi="Book Antiqua"/>
          <w:color w:val="000000" w:themeColor="text1"/>
          <w:sz w:val="24"/>
        </w:rPr>
        <w:t xml:space="preserve"> = 3) with hypointensity and LR-4 (</w:t>
      </w:r>
      <w:r w:rsidRPr="001659B8">
        <w:rPr>
          <w:rFonts w:ascii="Book Antiqua" w:hAnsi="Book Antiqua"/>
          <w:i/>
          <w:color w:val="000000" w:themeColor="text1"/>
          <w:sz w:val="24"/>
        </w:rPr>
        <w:t>n</w:t>
      </w:r>
      <w:r w:rsidRPr="001659B8">
        <w:rPr>
          <w:rFonts w:ascii="Book Antiqua" w:hAnsi="Book Antiqua"/>
          <w:color w:val="000000" w:themeColor="text1"/>
          <w:sz w:val="24"/>
        </w:rPr>
        <w:t xml:space="preserve"> = 20) with hyperintensity on DWI. Moreover, the final pathological outcomes confirmed the 20 reclassified LR-4 lesions as HCCs and the remaining 3 LR-2 lesions as benign. In addition, 3 LR-M lesions were reclassified as LR-4 due to DWI characteristics, and all of these lesions were confirmed as HCCs. Therefore, the application of DWI readjusted the categorization and enhanced the diagnostic efficiency for HCC. For LR-1, LR-5, and LR-TIV, the categorization was the same with or without DWI because the imaging signs for these LI-RADS classifications were sufficient to make accurate diagnoses. Some non-HCC malignancies in our study were categorized as LR-3, LR-4, or LR-5, demonstrating the difficulty of obtaining a perfectly specific diagnosis of HCC using LI-RADS v2017.</w:t>
      </w:r>
    </w:p>
    <w:p w:rsidR="00510107" w:rsidRPr="001659B8" w:rsidRDefault="002E702A">
      <w:pPr>
        <w:adjustRightInd w:val="0"/>
        <w:snapToGrid w:val="0"/>
        <w:spacing w:after="0" w:line="360" w:lineRule="auto"/>
        <w:ind w:firstLineChars="100" w:firstLine="240"/>
        <w:rPr>
          <w:rFonts w:ascii="Book Antiqua" w:hAnsi="Book Antiqua"/>
          <w:color w:val="000000" w:themeColor="text1"/>
          <w:sz w:val="24"/>
        </w:rPr>
      </w:pPr>
      <w:r w:rsidRPr="001659B8">
        <w:rPr>
          <w:rFonts w:ascii="Book Antiqua" w:hAnsi="Book Antiqua"/>
          <w:color w:val="000000" w:themeColor="text1"/>
          <w:sz w:val="24"/>
        </w:rPr>
        <w:t xml:space="preserve">However, our study had several limitations. First, a selection bias may have been present due to the single-center, retrospective design. Thus, validating these results with studies in other centers with a prospective design is necessary. Second, a major feature, the growth threshold, was not investigated because of patients with doubtful liver malignancy </w:t>
      </w:r>
      <w:proofErr w:type="gramStart"/>
      <w:r w:rsidRPr="001659B8">
        <w:rPr>
          <w:rFonts w:ascii="Book Antiqua" w:hAnsi="Book Antiqua"/>
          <w:color w:val="000000" w:themeColor="text1"/>
          <w:sz w:val="24"/>
        </w:rPr>
        <w:t>who</w:t>
      </w:r>
      <w:proofErr w:type="gramEnd"/>
      <w:r w:rsidRPr="001659B8">
        <w:rPr>
          <w:rFonts w:ascii="Book Antiqua" w:hAnsi="Book Antiqua"/>
          <w:color w:val="000000" w:themeColor="text1"/>
          <w:sz w:val="24"/>
        </w:rPr>
        <w:t xml:space="preserve"> underwent liver surgery without a long-term follow-up. Thus, we lacked </w:t>
      </w:r>
      <w:r w:rsidRPr="001659B8">
        <w:rPr>
          <w:rFonts w:ascii="Book Antiqua" w:hAnsi="Book Antiqua"/>
          <w:color w:val="000000" w:themeColor="text1"/>
          <w:sz w:val="24"/>
        </w:rPr>
        <w:lastRenderedPageBreak/>
        <w:t>patients to meet the criterion. Third, definitely or probably benign observations were reported at the observers’ discretion; hence, the numbers of LR-1 and LR-2 observations were lower than the actual numbers of benign lesions, which may decrease the diagnostic AC for true negative patients. Fourth, the latest version of LI-RADS (v2018) was not applied to these patients. However, we believe that our data, a pool of categorization results by several readers during actual MRI interpretation, can better reflect clinical practice and may be broadly applied.</w:t>
      </w:r>
    </w:p>
    <w:p w:rsidR="00510107" w:rsidRPr="001659B8" w:rsidRDefault="002E702A">
      <w:pPr>
        <w:adjustRightInd w:val="0"/>
        <w:snapToGrid w:val="0"/>
        <w:spacing w:after="0" w:line="360" w:lineRule="auto"/>
        <w:ind w:firstLine="240"/>
        <w:rPr>
          <w:rFonts w:ascii="Book Antiqua" w:hAnsi="Book Antiqua"/>
          <w:color w:val="000000" w:themeColor="text1"/>
          <w:sz w:val="24"/>
        </w:rPr>
      </w:pPr>
      <w:r w:rsidRPr="001659B8">
        <w:rPr>
          <w:rFonts w:ascii="Book Antiqua" w:hAnsi="Book Antiqua"/>
          <w:color w:val="000000" w:themeColor="text1"/>
          <w:sz w:val="24"/>
        </w:rPr>
        <w:t xml:space="preserve">In conclusion, LI-RADS v2017 has been successfully applied with gadoxetate-enhanced MRI for patients at high risk for HCC. The addition of DWI significantly increases the diagnostic efficiency for HCC. However, </w:t>
      </w:r>
      <w:r w:rsidRPr="001659B8">
        <w:rPr>
          <w:rFonts w:ascii="Book Antiqua" w:hAnsi="Book Antiqua" w:hint="eastAsia"/>
          <w:color w:val="000000" w:themeColor="text1"/>
          <w:sz w:val="24"/>
        </w:rPr>
        <w:t>these results need to be validat</w:t>
      </w:r>
      <w:r w:rsidRPr="001659B8">
        <w:rPr>
          <w:rFonts w:ascii="Book Antiqua" w:hAnsi="Book Antiqua"/>
          <w:color w:val="000000" w:themeColor="text1"/>
          <w:sz w:val="24"/>
        </w:rPr>
        <w:t>e</w:t>
      </w:r>
      <w:r w:rsidRPr="001659B8">
        <w:rPr>
          <w:rFonts w:ascii="Book Antiqua" w:hAnsi="Book Antiqua" w:hint="eastAsia"/>
          <w:color w:val="000000" w:themeColor="text1"/>
          <w:sz w:val="24"/>
        </w:rPr>
        <w:t>d with studies in other centers in a prospective form.</w:t>
      </w:r>
    </w:p>
    <w:p w:rsidR="00510107" w:rsidRPr="001659B8" w:rsidRDefault="00510107">
      <w:pPr>
        <w:adjustRightInd w:val="0"/>
        <w:snapToGrid w:val="0"/>
        <w:spacing w:after="0" w:line="360" w:lineRule="auto"/>
        <w:ind w:firstLine="240"/>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caps/>
          <w:color w:val="000000" w:themeColor="text1"/>
          <w:sz w:val="24"/>
        </w:rPr>
      </w:pPr>
      <w:bookmarkStart w:id="68" w:name="OLE_LINK205"/>
      <w:bookmarkStart w:id="69" w:name="OLE_LINK159"/>
      <w:bookmarkStart w:id="70" w:name="OLE_LINK23"/>
      <w:bookmarkStart w:id="71" w:name="OLE_LINK158"/>
      <w:bookmarkStart w:id="72" w:name="OLE_LINK244"/>
      <w:bookmarkStart w:id="73" w:name="OLE_LINK245"/>
      <w:bookmarkStart w:id="74" w:name="OLE_LINK259"/>
      <w:bookmarkStart w:id="75" w:name="OLE_LINK151"/>
      <w:bookmarkStart w:id="76" w:name="OLE_LINK206"/>
      <w:bookmarkStart w:id="77" w:name="OLE_LINK24"/>
      <w:bookmarkStart w:id="78" w:name="OLE_LINK332"/>
      <w:bookmarkStart w:id="79" w:name="OLE_LINK316"/>
      <w:bookmarkStart w:id="80" w:name="OLE_LINK521"/>
      <w:r w:rsidRPr="001659B8">
        <w:rPr>
          <w:rFonts w:ascii="Book Antiqua" w:hAnsi="Book Antiqua" w:cs="Segoe UI"/>
          <w:b/>
          <w:caps/>
          <w:color w:val="000000" w:themeColor="text1"/>
          <w:sz w:val="24"/>
          <w:shd w:val="clear" w:color="auto" w:fill="FFFFFF"/>
        </w:rPr>
        <w:t>Article Highlights</w:t>
      </w: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Research background</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Hepatocellular carcinoma (HCC) is the fifth most common cancer and the third leading cause of cancer-related deaths. The Liver Imaging Reporting and Data System (LI-RADS), supported by the American College of Radiology (ACR), has been developed for standardizing the acquisition, interpretation, reporting, and data collection of liver imaging examinations in patients at risk for HCC. Ancillary features can be applied to upgrade or downgrade the initially assigned LI-RADS category based on major features only.</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Research motivation</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Magnetic resonance imaging (MRI) can be used for categorization of liver observations and diagnosis of HCC based on the major and ancillary features of LI-RADS. Gadoxetic-acid disodium (Gd-EOB-DTPA), a hepatobiliary contrast agent, could provide information of hepatocyte function. Diffusion-weighted imaging (DWI) can further quantitatively measure tissue </w:t>
      </w:r>
      <w:r w:rsidRPr="001659B8">
        <w:rPr>
          <w:rFonts w:ascii="Book Antiqua" w:hAnsi="Book Antiqua"/>
          <w:color w:val="000000" w:themeColor="text1"/>
          <w:sz w:val="24"/>
        </w:rPr>
        <w:lastRenderedPageBreak/>
        <w:t>diffusion and further reflect tumor cellularity. Thus, the combination of Gd-EOB-DTPA-enhanced MRI and DWI has the potential to improve the diagnostic accuracy (AC) for HCC.</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Research objectives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In this study, we aimed to determine the usefulness of DWI in improving the diagnostic AC of LI-RADS v2017 classification. In addition, future research should focus on the comparison of LI-RADS v2017 and v2018.</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b/>
          <w:i/>
          <w:color w:val="000000" w:themeColor="text1"/>
          <w:sz w:val="24"/>
        </w:rPr>
      </w:pPr>
      <w:r w:rsidRPr="001659B8">
        <w:rPr>
          <w:rFonts w:ascii="Book Antiqua" w:hAnsi="Book Antiqua"/>
          <w:b/>
          <w:i/>
          <w:color w:val="000000" w:themeColor="text1"/>
          <w:sz w:val="24"/>
        </w:rPr>
        <w:t>Research methods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In this institutional review board-approved study, a total of 414 consecutive patients at high risk for HCC were enrolled. Two radiologists who were blinded to the clinical, laboratory, and pathology results reinterpreted the MR images. Each reader measured the maximum diameter and recorded the presence of each lesion and assigned scores according to LI-RADS v2017. The ancillary feature “restricted diffusion” on DWI images could be used at radiologist discretion for category adjustment (upgrade or downgrade). The kappa test was used to determine the agreement between the two independent radiologists in each item. In addition, the sensitivity (SE), specificity (SP), AC, positive predictive value (PPV), and negative predictive value (NPV) were calculated for assessing the diagnostic performance of LI-RADS. Youden index values were used to compare the diagnostic performance of LI-RADS with or without DWI.</w:t>
      </w:r>
    </w:p>
    <w:p w:rsidR="00510107" w:rsidRPr="001659B8" w:rsidRDefault="00510107">
      <w:pPr>
        <w:adjustRightInd w:val="0"/>
        <w:snapToGrid w:val="0"/>
        <w:spacing w:after="0" w:line="360" w:lineRule="auto"/>
        <w:rPr>
          <w:rFonts w:ascii="Book Antiqua" w:eastAsiaTheme="minorEastAsia" w:hAnsi="Book Antiqua"/>
          <w:b/>
          <w:color w:val="000000" w:themeColor="text1"/>
          <w:sz w:val="24"/>
        </w:rPr>
      </w:pPr>
    </w:p>
    <w:p w:rsidR="00510107" w:rsidRPr="001659B8" w:rsidRDefault="002E702A">
      <w:pPr>
        <w:adjustRightInd w:val="0"/>
        <w:snapToGrid w:val="0"/>
        <w:spacing w:after="0" w:line="360" w:lineRule="auto"/>
        <w:outlineLvl w:val="0"/>
        <w:rPr>
          <w:rStyle w:val="ac"/>
          <w:rFonts w:ascii="Book Antiqua" w:hAnsi="Book Antiqua" w:cs="Arial"/>
          <w:color w:val="000000" w:themeColor="text1"/>
          <w:sz w:val="24"/>
          <w:szCs w:val="24"/>
          <w:lang w:eastAsia="pl-PL"/>
        </w:rPr>
      </w:pPr>
      <w:r w:rsidRPr="001659B8">
        <w:rPr>
          <w:rFonts w:ascii="Book Antiqua" w:hAnsi="Book Antiqua"/>
          <w:b/>
          <w:i/>
          <w:color w:val="000000" w:themeColor="text1"/>
          <w:sz w:val="24"/>
        </w:rPr>
        <w:t>Research results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For LR-5, the diagnostic SE, SP, and AC values were 61.2%, 92.5%, and 71.4%, respectively, with or without DWI; for LR-4/5, they were 73.9%, 80%, and 75.9% without DWI and 87.9%, 80%, and 85.3% with DWI; for LR-4/5/M, they were 75.8%, 58.8%, and 70.2% without DWI and 87.9%, 58.8%, and 78.4% with DWI; for LR- 4/5/TIV, they were 75.8%, 75%, and 75.5% without DWI and 89.7%, 75%, and 84.9% with DWI. The Youden index values of the </w:t>
      </w:r>
      <w:r w:rsidRPr="001659B8">
        <w:rPr>
          <w:rFonts w:ascii="Book Antiqua" w:hAnsi="Book Antiqua"/>
          <w:color w:val="000000" w:themeColor="text1"/>
          <w:sz w:val="24"/>
        </w:rPr>
        <w:lastRenderedPageBreak/>
        <w:t xml:space="preserve">LI-RADS classification without or with DWI were as follows: LR-4/5: 0.539 </w:t>
      </w:r>
      <w:r w:rsidRPr="001659B8">
        <w:rPr>
          <w:rFonts w:ascii="Book Antiqua" w:hAnsi="Book Antiqua"/>
          <w:i/>
          <w:color w:val="000000" w:themeColor="text1"/>
          <w:sz w:val="24"/>
        </w:rPr>
        <w:t xml:space="preserve">vs </w:t>
      </w:r>
      <w:r w:rsidRPr="001659B8">
        <w:rPr>
          <w:rFonts w:ascii="Book Antiqua" w:hAnsi="Book Antiqua"/>
          <w:color w:val="000000" w:themeColor="text1"/>
          <w:sz w:val="24"/>
        </w:rPr>
        <w:t xml:space="preserve">0.679; LR-4/5/M: 0.346 </w:t>
      </w:r>
      <w:r w:rsidRPr="001659B8">
        <w:rPr>
          <w:rFonts w:ascii="Book Antiqua" w:hAnsi="Book Antiqua"/>
          <w:i/>
          <w:color w:val="000000" w:themeColor="text1"/>
          <w:sz w:val="24"/>
        </w:rPr>
        <w:t xml:space="preserve">vs </w:t>
      </w:r>
      <w:r w:rsidRPr="001659B8">
        <w:rPr>
          <w:rFonts w:ascii="Book Antiqua" w:hAnsi="Book Antiqua"/>
          <w:color w:val="000000" w:themeColor="text1"/>
          <w:sz w:val="24"/>
        </w:rPr>
        <w:t xml:space="preserve">0.467; and LR-4/5/TIV: 0.508 </w:t>
      </w:r>
      <w:r w:rsidRPr="001659B8">
        <w:rPr>
          <w:rFonts w:ascii="Book Antiqua" w:hAnsi="Book Antiqua"/>
          <w:i/>
          <w:color w:val="000000" w:themeColor="text1"/>
          <w:sz w:val="24"/>
        </w:rPr>
        <w:t>vs</w:t>
      </w:r>
      <w:r w:rsidRPr="001659B8">
        <w:rPr>
          <w:rFonts w:ascii="Book Antiqua" w:hAnsi="Book Antiqua"/>
          <w:color w:val="000000" w:themeColor="text1"/>
          <w:sz w:val="24"/>
        </w:rPr>
        <w:t xml:space="preserve"> 0.647. The remaining problems that exist should be solved by using prospective, multi-center study to verify our results.</w:t>
      </w:r>
    </w:p>
    <w:p w:rsidR="00510107" w:rsidRPr="001659B8" w:rsidRDefault="00510107">
      <w:pPr>
        <w:adjustRightInd w:val="0"/>
        <w:snapToGrid w:val="0"/>
        <w:spacing w:after="0" w:line="360" w:lineRule="auto"/>
        <w:rPr>
          <w:rFonts w:ascii="Book Antiqua" w:hAnsi="Book Antiqua"/>
          <w:color w:val="000000" w:themeColor="text1"/>
          <w:sz w:val="24"/>
        </w:rPr>
      </w:pPr>
    </w:p>
    <w:p w:rsidR="00510107" w:rsidRPr="001659B8" w:rsidRDefault="002E702A">
      <w:pPr>
        <w:adjustRightInd w:val="0"/>
        <w:snapToGrid w:val="0"/>
        <w:spacing w:after="0" w:line="360" w:lineRule="auto"/>
        <w:outlineLvl w:val="0"/>
        <w:rPr>
          <w:rFonts w:ascii="Book Antiqua" w:hAnsi="Book Antiqua" w:cs="Segoe UI"/>
          <w:b/>
          <w:i/>
          <w:color w:val="000000" w:themeColor="text1"/>
          <w:sz w:val="24"/>
          <w:shd w:val="clear" w:color="auto" w:fill="FFFFFF"/>
        </w:rPr>
      </w:pPr>
      <w:r w:rsidRPr="001659B8">
        <w:rPr>
          <w:rFonts w:ascii="Book Antiqua" w:hAnsi="Book Antiqua"/>
          <w:b/>
          <w:i/>
          <w:color w:val="000000" w:themeColor="text1"/>
          <w:sz w:val="24"/>
        </w:rPr>
        <w:t>Research conclusions</w:t>
      </w:r>
    </w:p>
    <w:p w:rsidR="00510107" w:rsidRPr="001659B8" w:rsidRDefault="002E702A">
      <w:pPr>
        <w:adjustRightInd w:val="0"/>
        <w:snapToGrid w:val="0"/>
        <w:spacing w:after="0" w:line="360" w:lineRule="auto"/>
        <w:rPr>
          <w:rFonts w:ascii="Book Antiqua" w:hAnsi="Book Antiqua" w:cs="Segoe UI"/>
          <w:color w:val="000000" w:themeColor="text1"/>
          <w:sz w:val="24"/>
          <w:shd w:val="clear" w:color="auto" w:fill="FFFFFF"/>
        </w:rPr>
      </w:pPr>
      <w:r w:rsidRPr="001659B8">
        <w:rPr>
          <w:rFonts w:ascii="Book Antiqua" w:hAnsi="Book Antiqua" w:cs="Segoe UI"/>
          <w:color w:val="000000" w:themeColor="text1"/>
          <w:sz w:val="24"/>
          <w:shd w:val="clear" w:color="auto" w:fill="FFFFFF"/>
        </w:rPr>
        <w:t>The ancillary feature “restricted diffusion” on DWI images could be used at radiologist discretion for category adjustment (upgrade or downgrade). The ability of DWI is to reflect the cellularity of tissue. Compared with normal tissue, tumor tissue with high cellularity could result in decreased extracellular space and limited water diffusion, represented by high signal intensity. In our study, a small number of lesions were classified as LR-3 without DWI; however, when DWI was added, these lesions were downgraded to LR-2 due to unrestricted diffusion. In addition, some lesions previously classified as LR-3 were upgraded to LR-4 due to restricted diffusion. Thus, our study also shows that the use of DWI can improve the diagnostic efficiency of LI-RADS v2017 with gadoxetic acid-enhanced MRI for HCC. We believe that our data, a pool of categorization results by several readers during actual MRI interpretation, can better be explained by clinical practice and may be broadly applied.</w:t>
      </w:r>
    </w:p>
    <w:p w:rsidR="00510107" w:rsidRPr="001659B8" w:rsidRDefault="00510107">
      <w:pPr>
        <w:adjustRightInd w:val="0"/>
        <w:snapToGrid w:val="0"/>
        <w:spacing w:after="0" w:line="360" w:lineRule="auto"/>
        <w:rPr>
          <w:rFonts w:ascii="Book Antiqua" w:hAnsi="Book Antiqua" w:cs="Segoe UI"/>
          <w:color w:val="000000" w:themeColor="text1"/>
          <w:sz w:val="24"/>
          <w:shd w:val="clear" w:color="auto" w:fill="FFFFFF"/>
        </w:rPr>
      </w:pPr>
    </w:p>
    <w:p w:rsidR="00510107" w:rsidRPr="001659B8" w:rsidRDefault="002E702A">
      <w:pPr>
        <w:adjustRightInd w:val="0"/>
        <w:snapToGrid w:val="0"/>
        <w:spacing w:after="0" w:line="360" w:lineRule="auto"/>
        <w:outlineLvl w:val="0"/>
        <w:rPr>
          <w:rFonts w:ascii="Book Antiqua" w:hAnsi="Book Antiqua" w:cs="Segoe UI"/>
          <w:b/>
          <w:i/>
          <w:color w:val="000000" w:themeColor="text1"/>
          <w:sz w:val="24"/>
          <w:shd w:val="clear" w:color="auto" w:fill="FFFFFF"/>
        </w:rPr>
      </w:pPr>
      <w:r w:rsidRPr="001659B8">
        <w:rPr>
          <w:rFonts w:ascii="Book Antiqua" w:hAnsi="Book Antiqua" w:cs="Segoe UI"/>
          <w:b/>
          <w:i/>
          <w:color w:val="000000" w:themeColor="text1"/>
          <w:sz w:val="24"/>
          <w:shd w:val="clear" w:color="auto" w:fill="FFFFFF"/>
        </w:rPr>
        <w:t>Research perspectives</w:t>
      </w:r>
    </w:p>
    <w:p w:rsidR="00510107" w:rsidRPr="001659B8" w:rsidRDefault="002E702A">
      <w:pPr>
        <w:adjustRightInd w:val="0"/>
        <w:snapToGrid w:val="0"/>
        <w:spacing w:after="0" w:line="360" w:lineRule="auto"/>
        <w:rPr>
          <w:rFonts w:ascii="Book Antiqua" w:hAnsi="Book Antiqua" w:cs="Segoe UI"/>
          <w:color w:val="000000" w:themeColor="text1"/>
          <w:sz w:val="24"/>
          <w:shd w:val="clear" w:color="auto" w:fill="FFFFFF"/>
        </w:rPr>
      </w:pPr>
      <w:r w:rsidRPr="001659B8">
        <w:rPr>
          <w:rFonts w:ascii="Book Antiqua" w:hAnsi="Book Antiqua" w:cs="Segoe UI"/>
          <w:color w:val="000000" w:themeColor="text1"/>
          <w:sz w:val="24"/>
          <w:shd w:val="clear" w:color="auto" w:fill="FFFFFF"/>
        </w:rPr>
        <w:t>Our study shows that LI-RADS v2017 has been successfully applied with gadoxetate-enhanced MRI for patients at high risk for HCC. The addition of DWI significantly increased the diagnostic efficiency for HCC. For the future research, we intend to investigate interobserver or intraobserver variability through a multi-center study and apply the latest 2018 version of LI-RADS.</w:t>
      </w:r>
    </w:p>
    <w:bookmarkEnd w:id="68"/>
    <w:bookmarkEnd w:id="69"/>
    <w:bookmarkEnd w:id="70"/>
    <w:bookmarkEnd w:id="71"/>
    <w:bookmarkEnd w:id="72"/>
    <w:bookmarkEnd w:id="73"/>
    <w:bookmarkEnd w:id="74"/>
    <w:bookmarkEnd w:id="75"/>
    <w:bookmarkEnd w:id="76"/>
    <w:bookmarkEnd w:id="77"/>
    <w:bookmarkEnd w:id="78"/>
    <w:bookmarkEnd w:id="79"/>
    <w:bookmarkEnd w:id="80"/>
    <w:p w:rsidR="00510107" w:rsidRPr="001659B8" w:rsidRDefault="002E702A">
      <w:pPr>
        <w:widowControl/>
        <w:adjustRightInd w:val="0"/>
        <w:snapToGrid w:val="0"/>
        <w:spacing w:after="0" w:line="360" w:lineRule="auto"/>
        <w:rPr>
          <w:rFonts w:ascii="Book Antiqua" w:hAnsi="Book Antiqua"/>
          <w:b/>
          <w:bCs/>
          <w:color w:val="000000" w:themeColor="text1"/>
          <w:sz w:val="24"/>
        </w:rPr>
      </w:pPr>
      <w:r w:rsidRPr="001659B8">
        <w:rPr>
          <w:rFonts w:ascii="Book Antiqua" w:hAnsi="Book Antiqua"/>
          <w:b/>
          <w:bCs/>
          <w:color w:val="000000" w:themeColor="text1"/>
          <w:sz w:val="24"/>
        </w:rPr>
        <w:br w:type="page"/>
      </w:r>
    </w:p>
    <w:p w:rsidR="00510107" w:rsidRPr="001659B8" w:rsidRDefault="002E702A">
      <w:pPr>
        <w:adjustRightInd w:val="0"/>
        <w:snapToGrid w:val="0"/>
        <w:spacing w:after="0" w:line="360" w:lineRule="auto"/>
        <w:outlineLvl w:val="0"/>
        <w:rPr>
          <w:rFonts w:ascii="Book Antiqua" w:hAnsi="Book Antiqua"/>
          <w:b/>
          <w:bCs/>
          <w:color w:val="000000" w:themeColor="text1"/>
          <w:sz w:val="24"/>
        </w:rPr>
      </w:pPr>
      <w:r w:rsidRPr="001659B8">
        <w:rPr>
          <w:rFonts w:ascii="Book Antiqua" w:hAnsi="Book Antiqua"/>
          <w:b/>
          <w:bCs/>
          <w:color w:val="000000" w:themeColor="text1"/>
          <w:sz w:val="24"/>
        </w:rPr>
        <w:lastRenderedPageBreak/>
        <w:t>REFERENCES</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1 </w:t>
      </w:r>
      <w:r w:rsidRPr="001659B8">
        <w:rPr>
          <w:rFonts w:ascii="Book Antiqua" w:hAnsi="Book Antiqua" w:hint="eastAsia"/>
          <w:b/>
          <w:bCs/>
          <w:color w:val="000000" w:themeColor="text1"/>
          <w:sz w:val="24"/>
        </w:rPr>
        <w:t>Komatsu</w:t>
      </w:r>
      <w:r w:rsidRPr="001659B8">
        <w:rPr>
          <w:rFonts w:ascii="Book Antiqua" w:hAnsi="Book Antiqua"/>
          <w:b/>
          <w:bCs/>
          <w:color w:val="000000" w:themeColor="text1"/>
          <w:sz w:val="24"/>
        </w:rPr>
        <w:t xml:space="preserve"> </w:t>
      </w:r>
      <w:r w:rsidRPr="001659B8">
        <w:rPr>
          <w:rFonts w:ascii="Book Antiqua" w:hAnsi="Book Antiqua" w:hint="eastAsia"/>
          <w:b/>
          <w:bCs/>
          <w:color w:val="000000" w:themeColor="text1"/>
          <w:sz w:val="24"/>
        </w:rPr>
        <w:t>N,</w:t>
      </w:r>
      <w:r w:rsidRPr="001659B8">
        <w:rPr>
          <w:rFonts w:ascii="Book Antiqua" w:hAnsi="Book Antiqua" w:hint="eastAsia"/>
          <w:color w:val="000000" w:themeColor="text1"/>
          <w:sz w:val="24"/>
        </w:rPr>
        <w:t xml:space="preserve"> Motosugi U, Maekawa S, Shindo K, Sakamoto M, Sato M, Tatsumi A, Miura M, Amemiya F, Nakayama Y, Inoue T, Fukasawa M, Uetake T, Ohtaka M, Sato T, Asahina Y, Kurosaki M, Izumi N, Ichikawa T, Araki T</w:t>
      </w:r>
      <w:r w:rsidRPr="001659B8">
        <w:rPr>
          <w:rFonts w:ascii="Book Antiqua" w:hAnsi="Book Antiqua"/>
          <w:color w:val="000000" w:themeColor="text1"/>
          <w:sz w:val="24"/>
        </w:rPr>
        <w:t xml:space="preserve">, </w:t>
      </w:r>
      <w:r w:rsidRPr="001659B8">
        <w:rPr>
          <w:rFonts w:ascii="Book Antiqua" w:hAnsi="Book Antiqua" w:hint="eastAsia"/>
          <w:color w:val="000000" w:themeColor="text1"/>
          <w:sz w:val="24"/>
        </w:rPr>
        <w:t xml:space="preserve">Enomoto N. Hepatocellular carcinoma risk assessment using gadoxetic acid-enhanced hepatocyte phase magnetic resonance imaging. </w:t>
      </w:r>
      <w:r w:rsidRPr="001659B8">
        <w:rPr>
          <w:rFonts w:ascii="Book Antiqua" w:hAnsi="Book Antiqua" w:hint="eastAsia"/>
          <w:i/>
          <w:iCs/>
          <w:color w:val="000000" w:themeColor="text1"/>
          <w:sz w:val="24"/>
        </w:rPr>
        <w:t>Hepatol Res</w:t>
      </w:r>
      <w:r w:rsidRPr="001659B8">
        <w:rPr>
          <w:rFonts w:ascii="Book Antiqua" w:hAnsi="Book Antiqua" w:hint="eastAsia"/>
          <w:color w:val="000000" w:themeColor="text1"/>
          <w:sz w:val="24"/>
        </w:rPr>
        <w:t xml:space="preserve"> 2014; </w:t>
      </w:r>
      <w:r w:rsidRPr="001659B8">
        <w:rPr>
          <w:rFonts w:ascii="Book Antiqua" w:hAnsi="Book Antiqua" w:hint="eastAsia"/>
          <w:b/>
          <w:bCs/>
          <w:color w:val="000000" w:themeColor="text1"/>
          <w:sz w:val="24"/>
        </w:rPr>
        <w:t>44</w:t>
      </w:r>
      <w:r w:rsidRPr="001659B8">
        <w:rPr>
          <w:rFonts w:ascii="Book Antiqua" w:hAnsi="Book Antiqua" w:hint="eastAsia"/>
          <w:color w:val="000000" w:themeColor="text1"/>
          <w:sz w:val="24"/>
        </w:rPr>
        <w:t>:</w:t>
      </w:r>
      <w:r w:rsidRPr="001659B8">
        <w:rPr>
          <w:rFonts w:ascii="Book Antiqua" w:hAnsi="Book Antiqua"/>
          <w:color w:val="000000" w:themeColor="text1"/>
          <w:sz w:val="24"/>
        </w:rPr>
        <w:t xml:space="preserve"> </w:t>
      </w:r>
      <w:r w:rsidRPr="001659B8">
        <w:rPr>
          <w:rFonts w:ascii="Book Antiqua" w:hAnsi="Book Antiqua" w:hint="eastAsia"/>
          <w:color w:val="000000" w:themeColor="text1"/>
          <w:sz w:val="24"/>
        </w:rPr>
        <w:t>1339</w:t>
      </w:r>
      <w:r w:rsidRPr="001659B8">
        <w:rPr>
          <w:rFonts w:ascii="Book Antiqua" w:hAnsi="Book Antiqua"/>
          <w:color w:val="000000" w:themeColor="text1"/>
          <w:sz w:val="24"/>
        </w:rPr>
        <w:t>-</w:t>
      </w:r>
      <w:r w:rsidRPr="001659B8">
        <w:rPr>
          <w:rFonts w:ascii="Book Antiqua" w:hAnsi="Book Antiqua" w:hint="eastAsia"/>
          <w:color w:val="000000" w:themeColor="text1"/>
          <w:sz w:val="24"/>
        </w:rPr>
        <w:t>1346</w:t>
      </w:r>
      <w:r w:rsidRPr="001659B8">
        <w:rPr>
          <w:rFonts w:ascii="Book Antiqua" w:hAnsi="Book Antiqua"/>
          <w:color w:val="000000" w:themeColor="text1"/>
          <w:sz w:val="24"/>
        </w:rPr>
        <w:t xml:space="preserve"> [PMID: 24528803 DOI</w:t>
      </w:r>
      <w:r w:rsidRPr="001659B8">
        <w:rPr>
          <w:rFonts w:ascii="Book Antiqua" w:hAnsi="Book Antiqua" w:hint="eastAsia"/>
          <w:color w:val="000000" w:themeColor="text1"/>
          <w:sz w:val="24"/>
        </w:rPr>
        <w:t>:</w:t>
      </w:r>
      <w:r w:rsidRPr="001659B8">
        <w:rPr>
          <w:rFonts w:ascii="Book Antiqua" w:hAnsi="Book Antiqua"/>
          <w:color w:val="000000" w:themeColor="text1"/>
          <w:sz w:val="24"/>
        </w:rPr>
        <w:t xml:space="preserve"> </w:t>
      </w:r>
      <w:r w:rsidRPr="001659B8">
        <w:rPr>
          <w:rFonts w:ascii="Book Antiqua" w:hAnsi="Book Antiqua" w:hint="eastAsia"/>
          <w:color w:val="000000" w:themeColor="text1"/>
          <w:sz w:val="24"/>
        </w:rPr>
        <w:t>10.1111/hepr.12309</w:t>
      </w:r>
      <w:r w:rsidRPr="001659B8">
        <w:rPr>
          <w:rFonts w:ascii="Book Antiqua" w:hAnsi="Book Antiqua"/>
          <w:color w:val="000000" w:themeColor="text1"/>
          <w:sz w:val="24"/>
        </w:rPr>
        <w:t>]</w:t>
      </w:r>
    </w:p>
    <w:p w:rsidR="00510107" w:rsidRPr="001659B8" w:rsidRDefault="002E702A">
      <w:pPr>
        <w:adjustRightInd w:val="0"/>
        <w:snapToGrid w:val="0"/>
        <w:spacing w:after="0" w:line="360" w:lineRule="auto"/>
        <w:rPr>
          <w:rFonts w:ascii="Book Antiqua" w:hAnsi="Book Antiqua"/>
          <w:color w:val="000000" w:themeColor="text1"/>
          <w:sz w:val="24"/>
        </w:rPr>
      </w:pPr>
      <w:proofErr w:type="gramStart"/>
      <w:r w:rsidRPr="001659B8">
        <w:rPr>
          <w:rFonts w:ascii="Book Antiqua" w:hAnsi="Book Antiqua"/>
          <w:color w:val="000000" w:themeColor="text1"/>
          <w:sz w:val="24"/>
        </w:rPr>
        <w:t>2 </w:t>
      </w:r>
      <w:r w:rsidRPr="001659B8">
        <w:rPr>
          <w:rFonts w:ascii="Book Antiqua" w:hAnsi="Book Antiqua"/>
          <w:b/>
          <w:bCs/>
          <w:color w:val="000000" w:themeColor="text1"/>
          <w:sz w:val="24"/>
        </w:rPr>
        <w:t>Reataza M</w:t>
      </w:r>
      <w:r w:rsidRPr="001659B8">
        <w:rPr>
          <w:rFonts w:ascii="Book Antiqua" w:hAnsi="Book Antiqua"/>
          <w:color w:val="000000" w:themeColor="text1"/>
          <w:sz w:val="24"/>
        </w:rPr>
        <w:t>, Imagawa DK. Advances in managing hepatocellular carcinoma.</w:t>
      </w:r>
      <w:proofErr w:type="gramEnd"/>
      <w:r w:rsidRPr="001659B8">
        <w:rPr>
          <w:rFonts w:ascii="Book Antiqua" w:hAnsi="Book Antiqua" w:hint="eastAsia"/>
          <w:color w:val="000000" w:themeColor="text1"/>
          <w:sz w:val="24"/>
        </w:rPr>
        <w:t xml:space="preserve"> </w:t>
      </w:r>
      <w:r w:rsidRPr="001659B8">
        <w:rPr>
          <w:rFonts w:ascii="Book Antiqua" w:hAnsi="Book Antiqua"/>
          <w:i/>
          <w:iCs/>
          <w:color w:val="000000" w:themeColor="text1"/>
          <w:sz w:val="24"/>
        </w:rPr>
        <w:t>Front Med</w:t>
      </w:r>
      <w:r w:rsidRPr="001659B8">
        <w:rPr>
          <w:rFonts w:ascii="Book Antiqua" w:hAnsi="Book Antiqua"/>
          <w:color w:val="000000" w:themeColor="text1"/>
          <w:sz w:val="24"/>
        </w:rPr>
        <w:t> 2014; </w:t>
      </w:r>
      <w:r w:rsidRPr="001659B8">
        <w:rPr>
          <w:rFonts w:ascii="Book Antiqua" w:hAnsi="Book Antiqua"/>
          <w:b/>
          <w:bCs/>
          <w:color w:val="000000" w:themeColor="text1"/>
          <w:sz w:val="24"/>
        </w:rPr>
        <w:t>8</w:t>
      </w:r>
      <w:r w:rsidRPr="001659B8">
        <w:rPr>
          <w:rFonts w:ascii="Book Antiqua" w:hAnsi="Book Antiqua"/>
          <w:color w:val="000000" w:themeColor="text1"/>
          <w:sz w:val="24"/>
        </w:rPr>
        <w:t>: 175-189 [PMID: 24810646 DOI: 10.1007/s11684-014-0332-4]</w:t>
      </w:r>
    </w:p>
    <w:p w:rsidR="00510107" w:rsidRPr="001659B8" w:rsidRDefault="002E702A">
      <w:pPr>
        <w:adjustRightInd w:val="0"/>
        <w:snapToGrid w:val="0"/>
        <w:spacing w:after="0" w:line="360" w:lineRule="auto"/>
        <w:rPr>
          <w:rFonts w:ascii="Book Antiqua" w:hAnsi="Book Antiqua"/>
          <w:color w:val="000000" w:themeColor="text1"/>
          <w:sz w:val="24"/>
        </w:rPr>
      </w:pPr>
      <w:proofErr w:type="gramStart"/>
      <w:r w:rsidRPr="001659B8">
        <w:rPr>
          <w:rFonts w:ascii="Book Antiqua" w:hAnsi="Book Antiqua"/>
          <w:color w:val="000000" w:themeColor="text1"/>
          <w:sz w:val="24"/>
        </w:rPr>
        <w:t>3 </w:t>
      </w:r>
      <w:r w:rsidRPr="001659B8">
        <w:rPr>
          <w:rFonts w:ascii="Book Antiqua" w:hAnsi="Book Antiqua"/>
          <w:b/>
          <w:bCs/>
          <w:color w:val="000000" w:themeColor="text1"/>
          <w:sz w:val="24"/>
        </w:rPr>
        <w:t>Roth CG</w:t>
      </w:r>
      <w:r w:rsidRPr="001659B8">
        <w:rPr>
          <w:rFonts w:ascii="Book Antiqua" w:hAnsi="Book Antiqua"/>
          <w:color w:val="000000" w:themeColor="text1"/>
          <w:sz w:val="24"/>
        </w:rPr>
        <w:t>, Mitchell DG.</w:t>
      </w:r>
      <w:proofErr w:type="gramEnd"/>
      <w:r w:rsidRPr="001659B8">
        <w:rPr>
          <w:rFonts w:ascii="Book Antiqua" w:hAnsi="Book Antiqua"/>
          <w:color w:val="000000" w:themeColor="text1"/>
          <w:sz w:val="24"/>
        </w:rPr>
        <w:t xml:space="preserve"> Hepatocellular carcinoma and other hepatic malignancies: MR imaging. </w:t>
      </w:r>
      <w:r w:rsidRPr="001659B8">
        <w:rPr>
          <w:rFonts w:ascii="Book Antiqua" w:hAnsi="Book Antiqua"/>
          <w:i/>
          <w:iCs/>
          <w:color w:val="000000" w:themeColor="text1"/>
          <w:sz w:val="24"/>
        </w:rPr>
        <w:t>Radiol Clin North Am</w:t>
      </w:r>
      <w:r w:rsidRPr="001659B8">
        <w:rPr>
          <w:rFonts w:ascii="Book Antiqua" w:hAnsi="Book Antiqua"/>
          <w:color w:val="000000" w:themeColor="text1"/>
          <w:sz w:val="24"/>
        </w:rPr>
        <w:t> 2014; </w:t>
      </w:r>
      <w:r w:rsidRPr="001659B8">
        <w:rPr>
          <w:rFonts w:ascii="Book Antiqua" w:hAnsi="Book Antiqua"/>
          <w:b/>
          <w:bCs/>
          <w:color w:val="000000" w:themeColor="text1"/>
          <w:sz w:val="24"/>
        </w:rPr>
        <w:t>52</w:t>
      </w:r>
      <w:r w:rsidRPr="001659B8">
        <w:rPr>
          <w:rFonts w:ascii="Book Antiqua" w:hAnsi="Book Antiqua"/>
          <w:color w:val="000000" w:themeColor="text1"/>
          <w:sz w:val="24"/>
        </w:rPr>
        <w:t>: 683-707 [PMID: 24889167 DOI: 10.1016/j.rcl.2014.02.015]</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4 </w:t>
      </w:r>
      <w:r w:rsidRPr="001659B8">
        <w:rPr>
          <w:rFonts w:ascii="Book Antiqua" w:hAnsi="Book Antiqua"/>
          <w:b/>
          <w:bCs/>
          <w:color w:val="000000" w:themeColor="text1"/>
          <w:sz w:val="24"/>
        </w:rPr>
        <w:t>Potretzke TA</w:t>
      </w:r>
      <w:r w:rsidRPr="001659B8">
        <w:rPr>
          <w:rFonts w:ascii="Book Antiqua" w:hAnsi="Book Antiqua"/>
          <w:color w:val="000000" w:themeColor="text1"/>
          <w:sz w:val="24"/>
        </w:rPr>
        <w:t>, Tan BR, Doyle MB, Brunt EM, Heiken JP, Fowler KJ. Imaging Features of Biphenotypic Primary Liver Carcinoma (Hepatocholangiocarcinoma)</w:t>
      </w:r>
      <w:r w:rsidRPr="001659B8">
        <w:rPr>
          <w:rFonts w:ascii="Book Antiqua" w:hAnsi="Book Antiqua" w:hint="eastAsia"/>
          <w:color w:val="000000" w:themeColor="text1"/>
          <w:sz w:val="24"/>
        </w:rPr>
        <w:t xml:space="preserve"> </w:t>
      </w:r>
      <w:r w:rsidRPr="001659B8">
        <w:rPr>
          <w:rFonts w:ascii="Book Antiqua" w:hAnsi="Book Antiqua"/>
          <w:color w:val="000000" w:themeColor="text1"/>
          <w:sz w:val="24"/>
        </w:rPr>
        <w:t>and the Potential to Mimic Hepatocellular Carcinoma: LI-RADS Analysis of CT and MRI Features in 61 Cases. </w:t>
      </w:r>
      <w:r w:rsidRPr="001659B8">
        <w:rPr>
          <w:rFonts w:ascii="Book Antiqua" w:hAnsi="Book Antiqua"/>
          <w:i/>
          <w:iCs/>
          <w:color w:val="000000" w:themeColor="text1"/>
          <w:sz w:val="24"/>
        </w:rPr>
        <w:t>AJR Am J Roentgenol</w:t>
      </w:r>
      <w:r w:rsidRPr="001659B8">
        <w:rPr>
          <w:rFonts w:ascii="Book Antiqua" w:hAnsi="Book Antiqua"/>
          <w:color w:val="000000" w:themeColor="text1"/>
          <w:sz w:val="24"/>
        </w:rPr>
        <w:t> 2016; </w:t>
      </w:r>
      <w:r w:rsidRPr="001659B8">
        <w:rPr>
          <w:rFonts w:ascii="Book Antiqua" w:hAnsi="Book Antiqua"/>
          <w:b/>
          <w:bCs/>
          <w:color w:val="000000" w:themeColor="text1"/>
          <w:sz w:val="24"/>
        </w:rPr>
        <w:t>207</w:t>
      </w:r>
      <w:r w:rsidRPr="001659B8">
        <w:rPr>
          <w:rFonts w:ascii="Book Antiqua" w:hAnsi="Book Antiqua"/>
          <w:color w:val="000000" w:themeColor="text1"/>
          <w:sz w:val="24"/>
        </w:rPr>
        <w:t>: 25-31 [PMID: 26866746 DOI: 10.2214/AJR.15.14997]</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5 </w:t>
      </w:r>
      <w:r w:rsidRPr="001659B8">
        <w:rPr>
          <w:rFonts w:ascii="Book Antiqua" w:hAnsi="Book Antiqua"/>
          <w:b/>
          <w:bCs/>
          <w:color w:val="000000" w:themeColor="text1"/>
          <w:sz w:val="24"/>
        </w:rPr>
        <w:t>Elsayes KM</w:t>
      </w:r>
      <w:r w:rsidRPr="001659B8">
        <w:rPr>
          <w:rFonts w:ascii="Book Antiqua" w:hAnsi="Book Antiqua"/>
          <w:color w:val="000000" w:themeColor="text1"/>
          <w:sz w:val="24"/>
        </w:rPr>
        <w:t>, Hooker JC, Agrons MM, Kielar AZ, Tang A, Fowler KJ, Chernyak V, Bashir MR, Kono Y, Do RK, Mitchell DG, Kamaya A, Hecht EM, Sirlin CB. 2017 Version of LI-RADS for CT and MR Imaging: An Update. </w:t>
      </w:r>
      <w:r w:rsidRPr="001659B8">
        <w:rPr>
          <w:rFonts w:ascii="Book Antiqua" w:hAnsi="Book Antiqua"/>
          <w:i/>
          <w:iCs/>
          <w:color w:val="000000" w:themeColor="text1"/>
          <w:sz w:val="24"/>
        </w:rPr>
        <w:t>Radiographics</w:t>
      </w:r>
      <w:r w:rsidRPr="001659B8">
        <w:rPr>
          <w:rFonts w:ascii="Book Antiqua" w:hAnsi="Book Antiqua"/>
          <w:color w:val="000000" w:themeColor="text1"/>
          <w:sz w:val="24"/>
        </w:rPr>
        <w:t> 2017; </w:t>
      </w:r>
      <w:r w:rsidRPr="001659B8">
        <w:rPr>
          <w:rFonts w:ascii="Book Antiqua" w:hAnsi="Book Antiqua"/>
          <w:b/>
          <w:bCs/>
          <w:color w:val="000000" w:themeColor="text1"/>
          <w:sz w:val="24"/>
        </w:rPr>
        <w:t>37</w:t>
      </w:r>
      <w:r w:rsidRPr="001659B8">
        <w:rPr>
          <w:rFonts w:ascii="Book Antiqua" w:hAnsi="Book Antiqua"/>
          <w:color w:val="000000" w:themeColor="text1"/>
          <w:sz w:val="24"/>
        </w:rPr>
        <w:t>: 1994-2017 [PMID: 29131761 DOI: 10.1148/rg.2017170098]</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 xml:space="preserve">6 </w:t>
      </w:r>
      <w:r w:rsidRPr="001659B8">
        <w:rPr>
          <w:rFonts w:ascii="Book Antiqua" w:hAnsi="Book Antiqua" w:hint="eastAsia"/>
          <w:b/>
          <w:bCs/>
          <w:color w:val="000000" w:themeColor="text1"/>
          <w:sz w:val="24"/>
        </w:rPr>
        <w:t>Chernyak V,</w:t>
      </w:r>
      <w:r w:rsidRPr="001659B8">
        <w:rPr>
          <w:rFonts w:ascii="Book Antiqua" w:hAnsi="Book Antiqua" w:hint="eastAsia"/>
          <w:color w:val="000000" w:themeColor="text1"/>
          <w:sz w:val="24"/>
        </w:rPr>
        <w:t xml:space="preserve"> Fowler KJ, Kamaya A, Kielar AZ, Elsayes KM, Bashir MR, Kono Y, Do RK, Mitchell DG, Singal AG, Tang A, Sirlin CB. Liver Imaging Reporting and Data</w:t>
      </w:r>
      <w:r w:rsidRPr="001659B8">
        <w:rPr>
          <w:rFonts w:ascii="Book Antiqua" w:hAnsi="Book Antiqua"/>
          <w:color w:val="000000" w:themeColor="text1"/>
          <w:sz w:val="24"/>
        </w:rPr>
        <w:t xml:space="preserve"> </w:t>
      </w:r>
      <w:r w:rsidRPr="001659B8">
        <w:rPr>
          <w:rFonts w:ascii="Book Antiqua" w:hAnsi="Book Antiqua" w:hint="eastAsia"/>
          <w:color w:val="000000" w:themeColor="text1"/>
          <w:sz w:val="24"/>
        </w:rPr>
        <w:t>System (LI-RADS) Version 2018: Imaging of Hepatocellular Carcinoma in At-Risk</w:t>
      </w:r>
      <w:r w:rsidRPr="001659B8">
        <w:rPr>
          <w:rFonts w:ascii="Book Antiqua" w:hAnsi="Book Antiqua"/>
          <w:color w:val="000000" w:themeColor="text1"/>
          <w:sz w:val="24"/>
        </w:rPr>
        <w:t xml:space="preserve"> </w:t>
      </w:r>
      <w:r w:rsidRPr="001659B8">
        <w:rPr>
          <w:rFonts w:ascii="Book Antiqua" w:hAnsi="Book Antiqua" w:hint="eastAsia"/>
          <w:color w:val="000000" w:themeColor="text1"/>
          <w:sz w:val="24"/>
        </w:rPr>
        <w:t xml:space="preserve">Patients. </w:t>
      </w:r>
      <w:r w:rsidRPr="001659B8">
        <w:rPr>
          <w:rFonts w:ascii="Book Antiqua" w:hAnsi="Book Antiqua" w:hint="eastAsia"/>
          <w:i/>
          <w:iCs/>
          <w:color w:val="000000" w:themeColor="text1"/>
          <w:sz w:val="24"/>
        </w:rPr>
        <w:t>Radiology</w:t>
      </w:r>
      <w:r w:rsidRPr="001659B8">
        <w:rPr>
          <w:rFonts w:ascii="Book Antiqua" w:hAnsi="Book Antiqua"/>
          <w:i/>
          <w:iCs/>
          <w:color w:val="000000" w:themeColor="text1"/>
          <w:sz w:val="24"/>
        </w:rPr>
        <w:t xml:space="preserve"> </w:t>
      </w:r>
      <w:r w:rsidRPr="001659B8">
        <w:rPr>
          <w:rFonts w:ascii="Book Antiqua" w:hAnsi="Book Antiqua" w:hint="eastAsia"/>
          <w:color w:val="000000" w:themeColor="text1"/>
          <w:sz w:val="24"/>
        </w:rPr>
        <w:t>2018;</w:t>
      </w:r>
      <w:r w:rsidRPr="001659B8">
        <w:rPr>
          <w:rFonts w:ascii="Book Antiqua" w:hAnsi="Book Antiqua"/>
          <w:color w:val="000000" w:themeColor="text1"/>
          <w:sz w:val="24"/>
        </w:rPr>
        <w:t xml:space="preserve"> </w:t>
      </w:r>
      <w:r w:rsidRPr="001659B8">
        <w:rPr>
          <w:rFonts w:ascii="Book Antiqua" w:hAnsi="Book Antiqua" w:hint="eastAsia"/>
          <w:b/>
          <w:bCs/>
          <w:color w:val="000000" w:themeColor="text1"/>
          <w:sz w:val="24"/>
        </w:rPr>
        <w:t>289</w:t>
      </w:r>
      <w:r w:rsidRPr="001659B8">
        <w:rPr>
          <w:rFonts w:ascii="Book Antiqua" w:hAnsi="Book Antiqua" w:hint="eastAsia"/>
          <w:color w:val="000000" w:themeColor="text1"/>
          <w:sz w:val="24"/>
        </w:rPr>
        <w:t>:</w:t>
      </w:r>
      <w:r w:rsidRPr="001659B8">
        <w:rPr>
          <w:rFonts w:ascii="Book Antiqua" w:hAnsi="Book Antiqua"/>
          <w:color w:val="000000" w:themeColor="text1"/>
          <w:sz w:val="24"/>
        </w:rPr>
        <w:t xml:space="preserve"> </w:t>
      </w:r>
      <w:r w:rsidRPr="001659B8">
        <w:rPr>
          <w:rFonts w:ascii="Book Antiqua" w:hAnsi="Book Antiqua" w:hint="eastAsia"/>
          <w:color w:val="000000" w:themeColor="text1"/>
          <w:sz w:val="24"/>
        </w:rPr>
        <w:t>816-830</w:t>
      </w:r>
      <w:r w:rsidRPr="001659B8">
        <w:rPr>
          <w:rFonts w:ascii="Book Antiqua" w:hAnsi="Book Antiqua"/>
          <w:color w:val="000000" w:themeColor="text1"/>
          <w:sz w:val="24"/>
        </w:rPr>
        <w:t xml:space="preserve"> [</w:t>
      </w:r>
      <w:r w:rsidRPr="001659B8">
        <w:rPr>
          <w:rFonts w:ascii="Book Antiqua" w:hAnsi="Book Antiqua" w:hint="eastAsia"/>
          <w:color w:val="000000" w:themeColor="text1"/>
          <w:sz w:val="24"/>
        </w:rPr>
        <w:t>PMID: 30251931</w:t>
      </w:r>
      <w:r w:rsidRPr="001659B8">
        <w:rPr>
          <w:rFonts w:ascii="Book Antiqua" w:hAnsi="Book Antiqua"/>
          <w:color w:val="000000" w:themeColor="text1"/>
          <w:sz w:val="24"/>
        </w:rPr>
        <w:t xml:space="preserve"> DOI</w:t>
      </w:r>
      <w:r w:rsidRPr="001659B8">
        <w:rPr>
          <w:rFonts w:ascii="Book Antiqua" w:hAnsi="Book Antiqua" w:hint="eastAsia"/>
          <w:color w:val="000000" w:themeColor="text1"/>
          <w:sz w:val="24"/>
        </w:rPr>
        <w:t>: 10.1148/radiol.2018181494</w:t>
      </w:r>
      <w:r w:rsidRPr="001659B8">
        <w:rPr>
          <w:rFonts w:ascii="Book Antiqua" w:hAnsi="Book Antiqua"/>
          <w:color w:val="000000" w:themeColor="text1"/>
          <w:sz w:val="24"/>
        </w:rPr>
        <w:t>]</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7 </w:t>
      </w:r>
      <w:r w:rsidRPr="001659B8">
        <w:rPr>
          <w:rFonts w:ascii="Book Antiqua" w:hAnsi="Book Antiqua"/>
          <w:b/>
          <w:bCs/>
          <w:color w:val="000000" w:themeColor="text1"/>
          <w:sz w:val="24"/>
        </w:rPr>
        <w:t>Elsayes KM</w:t>
      </w:r>
      <w:r w:rsidRPr="001659B8">
        <w:rPr>
          <w:rFonts w:ascii="Book Antiqua" w:hAnsi="Book Antiqua"/>
          <w:color w:val="000000" w:themeColor="text1"/>
          <w:sz w:val="24"/>
        </w:rPr>
        <w:t xml:space="preserve">, Kielar AZ, Elmohr MM, Chernyak V, Masch WR, Furlan A, Marks RM, Cruite I, Fowler KJ, Tang A, Bashir MR, Hecht EM, Kamaya A, Jambhekar K, Kamath A, Arora S, Bijan B, Ash R, Kassam Z, Chaudhry H, McGahan JP, Yacoub JH, McInnes M, Fung AW, Shanbhogue K, Lee J, </w:t>
      </w:r>
      <w:r w:rsidRPr="001659B8">
        <w:rPr>
          <w:rFonts w:ascii="Book Antiqua" w:hAnsi="Book Antiqua"/>
          <w:color w:val="000000" w:themeColor="text1"/>
          <w:sz w:val="24"/>
        </w:rPr>
        <w:lastRenderedPageBreak/>
        <w:t xml:space="preserve">Deshmukh S, Horvat N, Mitchell DG, Do RKG, Surabhi VR, Szklaruk J, Sirlin CB. </w:t>
      </w:r>
      <w:proofErr w:type="gramStart"/>
      <w:r w:rsidRPr="001659B8">
        <w:rPr>
          <w:rFonts w:ascii="Book Antiqua" w:hAnsi="Book Antiqua"/>
          <w:color w:val="000000" w:themeColor="text1"/>
          <w:sz w:val="24"/>
        </w:rPr>
        <w:t>White paper of the Society of Abdominal Radiology hepatocellular carcinoma diagnosis disease-focused panel on LI-RADS v2018 for CT and MRI.</w:t>
      </w:r>
      <w:proofErr w:type="gramEnd"/>
      <w:r w:rsidRPr="001659B8">
        <w:rPr>
          <w:rFonts w:ascii="Book Antiqua" w:hAnsi="Book Antiqua"/>
          <w:color w:val="000000" w:themeColor="text1"/>
          <w:sz w:val="24"/>
        </w:rPr>
        <w:t> </w:t>
      </w:r>
      <w:r w:rsidRPr="001659B8">
        <w:rPr>
          <w:rFonts w:ascii="Book Antiqua" w:hAnsi="Book Antiqua"/>
          <w:i/>
          <w:iCs/>
          <w:color w:val="000000" w:themeColor="text1"/>
          <w:sz w:val="24"/>
        </w:rPr>
        <w:t xml:space="preserve">Abdom Radiol </w:t>
      </w:r>
      <w:r w:rsidRPr="001659B8">
        <w:rPr>
          <w:rFonts w:ascii="Book Antiqua" w:hAnsi="Book Antiqua"/>
          <w:iCs/>
          <w:color w:val="000000" w:themeColor="text1"/>
          <w:sz w:val="24"/>
        </w:rPr>
        <w:t>(NY)</w:t>
      </w:r>
      <w:r w:rsidRPr="001659B8">
        <w:rPr>
          <w:rFonts w:ascii="Book Antiqua" w:hAnsi="Book Antiqua"/>
          <w:color w:val="000000" w:themeColor="text1"/>
          <w:sz w:val="24"/>
        </w:rPr>
        <w:t> 2018; </w:t>
      </w:r>
      <w:r w:rsidRPr="001659B8">
        <w:rPr>
          <w:rFonts w:ascii="Book Antiqua" w:hAnsi="Book Antiqua"/>
          <w:b/>
          <w:bCs/>
          <w:color w:val="000000" w:themeColor="text1"/>
          <w:sz w:val="24"/>
        </w:rPr>
        <w:t>43</w:t>
      </w:r>
      <w:r w:rsidRPr="001659B8">
        <w:rPr>
          <w:rFonts w:ascii="Book Antiqua" w:hAnsi="Book Antiqua"/>
          <w:color w:val="000000" w:themeColor="text1"/>
          <w:sz w:val="24"/>
        </w:rPr>
        <w:t>: 2625-2642 [PMID: 30155697 DOI: 10.1007/s00261-018-1744-4]</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8 </w:t>
      </w:r>
      <w:r w:rsidRPr="001659B8">
        <w:rPr>
          <w:rFonts w:ascii="Book Antiqua" w:hAnsi="Book Antiqua"/>
          <w:b/>
          <w:bCs/>
          <w:color w:val="000000" w:themeColor="text1"/>
          <w:sz w:val="24"/>
        </w:rPr>
        <w:t>Schima W</w:t>
      </w:r>
      <w:r w:rsidRPr="001659B8">
        <w:rPr>
          <w:rFonts w:ascii="Book Antiqua" w:hAnsi="Book Antiqua"/>
          <w:color w:val="000000" w:themeColor="text1"/>
          <w:sz w:val="24"/>
        </w:rPr>
        <w:t>, Heiken J. LI-RADS v2017 for liver nodules: how we read and report. </w:t>
      </w:r>
      <w:r w:rsidRPr="001659B8">
        <w:rPr>
          <w:rFonts w:ascii="Book Antiqua" w:hAnsi="Book Antiqua"/>
          <w:i/>
          <w:iCs/>
          <w:color w:val="000000" w:themeColor="text1"/>
          <w:sz w:val="24"/>
        </w:rPr>
        <w:t>Cancer Imaging</w:t>
      </w:r>
      <w:r w:rsidRPr="001659B8">
        <w:rPr>
          <w:rFonts w:ascii="Book Antiqua" w:hAnsi="Book Antiqua"/>
          <w:color w:val="000000" w:themeColor="text1"/>
          <w:sz w:val="24"/>
        </w:rPr>
        <w:t> 2018; </w:t>
      </w:r>
      <w:r w:rsidRPr="001659B8">
        <w:rPr>
          <w:rFonts w:ascii="Book Antiqua" w:hAnsi="Book Antiqua"/>
          <w:b/>
          <w:bCs/>
          <w:color w:val="000000" w:themeColor="text1"/>
          <w:sz w:val="24"/>
        </w:rPr>
        <w:t>18</w:t>
      </w:r>
      <w:r w:rsidRPr="001659B8">
        <w:rPr>
          <w:rFonts w:ascii="Book Antiqua" w:hAnsi="Book Antiqua"/>
          <w:color w:val="000000" w:themeColor="text1"/>
          <w:sz w:val="24"/>
        </w:rPr>
        <w:t>: 14 [PMID: 29690933 DOI: 10.1186/s40644-018-0149-5]</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9 </w:t>
      </w:r>
      <w:r w:rsidRPr="001659B8">
        <w:rPr>
          <w:rFonts w:ascii="Book Antiqua" w:hAnsi="Book Antiqua"/>
          <w:b/>
          <w:bCs/>
          <w:color w:val="000000" w:themeColor="text1"/>
          <w:sz w:val="24"/>
        </w:rPr>
        <w:t>Chernyak V</w:t>
      </w:r>
      <w:r w:rsidRPr="001659B8">
        <w:rPr>
          <w:rFonts w:ascii="Book Antiqua" w:hAnsi="Book Antiqua"/>
          <w:color w:val="000000" w:themeColor="text1"/>
          <w:sz w:val="24"/>
        </w:rPr>
        <w:t xml:space="preserve">, Tang </w:t>
      </w:r>
      <w:proofErr w:type="gramStart"/>
      <w:r w:rsidRPr="001659B8">
        <w:rPr>
          <w:rFonts w:ascii="Book Antiqua" w:hAnsi="Book Antiqua"/>
          <w:color w:val="000000" w:themeColor="text1"/>
          <w:sz w:val="24"/>
        </w:rPr>
        <w:t>A</w:t>
      </w:r>
      <w:proofErr w:type="gramEnd"/>
      <w:r w:rsidRPr="001659B8">
        <w:rPr>
          <w:rFonts w:ascii="Book Antiqua" w:hAnsi="Book Antiqua"/>
          <w:color w:val="000000" w:themeColor="text1"/>
          <w:sz w:val="24"/>
        </w:rPr>
        <w:t>, Flusberg M, Papadatos D, Bijan B, Kono Y, Santillan C. LI-RADS</w:t>
      </w:r>
      <w:r w:rsidRPr="001659B8">
        <w:rPr>
          <w:rFonts w:ascii="Book Antiqua" w:hAnsi="Book Antiqua"/>
          <w:color w:val="000000" w:themeColor="text1"/>
          <w:sz w:val="24"/>
          <w:vertAlign w:val="superscript"/>
        </w:rPr>
        <w:t>®</w:t>
      </w:r>
      <w:r w:rsidRPr="001659B8">
        <w:rPr>
          <w:rFonts w:ascii="Book Antiqua" w:hAnsi="Book Antiqua"/>
          <w:color w:val="000000" w:themeColor="text1"/>
          <w:sz w:val="24"/>
        </w:rPr>
        <w:t xml:space="preserve"> ancillary features on CT and MRI. </w:t>
      </w:r>
      <w:r w:rsidRPr="001659B8">
        <w:rPr>
          <w:rFonts w:ascii="Book Antiqua" w:hAnsi="Book Antiqua"/>
          <w:i/>
          <w:iCs/>
          <w:color w:val="000000" w:themeColor="text1"/>
          <w:sz w:val="24"/>
        </w:rPr>
        <w:t>Abdom Radiol</w:t>
      </w:r>
      <w:r w:rsidRPr="001659B8">
        <w:rPr>
          <w:rFonts w:ascii="Book Antiqua" w:hAnsi="Book Antiqua"/>
          <w:iCs/>
          <w:color w:val="000000" w:themeColor="text1"/>
          <w:sz w:val="24"/>
        </w:rPr>
        <w:t xml:space="preserve"> (NY)</w:t>
      </w:r>
      <w:r w:rsidRPr="001659B8">
        <w:rPr>
          <w:rFonts w:ascii="Book Antiqua" w:hAnsi="Book Antiqua"/>
          <w:color w:val="000000" w:themeColor="text1"/>
          <w:sz w:val="24"/>
        </w:rPr>
        <w:t> 2018; </w:t>
      </w:r>
      <w:r w:rsidRPr="001659B8">
        <w:rPr>
          <w:rFonts w:ascii="Book Antiqua" w:hAnsi="Book Antiqua"/>
          <w:b/>
          <w:bCs/>
          <w:color w:val="000000" w:themeColor="text1"/>
          <w:sz w:val="24"/>
        </w:rPr>
        <w:t>43</w:t>
      </w:r>
      <w:r w:rsidRPr="001659B8">
        <w:rPr>
          <w:rFonts w:ascii="Book Antiqua" w:hAnsi="Book Antiqua"/>
          <w:color w:val="000000" w:themeColor="text1"/>
          <w:sz w:val="24"/>
        </w:rPr>
        <w:t>: 82-100 [PMID: 28647768 DOI: 10.1007/s00261-017-1220-6]</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10 </w:t>
      </w:r>
      <w:r w:rsidRPr="001659B8">
        <w:rPr>
          <w:rFonts w:ascii="Book Antiqua" w:hAnsi="Book Antiqua"/>
          <w:b/>
          <w:bCs/>
          <w:color w:val="000000" w:themeColor="text1"/>
          <w:sz w:val="24"/>
        </w:rPr>
        <w:t>Narsinh KH</w:t>
      </w:r>
      <w:r w:rsidRPr="001659B8">
        <w:rPr>
          <w:rFonts w:ascii="Book Antiqua" w:hAnsi="Book Antiqua"/>
          <w:color w:val="000000" w:themeColor="text1"/>
          <w:sz w:val="24"/>
        </w:rPr>
        <w:t>, Cui J, Papadatos D, Sirlin CB, Santillan CS. Hepatocarcinogenesis and LI-RADS. </w:t>
      </w:r>
      <w:r w:rsidRPr="001659B8">
        <w:rPr>
          <w:rFonts w:ascii="Book Antiqua" w:hAnsi="Book Antiqua"/>
          <w:i/>
          <w:iCs/>
          <w:color w:val="000000" w:themeColor="text1"/>
          <w:sz w:val="24"/>
        </w:rPr>
        <w:t xml:space="preserve">Abdom Radiol </w:t>
      </w:r>
      <w:r w:rsidRPr="001659B8">
        <w:rPr>
          <w:rFonts w:ascii="Book Antiqua" w:hAnsi="Book Antiqua"/>
          <w:iCs/>
          <w:color w:val="000000" w:themeColor="text1"/>
          <w:sz w:val="24"/>
        </w:rPr>
        <w:t>(NY)</w:t>
      </w:r>
      <w:r w:rsidRPr="001659B8">
        <w:rPr>
          <w:rFonts w:ascii="Book Antiqua" w:hAnsi="Book Antiqua"/>
          <w:color w:val="000000" w:themeColor="text1"/>
          <w:sz w:val="24"/>
        </w:rPr>
        <w:t> 2018; </w:t>
      </w:r>
      <w:r w:rsidRPr="001659B8">
        <w:rPr>
          <w:rFonts w:ascii="Book Antiqua" w:hAnsi="Book Antiqua"/>
          <w:b/>
          <w:bCs/>
          <w:color w:val="000000" w:themeColor="text1"/>
          <w:sz w:val="24"/>
        </w:rPr>
        <w:t>43</w:t>
      </w:r>
      <w:r w:rsidRPr="001659B8">
        <w:rPr>
          <w:rFonts w:ascii="Book Antiqua" w:hAnsi="Book Antiqua"/>
          <w:color w:val="000000" w:themeColor="text1"/>
          <w:sz w:val="24"/>
        </w:rPr>
        <w:t>: 158-168 [PMID: 29209739 DOI: 10.1007/s00261-017-1409-8]</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11 </w:t>
      </w:r>
      <w:r w:rsidRPr="001659B8">
        <w:rPr>
          <w:rFonts w:ascii="Book Antiqua" w:hAnsi="Book Antiqua"/>
          <w:b/>
          <w:bCs/>
          <w:color w:val="000000" w:themeColor="text1"/>
          <w:sz w:val="24"/>
        </w:rPr>
        <w:t>Santillan C</w:t>
      </w:r>
      <w:r w:rsidRPr="001659B8">
        <w:rPr>
          <w:rFonts w:ascii="Book Antiqua" w:hAnsi="Book Antiqua"/>
          <w:color w:val="000000" w:themeColor="text1"/>
          <w:sz w:val="24"/>
        </w:rPr>
        <w:t>, Chernyak V, Sirlin C. LI-RADS categories: concepts, definitions, and criteria. </w:t>
      </w:r>
      <w:r w:rsidRPr="001659B8">
        <w:rPr>
          <w:rFonts w:ascii="Book Antiqua" w:hAnsi="Book Antiqua"/>
          <w:i/>
          <w:iCs/>
          <w:color w:val="000000" w:themeColor="text1"/>
          <w:sz w:val="24"/>
        </w:rPr>
        <w:t>Abdom Radiol</w:t>
      </w:r>
      <w:r w:rsidRPr="001659B8">
        <w:rPr>
          <w:rFonts w:ascii="Book Antiqua" w:hAnsi="Book Antiqua"/>
          <w:iCs/>
          <w:color w:val="000000" w:themeColor="text1"/>
          <w:sz w:val="24"/>
        </w:rPr>
        <w:t xml:space="preserve"> (NY)</w:t>
      </w:r>
      <w:r w:rsidRPr="001659B8">
        <w:rPr>
          <w:rFonts w:ascii="Book Antiqua" w:hAnsi="Book Antiqua"/>
          <w:color w:val="000000" w:themeColor="text1"/>
          <w:sz w:val="24"/>
        </w:rPr>
        <w:t> 2018; </w:t>
      </w:r>
      <w:r w:rsidRPr="001659B8">
        <w:rPr>
          <w:rFonts w:ascii="Book Antiqua" w:hAnsi="Book Antiqua"/>
          <w:b/>
          <w:bCs/>
          <w:color w:val="000000" w:themeColor="text1"/>
          <w:sz w:val="24"/>
        </w:rPr>
        <w:t>43</w:t>
      </w:r>
      <w:r w:rsidRPr="001659B8">
        <w:rPr>
          <w:rFonts w:ascii="Book Antiqua" w:hAnsi="Book Antiqua"/>
          <w:color w:val="000000" w:themeColor="text1"/>
          <w:sz w:val="24"/>
        </w:rPr>
        <w:t>: 101-110 [PMID: 29038857 DOI: 10.1007/s00261-017-1334-x]</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12 </w:t>
      </w:r>
      <w:r w:rsidRPr="001659B8">
        <w:rPr>
          <w:rFonts w:ascii="Book Antiqua" w:hAnsi="Book Antiqua"/>
          <w:b/>
          <w:bCs/>
          <w:color w:val="000000" w:themeColor="text1"/>
          <w:sz w:val="24"/>
        </w:rPr>
        <w:t>Kim Y</w:t>
      </w:r>
      <w:r w:rsidRPr="001659B8">
        <w:rPr>
          <w:rFonts w:ascii="Book Antiqua" w:hAnsi="Book Antiqua"/>
          <w:color w:val="000000" w:themeColor="text1"/>
          <w:sz w:val="24"/>
        </w:rPr>
        <w:t>, Furlan A, Borhani AA, Bae KT. Computer-aided diagnosis program for classifying the risk of hepatocellular carcinoma on MR images following liver imaging reporting and data system (LI-RADS). </w:t>
      </w:r>
      <w:r w:rsidRPr="001659B8">
        <w:rPr>
          <w:rFonts w:ascii="Book Antiqua" w:hAnsi="Book Antiqua"/>
          <w:i/>
          <w:iCs/>
          <w:color w:val="000000" w:themeColor="text1"/>
          <w:sz w:val="24"/>
        </w:rPr>
        <w:t>J Magn Reson Imaging</w:t>
      </w:r>
      <w:r w:rsidRPr="001659B8">
        <w:rPr>
          <w:rFonts w:ascii="Book Antiqua" w:hAnsi="Book Antiqua"/>
          <w:color w:val="000000" w:themeColor="text1"/>
          <w:sz w:val="24"/>
        </w:rPr>
        <w:t> 2018; </w:t>
      </w:r>
      <w:r w:rsidRPr="001659B8">
        <w:rPr>
          <w:rFonts w:ascii="Book Antiqua" w:hAnsi="Book Antiqua"/>
          <w:b/>
          <w:bCs/>
          <w:color w:val="000000" w:themeColor="text1"/>
          <w:sz w:val="24"/>
        </w:rPr>
        <w:t>47</w:t>
      </w:r>
      <w:r w:rsidRPr="001659B8">
        <w:rPr>
          <w:rFonts w:ascii="Book Antiqua" w:hAnsi="Book Antiqua"/>
          <w:color w:val="000000" w:themeColor="text1"/>
          <w:sz w:val="24"/>
        </w:rPr>
        <w:t>: 710-722 [PMID: 28556283 DOI: 10.1002/jmri.25772]</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13 </w:t>
      </w:r>
      <w:r w:rsidRPr="001659B8">
        <w:rPr>
          <w:rFonts w:ascii="Book Antiqua" w:hAnsi="Book Antiqua"/>
          <w:b/>
          <w:bCs/>
          <w:color w:val="000000" w:themeColor="text1"/>
          <w:sz w:val="24"/>
        </w:rPr>
        <w:t xml:space="preserve">Schwope </w:t>
      </w:r>
      <w:proofErr w:type="gramStart"/>
      <w:r w:rsidRPr="001659B8">
        <w:rPr>
          <w:rFonts w:ascii="Book Antiqua" w:hAnsi="Book Antiqua"/>
          <w:b/>
          <w:bCs/>
          <w:color w:val="000000" w:themeColor="text1"/>
          <w:sz w:val="24"/>
        </w:rPr>
        <w:t>RB</w:t>
      </w:r>
      <w:r w:rsidRPr="001659B8">
        <w:rPr>
          <w:rFonts w:ascii="Book Antiqua" w:hAnsi="Book Antiqua"/>
          <w:color w:val="000000" w:themeColor="text1"/>
          <w:sz w:val="24"/>
        </w:rPr>
        <w:t>,</w:t>
      </w:r>
      <w:proofErr w:type="gramEnd"/>
      <w:r w:rsidRPr="001659B8">
        <w:rPr>
          <w:rFonts w:ascii="Book Antiqua" w:hAnsi="Book Antiqua"/>
          <w:color w:val="000000" w:themeColor="text1"/>
          <w:sz w:val="24"/>
        </w:rPr>
        <w:t xml:space="preserve"> May LA, Reiter MJ, Lisanti CJ, Margolis DJ. Gadoxetic acid: pearls and pitfalls. </w:t>
      </w:r>
      <w:r w:rsidRPr="001659B8">
        <w:rPr>
          <w:rFonts w:ascii="Book Antiqua" w:hAnsi="Book Antiqua"/>
          <w:i/>
          <w:iCs/>
          <w:color w:val="000000" w:themeColor="text1"/>
          <w:sz w:val="24"/>
        </w:rPr>
        <w:t>Abdom Imaging</w:t>
      </w:r>
      <w:r w:rsidRPr="001659B8">
        <w:rPr>
          <w:rFonts w:ascii="Book Antiqua" w:hAnsi="Book Antiqua"/>
          <w:color w:val="000000" w:themeColor="text1"/>
          <w:sz w:val="24"/>
        </w:rPr>
        <w:t> 2015; </w:t>
      </w:r>
      <w:r w:rsidRPr="001659B8">
        <w:rPr>
          <w:rFonts w:ascii="Book Antiqua" w:hAnsi="Book Antiqua"/>
          <w:b/>
          <w:bCs/>
          <w:color w:val="000000" w:themeColor="text1"/>
          <w:sz w:val="24"/>
        </w:rPr>
        <w:t>40</w:t>
      </w:r>
      <w:r w:rsidRPr="001659B8">
        <w:rPr>
          <w:rFonts w:ascii="Book Antiqua" w:hAnsi="Book Antiqua"/>
          <w:color w:val="000000" w:themeColor="text1"/>
          <w:sz w:val="24"/>
        </w:rPr>
        <w:t>: 2012-2029 [PMID: 25613332 DOI: 10.1007/s00261-015-0354-7]</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14 </w:t>
      </w:r>
      <w:r w:rsidRPr="001659B8">
        <w:rPr>
          <w:rFonts w:ascii="Book Antiqua" w:hAnsi="Book Antiqua"/>
          <w:b/>
          <w:bCs/>
          <w:color w:val="000000" w:themeColor="text1"/>
          <w:sz w:val="24"/>
        </w:rPr>
        <w:t>Lim S</w:t>
      </w:r>
      <w:r w:rsidRPr="001659B8">
        <w:rPr>
          <w:rFonts w:ascii="Book Antiqua" w:hAnsi="Book Antiqua"/>
          <w:color w:val="000000" w:themeColor="text1"/>
          <w:sz w:val="24"/>
        </w:rPr>
        <w:t xml:space="preserve">, Kim YK, Park HJ, Lee WJ, Choi D, Park MJ. </w:t>
      </w:r>
      <w:proofErr w:type="gramStart"/>
      <w:r w:rsidRPr="001659B8">
        <w:rPr>
          <w:rFonts w:ascii="Book Antiqua" w:hAnsi="Book Antiqua"/>
          <w:color w:val="000000" w:themeColor="text1"/>
          <w:sz w:val="24"/>
        </w:rPr>
        <w:t>Infiltrative hepatocellular carcinoma on gadoxetic acid-enhanced and diffusion-weighted MRI at 3.0T.</w:t>
      </w:r>
      <w:proofErr w:type="gramEnd"/>
      <w:r w:rsidRPr="001659B8">
        <w:rPr>
          <w:rFonts w:ascii="Book Antiqua" w:hAnsi="Book Antiqua"/>
          <w:color w:val="000000" w:themeColor="text1"/>
          <w:sz w:val="24"/>
        </w:rPr>
        <w:t> </w:t>
      </w:r>
      <w:r w:rsidRPr="001659B8">
        <w:rPr>
          <w:rFonts w:ascii="Book Antiqua" w:hAnsi="Book Antiqua"/>
          <w:i/>
          <w:iCs/>
          <w:color w:val="000000" w:themeColor="text1"/>
          <w:sz w:val="24"/>
        </w:rPr>
        <w:t>J Magn Reson Imaging</w:t>
      </w:r>
      <w:r w:rsidRPr="001659B8">
        <w:rPr>
          <w:rFonts w:ascii="Book Antiqua" w:hAnsi="Book Antiqua"/>
          <w:color w:val="000000" w:themeColor="text1"/>
          <w:sz w:val="24"/>
        </w:rPr>
        <w:t> 2014; </w:t>
      </w:r>
      <w:r w:rsidRPr="001659B8">
        <w:rPr>
          <w:rFonts w:ascii="Book Antiqua" w:hAnsi="Book Antiqua"/>
          <w:b/>
          <w:bCs/>
          <w:color w:val="000000" w:themeColor="text1"/>
          <w:sz w:val="24"/>
        </w:rPr>
        <w:t>39</w:t>
      </w:r>
      <w:r w:rsidRPr="001659B8">
        <w:rPr>
          <w:rFonts w:ascii="Book Antiqua" w:hAnsi="Book Antiqua"/>
          <w:color w:val="000000" w:themeColor="text1"/>
          <w:sz w:val="24"/>
        </w:rPr>
        <w:t>: 1238-1245 [PMID: 24136725 DOI: 10.1002/jmri.24265]</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15 </w:t>
      </w:r>
      <w:r w:rsidRPr="001659B8">
        <w:rPr>
          <w:rFonts w:ascii="Book Antiqua" w:hAnsi="Book Antiqua"/>
          <w:b/>
          <w:bCs/>
          <w:color w:val="000000" w:themeColor="text1"/>
          <w:sz w:val="24"/>
        </w:rPr>
        <w:t>Tsurusaki M</w:t>
      </w:r>
      <w:r w:rsidRPr="001659B8">
        <w:rPr>
          <w:rFonts w:ascii="Book Antiqua" w:hAnsi="Book Antiqua"/>
          <w:color w:val="000000" w:themeColor="text1"/>
          <w:sz w:val="24"/>
        </w:rPr>
        <w:t xml:space="preserve">, Sofue K, Isoda H, Okada M, Kitajima K, Murakami T. Comparison of gadoxetic acid-enhanced magnetic resonance imaging and contrast-enhanced computed tomography with histopathological </w:t>
      </w:r>
      <w:r w:rsidRPr="001659B8">
        <w:rPr>
          <w:rFonts w:ascii="Book Antiqua" w:hAnsi="Book Antiqua"/>
          <w:color w:val="000000" w:themeColor="text1"/>
          <w:sz w:val="24"/>
        </w:rPr>
        <w:lastRenderedPageBreak/>
        <w:t>examinations for the identification of hepatocellular carcinoma: a multicenter phase III study. </w:t>
      </w:r>
      <w:r w:rsidRPr="001659B8">
        <w:rPr>
          <w:rFonts w:ascii="Book Antiqua" w:hAnsi="Book Antiqua"/>
          <w:i/>
          <w:iCs/>
          <w:color w:val="000000" w:themeColor="text1"/>
          <w:sz w:val="24"/>
        </w:rPr>
        <w:t>J Gastroenterol</w:t>
      </w:r>
      <w:r w:rsidRPr="001659B8">
        <w:rPr>
          <w:rFonts w:ascii="Book Antiqua" w:hAnsi="Book Antiqua"/>
          <w:color w:val="000000" w:themeColor="text1"/>
          <w:sz w:val="24"/>
        </w:rPr>
        <w:t> 2016; </w:t>
      </w:r>
      <w:r w:rsidRPr="001659B8">
        <w:rPr>
          <w:rFonts w:ascii="Book Antiqua" w:hAnsi="Book Antiqua"/>
          <w:b/>
          <w:bCs/>
          <w:color w:val="000000" w:themeColor="text1"/>
          <w:sz w:val="24"/>
        </w:rPr>
        <w:t>51</w:t>
      </w:r>
      <w:r w:rsidRPr="001659B8">
        <w:rPr>
          <w:rFonts w:ascii="Book Antiqua" w:hAnsi="Book Antiqua"/>
          <w:color w:val="000000" w:themeColor="text1"/>
          <w:sz w:val="24"/>
        </w:rPr>
        <w:t>: 71-79 [PMID: 26130441 DOI: 10.1007/s00535-015-1097-5]</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16 </w:t>
      </w:r>
      <w:r w:rsidRPr="001659B8">
        <w:rPr>
          <w:rFonts w:ascii="Book Antiqua" w:hAnsi="Book Antiqua"/>
          <w:b/>
          <w:bCs/>
          <w:color w:val="000000" w:themeColor="text1"/>
          <w:sz w:val="24"/>
        </w:rPr>
        <w:t>Chavhan GB</w:t>
      </w:r>
      <w:r w:rsidRPr="001659B8">
        <w:rPr>
          <w:rFonts w:ascii="Book Antiqua" w:hAnsi="Book Antiqua"/>
          <w:color w:val="000000" w:themeColor="text1"/>
          <w:sz w:val="24"/>
        </w:rPr>
        <w:t>, Alsabban Z, Babyn PS. Diffusion-weighted imaging in pediatric body MR imaging: principles, technique, and emerging applications.</w:t>
      </w:r>
      <w:r w:rsidRPr="001659B8">
        <w:rPr>
          <w:rFonts w:ascii="Book Antiqua" w:hAnsi="Book Antiqua" w:hint="eastAsia"/>
          <w:color w:val="000000" w:themeColor="text1"/>
          <w:sz w:val="24"/>
        </w:rPr>
        <w:t xml:space="preserve"> </w:t>
      </w:r>
      <w:r w:rsidRPr="001659B8">
        <w:rPr>
          <w:rFonts w:ascii="Book Antiqua" w:hAnsi="Book Antiqua"/>
          <w:i/>
          <w:iCs/>
          <w:color w:val="000000" w:themeColor="text1"/>
          <w:sz w:val="24"/>
        </w:rPr>
        <w:t>Radiographics</w:t>
      </w:r>
      <w:r w:rsidRPr="001659B8">
        <w:rPr>
          <w:rFonts w:ascii="Book Antiqua" w:hAnsi="Book Antiqua"/>
          <w:color w:val="000000" w:themeColor="text1"/>
          <w:sz w:val="24"/>
        </w:rPr>
        <w:t> 2014; </w:t>
      </w:r>
      <w:r w:rsidRPr="001659B8">
        <w:rPr>
          <w:rFonts w:ascii="Book Antiqua" w:hAnsi="Book Antiqua"/>
          <w:b/>
          <w:bCs/>
          <w:color w:val="000000" w:themeColor="text1"/>
          <w:sz w:val="24"/>
        </w:rPr>
        <w:t>34</w:t>
      </w:r>
      <w:r w:rsidRPr="001659B8">
        <w:rPr>
          <w:rFonts w:ascii="Book Antiqua" w:hAnsi="Book Antiqua"/>
          <w:color w:val="000000" w:themeColor="text1"/>
          <w:sz w:val="24"/>
        </w:rPr>
        <w:t>: E73-E88 [PMID: 24819803 DOI: 10.1148/rg.343135047]</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17 </w:t>
      </w:r>
      <w:r w:rsidRPr="001659B8">
        <w:rPr>
          <w:rFonts w:ascii="Book Antiqua" w:hAnsi="Book Antiqua"/>
          <w:b/>
          <w:bCs/>
          <w:color w:val="000000" w:themeColor="text1"/>
          <w:sz w:val="24"/>
        </w:rPr>
        <w:t>Zhu SC</w:t>
      </w:r>
      <w:r w:rsidRPr="001659B8">
        <w:rPr>
          <w:rFonts w:ascii="Book Antiqua" w:hAnsi="Book Antiqua"/>
          <w:color w:val="000000" w:themeColor="text1"/>
          <w:sz w:val="24"/>
        </w:rPr>
        <w:t>, Liu YH, Wei Y, Li LL, Dou SW, Sun TY, Shi DP. Intravoxel incoherent motion diffusion-weighted magnetic resonance imaging for predicting histological grade of hepatocellular carcinoma: Comparison with conventional diffusion-weighted imaging. </w:t>
      </w:r>
      <w:r w:rsidRPr="001659B8">
        <w:rPr>
          <w:rFonts w:ascii="Book Antiqua" w:hAnsi="Book Antiqua"/>
          <w:i/>
          <w:iCs/>
          <w:color w:val="000000" w:themeColor="text1"/>
          <w:sz w:val="24"/>
        </w:rPr>
        <w:t>World J Gastroenterol</w:t>
      </w:r>
      <w:r w:rsidRPr="001659B8">
        <w:rPr>
          <w:rFonts w:ascii="Book Antiqua" w:hAnsi="Book Antiqua"/>
          <w:color w:val="000000" w:themeColor="text1"/>
          <w:sz w:val="24"/>
        </w:rPr>
        <w:t> 2018; </w:t>
      </w:r>
      <w:r w:rsidRPr="001659B8">
        <w:rPr>
          <w:rFonts w:ascii="Book Antiqua" w:hAnsi="Book Antiqua"/>
          <w:b/>
          <w:bCs/>
          <w:color w:val="000000" w:themeColor="text1"/>
          <w:sz w:val="24"/>
        </w:rPr>
        <w:t>24</w:t>
      </w:r>
      <w:r w:rsidRPr="001659B8">
        <w:rPr>
          <w:rFonts w:ascii="Book Antiqua" w:hAnsi="Book Antiqua"/>
          <w:color w:val="000000" w:themeColor="text1"/>
          <w:sz w:val="24"/>
        </w:rPr>
        <w:t>: 929-940 [PMID: 29491686 DOI: 10.3748/wjg.v24.i8.929]</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18 </w:t>
      </w:r>
      <w:r w:rsidRPr="001659B8">
        <w:rPr>
          <w:rFonts w:ascii="Book Antiqua" w:hAnsi="Book Antiqua"/>
          <w:b/>
          <w:bCs/>
          <w:color w:val="000000" w:themeColor="text1"/>
          <w:sz w:val="24"/>
        </w:rPr>
        <w:t>Mannelli L</w:t>
      </w:r>
      <w:r w:rsidRPr="001659B8">
        <w:rPr>
          <w:rFonts w:ascii="Book Antiqua" w:hAnsi="Book Antiqua"/>
          <w:color w:val="000000" w:themeColor="text1"/>
          <w:sz w:val="24"/>
        </w:rPr>
        <w:t xml:space="preserve">, Nougaret S, Vargas HA, Do RK. </w:t>
      </w:r>
      <w:proofErr w:type="gramStart"/>
      <w:r w:rsidRPr="001659B8">
        <w:rPr>
          <w:rFonts w:ascii="Book Antiqua" w:hAnsi="Book Antiqua"/>
          <w:color w:val="000000" w:themeColor="text1"/>
          <w:sz w:val="24"/>
        </w:rPr>
        <w:t>Advances in diffusion-weighted imaging.</w:t>
      </w:r>
      <w:proofErr w:type="gramEnd"/>
      <w:r w:rsidRPr="001659B8">
        <w:rPr>
          <w:rFonts w:ascii="Book Antiqua" w:hAnsi="Book Antiqua"/>
          <w:color w:val="000000" w:themeColor="text1"/>
          <w:sz w:val="24"/>
        </w:rPr>
        <w:t> </w:t>
      </w:r>
      <w:r w:rsidRPr="001659B8">
        <w:rPr>
          <w:rFonts w:ascii="Book Antiqua" w:hAnsi="Book Antiqua"/>
          <w:i/>
          <w:iCs/>
          <w:color w:val="000000" w:themeColor="text1"/>
          <w:sz w:val="24"/>
        </w:rPr>
        <w:t>Radiol Clin North Am</w:t>
      </w:r>
      <w:r w:rsidRPr="001659B8">
        <w:rPr>
          <w:rFonts w:ascii="Book Antiqua" w:hAnsi="Book Antiqua"/>
          <w:color w:val="000000" w:themeColor="text1"/>
          <w:sz w:val="24"/>
        </w:rPr>
        <w:t> 2015; </w:t>
      </w:r>
      <w:r w:rsidRPr="001659B8">
        <w:rPr>
          <w:rFonts w:ascii="Book Antiqua" w:hAnsi="Book Antiqua"/>
          <w:b/>
          <w:bCs/>
          <w:color w:val="000000" w:themeColor="text1"/>
          <w:sz w:val="24"/>
        </w:rPr>
        <w:t>53</w:t>
      </w:r>
      <w:r w:rsidRPr="001659B8">
        <w:rPr>
          <w:rFonts w:ascii="Book Antiqua" w:hAnsi="Book Antiqua"/>
          <w:color w:val="000000" w:themeColor="text1"/>
          <w:sz w:val="24"/>
        </w:rPr>
        <w:t>: 569-581 [PMID: 25953290 DOI: 10.1016/j.rcl.2015.01.002]</w:t>
      </w:r>
    </w:p>
    <w:p w:rsidR="00510107" w:rsidRPr="001659B8" w:rsidRDefault="002E702A">
      <w:pPr>
        <w:adjustRightInd w:val="0"/>
        <w:snapToGrid w:val="0"/>
        <w:spacing w:after="0" w:line="360" w:lineRule="auto"/>
        <w:rPr>
          <w:rFonts w:ascii="Book Antiqua" w:hAnsi="Book Antiqua"/>
          <w:color w:val="000000" w:themeColor="text1"/>
          <w:sz w:val="24"/>
        </w:rPr>
      </w:pPr>
      <w:proofErr w:type="gramStart"/>
      <w:r w:rsidRPr="001659B8">
        <w:rPr>
          <w:rFonts w:ascii="Book Antiqua" w:hAnsi="Book Antiqua"/>
          <w:color w:val="000000" w:themeColor="text1"/>
          <w:sz w:val="24"/>
        </w:rPr>
        <w:t>19 </w:t>
      </w:r>
      <w:r w:rsidRPr="001659B8">
        <w:rPr>
          <w:rFonts w:ascii="Book Antiqua" w:hAnsi="Book Antiqua"/>
          <w:b/>
          <w:bCs/>
          <w:color w:val="000000" w:themeColor="text1"/>
          <w:sz w:val="24"/>
        </w:rPr>
        <w:t>Zidan M</w:t>
      </w:r>
      <w:r w:rsidRPr="001659B8">
        <w:rPr>
          <w:rFonts w:ascii="Book Antiqua" w:hAnsi="Book Antiqua"/>
          <w:color w:val="000000" w:themeColor="text1"/>
          <w:sz w:val="24"/>
        </w:rPr>
        <w:t>, Thomas RL, Slovis TL.</w:t>
      </w:r>
      <w:proofErr w:type="gramEnd"/>
      <w:r w:rsidRPr="001659B8">
        <w:rPr>
          <w:rFonts w:ascii="Book Antiqua" w:hAnsi="Book Antiqua"/>
          <w:color w:val="000000" w:themeColor="text1"/>
          <w:sz w:val="24"/>
        </w:rPr>
        <w:t xml:space="preserve"> What you need to know about statistics, part II: reliability of diagnostic and screening tests. </w:t>
      </w:r>
      <w:r w:rsidRPr="001659B8">
        <w:rPr>
          <w:rFonts w:ascii="Book Antiqua" w:hAnsi="Book Antiqua"/>
          <w:i/>
          <w:iCs/>
          <w:color w:val="000000" w:themeColor="text1"/>
          <w:sz w:val="24"/>
        </w:rPr>
        <w:t>Pediatr Radiol</w:t>
      </w:r>
      <w:r w:rsidRPr="001659B8">
        <w:rPr>
          <w:rFonts w:ascii="Book Antiqua" w:hAnsi="Book Antiqua"/>
          <w:color w:val="000000" w:themeColor="text1"/>
          <w:sz w:val="24"/>
        </w:rPr>
        <w:t> 2015; </w:t>
      </w:r>
      <w:r w:rsidRPr="001659B8">
        <w:rPr>
          <w:rFonts w:ascii="Book Antiqua" w:hAnsi="Book Antiqua"/>
          <w:b/>
          <w:bCs/>
          <w:color w:val="000000" w:themeColor="text1"/>
          <w:sz w:val="24"/>
        </w:rPr>
        <w:t>45</w:t>
      </w:r>
      <w:r w:rsidRPr="001659B8">
        <w:rPr>
          <w:rFonts w:ascii="Book Antiqua" w:hAnsi="Book Antiqua"/>
          <w:color w:val="000000" w:themeColor="text1"/>
          <w:sz w:val="24"/>
        </w:rPr>
        <w:t>: 317-328 [PMID: 25726014 DOI: 10.1007/s00247-014-2944-x]</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20 </w:t>
      </w:r>
      <w:r w:rsidRPr="001659B8">
        <w:rPr>
          <w:rFonts w:ascii="Book Antiqua" w:hAnsi="Book Antiqua"/>
          <w:b/>
          <w:bCs/>
          <w:color w:val="000000" w:themeColor="text1"/>
          <w:sz w:val="24"/>
        </w:rPr>
        <w:t>Liu W</w:t>
      </w:r>
      <w:r w:rsidRPr="001659B8">
        <w:rPr>
          <w:rFonts w:ascii="Book Antiqua" w:hAnsi="Book Antiqua"/>
          <w:color w:val="000000" w:themeColor="text1"/>
          <w:sz w:val="24"/>
        </w:rPr>
        <w:t>, Qin J, Guo R, Xie S, Jiang H, Wang X, Kang Z, Wang J, Shan H. Accuracy of the diagnostic evaluation of hepatocellular carcinoma with LI-RADS. </w:t>
      </w:r>
      <w:r w:rsidRPr="001659B8">
        <w:rPr>
          <w:rFonts w:ascii="Book Antiqua" w:hAnsi="Book Antiqua"/>
          <w:i/>
          <w:iCs/>
          <w:color w:val="000000" w:themeColor="text1"/>
          <w:sz w:val="24"/>
        </w:rPr>
        <w:t>Acta Radiol</w:t>
      </w:r>
      <w:r w:rsidRPr="001659B8">
        <w:rPr>
          <w:rFonts w:ascii="Book Antiqua" w:hAnsi="Book Antiqua"/>
          <w:color w:val="000000" w:themeColor="text1"/>
          <w:sz w:val="24"/>
        </w:rPr>
        <w:t> 2018; </w:t>
      </w:r>
      <w:r w:rsidRPr="001659B8">
        <w:rPr>
          <w:rFonts w:ascii="Book Antiqua" w:hAnsi="Book Antiqua"/>
          <w:b/>
          <w:bCs/>
          <w:color w:val="000000" w:themeColor="text1"/>
          <w:sz w:val="24"/>
        </w:rPr>
        <w:t>59</w:t>
      </w:r>
      <w:r w:rsidRPr="001659B8">
        <w:rPr>
          <w:rFonts w:ascii="Book Antiqua" w:hAnsi="Book Antiqua"/>
          <w:color w:val="000000" w:themeColor="text1"/>
          <w:sz w:val="24"/>
        </w:rPr>
        <w:t>: 140-146 [PMID: 28648125 DOI: 10.1177/0284185117716700]</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21 </w:t>
      </w:r>
      <w:r w:rsidRPr="001659B8">
        <w:rPr>
          <w:rFonts w:ascii="Book Antiqua" w:hAnsi="Book Antiqua"/>
          <w:b/>
          <w:bCs/>
          <w:color w:val="000000" w:themeColor="text1"/>
          <w:sz w:val="24"/>
        </w:rPr>
        <w:t>Lee SE</w:t>
      </w:r>
      <w:r w:rsidRPr="001659B8">
        <w:rPr>
          <w:rFonts w:ascii="Book Antiqua" w:hAnsi="Book Antiqua"/>
          <w:color w:val="000000" w:themeColor="text1"/>
          <w:sz w:val="24"/>
        </w:rPr>
        <w:t xml:space="preserve">, </w:t>
      </w:r>
      <w:proofErr w:type="gramStart"/>
      <w:r w:rsidRPr="001659B8">
        <w:rPr>
          <w:rFonts w:ascii="Book Antiqua" w:hAnsi="Book Antiqua"/>
          <w:color w:val="000000" w:themeColor="text1"/>
          <w:sz w:val="24"/>
        </w:rPr>
        <w:t>An</w:t>
      </w:r>
      <w:proofErr w:type="gramEnd"/>
      <w:r w:rsidRPr="001659B8">
        <w:rPr>
          <w:rFonts w:ascii="Book Antiqua" w:hAnsi="Book Antiqua"/>
          <w:color w:val="000000" w:themeColor="text1"/>
          <w:sz w:val="24"/>
        </w:rPr>
        <w:t xml:space="preserve"> C, Hwang SH, Choi JY, Han K, Kim MJ. Extracellular contrast agent-enhanced MRI: 15-min delayed phase may improve the diagnostic performance for hepatocellular carcinoma in patients with chronic liver disease.</w:t>
      </w:r>
      <w:r w:rsidRPr="001659B8">
        <w:rPr>
          <w:rFonts w:ascii="Book Antiqua" w:hAnsi="Book Antiqua" w:hint="eastAsia"/>
          <w:color w:val="000000" w:themeColor="text1"/>
          <w:sz w:val="24"/>
        </w:rPr>
        <w:t xml:space="preserve"> </w:t>
      </w:r>
      <w:r w:rsidRPr="001659B8">
        <w:rPr>
          <w:rFonts w:ascii="Book Antiqua" w:hAnsi="Book Antiqua"/>
          <w:i/>
          <w:iCs/>
          <w:color w:val="000000" w:themeColor="text1"/>
          <w:sz w:val="24"/>
        </w:rPr>
        <w:t>Eur Radiol</w:t>
      </w:r>
      <w:r w:rsidRPr="001659B8">
        <w:rPr>
          <w:rFonts w:ascii="Book Antiqua" w:hAnsi="Book Antiqua"/>
          <w:color w:val="000000" w:themeColor="text1"/>
          <w:sz w:val="24"/>
        </w:rPr>
        <w:t> 2018; </w:t>
      </w:r>
      <w:r w:rsidRPr="001659B8">
        <w:rPr>
          <w:rFonts w:ascii="Book Antiqua" w:hAnsi="Book Antiqua"/>
          <w:b/>
          <w:bCs/>
          <w:color w:val="000000" w:themeColor="text1"/>
          <w:sz w:val="24"/>
        </w:rPr>
        <w:t>28</w:t>
      </w:r>
      <w:r w:rsidRPr="001659B8">
        <w:rPr>
          <w:rFonts w:ascii="Book Antiqua" w:hAnsi="Book Antiqua"/>
          <w:color w:val="000000" w:themeColor="text1"/>
          <w:sz w:val="24"/>
        </w:rPr>
        <w:t>: 1551-1559 [PMID: 29134355 DOI: 10.1007/s00330-017-5119-y]</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22 </w:t>
      </w:r>
      <w:r w:rsidRPr="001659B8">
        <w:rPr>
          <w:rFonts w:ascii="Book Antiqua" w:hAnsi="Book Antiqua"/>
          <w:b/>
          <w:bCs/>
          <w:color w:val="000000" w:themeColor="text1"/>
          <w:sz w:val="24"/>
        </w:rPr>
        <w:t>Wu JW</w:t>
      </w:r>
      <w:r w:rsidRPr="001659B8">
        <w:rPr>
          <w:rFonts w:ascii="Book Antiqua" w:hAnsi="Book Antiqua"/>
          <w:color w:val="000000" w:themeColor="text1"/>
          <w:sz w:val="24"/>
        </w:rPr>
        <w:t>, Yu YC, Qu XL, Zhang Y, Gao H. Optimization of hepatobiliary phase delay time of Gd-EOB-DTPA-enhanced magnetic resonance imaging for identification of hepatocellular carcinoma in patients with cirrhosis of different degrees of severity. </w:t>
      </w:r>
      <w:r w:rsidRPr="001659B8">
        <w:rPr>
          <w:rFonts w:ascii="Book Antiqua" w:hAnsi="Book Antiqua"/>
          <w:i/>
          <w:iCs/>
          <w:color w:val="000000" w:themeColor="text1"/>
          <w:sz w:val="24"/>
        </w:rPr>
        <w:t>World J Gastroenterol</w:t>
      </w:r>
      <w:r w:rsidRPr="001659B8">
        <w:rPr>
          <w:rFonts w:ascii="Book Antiqua" w:hAnsi="Book Antiqua"/>
          <w:color w:val="000000" w:themeColor="text1"/>
          <w:sz w:val="24"/>
        </w:rPr>
        <w:t> 2018; </w:t>
      </w:r>
      <w:r w:rsidRPr="001659B8">
        <w:rPr>
          <w:rFonts w:ascii="Book Antiqua" w:hAnsi="Book Antiqua"/>
          <w:b/>
          <w:bCs/>
          <w:color w:val="000000" w:themeColor="text1"/>
          <w:sz w:val="24"/>
        </w:rPr>
        <w:t>24</w:t>
      </w:r>
      <w:r w:rsidRPr="001659B8">
        <w:rPr>
          <w:rFonts w:ascii="Book Antiqua" w:hAnsi="Book Antiqua"/>
          <w:color w:val="000000" w:themeColor="text1"/>
          <w:sz w:val="24"/>
        </w:rPr>
        <w:t>: 415-423 [PMID: 29391764 DOI: 10.3748/wjg.v24.i3.415]</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lastRenderedPageBreak/>
        <w:t>23 </w:t>
      </w:r>
      <w:r w:rsidRPr="001659B8">
        <w:rPr>
          <w:rFonts w:ascii="Book Antiqua" w:hAnsi="Book Antiqua"/>
          <w:b/>
          <w:bCs/>
          <w:color w:val="000000" w:themeColor="text1"/>
          <w:sz w:val="24"/>
        </w:rPr>
        <w:t>Li X</w:t>
      </w:r>
      <w:r w:rsidRPr="001659B8">
        <w:rPr>
          <w:rFonts w:ascii="Book Antiqua" w:hAnsi="Book Antiqua"/>
          <w:color w:val="000000" w:themeColor="text1"/>
          <w:sz w:val="24"/>
        </w:rPr>
        <w:t>, Li C, Wang R, Ren J, Yang J, Zhang Y. Combined Application of Gadoxetic Acid Disodium-Enhanced Magnetic Resonance Imaging (MRI) and Diffusion-Weighted Imaging (DWI) in the Diagnosis of Chronic Liver Disease-Induced Hepatocellular Carcinoma: A Meta-Analysis. </w:t>
      </w:r>
      <w:r w:rsidRPr="001659B8">
        <w:rPr>
          <w:rFonts w:ascii="Book Antiqua" w:hAnsi="Book Antiqua"/>
          <w:i/>
          <w:iCs/>
          <w:color w:val="000000" w:themeColor="text1"/>
          <w:sz w:val="24"/>
        </w:rPr>
        <w:t>PLoS One</w:t>
      </w:r>
      <w:r w:rsidRPr="001659B8">
        <w:rPr>
          <w:rFonts w:ascii="Book Antiqua" w:hAnsi="Book Antiqua"/>
          <w:color w:val="000000" w:themeColor="text1"/>
          <w:sz w:val="24"/>
        </w:rPr>
        <w:t> 2015; </w:t>
      </w:r>
      <w:r w:rsidRPr="001659B8">
        <w:rPr>
          <w:rFonts w:ascii="Book Antiqua" w:hAnsi="Book Antiqua"/>
          <w:b/>
          <w:bCs/>
          <w:color w:val="000000" w:themeColor="text1"/>
          <w:sz w:val="24"/>
        </w:rPr>
        <w:t>10</w:t>
      </w:r>
      <w:r w:rsidRPr="001659B8">
        <w:rPr>
          <w:rFonts w:ascii="Book Antiqua" w:hAnsi="Book Antiqua"/>
          <w:color w:val="000000" w:themeColor="text1"/>
          <w:sz w:val="24"/>
        </w:rPr>
        <w:t>: e0144247 [PMID: 26629904 DOI: 10.1371/journal.pone.0144247]</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olor w:val="000000" w:themeColor="text1"/>
          <w:sz w:val="24"/>
        </w:rPr>
        <w:t>24 </w:t>
      </w:r>
      <w:r w:rsidRPr="001659B8">
        <w:rPr>
          <w:rFonts w:ascii="Book Antiqua" w:hAnsi="Book Antiqua"/>
          <w:b/>
          <w:bCs/>
          <w:color w:val="000000" w:themeColor="text1"/>
          <w:sz w:val="24"/>
        </w:rPr>
        <w:t>Kim YY</w:t>
      </w:r>
      <w:r w:rsidRPr="001659B8">
        <w:rPr>
          <w:rFonts w:ascii="Book Antiqua" w:hAnsi="Book Antiqua"/>
          <w:color w:val="000000" w:themeColor="text1"/>
          <w:sz w:val="24"/>
        </w:rPr>
        <w:t xml:space="preserve">, </w:t>
      </w:r>
      <w:proofErr w:type="gramStart"/>
      <w:r w:rsidRPr="001659B8">
        <w:rPr>
          <w:rFonts w:ascii="Book Antiqua" w:hAnsi="Book Antiqua"/>
          <w:color w:val="000000" w:themeColor="text1"/>
          <w:sz w:val="24"/>
        </w:rPr>
        <w:t>An</w:t>
      </w:r>
      <w:proofErr w:type="gramEnd"/>
      <w:r w:rsidRPr="001659B8">
        <w:rPr>
          <w:rFonts w:ascii="Book Antiqua" w:hAnsi="Book Antiqua"/>
          <w:color w:val="000000" w:themeColor="text1"/>
          <w:sz w:val="24"/>
        </w:rPr>
        <w:t xml:space="preserve"> C, Kim S, Kim MJ. </w:t>
      </w:r>
      <w:proofErr w:type="gramStart"/>
      <w:r w:rsidRPr="001659B8">
        <w:rPr>
          <w:rFonts w:ascii="Book Antiqua" w:hAnsi="Book Antiqua"/>
          <w:color w:val="000000" w:themeColor="text1"/>
          <w:sz w:val="24"/>
        </w:rPr>
        <w:t>Diagnostic accuracy of prospective application of the Liver Imaging Reporting and Data System (LI-RADS) in gadoxetate-enhanced MRI.</w:t>
      </w:r>
      <w:proofErr w:type="gramEnd"/>
      <w:r w:rsidRPr="001659B8">
        <w:rPr>
          <w:rFonts w:ascii="Book Antiqua" w:hAnsi="Book Antiqua"/>
          <w:color w:val="000000" w:themeColor="text1"/>
          <w:sz w:val="24"/>
        </w:rPr>
        <w:t> </w:t>
      </w:r>
      <w:r w:rsidRPr="001659B8">
        <w:rPr>
          <w:rFonts w:ascii="Book Antiqua" w:hAnsi="Book Antiqua"/>
          <w:i/>
          <w:iCs/>
          <w:color w:val="000000" w:themeColor="text1"/>
          <w:sz w:val="24"/>
        </w:rPr>
        <w:t>Eur Radiol</w:t>
      </w:r>
      <w:r w:rsidRPr="001659B8">
        <w:rPr>
          <w:rFonts w:ascii="Book Antiqua" w:hAnsi="Book Antiqua"/>
          <w:color w:val="000000" w:themeColor="text1"/>
          <w:sz w:val="24"/>
        </w:rPr>
        <w:t> 2018; </w:t>
      </w:r>
      <w:r w:rsidRPr="001659B8">
        <w:rPr>
          <w:rFonts w:ascii="Book Antiqua" w:hAnsi="Book Antiqua"/>
          <w:b/>
          <w:bCs/>
          <w:color w:val="000000" w:themeColor="text1"/>
          <w:sz w:val="24"/>
        </w:rPr>
        <w:t>28</w:t>
      </w:r>
      <w:r w:rsidRPr="001659B8">
        <w:rPr>
          <w:rFonts w:ascii="Book Antiqua" w:hAnsi="Book Antiqua"/>
          <w:color w:val="000000" w:themeColor="text1"/>
          <w:sz w:val="24"/>
        </w:rPr>
        <w:t>: 2038-2046 [PMID: 29230525 DOI: 10.1007/s00330-017-5188-y]</w:t>
      </w:r>
    </w:p>
    <w:p w:rsidR="00510107" w:rsidRPr="001659B8" w:rsidRDefault="002E702A">
      <w:pPr>
        <w:wordWrap w:val="0"/>
        <w:adjustRightInd w:val="0"/>
        <w:snapToGrid w:val="0"/>
        <w:spacing w:after="0" w:line="360" w:lineRule="auto"/>
        <w:jc w:val="right"/>
        <w:rPr>
          <w:rFonts w:ascii="Book Antiqua" w:hAnsi="Book Antiqua"/>
          <w:b/>
          <w:bCs/>
          <w:sz w:val="24"/>
        </w:rPr>
      </w:pPr>
      <w:bookmarkStart w:id="81" w:name="OLE_LINK346"/>
      <w:bookmarkStart w:id="82" w:name="OLE_LINK371"/>
      <w:bookmarkStart w:id="83" w:name="OLE_LINK334"/>
      <w:bookmarkStart w:id="84" w:name="OLE_LINK1830"/>
      <w:bookmarkStart w:id="85" w:name="OLE_LINK457"/>
      <w:bookmarkStart w:id="86" w:name="OLE_LINK288"/>
      <w:bookmarkStart w:id="87" w:name="OLE_LINK384"/>
      <w:bookmarkStart w:id="88" w:name="OLE_LINK379"/>
      <w:bookmarkStart w:id="89" w:name="OLE_LINK303"/>
      <w:bookmarkStart w:id="90" w:name="OLE_LINK450"/>
      <w:bookmarkStart w:id="91" w:name="OLE_LINK489"/>
      <w:bookmarkStart w:id="92" w:name="OLE_LINK535"/>
      <w:bookmarkStart w:id="93" w:name="OLE_LINK648"/>
      <w:bookmarkStart w:id="94" w:name="OLE_LINK686"/>
      <w:bookmarkStart w:id="95" w:name="OLE_LINK471"/>
      <w:bookmarkStart w:id="96" w:name="OLE_LINK462"/>
      <w:bookmarkStart w:id="97" w:name="OLE_LINK148"/>
      <w:bookmarkStart w:id="98" w:name="OLE_LINK320"/>
      <w:bookmarkStart w:id="99" w:name="OLE_LINK387"/>
      <w:bookmarkStart w:id="100" w:name="OLE_LINK254"/>
      <w:bookmarkStart w:id="101" w:name="OLE_LINK149"/>
      <w:bookmarkStart w:id="102" w:name="OLE_LINK225"/>
      <w:bookmarkStart w:id="103" w:name="OLE_LINK207"/>
      <w:bookmarkStart w:id="104" w:name="OLE_LINK226"/>
      <w:bookmarkStart w:id="105" w:name="OLE_LINK212"/>
      <w:bookmarkStart w:id="106" w:name="OLE_LINK250"/>
      <w:bookmarkStart w:id="107" w:name="OLE_LINK281"/>
      <w:bookmarkStart w:id="108" w:name="OLE_LINK282"/>
      <w:bookmarkStart w:id="109" w:name="OLE_LINK313"/>
      <w:bookmarkStart w:id="110" w:name="OLE_LINK304"/>
      <w:bookmarkStart w:id="111" w:name="OLE_LINK321"/>
      <w:bookmarkStart w:id="112" w:name="OLE_LINK385"/>
      <w:bookmarkStart w:id="113" w:name="OLE_LINK400"/>
      <w:bookmarkStart w:id="114" w:name="OLE_LINK519"/>
      <w:bookmarkStart w:id="115" w:name="OLE_LINK575"/>
      <w:bookmarkStart w:id="116" w:name="OLE_LINK491"/>
      <w:bookmarkStart w:id="117" w:name="OLE_LINK532"/>
      <w:bookmarkStart w:id="118" w:name="OLE_LINK572"/>
      <w:bookmarkStart w:id="119" w:name="OLE_LINK574"/>
      <w:bookmarkStart w:id="120" w:name="OLE_LINK480"/>
      <w:bookmarkStart w:id="121" w:name="OLE_LINK567"/>
      <w:bookmarkStart w:id="122" w:name="OLE_LINK2700"/>
      <w:bookmarkStart w:id="123" w:name="OLE_LINK581"/>
      <w:bookmarkStart w:id="124" w:name="OLE_LINK639"/>
      <w:bookmarkStart w:id="125" w:name="OLE_LINK688"/>
      <w:bookmarkStart w:id="126" w:name="OLE_LINK722"/>
      <w:bookmarkStart w:id="127" w:name="OLE_LINK542"/>
      <w:bookmarkStart w:id="128" w:name="OLE_LINK589"/>
      <w:bookmarkStart w:id="129" w:name="OLE_LINK582"/>
      <w:bookmarkStart w:id="130" w:name="OLE_LINK640"/>
      <w:bookmarkStart w:id="131" w:name="OLE_LINK714"/>
      <w:bookmarkStart w:id="132" w:name="OLE_LINK593"/>
      <w:bookmarkStart w:id="133" w:name="OLE_LINK716"/>
      <w:bookmarkStart w:id="134" w:name="OLE_LINK770"/>
      <w:bookmarkStart w:id="135" w:name="OLE_LINK801"/>
      <w:bookmarkStart w:id="136" w:name="OLE_LINK660"/>
      <w:bookmarkStart w:id="137" w:name="OLE_LINK781"/>
      <w:bookmarkStart w:id="138" w:name="OLE_LINK833"/>
      <w:bookmarkStart w:id="139" w:name="OLE_LINK642"/>
      <w:bookmarkStart w:id="140" w:name="OLE_LINK700"/>
      <w:bookmarkStart w:id="141" w:name="OLE_LINK792"/>
      <w:bookmarkStart w:id="142" w:name="OLE_LINK2882"/>
      <w:bookmarkStart w:id="143" w:name="OLE_LINK836"/>
      <w:bookmarkStart w:id="144" w:name="OLE_LINK889"/>
      <w:bookmarkStart w:id="145" w:name="OLE_LINK782"/>
      <w:bookmarkStart w:id="146" w:name="OLE_LINK826"/>
      <w:bookmarkStart w:id="147" w:name="OLE_LINK865"/>
      <w:bookmarkStart w:id="148" w:name="OLE_LINK856"/>
      <w:bookmarkStart w:id="149" w:name="OLE_LINK908"/>
      <w:bookmarkStart w:id="150" w:name="OLE_LINK980"/>
      <w:bookmarkStart w:id="151" w:name="OLE_LINK1018"/>
      <w:bookmarkStart w:id="152" w:name="OLE_LINK1049"/>
      <w:bookmarkStart w:id="153" w:name="OLE_LINK1076"/>
      <w:bookmarkStart w:id="154" w:name="OLE_LINK1106"/>
      <w:bookmarkStart w:id="155" w:name="OLE_LINK891"/>
      <w:bookmarkStart w:id="156" w:name="OLE_LINK943"/>
      <w:bookmarkStart w:id="157" w:name="OLE_LINK981"/>
      <w:bookmarkStart w:id="158" w:name="OLE_LINK1030"/>
      <w:bookmarkStart w:id="159" w:name="OLE_LINK847"/>
      <w:bookmarkStart w:id="160" w:name="OLE_LINK909"/>
      <w:bookmarkStart w:id="161" w:name="OLE_LINK906"/>
      <w:bookmarkStart w:id="162" w:name="OLE_LINK992"/>
      <w:bookmarkStart w:id="163" w:name="OLE_LINK993"/>
      <w:bookmarkStart w:id="164" w:name="OLE_LINK1052"/>
      <w:bookmarkStart w:id="165" w:name="OLE_LINK946"/>
      <w:bookmarkStart w:id="166" w:name="OLE_LINK911"/>
      <w:bookmarkStart w:id="167" w:name="OLE_LINK930"/>
      <w:bookmarkStart w:id="168" w:name="OLE_LINK1059"/>
      <w:bookmarkStart w:id="169" w:name="OLE_LINK1174"/>
      <w:bookmarkStart w:id="170" w:name="OLE_LINK1137"/>
      <w:bookmarkStart w:id="171" w:name="OLE_LINK1167"/>
      <w:bookmarkStart w:id="172" w:name="OLE_LINK1200"/>
      <w:bookmarkStart w:id="173" w:name="OLE_LINK1241"/>
      <w:bookmarkStart w:id="174" w:name="OLE_LINK1288"/>
      <w:bookmarkStart w:id="175" w:name="OLE_LINK1056"/>
      <w:bookmarkStart w:id="176" w:name="OLE_LINK1158"/>
      <w:bookmarkStart w:id="177" w:name="OLE_LINK1175"/>
      <w:bookmarkStart w:id="178" w:name="OLE_LINK1074"/>
      <w:bookmarkStart w:id="179" w:name="OLE_LINK1169"/>
      <w:bookmarkStart w:id="180" w:name="OLE_LINK386"/>
      <w:r w:rsidRPr="001659B8">
        <w:rPr>
          <w:rFonts w:ascii="Book Antiqua" w:hAnsi="Book Antiqua"/>
          <w:b/>
          <w:bCs/>
          <w:sz w:val="24"/>
        </w:rPr>
        <w:t>P-Reviewer:</w:t>
      </w:r>
      <w:r w:rsidRPr="001659B8">
        <w:rPr>
          <w:rFonts w:ascii="Book Antiqua" w:hAnsi="Book Antiqua" w:hint="eastAsia"/>
          <w:b/>
          <w:bCs/>
          <w:sz w:val="24"/>
        </w:rPr>
        <w:t xml:space="preserve"> </w:t>
      </w:r>
      <w:r w:rsidRPr="001659B8">
        <w:rPr>
          <w:rFonts w:ascii="Book Antiqua" w:hAnsi="Book Antiqua"/>
          <w:bCs/>
          <w:sz w:val="24"/>
        </w:rPr>
        <w:t>Boteon YL, Cerwenka H</w:t>
      </w:r>
      <w:r w:rsidRPr="001659B8">
        <w:rPr>
          <w:rFonts w:ascii="Book Antiqua" w:hAnsi="Book Antiqua" w:hint="eastAsia"/>
          <w:bCs/>
          <w:sz w:val="24"/>
        </w:rPr>
        <w:t xml:space="preserve">, </w:t>
      </w:r>
      <w:r w:rsidRPr="001659B8">
        <w:rPr>
          <w:rFonts w:ascii="Book Antiqua" w:hAnsi="Book Antiqua"/>
          <w:bCs/>
          <w:sz w:val="24"/>
        </w:rPr>
        <w:t>Méndez-Sánchez</w:t>
      </w:r>
      <w:r w:rsidRPr="001659B8">
        <w:rPr>
          <w:rFonts w:ascii="Book Antiqua" w:hAnsi="Book Antiqua" w:hint="eastAsia"/>
          <w:bCs/>
          <w:sz w:val="24"/>
        </w:rPr>
        <w:t xml:space="preserve"> N</w:t>
      </w:r>
    </w:p>
    <w:p w:rsidR="00510107" w:rsidRPr="001659B8" w:rsidRDefault="002E702A">
      <w:pPr>
        <w:wordWrap w:val="0"/>
        <w:adjustRightInd w:val="0"/>
        <w:snapToGrid w:val="0"/>
        <w:spacing w:after="0" w:line="360" w:lineRule="auto"/>
        <w:jc w:val="right"/>
        <w:rPr>
          <w:rFonts w:ascii="Book Antiqua" w:hAnsi="Book Antiqua"/>
          <w:sz w:val="24"/>
        </w:rPr>
      </w:pPr>
      <w:r w:rsidRPr="001659B8">
        <w:rPr>
          <w:rFonts w:ascii="Book Antiqua" w:hAnsi="Book Antiqua"/>
          <w:b/>
          <w:bCs/>
          <w:sz w:val="24"/>
        </w:rPr>
        <w:t>S-Editor:</w:t>
      </w:r>
      <w:r w:rsidRPr="001659B8">
        <w:rPr>
          <w:rFonts w:ascii="Book Antiqua" w:hAnsi="Book Antiqua" w:hint="eastAsia"/>
          <w:sz w:val="24"/>
        </w:rPr>
        <w:t xml:space="preserve"> </w:t>
      </w:r>
      <w:r w:rsidRPr="001659B8">
        <w:rPr>
          <w:rFonts w:ascii="Book Antiqua" w:hAnsi="Book Antiqua"/>
          <w:sz w:val="24"/>
        </w:rPr>
        <w:t>Ma</w:t>
      </w:r>
      <w:r w:rsidRPr="001659B8">
        <w:rPr>
          <w:rFonts w:ascii="Book Antiqua" w:hAnsi="Book Antiqua" w:hint="eastAsia"/>
          <w:sz w:val="24"/>
        </w:rPr>
        <w:t xml:space="preserve"> </w:t>
      </w:r>
      <w:r w:rsidRPr="001659B8">
        <w:rPr>
          <w:rFonts w:ascii="Book Antiqua" w:hAnsi="Book Antiqua"/>
          <w:sz w:val="24"/>
        </w:rPr>
        <w:t>RY</w:t>
      </w:r>
      <w:r w:rsidRPr="001659B8">
        <w:rPr>
          <w:rFonts w:ascii="Book Antiqua" w:hAnsi="Book Antiqua" w:hint="eastAsia"/>
          <w:sz w:val="24"/>
        </w:rPr>
        <w:t xml:space="preserve"> </w:t>
      </w:r>
      <w:r w:rsidRPr="001659B8">
        <w:rPr>
          <w:rFonts w:ascii="Book Antiqua" w:hAnsi="Book Antiqua"/>
          <w:b/>
          <w:bCs/>
          <w:sz w:val="24"/>
        </w:rPr>
        <w:t>L-Edi</w:t>
      </w:r>
      <w:bookmarkStart w:id="181" w:name="_GoBack"/>
      <w:bookmarkEnd w:id="181"/>
      <w:r w:rsidRPr="001659B8">
        <w:rPr>
          <w:rFonts w:ascii="Book Antiqua" w:hAnsi="Book Antiqua"/>
          <w:b/>
          <w:bCs/>
          <w:sz w:val="24"/>
        </w:rPr>
        <w:t>tor:</w:t>
      </w:r>
      <w:r w:rsidRPr="001659B8">
        <w:rPr>
          <w:rFonts w:ascii="Book Antiqua" w:hAnsi="Book Antiqua"/>
          <w:sz w:val="24"/>
        </w:rPr>
        <w:t xml:space="preserve"> Wang TQ </w:t>
      </w:r>
      <w:r w:rsidRPr="001659B8">
        <w:rPr>
          <w:rFonts w:ascii="Book Antiqua" w:hAnsi="Book Antiqua"/>
          <w:b/>
          <w:bCs/>
          <w:sz w:val="24"/>
        </w:rPr>
        <w:t>E-Editor:</w:t>
      </w:r>
      <w:r w:rsidR="00A447D7" w:rsidRPr="001659B8">
        <w:rPr>
          <w:rFonts w:ascii="Book Antiqua" w:hAnsi="Book Antiqua" w:hint="eastAsia"/>
          <w:bCs/>
          <w:sz w:val="24"/>
        </w:rPr>
        <w:t xml:space="preserve"> Huang Y</w:t>
      </w:r>
    </w:p>
    <w:p w:rsidR="00510107" w:rsidRPr="001659B8" w:rsidRDefault="002E702A">
      <w:pPr>
        <w:shd w:val="clear" w:color="auto" w:fill="FFFFFF"/>
        <w:adjustRightInd w:val="0"/>
        <w:snapToGrid w:val="0"/>
        <w:spacing w:after="0" w:line="360" w:lineRule="auto"/>
        <w:rPr>
          <w:rFonts w:ascii="Book Antiqua" w:hAnsi="Book Antiqua" w:cs="Helvetica"/>
          <w:b/>
          <w:sz w:val="24"/>
        </w:rPr>
      </w:pPr>
      <w:bookmarkStart w:id="182" w:name="OLE_LINK880"/>
      <w:bookmarkStart w:id="183" w:name="OLE_LINK881"/>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1659B8">
        <w:rPr>
          <w:rFonts w:ascii="Book Antiqua" w:hAnsi="Book Antiqua" w:cs="Helvetica"/>
          <w:b/>
          <w:sz w:val="24"/>
        </w:rPr>
        <w:t xml:space="preserve">Specialty type: </w:t>
      </w:r>
      <w:r w:rsidRPr="001659B8">
        <w:rPr>
          <w:rFonts w:ascii="Book Antiqua" w:hAnsi="Book Antiqua" w:cs="Helvetica"/>
          <w:sz w:val="24"/>
        </w:rPr>
        <w:t>Gastroenterology and</w:t>
      </w:r>
      <w:r w:rsidRPr="001659B8">
        <w:rPr>
          <w:rFonts w:ascii="Book Antiqua" w:hAnsi="Book Antiqua" w:cs="Helvetica" w:hint="eastAsia"/>
          <w:sz w:val="24"/>
        </w:rPr>
        <w:t xml:space="preserve"> </w:t>
      </w:r>
      <w:r w:rsidRPr="001659B8">
        <w:rPr>
          <w:rFonts w:ascii="Book Antiqua" w:hAnsi="Book Antiqua" w:cs="Helvetica"/>
          <w:sz w:val="24"/>
        </w:rPr>
        <w:t>hepatology</w:t>
      </w:r>
    </w:p>
    <w:p w:rsidR="00510107" w:rsidRPr="001659B8" w:rsidRDefault="002E702A">
      <w:pPr>
        <w:shd w:val="clear" w:color="auto" w:fill="FFFFFF"/>
        <w:adjustRightInd w:val="0"/>
        <w:snapToGrid w:val="0"/>
        <w:spacing w:after="0" w:line="360" w:lineRule="auto"/>
        <w:rPr>
          <w:rFonts w:ascii="Book Antiqua" w:hAnsi="Book Antiqua" w:cs="Helvetica"/>
          <w:b/>
          <w:sz w:val="24"/>
        </w:rPr>
      </w:pPr>
      <w:r w:rsidRPr="001659B8">
        <w:rPr>
          <w:rFonts w:ascii="Book Antiqua" w:hAnsi="Book Antiqua" w:cs="Helvetica"/>
          <w:b/>
          <w:sz w:val="24"/>
        </w:rPr>
        <w:t xml:space="preserve">Country of origin: </w:t>
      </w:r>
      <w:r w:rsidRPr="001659B8">
        <w:rPr>
          <w:rFonts w:ascii="Book Antiqua" w:hAnsi="Book Antiqua" w:cs="Helvetica"/>
          <w:sz w:val="24"/>
          <w:lang w:val="en-CA"/>
        </w:rPr>
        <w:t>China</w:t>
      </w:r>
    </w:p>
    <w:p w:rsidR="00510107" w:rsidRPr="001659B8" w:rsidRDefault="002E702A">
      <w:pPr>
        <w:shd w:val="clear" w:color="auto" w:fill="FFFFFF"/>
        <w:adjustRightInd w:val="0"/>
        <w:snapToGrid w:val="0"/>
        <w:spacing w:after="0" w:line="360" w:lineRule="auto"/>
        <w:rPr>
          <w:rFonts w:ascii="Book Antiqua" w:hAnsi="Book Antiqua" w:cs="Helvetica"/>
          <w:b/>
          <w:sz w:val="24"/>
        </w:rPr>
      </w:pPr>
      <w:r w:rsidRPr="001659B8">
        <w:rPr>
          <w:rFonts w:ascii="Book Antiqua" w:hAnsi="Book Antiqua" w:cs="Helvetica"/>
          <w:b/>
          <w:sz w:val="24"/>
        </w:rPr>
        <w:t>Peer-review report classification</w:t>
      </w:r>
    </w:p>
    <w:p w:rsidR="00510107" w:rsidRPr="001659B8" w:rsidRDefault="002E702A">
      <w:pPr>
        <w:shd w:val="clear" w:color="auto" w:fill="FFFFFF"/>
        <w:adjustRightInd w:val="0"/>
        <w:snapToGrid w:val="0"/>
        <w:spacing w:after="0" w:line="360" w:lineRule="auto"/>
        <w:rPr>
          <w:rFonts w:ascii="Book Antiqua" w:hAnsi="Book Antiqua" w:cs="Helvetica"/>
          <w:sz w:val="24"/>
        </w:rPr>
      </w:pPr>
      <w:r w:rsidRPr="001659B8">
        <w:rPr>
          <w:rFonts w:ascii="Book Antiqua" w:hAnsi="Book Antiqua" w:cs="Helvetica"/>
          <w:sz w:val="24"/>
        </w:rPr>
        <w:t xml:space="preserve">Grade </w:t>
      </w:r>
      <w:proofErr w:type="gramStart"/>
      <w:r w:rsidRPr="001659B8">
        <w:rPr>
          <w:rFonts w:ascii="Book Antiqua" w:hAnsi="Book Antiqua" w:cs="Helvetica"/>
          <w:sz w:val="24"/>
        </w:rPr>
        <w:t>A</w:t>
      </w:r>
      <w:proofErr w:type="gramEnd"/>
      <w:r w:rsidRPr="001659B8">
        <w:rPr>
          <w:rFonts w:ascii="Book Antiqua" w:hAnsi="Book Antiqua" w:cs="Helvetica"/>
          <w:sz w:val="24"/>
        </w:rPr>
        <w:t xml:space="preserve"> (Excellent): </w:t>
      </w:r>
      <w:r w:rsidRPr="001659B8">
        <w:rPr>
          <w:rFonts w:ascii="Book Antiqua" w:hAnsi="Book Antiqua" w:cs="Helvetica" w:hint="eastAsia"/>
          <w:sz w:val="24"/>
        </w:rPr>
        <w:t>0</w:t>
      </w:r>
    </w:p>
    <w:p w:rsidR="00510107" w:rsidRPr="001659B8" w:rsidRDefault="002E702A">
      <w:pPr>
        <w:shd w:val="clear" w:color="auto" w:fill="FFFFFF"/>
        <w:adjustRightInd w:val="0"/>
        <w:snapToGrid w:val="0"/>
        <w:spacing w:after="0" w:line="360" w:lineRule="auto"/>
        <w:rPr>
          <w:rFonts w:ascii="Book Antiqua" w:hAnsi="Book Antiqua" w:cs="Helvetica"/>
          <w:sz w:val="24"/>
        </w:rPr>
      </w:pPr>
      <w:r w:rsidRPr="001659B8">
        <w:rPr>
          <w:rFonts w:ascii="Book Antiqua" w:hAnsi="Book Antiqua" w:cs="Helvetica"/>
          <w:sz w:val="24"/>
        </w:rPr>
        <w:t xml:space="preserve">Grade B (Very good): </w:t>
      </w:r>
      <w:r w:rsidRPr="001659B8">
        <w:rPr>
          <w:rFonts w:ascii="Book Antiqua" w:hAnsi="Book Antiqua" w:cs="Helvetica" w:hint="eastAsia"/>
          <w:sz w:val="24"/>
        </w:rPr>
        <w:t>B</w:t>
      </w:r>
    </w:p>
    <w:p w:rsidR="00510107" w:rsidRPr="001659B8" w:rsidRDefault="002E702A">
      <w:pPr>
        <w:shd w:val="clear" w:color="auto" w:fill="FFFFFF"/>
        <w:adjustRightInd w:val="0"/>
        <w:snapToGrid w:val="0"/>
        <w:spacing w:after="0" w:line="360" w:lineRule="auto"/>
        <w:rPr>
          <w:rFonts w:ascii="Book Antiqua" w:hAnsi="Book Antiqua" w:cs="Helvetica"/>
          <w:sz w:val="24"/>
        </w:rPr>
      </w:pPr>
      <w:r w:rsidRPr="001659B8">
        <w:rPr>
          <w:rFonts w:ascii="Book Antiqua" w:hAnsi="Book Antiqua" w:cs="Helvetica"/>
          <w:sz w:val="24"/>
        </w:rPr>
        <w:t xml:space="preserve">Grade C (Good): </w:t>
      </w:r>
      <w:r w:rsidRPr="001659B8">
        <w:rPr>
          <w:rFonts w:ascii="Book Antiqua" w:hAnsi="Book Antiqua" w:cs="Helvetica" w:hint="eastAsia"/>
          <w:sz w:val="24"/>
        </w:rPr>
        <w:t>C</w:t>
      </w:r>
    </w:p>
    <w:p w:rsidR="00510107" w:rsidRPr="001659B8" w:rsidRDefault="002E702A">
      <w:pPr>
        <w:shd w:val="clear" w:color="auto" w:fill="FFFFFF"/>
        <w:adjustRightInd w:val="0"/>
        <w:snapToGrid w:val="0"/>
        <w:spacing w:after="0" w:line="360" w:lineRule="auto"/>
        <w:rPr>
          <w:rFonts w:ascii="Book Antiqua" w:hAnsi="Book Antiqua" w:cs="Helvetica"/>
          <w:sz w:val="24"/>
        </w:rPr>
      </w:pPr>
      <w:r w:rsidRPr="001659B8">
        <w:rPr>
          <w:rFonts w:ascii="Book Antiqua" w:hAnsi="Book Antiqua" w:cs="Helvetica"/>
          <w:sz w:val="24"/>
        </w:rPr>
        <w:t xml:space="preserve">Grade D (Fair): </w:t>
      </w:r>
      <w:r w:rsidRPr="001659B8">
        <w:rPr>
          <w:rFonts w:ascii="Book Antiqua" w:hAnsi="Book Antiqua" w:cs="Helvetica" w:hint="eastAsia"/>
          <w:sz w:val="24"/>
        </w:rPr>
        <w:t>D</w:t>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cs="Helvetica"/>
          <w:sz w:val="24"/>
        </w:rPr>
        <w:t xml:space="preserve">Grade E (Poor): </w:t>
      </w:r>
      <w:r w:rsidRPr="001659B8">
        <w:rPr>
          <w:rFonts w:ascii="Book Antiqua" w:hAnsi="Book Antiqua" w:cs="Helvetica" w:hint="eastAsia"/>
          <w:sz w:val="24"/>
        </w:rPr>
        <w:t>0</w:t>
      </w:r>
      <w:bookmarkEnd w:id="180"/>
      <w:bookmarkEnd w:id="182"/>
      <w:bookmarkEnd w:id="183"/>
    </w:p>
    <w:p w:rsidR="00510107" w:rsidRPr="001659B8" w:rsidRDefault="002E702A">
      <w:pPr>
        <w:adjustRightInd w:val="0"/>
        <w:snapToGrid w:val="0"/>
        <w:spacing w:after="0" w:line="360" w:lineRule="auto"/>
        <w:rPr>
          <w:rFonts w:ascii="Book Antiqua" w:hAnsi="Book Antiqua"/>
          <w:color w:val="000000" w:themeColor="text1"/>
          <w:sz w:val="24"/>
          <w:vertAlign w:val="superscript"/>
        </w:rPr>
      </w:pPr>
      <w:r w:rsidRPr="001659B8">
        <w:rPr>
          <w:rFonts w:ascii="Book Antiqua" w:hAnsi="Book Antiqua"/>
          <w:b/>
          <w:noProof/>
          <w:color w:val="000000" w:themeColor="text1"/>
          <w:sz w:val="24"/>
          <w:vertAlign w:val="superscript"/>
        </w:rPr>
        <w:lastRenderedPageBreak/>
        <w:drawing>
          <wp:anchor distT="0" distB="0" distL="114300" distR="114300" simplePos="0" relativeHeight="251658240" behindDoc="0" locked="0" layoutInCell="1" allowOverlap="1" wp14:anchorId="67188F7F" wp14:editId="3445DE45">
            <wp:simplePos x="0" y="0"/>
            <wp:positionH relativeFrom="column">
              <wp:posOffset>0</wp:posOffset>
            </wp:positionH>
            <wp:positionV relativeFrom="paragraph">
              <wp:posOffset>53340</wp:posOffset>
            </wp:positionV>
            <wp:extent cx="5262245" cy="4643755"/>
            <wp:effectExtent l="0" t="0" r="20955" b="4445"/>
            <wp:wrapTopAndBottom/>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9" cstate="print"/>
                    <a:stretch>
                      <a:fillRect/>
                    </a:stretch>
                  </pic:blipFill>
                  <pic:spPr>
                    <a:xfrm>
                      <a:off x="0" y="0"/>
                      <a:ext cx="5262245" cy="4643755"/>
                    </a:xfrm>
                    <a:prstGeom prst="rect">
                      <a:avLst/>
                    </a:prstGeom>
                  </pic:spPr>
                </pic:pic>
              </a:graphicData>
            </a:graphic>
          </wp:anchor>
        </w:drawing>
      </w:r>
      <w:r w:rsidRPr="001659B8">
        <w:rPr>
          <w:rFonts w:ascii="Book Antiqua" w:hAnsi="Book Antiqua"/>
          <w:b/>
          <w:color w:val="000000" w:themeColor="text1"/>
          <w:sz w:val="24"/>
        </w:rPr>
        <w:t xml:space="preserve">Figure 1 Flow diagram of the study population. </w:t>
      </w:r>
      <w:r w:rsidRPr="001659B8">
        <w:rPr>
          <w:rFonts w:ascii="Book Antiqua" w:hAnsi="Book Antiqua"/>
          <w:color w:val="000000" w:themeColor="text1"/>
          <w:sz w:val="24"/>
        </w:rPr>
        <w:t>HCC: Hepatocellular carcinoma; OM: Other non-hepatocellular carcinoma malignancy.</w:t>
      </w:r>
    </w:p>
    <w:p w:rsidR="00510107" w:rsidRPr="001659B8" w:rsidRDefault="002E702A">
      <w:pPr>
        <w:widowControl/>
        <w:spacing w:after="0" w:line="240" w:lineRule="auto"/>
        <w:jc w:val="left"/>
        <w:rPr>
          <w:rFonts w:ascii="Book Antiqua" w:hAnsi="Book Antiqua"/>
          <w:color w:val="000000" w:themeColor="text1"/>
          <w:sz w:val="24"/>
          <w:vertAlign w:val="superscript"/>
        </w:rPr>
      </w:pPr>
      <w:r w:rsidRPr="001659B8">
        <w:rPr>
          <w:rFonts w:ascii="Book Antiqua" w:hAnsi="Book Antiqua"/>
          <w:color w:val="000000" w:themeColor="text1"/>
          <w:sz w:val="24"/>
          <w:vertAlign w:val="superscript"/>
        </w:rPr>
        <w:br w:type="page"/>
      </w:r>
    </w:p>
    <w:p w:rsidR="00510107" w:rsidRPr="001659B8" w:rsidRDefault="002E702A">
      <w:pPr>
        <w:adjustRightInd w:val="0"/>
        <w:snapToGrid w:val="0"/>
        <w:spacing w:after="0" w:line="360" w:lineRule="auto"/>
        <w:ind w:left="720" w:hangingChars="300" w:hanging="720"/>
        <w:rPr>
          <w:rFonts w:ascii="Book Antiqua" w:hAnsi="Book Antiqua"/>
          <w:color w:val="000000" w:themeColor="text1"/>
          <w:sz w:val="24"/>
          <w:vertAlign w:val="superscript"/>
        </w:rPr>
      </w:pPr>
      <w:r w:rsidRPr="001659B8">
        <w:rPr>
          <w:rFonts w:ascii="Book Antiqua" w:hAnsi="Book Antiqua"/>
          <w:noProof/>
          <w:color w:val="000000" w:themeColor="text1"/>
          <w:sz w:val="24"/>
          <w:vertAlign w:val="superscript"/>
        </w:rPr>
        <w:lastRenderedPageBreak/>
        <w:drawing>
          <wp:inline distT="0" distB="0" distL="0" distR="0" wp14:anchorId="776CBC74" wp14:editId="2186A19B">
            <wp:extent cx="5274310" cy="3521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21710"/>
                    </a:xfrm>
                    <a:prstGeom prst="rect">
                      <a:avLst/>
                    </a:prstGeom>
                  </pic:spPr>
                </pic:pic>
              </a:graphicData>
            </a:graphic>
          </wp:inline>
        </w:drawing>
      </w:r>
    </w:p>
    <w:p w:rsidR="00510107" w:rsidRPr="001659B8" w:rsidRDefault="002E702A">
      <w:pPr>
        <w:adjustRightInd w:val="0"/>
        <w:snapToGrid w:val="0"/>
        <w:spacing w:after="0" w:line="360" w:lineRule="auto"/>
        <w:rPr>
          <w:rFonts w:ascii="Book Antiqua" w:hAnsi="Book Antiqua"/>
          <w:color w:val="000000" w:themeColor="text1"/>
          <w:sz w:val="24"/>
        </w:rPr>
      </w:pPr>
      <w:r w:rsidRPr="001659B8">
        <w:rPr>
          <w:rFonts w:ascii="Book Antiqua" w:hAnsi="Book Antiqua"/>
          <w:b/>
          <w:color w:val="000000" w:themeColor="text1"/>
          <w:sz w:val="24"/>
        </w:rPr>
        <w:t xml:space="preserve">Figure 2 </w:t>
      </w:r>
      <w:proofErr w:type="gramStart"/>
      <w:r w:rsidRPr="001659B8">
        <w:rPr>
          <w:rFonts w:ascii="Book Antiqua" w:hAnsi="Book Antiqua"/>
          <w:b/>
          <w:color w:val="000000" w:themeColor="text1"/>
          <w:sz w:val="24"/>
        </w:rPr>
        <w:t>Pathologically</w:t>
      </w:r>
      <w:proofErr w:type="gramEnd"/>
      <w:r w:rsidRPr="001659B8">
        <w:rPr>
          <w:rFonts w:ascii="Book Antiqua" w:hAnsi="Book Antiqua"/>
          <w:b/>
          <w:color w:val="000000" w:themeColor="text1"/>
          <w:sz w:val="24"/>
        </w:rPr>
        <w:t xml:space="preserve"> confirmed hepatocellular carcinoma in a 59-year-old woman. </w:t>
      </w:r>
      <w:r w:rsidRPr="001659B8">
        <w:rPr>
          <w:rFonts w:ascii="Book Antiqua" w:hAnsi="Book Antiqua"/>
          <w:color w:val="000000" w:themeColor="text1"/>
          <w:sz w:val="24"/>
        </w:rPr>
        <w:t xml:space="preserve">A: A 55.8-mm hypointense mass is seen on the precontrast image; B: The image shows hyperenhancement (not rim) in the arterial phase; C: Nonperipheral “washout” and enhancing capsule in the portal venous phase; D: Hypointensity in the hepatobiliary phase; E: Restricted diffusion in diffusion-weighted imaging. The mass was confirmed as hepatocellular carcinoma at 200 × magnification </w:t>
      </w:r>
      <w:r w:rsidR="007F3725" w:rsidRPr="001659B8">
        <w:rPr>
          <w:rFonts w:ascii="Book Antiqua" w:hAnsi="Book Antiqua"/>
          <w:color w:val="000000" w:themeColor="text1"/>
          <w:sz w:val="24"/>
        </w:rPr>
        <w:t>after</w:t>
      </w:r>
      <w:r w:rsidRPr="001659B8">
        <w:rPr>
          <w:rFonts w:ascii="Book Antiqua" w:hAnsi="Book Antiqua"/>
          <w:color w:val="000000" w:themeColor="text1"/>
          <w:sz w:val="24"/>
        </w:rPr>
        <w:t xml:space="preserve"> hematoxylin-eosin staining (F).</w:t>
      </w:r>
    </w:p>
    <w:p w:rsidR="00510107" w:rsidRPr="001659B8" w:rsidRDefault="002E702A">
      <w:pPr>
        <w:widowControl/>
        <w:spacing w:after="0" w:line="240" w:lineRule="auto"/>
        <w:jc w:val="left"/>
        <w:rPr>
          <w:rFonts w:ascii="Book Antiqua" w:hAnsi="Book Antiqua"/>
          <w:color w:val="000000" w:themeColor="text1"/>
          <w:sz w:val="24"/>
        </w:rPr>
      </w:pPr>
      <w:r w:rsidRPr="001659B8">
        <w:rPr>
          <w:rFonts w:ascii="Book Antiqua" w:hAnsi="Book Antiqua"/>
          <w:color w:val="000000" w:themeColor="text1"/>
          <w:sz w:val="24"/>
        </w:rPr>
        <w:br w:type="page"/>
      </w:r>
    </w:p>
    <w:p w:rsidR="00510107" w:rsidRPr="001659B8" w:rsidRDefault="002E702A">
      <w:pPr>
        <w:adjustRightInd w:val="0"/>
        <w:snapToGrid w:val="0"/>
        <w:spacing w:after="0" w:line="360" w:lineRule="auto"/>
        <w:ind w:left="720" w:hangingChars="300" w:hanging="720"/>
        <w:rPr>
          <w:rFonts w:ascii="Book Antiqua" w:hAnsi="Book Antiqua"/>
          <w:sz w:val="24"/>
        </w:rPr>
      </w:pPr>
      <w:r w:rsidRPr="001659B8">
        <w:rPr>
          <w:rFonts w:ascii="Book Antiqua" w:hAnsi="Book Antiqua"/>
          <w:noProof/>
          <w:sz w:val="24"/>
        </w:rPr>
        <w:lastRenderedPageBreak/>
        <w:drawing>
          <wp:inline distT="0" distB="0" distL="0" distR="0" wp14:anchorId="44F28DB3" wp14:editId="2832F66D">
            <wp:extent cx="5274310" cy="273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733675"/>
                    </a:xfrm>
                    <a:prstGeom prst="rect">
                      <a:avLst/>
                    </a:prstGeom>
                  </pic:spPr>
                </pic:pic>
              </a:graphicData>
            </a:graphic>
          </wp:inline>
        </w:drawing>
      </w:r>
    </w:p>
    <w:p w:rsidR="00510107" w:rsidRPr="001659B8" w:rsidRDefault="002E702A">
      <w:pPr>
        <w:adjustRightInd w:val="0"/>
        <w:snapToGrid w:val="0"/>
        <w:spacing w:after="0" w:line="360" w:lineRule="auto"/>
        <w:rPr>
          <w:rFonts w:ascii="Book Antiqua" w:hAnsi="Book Antiqua"/>
          <w:color w:val="000000"/>
          <w:sz w:val="24"/>
        </w:rPr>
      </w:pPr>
      <w:r w:rsidRPr="001659B8">
        <w:rPr>
          <w:rFonts w:ascii="Book Antiqua" w:hAnsi="Book Antiqua"/>
          <w:b/>
          <w:color w:val="000000"/>
          <w:sz w:val="24"/>
        </w:rPr>
        <w:t xml:space="preserve">Figure 3 </w:t>
      </w:r>
      <w:proofErr w:type="gramStart"/>
      <w:r w:rsidRPr="001659B8">
        <w:rPr>
          <w:rFonts w:ascii="Book Antiqua" w:hAnsi="Book Antiqua"/>
          <w:b/>
          <w:color w:val="000000"/>
          <w:sz w:val="24"/>
        </w:rPr>
        <w:t>Pathologically</w:t>
      </w:r>
      <w:proofErr w:type="gramEnd"/>
      <w:r w:rsidRPr="001659B8">
        <w:rPr>
          <w:rFonts w:ascii="Book Antiqua" w:hAnsi="Book Antiqua"/>
          <w:b/>
          <w:color w:val="000000"/>
          <w:sz w:val="24"/>
        </w:rPr>
        <w:t xml:space="preserve"> confirmed intrahepatic cholangiocarcinoma in a 47-year-old man. </w:t>
      </w:r>
      <w:r w:rsidRPr="001659B8">
        <w:rPr>
          <w:rFonts w:ascii="Book Antiqua" w:hAnsi="Book Antiqua"/>
          <w:color w:val="000000"/>
          <w:sz w:val="24"/>
        </w:rPr>
        <w:t>A: A 53.2-mm hypointense mass is seen on the precontrast image;</w:t>
      </w:r>
      <w:r w:rsidRPr="001659B8">
        <w:rPr>
          <w:rFonts w:ascii="Book Antiqua" w:hAnsi="Book Antiqua"/>
          <w:color w:val="000000" w:themeColor="text1"/>
          <w:sz w:val="24"/>
        </w:rPr>
        <w:t xml:space="preserve"> B: The image shows</w:t>
      </w:r>
      <w:r w:rsidRPr="001659B8">
        <w:rPr>
          <w:rFonts w:ascii="Book Antiqua" w:hAnsi="Book Antiqua"/>
          <w:color w:val="000000"/>
          <w:sz w:val="24"/>
        </w:rPr>
        <w:t xml:space="preserve"> rim-like hyperenhancement in the arterial phase; C: Peripheral “washout” in the portal venous phase; D: Targetoid appearance in the hepatobiliary phase; and E: Target sign in </w:t>
      </w:r>
      <w:r w:rsidRPr="001659B8">
        <w:rPr>
          <w:rFonts w:ascii="Book Antiqua" w:hAnsi="Book Antiqua"/>
          <w:color w:val="000000" w:themeColor="text1"/>
          <w:sz w:val="24"/>
        </w:rPr>
        <w:t>diffusion-weighted imaging</w:t>
      </w:r>
      <w:r w:rsidRPr="001659B8">
        <w:rPr>
          <w:rFonts w:ascii="Book Antiqua" w:hAnsi="Book Antiqua"/>
          <w:color w:val="000000"/>
          <w:sz w:val="24"/>
        </w:rPr>
        <w:t xml:space="preserve">. The mass was confirmed as intrahepatic cholangiocarcinoma at 200 × magnification </w:t>
      </w:r>
      <w:r w:rsidR="00E16B4E" w:rsidRPr="001659B8">
        <w:rPr>
          <w:rFonts w:ascii="Book Antiqua" w:hAnsi="Book Antiqua"/>
          <w:color w:val="000000"/>
          <w:sz w:val="24"/>
        </w:rPr>
        <w:t>after</w:t>
      </w:r>
      <w:r w:rsidRPr="001659B8">
        <w:rPr>
          <w:rFonts w:ascii="Book Antiqua" w:hAnsi="Book Antiqua"/>
          <w:color w:val="000000"/>
          <w:sz w:val="24"/>
        </w:rPr>
        <w:t xml:space="preserve"> hematoxylin-eosin staining (F).</w:t>
      </w:r>
    </w:p>
    <w:p w:rsidR="00510107" w:rsidRPr="001659B8" w:rsidRDefault="002E702A">
      <w:pPr>
        <w:widowControl/>
        <w:spacing w:after="0" w:line="240" w:lineRule="auto"/>
        <w:jc w:val="left"/>
        <w:rPr>
          <w:rFonts w:ascii="Book Antiqua" w:hAnsi="Book Antiqua"/>
          <w:color w:val="000000"/>
          <w:sz w:val="24"/>
        </w:rPr>
      </w:pPr>
      <w:r w:rsidRPr="001659B8">
        <w:rPr>
          <w:rFonts w:ascii="Book Antiqua" w:hAnsi="Book Antiqua"/>
          <w:color w:val="000000"/>
          <w:sz w:val="24"/>
        </w:rPr>
        <w:br w:type="page"/>
      </w:r>
    </w:p>
    <w:p w:rsidR="00510107" w:rsidRPr="001659B8" w:rsidRDefault="002E702A">
      <w:pPr>
        <w:autoSpaceDE w:val="0"/>
        <w:autoSpaceDN w:val="0"/>
        <w:adjustRightInd w:val="0"/>
        <w:snapToGrid w:val="0"/>
        <w:spacing w:after="0" w:line="360" w:lineRule="auto"/>
        <w:rPr>
          <w:rFonts w:ascii="Book Antiqua" w:hAnsi="Book Antiqua"/>
          <w:b/>
          <w:color w:val="000000" w:themeColor="text1"/>
          <w:sz w:val="24"/>
        </w:rPr>
      </w:pPr>
      <w:r w:rsidRPr="001659B8">
        <w:rPr>
          <w:rFonts w:ascii="Book Antiqua" w:hAnsi="Book Antiqua"/>
          <w:b/>
          <w:sz w:val="24"/>
        </w:rPr>
        <w:lastRenderedPageBreak/>
        <w:t xml:space="preserve">Table 1 Parameters of </w:t>
      </w:r>
      <w:r w:rsidRPr="001659B8">
        <w:rPr>
          <w:rFonts w:ascii="Book Antiqua" w:hAnsi="Book Antiqua"/>
          <w:b/>
          <w:color w:val="000000" w:themeColor="text1"/>
          <w:sz w:val="24"/>
        </w:rPr>
        <w:t>diffusion-weighted imaging</w:t>
      </w:r>
      <w:r w:rsidRPr="001659B8">
        <w:rPr>
          <w:rFonts w:ascii="Book Antiqua" w:hAnsi="Book Antiqua"/>
          <w:b/>
          <w:sz w:val="24"/>
        </w:rPr>
        <w:t>, T1-weighted imaging, T2-weighted imaging, and VIBE sequence</w:t>
      </w:r>
    </w:p>
    <w:tbl>
      <w:tblPr>
        <w:tblW w:w="9519" w:type="dxa"/>
        <w:jc w:val="center"/>
        <w:tblBorders>
          <w:top w:val="single" w:sz="18" w:space="0" w:color="auto"/>
          <w:bottom w:val="single" w:sz="18" w:space="0" w:color="auto"/>
        </w:tblBorders>
        <w:tblLayout w:type="fixed"/>
        <w:tblLook w:val="04A0" w:firstRow="1" w:lastRow="0" w:firstColumn="1" w:lastColumn="0" w:noHBand="0" w:noVBand="1"/>
      </w:tblPr>
      <w:tblGrid>
        <w:gridCol w:w="2734"/>
        <w:gridCol w:w="1298"/>
        <w:gridCol w:w="2126"/>
        <w:gridCol w:w="1985"/>
        <w:gridCol w:w="1376"/>
      </w:tblGrid>
      <w:tr w:rsidR="00510107" w:rsidRPr="001659B8">
        <w:trPr>
          <w:trHeight w:val="340"/>
          <w:jc w:val="center"/>
        </w:trPr>
        <w:tc>
          <w:tcPr>
            <w:tcW w:w="2734" w:type="dxa"/>
            <w:vMerge w:val="restart"/>
            <w:tcBorders>
              <w:top w:val="single" w:sz="4" w:space="0" w:color="auto"/>
              <w:bottom w:val="nil"/>
            </w:tcBorders>
            <w:shd w:val="clear" w:color="auto" w:fill="auto"/>
            <w:vAlign w:val="center"/>
          </w:tcPr>
          <w:p w:rsidR="00510107" w:rsidRPr="001659B8" w:rsidRDefault="002E702A">
            <w:pPr>
              <w:adjustRightInd w:val="0"/>
              <w:snapToGrid w:val="0"/>
              <w:spacing w:after="0" w:line="360" w:lineRule="auto"/>
              <w:rPr>
                <w:rFonts w:ascii="Book Antiqua" w:eastAsia="等线" w:hAnsi="Book Antiqua"/>
                <w:b/>
                <w:color w:val="000000"/>
                <w:sz w:val="24"/>
              </w:rPr>
            </w:pPr>
            <w:r w:rsidRPr="001659B8">
              <w:rPr>
                <w:rFonts w:ascii="Book Antiqua" w:eastAsia="等线" w:hAnsi="Book Antiqua"/>
                <w:b/>
                <w:color w:val="000000"/>
                <w:sz w:val="24"/>
              </w:rPr>
              <w:t xml:space="preserve">Parameter </w:t>
            </w:r>
          </w:p>
        </w:tc>
        <w:tc>
          <w:tcPr>
            <w:tcW w:w="1298" w:type="dxa"/>
            <w:vMerge w:val="restart"/>
            <w:tcBorders>
              <w:top w:val="single" w:sz="4" w:space="0" w:color="auto"/>
              <w:bottom w:val="nil"/>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DWI</w:t>
            </w:r>
          </w:p>
        </w:tc>
        <w:tc>
          <w:tcPr>
            <w:tcW w:w="2126" w:type="dxa"/>
            <w:tcBorders>
              <w:top w:val="single" w:sz="4" w:space="0" w:color="auto"/>
              <w:bottom w:val="nil"/>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In/out of phase</w:t>
            </w:r>
          </w:p>
        </w:tc>
        <w:tc>
          <w:tcPr>
            <w:tcW w:w="1985" w:type="dxa"/>
            <w:vMerge w:val="restart"/>
            <w:tcBorders>
              <w:top w:val="single" w:sz="4" w:space="0" w:color="auto"/>
              <w:bottom w:val="nil"/>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T2-weighted imaging</w:t>
            </w:r>
          </w:p>
        </w:tc>
        <w:tc>
          <w:tcPr>
            <w:tcW w:w="1376" w:type="dxa"/>
            <w:vMerge w:val="restart"/>
            <w:tcBorders>
              <w:top w:val="single" w:sz="4" w:space="0" w:color="auto"/>
              <w:bottom w:val="nil"/>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VIBE</w:t>
            </w:r>
          </w:p>
        </w:tc>
      </w:tr>
      <w:tr w:rsidR="00510107" w:rsidRPr="001659B8">
        <w:trPr>
          <w:trHeight w:val="340"/>
          <w:jc w:val="center"/>
        </w:trPr>
        <w:tc>
          <w:tcPr>
            <w:tcW w:w="2734" w:type="dxa"/>
            <w:vMerge/>
            <w:tcBorders>
              <w:top w:val="nil"/>
              <w:bottom w:val="single" w:sz="12" w:space="0" w:color="auto"/>
            </w:tcBorders>
            <w:vAlign w:val="center"/>
          </w:tcPr>
          <w:p w:rsidR="00510107" w:rsidRPr="001659B8" w:rsidRDefault="00510107">
            <w:pPr>
              <w:adjustRightInd w:val="0"/>
              <w:snapToGrid w:val="0"/>
              <w:spacing w:after="0" w:line="360" w:lineRule="auto"/>
              <w:rPr>
                <w:rFonts w:ascii="Book Antiqua" w:eastAsia="等线" w:hAnsi="Book Antiqua"/>
                <w:b/>
                <w:color w:val="000000"/>
                <w:sz w:val="24"/>
              </w:rPr>
            </w:pPr>
          </w:p>
        </w:tc>
        <w:tc>
          <w:tcPr>
            <w:tcW w:w="1298" w:type="dxa"/>
            <w:vMerge/>
            <w:tcBorders>
              <w:top w:val="nil"/>
              <w:bottom w:val="single" w:sz="12" w:space="0" w:color="auto"/>
            </w:tcBorders>
            <w:vAlign w:val="center"/>
          </w:tcPr>
          <w:p w:rsidR="00510107" w:rsidRPr="001659B8" w:rsidRDefault="00510107">
            <w:pPr>
              <w:adjustRightInd w:val="0"/>
              <w:snapToGrid w:val="0"/>
              <w:spacing w:after="0" w:line="360" w:lineRule="auto"/>
              <w:jc w:val="center"/>
              <w:rPr>
                <w:rFonts w:ascii="Book Antiqua" w:eastAsia="等线" w:hAnsi="Book Antiqua"/>
                <w:b/>
                <w:color w:val="000000"/>
                <w:sz w:val="24"/>
              </w:rPr>
            </w:pPr>
          </w:p>
        </w:tc>
        <w:tc>
          <w:tcPr>
            <w:tcW w:w="2126" w:type="dxa"/>
            <w:tcBorders>
              <w:top w:val="nil"/>
              <w:bottom w:val="single" w:sz="12" w:space="0" w:color="auto"/>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T1-weighted imaging</w:t>
            </w:r>
          </w:p>
        </w:tc>
        <w:tc>
          <w:tcPr>
            <w:tcW w:w="1985" w:type="dxa"/>
            <w:vMerge/>
            <w:tcBorders>
              <w:top w:val="nil"/>
              <w:bottom w:val="single" w:sz="12" w:space="0" w:color="auto"/>
            </w:tcBorders>
            <w:vAlign w:val="center"/>
          </w:tcPr>
          <w:p w:rsidR="00510107" w:rsidRPr="001659B8" w:rsidRDefault="00510107">
            <w:pPr>
              <w:adjustRightInd w:val="0"/>
              <w:snapToGrid w:val="0"/>
              <w:spacing w:after="0" w:line="360" w:lineRule="auto"/>
              <w:jc w:val="center"/>
              <w:rPr>
                <w:rFonts w:ascii="Book Antiqua" w:eastAsia="等线" w:hAnsi="Book Antiqua"/>
                <w:color w:val="000000"/>
                <w:sz w:val="24"/>
              </w:rPr>
            </w:pPr>
          </w:p>
        </w:tc>
        <w:tc>
          <w:tcPr>
            <w:tcW w:w="1376" w:type="dxa"/>
            <w:vMerge/>
            <w:tcBorders>
              <w:top w:val="nil"/>
              <w:bottom w:val="single" w:sz="12" w:space="0" w:color="auto"/>
            </w:tcBorders>
            <w:vAlign w:val="center"/>
          </w:tcPr>
          <w:p w:rsidR="00510107" w:rsidRPr="001659B8" w:rsidRDefault="00510107">
            <w:pPr>
              <w:adjustRightInd w:val="0"/>
              <w:snapToGrid w:val="0"/>
              <w:spacing w:after="0" w:line="360" w:lineRule="auto"/>
              <w:jc w:val="center"/>
              <w:rPr>
                <w:rFonts w:ascii="Book Antiqua" w:eastAsia="等线" w:hAnsi="Book Antiqua"/>
                <w:color w:val="000000"/>
                <w:sz w:val="24"/>
              </w:rPr>
            </w:pPr>
          </w:p>
        </w:tc>
      </w:tr>
      <w:tr w:rsidR="00510107" w:rsidRPr="001659B8">
        <w:trPr>
          <w:trHeight w:val="340"/>
          <w:jc w:val="center"/>
        </w:trPr>
        <w:tc>
          <w:tcPr>
            <w:tcW w:w="2734" w:type="dxa"/>
            <w:tcBorders>
              <w:top w:val="single" w:sz="12" w:space="0" w:color="auto"/>
            </w:tcBorders>
            <w:shd w:val="clear" w:color="auto" w:fill="auto"/>
            <w:vAlign w:val="center"/>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Repetition time (ms)</w:t>
            </w:r>
          </w:p>
        </w:tc>
        <w:tc>
          <w:tcPr>
            <w:tcW w:w="1298" w:type="dxa"/>
            <w:tcBorders>
              <w:top w:val="single" w:sz="12" w:space="0" w:color="auto"/>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5600</w:t>
            </w:r>
          </w:p>
        </w:tc>
        <w:tc>
          <w:tcPr>
            <w:tcW w:w="2126" w:type="dxa"/>
            <w:tcBorders>
              <w:top w:val="single" w:sz="12" w:space="0" w:color="auto"/>
            </w:tcBorders>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81</w:t>
            </w:r>
          </w:p>
        </w:tc>
        <w:tc>
          <w:tcPr>
            <w:tcW w:w="1985" w:type="dxa"/>
            <w:tcBorders>
              <w:top w:val="single" w:sz="12" w:space="0" w:color="auto"/>
            </w:tcBorders>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2160</w:t>
            </w:r>
          </w:p>
        </w:tc>
        <w:tc>
          <w:tcPr>
            <w:tcW w:w="1376" w:type="dxa"/>
            <w:tcBorders>
              <w:top w:val="single" w:sz="12" w:space="0" w:color="auto"/>
            </w:tcBorders>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3.95</w:t>
            </w:r>
          </w:p>
        </w:tc>
      </w:tr>
      <w:tr w:rsidR="00510107" w:rsidRPr="001659B8">
        <w:trPr>
          <w:trHeight w:val="321"/>
          <w:jc w:val="center"/>
        </w:trPr>
        <w:tc>
          <w:tcPr>
            <w:tcW w:w="2734" w:type="dxa"/>
            <w:shd w:val="clear" w:color="auto" w:fill="auto"/>
            <w:vAlign w:val="center"/>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Echo time (ms)</w:t>
            </w:r>
          </w:p>
        </w:tc>
        <w:tc>
          <w:tcPr>
            <w:tcW w:w="1298" w:type="dxa"/>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68</w:t>
            </w:r>
          </w:p>
        </w:tc>
        <w:tc>
          <w:tcPr>
            <w:tcW w:w="212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1.4</w:t>
            </w:r>
          </w:p>
        </w:tc>
        <w:tc>
          <w:tcPr>
            <w:tcW w:w="1985"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100</w:t>
            </w:r>
          </w:p>
        </w:tc>
        <w:tc>
          <w:tcPr>
            <w:tcW w:w="137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1.92</w:t>
            </w:r>
          </w:p>
        </w:tc>
      </w:tr>
      <w:tr w:rsidR="00510107" w:rsidRPr="001659B8">
        <w:trPr>
          <w:trHeight w:val="440"/>
          <w:jc w:val="center"/>
        </w:trPr>
        <w:tc>
          <w:tcPr>
            <w:tcW w:w="2734" w:type="dxa"/>
            <w:shd w:val="clear" w:color="auto" w:fill="auto"/>
            <w:vAlign w:val="center"/>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Field of view (mm</w:t>
            </w:r>
            <w:r w:rsidRPr="001659B8">
              <w:rPr>
                <w:rFonts w:ascii="Book Antiqua" w:eastAsia="等线" w:hAnsi="Book Antiqua"/>
                <w:color w:val="000000"/>
                <w:sz w:val="24"/>
                <w:vertAlign w:val="superscript"/>
              </w:rPr>
              <w:t>2</w:t>
            </w:r>
            <w:r w:rsidRPr="001659B8">
              <w:rPr>
                <w:rFonts w:ascii="Book Antiqua" w:eastAsia="等线" w:hAnsi="Book Antiqua"/>
                <w:color w:val="000000"/>
                <w:sz w:val="24"/>
              </w:rPr>
              <w:t>)</w:t>
            </w:r>
          </w:p>
        </w:tc>
        <w:tc>
          <w:tcPr>
            <w:tcW w:w="1298" w:type="dxa"/>
            <w:shd w:val="clear" w:color="auto" w:fill="auto"/>
            <w:vAlign w:val="center"/>
          </w:tcPr>
          <w:p w:rsidR="00510107" w:rsidRPr="001659B8" w:rsidRDefault="002E702A">
            <w:pPr>
              <w:adjustRightInd w:val="0"/>
              <w:snapToGrid w:val="0"/>
              <w:spacing w:after="0" w:line="360" w:lineRule="auto"/>
              <w:jc w:val="center"/>
              <w:rPr>
                <w:rFonts w:ascii="Book Antiqua" w:hAnsi="Book Antiqua"/>
                <w:color w:val="000000" w:themeColor="text1"/>
                <w:sz w:val="24"/>
              </w:rPr>
            </w:pPr>
            <w:r w:rsidRPr="001659B8">
              <w:rPr>
                <w:rFonts w:ascii="Book Antiqua" w:hAnsi="Book Antiqua"/>
                <w:color w:val="000000" w:themeColor="text1"/>
                <w:sz w:val="24"/>
              </w:rPr>
              <w:t>380 × 289</w:t>
            </w:r>
          </w:p>
        </w:tc>
        <w:tc>
          <w:tcPr>
            <w:tcW w:w="212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 xml:space="preserve">400 </w:t>
            </w:r>
            <w:r w:rsidRPr="001659B8">
              <w:rPr>
                <w:rFonts w:ascii="Book Antiqua" w:hAnsi="Book Antiqua"/>
                <w:color w:val="000000" w:themeColor="text1"/>
                <w:sz w:val="24"/>
              </w:rPr>
              <w:t>× 325</w:t>
            </w:r>
          </w:p>
        </w:tc>
        <w:tc>
          <w:tcPr>
            <w:tcW w:w="1985"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 xml:space="preserve">433 </w:t>
            </w:r>
            <w:r w:rsidRPr="001659B8">
              <w:rPr>
                <w:rFonts w:ascii="Book Antiqua" w:hAnsi="Book Antiqua"/>
                <w:color w:val="000000" w:themeColor="text1"/>
                <w:sz w:val="24"/>
              </w:rPr>
              <w:t>× 433</w:t>
            </w:r>
          </w:p>
        </w:tc>
        <w:tc>
          <w:tcPr>
            <w:tcW w:w="137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 xml:space="preserve">400 </w:t>
            </w:r>
            <w:r w:rsidRPr="001659B8">
              <w:rPr>
                <w:rFonts w:ascii="Book Antiqua" w:hAnsi="Book Antiqua"/>
                <w:color w:val="000000" w:themeColor="text1"/>
                <w:sz w:val="24"/>
              </w:rPr>
              <w:t>× 296</w:t>
            </w:r>
          </w:p>
        </w:tc>
      </w:tr>
      <w:tr w:rsidR="00510107" w:rsidRPr="001659B8">
        <w:trPr>
          <w:trHeight w:val="356"/>
          <w:jc w:val="center"/>
        </w:trPr>
        <w:tc>
          <w:tcPr>
            <w:tcW w:w="2734" w:type="dxa"/>
            <w:shd w:val="clear" w:color="auto" w:fill="auto"/>
            <w:vAlign w:val="center"/>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Scan matrix</w:t>
            </w:r>
          </w:p>
        </w:tc>
        <w:tc>
          <w:tcPr>
            <w:tcW w:w="1298" w:type="dxa"/>
            <w:shd w:val="clear" w:color="auto" w:fill="auto"/>
            <w:vAlign w:val="center"/>
          </w:tcPr>
          <w:p w:rsidR="00510107" w:rsidRPr="001659B8" w:rsidRDefault="002E702A">
            <w:pPr>
              <w:adjustRightInd w:val="0"/>
              <w:snapToGrid w:val="0"/>
              <w:spacing w:after="0" w:line="360" w:lineRule="auto"/>
              <w:jc w:val="center"/>
              <w:rPr>
                <w:rFonts w:ascii="Book Antiqua" w:hAnsi="Book Antiqua"/>
                <w:color w:val="000000" w:themeColor="text1"/>
                <w:sz w:val="24"/>
              </w:rPr>
            </w:pPr>
            <w:r w:rsidRPr="001659B8">
              <w:rPr>
                <w:rFonts w:ascii="Book Antiqua" w:hAnsi="Book Antiqua"/>
                <w:color w:val="000000" w:themeColor="text1"/>
                <w:sz w:val="24"/>
              </w:rPr>
              <w:t>100 × 76</w:t>
            </w:r>
          </w:p>
        </w:tc>
        <w:tc>
          <w:tcPr>
            <w:tcW w:w="212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 xml:space="preserve">352 </w:t>
            </w:r>
            <w:r w:rsidRPr="001659B8">
              <w:rPr>
                <w:rFonts w:ascii="Book Antiqua" w:hAnsi="Book Antiqua"/>
                <w:color w:val="000000" w:themeColor="text1"/>
                <w:sz w:val="24"/>
              </w:rPr>
              <w:t>× 286</w:t>
            </w:r>
          </w:p>
        </w:tc>
        <w:tc>
          <w:tcPr>
            <w:tcW w:w="1985"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 xml:space="preserve">320 </w:t>
            </w:r>
            <w:r w:rsidRPr="001659B8">
              <w:rPr>
                <w:rFonts w:ascii="Book Antiqua" w:hAnsi="Book Antiqua"/>
                <w:color w:val="000000" w:themeColor="text1"/>
                <w:sz w:val="24"/>
              </w:rPr>
              <w:t>× 20288</w:t>
            </w:r>
          </w:p>
        </w:tc>
        <w:tc>
          <w:tcPr>
            <w:tcW w:w="137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 xml:space="preserve">352 </w:t>
            </w:r>
            <w:r w:rsidRPr="001659B8">
              <w:rPr>
                <w:rFonts w:ascii="Book Antiqua" w:hAnsi="Book Antiqua"/>
                <w:color w:val="000000" w:themeColor="text1"/>
                <w:sz w:val="24"/>
              </w:rPr>
              <w:t>× 256</w:t>
            </w:r>
          </w:p>
        </w:tc>
      </w:tr>
      <w:tr w:rsidR="00510107" w:rsidRPr="001659B8">
        <w:trPr>
          <w:trHeight w:val="320"/>
          <w:jc w:val="center"/>
        </w:trPr>
        <w:tc>
          <w:tcPr>
            <w:tcW w:w="2734" w:type="dxa"/>
            <w:shd w:val="clear" w:color="auto" w:fill="auto"/>
            <w:vAlign w:val="center"/>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Slice thickness (mm)</w:t>
            </w:r>
          </w:p>
        </w:tc>
        <w:tc>
          <w:tcPr>
            <w:tcW w:w="1298" w:type="dxa"/>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6</w:t>
            </w:r>
          </w:p>
        </w:tc>
        <w:tc>
          <w:tcPr>
            <w:tcW w:w="212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6</w:t>
            </w:r>
          </w:p>
        </w:tc>
        <w:tc>
          <w:tcPr>
            <w:tcW w:w="1985"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6</w:t>
            </w:r>
          </w:p>
        </w:tc>
        <w:tc>
          <w:tcPr>
            <w:tcW w:w="137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2</w:t>
            </w:r>
          </w:p>
        </w:tc>
      </w:tr>
      <w:tr w:rsidR="00510107" w:rsidRPr="001659B8">
        <w:trPr>
          <w:trHeight w:val="320"/>
          <w:jc w:val="center"/>
        </w:trPr>
        <w:tc>
          <w:tcPr>
            <w:tcW w:w="2734" w:type="dxa"/>
            <w:shd w:val="clear" w:color="auto" w:fill="auto"/>
            <w:vAlign w:val="center"/>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Slice gap (mm)</w:t>
            </w:r>
          </w:p>
        </w:tc>
        <w:tc>
          <w:tcPr>
            <w:tcW w:w="1298" w:type="dxa"/>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1</w:t>
            </w:r>
          </w:p>
        </w:tc>
        <w:tc>
          <w:tcPr>
            <w:tcW w:w="212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2.7</w:t>
            </w:r>
          </w:p>
        </w:tc>
        <w:tc>
          <w:tcPr>
            <w:tcW w:w="1985"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2.7</w:t>
            </w:r>
          </w:p>
        </w:tc>
        <w:tc>
          <w:tcPr>
            <w:tcW w:w="1376" w:type="dxa"/>
            <w:shd w:val="clear" w:color="auto" w:fill="auto"/>
            <w:vAlign w:val="center"/>
          </w:tcPr>
          <w:p w:rsidR="00510107" w:rsidRPr="001659B8" w:rsidRDefault="002E702A">
            <w:pPr>
              <w:adjustRightInd w:val="0"/>
              <w:snapToGrid w:val="0"/>
              <w:spacing w:after="0" w:line="360" w:lineRule="auto"/>
              <w:jc w:val="center"/>
              <w:rPr>
                <w:rFonts w:ascii="Book Antiqua" w:eastAsia="Times New Roman" w:hAnsi="Book Antiqua"/>
                <w:sz w:val="24"/>
              </w:rPr>
            </w:pPr>
            <w:r w:rsidRPr="001659B8">
              <w:rPr>
                <w:rFonts w:ascii="Book Antiqua" w:eastAsia="Times New Roman" w:hAnsi="Book Antiqua"/>
                <w:sz w:val="24"/>
              </w:rPr>
              <w:t>0</w:t>
            </w:r>
          </w:p>
        </w:tc>
      </w:tr>
      <w:tr w:rsidR="00510107" w:rsidRPr="001659B8">
        <w:trPr>
          <w:trHeight w:val="340"/>
          <w:jc w:val="center"/>
        </w:trPr>
        <w:tc>
          <w:tcPr>
            <w:tcW w:w="2734" w:type="dxa"/>
            <w:tcBorders>
              <w:bottom w:val="single" w:sz="4" w:space="0" w:color="auto"/>
            </w:tcBorders>
            <w:shd w:val="clear" w:color="auto" w:fill="auto"/>
            <w:vAlign w:val="center"/>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 xml:space="preserve">Number of excitation </w:t>
            </w:r>
          </w:p>
        </w:tc>
        <w:tc>
          <w:tcPr>
            <w:tcW w:w="1298" w:type="dxa"/>
            <w:tcBorders>
              <w:bottom w:val="single" w:sz="4" w:space="0" w:color="auto"/>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w:t>
            </w:r>
          </w:p>
        </w:tc>
        <w:tc>
          <w:tcPr>
            <w:tcW w:w="2126" w:type="dxa"/>
            <w:tcBorders>
              <w:bottom w:val="single" w:sz="4" w:space="0" w:color="auto"/>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1</w:t>
            </w:r>
          </w:p>
        </w:tc>
        <w:tc>
          <w:tcPr>
            <w:tcW w:w="1985" w:type="dxa"/>
            <w:tcBorders>
              <w:bottom w:val="single" w:sz="4" w:space="0" w:color="auto"/>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2</w:t>
            </w:r>
          </w:p>
        </w:tc>
        <w:tc>
          <w:tcPr>
            <w:tcW w:w="1376" w:type="dxa"/>
            <w:tcBorders>
              <w:bottom w:val="single" w:sz="4" w:space="0" w:color="auto"/>
            </w:tcBorders>
            <w:shd w:val="clear" w:color="auto" w:fill="auto"/>
            <w:vAlign w:val="center"/>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1</w:t>
            </w:r>
          </w:p>
        </w:tc>
      </w:tr>
    </w:tbl>
    <w:p w:rsidR="00510107" w:rsidRPr="001659B8" w:rsidRDefault="002E702A">
      <w:pPr>
        <w:adjustRightInd w:val="0"/>
        <w:snapToGrid w:val="0"/>
        <w:spacing w:after="0" w:line="360" w:lineRule="auto"/>
        <w:rPr>
          <w:rFonts w:ascii="Book Antiqua" w:hAnsi="Book Antiqua"/>
          <w:sz w:val="24"/>
        </w:rPr>
      </w:pPr>
      <w:r w:rsidRPr="001659B8">
        <w:rPr>
          <w:rFonts w:ascii="Book Antiqua" w:hAnsi="Book Antiqua"/>
          <w:sz w:val="24"/>
        </w:rPr>
        <w:t xml:space="preserve">DWI: </w:t>
      </w:r>
      <w:r w:rsidRPr="001659B8">
        <w:rPr>
          <w:rFonts w:ascii="Book Antiqua" w:hAnsi="Book Antiqua"/>
          <w:color w:val="000000" w:themeColor="text1"/>
          <w:sz w:val="24"/>
        </w:rPr>
        <w:t>Diffusion-weighted imaging.</w:t>
      </w:r>
    </w:p>
    <w:p w:rsidR="00510107" w:rsidRPr="001659B8" w:rsidRDefault="002E702A">
      <w:pPr>
        <w:widowControl/>
        <w:spacing w:after="0" w:line="240" w:lineRule="auto"/>
        <w:jc w:val="left"/>
        <w:rPr>
          <w:rFonts w:ascii="Book Antiqua" w:hAnsi="Book Antiqua"/>
          <w:b/>
          <w:sz w:val="24"/>
        </w:rPr>
      </w:pPr>
      <w:r w:rsidRPr="001659B8">
        <w:rPr>
          <w:rFonts w:ascii="Book Antiqua" w:hAnsi="Book Antiqua"/>
          <w:b/>
          <w:sz w:val="24"/>
        </w:rPr>
        <w:br w:type="page"/>
      </w:r>
    </w:p>
    <w:p w:rsidR="00510107" w:rsidRPr="001659B8" w:rsidRDefault="002E702A">
      <w:pPr>
        <w:adjustRightInd w:val="0"/>
        <w:snapToGrid w:val="0"/>
        <w:spacing w:after="0" w:line="360" w:lineRule="auto"/>
        <w:outlineLvl w:val="0"/>
        <w:rPr>
          <w:rFonts w:ascii="Book Antiqua" w:hAnsi="Book Antiqua"/>
          <w:sz w:val="24"/>
        </w:rPr>
      </w:pPr>
      <w:r w:rsidRPr="001659B8">
        <w:rPr>
          <w:rFonts w:ascii="Book Antiqua" w:hAnsi="Book Antiqua"/>
          <w:b/>
          <w:sz w:val="24"/>
        </w:rPr>
        <w:lastRenderedPageBreak/>
        <w:t>Table 2</w:t>
      </w:r>
      <w:r w:rsidRPr="001659B8">
        <w:rPr>
          <w:rFonts w:ascii="Book Antiqua" w:hAnsi="Book Antiqua"/>
          <w:sz w:val="24"/>
        </w:rPr>
        <w:t xml:space="preserve"> </w:t>
      </w:r>
      <w:r w:rsidRPr="001659B8">
        <w:rPr>
          <w:rFonts w:ascii="Book Antiqua" w:hAnsi="Book Antiqua"/>
          <w:b/>
          <w:sz w:val="24"/>
        </w:rPr>
        <w:t>Patients’ baseline characteristics</w:t>
      </w:r>
    </w:p>
    <w:tbl>
      <w:tblPr>
        <w:tblStyle w:val="21"/>
        <w:tblW w:w="8898" w:type="dxa"/>
        <w:tblInd w:w="-459" w:type="dxa"/>
        <w:tblBorders>
          <w:top w:val="single" w:sz="18" w:space="0" w:color="auto"/>
          <w:bottom w:val="single" w:sz="18" w:space="0" w:color="auto"/>
        </w:tblBorders>
        <w:tblLayout w:type="fixed"/>
        <w:tblLook w:val="04A0" w:firstRow="1" w:lastRow="0" w:firstColumn="1" w:lastColumn="0" w:noHBand="0" w:noVBand="1"/>
      </w:tblPr>
      <w:tblGrid>
        <w:gridCol w:w="5052"/>
        <w:gridCol w:w="3846"/>
      </w:tblGrid>
      <w:tr w:rsidR="00510107" w:rsidRPr="001659B8" w:rsidTr="00510107">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5052" w:type="dxa"/>
            <w:tcBorders>
              <w:top w:val="single" w:sz="4" w:space="0" w:color="auto"/>
              <w:bottom w:val="single" w:sz="12" w:space="0" w:color="auto"/>
            </w:tcBorders>
          </w:tcPr>
          <w:p w:rsidR="00510107" w:rsidRPr="001659B8" w:rsidRDefault="002E702A">
            <w:pPr>
              <w:adjustRightInd w:val="0"/>
              <w:snapToGrid w:val="0"/>
              <w:spacing w:after="0" w:line="360" w:lineRule="auto"/>
              <w:rPr>
                <w:rFonts w:ascii="Book Antiqua" w:hAnsi="Book Antiqua"/>
                <w:sz w:val="24"/>
              </w:rPr>
            </w:pPr>
            <w:r w:rsidRPr="001659B8">
              <w:rPr>
                <w:rFonts w:ascii="Book Antiqua" w:hAnsi="Book Antiqua"/>
                <w:sz w:val="24"/>
              </w:rPr>
              <w:t>Characteristic</w:t>
            </w:r>
          </w:p>
        </w:tc>
        <w:tc>
          <w:tcPr>
            <w:tcW w:w="3846" w:type="dxa"/>
            <w:tcBorders>
              <w:top w:val="single" w:sz="4" w:space="0" w:color="auto"/>
              <w:bottom w:val="single" w:sz="12" w:space="0" w:color="auto"/>
            </w:tcBorders>
          </w:tcPr>
          <w:p w:rsidR="00510107" w:rsidRPr="001659B8" w:rsidRDefault="002E702A">
            <w:pPr>
              <w:adjustRightInd w:val="0"/>
              <w:snapToGrid w:val="0"/>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Value</w:t>
            </w:r>
          </w:p>
        </w:tc>
      </w:tr>
      <w:tr w:rsidR="00510107" w:rsidRPr="001659B8" w:rsidTr="00510107">
        <w:trPr>
          <w:trHeight w:val="457"/>
        </w:trPr>
        <w:tc>
          <w:tcPr>
            <w:cnfStyle w:val="001000000000" w:firstRow="0" w:lastRow="0" w:firstColumn="1" w:lastColumn="0" w:oddVBand="0" w:evenVBand="0" w:oddHBand="0" w:evenHBand="0" w:firstRowFirstColumn="0" w:firstRowLastColumn="0" w:lastRowFirstColumn="0" w:lastRowLastColumn="0"/>
            <w:tcW w:w="5052" w:type="dxa"/>
            <w:tcBorders>
              <w:top w:val="single" w:sz="12" w:space="0" w:color="auto"/>
              <w:bottom w:val="nil"/>
            </w:tcBorders>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Clinical information</w:t>
            </w:r>
          </w:p>
        </w:tc>
        <w:tc>
          <w:tcPr>
            <w:tcW w:w="3846" w:type="dxa"/>
            <w:tcBorders>
              <w:top w:val="single" w:sz="12" w:space="0" w:color="auto"/>
              <w:bottom w:val="nil"/>
            </w:tcBorders>
          </w:tcPr>
          <w:p w:rsidR="00510107" w:rsidRPr="001659B8" w:rsidRDefault="00510107">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p>
        </w:tc>
      </w:tr>
      <w:tr w:rsidR="00510107" w:rsidRPr="001659B8" w:rsidTr="00510107">
        <w:trPr>
          <w:trHeight w:val="457"/>
        </w:trPr>
        <w:tc>
          <w:tcPr>
            <w:cnfStyle w:val="001000000000" w:firstRow="0" w:lastRow="0" w:firstColumn="1" w:lastColumn="0" w:oddVBand="0" w:evenVBand="0" w:oddHBand="0" w:evenHBand="0" w:firstRowFirstColumn="0" w:firstRowLastColumn="0" w:lastRowFirstColumn="0" w:lastRowLastColumn="0"/>
            <w:tcW w:w="5052" w:type="dxa"/>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Age (yr)</w:t>
            </w:r>
          </w:p>
        </w:tc>
        <w:tc>
          <w:tcPr>
            <w:tcW w:w="3846" w:type="dxa"/>
          </w:tcPr>
          <w:p w:rsidR="00510107" w:rsidRPr="001659B8" w:rsidRDefault="002E702A">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50.31 ± 10.87 (range: 26-77)</w:t>
            </w:r>
          </w:p>
        </w:tc>
      </w:tr>
      <w:tr w:rsidR="00510107" w:rsidRPr="001659B8" w:rsidTr="00510107">
        <w:trPr>
          <w:trHeight w:val="457"/>
        </w:trPr>
        <w:tc>
          <w:tcPr>
            <w:cnfStyle w:val="001000000000" w:firstRow="0" w:lastRow="0" w:firstColumn="1" w:lastColumn="0" w:oddVBand="0" w:evenVBand="0" w:oddHBand="0" w:evenHBand="0" w:firstRowFirstColumn="0" w:firstRowLastColumn="0" w:lastRowFirstColumn="0" w:lastRowLastColumn="0"/>
            <w:tcW w:w="5052" w:type="dxa"/>
            <w:tcBorders>
              <w:top w:val="nil"/>
              <w:bottom w:val="nil"/>
            </w:tcBorders>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Male/female</w:t>
            </w:r>
          </w:p>
        </w:tc>
        <w:tc>
          <w:tcPr>
            <w:tcW w:w="3846" w:type="dxa"/>
            <w:tcBorders>
              <w:top w:val="nil"/>
              <w:bottom w:val="nil"/>
            </w:tcBorders>
          </w:tcPr>
          <w:p w:rsidR="00510107" w:rsidRPr="001659B8" w:rsidRDefault="002E702A">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157/46</w:t>
            </w:r>
          </w:p>
        </w:tc>
      </w:tr>
      <w:tr w:rsidR="00510107" w:rsidRPr="001659B8" w:rsidTr="00510107">
        <w:trPr>
          <w:trHeight w:val="457"/>
        </w:trPr>
        <w:tc>
          <w:tcPr>
            <w:cnfStyle w:val="001000000000" w:firstRow="0" w:lastRow="0" w:firstColumn="1" w:lastColumn="0" w:oddVBand="0" w:evenVBand="0" w:oddHBand="0" w:evenHBand="0" w:firstRowFirstColumn="0" w:firstRowLastColumn="0" w:lastRowFirstColumn="0" w:lastRowLastColumn="0"/>
            <w:tcW w:w="5052" w:type="dxa"/>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Etiology of liver disease</w:t>
            </w:r>
          </w:p>
        </w:tc>
        <w:tc>
          <w:tcPr>
            <w:tcW w:w="3846" w:type="dxa"/>
          </w:tcPr>
          <w:p w:rsidR="00510107" w:rsidRPr="001659B8" w:rsidRDefault="00510107">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p>
        </w:tc>
      </w:tr>
      <w:tr w:rsidR="00510107" w:rsidRPr="001659B8" w:rsidTr="00510107">
        <w:trPr>
          <w:trHeight w:val="457"/>
        </w:trPr>
        <w:tc>
          <w:tcPr>
            <w:cnfStyle w:val="001000000000" w:firstRow="0" w:lastRow="0" w:firstColumn="1" w:lastColumn="0" w:oddVBand="0" w:evenVBand="0" w:oddHBand="0" w:evenHBand="0" w:firstRowFirstColumn="0" w:firstRowLastColumn="0" w:lastRowFirstColumn="0" w:lastRowLastColumn="0"/>
            <w:tcW w:w="5052" w:type="dxa"/>
            <w:tcBorders>
              <w:top w:val="nil"/>
              <w:bottom w:val="nil"/>
            </w:tcBorders>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 xml:space="preserve"> Hepatitis B virus</w:t>
            </w:r>
          </w:p>
        </w:tc>
        <w:tc>
          <w:tcPr>
            <w:tcW w:w="3846" w:type="dxa"/>
            <w:tcBorders>
              <w:top w:val="nil"/>
              <w:bottom w:val="nil"/>
            </w:tcBorders>
          </w:tcPr>
          <w:p w:rsidR="00510107" w:rsidRPr="001659B8" w:rsidRDefault="002E702A">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194 (95.57%)</w:t>
            </w:r>
          </w:p>
        </w:tc>
      </w:tr>
      <w:tr w:rsidR="00510107" w:rsidRPr="001659B8" w:rsidTr="00510107">
        <w:trPr>
          <w:trHeight w:val="457"/>
        </w:trPr>
        <w:tc>
          <w:tcPr>
            <w:cnfStyle w:val="001000000000" w:firstRow="0" w:lastRow="0" w:firstColumn="1" w:lastColumn="0" w:oddVBand="0" w:evenVBand="0" w:oddHBand="0" w:evenHBand="0" w:firstRowFirstColumn="0" w:firstRowLastColumn="0" w:lastRowFirstColumn="0" w:lastRowLastColumn="0"/>
            <w:tcW w:w="5052" w:type="dxa"/>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 xml:space="preserve"> Hepatitis C virus</w:t>
            </w:r>
          </w:p>
        </w:tc>
        <w:tc>
          <w:tcPr>
            <w:tcW w:w="3846" w:type="dxa"/>
          </w:tcPr>
          <w:p w:rsidR="00510107" w:rsidRPr="001659B8" w:rsidRDefault="002E702A">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8 (3.94%)</w:t>
            </w:r>
          </w:p>
        </w:tc>
      </w:tr>
      <w:tr w:rsidR="00510107" w:rsidRPr="001659B8" w:rsidTr="00510107">
        <w:trPr>
          <w:trHeight w:val="457"/>
        </w:trPr>
        <w:tc>
          <w:tcPr>
            <w:cnfStyle w:val="001000000000" w:firstRow="0" w:lastRow="0" w:firstColumn="1" w:lastColumn="0" w:oddVBand="0" w:evenVBand="0" w:oddHBand="0" w:evenHBand="0" w:firstRowFirstColumn="0" w:firstRowLastColumn="0" w:lastRowFirstColumn="0" w:lastRowLastColumn="0"/>
            <w:tcW w:w="5052" w:type="dxa"/>
            <w:tcBorders>
              <w:top w:val="nil"/>
              <w:bottom w:val="nil"/>
            </w:tcBorders>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 xml:space="preserve"> Both hepatitis B and C virus</w:t>
            </w:r>
          </w:p>
        </w:tc>
        <w:tc>
          <w:tcPr>
            <w:tcW w:w="3846" w:type="dxa"/>
            <w:tcBorders>
              <w:top w:val="nil"/>
              <w:bottom w:val="nil"/>
            </w:tcBorders>
          </w:tcPr>
          <w:p w:rsidR="00510107" w:rsidRPr="001659B8" w:rsidRDefault="002E702A">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1 (0.49%)</w:t>
            </w:r>
          </w:p>
        </w:tc>
      </w:tr>
      <w:tr w:rsidR="00510107" w:rsidRPr="001659B8" w:rsidTr="00510107">
        <w:trPr>
          <w:trHeight w:val="457"/>
        </w:trPr>
        <w:tc>
          <w:tcPr>
            <w:cnfStyle w:val="001000000000" w:firstRow="0" w:lastRow="0" w:firstColumn="1" w:lastColumn="0" w:oddVBand="0" w:evenVBand="0" w:oddHBand="0" w:evenHBand="0" w:firstRowFirstColumn="0" w:firstRowLastColumn="0" w:lastRowFirstColumn="0" w:lastRowLastColumn="0"/>
            <w:tcW w:w="5052" w:type="dxa"/>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Tumor size (cm)</w:t>
            </w:r>
          </w:p>
        </w:tc>
        <w:tc>
          <w:tcPr>
            <w:tcW w:w="3846" w:type="dxa"/>
          </w:tcPr>
          <w:p w:rsidR="00510107" w:rsidRPr="001659B8" w:rsidRDefault="002E702A">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Median 5.3 (range: 1.1-12.8)</w:t>
            </w:r>
          </w:p>
        </w:tc>
      </w:tr>
      <w:tr w:rsidR="00510107" w:rsidRPr="001659B8" w:rsidTr="00510107">
        <w:trPr>
          <w:trHeight w:val="391"/>
        </w:trPr>
        <w:tc>
          <w:tcPr>
            <w:cnfStyle w:val="001000000000" w:firstRow="0" w:lastRow="0" w:firstColumn="1" w:lastColumn="0" w:oddVBand="0" w:evenVBand="0" w:oddHBand="0" w:evenHBand="0" w:firstRowFirstColumn="0" w:firstRowLastColumn="0" w:lastRowFirstColumn="0" w:lastRowLastColumn="0"/>
            <w:tcW w:w="5052" w:type="dxa"/>
            <w:tcBorders>
              <w:top w:val="nil"/>
              <w:bottom w:val="nil"/>
            </w:tcBorders>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AFP level (ng/mL)</w:t>
            </w:r>
          </w:p>
        </w:tc>
        <w:tc>
          <w:tcPr>
            <w:tcW w:w="3846" w:type="dxa"/>
            <w:tcBorders>
              <w:top w:val="nil"/>
              <w:bottom w:val="nil"/>
            </w:tcBorders>
          </w:tcPr>
          <w:p w:rsidR="00510107" w:rsidRPr="001659B8" w:rsidRDefault="002E702A">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 xml:space="preserve">102.3 </w:t>
            </w:r>
            <w:bookmarkStart w:id="184" w:name="_Hlk519091336"/>
            <w:r w:rsidRPr="001659B8">
              <w:rPr>
                <w:rFonts w:ascii="Book Antiqua" w:hAnsi="Book Antiqua"/>
                <w:sz w:val="24"/>
              </w:rPr>
              <w:t>ng/m</w:t>
            </w:r>
            <w:bookmarkEnd w:id="184"/>
            <w:r w:rsidRPr="001659B8">
              <w:rPr>
                <w:rFonts w:ascii="Book Antiqua" w:hAnsi="Book Antiqua"/>
                <w:sz w:val="24"/>
              </w:rPr>
              <w:t>L (range 1.2-15926.0)</w:t>
            </w:r>
          </w:p>
        </w:tc>
      </w:tr>
      <w:tr w:rsidR="00510107" w:rsidRPr="001659B8" w:rsidTr="00510107">
        <w:trPr>
          <w:trHeight w:val="457"/>
        </w:trPr>
        <w:tc>
          <w:tcPr>
            <w:cnfStyle w:val="001000000000" w:firstRow="0" w:lastRow="0" w:firstColumn="1" w:lastColumn="0" w:oddVBand="0" w:evenVBand="0" w:oddHBand="0" w:evenHBand="0" w:firstRowFirstColumn="0" w:firstRowLastColumn="0" w:lastRowFirstColumn="0" w:lastRowLastColumn="0"/>
            <w:tcW w:w="5052" w:type="dxa"/>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Serum AST</w:t>
            </w:r>
            <w:r w:rsidRPr="001659B8">
              <w:rPr>
                <w:rFonts w:ascii="Book Antiqua" w:hAnsi="Book Antiqua" w:hint="eastAsia"/>
                <w:bCs w:val="0"/>
                <w:sz w:val="24"/>
              </w:rPr>
              <w:t xml:space="preserve"> </w:t>
            </w:r>
            <w:r w:rsidRPr="001659B8">
              <w:rPr>
                <w:rFonts w:ascii="Book Antiqua" w:hAnsi="Book Antiqua"/>
                <w:b w:val="0"/>
                <w:sz w:val="24"/>
              </w:rPr>
              <w:t>(≥35 IU/L)</w:t>
            </w:r>
          </w:p>
        </w:tc>
        <w:tc>
          <w:tcPr>
            <w:tcW w:w="3846" w:type="dxa"/>
          </w:tcPr>
          <w:p w:rsidR="00510107" w:rsidRPr="001659B8" w:rsidRDefault="002E702A">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107 (52.7%)</w:t>
            </w:r>
          </w:p>
        </w:tc>
      </w:tr>
      <w:tr w:rsidR="00510107" w:rsidRPr="001659B8" w:rsidTr="00510107">
        <w:trPr>
          <w:trHeight w:val="471"/>
        </w:trPr>
        <w:tc>
          <w:tcPr>
            <w:cnfStyle w:val="001000000000" w:firstRow="0" w:lastRow="0" w:firstColumn="1" w:lastColumn="0" w:oddVBand="0" w:evenVBand="0" w:oddHBand="0" w:evenHBand="0" w:firstRowFirstColumn="0" w:firstRowLastColumn="0" w:lastRowFirstColumn="0" w:lastRowLastColumn="0"/>
            <w:tcW w:w="5052" w:type="dxa"/>
            <w:tcBorders>
              <w:top w:val="nil"/>
              <w:bottom w:val="single" w:sz="4" w:space="0" w:color="auto"/>
            </w:tcBorders>
          </w:tcPr>
          <w:p w:rsidR="00510107" w:rsidRPr="001659B8" w:rsidRDefault="002E702A">
            <w:pPr>
              <w:adjustRightInd w:val="0"/>
              <w:snapToGrid w:val="0"/>
              <w:spacing w:after="0" w:line="360" w:lineRule="auto"/>
              <w:rPr>
                <w:rFonts w:ascii="Book Antiqua" w:hAnsi="Book Antiqua"/>
                <w:b w:val="0"/>
                <w:sz w:val="24"/>
              </w:rPr>
            </w:pPr>
            <w:r w:rsidRPr="001659B8">
              <w:rPr>
                <w:rFonts w:ascii="Book Antiqua" w:hAnsi="Book Antiqua"/>
                <w:b w:val="0"/>
                <w:sz w:val="24"/>
              </w:rPr>
              <w:t>Serum ALT</w:t>
            </w:r>
            <w:r w:rsidRPr="001659B8">
              <w:rPr>
                <w:rFonts w:ascii="Book Antiqua" w:hAnsi="Book Antiqua" w:hint="eastAsia"/>
                <w:bCs w:val="0"/>
                <w:sz w:val="24"/>
              </w:rPr>
              <w:t xml:space="preserve"> </w:t>
            </w:r>
            <w:r w:rsidRPr="001659B8">
              <w:rPr>
                <w:rFonts w:ascii="Book Antiqua" w:hAnsi="Book Antiqua"/>
                <w:b w:val="0"/>
                <w:sz w:val="24"/>
              </w:rPr>
              <w:t>(≥40 IU/L)</w:t>
            </w:r>
          </w:p>
        </w:tc>
        <w:tc>
          <w:tcPr>
            <w:tcW w:w="3846" w:type="dxa"/>
            <w:tcBorders>
              <w:top w:val="nil"/>
              <w:bottom w:val="single" w:sz="4" w:space="0" w:color="auto"/>
            </w:tcBorders>
          </w:tcPr>
          <w:p w:rsidR="00510107" w:rsidRPr="001659B8" w:rsidRDefault="002E702A">
            <w:pPr>
              <w:adjustRightInd w:val="0"/>
              <w:snapToGrid w:val="0"/>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4"/>
              </w:rPr>
            </w:pPr>
            <w:r w:rsidRPr="001659B8">
              <w:rPr>
                <w:rFonts w:ascii="Book Antiqua" w:hAnsi="Book Antiqua"/>
                <w:sz w:val="24"/>
              </w:rPr>
              <w:t>82 (40.4%)</w:t>
            </w:r>
          </w:p>
        </w:tc>
      </w:tr>
    </w:tbl>
    <w:p w:rsidR="00510107" w:rsidRPr="001659B8" w:rsidRDefault="002E702A">
      <w:pPr>
        <w:adjustRightInd w:val="0"/>
        <w:snapToGrid w:val="0"/>
        <w:spacing w:after="0" w:line="360" w:lineRule="auto"/>
        <w:rPr>
          <w:rFonts w:ascii="Book Antiqua" w:hAnsi="Book Antiqua"/>
          <w:sz w:val="24"/>
        </w:rPr>
      </w:pPr>
      <w:r w:rsidRPr="001659B8">
        <w:rPr>
          <w:rFonts w:ascii="Book Antiqua" w:hAnsi="Book Antiqua"/>
          <w:sz w:val="24"/>
        </w:rPr>
        <w:t>AFP: Alpha-fetoprotein; ALT: Alanine aminotransferase; AST: Aspartate aminotransaminase.</w:t>
      </w:r>
    </w:p>
    <w:p w:rsidR="00510107" w:rsidRPr="001659B8" w:rsidRDefault="002E702A">
      <w:pPr>
        <w:widowControl/>
        <w:spacing w:after="0" w:line="240" w:lineRule="auto"/>
        <w:jc w:val="left"/>
        <w:rPr>
          <w:rFonts w:ascii="Book Antiqua" w:hAnsi="Book Antiqua"/>
          <w:sz w:val="24"/>
        </w:rPr>
      </w:pPr>
      <w:r w:rsidRPr="001659B8">
        <w:rPr>
          <w:rFonts w:ascii="Book Antiqua" w:hAnsi="Book Antiqua"/>
          <w:sz w:val="24"/>
        </w:rPr>
        <w:br w:type="page"/>
      </w:r>
    </w:p>
    <w:p w:rsidR="00510107" w:rsidRPr="001659B8" w:rsidRDefault="002E702A">
      <w:pPr>
        <w:adjustRightInd w:val="0"/>
        <w:snapToGrid w:val="0"/>
        <w:spacing w:after="0" w:line="360" w:lineRule="auto"/>
        <w:rPr>
          <w:rFonts w:ascii="Book Antiqua" w:hAnsi="Book Antiqua"/>
          <w:b/>
          <w:sz w:val="24"/>
        </w:rPr>
      </w:pPr>
      <w:r w:rsidRPr="001659B8">
        <w:rPr>
          <w:rFonts w:ascii="Book Antiqua" w:hAnsi="Book Antiqua"/>
          <w:b/>
          <w:sz w:val="24"/>
        </w:rPr>
        <w:lastRenderedPageBreak/>
        <w:t>Table 3</w:t>
      </w:r>
      <w:r w:rsidRPr="001659B8">
        <w:rPr>
          <w:rFonts w:ascii="Book Antiqua" w:hAnsi="Book Antiqua"/>
          <w:bCs/>
          <w:sz w:val="24"/>
        </w:rPr>
        <w:t xml:space="preserve"> </w:t>
      </w:r>
      <w:r w:rsidRPr="001659B8">
        <w:rPr>
          <w:rFonts w:ascii="Book Antiqua" w:hAnsi="Book Antiqua"/>
          <w:b/>
          <w:bCs/>
          <w:sz w:val="24"/>
        </w:rPr>
        <w:t>Sensitivity</w:t>
      </w:r>
      <w:r w:rsidRPr="001659B8">
        <w:rPr>
          <w:rFonts w:ascii="Book Antiqua" w:hAnsi="Book Antiqua"/>
          <w:b/>
          <w:sz w:val="24"/>
        </w:rPr>
        <w:t>, specificity, and accuracy of the Liver Imaging Reporting and Data System category for diagnosing hepatocellular carcinoma with gadoxetic-acid enhanced magnetic resonance imaging</w:t>
      </w:r>
    </w:p>
    <w:tbl>
      <w:tblPr>
        <w:tblStyle w:val="1"/>
        <w:tblW w:w="9464"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851"/>
        <w:gridCol w:w="1563"/>
        <w:gridCol w:w="1408"/>
        <w:gridCol w:w="1134"/>
        <w:gridCol w:w="1085"/>
        <w:gridCol w:w="986"/>
        <w:gridCol w:w="1156"/>
      </w:tblGrid>
      <w:tr w:rsidR="00510107" w:rsidRPr="001659B8">
        <w:trPr>
          <w:trHeight w:val="340"/>
        </w:trPr>
        <w:tc>
          <w:tcPr>
            <w:tcW w:w="1281" w:type="dxa"/>
            <w:tcBorders>
              <w:top w:val="single" w:sz="4" w:space="0" w:color="auto"/>
              <w:bottom w:val="single" w:sz="12" w:space="0" w:color="auto"/>
            </w:tcBorders>
          </w:tcPr>
          <w:p w:rsidR="00510107" w:rsidRPr="001659B8" w:rsidRDefault="002E702A">
            <w:pPr>
              <w:adjustRightInd w:val="0"/>
              <w:snapToGrid w:val="0"/>
              <w:spacing w:after="0" w:line="360" w:lineRule="auto"/>
              <w:rPr>
                <w:rFonts w:ascii="Book Antiqua" w:eastAsia="等线" w:hAnsi="Book Antiqua"/>
                <w:b/>
                <w:color w:val="000000"/>
                <w:sz w:val="24"/>
              </w:rPr>
            </w:pPr>
            <w:r w:rsidRPr="001659B8">
              <w:rPr>
                <w:rFonts w:ascii="Book Antiqua" w:eastAsia="等线" w:hAnsi="Book Antiqua"/>
                <w:b/>
                <w:color w:val="000000"/>
                <w:sz w:val="24"/>
              </w:rPr>
              <w:t>Group</w:t>
            </w:r>
          </w:p>
        </w:tc>
        <w:tc>
          <w:tcPr>
            <w:tcW w:w="851" w:type="dxa"/>
            <w:tcBorders>
              <w:top w:val="single" w:sz="4" w:space="0" w:color="auto"/>
              <w:bottom w:val="single" w:sz="12" w:space="0" w:color="auto"/>
            </w:tcBorders>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DWI</w:t>
            </w:r>
          </w:p>
        </w:tc>
        <w:tc>
          <w:tcPr>
            <w:tcW w:w="1563" w:type="dxa"/>
            <w:tcBorders>
              <w:top w:val="single" w:sz="4" w:space="0" w:color="auto"/>
              <w:bottom w:val="single" w:sz="12" w:space="0" w:color="auto"/>
            </w:tcBorders>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Sensitivity</w:t>
            </w:r>
          </w:p>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(100%)</w:t>
            </w:r>
          </w:p>
        </w:tc>
        <w:tc>
          <w:tcPr>
            <w:tcW w:w="1408" w:type="dxa"/>
            <w:tcBorders>
              <w:top w:val="single" w:sz="4" w:space="0" w:color="auto"/>
              <w:bottom w:val="single" w:sz="12" w:space="0" w:color="auto"/>
            </w:tcBorders>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Specificity</w:t>
            </w:r>
          </w:p>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(100%)</w:t>
            </w:r>
          </w:p>
        </w:tc>
        <w:tc>
          <w:tcPr>
            <w:tcW w:w="1134" w:type="dxa"/>
            <w:tcBorders>
              <w:top w:val="single" w:sz="4" w:space="0" w:color="auto"/>
              <w:bottom w:val="single" w:sz="12" w:space="0" w:color="auto"/>
            </w:tcBorders>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Accuracy (100%)</w:t>
            </w:r>
          </w:p>
        </w:tc>
        <w:tc>
          <w:tcPr>
            <w:tcW w:w="1085" w:type="dxa"/>
            <w:tcBorders>
              <w:top w:val="single" w:sz="4" w:space="0" w:color="auto"/>
              <w:bottom w:val="single" w:sz="12" w:space="0" w:color="auto"/>
            </w:tcBorders>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PPV</w:t>
            </w:r>
          </w:p>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(100%)</w:t>
            </w:r>
          </w:p>
        </w:tc>
        <w:tc>
          <w:tcPr>
            <w:tcW w:w="986" w:type="dxa"/>
            <w:tcBorders>
              <w:top w:val="single" w:sz="4" w:space="0" w:color="auto"/>
              <w:bottom w:val="single" w:sz="12" w:space="0" w:color="auto"/>
            </w:tcBorders>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NPV</w:t>
            </w:r>
          </w:p>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(100%)</w:t>
            </w:r>
          </w:p>
        </w:tc>
        <w:tc>
          <w:tcPr>
            <w:tcW w:w="1156" w:type="dxa"/>
            <w:tcBorders>
              <w:top w:val="single" w:sz="4" w:space="0" w:color="auto"/>
              <w:bottom w:val="single" w:sz="12" w:space="0" w:color="auto"/>
            </w:tcBorders>
          </w:tcPr>
          <w:p w:rsidR="00510107" w:rsidRPr="001659B8" w:rsidRDefault="002E702A">
            <w:pPr>
              <w:adjustRightInd w:val="0"/>
              <w:snapToGrid w:val="0"/>
              <w:spacing w:after="0" w:line="360" w:lineRule="auto"/>
              <w:jc w:val="center"/>
              <w:rPr>
                <w:rFonts w:ascii="Book Antiqua" w:eastAsia="等线" w:hAnsi="Book Antiqua"/>
                <w:b/>
                <w:color w:val="000000"/>
                <w:sz w:val="24"/>
              </w:rPr>
            </w:pPr>
            <w:r w:rsidRPr="001659B8">
              <w:rPr>
                <w:rFonts w:ascii="Book Antiqua" w:eastAsia="等线" w:hAnsi="Book Antiqua"/>
                <w:b/>
                <w:color w:val="000000"/>
                <w:sz w:val="24"/>
              </w:rPr>
              <w:t>Youden index</w:t>
            </w:r>
          </w:p>
        </w:tc>
      </w:tr>
      <w:tr w:rsidR="00510107" w:rsidRPr="001659B8">
        <w:trPr>
          <w:trHeight w:val="340"/>
        </w:trPr>
        <w:tc>
          <w:tcPr>
            <w:tcW w:w="1281" w:type="dxa"/>
            <w:vMerge w:val="restart"/>
            <w:tcBorders>
              <w:top w:val="single" w:sz="12" w:space="0" w:color="auto"/>
            </w:tcBorders>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LR-5</w:t>
            </w:r>
          </w:p>
        </w:tc>
        <w:tc>
          <w:tcPr>
            <w:tcW w:w="851" w:type="dxa"/>
            <w:tcBorders>
              <w:top w:val="single" w:sz="12"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A-DWI</w:t>
            </w:r>
          </w:p>
        </w:tc>
        <w:tc>
          <w:tcPr>
            <w:tcW w:w="1563" w:type="dxa"/>
            <w:tcBorders>
              <w:top w:val="single" w:sz="12"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61.2 (101/165)</w:t>
            </w:r>
          </w:p>
        </w:tc>
        <w:tc>
          <w:tcPr>
            <w:tcW w:w="1408" w:type="dxa"/>
            <w:tcBorders>
              <w:top w:val="single" w:sz="12"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92.5 (74/80)</w:t>
            </w:r>
          </w:p>
        </w:tc>
        <w:tc>
          <w:tcPr>
            <w:tcW w:w="1134" w:type="dxa"/>
            <w:tcBorders>
              <w:top w:val="single" w:sz="12"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71.4 (175/245)</w:t>
            </w:r>
          </w:p>
        </w:tc>
        <w:tc>
          <w:tcPr>
            <w:tcW w:w="1085" w:type="dxa"/>
            <w:tcBorders>
              <w:top w:val="single" w:sz="12"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94.4 (101/107)</w:t>
            </w:r>
          </w:p>
        </w:tc>
        <w:tc>
          <w:tcPr>
            <w:tcW w:w="986" w:type="dxa"/>
            <w:tcBorders>
              <w:top w:val="single" w:sz="12"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53.6 (74/138)</w:t>
            </w:r>
          </w:p>
        </w:tc>
        <w:tc>
          <w:tcPr>
            <w:tcW w:w="1156" w:type="dxa"/>
            <w:tcBorders>
              <w:top w:val="single" w:sz="12"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0.537</w:t>
            </w:r>
          </w:p>
        </w:tc>
      </w:tr>
      <w:tr w:rsidR="00510107" w:rsidRPr="001659B8">
        <w:trPr>
          <w:trHeight w:val="340"/>
        </w:trPr>
        <w:tc>
          <w:tcPr>
            <w:tcW w:w="1281" w:type="dxa"/>
            <w:vMerge/>
          </w:tcPr>
          <w:p w:rsidR="00510107" w:rsidRPr="001659B8" w:rsidRDefault="00510107">
            <w:pPr>
              <w:adjustRightInd w:val="0"/>
              <w:snapToGrid w:val="0"/>
              <w:spacing w:after="0" w:line="360" w:lineRule="auto"/>
              <w:rPr>
                <w:rFonts w:ascii="Book Antiqua" w:eastAsia="等线" w:hAnsi="Book Antiqua"/>
                <w:color w:val="000000"/>
                <w:sz w:val="24"/>
              </w:rPr>
            </w:pPr>
          </w:p>
        </w:tc>
        <w:tc>
          <w:tcPr>
            <w:tcW w:w="851"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P-DWI</w:t>
            </w:r>
          </w:p>
        </w:tc>
        <w:tc>
          <w:tcPr>
            <w:tcW w:w="1563"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61.2 (101/165)</w:t>
            </w:r>
          </w:p>
        </w:tc>
        <w:tc>
          <w:tcPr>
            <w:tcW w:w="1408"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92.5 (74/80)</w:t>
            </w:r>
          </w:p>
        </w:tc>
        <w:tc>
          <w:tcPr>
            <w:tcW w:w="1134"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71.4 (175/245)</w:t>
            </w:r>
          </w:p>
        </w:tc>
        <w:tc>
          <w:tcPr>
            <w:tcW w:w="1085"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94.4 (101/107)</w:t>
            </w:r>
          </w:p>
        </w:tc>
        <w:tc>
          <w:tcPr>
            <w:tcW w:w="98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53.6 (74/138)</w:t>
            </w:r>
          </w:p>
        </w:tc>
        <w:tc>
          <w:tcPr>
            <w:tcW w:w="115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0.537</w:t>
            </w:r>
          </w:p>
        </w:tc>
      </w:tr>
      <w:tr w:rsidR="00510107" w:rsidRPr="001659B8">
        <w:trPr>
          <w:trHeight w:val="340"/>
        </w:trPr>
        <w:tc>
          <w:tcPr>
            <w:tcW w:w="1281" w:type="dxa"/>
            <w:vMerge w:val="restart"/>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LR-4/5</w:t>
            </w:r>
          </w:p>
        </w:tc>
        <w:tc>
          <w:tcPr>
            <w:tcW w:w="851"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A-DWI</w:t>
            </w:r>
          </w:p>
        </w:tc>
        <w:tc>
          <w:tcPr>
            <w:tcW w:w="1563"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73.9 (122/165)</w:t>
            </w:r>
          </w:p>
        </w:tc>
        <w:tc>
          <w:tcPr>
            <w:tcW w:w="1408"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80 (64/80)</w:t>
            </w:r>
          </w:p>
        </w:tc>
        <w:tc>
          <w:tcPr>
            <w:tcW w:w="1134"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75.9 (186/245)</w:t>
            </w:r>
          </w:p>
        </w:tc>
        <w:tc>
          <w:tcPr>
            <w:tcW w:w="1085"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88.4(122/138)</w:t>
            </w:r>
          </w:p>
        </w:tc>
        <w:tc>
          <w:tcPr>
            <w:tcW w:w="98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59.8 (64/107)</w:t>
            </w:r>
          </w:p>
        </w:tc>
        <w:tc>
          <w:tcPr>
            <w:tcW w:w="115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0.539</w:t>
            </w:r>
          </w:p>
        </w:tc>
      </w:tr>
      <w:tr w:rsidR="00510107" w:rsidRPr="001659B8">
        <w:trPr>
          <w:trHeight w:val="340"/>
        </w:trPr>
        <w:tc>
          <w:tcPr>
            <w:tcW w:w="1281" w:type="dxa"/>
            <w:vMerge/>
          </w:tcPr>
          <w:p w:rsidR="00510107" w:rsidRPr="001659B8" w:rsidRDefault="00510107">
            <w:pPr>
              <w:adjustRightInd w:val="0"/>
              <w:snapToGrid w:val="0"/>
              <w:spacing w:after="0" w:line="360" w:lineRule="auto"/>
              <w:rPr>
                <w:rFonts w:ascii="Book Antiqua" w:eastAsia="等线" w:hAnsi="Book Antiqua"/>
                <w:color w:val="000000"/>
                <w:sz w:val="24"/>
              </w:rPr>
            </w:pPr>
          </w:p>
        </w:tc>
        <w:tc>
          <w:tcPr>
            <w:tcW w:w="851"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P-DWI</w:t>
            </w:r>
          </w:p>
        </w:tc>
        <w:tc>
          <w:tcPr>
            <w:tcW w:w="1563"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87.9 (145/165)</w:t>
            </w:r>
          </w:p>
        </w:tc>
        <w:tc>
          <w:tcPr>
            <w:tcW w:w="1408"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80 (64/80)</w:t>
            </w:r>
          </w:p>
        </w:tc>
        <w:tc>
          <w:tcPr>
            <w:tcW w:w="1134"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85.3 (209/245)</w:t>
            </w:r>
          </w:p>
        </w:tc>
        <w:tc>
          <w:tcPr>
            <w:tcW w:w="1085"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90.1 (145/161)</w:t>
            </w:r>
          </w:p>
        </w:tc>
        <w:tc>
          <w:tcPr>
            <w:tcW w:w="98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76.2 (64/84)</w:t>
            </w:r>
          </w:p>
        </w:tc>
        <w:tc>
          <w:tcPr>
            <w:tcW w:w="115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0.679</w:t>
            </w:r>
          </w:p>
        </w:tc>
      </w:tr>
      <w:tr w:rsidR="00510107" w:rsidRPr="001659B8">
        <w:trPr>
          <w:trHeight w:val="340"/>
        </w:trPr>
        <w:tc>
          <w:tcPr>
            <w:tcW w:w="1281" w:type="dxa"/>
            <w:vMerge w:val="restart"/>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LR-4/5/M</w:t>
            </w:r>
          </w:p>
        </w:tc>
        <w:tc>
          <w:tcPr>
            <w:tcW w:w="851"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A-DWI</w:t>
            </w:r>
          </w:p>
        </w:tc>
        <w:tc>
          <w:tcPr>
            <w:tcW w:w="1563"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75.8 (125/165)</w:t>
            </w:r>
          </w:p>
        </w:tc>
        <w:tc>
          <w:tcPr>
            <w:tcW w:w="1408"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58.8 (47/80)</w:t>
            </w:r>
          </w:p>
        </w:tc>
        <w:tc>
          <w:tcPr>
            <w:tcW w:w="1134"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70.2 (172/245)</w:t>
            </w:r>
          </w:p>
        </w:tc>
        <w:tc>
          <w:tcPr>
            <w:tcW w:w="1085"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79.1 (125/158)</w:t>
            </w:r>
          </w:p>
        </w:tc>
        <w:tc>
          <w:tcPr>
            <w:tcW w:w="98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54 (47/87)</w:t>
            </w:r>
          </w:p>
        </w:tc>
        <w:tc>
          <w:tcPr>
            <w:tcW w:w="115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0.346</w:t>
            </w:r>
          </w:p>
        </w:tc>
      </w:tr>
      <w:tr w:rsidR="00510107" w:rsidRPr="001659B8">
        <w:trPr>
          <w:trHeight w:val="340"/>
        </w:trPr>
        <w:tc>
          <w:tcPr>
            <w:tcW w:w="1281" w:type="dxa"/>
            <w:vMerge/>
          </w:tcPr>
          <w:p w:rsidR="00510107" w:rsidRPr="001659B8" w:rsidRDefault="00510107">
            <w:pPr>
              <w:adjustRightInd w:val="0"/>
              <w:snapToGrid w:val="0"/>
              <w:spacing w:after="0" w:line="360" w:lineRule="auto"/>
              <w:rPr>
                <w:rFonts w:ascii="Book Antiqua" w:eastAsia="等线" w:hAnsi="Book Antiqua"/>
                <w:color w:val="000000"/>
                <w:sz w:val="24"/>
              </w:rPr>
            </w:pPr>
          </w:p>
        </w:tc>
        <w:tc>
          <w:tcPr>
            <w:tcW w:w="851"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P-DWI</w:t>
            </w:r>
          </w:p>
        </w:tc>
        <w:tc>
          <w:tcPr>
            <w:tcW w:w="1563"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87.9 (145/165)</w:t>
            </w:r>
          </w:p>
        </w:tc>
        <w:tc>
          <w:tcPr>
            <w:tcW w:w="1408"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58.8 (47/80)</w:t>
            </w:r>
          </w:p>
        </w:tc>
        <w:tc>
          <w:tcPr>
            <w:tcW w:w="1134"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78.4 (192/245)</w:t>
            </w:r>
          </w:p>
        </w:tc>
        <w:tc>
          <w:tcPr>
            <w:tcW w:w="1085"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81.5 (145/178)</w:t>
            </w:r>
          </w:p>
        </w:tc>
        <w:tc>
          <w:tcPr>
            <w:tcW w:w="98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70.1 (47/67)</w:t>
            </w:r>
          </w:p>
        </w:tc>
        <w:tc>
          <w:tcPr>
            <w:tcW w:w="115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0.467</w:t>
            </w:r>
          </w:p>
        </w:tc>
      </w:tr>
      <w:tr w:rsidR="00510107" w:rsidRPr="001659B8">
        <w:trPr>
          <w:trHeight w:val="340"/>
        </w:trPr>
        <w:tc>
          <w:tcPr>
            <w:tcW w:w="1281" w:type="dxa"/>
            <w:vMerge w:val="restart"/>
          </w:tcPr>
          <w:p w:rsidR="00510107" w:rsidRPr="001659B8" w:rsidRDefault="002E702A">
            <w:pPr>
              <w:adjustRightInd w:val="0"/>
              <w:snapToGrid w:val="0"/>
              <w:spacing w:after="0" w:line="360" w:lineRule="auto"/>
              <w:rPr>
                <w:rFonts w:ascii="Book Antiqua" w:eastAsia="等线" w:hAnsi="Book Antiqua"/>
                <w:color w:val="000000"/>
                <w:sz w:val="24"/>
              </w:rPr>
            </w:pPr>
            <w:r w:rsidRPr="001659B8">
              <w:rPr>
                <w:rFonts w:ascii="Book Antiqua" w:eastAsia="等线" w:hAnsi="Book Antiqua"/>
                <w:color w:val="000000"/>
                <w:sz w:val="24"/>
              </w:rPr>
              <w:t>LR-4/5/TIV</w:t>
            </w:r>
          </w:p>
        </w:tc>
        <w:tc>
          <w:tcPr>
            <w:tcW w:w="851"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A-DWI</w:t>
            </w:r>
          </w:p>
        </w:tc>
        <w:tc>
          <w:tcPr>
            <w:tcW w:w="1563"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75.8 (125/165)</w:t>
            </w:r>
          </w:p>
        </w:tc>
        <w:tc>
          <w:tcPr>
            <w:tcW w:w="1408"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75 (60/80)</w:t>
            </w:r>
          </w:p>
        </w:tc>
        <w:tc>
          <w:tcPr>
            <w:tcW w:w="1134"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75.5 (185/245)</w:t>
            </w:r>
          </w:p>
        </w:tc>
        <w:tc>
          <w:tcPr>
            <w:tcW w:w="1085"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86.2 (125/145)</w:t>
            </w:r>
          </w:p>
        </w:tc>
        <w:tc>
          <w:tcPr>
            <w:tcW w:w="98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60 (60/100)</w:t>
            </w:r>
          </w:p>
        </w:tc>
        <w:tc>
          <w:tcPr>
            <w:tcW w:w="1156" w:type="dxa"/>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0.508</w:t>
            </w:r>
          </w:p>
        </w:tc>
      </w:tr>
      <w:tr w:rsidR="00510107" w:rsidRPr="001659B8">
        <w:trPr>
          <w:trHeight w:val="371"/>
        </w:trPr>
        <w:tc>
          <w:tcPr>
            <w:tcW w:w="1281" w:type="dxa"/>
            <w:vMerge/>
            <w:tcBorders>
              <w:bottom w:val="single" w:sz="4" w:space="0" w:color="auto"/>
            </w:tcBorders>
          </w:tcPr>
          <w:p w:rsidR="00510107" w:rsidRPr="001659B8" w:rsidRDefault="00510107">
            <w:pPr>
              <w:adjustRightInd w:val="0"/>
              <w:snapToGrid w:val="0"/>
              <w:spacing w:after="0" w:line="360" w:lineRule="auto"/>
              <w:rPr>
                <w:rFonts w:ascii="Book Antiqua" w:eastAsia="等线" w:hAnsi="Book Antiqua"/>
                <w:color w:val="000000"/>
                <w:sz w:val="24"/>
              </w:rPr>
            </w:pPr>
          </w:p>
        </w:tc>
        <w:tc>
          <w:tcPr>
            <w:tcW w:w="851" w:type="dxa"/>
            <w:tcBorders>
              <w:bottom w:val="single" w:sz="4"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P-DWI</w:t>
            </w:r>
          </w:p>
        </w:tc>
        <w:tc>
          <w:tcPr>
            <w:tcW w:w="1563" w:type="dxa"/>
            <w:tcBorders>
              <w:bottom w:val="single" w:sz="4"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89.7 (148/165)</w:t>
            </w:r>
          </w:p>
        </w:tc>
        <w:tc>
          <w:tcPr>
            <w:tcW w:w="1408" w:type="dxa"/>
            <w:tcBorders>
              <w:bottom w:val="single" w:sz="4"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75 (60/80)</w:t>
            </w:r>
          </w:p>
        </w:tc>
        <w:tc>
          <w:tcPr>
            <w:tcW w:w="1134" w:type="dxa"/>
            <w:tcBorders>
              <w:bottom w:val="single" w:sz="4"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84.9 (208/245)</w:t>
            </w:r>
          </w:p>
        </w:tc>
        <w:tc>
          <w:tcPr>
            <w:tcW w:w="1085" w:type="dxa"/>
            <w:tcBorders>
              <w:bottom w:val="single" w:sz="4"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88.1 (148/168)</w:t>
            </w:r>
          </w:p>
        </w:tc>
        <w:tc>
          <w:tcPr>
            <w:tcW w:w="986" w:type="dxa"/>
            <w:tcBorders>
              <w:bottom w:val="single" w:sz="4"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77.9 (60/77)</w:t>
            </w:r>
          </w:p>
        </w:tc>
        <w:tc>
          <w:tcPr>
            <w:tcW w:w="1156" w:type="dxa"/>
            <w:tcBorders>
              <w:bottom w:val="single" w:sz="4" w:space="0" w:color="auto"/>
            </w:tcBorders>
          </w:tcPr>
          <w:p w:rsidR="00510107" w:rsidRPr="001659B8" w:rsidRDefault="002E702A">
            <w:pPr>
              <w:adjustRightInd w:val="0"/>
              <w:snapToGrid w:val="0"/>
              <w:spacing w:after="0" w:line="360" w:lineRule="auto"/>
              <w:jc w:val="center"/>
              <w:rPr>
                <w:rFonts w:ascii="Book Antiqua" w:eastAsia="等线" w:hAnsi="Book Antiqua"/>
                <w:color w:val="000000"/>
                <w:sz w:val="24"/>
              </w:rPr>
            </w:pPr>
            <w:r w:rsidRPr="001659B8">
              <w:rPr>
                <w:rFonts w:ascii="Book Antiqua" w:eastAsia="等线" w:hAnsi="Book Antiqua"/>
                <w:color w:val="000000"/>
                <w:sz w:val="24"/>
              </w:rPr>
              <w:t>0.647</w:t>
            </w:r>
          </w:p>
        </w:tc>
      </w:tr>
    </w:tbl>
    <w:p w:rsidR="00510107" w:rsidRDefault="002E702A">
      <w:pPr>
        <w:adjustRightInd w:val="0"/>
        <w:snapToGrid w:val="0"/>
        <w:spacing w:after="0" w:line="360" w:lineRule="auto"/>
        <w:rPr>
          <w:rFonts w:ascii="Book Antiqua" w:eastAsia="等线" w:hAnsi="Book Antiqua" w:cs="Arial"/>
          <w:color w:val="000000"/>
          <w:sz w:val="24"/>
        </w:rPr>
      </w:pPr>
      <w:r w:rsidRPr="001659B8">
        <w:rPr>
          <w:rFonts w:ascii="Book Antiqua" w:eastAsia="等线" w:hAnsi="Book Antiqua"/>
          <w:color w:val="000000"/>
          <w:sz w:val="24"/>
        </w:rPr>
        <w:t xml:space="preserve">A-DWI: Absence of </w:t>
      </w:r>
      <w:r w:rsidRPr="001659B8">
        <w:rPr>
          <w:rFonts w:ascii="Book Antiqua" w:hAnsi="Book Antiqua"/>
          <w:color w:val="000000" w:themeColor="text1"/>
          <w:sz w:val="24"/>
        </w:rPr>
        <w:t>diffusion-weighted imaging</w:t>
      </w:r>
      <w:r w:rsidRPr="001659B8">
        <w:rPr>
          <w:rFonts w:ascii="Book Antiqua" w:eastAsia="等线" w:hAnsi="Book Antiqua"/>
          <w:color w:val="000000"/>
          <w:sz w:val="24"/>
        </w:rPr>
        <w:t xml:space="preserve">; P-DWI: Presence of </w:t>
      </w:r>
      <w:r w:rsidRPr="001659B8">
        <w:rPr>
          <w:rFonts w:ascii="Book Antiqua" w:hAnsi="Book Antiqua"/>
          <w:color w:val="000000" w:themeColor="text1"/>
          <w:sz w:val="24"/>
        </w:rPr>
        <w:lastRenderedPageBreak/>
        <w:t>diffusion-weighted imaging</w:t>
      </w:r>
      <w:r w:rsidRPr="001659B8">
        <w:rPr>
          <w:rFonts w:ascii="Book Antiqua" w:eastAsia="等线" w:hAnsi="Book Antiqua"/>
          <w:color w:val="000000"/>
          <w:sz w:val="24"/>
        </w:rPr>
        <w:t>; PPV: Positive predictive value; NPV: Negative predictive value</w:t>
      </w:r>
      <w:r w:rsidRPr="001659B8">
        <w:rPr>
          <w:rFonts w:ascii="Book Antiqua" w:eastAsia="等线" w:hAnsi="Book Antiqua" w:cs="Arial"/>
          <w:color w:val="000000"/>
          <w:sz w:val="24"/>
        </w:rPr>
        <w:t>.</w:t>
      </w:r>
    </w:p>
    <w:sectPr w:rsidR="00510107">
      <w:footerReference w:type="default" r:id="rId12"/>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2EB" w:rsidRDefault="002302EB">
      <w:pPr>
        <w:spacing w:after="0" w:line="240" w:lineRule="auto"/>
      </w:pPr>
      <w:r>
        <w:separator/>
      </w:r>
    </w:p>
  </w:endnote>
  <w:endnote w:type="continuationSeparator" w:id="0">
    <w:p w:rsidR="002302EB" w:rsidRDefault="00230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幼圆">
    <w:panose1 w:val="02010509060101010101"/>
    <w:charset w:val="86"/>
    <w:family w:val="modern"/>
    <w:pitch w:val="fixed"/>
    <w:sig w:usb0="00000001" w:usb1="080E0000" w:usb2="00000010" w:usb3="00000000" w:csb0="00040000" w:csb1="00000000"/>
  </w:font>
  <w:font w:name="等线">
    <w:altName w:val="宋体"/>
    <w:panose1 w:val="00000000000000000000"/>
    <w:charset w:val="86"/>
    <w:family w:val="roman"/>
    <w:notTrueType/>
    <w:pitch w:val="default"/>
  </w:font>
  <w:font w:name="等线 Light">
    <w:altName w:val="宋体"/>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107" w:rsidRDefault="002E702A">
    <w:pPr>
      <w:pStyle w:val="a6"/>
      <w:tabs>
        <w:tab w:val="clear" w:pos="4153"/>
        <w:tab w:val="left" w:pos="541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2EB" w:rsidRDefault="002302EB">
      <w:pPr>
        <w:spacing w:after="0" w:line="240" w:lineRule="auto"/>
      </w:pPr>
      <w:r>
        <w:separator/>
      </w:r>
    </w:p>
  </w:footnote>
  <w:footnote w:type="continuationSeparator" w:id="0">
    <w:p w:rsidR="002302EB" w:rsidRDefault="002302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2C8540FF-023E-4725-8FBA-67E2BCC73E51}3676" w:val="&lt;KyMRNote dbid=&quot;{2C8540FF-023E-4725-8FBA-67E2BCC73E51}&quot; recid=&quot;3676&quot;&gt;&lt;Data&gt;&lt;Field id=&quot;AccessNum&quot;&gt;29134355&lt;/Field&gt;&lt;Field id=&quot;Author&quot;&gt;Lee SE;An C;Hwang SH;Choi JY;Han K;Kim MJ&lt;/Field&gt;&lt;Field id=&quot;AuthorTrans&quot;&gt;&lt;/Field&gt;&lt;Field id=&quot;DOI&quot;&gt;10.1007/s00330-017-5119-y&lt;/Field&gt;&lt;Field id=&quot;Editor&quot;&gt;&lt;/Field&gt;&lt;Field id=&quot;FmtTitle&quot;&gt;&lt;/Field&gt;&lt;Field id=&quot;Issue&quot;&gt;&lt;/Field&gt;&lt;Field id=&quot;LIID&quot;&gt;3676&lt;/Field&gt;&lt;Field id=&quot;Magazine&quot;&gt;European radiology&lt;/Field&gt;&lt;Field id=&quot;MagazineAB&quot;&gt;Eur Radiol&lt;/Field&gt;&lt;Field id=&quot;MagazineTrans&quot;&gt;&lt;/Field&gt;&lt;Field id=&quot;PageNum&quot;&gt;&lt;/Field&gt;&lt;Field id=&quot;PubDate&quot;&gt;Nov 13&lt;/Field&gt;&lt;Field id=&quot;PubPlace&quot;&gt;Germany&lt;/Field&gt;&lt;Field id=&quot;PubPlaceTrans&quot;&gt;&lt;/Field&gt;&lt;Field id=&quot;PubYear&quot;&gt;2017&lt;/Field&gt;&lt;Field id=&quot;Publisher&quot;&gt;&lt;/Field&gt;&lt;Field id=&quot;PublisherTrans&quot;&gt;&lt;/Field&gt;&lt;Field id=&quot;TITrans&quot;&gt;&lt;/Field&gt;&lt;Field id=&quot;Title&quot;&gt;Extracellular contrast agent-enhanced MRI: 15-min delayed phase may improve the diagnostic performance for hepatocellular carcinoma in patients with chronic liver disease.&lt;/Field&gt;&lt;Field id=&quot;Translator&quot;&gt;&lt;/Field&gt;&lt;Field id=&quot;Type&quot;&gt;{041D4F77-279E-4405-0002-4388361B9CFF}&lt;/Field&gt;&lt;Field id=&quot;Version&quot;&gt;&lt;/Field&gt;&lt;Field id=&quot;Vol&quot;&gt;&lt;/Field&gt;&lt;Field id=&quot;Author2&quot;&gt;Lee,SE;An,C;Hwang,SH;Choi,JY;Han,K;Kim,MJ;&lt;/Field&gt;&lt;/Data&gt;&lt;Ref&gt;&lt;Display&gt;&lt;Text StringText=&quot;「RefIndex」&quot; StringTextOri=&quot;「RefIndex」&quot; SuperScript=&quot;true&quot;/&gt;&lt;/Display&gt;&lt;/Ref&gt;&lt;Doc&gt;&lt;Display&gt;&lt;Text StringText=&quot;Lee SE, An C, Hwang SH, Choi JY, Han K, Kim MJ&quot; StringGroup=&quot;Author&quot;/&gt;&lt;Text StringText=&quot;. &quot; StringGroup=&quot;Author&quot;/&gt;&lt;Text StringText=&quot;Extracellular contrast agent-enhanced MRI: 15-min delayed phase may improve the diagnostic performance for hepatocellular carcinoma in patients with chronic liver disease&quot; StringGroup=&quot;Title&quot;/&gt;&lt;Text StringText=&quot;. &quot; StringGroup=&quot;Title&quot;/&gt;&lt;Text StringText=&quot;Eur Radiol&quot; StringGroup=&quot;Magazine&quot;/&gt;&lt;Text StringText=&quot;. &quot; StringGroup=&quot;Magazine&quot;/&gt;&lt;Text StringText=&quot;2017&quot; StringGroup=&quot;PubYear&quot;/&gt;&lt;Text StringText=&quot; &quot; StringGroup=&quot;PubYear&quot;/&gt;&lt;Text StringText=&quot;.&quot; StringGroup=&quot;none&quot;/&gt;&lt;/Display&gt;&lt;/Doc&gt;&lt;/KyMRNote&gt;"/>
    <w:docVar w:name="KY.MR.DATA{2C8540FF-023E-4725-8FBA-67E2BCC73E51}3696" w:val="&lt;KyMRNote dbid=&quot;{2C8540FF-023E-4725-8FBA-67E2BCC73E51}&quot; recid=&quot;3696&quot;&gt;&lt;Data&gt;&lt;Field id=&quot;AccessNum&quot;&gt;28648125&lt;/Field&gt;&lt;Field id=&quot;Author&quot;&gt;Liu W;Qin J;Guo R;Xie S;Jiang H;Wang X;Kang Z;Wang J;Shan H&lt;/Field&gt;&lt;Field id=&quot;AuthorTrans&quot;&gt;&lt;/Field&gt;&lt;Field id=&quot;DOI&quot;&gt;10.1177/0284185117716700&lt;/Field&gt;&lt;Field id=&quot;Editor&quot;&gt;&lt;/Field&gt;&lt;Field id=&quot;FmtTitle&quot;&gt;&lt;/Field&gt;&lt;Field id=&quot;Issue&quot;&gt;&lt;/Field&gt;&lt;Field id=&quot;LIID&quot;&gt;3696&lt;/Field&gt;&lt;Field id=&quot;Magazine&quot;&gt;Acta radiologica&lt;/Field&gt;&lt;Field id=&quot;MagazineAB&quot;&gt;Acta Radiol&lt;/Field&gt;&lt;Field id=&quot;MagazineTrans&quot;&gt;&lt;/Field&gt;&lt;Field id=&quot;PageNum&quot;&gt;284185117716700&lt;/Field&gt;&lt;Field id=&quot;PubDate&quot;&gt;Jan 01&lt;/Field&gt;&lt;Field id=&quot;PubPlace&quot;&gt;England&lt;/Field&gt;&lt;Field id=&quot;PubPlaceTrans&quot;&gt;&lt;/Field&gt;&lt;Field id=&quot;PubYear&quot;&gt;2017&lt;/Field&gt;&lt;Field id=&quot;Publisher&quot;&gt;&lt;/Field&gt;&lt;Field id=&quot;PublisherTrans&quot;&gt;&lt;/Field&gt;&lt;Field id=&quot;TITrans&quot;&gt;&lt;/Field&gt;&lt;Field id=&quot;Title&quot;&gt;Accuracy of the diagnostic evaluation of hepatocellular carcinoma with LI-RADS.&lt;/Field&gt;&lt;Field id=&quot;Translator&quot;&gt;&lt;/Field&gt;&lt;Field id=&quot;Type&quot;&gt;{041D4F77-279E-4405-0002-4388361B9CFF}&lt;/Field&gt;&lt;Field id=&quot;Version&quot;&gt;&lt;/Field&gt;&lt;Field id=&quot;Vol&quot;&gt;&lt;/Field&gt;&lt;Field id=&quot;Author2&quot;&gt;Liu,W;Qin,J;Guo,R;&lt;/Field&gt;&lt;/Data&gt;&lt;Ref&gt;&lt;Display&gt;&lt;Text StringText=&quot;「RefIndex」&quot; StringTextOri=&quot;「RefIndex」&quot; SuperScript=&quot;true&quot;/&gt;&lt;/Display&gt;&lt;/Ref&gt;&lt;Doc&gt;&lt;Display&gt;&lt;Text StringText=&quot;Liu W, Qin J, Guo R, et al.&quot; StringGroup=&quot;Author&quot;/&gt;&lt;Text StringText=&quot; &quot; StringGroup=&quot;Author&quot;/&gt;&lt;Text StringText=&quot;Accuracy of the diagnostic evaluation of hepatocellular carcinoma with LI-RADS&quot; StringGroup=&quot;Title&quot;/&gt;&lt;Text StringText=&quot;. &quot; StringGroup=&quot;Title&quot;/&gt;&lt;Text StringText=&quot;Acta Radiol&quot; StringGroup=&quot;Magazine&quot;/&gt;&lt;Text StringText=&quot;. &quot; StringGroup=&quot;Magazine&quot;/&gt;&lt;Text StringText=&quot;2017&quot; StringGroup=&quot;PubYear&quot;/&gt;&lt;Text StringText=&quot; &quot; StringGroup=&quot;PubYear&quot;/&gt;&lt;Text StringText=&quot;: &quot; StringGroup=&quot;PageNum&quot;/&gt;&lt;Text StringText=&quot;284185117716700&quot; StringGroup=&quot;PageNum&quot;/&gt;&lt;Text StringText=&quot;.&quot; StringGroup=&quot;none&quot;/&gt;&lt;/Display&gt;&lt;/Doc&gt;&lt;/KyMRNote&gt;"/>
    <w:docVar w:name="KY.MR.DATA{2C8540FF-023E-4725-8FBA-67E2BCC73E51}3876" w:val="&lt;KyMRNote dbid=&quot;{2C8540FF-023E-4725-8FBA-67E2BCC73E51}&quot; recid=&quot;3876&quot;&gt;&lt;Data&gt;&lt;Field id=&quot;AccessNum&quot;&gt;30155697&lt;/Field&gt;&lt;Field id=&quot;Author&quot;&gt;Elsayes KM;Kielar AZ;Elmohr MM;Chernyak V;Masch WR;Furlan A;Marks RM;Cruite I;Fowler KJ;Tang A;Bashir MR;Hecht EM;Kamaya A;Jambhekar K;Kamath A;Arora S;Bijan B;Ash R;Kassam Z;Chaudhry H;McGahan JP;Yacoub JH;McInnes M;Fung AW;Shanbhogue K;Lee J;Deshmukh S;Horvat N;Mitchell DG;Do RKG;Surabhi VR;Szklaruk J;Sirlin CB&lt;/Field&gt;&lt;Field id=&quot;AuthorTrans&quot;&gt;&lt;/Field&gt;&lt;Field id=&quot;DOI&quot;&gt;10.1007/s00261-018-1744-4&lt;/Field&gt;&lt;Field id=&quot;Editor&quot;&gt;&lt;/Field&gt;&lt;Field id=&quot;FmtTitle&quot;&gt;&lt;/Field&gt;&lt;Field id=&quot;Issue&quot;&gt;10&lt;/Field&gt;&lt;Field id=&quot;LIID&quot;&gt;3876&lt;/Field&gt;&lt;Field id=&quot;Magazine&quot;&gt;Abdominal radiology&lt;/Field&gt;&lt;Field id=&quot;MagazineAB&quot;&gt;Abdom Radiol (NY)&lt;/Field&gt;&lt;Field id=&quot;MagazineTrans&quot;&gt;&lt;/Field&gt;&lt;Field id=&quot;PageNum&quot;&gt;2625-2642&lt;/Field&gt;&lt;Field id=&quot;PubDate&quot;&gt;Oct&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White paper of the Society of Abdominal Radiology hepatocellular carcinoma diagnosis disease-focused panel on LI-RADS v2018 for CT and MRI.&lt;/Field&gt;&lt;Field id=&quot;Translator&quot;&gt;&lt;/Field&gt;&lt;Field id=&quot;Type&quot;&gt;{041D4F77-279E-4405-0002-4388361B9CFF}&lt;/Field&gt;&lt;Field id=&quot;Version&quot;&gt;&lt;/Field&gt;&lt;Field id=&quot;Vol&quot;&gt;43&lt;/Field&gt;&lt;Field id=&quot;Author2&quot;&gt;Elsayes,KM;Kielar,AZ;Elmohr,MM;&lt;/Field&gt;&lt;/Data&gt;&lt;Ref&gt;&lt;Display&gt;&lt;Text StringText=&quot;「RefIndex」&quot; StringTextOri=&quot;「RefIndex」&quot; SuperScript=&quot;true&quot;/&gt;&lt;/Display&gt;&lt;/Ref&gt;&lt;Doc&gt;&lt;Display&gt;&lt;Text StringText=&quot;Elsayes KM, Kielar AZ, Elmohr MM, et al.&quot; StringGroup=&quot;Author&quot;/&gt;&lt;Text StringText=&quot; &quot; StringGroup=&quot;Author&quot;/&gt;&lt;Text StringText=&quot;White paper of the Society of Abdominal Radiology hepatocellular carcinoma diagnosis disease-focused panel on LI-RADS v2018 for CT and MRI&quot; StringGroup=&quot;Title&quot;/&gt;&lt;Text StringText=&quot;. &quot; StringGroup=&quot;Title&quot;/&gt;&lt;Text StringText=&quot;Abdom Radiol (NY)&quot; StringGroup=&quot;Magazine&quot;/&gt;&lt;Text StringText=&quot;. &quot; StringGroup=&quot;Magazine&quot;/&gt;&lt;Text StringText=&quot;2018&quot; StringGroup=&quot;PubYear&quot;/&gt;&lt;Text StringText=&quot;. &quot; StringGroup=&quot;PubYear&quot;/&gt;&lt;Text StringText=&quot;43&quot; StringGroup=&quot;Vol&quot;/&gt;&lt;Text StringText=&quot;(&quot; StringGroup=&quot;Issue&quot;/&gt;&lt;Text StringText=&quot;10&quot; StringGroup=&quot;Issue&quot;/&gt;&lt;Text StringText=&quot;)&quot; StringGroup=&quot;Issue&quot;/&gt;&lt;Text StringText=&quot;: &quot; StringGroup=&quot;PageNum&quot;/&gt;&lt;Text StringText=&quot;2625-2642&quot; StringGroup=&quot;PageNum&quot;/&gt;&lt;Text StringText=&quot;.&quot; StringGroup=&quot;none&quot;/&gt;&lt;/Display&gt;&lt;/Doc&gt;&lt;/KyMRNote&gt;"/>
    <w:docVar w:name="KY.MR.DATA{2C8540FF-023E-4725-8FBA-67E2BCC73E51}3882" w:val="&lt;KyMRNote dbid=&quot;{2C8540FF-023E-4725-8FBA-67E2BCC73E51}&quot; recid=&quot;3882&quot;&gt;&lt;Data&gt;&lt;Field id=&quot;AccessNum&quot;&gt;29690933&lt;/Field&gt;&lt;Field id=&quot;Author&quot;&gt;Schima W;Heiken J&lt;/Field&gt;&lt;Field id=&quot;AuthorTrans&quot;&gt;&lt;/Field&gt;&lt;Field id=&quot;DOI&quot;&gt;10.1186/s40644-018-0149-5&lt;/Field&gt;&lt;Field id=&quot;Editor&quot;&gt;&lt;/Field&gt;&lt;Field id=&quot;FmtTitle&quot;&gt;&lt;/Field&gt;&lt;Field id=&quot;Issue&quot;&gt;1&lt;/Field&gt;&lt;Field id=&quot;LIID&quot;&gt;3882&lt;/Field&gt;&lt;Field id=&quot;Magazine&quot;&gt;Cancer imaging : the official publication of the International Cancer Imaging Society&lt;/Field&gt;&lt;Field id=&quot;MagazineAB&quot;&gt;Cancer Imaging&lt;/Field&gt;&lt;Field id=&quot;MagazineTrans&quot;&gt;&lt;/Field&gt;&lt;Field id=&quot;PageNum&quot;&gt;14&lt;/Field&gt;&lt;Field id=&quot;PubDate&quot;&gt;Apr 24&lt;/Field&gt;&lt;Field id=&quot;PubPlace&quot;&gt;England&lt;/Field&gt;&lt;Field id=&quot;PubPlaceTrans&quot;&gt;&lt;/Field&gt;&lt;Field id=&quot;PubYear&quot;&gt;2018&lt;/Field&gt;&lt;Field id=&quot;Publisher&quot;&gt;&lt;/Field&gt;&lt;Field id=&quot;PublisherTrans&quot;&gt;&lt;/Field&gt;&lt;Field id=&quot;TITrans&quot;&gt;&lt;/Field&gt;&lt;Field id=&quot;Title&quot;&gt;LI-RADS v2017 for liver nodules: how we read and report.&lt;/Field&gt;&lt;Field id=&quot;Translator&quot;&gt;&lt;/Field&gt;&lt;Field id=&quot;Type&quot;&gt;{041D4F77-279E-4405-0002-4388361B9CFF}&lt;/Field&gt;&lt;Field id=&quot;Version&quot;&gt;&lt;/Field&gt;&lt;Field id=&quot;Vol&quot;&gt;18&lt;/Field&gt;&lt;Field id=&quot;Author2&quot;&gt;Schima,W;Heiken,J;&lt;/Field&gt;&lt;/Data&gt;&lt;Ref&gt;&lt;Display&gt;&lt;Text StringText=&quot;「RefIndex」&quot; StringTextOri=&quot;「RefIndex」&quot; SuperScript=&quot;true&quot;/&gt;&lt;/Display&gt;&lt;/Ref&gt;&lt;Doc&gt;&lt;Display&gt;&lt;Text StringText=&quot;Schima W, Heiken J&quot; StringGroup=&quot;Author&quot;/&gt;&lt;Text StringText=&quot;. &quot; StringGroup=&quot;Author&quot;/&gt;&lt;Text StringText=&quot;LI-RADS v2017 for liver nodules: how we read and report&quot; StringGroup=&quot;Title&quot;/&gt;&lt;Text StringText=&quot;. &quot; StringGroup=&quot;Title&quot;/&gt;&lt;Text StringText=&quot;Cancer Imaging&quot; StringGroup=&quot;Magazine&quot;/&gt;&lt;Text StringText=&quot;. &quot; StringGroup=&quot;Magazine&quot;/&gt;&lt;Text StringText=&quot;2018&quot; StringGroup=&quot;PubYear&quot;/&gt;&lt;Text StringText=&quot;. &quot; StringGroup=&quot;PubYear&quot;/&gt;&lt;Text StringText=&quot;18&quot; StringGroup=&quot;Vol&quot;/&gt;&lt;Text StringText=&quot;(&quot; StringGroup=&quot;Issue&quot;/&gt;&lt;Text StringText=&quot;1&quot; StringGroup=&quot;Issue&quot;/&gt;&lt;Text StringText=&quot;)&quot; StringGroup=&quot;Issue&quot;/&gt;&lt;Text StringText=&quot;: &quot; StringGroup=&quot;PageNum&quot;/&gt;&lt;Text StringText=&quot;14&quot; StringGroup=&quot;PageNum&quot;/&gt;&lt;Text StringText=&quot;.&quot; StringGroup=&quot;none&quot;/&gt;&lt;/Display&gt;&lt;/Doc&gt;&lt;/KyMRNote&gt;"/>
    <w:docVar w:name="KY.MR.DATA{2C8540FF-023E-4725-8FBA-67E2BCC73E51}3887" w:val="&lt;KyMRNote dbid=&quot;{2C8540FF-023E-4725-8FBA-67E2BCC73E51}&quot; recid=&quot;3887&quot;&gt;&lt;Data&gt;&lt;Field id=&quot;AccessNum&quot;&gt;29230525&lt;/Field&gt;&lt;Field id=&quot;Author&quot;&gt;Kim YY;An C;Kim S;Kim MJ&lt;/Field&gt;&lt;Field id=&quot;AuthorTrans&quot;&gt;&lt;/Field&gt;&lt;Field id=&quot;DOI&quot;&gt;10.1007/s00330-017-5188-y&lt;/Field&gt;&lt;Field id=&quot;Editor&quot;&gt;&lt;/Field&gt;&lt;Field id=&quot;FmtTitle&quot;&gt;&lt;/Field&gt;&lt;Field id=&quot;Issue&quot;&gt;5&lt;/Field&gt;&lt;Field id=&quot;LIID&quot;&gt;3887&lt;/Field&gt;&lt;Field id=&quot;Magazine&quot;&gt;European radiology&lt;/Field&gt;&lt;Field id=&quot;MagazineAB&quot;&gt;Eur Radiol&lt;/Field&gt;&lt;Field id=&quot;MagazineTrans&quot;&gt;&lt;/Field&gt;&lt;Field id=&quot;PageNum&quot;&gt;2038-2046&lt;/Field&gt;&lt;Field id=&quot;PubDate&quot;&gt;May&lt;/Field&gt;&lt;Field id=&quot;PubPlace&quot;&gt;Germany&lt;/Field&gt;&lt;Field id=&quot;PubPlaceTrans&quot;&gt;&lt;/Field&gt;&lt;Field id=&quot;PubYear&quot;&gt;2018&lt;/Field&gt;&lt;Field id=&quot;Publisher&quot;&gt;&lt;/Field&gt;&lt;Field id=&quot;PublisherTrans&quot;&gt;&lt;/Field&gt;&lt;Field id=&quot;TITrans&quot;&gt;&lt;/Field&gt;&lt;Field id=&quot;Title&quot;&gt;Diagnostic accuracy of prospective application of the Liver Imaging Reporting and Data System (LI-RADS) in gadoxetate-enhanced MRI.&lt;/Field&gt;&lt;Field id=&quot;Translator&quot;&gt;&lt;/Field&gt;&lt;Field id=&quot;Type&quot;&gt;{041D4F77-279E-4405-0002-4388361B9CFF}&lt;/Field&gt;&lt;Field id=&quot;Version&quot;&gt;&lt;/Field&gt;&lt;Field id=&quot;Vol&quot;&gt;28&lt;/Field&gt;&lt;Field id=&quot;Author2&quot;&gt;Kim,YY;An,C;Kim,S;Kim,MJ;&lt;/Field&gt;&lt;/Data&gt;&lt;Ref&gt;&lt;Display&gt;&lt;Text StringText=&quot;「RefIndex」&quot; StringTextOri=&quot;「RefIndex」&quot; SuperScript=&quot;true&quot;/&gt;&lt;/Display&gt;&lt;/Ref&gt;&lt;Doc&gt;&lt;Display&gt;&lt;Text StringText=&quot;Kim YY, An C, Kim S, Kim MJ&quot; StringGroup=&quot;Author&quot;/&gt;&lt;Text StringText=&quot;. &quot; StringGroup=&quot;Author&quot;/&gt;&lt;Text StringText=&quot;Diagnostic accuracy of prospective application of the Liver Imaging Reporting and Data System (LI-RADS) in gadoxetate-enhanced MRI&quot; StringGroup=&quot;Title&quot;/&gt;&lt;Text StringText=&quot;. &quot; StringGroup=&quot;Title&quot;/&gt;&lt;Text StringText=&quot;Eur Radiol&quot; StringGroup=&quot;Magazine&quot;/&gt;&lt;Text StringText=&quot;. &quot; StringGroup=&quot;Magazine&quot;/&gt;&lt;Text StringText=&quot;2018&quot; StringGroup=&quot;PubYear&quot;/&gt;&lt;Text StringText=&quot;. &quot; StringGroup=&quot;PubYear&quot;/&gt;&lt;Text StringText=&quot;28&quot; StringGroup=&quot;Vol&quot;/&gt;&lt;Text StringText=&quot;(&quot; StringGroup=&quot;Issue&quot;/&gt;&lt;Text StringText=&quot;5&quot; StringGroup=&quot;Issue&quot;/&gt;&lt;Text StringText=&quot;)&quot; StringGroup=&quot;Issue&quot;/&gt;&lt;Text StringText=&quot;: &quot; StringGroup=&quot;PageNum&quot;/&gt;&lt;Text StringText=&quot;2038-2046&quot; StringGroup=&quot;PageNum&quot;/&gt;&lt;Text StringText=&quot;.&quot; StringGroup=&quot;none&quot;/&gt;&lt;/Display&gt;&lt;/Doc&gt;&lt;/KyMRNote&gt;"/>
    <w:docVar w:name="KY.MR.DATA{2C8540FF-023E-4725-8FBA-67E2BCC73E51}3889" w:val="&lt;KyMRNote dbid=&quot;{2C8540FF-023E-4725-8FBA-67E2BCC73E51}&quot; recid=&quot;3889&quot;&gt;&lt;Data&gt;&lt;Field id=&quot;AccessNum&quot;&gt;29131761&lt;/Field&gt;&lt;Field id=&quot;Author&quot;&gt;Elsayes KM;Hooker JC;Agrons MM;Kielar AZ;Tang A;Fowler KJ;Chernyak V;Bashir MR;Kono Y;Do RK;Mitchell DG;Kamaya A;Hecht EM;Sirlin CB&lt;/Field&gt;&lt;Field id=&quot;AuthorTrans&quot;&gt;&lt;/Field&gt;&lt;Field id=&quot;DOI&quot;&gt;10.1148/rg.2017170098&lt;/Field&gt;&lt;Field id=&quot;Editor&quot;&gt;&lt;/Field&gt;&lt;Field id=&quot;FmtTitle&quot;&gt;&lt;/Field&gt;&lt;Field id=&quot;Issue&quot;&gt;7&lt;/Field&gt;&lt;Field id=&quot;LIID&quot;&gt;3889&lt;/Field&gt;&lt;Field id=&quot;Magazine&quot;&gt;Radiographics : a review publication of the Radiological Society of North America, Inc&lt;/Field&gt;&lt;Field id=&quot;MagazineAB&quot;&gt;Radiographics&lt;/Field&gt;&lt;Field id=&quot;MagazineTrans&quot;&gt;&lt;/Field&gt;&lt;Field id=&quot;PageNum&quot;&gt;1994-2017&lt;/Field&gt;&lt;Field id=&quot;PubDate&quot;&gt;Nov-Dec&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2017 Version of LI-RADS for CT and MR Imaging: An Update.&lt;/Field&gt;&lt;Field id=&quot;Translator&quot;&gt;&lt;/Field&gt;&lt;Field id=&quot;Type&quot;&gt;{041D4F77-279E-4405-0002-4388361B9CFF}&lt;/Field&gt;&lt;Field id=&quot;Version&quot;&gt;&lt;/Field&gt;&lt;Field id=&quot;Vol&quot;&gt;37&lt;/Field&gt;&lt;Field id=&quot;Author2&quot;&gt;Elsayes,KM;Hooker,JC;Agrons,MM;&lt;/Field&gt;&lt;/Data&gt;&lt;Ref&gt;&lt;Display&gt;&lt;Text StringText=&quot;「RefIndex」&quot; StringTextOri=&quot;「RefIndex」&quot; SuperScript=&quot;true&quot;/&gt;&lt;/Display&gt;&lt;/Ref&gt;&lt;Doc&gt;&lt;Display&gt;&lt;Text StringText=&quot;Elsayes KM, Hooker JC, Agrons MM, et al.&quot; StringGroup=&quot;Author&quot;/&gt;&lt;Text StringText=&quot; &quot; StringGroup=&quot;Author&quot;/&gt;&lt;Text StringText=&quot;2017 Version of LI-RADS for CT and MR Imaging: An Update&quot; StringGroup=&quot;Title&quot;/&gt;&lt;Text StringText=&quot;. &quot; StringGroup=&quot;Title&quot;/&gt;&lt;Text StringText=&quot;Radiographics&quot; StringGroup=&quot;Magazine&quot;/&gt;&lt;Text StringText=&quot;. &quot; StringGroup=&quot;Magazine&quot;/&gt;&lt;Text StringText=&quot;2017&quot; StringGroup=&quot;PubYear&quot;/&gt;&lt;Text StringText=&quot;. &quot; StringGroup=&quot;PubYear&quot;/&gt;&lt;Text StringText=&quot;37&quot; StringGroup=&quot;Vol&quot;/&gt;&lt;Text StringText=&quot;(&quot; StringGroup=&quot;Issue&quot;/&gt;&lt;Text StringText=&quot;7&quot; StringGroup=&quot;Issue&quot;/&gt;&lt;Text StringText=&quot;)&quot; StringGroup=&quot;Issue&quot;/&gt;&lt;Text StringText=&quot;: &quot; StringGroup=&quot;PageNum&quot;/&gt;&lt;Text StringText=&quot;1994-2017&quot; StringGroup=&quot;PageNum&quot;/&gt;&lt;Text StringText=&quot;.&quot; StringGroup=&quot;none&quot;/&gt;&lt;/Display&gt;&lt;/Doc&gt;&lt;/KyMRNote&gt;"/>
    <w:docVar w:name="KY.MR.DATA{2C8540FF-023E-4725-8FBA-67E2BCC73E51}3926" w:val="&lt;KyMRNote dbid=&quot;{2C8540FF-023E-4725-8FBA-67E2BCC73E51}&quot; recid=&quot;3926&quot;&gt;&lt;Data&gt;&lt;Field id=&quot;AccessNum&quot;&gt;26629904&lt;/Field&gt;&lt;Field id=&quot;Author&quot;&gt;Li X;Li C;Wang R;Ren J;Yang J;Zhang Y&lt;/Field&gt;&lt;Field id=&quot;AuthorTrans&quot;&gt;&lt;/Field&gt;&lt;Field id=&quot;DOI&quot;&gt;10.1371/journal.pone.0144247&lt;/Field&gt;&lt;Field id=&quot;Editor&quot;&gt;&lt;/Field&gt;&lt;Field id=&quot;FmtTitle&quot;&gt;&lt;/Field&gt;&lt;Field id=&quot;Issue&quot;&gt;12&lt;/Field&gt;&lt;Field id=&quot;LIID&quot;&gt;3926&lt;/Field&gt;&lt;Field id=&quot;Magazine&quot;&gt;PloS one&lt;/Field&gt;&lt;Field id=&quot;MagazineAB&quot;&gt;PLoS One&lt;/Field&gt;&lt;Field id=&quot;MagazineTrans&quot;&gt;&lt;/Field&gt;&lt;Field id=&quot;PageNum&quot;&gt;e0144247&lt;/Field&gt;&lt;Field id=&quot;PubDate&quot;&gt;&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Combined Application of Gadoxetic Acid Disodium-Enhanced Magnetic Resonance Imaging (MRI) and Diffusion-Weighted Imaging (DWI) in the Diagnosis of Chronic Liver Disease-Induced Hepatocellular Carcinoma: A Meta-Analysis.&lt;/Field&gt;&lt;Field id=&quot;Translator&quot;&gt;&lt;/Field&gt;&lt;Field id=&quot;Type&quot;&gt;{041D4F77-279E-4405-0002-4388361B9CFF}&lt;/Field&gt;&lt;Field id=&quot;Version&quot;&gt;&lt;/Field&gt;&lt;Field id=&quot;Vol&quot;&gt;10&lt;/Field&gt;&lt;Field id=&quot;Author2&quot;&gt;Li,X;Li,C;Wang,R;Ren,J;Yang,J;Zhang,Y;&lt;/Field&gt;&lt;/Data&gt;&lt;Ref&gt;&lt;Display&gt;&lt;Text StringText=&quot;「RefIndex」&quot; StringTextOri=&quot;「RefIndex」&quot; SuperScript=&quot;true&quot;/&gt;&lt;/Display&gt;&lt;/Ref&gt;&lt;Doc&gt;&lt;Display&gt;&lt;Text StringText=&quot;Li X, Li C, Wang R, Ren J, Yang J, Zhang Y&quot; StringGroup=&quot;Author&quot;/&gt;&lt;Text StringText=&quot;. &quot; StringGroup=&quot;Author&quot;/&gt;&lt;Text StringText=&quot;Combined Application of Gadoxetic Acid Disodium-Enhanced Magnetic Resonance Imaging (MRI) and Diffusion-Weighted Imaging (DWI) in the Diagnosis of Chronic Liver Disease-Induced Hepatocellular Carcinoma: A Meta-Analysis&quot; StringGroup=&quot;Title&quot;/&gt;&lt;Text StringText=&quot;. &quot; StringGroup=&quot;Title&quot;/&gt;&lt;Text StringText=&quot;PLoS One&quot; StringGroup=&quot;Magazine&quot;/&gt;&lt;Text StringText=&quot;. &quot; StringGroup=&quot;Magazine&quot;/&gt;&lt;Text StringText=&quot;2015&quot; StringGroup=&quot;PubYear&quot;/&gt;&lt;Text StringText=&quot;. &quot; StringGroup=&quot;PubYear&quot;/&gt;&lt;Text StringText=&quot;10&quot; StringGroup=&quot;Vol&quot;/&gt;&lt;Text StringText=&quot;(&quot; StringGroup=&quot;Issue&quot;/&gt;&lt;Text StringText=&quot;12&quot; StringGroup=&quot;Issue&quot;/&gt;&lt;Text StringText=&quot;)&quot; StringGroup=&quot;Issue&quot;/&gt;&lt;Text StringText=&quot;: &quot; StringGroup=&quot;PageNum&quot;/&gt;&lt;Text StringText=&quot;e0144247&quot; StringGroup=&quot;PageNum&quot;/&gt;&lt;Text StringText=&quot;.&quot; StringGroup=&quot;none&quot;/&gt;&lt;/Display&gt;&lt;/Doc&gt;&lt;/KyMRNote&gt;"/>
    <w:docVar w:name="KY.MR.DATA{2C8540FF-023E-4725-8FBA-67E2BCC73E51}3927" w:val="&lt;KyMRNote dbid=&quot;{2C8540FF-023E-4725-8FBA-67E2BCC73E51}&quot; recid=&quot;3927&quot;&gt;&lt;Data&gt;&lt;Field id=&quot;AccessNum&quot;&gt;29230525&lt;/Field&gt;&lt;Field id=&quot;Author&quot;&gt;Kim YY;An C;Kim S;Kim MJ&lt;/Field&gt;&lt;Field id=&quot;AuthorTrans&quot;&gt;&lt;/Field&gt;&lt;Field id=&quot;DOI&quot;&gt;10.1007/s00330-017-5188-y&lt;/Field&gt;&lt;Field id=&quot;Editor&quot;&gt;&lt;/Field&gt;&lt;Field id=&quot;FmtTitle&quot;&gt;&lt;/Field&gt;&lt;Field id=&quot;Issue&quot;&gt;5&lt;/Field&gt;&lt;Field id=&quot;LIID&quot;&gt;3927&lt;/Field&gt;&lt;Field id=&quot;Magazine&quot;&gt;European radiology&lt;/Field&gt;&lt;Field id=&quot;MagazineAB&quot;&gt;Eur Radiol&lt;/Field&gt;&lt;Field id=&quot;MagazineTrans&quot;&gt;&lt;/Field&gt;&lt;Field id=&quot;PageNum&quot;&gt;2038-2046&lt;/Field&gt;&lt;Field id=&quot;PubDate&quot;&gt;May&lt;/Field&gt;&lt;Field id=&quot;PubPlace&quot;&gt;Germany&lt;/Field&gt;&lt;Field id=&quot;PubPlaceTrans&quot;&gt;&lt;/Field&gt;&lt;Field id=&quot;PubYear&quot;&gt;2018&lt;/Field&gt;&lt;Field id=&quot;Publisher&quot;&gt;&lt;/Field&gt;&lt;Field id=&quot;PublisherTrans&quot;&gt;&lt;/Field&gt;&lt;Field id=&quot;TITrans&quot;&gt;&lt;/Field&gt;&lt;Field id=&quot;Title&quot;&gt;Diagnostic accuracy of prospective application of the Liver Imaging Reporting and Data System (LI-RADS) in gadoxetate-enhanced MRI.&lt;/Field&gt;&lt;Field id=&quot;Translator&quot;&gt;&lt;/Field&gt;&lt;Field id=&quot;Type&quot;&gt;{041D4F77-279E-4405-0002-4388361B9CFF}&lt;/Field&gt;&lt;Field id=&quot;Version&quot;&gt;&lt;/Field&gt;&lt;Field id=&quot;Vol&quot;&gt;28&lt;/Field&gt;&lt;Field id=&quot;Author2&quot;&gt;Kim,YY;An,C;Kim,S;Kim,MJ;&lt;/Field&gt;&lt;/Data&gt;&lt;Ref&gt;&lt;Display&gt;&lt;Text StringText=&quot;「RefIndex」&quot; StringTextOri=&quot;「RefIndex」&quot; SuperScript=&quot;true&quot;/&gt;&lt;/Display&gt;&lt;/Ref&gt;&lt;Doc&gt;&lt;Display&gt;&lt;Text StringText=&quot;Kim YY, An C, Kim S, Kim MJ&quot; StringGroup=&quot;Author&quot;/&gt;&lt;Text StringText=&quot;. &quot; StringGroup=&quot;Author&quot;/&gt;&lt;Text StringText=&quot;Diagnostic accuracy of prospective application of the Liver Imaging Reporting and Data System (LI-RADS) in gadoxetate-enhanced MRI&quot; StringGroup=&quot;Title&quot;/&gt;&lt;Text StringText=&quot;. &quot; StringGroup=&quot;Title&quot;/&gt;&lt;Text StringText=&quot;Eur Radiol&quot; StringGroup=&quot;Magazine&quot;/&gt;&lt;Text StringText=&quot;. &quot; StringGroup=&quot;Magazine&quot;/&gt;&lt;Text StringText=&quot;2018&quot; StringGroup=&quot;PubYear&quot;/&gt;&lt;Text StringText=&quot;. &quot; StringGroup=&quot;PubYear&quot;/&gt;&lt;Text StringText=&quot;28&quot; StringGroup=&quot;Vol&quot;/&gt;&lt;Text StringText=&quot;(&quot; StringGroup=&quot;Issue&quot;/&gt;&lt;Text StringText=&quot;5&quot; StringGroup=&quot;Issue&quot;/&gt;&lt;Text StringText=&quot;)&quot; StringGroup=&quot;Issue&quot;/&gt;&lt;Text StringText=&quot;: &quot; StringGroup=&quot;PageNum&quot;/&gt;&lt;Text StringText=&quot;2038-2046&quot; StringGroup=&quot;PageNum&quot;/&gt;&lt;Text StringText=&quot;.&quot; StringGroup=&quot;none&quot;/&gt;&lt;/Display&gt;&lt;/Doc&gt;&lt;/KyMRNote&gt;"/>
    <w:docVar w:name="KY.MR.DATA{2C8540FF-023E-4725-8FBA-67E2BCC73E51}3928" w:val="&lt;KyMRNote dbid=&quot;{2C8540FF-023E-4725-8FBA-67E2BCC73E51}&quot; recid=&quot;3928&quot;&gt;&lt;Data&gt;&lt;Field id=&quot;AccessNum&quot;&gt;24528803&lt;/Field&gt;&lt;Field id=&quot;Author&quot;&gt;Komatsu N;Motosugi U;Maekawa S;Shindo K;Sakamoto M;Sato M;Tatsumi A;Miura M;Amemiya F;Nakayama Y;Inoue T;Fukasawa M;Uetake T;Ohtaka M;Sato T;Asahina Y;Kurosaki M;Izumi N;Ichikawa T;Araki T;Enomoto N&lt;/Field&gt;&lt;Field id=&quot;AuthorTrans&quot;&gt;&lt;/Field&gt;&lt;Field id=&quot;DOI&quot;&gt;10.1111/hepr.12309&lt;/Field&gt;&lt;Field id=&quot;Editor&quot;&gt;&lt;/Field&gt;&lt;Field id=&quot;FmtTitle&quot;&gt;&lt;/Field&gt;&lt;Field id=&quot;Issue&quot;&gt;13&lt;/Field&gt;&lt;Field id=&quot;LIID&quot;&gt;3928&lt;/Field&gt;&lt;Field id=&quot;Magazine&quot;&gt;Hepatology research : the official journal of the Japan Society of Hepatology&lt;/Field&gt;&lt;Field id=&quot;MagazineAB&quot;&gt;Hepatol Res&lt;/Field&gt;&lt;Field id=&quot;MagazineTrans&quot;&gt;&lt;/Field&gt;&lt;Field id=&quot;PageNum&quot;&gt;1339-46&lt;/Field&gt;&lt;Field id=&quot;PubDate&quot;&gt;Dec&lt;/Field&gt;&lt;Field id=&quot;PubPlace&quot;&gt;Netherlands&lt;/Field&gt;&lt;Field id=&quot;PubPlaceTrans&quot;&gt;&lt;/Field&gt;&lt;Field id=&quot;PubYear&quot;&gt;2014&lt;/Field&gt;&lt;Field id=&quot;Publisher&quot;&gt;&lt;/Field&gt;&lt;Field id=&quot;PublisherTrans&quot;&gt;&lt;/Field&gt;&lt;Field id=&quot;TITrans&quot;&gt;&lt;/Field&gt;&lt;Field id=&quot;Title&quot;&gt;Hepatocellular carcinoma risk assessment using gadoxetic acid-enhanced hepatocyte phase magnetic resonance imaging.&lt;/Field&gt;&lt;Field id=&quot;Translator&quot;&gt;&lt;/Field&gt;&lt;Field id=&quot;Type&quot;&gt;{041D4F77-279E-4405-0002-4388361B9CFF}&lt;/Field&gt;&lt;Field id=&quot;Version&quot;&gt;&lt;/Field&gt;&lt;Field id=&quot;Vol&quot;&gt;44&lt;/Field&gt;&lt;Field id=&quot;Author2&quot;&gt;Komatsu,N;Motosugi,U;Maekawa,S;&lt;/Field&gt;&lt;/Data&gt;&lt;Ref&gt;&lt;Display&gt;&lt;Text StringText=&quot;「RefIndex」&quot; StringTextOri=&quot;「RefIndex」&quot; SuperScript=&quot;true&quot;/&gt;&lt;/Display&gt;&lt;/Ref&gt;&lt;Doc&gt;&lt;Display&gt;&lt;Text StringText=&quot;Komatsu N, Motosugi U, Maekawa S, et al.&quot; StringGroup=&quot;Author&quot;/&gt;&lt;Text StringText=&quot; &quot; StringGroup=&quot;Author&quot;/&gt;&lt;Text StringText=&quot;Hepatocellular carcinoma risk assessment using gadoxetic acid-enhanced hepatocyte phase magnetic resonance imaging&quot; StringGroup=&quot;Title&quot;/&gt;&lt;Text StringText=&quot;. &quot; StringGroup=&quot;Title&quot;/&gt;&lt;Text StringText=&quot;Hepatol Res&quot; StringGroup=&quot;Magazine&quot;/&gt;&lt;Text StringText=&quot;. &quot; StringGroup=&quot;Magazine&quot;/&gt;&lt;Text StringText=&quot;2014&quot; StringGroup=&quot;PubYear&quot;/&gt;&lt;Text StringText=&quot;. &quot; StringGroup=&quot;PubYear&quot;/&gt;&lt;Text StringText=&quot;44&quot; StringGroup=&quot;Vol&quot;/&gt;&lt;Text StringText=&quot;(&quot; StringGroup=&quot;Issue&quot;/&gt;&lt;Text StringText=&quot;13&quot; StringGroup=&quot;Issue&quot;/&gt;&lt;Text StringText=&quot;)&quot; StringGroup=&quot;Issue&quot;/&gt;&lt;Text StringText=&quot;: &quot; StringGroup=&quot;PageNum&quot;/&gt;&lt;Text StringText=&quot;1339-46&quot; StringGroup=&quot;PageNum&quot;/&gt;&lt;Text StringText=&quot;.&quot; StringGroup=&quot;none&quot;/&gt;&lt;/Display&gt;&lt;/Doc&gt;&lt;/KyMRNote&gt;"/>
    <w:docVar w:name="KY_MEDREF_CITTEMPLATE" w:val="{41553B01-6C71-4FEF-B923-31CCEB142809}"/>
    <w:docVar w:name="KY_MEDREF_DOCUID" w:val="{F838A5F1-0175-4A98-8572-2DBBF391D172}"/>
    <w:docVar w:name="KY_MEDREF_VERSION" w:val="3"/>
    <w:docVar w:name="MachineID" w:val="198|199|197|202|203|197|206|189|197|205|201|197|206|199|197|198|198|"/>
    <w:docVar w:name="Username" w:val="Senior Editor"/>
  </w:docVars>
  <w:rsids>
    <w:rsidRoot w:val="1E16175F"/>
    <w:rsid w:val="1E16175F"/>
    <w:rsid w:val="8FBD3BEA"/>
    <w:rsid w:val="9F7F771B"/>
    <w:rsid w:val="ABED1F6B"/>
    <w:rsid w:val="B3FF10CB"/>
    <w:rsid w:val="CD7BF835"/>
    <w:rsid w:val="D3CE6AF4"/>
    <w:rsid w:val="DBC77DC7"/>
    <w:rsid w:val="DF7F9D30"/>
    <w:rsid w:val="E9DBFEF8"/>
    <w:rsid w:val="EF55659C"/>
    <w:rsid w:val="F7B7DA21"/>
    <w:rsid w:val="F7FB2DD3"/>
    <w:rsid w:val="FB3EFDC2"/>
    <w:rsid w:val="FF6EFFB5"/>
    <w:rsid w:val="FF9EB093"/>
    <w:rsid w:val="FFBF0DA9"/>
    <w:rsid w:val="FFFF44A2"/>
    <w:rsid w:val="000024A7"/>
    <w:rsid w:val="00003C74"/>
    <w:rsid w:val="000133AC"/>
    <w:rsid w:val="00017265"/>
    <w:rsid w:val="000472E1"/>
    <w:rsid w:val="00054B10"/>
    <w:rsid w:val="00060CD6"/>
    <w:rsid w:val="000879F6"/>
    <w:rsid w:val="000B41AF"/>
    <w:rsid w:val="000B70F5"/>
    <w:rsid w:val="000E307B"/>
    <w:rsid w:val="000E659D"/>
    <w:rsid w:val="000F6CD0"/>
    <w:rsid w:val="000F7F77"/>
    <w:rsid w:val="00102591"/>
    <w:rsid w:val="00113650"/>
    <w:rsid w:val="00140687"/>
    <w:rsid w:val="00146F8B"/>
    <w:rsid w:val="00157FFA"/>
    <w:rsid w:val="001659B8"/>
    <w:rsid w:val="00176898"/>
    <w:rsid w:val="001A5941"/>
    <w:rsid w:val="001C3AEF"/>
    <w:rsid w:val="001E076D"/>
    <w:rsid w:val="001E5285"/>
    <w:rsid w:val="00217651"/>
    <w:rsid w:val="002302EB"/>
    <w:rsid w:val="00257F36"/>
    <w:rsid w:val="00282A50"/>
    <w:rsid w:val="0028337A"/>
    <w:rsid w:val="00286103"/>
    <w:rsid w:val="00294130"/>
    <w:rsid w:val="002D1A82"/>
    <w:rsid w:val="002E702A"/>
    <w:rsid w:val="003064CB"/>
    <w:rsid w:val="00307935"/>
    <w:rsid w:val="00311879"/>
    <w:rsid w:val="00342CFE"/>
    <w:rsid w:val="00344384"/>
    <w:rsid w:val="003A6948"/>
    <w:rsid w:val="003B468C"/>
    <w:rsid w:val="003D1FC0"/>
    <w:rsid w:val="003D3F17"/>
    <w:rsid w:val="00411EC7"/>
    <w:rsid w:val="004163FB"/>
    <w:rsid w:val="0042074D"/>
    <w:rsid w:val="004352E5"/>
    <w:rsid w:val="00435F08"/>
    <w:rsid w:val="00436E7C"/>
    <w:rsid w:val="004409F8"/>
    <w:rsid w:val="00462564"/>
    <w:rsid w:val="00466CB5"/>
    <w:rsid w:val="00487147"/>
    <w:rsid w:val="004927AF"/>
    <w:rsid w:val="004C198A"/>
    <w:rsid w:val="00500226"/>
    <w:rsid w:val="00510107"/>
    <w:rsid w:val="00516744"/>
    <w:rsid w:val="00523D54"/>
    <w:rsid w:val="0056399B"/>
    <w:rsid w:val="00566154"/>
    <w:rsid w:val="00566BE8"/>
    <w:rsid w:val="005921EE"/>
    <w:rsid w:val="005B289C"/>
    <w:rsid w:val="005C74C6"/>
    <w:rsid w:val="005D02A8"/>
    <w:rsid w:val="005D3318"/>
    <w:rsid w:val="005D7E5A"/>
    <w:rsid w:val="005E28D7"/>
    <w:rsid w:val="005F1725"/>
    <w:rsid w:val="005F3043"/>
    <w:rsid w:val="00614174"/>
    <w:rsid w:val="00635583"/>
    <w:rsid w:val="00645891"/>
    <w:rsid w:val="00653D9B"/>
    <w:rsid w:val="00673D54"/>
    <w:rsid w:val="00681DE1"/>
    <w:rsid w:val="006824A3"/>
    <w:rsid w:val="0069771F"/>
    <w:rsid w:val="006B5C82"/>
    <w:rsid w:val="006C3FD0"/>
    <w:rsid w:val="006F7B6B"/>
    <w:rsid w:val="007167CA"/>
    <w:rsid w:val="007574A5"/>
    <w:rsid w:val="00773F83"/>
    <w:rsid w:val="00784146"/>
    <w:rsid w:val="00792072"/>
    <w:rsid w:val="007C1F50"/>
    <w:rsid w:val="007D1516"/>
    <w:rsid w:val="007F3725"/>
    <w:rsid w:val="0080404A"/>
    <w:rsid w:val="0082636B"/>
    <w:rsid w:val="00840620"/>
    <w:rsid w:val="00873B67"/>
    <w:rsid w:val="00876BCE"/>
    <w:rsid w:val="008C0C95"/>
    <w:rsid w:val="008C3120"/>
    <w:rsid w:val="008D0EEE"/>
    <w:rsid w:val="008F7688"/>
    <w:rsid w:val="0094485D"/>
    <w:rsid w:val="00962981"/>
    <w:rsid w:val="009776C4"/>
    <w:rsid w:val="00995D52"/>
    <w:rsid w:val="00997C47"/>
    <w:rsid w:val="009A29B7"/>
    <w:rsid w:val="009B69AA"/>
    <w:rsid w:val="009C6C7C"/>
    <w:rsid w:val="009D33CB"/>
    <w:rsid w:val="009E3C44"/>
    <w:rsid w:val="009F0AAC"/>
    <w:rsid w:val="009F2E08"/>
    <w:rsid w:val="00A36ECF"/>
    <w:rsid w:val="00A43711"/>
    <w:rsid w:val="00A447D7"/>
    <w:rsid w:val="00A63BFC"/>
    <w:rsid w:val="00A66CC5"/>
    <w:rsid w:val="00A92919"/>
    <w:rsid w:val="00AA7438"/>
    <w:rsid w:val="00AB5292"/>
    <w:rsid w:val="00AB628B"/>
    <w:rsid w:val="00AE515A"/>
    <w:rsid w:val="00AF48B4"/>
    <w:rsid w:val="00B02AC8"/>
    <w:rsid w:val="00B10A53"/>
    <w:rsid w:val="00B12B51"/>
    <w:rsid w:val="00B14A9B"/>
    <w:rsid w:val="00B23629"/>
    <w:rsid w:val="00B33414"/>
    <w:rsid w:val="00B42BA5"/>
    <w:rsid w:val="00B436D1"/>
    <w:rsid w:val="00B64CE8"/>
    <w:rsid w:val="00B870B8"/>
    <w:rsid w:val="00B93ADD"/>
    <w:rsid w:val="00BC3535"/>
    <w:rsid w:val="00BE1BDC"/>
    <w:rsid w:val="00C07ECE"/>
    <w:rsid w:val="00C6668C"/>
    <w:rsid w:val="00C70EDF"/>
    <w:rsid w:val="00C71896"/>
    <w:rsid w:val="00C81321"/>
    <w:rsid w:val="00C86BA0"/>
    <w:rsid w:val="00C935C3"/>
    <w:rsid w:val="00CA1D7E"/>
    <w:rsid w:val="00CC2AA4"/>
    <w:rsid w:val="00CD18C9"/>
    <w:rsid w:val="00CE0AD1"/>
    <w:rsid w:val="00CE786D"/>
    <w:rsid w:val="00D474D2"/>
    <w:rsid w:val="00D63966"/>
    <w:rsid w:val="00D854F8"/>
    <w:rsid w:val="00DC0082"/>
    <w:rsid w:val="00DC5AB3"/>
    <w:rsid w:val="00E04CD2"/>
    <w:rsid w:val="00E16B4E"/>
    <w:rsid w:val="00E22E91"/>
    <w:rsid w:val="00E23E41"/>
    <w:rsid w:val="00E26D50"/>
    <w:rsid w:val="00E35BDF"/>
    <w:rsid w:val="00E5665D"/>
    <w:rsid w:val="00E573E8"/>
    <w:rsid w:val="00E73FC4"/>
    <w:rsid w:val="00E94B65"/>
    <w:rsid w:val="00EB3CAC"/>
    <w:rsid w:val="00EE5E1D"/>
    <w:rsid w:val="00EF211E"/>
    <w:rsid w:val="00F01CE0"/>
    <w:rsid w:val="00F04C4D"/>
    <w:rsid w:val="00F11BDB"/>
    <w:rsid w:val="00F24EF6"/>
    <w:rsid w:val="00F45D1E"/>
    <w:rsid w:val="00F46D0A"/>
    <w:rsid w:val="00F60404"/>
    <w:rsid w:val="00F644A5"/>
    <w:rsid w:val="00F82B52"/>
    <w:rsid w:val="00F82F9D"/>
    <w:rsid w:val="00FA7AD5"/>
    <w:rsid w:val="00FD5DB3"/>
    <w:rsid w:val="00FE2FDA"/>
    <w:rsid w:val="00FF3229"/>
    <w:rsid w:val="00FF67DA"/>
    <w:rsid w:val="012A5677"/>
    <w:rsid w:val="03036EAC"/>
    <w:rsid w:val="03881285"/>
    <w:rsid w:val="03DC6023"/>
    <w:rsid w:val="0551605D"/>
    <w:rsid w:val="05C2663B"/>
    <w:rsid w:val="06125164"/>
    <w:rsid w:val="095E34F3"/>
    <w:rsid w:val="09684388"/>
    <w:rsid w:val="09D937D2"/>
    <w:rsid w:val="0A0336CD"/>
    <w:rsid w:val="0B2B1635"/>
    <w:rsid w:val="0C447D40"/>
    <w:rsid w:val="0F55350B"/>
    <w:rsid w:val="1018003A"/>
    <w:rsid w:val="111B0A1B"/>
    <w:rsid w:val="11C2297A"/>
    <w:rsid w:val="12743C35"/>
    <w:rsid w:val="12B5236A"/>
    <w:rsid w:val="13F12790"/>
    <w:rsid w:val="14DD1C4F"/>
    <w:rsid w:val="162B264F"/>
    <w:rsid w:val="16F31802"/>
    <w:rsid w:val="17F0208F"/>
    <w:rsid w:val="1848419D"/>
    <w:rsid w:val="1A6D52B6"/>
    <w:rsid w:val="1AFE5A5F"/>
    <w:rsid w:val="1BE45A60"/>
    <w:rsid w:val="1C6F2004"/>
    <w:rsid w:val="1CAE5B93"/>
    <w:rsid w:val="1D490B28"/>
    <w:rsid w:val="1E16175F"/>
    <w:rsid w:val="1E7EB7AA"/>
    <w:rsid w:val="244C187D"/>
    <w:rsid w:val="262C723A"/>
    <w:rsid w:val="2857056B"/>
    <w:rsid w:val="2A4B0A10"/>
    <w:rsid w:val="2C6B1152"/>
    <w:rsid w:val="2E050BC0"/>
    <w:rsid w:val="2EC22387"/>
    <w:rsid w:val="2F7927DC"/>
    <w:rsid w:val="30D37F4D"/>
    <w:rsid w:val="32504C7E"/>
    <w:rsid w:val="327B16B3"/>
    <w:rsid w:val="345A1BC3"/>
    <w:rsid w:val="381A4220"/>
    <w:rsid w:val="3B8526E6"/>
    <w:rsid w:val="3BB94D20"/>
    <w:rsid w:val="3D542E0E"/>
    <w:rsid w:val="3DC37FF7"/>
    <w:rsid w:val="3ECD3241"/>
    <w:rsid w:val="3F1E5B3E"/>
    <w:rsid w:val="3F5F0A5F"/>
    <w:rsid w:val="3FE7F5D4"/>
    <w:rsid w:val="42582142"/>
    <w:rsid w:val="42DC613F"/>
    <w:rsid w:val="43914659"/>
    <w:rsid w:val="43AB75DA"/>
    <w:rsid w:val="46DF70DA"/>
    <w:rsid w:val="4963162D"/>
    <w:rsid w:val="4BE01CAB"/>
    <w:rsid w:val="4C7700D9"/>
    <w:rsid w:val="4DD65483"/>
    <w:rsid w:val="501568B5"/>
    <w:rsid w:val="50A03D55"/>
    <w:rsid w:val="50B45136"/>
    <w:rsid w:val="50C5495D"/>
    <w:rsid w:val="50F6571A"/>
    <w:rsid w:val="52155BCF"/>
    <w:rsid w:val="5255469F"/>
    <w:rsid w:val="53CF5280"/>
    <w:rsid w:val="55197631"/>
    <w:rsid w:val="563627C1"/>
    <w:rsid w:val="570302E1"/>
    <w:rsid w:val="59076F46"/>
    <w:rsid w:val="59975DC8"/>
    <w:rsid w:val="59FB22D2"/>
    <w:rsid w:val="5A0F7272"/>
    <w:rsid w:val="5B4372B8"/>
    <w:rsid w:val="5D44741B"/>
    <w:rsid w:val="5D4A091C"/>
    <w:rsid w:val="5DFFC7D0"/>
    <w:rsid w:val="5FA3785A"/>
    <w:rsid w:val="60695F4A"/>
    <w:rsid w:val="60A4468B"/>
    <w:rsid w:val="622D2305"/>
    <w:rsid w:val="635850A8"/>
    <w:rsid w:val="63A83573"/>
    <w:rsid w:val="64C41A81"/>
    <w:rsid w:val="66256AFD"/>
    <w:rsid w:val="66E848BE"/>
    <w:rsid w:val="67533AB0"/>
    <w:rsid w:val="6B085FBC"/>
    <w:rsid w:val="6CC72D74"/>
    <w:rsid w:val="6E7F532F"/>
    <w:rsid w:val="6F0F1DBA"/>
    <w:rsid w:val="6FF668A6"/>
    <w:rsid w:val="722319E4"/>
    <w:rsid w:val="751D4236"/>
    <w:rsid w:val="75FEF630"/>
    <w:rsid w:val="777F36B4"/>
    <w:rsid w:val="77A36419"/>
    <w:rsid w:val="788402E9"/>
    <w:rsid w:val="7964696D"/>
    <w:rsid w:val="7A965D40"/>
    <w:rsid w:val="7DA01C72"/>
    <w:rsid w:val="7E304413"/>
    <w:rsid w:val="7FF5E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200" w:line="276" w:lineRule="auto"/>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spacing w:line="240" w:lineRule="auto"/>
    </w:pPr>
    <w:rPr>
      <w:sz w:val="20"/>
      <w:szCs w:val="20"/>
    </w:rPr>
  </w:style>
  <w:style w:type="paragraph" w:styleId="a5">
    <w:name w:val="Balloon Text"/>
    <w:basedOn w:val="a"/>
    <w:link w:val="Char1"/>
    <w:qFormat/>
    <w:pPr>
      <w:spacing w:after="0" w:line="240" w:lineRule="auto"/>
    </w:pPr>
    <w:rPr>
      <w:rFonts w:ascii="Segoe UI" w:hAnsi="Segoe UI" w:cs="Segoe UI"/>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unhideWhenUsed/>
    <w:qFormat/>
    <w:pPr>
      <w:widowControl/>
      <w:spacing w:before="100" w:beforeAutospacing="1" w:after="100" w:afterAutospacing="1"/>
      <w:jc w:val="left"/>
    </w:pPr>
    <w:rPr>
      <w:rFonts w:eastAsia="Times New Roman"/>
      <w:kern w:val="0"/>
      <w:sz w:val="24"/>
    </w:rPr>
  </w:style>
  <w:style w:type="character" w:styleId="a9">
    <w:name w:val="Strong"/>
    <w:qFormat/>
    <w:rPr>
      <w:b/>
      <w:bCs/>
    </w:rPr>
  </w:style>
  <w:style w:type="character" w:styleId="aa">
    <w:name w:val="FollowedHyperlink"/>
    <w:basedOn w:val="a0"/>
    <w:qFormat/>
    <w:rPr>
      <w:color w:val="954F72" w:themeColor="followedHyperlink"/>
      <w:u w:val="single"/>
    </w:rPr>
  </w:style>
  <w:style w:type="character" w:styleId="ab">
    <w:name w:val="Hyperlink"/>
    <w:qFormat/>
    <w:rPr>
      <w:color w:val="0000FF"/>
      <w:u w:val="single"/>
    </w:rPr>
  </w:style>
  <w:style w:type="character" w:styleId="ac">
    <w:name w:val="annotation reference"/>
    <w:basedOn w:val="a0"/>
    <w:qFormat/>
    <w:rPr>
      <w:sz w:val="21"/>
      <w:szCs w:val="21"/>
    </w:rPr>
  </w:style>
  <w:style w:type="character" w:customStyle="1" w:styleId="fontstyle01">
    <w:name w:val="fontstyle01"/>
    <w:basedOn w:val="a0"/>
    <w:qFormat/>
    <w:rPr>
      <w:rFonts w:ascii="Helvetica" w:eastAsia="Helvetica" w:hAnsi="Helvetica" w:cs="Helvetica"/>
      <w:color w:val="000000"/>
      <w:sz w:val="22"/>
      <w:szCs w:val="22"/>
    </w:rPr>
  </w:style>
  <w:style w:type="paragraph" w:customStyle="1" w:styleId="ListParagraph1">
    <w:name w:val="List Paragraph1"/>
    <w:basedOn w:val="a"/>
    <w:uiPriority w:val="99"/>
    <w:qFormat/>
    <w:pPr>
      <w:ind w:left="720"/>
      <w:contextualSpacing/>
    </w:pPr>
  </w:style>
  <w:style w:type="table" w:customStyle="1" w:styleId="PlainTable21">
    <w:name w:val="Plain Table 21"/>
    <w:basedOn w:val="a1"/>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uiPriority w:val="99"/>
    <w:qFormat/>
    <w:rPr>
      <w:kern w:val="2"/>
      <w:lang w:eastAsia="zh-CN"/>
    </w:rPr>
  </w:style>
  <w:style w:type="character" w:customStyle="1" w:styleId="Char">
    <w:name w:val="批注主题 Char"/>
    <w:basedOn w:val="Char0"/>
    <w:link w:val="a3"/>
    <w:rPr>
      <w:b/>
      <w:bCs/>
      <w:kern w:val="2"/>
      <w:lang w:eastAsia="zh-CN"/>
    </w:rPr>
  </w:style>
  <w:style w:type="character" w:customStyle="1" w:styleId="Char1">
    <w:name w:val="批注框文本 Char"/>
    <w:basedOn w:val="a0"/>
    <w:link w:val="a5"/>
    <w:qFormat/>
    <w:rPr>
      <w:rFonts w:ascii="Segoe UI" w:hAnsi="Segoe UI" w:cs="Segoe UI"/>
      <w:kern w:val="2"/>
      <w:sz w:val="18"/>
      <w:szCs w:val="18"/>
      <w:lang w:eastAsia="zh-CN"/>
    </w:rPr>
  </w:style>
  <w:style w:type="table" w:customStyle="1" w:styleId="21">
    <w:name w:val="普通表格 21"/>
    <w:basedOn w:val="a1"/>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a0"/>
    <w:qFormat/>
    <w:rPr>
      <w:rFonts w:ascii="Book Antiqua" w:eastAsia="Book Antiqua" w:hAnsi="Book Antiqua" w:cs="Book Antiqua" w:hint="default"/>
      <w:i/>
      <w:color w:val="000000"/>
      <w:sz w:val="24"/>
      <w:szCs w:val="24"/>
    </w:rPr>
  </w:style>
  <w:style w:type="character" w:customStyle="1" w:styleId="fontstyle31">
    <w:name w:val="fontstyle31"/>
    <w:basedOn w:val="a0"/>
    <w:qFormat/>
    <w:rPr>
      <w:rFonts w:ascii="Book Antiqua" w:eastAsia="Book Antiqua" w:hAnsi="Book Antiqua" w:cs="Book Antiqua" w:hint="default"/>
      <w:color w:val="000000"/>
      <w:sz w:val="24"/>
      <w:szCs w:val="24"/>
    </w:rPr>
  </w:style>
  <w:style w:type="paragraph" w:customStyle="1" w:styleId="10">
    <w:name w:val="正文1"/>
    <w:uiPriority w:val="99"/>
    <w:qFormat/>
    <w:pPr>
      <w:spacing w:line="276" w:lineRule="auto"/>
    </w:pPr>
    <w:rPr>
      <w:rFonts w:ascii="Arial" w:hAnsi="Arial" w:cs="Arial"/>
      <w:color w:val="000000"/>
      <w:sz w:val="22"/>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200" w:line="276" w:lineRule="auto"/>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spacing w:line="240" w:lineRule="auto"/>
    </w:pPr>
    <w:rPr>
      <w:sz w:val="20"/>
      <w:szCs w:val="20"/>
    </w:rPr>
  </w:style>
  <w:style w:type="paragraph" w:styleId="a5">
    <w:name w:val="Balloon Text"/>
    <w:basedOn w:val="a"/>
    <w:link w:val="Char1"/>
    <w:qFormat/>
    <w:pPr>
      <w:spacing w:after="0" w:line="240" w:lineRule="auto"/>
    </w:pPr>
    <w:rPr>
      <w:rFonts w:ascii="Segoe UI" w:hAnsi="Segoe UI" w:cs="Segoe UI"/>
      <w:sz w:val="18"/>
      <w:szCs w:val="18"/>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unhideWhenUsed/>
    <w:qFormat/>
    <w:pPr>
      <w:widowControl/>
      <w:spacing w:before="100" w:beforeAutospacing="1" w:after="100" w:afterAutospacing="1"/>
      <w:jc w:val="left"/>
    </w:pPr>
    <w:rPr>
      <w:rFonts w:eastAsia="Times New Roman"/>
      <w:kern w:val="0"/>
      <w:sz w:val="24"/>
    </w:rPr>
  </w:style>
  <w:style w:type="character" w:styleId="a9">
    <w:name w:val="Strong"/>
    <w:qFormat/>
    <w:rPr>
      <w:b/>
      <w:bCs/>
    </w:rPr>
  </w:style>
  <w:style w:type="character" w:styleId="aa">
    <w:name w:val="FollowedHyperlink"/>
    <w:basedOn w:val="a0"/>
    <w:qFormat/>
    <w:rPr>
      <w:color w:val="954F72" w:themeColor="followedHyperlink"/>
      <w:u w:val="single"/>
    </w:rPr>
  </w:style>
  <w:style w:type="character" w:styleId="ab">
    <w:name w:val="Hyperlink"/>
    <w:qFormat/>
    <w:rPr>
      <w:color w:val="0000FF"/>
      <w:u w:val="single"/>
    </w:rPr>
  </w:style>
  <w:style w:type="character" w:styleId="ac">
    <w:name w:val="annotation reference"/>
    <w:basedOn w:val="a0"/>
    <w:qFormat/>
    <w:rPr>
      <w:sz w:val="21"/>
      <w:szCs w:val="21"/>
    </w:rPr>
  </w:style>
  <w:style w:type="character" w:customStyle="1" w:styleId="fontstyle01">
    <w:name w:val="fontstyle01"/>
    <w:basedOn w:val="a0"/>
    <w:qFormat/>
    <w:rPr>
      <w:rFonts w:ascii="Helvetica" w:eastAsia="Helvetica" w:hAnsi="Helvetica" w:cs="Helvetica"/>
      <w:color w:val="000000"/>
      <w:sz w:val="22"/>
      <w:szCs w:val="22"/>
    </w:rPr>
  </w:style>
  <w:style w:type="paragraph" w:customStyle="1" w:styleId="ListParagraph1">
    <w:name w:val="List Paragraph1"/>
    <w:basedOn w:val="a"/>
    <w:uiPriority w:val="99"/>
    <w:qFormat/>
    <w:pPr>
      <w:ind w:left="720"/>
      <w:contextualSpacing/>
    </w:pPr>
  </w:style>
  <w:style w:type="table" w:customStyle="1" w:styleId="PlainTable21">
    <w:name w:val="Plain Table 21"/>
    <w:basedOn w:val="a1"/>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
    <w:name w:val="网格型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uiPriority w:val="99"/>
    <w:qFormat/>
    <w:rPr>
      <w:kern w:val="2"/>
      <w:lang w:eastAsia="zh-CN"/>
    </w:rPr>
  </w:style>
  <w:style w:type="character" w:customStyle="1" w:styleId="Char">
    <w:name w:val="批注主题 Char"/>
    <w:basedOn w:val="Char0"/>
    <w:link w:val="a3"/>
    <w:rPr>
      <w:b/>
      <w:bCs/>
      <w:kern w:val="2"/>
      <w:lang w:eastAsia="zh-CN"/>
    </w:rPr>
  </w:style>
  <w:style w:type="character" w:customStyle="1" w:styleId="Char1">
    <w:name w:val="批注框文本 Char"/>
    <w:basedOn w:val="a0"/>
    <w:link w:val="a5"/>
    <w:qFormat/>
    <w:rPr>
      <w:rFonts w:ascii="Segoe UI" w:hAnsi="Segoe UI" w:cs="Segoe UI"/>
      <w:kern w:val="2"/>
      <w:sz w:val="18"/>
      <w:szCs w:val="18"/>
      <w:lang w:eastAsia="zh-CN"/>
    </w:rPr>
  </w:style>
  <w:style w:type="table" w:customStyle="1" w:styleId="21">
    <w:name w:val="普通表格 21"/>
    <w:basedOn w:val="a1"/>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21">
    <w:name w:val="fontstyle21"/>
    <w:basedOn w:val="a0"/>
    <w:qFormat/>
    <w:rPr>
      <w:rFonts w:ascii="Book Antiqua" w:eastAsia="Book Antiqua" w:hAnsi="Book Antiqua" w:cs="Book Antiqua" w:hint="default"/>
      <w:i/>
      <w:color w:val="000000"/>
      <w:sz w:val="24"/>
      <w:szCs w:val="24"/>
    </w:rPr>
  </w:style>
  <w:style w:type="character" w:customStyle="1" w:styleId="fontstyle31">
    <w:name w:val="fontstyle31"/>
    <w:basedOn w:val="a0"/>
    <w:qFormat/>
    <w:rPr>
      <w:rFonts w:ascii="Book Antiqua" w:eastAsia="Book Antiqua" w:hAnsi="Book Antiqua" w:cs="Book Antiqua" w:hint="default"/>
      <w:color w:val="000000"/>
      <w:sz w:val="24"/>
      <w:szCs w:val="24"/>
    </w:rPr>
  </w:style>
  <w:style w:type="paragraph" w:customStyle="1" w:styleId="10">
    <w:name w:val="正文1"/>
    <w:uiPriority w:val="99"/>
    <w:qFormat/>
    <w:pPr>
      <w:spacing w:line="276" w:lineRule="auto"/>
    </w:pPr>
    <w:rPr>
      <w:rFonts w:ascii="Arial"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5395</Words>
  <Characters>30753</Characters>
  <Application>Microsoft Office Word</Application>
  <DocSecurity>0</DocSecurity>
  <Lines>256</Lines>
  <Paragraphs>72</Paragraphs>
  <ScaleCrop>false</ScaleCrop>
  <Company/>
  <LinksUpToDate>false</LinksUpToDate>
  <CharactersWithSpaces>36076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张铮铭</dc:creator>
  <cp:lastModifiedBy>Shuai Ma</cp:lastModifiedBy>
  <cp:revision>12</cp:revision>
  <dcterms:created xsi:type="dcterms:W3CDTF">2019-01-17T11:18:00Z</dcterms:created>
  <dcterms:modified xsi:type="dcterms:W3CDTF">2019-01-29T11:14:00Z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2052-2.4.1.841</vt:lpwstr>
  </property>
  <property fmtid="{D5CDD505-2E9C-101B-9397-08002B2CF9AE}" pid="3" name="LastTick">
    <vt:r8>43390.9189583333</vt:r8>
  </property>
  <property fmtid="{D5CDD505-2E9C-101B-9397-08002B2CF9AE}" pid="4" name="EditTimer">
    <vt:i4>3825</vt:i4>
  </property>
  <property fmtid="{D5CDD505-2E9C-101B-9397-08002B2CF9AE}" pid="5" name="UseTimer">
    <vt:bool>true</vt:bool>
  </property>
</Properties>
</file>