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C8" w:rsidRPr="006B242D" w:rsidRDefault="006D12C8" w:rsidP="000B23E9">
      <w:pPr>
        <w:spacing w:line="360" w:lineRule="auto"/>
        <w:jc w:val="both"/>
        <w:outlineLvl w:val="0"/>
        <w:rPr>
          <w:rFonts w:ascii="Book Antiqua" w:eastAsia="Arial Unicode MS" w:hAnsi="Book Antiqua"/>
          <w:b/>
          <w:color w:val="000000"/>
          <w:sz w:val="24"/>
          <w:szCs w:val="24"/>
          <w:u w:color="000000"/>
          <w:lang w:eastAsia="zh-CN"/>
        </w:rPr>
      </w:pPr>
      <w:bookmarkStart w:id="0" w:name="_GoBack"/>
      <w:bookmarkEnd w:id="0"/>
      <w:r w:rsidRPr="006B242D">
        <w:rPr>
          <w:rFonts w:ascii="Book Antiqua" w:eastAsia="Arial Unicode MS" w:hAnsi="Book Antiqua"/>
          <w:b/>
          <w:color w:val="000000"/>
          <w:sz w:val="24"/>
          <w:szCs w:val="24"/>
          <w:u w:color="000000"/>
          <w:lang w:eastAsia="zh-CN"/>
        </w:rPr>
        <w:t xml:space="preserve">Name of Journal: </w:t>
      </w:r>
      <w:r w:rsidRPr="006B242D">
        <w:rPr>
          <w:rFonts w:ascii="Book Antiqua" w:eastAsia="Arial Unicode MS" w:hAnsi="Book Antiqua"/>
          <w:b/>
          <w:i/>
          <w:color w:val="000000"/>
          <w:sz w:val="24"/>
          <w:szCs w:val="24"/>
          <w:u w:color="000000"/>
          <w:lang w:eastAsia="zh-CN"/>
        </w:rPr>
        <w:t>World Journal of Gastroenterology</w:t>
      </w:r>
    </w:p>
    <w:p w:rsidR="006D12C8" w:rsidRPr="006B242D" w:rsidRDefault="006D12C8" w:rsidP="000B23E9">
      <w:pPr>
        <w:spacing w:line="360" w:lineRule="auto"/>
        <w:jc w:val="both"/>
        <w:outlineLvl w:val="0"/>
        <w:rPr>
          <w:rFonts w:ascii="Book Antiqua" w:eastAsia="Arial Unicode MS" w:hAnsi="Book Antiqua"/>
          <w:b/>
          <w:color w:val="000000"/>
          <w:sz w:val="24"/>
          <w:szCs w:val="24"/>
          <w:u w:color="000000"/>
          <w:lang w:eastAsia="zh-CN"/>
        </w:rPr>
      </w:pPr>
      <w:r w:rsidRPr="006B242D">
        <w:rPr>
          <w:rFonts w:ascii="Book Antiqua" w:eastAsia="Arial Unicode MS" w:hAnsi="Book Antiqua"/>
          <w:b/>
          <w:color w:val="000000"/>
          <w:sz w:val="24"/>
          <w:szCs w:val="24"/>
          <w:u w:color="000000"/>
          <w:lang w:eastAsia="zh-CN"/>
        </w:rPr>
        <w:t>Manuscript NO: 43062</w:t>
      </w:r>
    </w:p>
    <w:p w:rsidR="006D12C8" w:rsidRPr="006B242D" w:rsidRDefault="006D12C8" w:rsidP="000B23E9">
      <w:pPr>
        <w:spacing w:line="360" w:lineRule="auto"/>
        <w:jc w:val="both"/>
        <w:outlineLvl w:val="0"/>
        <w:rPr>
          <w:rFonts w:ascii="Book Antiqua" w:eastAsia="Arial Unicode MS" w:hAnsi="Book Antiqua"/>
          <w:b/>
          <w:i/>
          <w:color w:val="000000"/>
          <w:sz w:val="24"/>
          <w:szCs w:val="24"/>
          <w:u w:color="000000"/>
          <w:lang w:eastAsia="zh-CN"/>
        </w:rPr>
      </w:pPr>
      <w:bookmarkStart w:id="1" w:name="OLE_LINK3"/>
      <w:bookmarkStart w:id="2" w:name="OLE_LINK4"/>
      <w:r w:rsidRPr="006B242D">
        <w:rPr>
          <w:rFonts w:ascii="Book Antiqua" w:hAnsi="Book Antiqua"/>
          <w:b/>
          <w:color w:val="000000"/>
          <w:sz w:val="24"/>
          <w:szCs w:val="24"/>
          <w:shd w:val="clear" w:color="auto" w:fill="FFFFFF"/>
        </w:rPr>
        <w:t>Manuscript Type</w:t>
      </w:r>
      <w:bookmarkEnd w:id="1"/>
      <w:bookmarkEnd w:id="2"/>
      <w:r w:rsidRPr="006B242D">
        <w:rPr>
          <w:rFonts w:ascii="Book Antiqua" w:eastAsia="Arial Unicode MS" w:hAnsi="Book Antiqua"/>
          <w:b/>
          <w:color w:val="000000"/>
          <w:sz w:val="24"/>
          <w:szCs w:val="24"/>
          <w:u w:color="000000"/>
          <w:lang w:eastAsia="zh-CN"/>
        </w:rPr>
        <w:t>: ORIGINAL ARTICLE</w:t>
      </w:r>
    </w:p>
    <w:p w:rsidR="006D12C8" w:rsidRPr="006B242D" w:rsidRDefault="006D12C8" w:rsidP="000B23E9">
      <w:pPr>
        <w:spacing w:line="360" w:lineRule="auto"/>
        <w:jc w:val="both"/>
        <w:rPr>
          <w:rFonts w:ascii="Book Antiqua" w:hAnsi="Book Antiqua"/>
          <w:b/>
          <w:sz w:val="24"/>
          <w:szCs w:val="24"/>
          <w:lang w:val="en-GB" w:eastAsia="zh-CN"/>
        </w:rPr>
      </w:pPr>
    </w:p>
    <w:p w:rsidR="006D12C8" w:rsidRPr="006B242D" w:rsidRDefault="006D12C8" w:rsidP="000B23E9">
      <w:pPr>
        <w:spacing w:line="360" w:lineRule="auto"/>
        <w:jc w:val="both"/>
        <w:rPr>
          <w:rFonts w:ascii="Book Antiqua" w:hAnsi="Book Antiqua"/>
          <w:b/>
          <w:i/>
          <w:sz w:val="24"/>
          <w:szCs w:val="24"/>
          <w:lang w:val="en-GB" w:eastAsia="zh-CN"/>
        </w:rPr>
      </w:pPr>
      <w:r w:rsidRPr="006B242D">
        <w:rPr>
          <w:rFonts w:ascii="Book Antiqua" w:eastAsia="Arial Unicode MS" w:hAnsi="Book Antiqua"/>
          <w:b/>
          <w:i/>
          <w:color w:val="000000"/>
          <w:sz w:val="24"/>
          <w:szCs w:val="24"/>
          <w:u w:color="000000"/>
          <w:lang w:eastAsia="zh-CN"/>
        </w:rPr>
        <w:t>Prospective Study</w:t>
      </w:r>
    </w:p>
    <w:p w:rsidR="00B44D2A" w:rsidRPr="006B242D" w:rsidRDefault="00156C99" w:rsidP="000B23E9">
      <w:pPr>
        <w:spacing w:line="360" w:lineRule="auto"/>
        <w:jc w:val="both"/>
        <w:rPr>
          <w:rFonts w:ascii="Book Antiqua" w:hAnsi="Book Antiqua"/>
          <w:b/>
          <w:sz w:val="24"/>
          <w:szCs w:val="24"/>
          <w:lang w:val="en-GB"/>
        </w:rPr>
      </w:pPr>
      <w:r w:rsidRPr="006B242D">
        <w:rPr>
          <w:rFonts w:ascii="Book Antiqua" w:hAnsi="Book Antiqua"/>
          <w:b/>
          <w:sz w:val="24"/>
          <w:szCs w:val="24"/>
          <w:lang w:val="en-GB"/>
        </w:rPr>
        <w:t xml:space="preserve">Do </w:t>
      </w:r>
      <w:r w:rsidR="006D12C8" w:rsidRPr="006B242D">
        <w:rPr>
          <w:rFonts w:ascii="Book Antiqua" w:hAnsi="Book Antiqua"/>
          <w:b/>
          <w:sz w:val="24"/>
          <w:szCs w:val="24"/>
          <w:lang w:val="en-GB"/>
        </w:rPr>
        <w:t>patients</w:t>
      </w:r>
      <w:r w:rsidRPr="006B242D">
        <w:rPr>
          <w:rFonts w:ascii="Book Antiqua" w:hAnsi="Book Antiqua"/>
          <w:b/>
          <w:sz w:val="24"/>
          <w:szCs w:val="24"/>
          <w:lang w:val="en-GB"/>
        </w:rPr>
        <w:t xml:space="preserve"> with </w:t>
      </w:r>
      <w:r w:rsidR="00525216" w:rsidRPr="006B242D">
        <w:rPr>
          <w:rFonts w:ascii="Book Antiqua" w:hAnsi="Book Antiqua"/>
          <w:b/>
          <w:sz w:val="24"/>
          <w:szCs w:val="24"/>
          <w:lang w:val="en-GB"/>
        </w:rPr>
        <w:t>gastroesophageal reflux disease</w:t>
      </w:r>
      <w:r w:rsidR="00525216" w:rsidRPr="006B242D">
        <w:rPr>
          <w:rFonts w:ascii="Book Antiqua" w:hAnsi="Book Antiqua"/>
          <w:b/>
          <w:sz w:val="24"/>
          <w:szCs w:val="24"/>
          <w:lang w:val="en-GB" w:eastAsia="zh-CN"/>
        </w:rPr>
        <w:t xml:space="preserve"> </w:t>
      </w:r>
      <w:r w:rsidRPr="006B242D">
        <w:rPr>
          <w:rFonts w:ascii="Book Antiqua" w:hAnsi="Book Antiqua"/>
          <w:b/>
          <w:sz w:val="24"/>
          <w:szCs w:val="24"/>
          <w:lang w:val="en-GB"/>
        </w:rPr>
        <w:t xml:space="preserve">and </w:t>
      </w:r>
      <w:r w:rsidR="006D12C8" w:rsidRPr="006B242D">
        <w:rPr>
          <w:rFonts w:ascii="Book Antiqua" w:hAnsi="Book Antiqua"/>
          <w:b/>
          <w:sz w:val="24"/>
          <w:szCs w:val="24"/>
          <w:lang w:val="en-GB"/>
        </w:rPr>
        <w:t>somatoform tendencies benefit from antireflux surgery</w:t>
      </w:r>
      <w:r w:rsidRPr="006B242D">
        <w:rPr>
          <w:rFonts w:ascii="Book Antiqua" w:hAnsi="Book Antiqua"/>
          <w:b/>
          <w:sz w:val="24"/>
          <w:szCs w:val="24"/>
          <w:lang w:val="en-GB"/>
        </w:rPr>
        <w:t>?</w:t>
      </w:r>
    </w:p>
    <w:p w:rsidR="00020ADE" w:rsidRPr="006B242D" w:rsidRDefault="00020ADE" w:rsidP="000B23E9">
      <w:pPr>
        <w:spacing w:line="360" w:lineRule="auto"/>
        <w:jc w:val="both"/>
        <w:rPr>
          <w:rFonts w:ascii="Book Antiqua" w:hAnsi="Book Antiqua"/>
          <w:b/>
          <w:sz w:val="24"/>
          <w:szCs w:val="24"/>
          <w:lang w:val="en-GB"/>
        </w:rPr>
      </w:pPr>
    </w:p>
    <w:p w:rsidR="00020ADE" w:rsidRPr="006B242D" w:rsidRDefault="006D12C8" w:rsidP="000B23E9">
      <w:pPr>
        <w:spacing w:line="360" w:lineRule="auto"/>
        <w:jc w:val="both"/>
        <w:rPr>
          <w:rFonts w:ascii="Book Antiqua" w:hAnsi="Book Antiqua"/>
          <w:sz w:val="24"/>
          <w:szCs w:val="24"/>
          <w:lang w:val="en-US"/>
        </w:rPr>
      </w:pPr>
      <w:r w:rsidRPr="006B242D">
        <w:rPr>
          <w:rFonts w:ascii="Book Antiqua" w:hAnsi="Book Antiqua"/>
          <w:sz w:val="24"/>
          <w:szCs w:val="24"/>
          <w:lang w:val="en-US" w:eastAsia="zh-CN"/>
        </w:rPr>
        <w:t>Fuchs H</w:t>
      </w:r>
      <w:r w:rsidR="00BE7437" w:rsidRPr="006B242D">
        <w:rPr>
          <w:rFonts w:ascii="Book Antiqua" w:hAnsi="Book Antiqua"/>
          <w:sz w:val="24"/>
          <w:szCs w:val="24"/>
          <w:lang w:val="en-US" w:eastAsia="zh-CN"/>
        </w:rPr>
        <w:t>F</w:t>
      </w:r>
      <w:r w:rsidRPr="006B242D">
        <w:rPr>
          <w:rFonts w:ascii="Book Antiqua" w:hAnsi="Book Antiqua"/>
          <w:sz w:val="24"/>
          <w:szCs w:val="24"/>
          <w:lang w:val="en-US" w:eastAsia="zh-CN"/>
        </w:rPr>
        <w:t xml:space="preserve"> </w:t>
      </w:r>
      <w:r w:rsidRPr="006B242D">
        <w:rPr>
          <w:rFonts w:ascii="Book Antiqua" w:hAnsi="Book Antiqua"/>
          <w:i/>
          <w:sz w:val="24"/>
          <w:szCs w:val="24"/>
          <w:lang w:val="en-US" w:eastAsia="zh-CN"/>
        </w:rPr>
        <w:t>et al.</w:t>
      </w:r>
      <w:r w:rsidRPr="006B242D">
        <w:rPr>
          <w:rFonts w:ascii="Book Antiqua" w:hAnsi="Book Antiqua"/>
          <w:sz w:val="24"/>
          <w:szCs w:val="24"/>
          <w:lang w:val="en-US" w:eastAsia="zh-CN"/>
        </w:rPr>
        <w:t xml:space="preserve"> </w:t>
      </w:r>
      <w:r w:rsidRPr="006B242D">
        <w:rPr>
          <w:rFonts w:ascii="Book Antiqua" w:hAnsi="Book Antiqua"/>
          <w:sz w:val="24"/>
          <w:szCs w:val="24"/>
          <w:lang w:val="en-US"/>
        </w:rPr>
        <w:t>GERD and somatoform disorders</w:t>
      </w:r>
    </w:p>
    <w:p w:rsidR="006D12C8" w:rsidRPr="006B242D" w:rsidRDefault="006D12C8" w:rsidP="000B23E9">
      <w:pPr>
        <w:spacing w:line="360" w:lineRule="auto"/>
        <w:jc w:val="both"/>
        <w:rPr>
          <w:rFonts w:ascii="Book Antiqua" w:hAnsi="Book Antiqua"/>
          <w:b/>
          <w:sz w:val="24"/>
          <w:szCs w:val="24"/>
          <w:lang w:eastAsia="zh-CN"/>
        </w:rPr>
      </w:pPr>
    </w:p>
    <w:p w:rsidR="00156C99" w:rsidRPr="006B242D" w:rsidRDefault="00156C99" w:rsidP="000B23E9">
      <w:pPr>
        <w:spacing w:line="360" w:lineRule="auto"/>
        <w:jc w:val="both"/>
        <w:rPr>
          <w:rFonts w:ascii="Book Antiqua" w:hAnsi="Book Antiqua"/>
          <w:sz w:val="24"/>
          <w:szCs w:val="24"/>
          <w:lang w:eastAsia="zh-CN"/>
        </w:rPr>
      </w:pPr>
      <w:bookmarkStart w:id="3" w:name="OLE_LINK1"/>
      <w:bookmarkStart w:id="4" w:name="OLE_LINK2"/>
      <w:r w:rsidRPr="006B242D">
        <w:rPr>
          <w:rFonts w:ascii="Book Antiqua" w:hAnsi="Book Antiqua"/>
          <w:sz w:val="24"/>
          <w:szCs w:val="24"/>
        </w:rPr>
        <w:t>Han</w:t>
      </w:r>
      <w:r w:rsidR="00A20D9A" w:rsidRPr="006B242D">
        <w:rPr>
          <w:rFonts w:ascii="Book Antiqua" w:hAnsi="Book Antiqua"/>
          <w:sz w:val="24"/>
          <w:szCs w:val="24"/>
        </w:rPr>
        <w:t>s</w:t>
      </w:r>
      <w:r w:rsidR="00A20D9A" w:rsidRPr="006B242D">
        <w:rPr>
          <w:rFonts w:ascii="Book Antiqua" w:hAnsi="Book Antiqua"/>
          <w:sz w:val="24"/>
          <w:szCs w:val="24"/>
          <w:lang w:eastAsia="zh-CN"/>
        </w:rPr>
        <w:t xml:space="preserve"> </w:t>
      </w:r>
      <w:r w:rsidR="0014288C" w:rsidRPr="006B242D">
        <w:rPr>
          <w:rFonts w:ascii="Book Antiqua" w:hAnsi="Book Antiqua"/>
          <w:sz w:val="24"/>
          <w:szCs w:val="24"/>
          <w:lang w:val="en-US"/>
        </w:rPr>
        <w:t>Friedrich</w:t>
      </w:r>
      <w:r w:rsidR="0014288C" w:rsidRPr="006B242D">
        <w:rPr>
          <w:rFonts w:ascii="Book Antiqua" w:hAnsi="Book Antiqua"/>
          <w:sz w:val="24"/>
          <w:szCs w:val="24"/>
        </w:rPr>
        <w:t xml:space="preserve"> </w:t>
      </w:r>
      <w:r w:rsidRPr="006B242D">
        <w:rPr>
          <w:rFonts w:ascii="Book Antiqua" w:hAnsi="Book Antiqua"/>
          <w:sz w:val="24"/>
          <w:szCs w:val="24"/>
        </w:rPr>
        <w:t>Fuchs,</w:t>
      </w:r>
      <w:r w:rsidR="006309CC" w:rsidRPr="006B242D">
        <w:rPr>
          <w:rFonts w:ascii="Book Antiqua" w:hAnsi="Book Antiqua"/>
          <w:sz w:val="24"/>
          <w:szCs w:val="24"/>
        </w:rPr>
        <w:t xml:space="preserve"> Benjamin Babic, </w:t>
      </w:r>
      <w:r w:rsidR="00AE3A52" w:rsidRPr="006B242D">
        <w:rPr>
          <w:rFonts w:ascii="Book Antiqua" w:hAnsi="Book Antiqua"/>
          <w:sz w:val="24"/>
          <w:szCs w:val="24"/>
        </w:rPr>
        <w:t>Karl-Hermann Fuchs,</w:t>
      </w:r>
      <w:r w:rsidR="00C84487" w:rsidRPr="006B242D">
        <w:rPr>
          <w:rFonts w:ascii="Book Antiqua" w:hAnsi="Book Antiqua"/>
          <w:sz w:val="24"/>
          <w:szCs w:val="24"/>
        </w:rPr>
        <w:t xml:space="preserve"> </w:t>
      </w:r>
      <w:bookmarkStart w:id="5" w:name="OLE_LINK5"/>
      <w:bookmarkStart w:id="6" w:name="OLE_LINK6"/>
      <w:r w:rsidR="00C84487" w:rsidRPr="006B242D">
        <w:rPr>
          <w:rFonts w:ascii="Book Antiqua" w:hAnsi="Book Antiqua"/>
          <w:sz w:val="24"/>
          <w:szCs w:val="24"/>
        </w:rPr>
        <w:t>Wolfram Breithaupt</w:t>
      </w:r>
      <w:r w:rsidR="00AE3A52" w:rsidRPr="006B242D">
        <w:rPr>
          <w:rFonts w:ascii="Book Antiqua" w:hAnsi="Book Antiqua"/>
          <w:sz w:val="24"/>
          <w:szCs w:val="24"/>
          <w:lang w:val="en-US"/>
        </w:rPr>
        <w:t>,</w:t>
      </w:r>
      <w:r w:rsidR="00F908C0" w:rsidRPr="006B242D">
        <w:rPr>
          <w:rFonts w:ascii="Book Antiqua" w:hAnsi="Book Antiqua"/>
          <w:sz w:val="24"/>
          <w:szCs w:val="24"/>
          <w:lang w:val="en-US"/>
        </w:rPr>
        <w:t xml:space="preserve"> </w:t>
      </w:r>
      <w:r w:rsidR="008C6735" w:rsidRPr="006B242D">
        <w:rPr>
          <w:rFonts w:ascii="Book Antiqua" w:hAnsi="Book Antiqua"/>
          <w:sz w:val="24"/>
          <w:szCs w:val="24"/>
          <w:lang w:val="en-US"/>
        </w:rPr>
        <w:t>Gabor Varga</w:t>
      </w:r>
      <w:r w:rsidR="00C84487" w:rsidRPr="006B242D">
        <w:rPr>
          <w:rFonts w:ascii="Book Antiqua" w:hAnsi="Book Antiqua"/>
          <w:sz w:val="24"/>
          <w:szCs w:val="24"/>
          <w:lang w:val="en-US"/>
        </w:rPr>
        <w:t>,</w:t>
      </w:r>
      <w:bookmarkEnd w:id="5"/>
      <w:bookmarkEnd w:id="6"/>
      <w:r w:rsidR="00C84487" w:rsidRPr="006B242D">
        <w:rPr>
          <w:rFonts w:ascii="Book Antiqua" w:hAnsi="Book Antiqua"/>
          <w:sz w:val="24"/>
          <w:szCs w:val="24"/>
          <w:lang w:val="en-US"/>
        </w:rPr>
        <w:t xml:space="preserve"> </w:t>
      </w:r>
      <w:bookmarkStart w:id="7" w:name="OLE_LINK9"/>
      <w:bookmarkStart w:id="8" w:name="OLE_LINK10"/>
      <w:r w:rsidR="00C84487" w:rsidRPr="006B242D">
        <w:rPr>
          <w:rFonts w:ascii="Book Antiqua" w:hAnsi="Book Antiqua"/>
          <w:sz w:val="24"/>
          <w:szCs w:val="24"/>
          <w:lang w:val="en-US"/>
        </w:rPr>
        <w:t>F</w:t>
      </w:r>
      <w:r w:rsidRPr="006B242D">
        <w:rPr>
          <w:rFonts w:ascii="Book Antiqua" w:hAnsi="Book Antiqua"/>
          <w:sz w:val="24"/>
          <w:szCs w:val="24"/>
          <w:lang w:val="en-US"/>
        </w:rPr>
        <w:t>rauke Musial</w:t>
      </w:r>
    </w:p>
    <w:bookmarkEnd w:id="3"/>
    <w:bookmarkEnd w:id="4"/>
    <w:bookmarkEnd w:id="7"/>
    <w:bookmarkEnd w:id="8"/>
    <w:p w:rsidR="00A20D9A" w:rsidRPr="006B242D" w:rsidRDefault="00A20D9A" w:rsidP="000B23E9">
      <w:pPr>
        <w:spacing w:line="360" w:lineRule="auto"/>
        <w:jc w:val="both"/>
        <w:rPr>
          <w:rFonts w:ascii="Book Antiqua" w:hAnsi="Book Antiqua"/>
          <w:b/>
          <w:sz w:val="24"/>
          <w:szCs w:val="24"/>
          <w:lang w:val="en-US" w:eastAsia="zh-CN"/>
        </w:rPr>
      </w:pPr>
    </w:p>
    <w:p w:rsidR="00C84487" w:rsidRPr="006B242D" w:rsidRDefault="00A20D9A" w:rsidP="000B23E9">
      <w:pPr>
        <w:spacing w:line="360" w:lineRule="auto"/>
        <w:jc w:val="both"/>
        <w:rPr>
          <w:rFonts w:ascii="Book Antiqua" w:hAnsi="Book Antiqua"/>
          <w:sz w:val="24"/>
          <w:szCs w:val="24"/>
          <w:lang w:val="en-US"/>
        </w:rPr>
      </w:pPr>
      <w:r w:rsidRPr="006B242D">
        <w:rPr>
          <w:rFonts w:ascii="Book Antiqua" w:hAnsi="Book Antiqua"/>
          <w:b/>
          <w:sz w:val="24"/>
          <w:szCs w:val="24"/>
        </w:rPr>
        <w:t>Hans</w:t>
      </w:r>
      <w:r w:rsidRPr="006B242D">
        <w:rPr>
          <w:rFonts w:ascii="Book Antiqua" w:hAnsi="Book Antiqua"/>
          <w:b/>
          <w:sz w:val="24"/>
          <w:szCs w:val="24"/>
          <w:lang w:eastAsia="zh-CN"/>
        </w:rPr>
        <w:t xml:space="preserve"> </w:t>
      </w:r>
      <w:r w:rsidR="00BE7437" w:rsidRPr="006B242D">
        <w:rPr>
          <w:rFonts w:ascii="Book Antiqua" w:hAnsi="Book Antiqua"/>
          <w:b/>
          <w:sz w:val="24"/>
          <w:szCs w:val="24"/>
          <w:lang w:val="en-US"/>
        </w:rPr>
        <w:t>Friedrich</w:t>
      </w:r>
      <w:r w:rsidR="00BE7437" w:rsidRPr="006B242D">
        <w:rPr>
          <w:rFonts w:ascii="Book Antiqua" w:hAnsi="Book Antiqua"/>
          <w:b/>
          <w:sz w:val="24"/>
          <w:szCs w:val="24"/>
        </w:rPr>
        <w:t xml:space="preserve"> </w:t>
      </w:r>
      <w:r w:rsidRPr="006B242D">
        <w:rPr>
          <w:rFonts w:ascii="Book Antiqua" w:hAnsi="Book Antiqua"/>
          <w:b/>
          <w:sz w:val="24"/>
          <w:szCs w:val="24"/>
        </w:rPr>
        <w:t>Fuchs</w:t>
      </w:r>
      <w:r w:rsidRPr="006B242D">
        <w:rPr>
          <w:rFonts w:ascii="Book Antiqua" w:hAnsi="Book Antiqua"/>
          <w:sz w:val="24"/>
          <w:szCs w:val="24"/>
          <w:lang w:val="en-US" w:eastAsia="zh-CN"/>
        </w:rPr>
        <w:t xml:space="preserve">, </w:t>
      </w:r>
      <w:r w:rsidRPr="006B242D">
        <w:rPr>
          <w:rFonts w:ascii="Book Antiqua" w:hAnsi="Book Antiqua"/>
          <w:sz w:val="24"/>
          <w:szCs w:val="24"/>
          <w:lang w:val="en-US"/>
        </w:rPr>
        <w:t>Department of General Surgery</w:t>
      </w:r>
      <w:r w:rsidRPr="006B242D">
        <w:rPr>
          <w:rFonts w:ascii="Book Antiqua" w:hAnsi="Book Antiqua"/>
          <w:sz w:val="24"/>
          <w:szCs w:val="24"/>
          <w:lang w:val="en-US" w:eastAsia="zh-CN"/>
        </w:rPr>
        <w:t xml:space="preserve">, </w:t>
      </w:r>
      <w:r w:rsidR="00BE7437" w:rsidRPr="006B242D">
        <w:rPr>
          <w:rFonts w:ascii="Book Antiqua" w:hAnsi="Book Antiqua"/>
          <w:sz w:val="24"/>
          <w:szCs w:val="24"/>
          <w:lang w:val="en-US"/>
        </w:rPr>
        <w:t>University of Cologne</w:t>
      </w:r>
      <w:r w:rsidR="00C84487" w:rsidRPr="006B242D">
        <w:rPr>
          <w:rFonts w:ascii="Book Antiqua" w:hAnsi="Book Antiqua"/>
          <w:sz w:val="24"/>
          <w:szCs w:val="24"/>
          <w:lang w:val="en-US"/>
        </w:rPr>
        <w:t>, Cologne</w:t>
      </w:r>
      <w:r w:rsidR="006D12C8" w:rsidRPr="006B242D">
        <w:rPr>
          <w:rFonts w:ascii="Book Antiqua" w:hAnsi="Book Antiqua"/>
          <w:sz w:val="24"/>
          <w:szCs w:val="24"/>
          <w:lang w:val="en-US" w:eastAsia="zh-CN"/>
        </w:rPr>
        <w:t xml:space="preserve"> </w:t>
      </w:r>
      <w:r w:rsidR="005765AF" w:rsidRPr="006B242D">
        <w:rPr>
          <w:rFonts w:ascii="Book Antiqua" w:hAnsi="Book Antiqua"/>
          <w:sz w:val="24"/>
          <w:szCs w:val="24"/>
          <w:lang w:val="en-US" w:eastAsia="zh-CN"/>
        </w:rPr>
        <w:t>50937</w:t>
      </w:r>
      <w:r w:rsidR="00C84487" w:rsidRPr="006B242D">
        <w:rPr>
          <w:rFonts w:ascii="Book Antiqua" w:hAnsi="Book Antiqua"/>
          <w:sz w:val="24"/>
          <w:szCs w:val="24"/>
          <w:lang w:val="en-US"/>
        </w:rPr>
        <w:t>, Germany</w:t>
      </w:r>
    </w:p>
    <w:p w:rsidR="00A20D9A" w:rsidRPr="006B242D" w:rsidRDefault="00A20D9A" w:rsidP="000B23E9">
      <w:pPr>
        <w:spacing w:line="360" w:lineRule="auto"/>
        <w:jc w:val="both"/>
        <w:rPr>
          <w:rFonts w:ascii="Book Antiqua" w:hAnsi="Book Antiqua"/>
          <w:sz w:val="24"/>
          <w:szCs w:val="24"/>
          <w:vertAlign w:val="superscript"/>
          <w:lang w:val="en-US" w:eastAsia="zh-CN"/>
        </w:rPr>
      </w:pPr>
    </w:p>
    <w:p w:rsidR="00C84487" w:rsidRPr="006B242D" w:rsidRDefault="00A20D9A" w:rsidP="000B23E9">
      <w:pPr>
        <w:spacing w:line="360" w:lineRule="auto"/>
        <w:jc w:val="both"/>
        <w:rPr>
          <w:rFonts w:ascii="Book Antiqua" w:hAnsi="Book Antiqua"/>
          <w:sz w:val="24"/>
          <w:szCs w:val="24"/>
          <w:lang w:val="en-US" w:eastAsia="zh-CN"/>
        </w:rPr>
      </w:pPr>
      <w:r w:rsidRPr="006B242D">
        <w:rPr>
          <w:rFonts w:ascii="Book Antiqua" w:hAnsi="Book Antiqua"/>
          <w:b/>
          <w:sz w:val="24"/>
          <w:szCs w:val="24"/>
        </w:rPr>
        <w:t>Benjamin Babic</w:t>
      </w:r>
      <w:r w:rsidRPr="006B242D">
        <w:rPr>
          <w:rFonts w:ascii="Book Antiqua" w:hAnsi="Book Antiqua"/>
          <w:sz w:val="24"/>
          <w:szCs w:val="24"/>
          <w:lang w:eastAsia="zh-CN"/>
        </w:rPr>
        <w:t xml:space="preserve">, </w:t>
      </w:r>
      <w:r w:rsidRPr="006B242D">
        <w:rPr>
          <w:rFonts w:ascii="Book Antiqua" w:hAnsi="Book Antiqua"/>
          <w:sz w:val="24"/>
          <w:szCs w:val="24"/>
          <w:lang w:val="en-US"/>
        </w:rPr>
        <w:t>Department of General Surgery</w:t>
      </w:r>
      <w:r w:rsidRPr="006B242D">
        <w:rPr>
          <w:rFonts w:ascii="Book Antiqua" w:hAnsi="Book Antiqua"/>
          <w:sz w:val="24"/>
          <w:szCs w:val="24"/>
          <w:lang w:val="en-US" w:eastAsia="zh-CN"/>
        </w:rPr>
        <w:t xml:space="preserve">, </w:t>
      </w:r>
      <w:r w:rsidRPr="006B242D">
        <w:rPr>
          <w:rFonts w:ascii="Book Antiqua" w:hAnsi="Book Antiqua"/>
          <w:sz w:val="24"/>
          <w:szCs w:val="24"/>
          <w:lang w:val="en-US"/>
        </w:rPr>
        <w:t>University of Mainz,</w:t>
      </w:r>
      <w:r w:rsidR="00C84487" w:rsidRPr="006B242D">
        <w:rPr>
          <w:rFonts w:ascii="Book Antiqua" w:hAnsi="Book Antiqua"/>
          <w:sz w:val="24"/>
          <w:szCs w:val="24"/>
          <w:lang w:val="en-US"/>
        </w:rPr>
        <w:t xml:space="preserve"> Mainz</w:t>
      </w:r>
      <w:r w:rsidRPr="006B242D">
        <w:rPr>
          <w:rFonts w:ascii="Book Antiqua" w:hAnsi="Book Antiqua"/>
          <w:sz w:val="24"/>
          <w:szCs w:val="24"/>
          <w:lang w:val="en-US" w:eastAsia="zh-CN"/>
        </w:rPr>
        <w:t xml:space="preserve"> </w:t>
      </w:r>
      <w:r w:rsidRPr="006B242D">
        <w:rPr>
          <w:rFonts w:ascii="Book Antiqua" w:hAnsi="Book Antiqua"/>
          <w:sz w:val="24"/>
          <w:szCs w:val="24"/>
          <w:lang w:eastAsia="zh-CN"/>
        </w:rPr>
        <w:t>D-55131</w:t>
      </w:r>
      <w:r w:rsidR="00C84487" w:rsidRPr="006B242D">
        <w:rPr>
          <w:rFonts w:ascii="Book Antiqua" w:hAnsi="Book Antiqua"/>
          <w:sz w:val="24"/>
          <w:szCs w:val="24"/>
          <w:lang w:val="en-US"/>
        </w:rPr>
        <w:t>, Germany</w:t>
      </w:r>
    </w:p>
    <w:p w:rsidR="00A20D9A" w:rsidRPr="006B242D" w:rsidRDefault="00A20D9A" w:rsidP="000B23E9">
      <w:pPr>
        <w:spacing w:line="360" w:lineRule="auto"/>
        <w:jc w:val="both"/>
        <w:rPr>
          <w:rFonts w:ascii="Book Antiqua" w:hAnsi="Book Antiqua"/>
          <w:sz w:val="24"/>
          <w:szCs w:val="24"/>
          <w:lang w:val="en-US" w:eastAsia="zh-CN"/>
        </w:rPr>
      </w:pPr>
    </w:p>
    <w:p w:rsidR="00C84487" w:rsidRPr="006B242D" w:rsidRDefault="00A20D9A" w:rsidP="000B23E9">
      <w:pPr>
        <w:spacing w:line="360" w:lineRule="auto"/>
        <w:jc w:val="both"/>
        <w:rPr>
          <w:rFonts w:ascii="Book Antiqua" w:hAnsi="Book Antiqua"/>
          <w:sz w:val="24"/>
          <w:szCs w:val="24"/>
          <w:lang w:val="en-US" w:eastAsia="zh-CN"/>
        </w:rPr>
      </w:pPr>
      <w:r w:rsidRPr="006B242D">
        <w:rPr>
          <w:rFonts w:ascii="Book Antiqua" w:hAnsi="Book Antiqua"/>
          <w:b/>
          <w:sz w:val="24"/>
          <w:szCs w:val="24"/>
        </w:rPr>
        <w:t>Karl-Hermann Fuchs</w:t>
      </w:r>
      <w:r w:rsidRPr="006B242D">
        <w:rPr>
          <w:rFonts w:ascii="Book Antiqua" w:hAnsi="Book Antiqua"/>
          <w:b/>
          <w:sz w:val="24"/>
          <w:szCs w:val="24"/>
          <w:lang w:eastAsia="zh-CN"/>
        </w:rPr>
        <w:t>,</w:t>
      </w:r>
      <w:r w:rsidRPr="006B242D">
        <w:rPr>
          <w:rFonts w:ascii="Book Antiqua" w:hAnsi="Book Antiqua"/>
          <w:sz w:val="24"/>
          <w:szCs w:val="24"/>
          <w:lang w:val="en-US"/>
        </w:rPr>
        <w:t xml:space="preserve"> Department of Surgery</w:t>
      </w:r>
      <w:r w:rsidRPr="006B242D">
        <w:rPr>
          <w:rFonts w:ascii="Book Antiqua" w:hAnsi="Book Antiqua"/>
          <w:sz w:val="24"/>
          <w:szCs w:val="24"/>
          <w:lang w:val="en-US" w:eastAsia="zh-CN"/>
        </w:rPr>
        <w:t xml:space="preserve">, </w:t>
      </w:r>
      <w:r w:rsidR="00C84487" w:rsidRPr="006B242D">
        <w:rPr>
          <w:rFonts w:ascii="Book Antiqua" w:hAnsi="Book Antiqua"/>
          <w:sz w:val="24"/>
          <w:szCs w:val="24"/>
          <w:lang w:val="en-US"/>
        </w:rPr>
        <w:t>University of</w:t>
      </w:r>
      <w:r w:rsidRPr="006B242D">
        <w:rPr>
          <w:rFonts w:ascii="Book Antiqua" w:hAnsi="Book Antiqua"/>
          <w:sz w:val="24"/>
          <w:szCs w:val="24"/>
          <w:lang w:val="en-US"/>
        </w:rPr>
        <w:t xml:space="preserve"> California San Diego, La Jolla, CA</w:t>
      </w:r>
      <w:r w:rsidRPr="006B242D">
        <w:rPr>
          <w:rFonts w:ascii="Book Antiqua" w:hAnsi="Book Antiqua"/>
          <w:sz w:val="24"/>
          <w:szCs w:val="24"/>
          <w:lang w:val="en-US" w:eastAsia="zh-CN"/>
        </w:rPr>
        <w:t xml:space="preserve"> </w:t>
      </w:r>
      <w:r w:rsidR="00C84487" w:rsidRPr="006B242D">
        <w:rPr>
          <w:rFonts w:ascii="Book Antiqua" w:hAnsi="Book Antiqua"/>
          <w:sz w:val="24"/>
          <w:szCs w:val="24"/>
          <w:lang w:val="en-US"/>
        </w:rPr>
        <w:t xml:space="preserve">92093, </w:t>
      </w:r>
      <w:r w:rsidRPr="006B242D">
        <w:rPr>
          <w:rFonts w:ascii="Book Antiqua" w:hAnsi="Book Antiqua"/>
          <w:sz w:val="24"/>
          <w:szCs w:val="24"/>
          <w:lang w:val="en-US" w:eastAsia="zh-CN"/>
        </w:rPr>
        <w:t>United States</w:t>
      </w:r>
    </w:p>
    <w:p w:rsidR="00A20D9A" w:rsidRPr="006B242D" w:rsidRDefault="00A20D9A" w:rsidP="000B23E9">
      <w:pPr>
        <w:spacing w:line="360" w:lineRule="auto"/>
        <w:jc w:val="both"/>
        <w:rPr>
          <w:rFonts w:ascii="Book Antiqua" w:hAnsi="Book Antiqua"/>
          <w:sz w:val="24"/>
          <w:szCs w:val="24"/>
          <w:lang w:val="en-US" w:eastAsia="zh-CN"/>
        </w:rPr>
      </w:pPr>
    </w:p>
    <w:p w:rsidR="00A20D9A" w:rsidRPr="006B242D" w:rsidRDefault="00A20D9A" w:rsidP="000B23E9">
      <w:pPr>
        <w:spacing w:line="360" w:lineRule="auto"/>
        <w:jc w:val="both"/>
        <w:rPr>
          <w:rFonts w:ascii="Book Antiqua" w:hAnsi="Book Antiqua"/>
          <w:sz w:val="24"/>
          <w:szCs w:val="24"/>
          <w:lang w:val="en-US" w:eastAsia="zh-CN"/>
        </w:rPr>
      </w:pPr>
      <w:r w:rsidRPr="006B242D">
        <w:rPr>
          <w:rFonts w:ascii="Book Antiqua" w:hAnsi="Book Antiqua"/>
          <w:b/>
          <w:sz w:val="24"/>
          <w:szCs w:val="24"/>
        </w:rPr>
        <w:t>Wolfram Breithaupt</w:t>
      </w:r>
      <w:r w:rsidRPr="006B242D">
        <w:rPr>
          <w:rFonts w:ascii="Book Antiqua" w:hAnsi="Book Antiqua"/>
          <w:b/>
          <w:sz w:val="24"/>
          <w:szCs w:val="24"/>
          <w:lang w:val="en-US"/>
        </w:rPr>
        <w:t>, Gabor Varga,</w:t>
      </w:r>
      <w:r w:rsidRPr="006B242D">
        <w:rPr>
          <w:rFonts w:ascii="Book Antiqua" w:hAnsi="Book Antiqua"/>
          <w:b/>
          <w:sz w:val="24"/>
          <w:szCs w:val="24"/>
          <w:lang w:val="en-US" w:eastAsia="zh-CN"/>
        </w:rPr>
        <w:t xml:space="preserve"> </w:t>
      </w:r>
      <w:r w:rsidRPr="006B242D">
        <w:rPr>
          <w:rFonts w:ascii="Book Antiqua" w:hAnsi="Book Antiqua"/>
          <w:sz w:val="24"/>
          <w:szCs w:val="24"/>
          <w:lang w:val="en-US"/>
        </w:rPr>
        <w:t>Department of Surgery</w:t>
      </w:r>
      <w:r w:rsidRPr="006B242D">
        <w:rPr>
          <w:rFonts w:ascii="Book Antiqua" w:hAnsi="Book Antiqua"/>
          <w:sz w:val="24"/>
          <w:szCs w:val="24"/>
          <w:lang w:val="en-US" w:eastAsia="zh-CN"/>
        </w:rPr>
        <w:t xml:space="preserve">, </w:t>
      </w:r>
      <w:r w:rsidRPr="006B242D">
        <w:rPr>
          <w:rFonts w:ascii="Book Antiqua" w:hAnsi="Book Antiqua"/>
          <w:sz w:val="24"/>
          <w:szCs w:val="24"/>
          <w:lang w:eastAsia="zh-CN"/>
        </w:rPr>
        <w:t>Goethe University Frankfurt, Frankfurt am Main 60431, Germany</w:t>
      </w:r>
      <w:r w:rsidRPr="006B242D">
        <w:rPr>
          <w:rFonts w:ascii="Book Antiqua" w:hAnsi="Book Antiqua"/>
          <w:sz w:val="24"/>
          <w:szCs w:val="24"/>
          <w:lang w:val="en-US" w:eastAsia="zh-CN"/>
        </w:rPr>
        <w:t xml:space="preserve"> </w:t>
      </w:r>
    </w:p>
    <w:p w:rsidR="00A20D9A" w:rsidRPr="006B242D" w:rsidRDefault="00A20D9A" w:rsidP="000B23E9">
      <w:pPr>
        <w:spacing w:line="360" w:lineRule="auto"/>
        <w:jc w:val="both"/>
        <w:rPr>
          <w:rFonts w:ascii="Book Antiqua" w:hAnsi="Book Antiqua"/>
          <w:sz w:val="24"/>
          <w:szCs w:val="24"/>
          <w:lang w:val="en-US" w:eastAsia="zh-CN"/>
        </w:rPr>
      </w:pPr>
    </w:p>
    <w:p w:rsidR="00AE3A52" w:rsidRPr="006B242D" w:rsidRDefault="00A20D9A" w:rsidP="000B23E9">
      <w:pPr>
        <w:spacing w:line="360" w:lineRule="auto"/>
        <w:jc w:val="both"/>
        <w:rPr>
          <w:rFonts w:ascii="Book Antiqua" w:hAnsi="Book Antiqua"/>
          <w:b/>
          <w:sz w:val="24"/>
          <w:szCs w:val="24"/>
          <w:lang w:eastAsia="zh-CN"/>
        </w:rPr>
      </w:pPr>
      <w:r w:rsidRPr="006B242D">
        <w:rPr>
          <w:rFonts w:ascii="Book Antiqua" w:hAnsi="Book Antiqua"/>
          <w:b/>
          <w:sz w:val="24"/>
          <w:szCs w:val="24"/>
          <w:lang w:val="en-US"/>
        </w:rPr>
        <w:t>Frauke Musial</w:t>
      </w:r>
      <w:r w:rsidRPr="006B242D">
        <w:rPr>
          <w:rFonts w:ascii="Book Antiqua" w:hAnsi="Book Antiqua"/>
          <w:b/>
          <w:sz w:val="24"/>
          <w:szCs w:val="24"/>
          <w:lang w:eastAsia="zh-CN"/>
        </w:rPr>
        <w:t xml:space="preserve">, </w:t>
      </w:r>
      <w:r w:rsidRPr="006B242D">
        <w:rPr>
          <w:rFonts w:ascii="Book Antiqua" w:hAnsi="Book Antiqua"/>
          <w:sz w:val="24"/>
          <w:szCs w:val="24"/>
          <w:lang w:val="en-US"/>
        </w:rPr>
        <w:t>t</w:t>
      </w:r>
      <w:r w:rsidR="00AE3A52" w:rsidRPr="006B242D">
        <w:rPr>
          <w:rFonts w:ascii="Book Antiqua" w:hAnsi="Book Antiqua"/>
          <w:sz w:val="24"/>
          <w:szCs w:val="24"/>
          <w:lang w:val="en-US"/>
        </w:rPr>
        <w:t xml:space="preserve">he National Research Center in Complementary and Alternative Medicine, University </w:t>
      </w:r>
      <w:r w:rsidRPr="006B242D">
        <w:rPr>
          <w:rFonts w:ascii="Book Antiqua" w:hAnsi="Book Antiqua"/>
          <w:sz w:val="24"/>
          <w:szCs w:val="24"/>
          <w:lang w:val="en-US" w:eastAsia="zh-CN"/>
        </w:rPr>
        <w:t xml:space="preserve">of </w:t>
      </w:r>
      <w:r w:rsidRPr="006B242D">
        <w:rPr>
          <w:rFonts w:ascii="Book Antiqua" w:hAnsi="Book Antiqua"/>
          <w:sz w:val="24"/>
          <w:szCs w:val="24"/>
        </w:rPr>
        <w:t>Tromso</w:t>
      </w:r>
      <w:r w:rsidR="00AE3A52" w:rsidRPr="006B242D">
        <w:rPr>
          <w:rFonts w:ascii="Book Antiqua" w:hAnsi="Book Antiqua"/>
          <w:sz w:val="24"/>
          <w:szCs w:val="24"/>
          <w:lang w:val="en-US"/>
        </w:rPr>
        <w:t xml:space="preserve">, </w:t>
      </w:r>
      <w:r w:rsidRPr="006B242D">
        <w:rPr>
          <w:rFonts w:ascii="Book Antiqua" w:hAnsi="Book Antiqua"/>
          <w:sz w:val="24"/>
          <w:szCs w:val="24"/>
        </w:rPr>
        <w:t>Tromso N-9037</w:t>
      </w:r>
      <w:r w:rsidRPr="006B242D">
        <w:rPr>
          <w:rFonts w:ascii="Book Antiqua" w:hAnsi="Book Antiqua"/>
          <w:sz w:val="24"/>
          <w:szCs w:val="24"/>
          <w:lang w:eastAsia="zh-CN"/>
        </w:rPr>
        <w:t xml:space="preserve">, </w:t>
      </w:r>
      <w:r w:rsidR="00AE3A52" w:rsidRPr="006B242D">
        <w:rPr>
          <w:rFonts w:ascii="Book Antiqua" w:hAnsi="Book Antiqua"/>
          <w:sz w:val="24"/>
          <w:szCs w:val="24"/>
          <w:lang w:val="en-US"/>
        </w:rPr>
        <w:t>Norway</w:t>
      </w:r>
    </w:p>
    <w:p w:rsidR="00B44D2A" w:rsidRPr="006B242D" w:rsidRDefault="00B44D2A" w:rsidP="000B23E9">
      <w:pPr>
        <w:spacing w:line="360" w:lineRule="auto"/>
        <w:jc w:val="both"/>
        <w:rPr>
          <w:rFonts w:ascii="Book Antiqua" w:hAnsi="Book Antiqua"/>
          <w:sz w:val="24"/>
          <w:szCs w:val="24"/>
          <w:lang w:val="en-US" w:eastAsia="zh-CN"/>
        </w:rPr>
      </w:pPr>
    </w:p>
    <w:p w:rsidR="0014288C" w:rsidRPr="006B242D" w:rsidRDefault="0014288C" w:rsidP="000B23E9">
      <w:pPr>
        <w:spacing w:line="360" w:lineRule="auto"/>
        <w:jc w:val="both"/>
        <w:rPr>
          <w:rFonts w:ascii="Book Antiqua" w:hAnsi="Book Antiqua"/>
          <w:sz w:val="24"/>
          <w:szCs w:val="24"/>
          <w:lang w:eastAsia="zh-CN"/>
        </w:rPr>
      </w:pPr>
      <w:r w:rsidRPr="006B242D">
        <w:rPr>
          <w:rFonts w:ascii="Book Antiqua" w:hAnsi="Book Antiqua"/>
          <w:b/>
          <w:bCs/>
          <w:color w:val="333333"/>
          <w:sz w:val="24"/>
          <w:szCs w:val="24"/>
          <w:shd w:val="clear" w:color="auto" w:fill="FFFFFF"/>
        </w:rPr>
        <w:t>ORCID number</w:t>
      </w:r>
      <w:r w:rsidRPr="006B242D">
        <w:rPr>
          <w:rFonts w:ascii="Book Antiqua" w:hAnsi="Book Antiqua"/>
          <w:b/>
          <w:color w:val="000000"/>
          <w:sz w:val="24"/>
          <w:szCs w:val="24"/>
          <w:lang w:val="en-GB"/>
        </w:rPr>
        <w:t>:</w:t>
      </w:r>
      <w:r w:rsidRPr="006B242D">
        <w:rPr>
          <w:rFonts w:ascii="Book Antiqua" w:hAnsi="Book Antiqua"/>
          <w:b/>
          <w:color w:val="000000"/>
          <w:sz w:val="24"/>
          <w:szCs w:val="24"/>
          <w:lang w:val="en-GB" w:eastAsia="zh-CN"/>
        </w:rPr>
        <w:t xml:space="preserve"> </w:t>
      </w:r>
      <w:r w:rsidRPr="006B242D">
        <w:rPr>
          <w:rFonts w:ascii="Book Antiqua" w:hAnsi="Book Antiqua"/>
          <w:sz w:val="24"/>
          <w:szCs w:val="24"/>
        </w:rPr>
        <w:t>Hans</w:t>
      </w:r>
      <w:r w:rsidRPr="006B242D">
        <w:rPr>
          <w:rFonts w:ascii="Book Antiqua" w:hAnsi="Book Antiqua"/>
          <w:sz w:val="24"/>
          <w:szCs w:val="24"/>
          <w:lang w:eastAsia="zh-CN"/>
        </w:rPr>
        <w:t xml:space="preserve"> </w:t>
      </w:r>
      <w:r w:rsidR="00BE7437" w:rsidRPr="006B242D">
        <w:rPr>
          <w:rFonts w:ascii="Book Antiqua" w:hAnsi="Book Antiqua"/>
          <w:sz w:val="24"/>
          <w:szCs w:val="24"/>
          <w:lang w:val="en-US"/>
        </w:rPr>
        <w:t>Friedrich</w:t>
      </w:r>
      <w:r w:rsidR="00BE7437" w:rsidRPr="006B242D">
        <w:rPr>
          <w:rFonts w:ascii="Book Antiqua" w:hAnsi="Book Antiqua"/>
          <w:sz w:val="24"/>
          <w:szCs w:val="24"/>
        </w:rPr>
        <w:t xml:space="preserve"> </w:t>
      </w:r>
      <w:r w:rsidRPr="006B242D">
        <w:rPr>
          <w:rFonts w:ascii="Book Antiqua" w:hAnsi="Book Antiqua"/>
          <w:sz w:val="24"/>
          <w:szCs w:val="24"/>
        </w:rPr>
        <w:t>Fuchs</w:t>
      </w:r>
      <w:r w:rsidRPr="006B242D">
        <w:rPr>
          <w:rFonts w:ascii="Book Antiqua" w:hAnsi="Book Antiqua"/>
          <w:sz w:val="24"/>
          <w:szCs w:val="24"/>
          <w:lang w:eastAsia="zh-CN"/>
        </w:rPr>
        <w:t xml:space="preserve"> (</w:t>
      </w:r>
      <w:hyperlink r:id="rId8" w:tgtFrame="_blank" w:history="1">
        <w:r w:rsidRPr="006B242D">
          <w:rPr>
            <w:rStyle w:val="aa"/>
            <w:rFonts w:ascii="Book Antiqua" w:hAnsi="Book Antiqua"/>
            <w:color w:val="auto"/>
            <w:sz w:val="24"/>
            <w:szCs w:val="24"/>
            <w:u w:val="none"/>
            <w:lang w:eastAsia="zh-CN"/>
          </w:rPr>
          <w:t>0000-0003-4764-8050</w:t>
        </w:r>
      </w:hyperlink>
      <w:r w:rsidRPr="006B242D">
        <w:rPr>
          <w:rFonts w:ascii="Book Antiqua" w:hAnsi="Book Antiqua"/>
          <w:sz w:val="24"/>
          <w:szCs w:val="24"/>
          <w:lang w:eastAsia="zh-CN"/>
        </w:rPr>
        <w:t>);</w:t>
      </w:r>
      <w:r w:rsidRPr="006B242D">
        <w:rPr>
          <w:rFonts w:ascii="Book Antiqua" w:hAnsi="Book Antiqua"/>
          <w:sz w:val="24"/>
          <w:szCs w:val="24"/>
        </w:rPr>
        <w:t xml:space="preserve"> Benjamin Babic</w:t>
      </w:r>
      <w:r w:rsidRPr="006B242D">
        <w:rPr>
          <w:rFonts w:ascii="Book Antiqua" w:hAnsi="Book Antiqua"/>
          <w:sz w:val="24"/>
          <w:szCs w:val="24"/>
          <w:lang w:eastAsia="zh-CN"/>
        </w:rPr>
        <w:t xml:space="preserve"> (</w:t>
      </w:r>
      <w:hyperlink r:id="rId9" w:tgtFrame="_blank" w:history="1">
        <w:r w:rsidRPr="006B242D">
          <w:rPr>
            <w:rStyle w:val="aa"/>
            <w:rFonts w:ascii="Book Antiqua" w:hAnsi="Book Antiqua"/>
            <w:color w:val="auto"/>
            <w:sz w:val="24"/>
            <w:szCs w:val="24"/>
            <w:u w:val="none"/>
            <w:lang w:eastAsia="zh-CN"/>
          </w:rPr>
          <w:t>0000-0003-0313-6862</w:t>
        </w:r>
      </w:hyperlink>
      <w:r w:rsidRPr="006B242D">
        <w:rPr>
          <w:rFonts w:ascii="Book Antiqua" w:hAnsi="Book Antiqua"/>
          <w:sz w:val="24"/>
          <w:szCs w:val="24"/>
          <w:lang w:eastAsia="zh-CN"/>
        </w:rPr>
        <w:t>);</w:t>
      </w:r>
      <w:r w:rsidRPr="006B242D">
        <w:rPr>
          <w:rFonts w:ascii="Book Antiqua" w:hAnsi="Book Antiqua"/>
          <w:sz w:val="24"/>
          <w:szCs w:val="24"/>
        </w:rPr>
        <w:t xml:space="preserve"> Karl-Hermann Fuchs</w:t>
      </w:r>
      <w:r w:rsidRPr="006B242D">
        <w:rPr>
          <w:rFonts w:ascii="Book Antiqua" w:hAnsi="Book Antiqua"/>
          <w:sz w:val="24"/>
          <w:szCs w:val="24"/>
          <w:lang w:eastAsia="zh-CN"/>
        </w:rPr>
        <w:t xml:space="preserve"> (</w:t>
      </w:r>
      <w:hyperlink r:id="rId10" w:tgtFrame="_blank" w:history="1">
        <w:r w:rsidRPr="006B242D">
          <w:rPr>
            <w:rStyle w:val="aa"/>
            <w:rFonts w:ascii="Book Antiqua" w:hAnsi="Book Antiqua"/>
            <w:color w:val="auto"/>
            <w:sz w:val="24"/>
            <w:szCs w:val="24"/>
            <w:u w:val="none"/>
            <w:lang w:eastAsia="zh-CN"/>
          </w:rPr>
          <w:t>0000-0002-3951-7133</w:t>
        </w:r>
      </w:hyperlink>
      <w:r w:rsidRPr="006B242D">
        <w:rPr>
          <w:rFonts w:ascii="Book Antiqua" w:hAnsi="Book Antiqua"/>
          <w:sz w:val="24"/>
          <w:szCs w:val="24"/>
          <w:lang w:eastAsia="zh-CN"/>
        </w:rPr>
        <w:t>);</w:t>
      </w:r>
      <w:r w:rsidRPr="006B242D">
        <w:rPr>
          <w:rFonts w:ascii="Book Antiqua" w:hAnsi="Book Antiqua"/>
          <w:sz w:val="24"/>
          <w:szCs w:val="24"/>
        </w:rPr>
        <w:t xml:space="preserve"> Wolfram Breithaupt</w:t>
      </w:r>
      <w:r w:rsidRPr="006B242D">
        <w:rPr>
          <w:rFonts w:ascii="Book Antiqua" w:hAnsi="Book Antiqua"/>
          <w:sz w:val="24"/>
          <w:szCs w:val="24"/>
          <w:lang w:eastAsia="zh-CN"/>
        </w:rPr>
        <w:t xml:space="preserve"> (0000-0002-5831-4411)</w:t>
      </w:r>
      <w:r w:rsidRPr="006B242D">
        <w:rPr>
          <w:rFonts w:ascii="Book Antiqua" w:hAnsi="Book Antiqua"/>
          <w:sz w:val="24"/>
          <w:szCs w:val="24"/>
          <w:lang w:val="en-US" w:eastAsia="zh-CN"/>
        </w:rPr>
        <w:t>;</w:t>
      </w:r>
      <w:r w:rsidRPr="006B242D">
        <w:rPr>
          <w:rFonts w:ascii="Book Antiqua" w:hAnsi="Book Antiqua"/>
          <w:sz w:val="24"/>
          <w:szCs w:val="24"/>
          <w:lang w:val="en-US"/>
        </w:rPr>
        <w:t xml:space="preserve"> Gabor Varga</w:t>
      </w:r>
      <w:r w:rsidRPr="006B242D">
        <w:rPr>
          <w:rFonts w:ascii="Book Antiqua" w:hAnsi="Book Antiqua"/>
          <w:sz w:val="24"/>
          <w:szCs w:val="24"/>
          <w:lang w:val="en-US" w:eastAsia="zh-CN"/>
        </w:rPr>
        <w:t xml:space="preserve"> (</w:t>
      </w:r>
      <w:hyperlink r:id="rId11" w:tgtFrame="_blank" w:history="1">
        <w:r w:rsidRPr="006B242D">
          <w:rPr>
            <w:rStyle w:val="aa"/>
            <w:rFonts w:ascii="Book Antiqua" w:hAnsi="Book Antiqua"/>
            <w:color w:val="auto"/>
            <w:sz w:val="24"/>
            <w:szCs w:val="24"/>
            <w:u w:val="none"/>
            <w:lang w:eastAsia="zh-CN"/>
          </w:rPr>
          <w:t>0000-0002-0386-3659</w:t>
        </w:r>
      </w:hyperlink>
      <w:r w:rsidRPr="006B242D">
        <w:rPr>
          <w:rFonts w:ascii="Book Antiqua" w:hAnsi="Book Antiqua"/>
          <w:sz w:val="24"/>
          <w:szCs w:val="24"/>
          <w:lang w:val="en-US" w:eastAsia="zh-CN"/>
        </w:rPr>
        <w:t>);</w:t>
      </w:r>
      <w:r w:rsidRPr="006B242D">
        <w:rPr>
          <w:rFonts w:ascii="Book Antiqua" w:hAnsi="Book Antiqua"/>
          <w:sz w:val="24"/>
          <w:szCs w:val="24"/>
          <w:lang w:val="en-US"/>
        </w:rPr>
        <w:t xml:space="preserve"> Frauke Musial</w:t>
      </w:r>
      <w:r w:rsidRPr="006B242D">
        <w:rPr>
          <w:rFonts w:ascii="Book Antiqua" w:hAnsi="Book Antiqua"/>
          <w:sz w:val="24"/>
          <w:szCs w:val="24"/>
          <w:lang w:val="en-US" w:eastAsia="zh-CN"/>
        </w:rPr>
        <w:t xml:space="preserve"> (</w:t>
      </w:r>
      <w:hyperlink r:id="rId12" w:tgtFrame="_blank" w:history="1">
        <w:r w:rsidRPr="006B242D">
          <w:rPr>
            <w:rStyle w:val="aa"/>
            <w:rFonts w:ascii="Book Antiqua" w:hAnsi="Book Antiqua"/>
            <w:color w:val="auto"/>
            <w:sz w:val="24"/>
            <w:szCs w:val="24"/>
            <w:u w:val="none"/>
            <w:lang w:eastAsia="zh-CN"/>
          </w:rPr>
          <w:t>0000-0003-0074-343X</w:t>
        </w:r>
      </w:hyperlink>
      <w:r w:rsidRPr="006B242D">
        <w:rPr>
          <w:rFonts w:ascii="Book Antiqua" w:hAnsi="Book Antiqua"/>
          <w:sz w:val="24"/>
          <w:szCs w:val="24"/>
          <w:lang w:val="en-US" w:eastAsia="zh-CN"/>
        </w:rPr>
        <w:t>).</w:t>
      </w:r>
    </w:p>
    <w:p w:rsidR="0014288C" w:rsidRPr="006B242D" w:rsidRDefault="0014288C" w:rsidP="000B23E9">
      <w:pPr>
        <w:spacing w:line="360" w:lineRule="auto"/>
        <w:jc w:val="both"/>
        <w:rPr>
          <w:rFonts w:ascii="Book Antiqua" w:hAnsi="Book Antiqua"/>
          <w:sz w:val="24"/>
          <w:szCs w:val="24"/>
          <w:lang w:eastAsia="zh-CN"/>
        </w:rPr>
      </w:pPr>
    </w:p>
    <w:p w:rsidR="0014288C" w:rsidRPr="006B242D" w:rsidRDefault="0014288C" w:rsidP="000B23E9">
      <w:pPr>
        <w:spacing w:line="360" w:lineRule="auto"/>
        <w:jc w:val="both"/>
        <w:rPr>
          <w:rFonts w:ascii="Book Antiqua" w:hAnsi="Book Antiqua"/>
          <w:sz w:val="24"/>
          <w:szCs w:val="24"/>
          <w:lang w:val="en-GB"/>
        </w:rPr>
      </w:pPr>
      <w:r w:rsidRPr="006B242D">
        <w:rPr>
          <w:rFonts w:ascii="Book Antiqua" w:hAnsi="Book Antiqua" w:cs="Arial"/>
          <w:b/>
          <w:sz w:val="24"/>
          <w:szCs w:val="24"/>
        </w:rPr>
        <w:t>Author contributions</w:t>
      </w:r>
      <w:r w:rsidRPr="006B242D">
        <w:rPr>
          <w:rFonts w:ascii="Book Antiqua" w:hAnsi="Book Antiqua" w:cs="Arial"/>
          <w:b/>
          <w:sz w:val="24"/>
          <w:szCs w:val="24"/>
          <w:lang w:eastAsia="zh-CN"/>
        </w:rPr>
        <w:t xml:space="preserve">: </w:t>
      </w:r>
      <w:r w:rsidRPr="006B242D">
        <w:rPr>
          <w:rFonts w:ascii="Book Antiqua" w:hAnsi="Book Antiqua"/>
          <w:sz w:val="24"/>
          <w:szCs w:val="24"/>
        </w:rPr>
        <w:t>Fuchs</w:t>
      </w:r>
      <w:r w:rsidRPr="006B242D">
        <w:rPr>
          <w:rFonts w:ascii="Book Antiqua" w:hAnsi="Book Antiqua"/>
          <w:sz w:val="24"/>
          <w:szCs w:val="24"/>
          <w:lang w:eastAsia="zh-CN"/>
        </w:rPr>
        <w:t xml:space="preserve"> H</w:t>
      </w:r>
      <w:r w:rsidR="00BE7437" w:rsidRPr="006B242D">
        <w:rPr>
          <w:rFonts w:ascii="Book Antiqua" w:hAnsi="Book Antiqua"/>
          <w:sz w:val="24"/>
          <w:szCs w:val="24"/>
          <w:lang w:eastAsia="zh-CN"/>
        </w:rPr>
        <w:t>F</w:t>
      </w:r>
      <w:r w:rsidRPr="006B242D">
        <w:rPr>
          <w:rFonts w:ascii="Book Antiqua" w:hAnsi="Book Antiqua"/>
          <w:sz w:val="24"/>
          <w:szCs w:val="24"/>
          <w:lang w:val="en-GB"/>
        </w:rPr>
        <w:t xml:space="preserve">, </w:t>
      </w:r>
      <w:r w:rsidRPr="006B242D">
        <w:rPr>
          <w:rFonts w:ascii="Book Antiqua" w:hAnsi="Book Antiqua"/>
          <w:sz w:val="24"/>
          <w:szCs w:val="24"/>
        </w:rPr>
        <w:t>Fuchs</w:t>
      </w:r>
      <w:r w:rsidRPr="006B242D">
        <w:rPr>
          <w:rFonts w:ascii="Book Antiqua" w:hAnsi="Book Antiqua"/>
          <w:sz w:val="24"/>
          <w:szCs w:val="24"/>
          <w:lang w:val="en-GB"/>
        </w:rPr>
        <w:t xml:space="preserve"> KH, </w:t>
      </w:r>
      <w:r w:rsidRPr="006B242D">
        <w:rPr>
          <w:rFonts w:ascii="Book Antiqua" w:hAnsi="Book Antiqua"/>
          <w:sz w:val="24"/>
          <w:szCs w:val="24"/>
          <w:lang w:val="en-US"/>
        </w:rPr>
        <w:t>Musial</w:t>
      </w:r>
      <w:r w:rsidRPr="006B242D">
        <w:rPr>
          <w:rFonts w:ascii="Book Antiqua" w:hAnsi="Book Antiqua"/>
          <w:sz w:val="24"/>
          <w:szCs w:val="24"/>
          <w:lang w:val="en-GB"/>
        </w:rPr>
        <w:t xml:space="preserve"> F, </w:t>
      </w:r>
      <w:r w:rsidRPr="006B242D">
        <w:rPr>
          <w:rFonts w:ascii="Book Antiqua" w:hAnsi="Book Antiqua"/>
          <w:sz w:val="24"/>
          <w:szCs w:val="24"/>
        </w:rPr>
        <w:t>Breithaupt</w:t>
      </w:r>
      <w:r w:rsidRPr="006B242D">
        <w:rPr>
          <w:rFonts w:ascii="Book Antiqua" w:hAnsi="Book Antiqua"/>
          <w:sz w:val="24"/>
          <w:szCs w:val="24"/>
          <w:lang w:val="en-GB"/>
        </w:rPr>
        <w:t xml:space="preserve"> W and </w:t>
      </w:r>
      <w:r w:rsidRPr="006B242D">
        <w:rPr>
          <w:rFonts w:ascii="Book Antiqua" w:hAnsi="Book Antiqua"/>
          <w:sz w:val="24"/>
          <w:szCs w:val="24"/>
          <w:lang w:val="en-US"/>
        </w:rPr>
        <w:t>Varga</w:t>
      </w:r>
      <w:r w:rsidRPr="006B242D">
        <w:rPr>
          <w:rFonts w:ascii="Book Antiqua" w:hAnsi="Book Antiqua"/>
          <w:sz w:val="24"/>
          <w:szCs w:val="24"/>
          <w:lang w:val="en-GB"/>
        </w:rPr>
        <w:t xml:space="preserve"> G had substantial contributions in the study concept and design, the revision and drafting of the manuscript, analysis and interpretation of the data and statistical analysis</w:t>
      </w:r>
      <w:r w:rsidRPr="006B242D">
        <w:rPr>
          <w:rFonts w:ascii="Book Antiqua" w:hAnsi="Book Antiqua"/>
          <w:sz w:val="24"/>
          <w:szCs w:val="24"/>
          <w:lang w:val="en-GB" w:eastAsia="zh-CN"/>
        </w:rPr>
        <w:t>;</w:t>
      </w:r>
      <w:r w:rsidRPr="006B242D">
        <w:rPr>
          <w:rFonts w:ascii="Book Antiqua" w:hAnsi="Book Antiqua"/>
          <w:sz w:val="24"/>
          <w:szCs w:val="24"/>
          <w:lang w:val="en-GB"/>
        </w:rPr>
        <w:t xml:space="preserve"> </w:t>
      </w:r>
      <w:r w:rsidRPr="006B242D">
        <w:rPr>
          <w:rFonts w:ascii="Book Antiqua" w:hAnsi="Book Antiqua"/>
          <w:sz w:val="24"/>
          <w:szCs w:val="24"/>
        </w:rPr>
        <w:t>Fuchs</w:t>
      </w:r>
      <w:r w:rsidRPr="006B242D">
        <w:rPr>
          <w:rFonts w:ascii="Book Antiqua" w:hAnsi="Book Antiqua"/>
          <w:sz w:val="24"/>
          <w:szCs w:val="24"/>
          <w:lang w:eastAsia="zh-CN"/>
        </w:rPr>
        <w:t xml:space="preserve"> H</w:t>
      </w:r>
      <w:r w:rsidR="00BE7437" w:rsidRPr="006B242D">
        <w:rPr>
          <w:rFonts w:ascii="Book Antiqua" w:hAnsi="Book Antiqua"/>
          <w:sz w:val="24"/>
          <w:szCs w:val="24"/>
          <w:lang w:eastAsia="zh-CN"/>
        </w:rPr>
        <w:t>F</w:t>
      </w:r>
      <w:r w:rsidRPr="006B242D">
        <w:rPr>
          <w:rFonts w:ascii="Book Antiqua" w:hAnsi="Book Antiqua"/>
          <w:sz w:val="24"/>
          <w:szCs w:val="24"/>
          <w:lang w:val="en-GB"/>
        </w:rPr>
        <w:t xml:space="preserve"> and </w:t>
      </w:r>
      <w:r w:rsidRPr="006B242D">
        <w:rPr>
          <w:rFonts w:ascii="Book Antiqua" w:hAnsi="Book Antiqua"/>
          <w:sz w:val="24"/>
          <w:szCs w:val="24"/>
        </w:rPr>
        <w:t>Babic</w:t>
      </w:r>
      <w:r w:rsidRPr="006B242D">
        <w:rPr>
          <w:rFonts w:ascii="Book Antiqua" w:hAnsi="Book Antiqua"/>
          <w:sz w:val="24"/>
          <w:szCs w:val="24"/>
          <w:lang w:val="en-GB"/>
        </w:rPr>
        <w:t xml:space="preserve"> B had substantial contributions in the acquisition of the data, analysis and interpretation of data</w:t>
      </w:r>
      <w:r w:rsidRPr="006B242D">
        <w:rPr>
          <w:rFonts w:ascii="Book Antiqua" w:hAnsi="Book Antiqua"/>
          <w:sz w:val="24"/>
          <w:szCs w:val="24"/>
          <w:lang w:val="en-GB" w:eastAsia="zh-CN"/>
        </w:rPr>
        <w:t>;</w:t>
      </w:r>
      <w:r w:rsidRPr="006B242D">
        <w:rPr>
          <w:rFonts w:ascii="Book Antiqua" w:hAnsi="Book Antiqua"/>
          <w:sz w:val="24"/>
          <w:szCs w:val="24"/>
          <w:lang w:val="en-GB"/>
        </w:rPr>
        <w:t xml:space="preserve"> all authors had substantial contribution in the drafting of the manuscript, revising of the manuscript and the final approval of the manuscript to be published</w:t>
      </w:r>
      <w:r w:rsidRPr="006B242D">
        <w:rPr>
          <w:rFonts w:ascii="Book Antiqua" w:hAnsi="Book Antiqua"/>
          <w:sz w:val="24"/>
          <w:szCs w:val="24"/>
          <w:lang w:val="en-GB" w:eastAsia="zh-CN"/>
        </w:rPr>
        <w:t>;</w:t>
      </w:r>
      <w:r w:rsidRPr="006B242D">
        <w:rPr>
          <w:rFonts w:ascii="Book Antiqua" w:hAnsi="Book Antiqua"/>
          <w:sz w:val="24"/>
          <w:szCs w:val="24"/>
          <w:lang w:val="en-GB"/>
        </w:rPr>
        <w:t xml:space="preserve"> all authors agree to be accountable for all aspects of the work and ensuring its accuracy and its integrity.</w:t>
      </w:r>
    </w:p>
    <w:p w:rsidR="0014288C" w:rsidRPr="006B242D" w:rsidRDefault="0014288C" w:rsidP="000B23E9">
      <w:pPr>
        <w:spacing w:line="360" w:lineRule="auto"/>
        <w:jc w:val="both"/>
        <w:rPr>
          <w:rFonts w:ascii="Book Antiqua" w:hAnsi="Book Antiqua" w:cs="Arial"/>
          <w:b/>
          <w:sz w:val="24"/>
          <w:szCs w:val="24"/>
          <w:lang w:val="en-GB" w:eastAsia="zh-CN"/>
        </w:rPr>
      </w:pPr>
    </w:p>
    <w:p w:rsidR="0014288C" w:rsidRPr="006B242D" w:rsidRDefault="0014288C" w:rsidP="000B23E9">
      <w:pPr>
        <w:spacing w:line="360" w:lineRule="auto"/>
        <w:jc w:val="both"/>
        <w:rPr>
          <w:rFonts w:ascii="Book Antiqua" w:hAnsi="Book Antiqua"/>
          <w:sz w:val="24"/>
          <w:szCs w:val="24"/>
          <w:lang w:val="en-GB" w:eastAsia="zh-CN"/>
        </w:rPr>
      </w:pPr>
      <w:r w:rsidRPr="006B242D">
        <w:rPr>
          <w:rFonts w:ascii="Book Antiqua" w:hAnsi="Book Antiqua"/>
          <w:b/>
          <w:color w:val="000000"/>
          <w:sz w:val="24"/>
          <w:szCs w:val="24"/>
        </w:rPr>
        <w:t>Institutional review board statement:</w:t>
      </w:r>
      <w:r w:rsidRPr="006B242D">
        <w:rPr>
          <w:rFonts w:ascii="Book Antiqua" w:eastAsia="Times New Roman" w:hAnsi="Book Antiqua" w:cs="TimesNewRomanPS-BoldItalicMT"/>
          <w:bCs/>
          <w:iCs/>
          <w:sz w:val="24"/>
          <w:szCs w:val="24"/>
        </w:rPr>
        <w:t xml:space="preserve"> The study was reviewed and approved by the Markus Hospital Institutional Review Board</w:t>
      </w:r>
      <w:r w:rsidR="004048DE" w:rsidRPr="006B242D">
        <w:rPr>
          <w:rFonts w:ascii="Book Antiqua" w:hAnsi="Book Antiqua" w:cs="TimesNewRomanPS-BoldItalicMT"/>
          <w:bCs/>
          <w:iCs/>
          <w:sz w:val="24"/>
          <w:szCs w:val="24"/>
          <w:lang w:eastAsia="zh-CN"/>
        </w:rPr>
        <w:t>.</w:t>
      </w:r>
    </w:p>
    <w:p w:rsidR="0014288C" w:rsidRPr="006B242D" w:rsidRDefault="0014288C" w:rsidP="000B23E9">
      <w:pPr>
        <w:spacing w:line="360" w:lineRule="auto"/>
        <w:jc w:val="both"/>
        <w:rPr>
          <w:rFonts w:ascii="Book Antiqua" w:hAnsi="Book Antiqua"/>
          <w:sz w:val="24"/>
          <w:szCs w:val="24"/>
          <w:lang w:val="en-GB" w:eastAsia="zh-CN"/>
        </w:rPr>
      </w:pPr>
    </w:p>
    <w:p w:rsidR="0014288C" w:rsidRPr="006B242D" w:rsidRDefault="0014288C" w:rsidP="000B23E9">
      <w:pPr>
        <w:spacing w:line="360" w:lineRule="auto"/>
        <w:jc w:val="both"/>
        <w:rPr>
          <w:rFonts w:ascii="Book Antiqua" w:hAnsi="Book Antiqua"/>
          <w:b/>
          <w:bCs/>
          <w:iCs/>
          <w:color w:val="000000"/>
          <w:sz w:val="24"/>
          <w:szCs w:val="24"/>
          <w:lang w:eastAsia="zh-CN"/>
        </w:rPr>
      </w:pPr>
      <w:r w:rsidRPr="006B242D">
        <w:rPr>
          <w:rFonts w:ascii="Book Antiqua" w:hAnsi="Book Antiqua"/>
          <w:b/>
          <w:color w:val="000000"/>
          <w:sz w:val="24"/>
          <w:szCs w:val="24"/>
        </w:rPr>
        <w:t>Informed consent statement</w:t>
      </w:r>
      <w:r w:rsidRPr="006B242D">
        <w:rPr>
          <w:rFonts w:ascii="Book Antiqua" w:hAnsi="Book Antiqua"/>
          <w:b/>
          <w:bCs/>
          <w:iCs/>
          <w:color w:val="000000"/>
          <w:sz w:val="24"/>
          <w:szCs w:val="24"/>
          <w:lang w:eastAsia="zh-CN"/>
        </w:rPr>
        <w:t xml:space="preserve">: </w:t>
      </w:r>
      <w:r w:rsidRPr="006B242D">
        <w:rPr>
          <w:rFonts w:ascii="Book Antiqua" w:hAnsi="Book Antiqua"/>
          <w:bCs/>
          <w:iCs/>
          <w:color w:val="000000"/>
          <w:sz w:val="24"/>
          <w:szCs w:val="24"/>
          <w:lang w:eastAsia="zh-CN"/>
        </w:rPr>
        <w:t>All involved patients gave their informed consent prior to study inclusion.</w:t>
      </w:r>
      <w:r w:rsidRPr="006B242D">
        <w:rPr>
          <w:rFonts w:ascii="Book Antiqua" w:hAnsi="Book Antiqua"/>
          <w:b/>
          <w:bCs/>
          <w:iCs/>
          <w:color w:val="000000"/>
          <w:sz w:val="24"/>
          <w:szCs w:val="24"/>
          <w:lang w:eastAsia="zh-CN"/>
        </w:rPr>
        <w:t xml:space="preserve"> </w:t>
      </w:r>
    </w:p>
    <w:p w:rsidR="0014288C" w:rsidRPr="006B242D" w:rsidRDefault="0014288C" w:rsidP="000B23E9">
      <w:pPr>
        <w:spacing w:line="360" w:lineRule="auto"/>
        <w:jc w:val="both"/>
        <w:rPr>
          <w:rFonts w:ascii="Book Antiqua" w:hAnsi="Book Antiqua"/>
          <w:sz w:val="24"/>
          <w:szCs w:val="24"/>
          <w:lang w:val="en-GB" w:eastAsia="zh-CN"/>
        </w:rPr>
      </w:pPr>
    </w:p>
    <w:p w:rsidR="0014288C" w:rsidRPr="006B242D" w:rsidRDefault="0014288C" w:rsidP="000B23E9">
      <w:pPr>
        <w:spacing w:line="360" w:lineRule="auto"/>
        <w:jc w:val="both"/>
        <w:rPr>
          <w:rFonts w:ascii="Book Antiqua" w:hAnsi="Book Antiqua"/>
          <w:sz w:val="24"/>
          <w:szCs w:val="24"/>
          <w:lang w:val="en-GB"/>
        </w:rPr>
      </w:pPr>
      <w:r w:rsidRPr="006B242D">
        <w:rPr>
          <w:rFonts w:ascii="Book Antiqua" w:hAnsi="Book Antiqua" w:cs="Arial"/>
          <w:b/>
          <w:sz w:val="24"/>
          <w:szCs w:val="24"/>
          <w:lang w:eastAsia="zh-CN"/>
        </w:rPr>
        <w:t xml:space="preserve">Conflict-of-interest statement: </w:t>
      </w:r>
      <w:r w:rsidRPr="006B242D">
        <w:rPr>
          <w:rFonts w:ascii="Book Antiqua" w:hAnsi="Book Antiqua"/>
          <w:sz w:val="24"/>
          <w:szCs w:val="24"/>
          <w:lang w:val="en-GB"/>
        </w:rPr>
        <w:t>The authors do not have any conflicts of interest.</w:t>
      </w:r>
    </w:p>
    <w:p w:rsidR="0014288C" w:rsidRPr="006B242D" w:rsidRDefault="0014288C" w:rsidP="000B23E9">
      <w:pPr>
        <w:spacing w:line="360" w:lineRule="auto"/>
        <w:jc w:val="both"/>
        <w:rPr>
          <w:rFonts w:ascii="Book Antiqua" w:hAnsi="Book Antiqua"/>
          <w:sz w:val="24"/>
          <w:szCs w:val="24"/>
          <w:lang w:val="en-GB" w:eastAsia="zh-CN"/>
        </w:rPr>
      </w:pPr>
    </w:p>
    <w:p w:rsidR="0014288C" w:rsidRPr="006B242D" w:rsidRDefault="0014288C" w:rsidP="000B23E9">
      <w:pPr>
        <w:pStyle w:val="af1"/>
        <w:spacing w:before="0" w:beforeAutospacing="0" w:after="0" w:afterAutospacing="0" w:line="360" w:lineRule="auto"/>
        <w:jc w:val="both"/>
        <w:rPr>
          <w:rFonts w:ascii="Book Antiqua" w:hAnsi="Book Antiqua" w:cs="Garamond-Bold"/>
          <w:bCs/>
          <w:color w:val="000000"/>
          <w:sz w:val="24"/>
          <w:szCs w:val="24"/>
        </w:rPr>
      </w:pPr>
      <w:r w:rsidRPr="006B242D">
        <w:rPr>
          <w:rFonts w:ascii="Book Antiqua" w:hAnsi="Book Antiqua" w:cs="Garamond-Bold"/>
          <w:b/>
          <w:bCs/>
          <w:color w:val="000000"/>
          <w:sz w:val="24"/>
          <w:szCs w:val="24"/>
        </w:rPr>
        <w:t>CONSORT 2010 Statement</w:t>
      </w:r>
      <w:r w:rsidRPr="006B242D">
        <w:rPr>
          <w:rFonts w:ascii="Book Antiqua" w:eastAsia="宋体" w:hAnsi="Book Antiqua" w:cs="Garamond-Bold"/>
          <w:b/>
          <w:bCs/>
          <w:color w:val="000000"/>
          <w:sz w:val="24"/>
          <w:szCs w:val="24"/>
          <w:lang w:eastAsia="zh-CN"/>
        </w:rPr>
        <w:t xml:space="preserve">: </w:t>
      </w:r>
      <w:r w:rsidRPr="006B242D">
        <w:rPr>
          <w:rFonts w:ascii="Book Antiqua" w:hAnsi="Book Antiqua" w:cs="Garamond"/>
          <w:color w:val="000000"/>
          <w:sz w:val="24"/>
          <w:szCs w:val="24"/>
        </w:rPr>
        <w:t>The authors have read the CONSORT 2010 Statement, and the manuscript was prepared and revised according to the CONSORT 2010 Statement.</w:t>
      </w:r>
    </w:p>
    <w:p w:rsidR="0014288C" w:rsidRPr="006B242D" w:rsidRDefault="0014288C" w:rsidP="000B23E9">
      <w:pPr>
        <w:spacing w:line="360" w:lineRule="auto"/>
        <w:jc w:val="both"/>
        <w:rPr>
          <w:rFonts w:ascii="Book Antiqua" w:hAnsi="Book Antiqua"/>
          <w:sz w:val="24"/>
          <w:szCs w:val="24"/>
          <w:lang w:eastAsia="zh-CN"/>
        </w:rPr>
      </w:pPr>
    </w:p>
    <w:p w:rsidR="0014288C" w:rsidRPr="006B242D" w:rsidRDefault="0014288C" w:rsidP="000B23E9">
      <w:pPr>
        <w:spacing w:line="360" w:lineRule="auto"/>
        <w:jc w:val="both"/>
        <w:rPr>
          <w:rFonts w:ascii="Book Antiqua" w:hAnsi="Book Antiqua" w:cs="宋体"/>
          <w:color w:val="000000"/>
          <w:sz w:val="24"/>
          <w:szCs w:val="24"/>
          <w:lang w:eastAsia="zh-CN"/>
        </w:rPr>
      </w:pPr>
      <w:r w:rsidRPr="006B242D">
        <w:rPr>
          <w:rFonts w:ascii="Book Antiqua" w:hAnsi="Book Antiqua" w:cs="宋体"/>
          <w:b/>
          <w:color w:val="000000"/>
          <w:sz w:val="24"/>
          <w:szCs w:val="24"/>
          <w:lang w:eastAsia="zh-CN"/>
        </w:rPr>
        <w:t xml:space="preserve">Open-Access: </w:t>
      </w:r>
      <w:r w:rsidRPr="006B242D">
        <w:rPr>
          <w:rFonts w:ascii="Book Antiqua"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6B242D">
          <w:rPr>
            <w:rFonts w:ascii="Book Antiqua" w:hAnsi="Book Antiqua" w:cs="宋体"/>
            <w:color w:val="000000"/>
            <w:sz w:val="24"/>
            <w:szCs w:val="24"/>
            <w:u w:val="single"/>
            <w:lang w:eastAsia="zh-CN"/>
          </w:rPr>
          <w:t>http://creativecommons.org/licenses/by-nc/4.0/</w:t>
        </w:r>
      </w:hyperlink>
    </w:p>
    <w:p w:rsidR="0014288C" w:rsidRPr="006B242D" w:rsidRDefault="0014288C" w:rsidP="000B23E9">
      <w:pPr>
        <w:spacing w:line="360" w:lineRule="auto"/>
        <w:jc w:val="both"/>
        <w:rPr>
          <w:rFonts w:ascii="Book Antiqua" w:hAnsi="Book Antiqua"/>
          <w:sz w:val="24"/>
          <w:szCs w:val="24"/>
          <w:lang w:eastAsia="zh-CN"/>
        </w:rPr>
      </w:pPr>
    </w:p>
    <w:p w:rsidR="0014288C" w:rsidRPr="006B242D" w:rsidRDefault="0014288C" w:rsidP="000B23E9">
      <w:pPr>
        <w:spacing w:line="360" w:lineRule="auto"/>
        <w:jc w:val="both"/>
        <w:rPr>
          <w:rFonts w:ascii="Book Antiqua" w:hAnsi="Book Antiqua"/>
          <w:sz w:val="24"/>
          <w:szCs w:val="24"/>
          <w:lang w:eastAsia="zh-CN"/>
        </w:rPr>
      </w:pPr>
      <w:r w:rsidRPr="006B242D">
        <w:rPr>
          <w:rFonts w:ascii="Book Antiqua" w:hAnsi="Book Antiqua"/>
          <w:b/>
          <w:sz w:val="24"/>
          <w:szCs w:val="24"/>
          <w:lang w:eastAsia="zh-CN"/>
        </w:rPr>
        <w:t xml:space="preserve">Manuscript source: </w:t>
      </w:r>
      <w:r w:rsidRPr="006B242D">
        <w:rPr>
          <w:rFonts w:ascii="Book Antiqua" w:hAnsi="Book Antiqua"/>
          <w:sz w:val="24"/>
          <w:szCs w:val="24"/>
          <w:lang w:eastAsia="zh-CN"/>
        </w:rPr>
        <w:t>Invited manuscript</w:t>
      </w:r>
    </w:p>
    <w:p w:rsidR="0014288C" w:rsidRPr="006B242D" w:rsidRDefault="0014288C" w:rsidP="000B23E9">
      <w:pPr>
        <w:spacing w:line="360" w:lineRule="auto"/>
        <w:jc w:val="both"/>
        <w:rPr>
          <w:rFonts w:ascii="Book Antiqua" w:hAnsi="Book Antiqua"/>
          <w:sz w:val="24"/>
          <w:szCs w:val="24"/>
          <w:lang w:eastAsia="zh-CN"/>
        </w:rPr>
      </w:pPr>
    </w:p>
    <w:p w:rsidR="00BE7437" w:rsidRPr="006B242D" w:rsidRDefault="0014288C" w:rsidP="000B23E9">
      <w:pPr>
        <w:pStyle w:val="af1"/>
        <w:spacing w:before="0" w:beforeAutospacing="0" w:after="0" w:afterAutospacing="0" w:line="360" w:lineRule="auto"/>
        <w:jc w:val="both"/>
        <w:rPr>
          <w:rStyle w:val="aa"/>
          <w:rFonts w:ascii="Book Antiqua" w:eastAsia="Times New Roman" w:hAnsi="Book Antiqua"/>
          <w:color w:val="000000"/>
          <w:sz w:val="24"/>
          <w:szCs w:val="24"/>
        </w:rPr>
      </w:pPr>
      <w:r w:rsidRPr="006B242D">
        <w:rPr>
          <w:rFonts w:ascii="Book Antiqua" w:hAnsi="Book Antiqua"/>
          <w:b/>
          <w:sz w:val="24"/>
          <w:szCs w:val="24"/>
        </w:rPr>
        <w:lastRenderedPageBreak/>
        <w:t>Correspond</w:t>
      </w:r>
      <w:r w:rsidRPr="006B242D">
        <w:rPr>
          <w:rFonts w:ascii="Book Antiqua" w:hAnsi="Book Antiqua"/>
          <w:b/>
          <w:sz w:val="24"/>
          <w:szCs w:val="24"/>
          <w:lang w:eastAsia="zh-CN"/>
        </w:rPr>
        <w:t xml:space="preserve">ing author: </w:t>
      </w:r>
      <w:r w:rsidR="00D36ECA" w:rsidRPr="006B242D">
        <w:rPr>
          <w:rFonts w:ascii="Book Antiqua" w:hAnsi="Book Antiqua"/>
          <w:b/>
          <w:sz w:val="24"/>
          <w:szCs w:val="24"/>
          <w:lang w:val="en-US"/>
        </w:rPr>
        <w:t xml:space="preserve">Hans </w:t>
      </w:r>
      <w:bookmarkStart w:id="9" w:name="OLE_LINK13"/>
      <w:bookmarkStart w:id="10" w:name="OLE_LINK14"/>
      <w:r w:rsidR="00D36ECA" w:rsidRPr="006B242D">
        <w:rPr>
          <w:rFonts w:ascii="Book Antiqua" w:hAnsi="Book Antiqua"/>
          <w:b/>
          <w:sz w:val="24"/>
          <w:szCs w:val="24"/>
          <w:lang w:val="en-US"/>
        </w:rPr>
        <w:t>Friedrich</w:t>
      </w:r>
      <w:bookmarkEnd w:id="9"/>
      <w:bookmarkEnd w:id="10"/>
      <w:r w:rsidR="00D36ECA" w:rsidRPr="006B242D">
        <w:rPr>
          <w:rFonts w:ascii="Book Antiqua" w:hAnsi="Book Antiqua"/>
          <w:b/>
          <w:sz w:val="24"/>
          <w:szCs w:val="24"/>
          <w:lang w:val="en-US"/>
        </w:rPr>
        <w:t xml:space="preserve"> Fuchs</w:t>
      </w:r>
      <w:r w:rsidR="00BE7437" w:rsidRPr="006B242D">
        <w:rPr>
          <w:rFonts w:ascii="Book Antiqua" w:hAnsi="Book Antiqua"/>
          <w:b/>
          <w:sz w:val="24"/>
          <w:szCs w:val="24"/>
          <w:lang w:val="en-US" w:eastAsia="zh-CN"/>
        </w:rPr>
        <w:t>, MD, Assistant Professor,</w:t>
      </w:r>
      <w:r w:rsidR="00BE7437" w:rsidRPr="006B242D">
        <w:rPr>
          <w:rFonts w:ascii="Book Antiqua" w:hAnsi="Book Antiqua"/>
          <w:sz w:val="24"/>
          <w:szCs w:val="24"/>
          <w:lang w:val="en-US" w:eastAsia="zh-CN"/>
        </w:rPr>
        <w:t xml:space="preserve"> </w:t>
      </w:r>
      <w:r w:rsidR="00BE7437" w:rsidRPr="006B242D">
        <w:rPr>
          <w:rFonts w:ascii="Book Antiqua" w:hAnsi="Book Antiqua"/>
          <w:color w:val="000000"/>
          <w:sz w:val="24"/>
          <w:szCs w:val="24"/>
          <w:lang w:val="en-US"/>
        </w:rPr>
        <w:t>Department of General Surgery</w:t>
      </w:r>
      <w:r w:rsidR="00BE7437" w:rsidRPr="006B242D">
        <w:rPr>
          <w:rFonts w:ascii="Book Antiqua" w:eastAsia="宋体" w:hAnsi="Book Antiqua"/>
          <w:color w:val="000000"/>
          <w:sz w:val="24"/>
          <w:szCs w:val="24"/>
          <w:lang w:val="en-US" w:eastAsia="zh-CN"/>
        </w:rPr>
        <w:t xml:space="preserve">, </w:t>
      </w:r>
      <w:r w:rsidR="00BE7437" w:rsidRPr="006B242D">
        <w:rPr>
          <w:rFonts w:ascii="Book Antiqua" w:hAnsi="Book Antiqua"/>
          <w:color w:val="000000"/>
          <w:sz w:val="24"/>
          <w:szCs w:val="24"/>
          <w:lang w:val="en-US"/>
        </w:rPr>
        <w:t>University of Cologne</w:t>
      </w:r>
      <w:r w:rsidR="00BE7437" w:rsidRPr="006B242D">
        <w:rPr>
          <w:rFonts w:ascii="Book Antiqua" w:eastAsia="宋体" w:hAnsi="Book Antiqua"/>
          <w:color w:val="000000"/>
          <w:sz w:val="24"/>
          <w:szCs w:val="24"/>
          <w:lang w:val="en-US" w:eastAsia="zh-CN"/>
        </w:rPr>
        <w:t xml:space="preserve">, </w:t>
      </w:r>
      <w:r w:rsidR="00BE7437" w:rsidRPr="006B242D">
        <w:rPr>
          <w:rFonts w:ascii="Book Antiqua" w:hAnsi="Book Antiqua"/>
          <w:color w:val="000000"/>
          <w:sz w:val="24"/>
          <w:szCs w:val="24"/>
          <w:lang w:val="en-US"/>
        </w:rPr>
        <w:t>Kerpener Str. 62</w:t>
      </w:r>
      <w:r w:rsidR="00BE7437" w:rsidRPr="006B242D">
        <w:rPr>
          <w:rFonts w:ascii="Book Antiqua" w:eastAsia="宋体" w:hAnsi="Book Antiqua"/>
          <w:color w:val="000000"/>
          <w:sz w:val="24"/>
          <w:szCs w:val="24"/>
          <w:lang w:val="en-US" w:eastAsia="zh-CN"/>
        </w:rPr>
        <w:t xml:space="preserve">, </w:t>
      </w:r>
      <w:r w:rsidR="00BE7437" w:rsidRPr="006B242D">
        <w:rPr>
          <w:rFonts w:ascii="Book Antiqua" w:hAnsi="Book Antiqua"/>
          <w:sz w:val="24"/>
          <w:szCs w:val="24"/>
          <w:lang w:val="en-US"/>
        </w:rPr>
        <w:t>Cologne</w:t>
      </w:r>
      <w:r w:rsidR="00BE7437" w:rsidRPr="006B242D">
        <w:rPr>
          <w:rFonts w:ascii="Book Antiqua" w:hAnsi="Book Antiqua"/>
          <w:sz w:val="24"/>
          <w:szCs w:val="24"/>
          <w:lang w:val="en-US" w:eastAsia="zh-CN"/>
        </w:rPr>
        <w:t xml:space="preserve"> 50937</w:t>
      </w:r>
      <w:r w:rsidR="00BE7437" w:rsidRPr="006B242D">
        <w:rPr>
          <w:rFonts w:ascii="Book Antiqua" w:hAnsi="Book Antiqua"/>
          <w:sz w:val="24"/>
          <w:szCs w:val="24"/>
          <w:lang w:val="en-US"/>
        </w:rPr>
        <w:t>, Germany</w:t>
      </w:r>
      <w:r w:rsidR="00BE7437" w:rsidRPr="006B242D">
        <w:rPr>
          <w:rFonts w:ascii="Book Antiqua" w:hAnsi="Book Antiqua"/>
          <w:sz w:val="24"/>
          <w:szCs w:val="24"/>
          <w:lang w:val="en-US" w:eastAsia="zh-CN"/>
        </w:rPr>
        <w:t xml:space="preserve">. </w:t>
      </w:r>
      <w:r w:rsidR="00BE7437" w:rsidRPr="006B242D">
        <w:rPr>
          <w:rFonts w:ascii="Book Antiqua" w:eastAsia="Times New Roman" w:hAnsi="Book Antiqua"/>
          <w:color w:val="000000"/>
          <w:sz w:val="24"/>
          <w:szCs w:val="24"/>
        </w:rPr>
        <w:t>hans.fuchs@uk-koeln.de</w:t>
      </w:r>
    </w:p>
    <w:p w:rsidR="00BE7437" w:rsidRPr="006B242D" w:rsidRDefault="00BE7437" w:rsidP="000B23E9">
      <w:pPr>
        <w:spacing w:line="360" w:lineRule="auto"/>
        <w:jc w:val="both"/>
        <w:rPr>
          <w:rFonts w:ascii="Book Antiqua" w:hAnsi="Book Antiqua"/>
          <w:sz w:val="24"/>
          <w:szCs w:val="24"/>
          <w:lang w:eastAsia="zh-CN"/>
        </w:rPr>
      </w:pPr>
      <w:r w:rsidRPr="006B242D">
        <w:rPr>
          <w:rFonts w:ascii="Book Antiqua" w:hAnsi="Book Antiqua"/>
          <w:b/>
          <w:sz w:val="24"/>
          <w:szCs w:val="24"/>
          <w:lang w:eastAsia="zh-CN"/>
        </w:rPr>
        <w:t>Telephone</w:t>
      </w:r>
      <w:r w:rsidRPr="006B242D">
        <w:rPr>
          <w:rFonts w:ascii="Book Antiqua" w:hAnsi="Book Antiqua"/>
          <w:b/>
          <w:sz w:val="24"/>
          <w:szCs w:val="24"/>
        </w:rPr>
        <w:t>:</w:t>
      </w:r>
      <w:r w:rsidRPr="006B242D">
        <w:rPr>
          <w:rFonts w:ascii="Book Antiqua" w:hAnsi="Book Antiqua"/>
          <w:b/>
          <w:sz w:val="24"/>
          <w:szCs w:val="24"/>
          <w:lang w:eastAsia="zh-CN"/>
        </w:rPr>
        <w:t xml:space="preserve"> </w:t>
      </w:r>
      <w:r w:rsidRPr="006B242D">
        <w:rPr>
          <w:rFonts w:ascii="Book Antiqua" w:eastAsia="Times New Roman" w:hAnsi="Book Antiqua"/>
          <w:color w:val="000000"/>
          <w:sz w:val="24"/>
          <w:szCs w:val="24"/>
        </w:rPr>
        <w:t>+49</w:t>
      </w:r>
      <w:r w:rsidRPr="006B242D">
        <w:rPr>
          <w:rFonts w:ascii="Book Antiqua" w:hAnsi="Book Antiqua"/>
          <w:color w:val="000000"/>
          <w:sz w:val="24"/>
          <w:szCs w:val="24"/>
          <w:lang w:eastAsia="zh-CN"/>
        </w:rPr>
        <w:t>-</w:t>
      </w:r>
      <w:r w:rsidRPr="006B242D">
        <w:rPr>
          <w:rFonts w:ascii="Book Antiqua" w:eastAsia="Times New Roman" w:hAnsi="Book Antiqua"/>
          <w:color w:val="000000"/>
          <w:sz w:val="24"/>
          <w:szCs w:val="24"/>
        </w:rPr>
        <w:t>221</w:t>
      </w:r>
      <w:r w:rsidR="00955654" w:rsidRPr="006B242D">
        <w:rPr>
          <w:rFonts w:ascii="Book Antiqua" w:hAnsi="Book Antiqua"/>
          <w:color w:val="000000"/>
          <w:sz w:val="24"/>
          <w:szCs w:val="24"/>
          <w:lang w:eastAsia="zh-CN"/>
        </w:rPr>
        <w:t>-</w:t>
      </w:r>
      <w:r w:rsidRPr="006B242D">
        <w:rPr>
          <w:rFonts w:ascii="Book Antiqua" w:eastAsia="Times New Roman" w:hAnsi="Book Antiqua"/>
          <w:color w:val="000000"/>
          <w:sz w:val="24"/>
          <w:szCs w:val="24"/>
        </w:rPr>
        <w:t>4784803</w:t>
      </w:r>
    </w:p>
    <w:p w:rsidR="00BE7437" w:rsidRPr="006B242D" w:rsidRDefault="00BE7437" w:rsidP="000B23E9">
      <w:pPr>
        <w:pStyle w:val="af1"/>
        <w:spacing w:before="0" w:beforeAutospacing="0" w:after="0" w:afterAutospacing="0" w:line="360" w:lineRule="auto"/>
        <w:jc w:val="both"/>
        <w:rPr>
          <w:rFonts w:ascii="Book Antiqua" w:eastAsia="宋体" w:hAnsi="Book Antiqua"/>
          <w:color w:val="000000"/>
          <w:sz w:val="24"/>
          <w:szCs w:val="24"/>
          <w:lang w:val="en-US" w:eastAsia="zh-CN"/>
        </w:rPr>
      </w:pPr>
      <w:r w:rsidRPr="006B242D">
        <w:rPr>
          <w:rFonts w:ascii="Book Antiqua" w:hAnsi="Book Antiqua"/>
          <w:b/>
          <w:sz w:val="24"/>
          <w:szCs w:val="24"/>
        </w:rPr>
        <w:t>Fax:</w:t>
      </w:r>
      <w:r w:rsidRPr="006B242D">
        <w:rPr>
          <w:rFonts w:ascii="Book Antiqua" w:eastAsia="宋体" w:hAnsi="Book Antiqua"/>
          <w:b/>
          <w:sz w:val="24"/>
          <w:szCs w:val="24"/>
          <w:lang w:eastAsia="zh-CN"/>
        </w:rPr>
        <w:t xml:space="preserve"> </w:t>
      </w:r>
      <w:r w:rsidRPr="006B242D">
        <w:rPr>
          <w:rFonts w:ascii="Book Antiqua" w:eastAsia="Times New Roman" w:hAnsi="Book Antiqua"/>
          <w:color w:val="000000"/>
          <w:sz w:val="24"/>
          <w:szCs w:val="24"/>
        </w:rPr>
        <w:t>+49</w:t>
      </w:r>
      <w:r w:rsidRPr="006B242D">
        <w:rPr>
          <w:rFonts w:ascii="Book Antiqua" w:eastAsia="宋体" w:hAnsi="Book Antiqua"/>
          <w:color w:val="000000"/>
          <w:sz w:val="24"/>
          <w:szCs w:val="24"/>
          <w:lang w:eastAsia="zh-CN"/>
        </w:rPr>
        <w:t>-</w:t>
      </w:r>
      <w:r w:rsidRPr="006B242D">
        <w:rPr>
          <w:rFonts w:ascii="Book Antiqua" w:eastAsia="Times New Roman" w:hAnsi="Book Antiqua"/>
          <w:color w:val="000000"/>
          <w:sz w:val="24"/>
          <w:szCs w:val="24"/>
        </w:rPr>
        <w:t>221</w:t>
      </w:r>
      <w:r w:rsidR="00955654" w:rsidRPr="006B242D">
        <w:rPr>
          <w:rFonts w:ascii="Book Antiqua" w:eastAsia="宋体" w:hAnsi="Book Antiqua"/>
          <w:color w:val="000000"/>
          <w:sz w:val="24"/>
          <w:szCs w:val="24"/>
          <w:lang w:eastAsia="zh-CN"/>
        </w:rPr>
        <w:t>-</w:t>
      </w:r>
      <w:r w:rsidRPr="006B242D">
        <w:rPr>
          <w:rFonts w:ascii="Book Antiqua" w:eastAsia="Times New Roman" w:hAnsi="Book Antiqua"/>
          <w:color w:val="000000"/>
          <w:sz w:val="24"/>
          <w:szCs w:val="24"/>
        </w:rPr>
        <w:t>4784843</w:t>
      </w:r>
    </w:p>
    <w:p w:rsidR="001A7D16" w:rsidRPr="006B242D" w:rsidRDefault="001A7D16" w:rsidP="000B23E9">
      <w:pPr>
        <w:spacing w:line="360" w:lineRule="auto"/>
        <w:jc w:val="both"/>
        <w:rPr>
          <w:rFonts w:ascii="Book Antiqua" w:hAnsi="Book Antiqua"/>
          <w:b/>
          <w:sz w:val="24"/>
          <w:szCs w:val="24"/>
          <w:lang w:val="en-GB"/>
        </w:rPr>
      </w:pPr>
    </w:p>
    <w:p w:rsidR="00BE7437" w:rsidRPr="006B242D" w:rsidRDefault="00BE7437" w:rsidP="000B23E9">
      <w:pPr>
        <w:spacing w:line="360" w:lineRule="auto"/>
        <w:jc w:val="both"/>
        <w:rPr>
          <w:rFonts w:ascii="Book Antiqua" w:hAnsi="Book Antiqua"/>
          <w:b/>
          <w:sz w:val="24"/>
          <w:szCs w:val="24"/>
          <w:lang w:eastAsia="zh-CN"/>
        </w:rPr>
      </w:pPr>
      <w:bookmarkStart w:id="11" w:name="OLE_LINK75"/>
      <w:bookmarkStart w:id="12" w:name="OLE_LINK76"/>
      <w:r w:rsidRPr="006B242D">
        <w:rPr>
          <w:rFonts w:ascii="Book Antiqua" w:hAnsi="Book Antiqua"/>
          <w:b/>
          <w:sz w:val="24"/>
          <w:szCs w:val="24"/>
        </w:rPr>
        <w:t xml:space="preserve">Received: </w:t>
      </w:r>
      <w:r w:rsidRPr="006B242D">
        <w:rPr>
          <w:rFonts w:ascii="Book Antiqua" w:hAnsi="Book Antiqua"/>
          <w:sz w:val="24"/>
          <w:szCs w:val="24"/>
          <w:lang w:eastAsia="zh-CN"/>
        </w:rPr>
        <w:t>November</w:t>
      </w:r>
      <w:r w:rsidRPr="006B242D">
        <w:rPr>
          <w:rFonts w:ascii="Book Antiqua" w:hAnsi="Book Antiqua"/>
          <w:sz w:val="24"/>
          <w:szCs w:val="24"/>
        </w:rPr>
        <w:t xml:space="preserve"> </w:t>
      </w:r>
      <w:r w:rsidRPr="006B242D">
        <w:rPr>
          <w:rFonts w:ascii="Book Antiqua" w:hAnsi="Book Antiqua"/>
          <w:sz w:val="24"/>
          <w:szCs w:val="24"/>
          <w:lang w:eastAsia="zh-CN"/>
        </w:rPr>
        <w:t>9</w:t>
      </w:r>
      <w:r w:rsidRPr="006B242D">
        <w:rPr>
          <w:rFonts w:ascii="Book Antiqua" w:hAnsi="Book Antiqua"/>
          <w:sz w:val="24"/>
          <w:szCs w:val="24"/>
        </w:rPr>
        <w:t>, 201</w:t>
      </w:r>
      <w:r w:rsidRPr="006B242D">
        <w:rPr>
          <w:rFonts w:ascii="Book Antiqua" w:hAnsi="Book Antiqua"/>
          <w:sz w:val="24"/>
          <w:szCs w:val="24"/>
          <w:lang w:eastAsia="zh-CN"/>
        </w:rPr>
        <w:t>8</w:t>
      </w:r>
    </w:p>
    <w:p w:rsidR="00BE7437" w:rsidRPr="006B242D" w:rsidRDefault="00BE7437" w:rsidP="000B23E9">
      <w:pPr>
        <w:spacing w:line="360" w:lineRule="auto"/>
        <w:jc w:val="both"/>
        <w:rPr>
          <w:rFonts w:ascii="Book Antiqua" w:hAnsi="Book Antiqua"/>
          <w:b/>
          <w:sz w:val="24"/>
          <w:szCs w:val="24"/>
        </w:rPr>
      </w:pPr>
      <w:r w:rsidRPr="006B242D">
        <w:rPr>
          <w:rFonts w:ascii="Book Antiqua" w:hAnsi="Book Antiqua"/>
          <w:b/>
          <w:sz w:val="24"/>
          <w:szCs w:val="24"/>
        </w:rPr>
        <w:t xml:space="preserve">Peer-review started: </w:t>
      </w:r>
      <w:r w:rsidRPr="006B242D">
        <w:rPr>
          <w:rFonts w:ascii="Book Antiqua" w:hAnsi="Book Antiqua"/>
          <w:sz w:val="24"/>
          <w:szCs w:val="24"/>
          <w:lang w:eastAsia="zh-CN"/>
        </w:rPr>
        <w:t>November</w:t>
      </w:r>
      <w:r w:rsidRPr="006B242D">
        <w:rPr>
          <w:rFonts w:ascii="Book Antiqua" w:hAnsi="Book Antiqua"/>
          <w:sz w:val="24"/>
          <w:szCs w:val="24"/>
        </w:rPr>
        <w:t xml:space="preserve"> </w:t>
      </w:r>
      <w:r w:rsidRPr="006B242D">
        <w:rPr>
          <w:rFonts w:ascii="Book Antiqua" w:hAnsi="Book Antiqua"/>
          <w:sz w:val="24"/>
          <w:szCs w:val="24"/>
          <w:lang w:eastAsia="zh-CN"/>
        </w:rPr>
        <w:t>12</w:t>
      </w:r>
      <w:r w:rsidRPr="006B242D">
        <w:rPr>
          <w:rFonts w:ascii="Book Antiqua" w:hAnsi="Book Antiqua"/>
          <w:sz w:val="24"/>
          <w:szCs w:val="24"/>
        </w:rPr>
        <w:t>, 201</w:t>
      </w:r>
      <w:r w:rsidRPr="006B242D">
        <w:rPr>
          <w:rFonts w:ascii="Book Antiqua" w:hAnsi="Book Antiqua"/>
          <w:sz w:val="24"/>
          <w:szCs w:val="24"/>
          <w:lang w:eastAsia="zh-CN"/>
        </w:rPr>
        <w:t>8</w:t>
      </w:r>
    </w:p>
    <w:p w:rsidR="00BE7437" w:rsidRPr="006B242D" w:rsidRDefault="00BE7437" w:rsidP="000B23E9">
      <w:pPr>
        <w:spacing w:line="360" w:lineRule="auto"/>
        <w:jc w:val="both"/>
        <w:rPr>
          <w:rFonts w:ascii="Book Antiqua" w:hAnsi="Book Antiqua"/>
          <w:b/>
          <w:sz w:val="24"/>
          <w:szCs w:val="24"/>
          <w:lang w:eastAsia="zh-CN"/>
        </w:rPr>
      </w:pPr>
      <w:r w:rsidRPr="006B242D">
        <w:rPr>
          <w:rFonts w:ascii="Book Antiqua" w:hAnsi="Book Antiqua"/>
          <w:b/>
          <w:sz w:val="24"/>
          <w:szCs w:val="24"/>
        </w:rPr>
        <w:t xml:space="preserve">First decision: </w:t>
      </w:r>
      <w:r w:rsidRPr="006B242D">
        <w:rPr>
          <w:rFonts w:ascii="Book Antiqua" w:hAnsi="Book Antiqua"/>
          <w:sz w:val="24"/>
          <w:szCs w:val="24"/>
          <w:lang w:eastAsia="zh-CN"/>
        </w:rPr>
        <w:t>December</w:t>
      </w:r>
      <w:r w:rsidRPr="006B242D">
        <w:rPr>
          <w:rFonts w:ascii="Book Antiqua" w:hAnsi="Book Antiqua"/>
          <w:sz w:val="24"/>
          <w:szCs w:val="24"/>
        </w:rPr>
        <w:t xml:space="preserve"> </w:t>
      </w:r>
      <w:r w:rsidRPr="006B242D">
        <w:rPr>
          <w:rFonts w:ascii="Book Antiqua" w:hAnsi="Book Antiqua"/>
          <w:sz w:val="24"/>
          <w:szCs w:val="24"/>
          <w:lang w:eastAsia="zh-CN"/>
        </w:rPr>
        <w:t>5</w:t>
      </w:r>
      <w:r w:rsidRPr="006B242D">
        <w:rPr>
          <w:rFonts w:ascii="Book Antiqua" w:hAnsi="Book Antiqua"/>
          <w:sz w:val="24"/>
          <w:szCs w:val="24"/>
        </w:rPr>
        <w:t>, 201</w:t>
      </w:r>
      <w:r w:rsidRPr="006B242D">
        <w:rPr>
          <w:rFonts w:ascii="Book Antiqua" w:hAnsi="Book Antiqua"/>
          <w:sz w:val="24"/>
          <w:szCs w:val="24"/>
          <w:lang w:eastAsia="zh-CN"/>
        </w:rPr>
        <w:t>8</w:t>
      </w:r>
    </w:p>
    <w:p w:rsidR="00BE7437" w:rsidRPr="006B242D" w:rsidRDefault="00BE7437" w:rsidP="000B23E9">
      <w:pPr>
        <w:spacing w:line="360" w:lineRule="auto"/>
        <w:jc w:val="both"/>
        <w:rPr>
          <w:rFonts w:ascii="Book Antiqua" w:hAnsi="Book Antiqua"/>
          <w:b/>
          <w:sz w:val="24"/>
          <w:szCs w:val="24"/>
        </w:rPr>
      </w:pPr>
      <w:r w:rsidRPr="006B242D">
        <w:rPr>
          <w:rFonts w:ascii="Book Antiqua" w:hAnsi="Book Antiqua"/>
          <w:b/>
          <w:sz w:val="24"/>
          <w:szCs w:val="24"/>
        </w:rPr>
        <w:t xml:space="preserve">Revised: </w:t>
      </w:r>
      <w:r w:rsidRPr="006B242D">
        <w:rPr>
          <w:rFonts w:ascii="Book Antiqua" w:hAnsi="Book Antiqua"/>
          <w:sz w:val="24"/>
          <w:szCs w:val="24"/>
          <w:lang w:eastAsia="zh-CN"/>
        </w:rPr>
        <w:t>January</w:t>
      </w:r>
      <w:r w:rsidRPr="006B242D">
        <w:rPr>
          <w:rFonts w:ascii="Book Antiqua" w:hAnsi="Book Antiqua"/>
          <w:sz w:val="24"/>
          <w:szCs w:val="24"/>
        </w:rPr>
        <w:t xml:space="preserve"> </w:t>
      </w:r>
      <w:r w:rsidRPr="006B242D">
        <w:rPr>
          <w:rFonts w:ascii="Book Antiqua" w:hAnsi="Book Antiqua"/>
          <w:sz w:val="24"/>
          <w:szCs w:val="24"/>
          <w:lang w:eastAsia="zh-CN"/>
        </w:rPr>
        <w:t>8</w:t>
      </w:r>
      <w:r w:rsidRPr="006B242D">
        <w:rPr>
          <w:rFonts w:ascii="Book Antiqua" w:hAnsi="Book Antiqua"/>
          <w:sz w:val="24"/>
          <w:szCs w:val="24"/>
        </w:rPr>
        <w:t>, 2019</w:t>
      </w:r>
    </w:p>
    <w:p w:rsidR="00BE7437" w:rsidRPr="006B242D" w:rsidRDefault="00BE7437" w:rsidP="000B23E9">
      <w:pPr>
        <w:spacing w:line="360" w:lineRule="auto"/>
        <w:jc w:val="both"/>
        <w:rPr>
          <w:rFonts w:ascii="Book Antiqua" w:hAnsi="Book Antiqua"/>
          <w:color w:val="000000"/>
          <w:sz w:val="24"/>
          <w:szCs w:val="24"/>
        </w:rPr>
      </w:pPr>
      <w:r w:rsidRPr="006B242D">
        <w:rPr>
          <w:rFonts w:ascii="Book Antiqua" w:hAnsi="Book Antiqua"/>
          <w:b/>
          <w:sz w:val="24"/>
          <w:szCs w:val="24"/>
        </w:rPr>
        <w:t xml:space="preserve">Accepted: </w:t>
      </w:r>
      <w:r w:rsidR="003B1772" w:rsidRPr="006B242D">
        <w:rPr>
          <w:rFonts w:ascii="Book Antiqua" w:hAnsi="Book Antiqua"/>
          <w:sz w:val="24"/>
          <w:szCs w:val="24"/>
        </w:rPr>
        <w:t>January 14, 2019</w:t>
      </w:r>
    </w:p>
    <w:p w:rsidR="00BE7437" w:rsidRPr="006B242D" w:rsidRDefault="00BE7437" w:rsidP="000B23E9">
      <w:pPr>
        <w:spacing w:line="360" w:lineRule="auto"/>
        <w:jc w:val="both"/>
        <w:rPr>
          <w:rFonts w:ascii="Book Antiqua" w:hAnsi="Book Antiqua" w:hint="eastAsia"/>
          <w:b/>
          <w:sz w:val="24"/>
          <w:szCs w:val="24"/>
          <w:lang w:eastAsia="zh-CN"/>
        </w:rPr>
      </w:pPr>
      <w:r w:rsidRPr="006B242D">
        <w:rPr>
          <w:rFonts w:ascii="Book Antiqua" w:hAnsi="Book Antiqua"/>
          <w:b/>
          <w:sz w:val="24"/>
          <w:szCs w:val="24"/>
        </w:rPr>
        <w:t>Article in press:</w:t>
      </w:r>
      <w:r w:rsidR="006B242D" w:rsidRPr="006B242D">
        <w:rPr>
          <w:rFonts w:ascii="Book Antiqua" w:hAnsi="Book Antiqua" w:hint="eastAsia"/>
          <w:b/>
          <w:sz w:val="24"/>
          <w:szCs w:val="24"/>
          <w:lang w:eastAsia="zh-CN"/>
        </w:rPr>
        <w:t xml:space="preserve"> </w:t>
      </w:r>
      <w:r w:rsidR="006B242D" w:rsidRPr="006B242D">
        <w:rPr>
          <w:rFonts w:ascii="Book Antiqua" w:hAnsi="Book Antiqua"/>
          <w:sz w:val="24"/>
          <w:szCs w:val="24"/>
        </w:rPr>
        <w:t>January 14, 2019</w:t>
      </w:r>
    </w:p>
    <w:p w:rsidR="00BE7437" w:rsidRPr="006B242D" w:rsidRDefault="00BE7437" w:rsidP="000B23E9">
      <w:pPr>
        <w:spacing w:line="360" w:lineRule="auto"/>
        <w:jc w:val="both"/>
        <w:rPr>
          <w:rFonts w:ascii="Book Antiqua" w:hAnsi="Book Antiqua" w:hint="eastAsia"/>
          <w:b/>
          <w:sz w:val="24"/>
          <w:szCs w:val="24"/>
          <w:lang w:eastAsia="zh-CN"/>
        </w:rPr>
      </w:pPr>
      <w:r w:rsidRPr="006B242D">
        <w:rPr>
          <w:rFonts w:ascii="Book Antiqua" w:hAnsi="Book Antiqua"/>
          <w:b/>
          <w:sz w:val="24"/>
          <w:szCs w:val="24"/>
        </w:rPr>
        <w:t>Published online:</w:t>
      </w:r>
      <w:r w:rsidR="006B242D" w:rsidRPr="006B242D">
        <w:rPr>
          <w:rFonts w:ascii="Book Antiqua" w:hAnsi="Book Antiqua" w:hint="eastAsia"/>
          <w:b/>
          <w:sz w:val="24"/>
          <w:szCs w:val="24"/>
          <w:lang w:eastAsia="zh-CN"/>
        </w:rPr>
        <w:t xml:space="preserve"> </w:t>
      </w:r>
      <w:r w:rsidR="006B242D" w:rsidRPr="006B242D">
        <w:rPr>
          <w:rFonts w:ascii="Book Antiqua" w:hAnsi="Book Antiqua"/>
          <w:sz w:val="24"/>
          <w:szCs w:val="24"/>
        </w:rPr>
        <w:t xml:space="preserve">January </w:t>
      </w:r>
      <w:r w:rsidR="006B242D" w:rsidRPr="006B242D">
        <w:rPr>
          <w:rFonts w:ascii="Book Antiqua" w:hAnsi="Book Antiqua" w:hint="eastAsia"/>
          <w:sz w:val="24"/>
          <w:szCs w:val="24"/>
          <w:lang w:eastAsia="zh-CN"/>
        </w:rPr>
        <w:t>21</w:t>
      </w:r>
      <w:r w:rsidR="006B242D" w:rsidRPr="006B242D">
        <w:rPr>
          <w:rFonts w:ascii="Book Antiqua" w:hAnsi="Book Antiqua"/>
          <w:sz w:val="24"/>
          <w:szCs w:val="24"/>
        </w:rPr>
        <w:t>, 2019</w:t>
      </w:r>
    </w:p>
    <w:bookmarkEnd w:id="11"/>
    <w:bookmarkEnd w:id="12"/>
    <w:p w:rsidR="001F67BC" w:rsidRPr="006B242D" w:rsidRDefault="001F67BC" w:rsidP="000B23E9">
      <w:pPr>
        <w:spacing w:line="360" w:lineRule="auto"/>
        <w:jc w:val="both"/>
        <w:rPr>
          <w:rFonts w:ascii="Book Antiqua" w:hAnsi="Book Antiqua"/>
          <w:b/>
          <w:sz w:val="24"/>
          <w:szCs w:val="24"/>
          <w:lang w:val="en-GB"/>
        </w:rPr>
      </w:pPr>
    </w:p>
    <w:p w:rsidR="006E0D80" w:rsidRPr="006B242D" w:rsidRDefault="006C680D" w:rsidP="000B23E9">
      <w:pPr>
        <w:spacing w:line="360" w:lineRule="auto"/>
        <w:jc w:val="both"/>
        <w:rPr>
          <w:rFonts w:ascii="Book Antiqua" w:hAnsi="Book Antiqua"/>
          <w:b/>
          <w:sz w:val="24"/>
          <w:szCs w:val="24"/>
          <w:lang w:val="en-GB" w:eastAsia="zh-CN"/>
        </w:rPr>
      </w:pPr>
      <w:r w:rsidRPr="006B242D">
        <w:rPr>
          <w:rFonts w:ascii="Book Antiqua" w:hAnsi="Book Antiqua"/>
          <w:b/>
          <w:sz w:val="24"/>
          <w:szCs w:val="24"/>
          <w:lang w:val="en-GB"/>
        </w:rPr>
        <w:br w:type="page"/>
      </w:r>
      <w:r w:rsidR="006E1EF7" w:rsidRPr="006B242D">
        <w:rPr>
          <w:rFonts w:ascii="Book Antiqua" w:hAnsi="Book Antiqua"/>
          <w:b/>
          <w:sz w:val="24"/>
          <w:szCs w:val="24"/>
          <w:lang w:val="en-GB"/>
        </w:rPr>
        <w:t>Abstract</w:t>
      </w:r>
    </w:p>
    <w:p w:rsidR="006E1EF7" w:rsidRPr="006B242D" w:rsidRDefault="006E1EF7" w:rsidP="000B23E9">
      <w:pPr>
        <w:spacing w:line="360" w:lineRule="auto"/>
        <w:jc w:val="both"/>
        <w:rPr>
          <w:rFonts w:ascii="Book Antiqua" w:hAnsi="Book Antiqua"/>
          <w:b/>
          <w:sz w:val="24"/>
          <w:szCs w:val="24"/>
          <w:lang w:val="en-GB" w:eastAsia="zh-CN"/>
        </w:rPr>
      </w:pPr>
      <w:r w:rsidRPr="006B242D">
        <w:rPr>
          <w:rFonts w:ascii="Book Antiqua" w:hAnsi="Book Antiqua"/>
          <w:b/>
          <w:i/>
          <w:color w:val="000000"/>
          <w:sz w:val="24"/>
          <w:szCs w:val="24"/>
        </w:rPr>
        <w:t>BACKGROUND</w:t>
      </w:r>
    </w:p>
    <w:p w:rsidR="006E1EF7" w:rsidRPr="006B242D" w:rsidRDefault="00853B65" w:rsidP="000B23E9">
      <w:pPr>
        <w:spacing w:line="360" w:lineRule="auto"/>
        <w:jc w:val="both"/>
        <w:rPr>
          <w:rFonts w:ascii="Book Antiqua" w:hAnsi="Book Antiqua"/>
          <w:sz w:val="24"/>
          <w:szCs w:val="24"/>
          <w:lang w:val="en-GB" w:eastAsia="zh-CN"/>
        </w:rPr>
      </w:pPr>
      <w:r w:rsidRPr="006B242D">
        <w:rPr>
          <w:rFonts w:ascii="Book Antiqua" w:hAnsi="Book Antiqua"/>
          <w:sz w:val="24"/>
          <w:szCs w:val="24"/>
          <w:lang w:val="en-GB"/>
        </w:rPr>
        <w:t xml:space="preserve">The clinical presentation of </w:t>
      </w:r>
      <w:r w:rsidR="005041DE" w:rsidRPr="006B242D">
        <w:rPr>
          <w:rFonts w:ascii="Book Antiqua" w:hAnsi="Book Antiqua"/>
          <w:sz w:val="24"/>
          <w:szCs w:val="24"/>
          <w:lang w:val="en-GB"/>
        </w:rPr>
        <w:t>gastroesophageal reflux disease</w:t>
      </w:r>
      <w:r w:rsidRPr="006B242D">
        <w:rPr>
          <w:rFonts w:ascii="Book Antiqua" w:hAnsi="Book Antiqua"/>
          <w:sz w:val="24"/>
          <w:szCs w:val="24"/>
          <w:lang w:val="en-GB"/>
        </w:rPr>
        <w:t xml:space="preserve"> (GERD) shows a large symptom</w:t>
      </w:r>
      <w:r w:rsidR="005765AF" w:rsidRPr="006B242D">
        <w:rPr>
          <w:rFonts w:ascii="Book Antiqua" w:hAnsi="Book Antiqua"/>
          <w:sz w:val="24"/>
          <w:szCs w:val="24"/>
          <w:lang w:val="en-GB"/>
        </w:rPr>
        <w:t xml:space="preserve"> variation</w:t>
      </w:r>
      <w:r w:rsidRPr="006B242D">
        <w:rPr>
          <w:rFonts w:ascii="Book Antiqua" w:hAnsi="Book Antiqua"/>
          <w:sz w:val="24"/>
          <w:szCs w:val="24"/>
          <w:lang w:val="en-GB"/>
        </w:rPr>
        <w:t xml:space="preserve"> also in different intensities among patients. As several studies have shown, t</w:t>
      </w:r>
      <w:r w:rsidR="006E0D80" w:rsidRPr="006B242D">
        <w:rPr>
          <w:rFonts w:ascii="Book Antiqua" w:hAnsi="Book Antiqua"/>
          <w:sz w:val="24"/>
          <w:szCs w:val="24"/>
          <w:lang w:val="en-GB"/>
        </w:rPr>
        <w:t>here is a large overlap</w:t>
      </w:r>
      <w:r w:rsidRPr="006B242D">
        <w:rPr>
          <w:rFonts w:ascii="Book Antiqua" w:hAnsi="Book Antiqua"/>
          <w:sz w:val="24"/>
          <w:szCs w:val="24"/>
          <w:lang w:val="en-GB"/>
        </w:rPr>
        <w:t xml:space="preserve"> in the symptomatic spectrum between proven GERD and other disorders such as dyspepsia, functional heartburn and/or somatoform disorders. </w:t>
      </w:r>
    </w:p>
    <w:p w:rsidR="006E1EF7" w:rsidRPr="006B242D" w:rsidRDefault="006E1EF7" w:rsidP="000B23E9">
      <w:pPr>
        <w:spacing w:line="360" w:lineRule="auto"/>
        <w:jc w:val="both"/>
        <w:rPr>
          <w:rFonts w:ascii="Book Antiqua" w:hAnsi="Book Antiqua"/>
          <w:sz w:val="24"/>
          <w:szCs w:val="24"/>
          <w:lang w:val="en-GB" w:eastAsia="zh-CN"/>
        </w:rPr>
      </w:pPr>
    </w:p>
    <w:p w:rsidR="006E1EF7" w:rsidRPr="006B242D" w:rsidRDefault="006E1EF7" w:rsidP="000B23E9">
      <w:pPr>
        <w:spacing w:line="360" w:lineRule="auto"/>
        <w:jc w:val="both"/>
        <w:rPr>
          <w:rFonts w:ascii="Book Antiqua" w:hAnsi="Book Antiqua"/>
          <w:b/>
          <w:i/>
          <w:sz w:val="24"/>
          <w:szCs w:val="24"/>
          <w:lang w:val="en-GB" w:eastAsia="zh-CN"/>
        </w:rPr>
      </w:pPr>
      <w:r w:rsidRPr="006B242D">
        <w:rPr>
          <w:rFonts w:ascii="Book Antiqua" w:hAnsi="Book Antiqua"/>
          <w:b/>
          <w:i/>
          <w:sz w:val="24"/>
          <w:szCs w:val="24"/>
          <w:lang w:val="en-GB" w:eastAsia="zh-CN"/>
        </w:rPr>
        <w:t>AIM</w:t>
      </w:r>
    </w:p>
    <w:p w:rsidR="006E0D80" w:rsidRPr="006B242D" w:rsidRDefault="006E1EF7" w:rsidP="000B23E9">
      <w:pPr>
        <w:spacing w:line="360" w:lineRule="auto"/>
        <w:jc w:val="both"/>
        <w:rPr>
          <w:rFonts w:ascii="Book Antiqua" w:hAnsi="Book Antiqua"/>
          <w:sz w:val="24"/>
          <w:szCs w:val="24"/>
          <w:lang w:val="en-GB" w:eastAsia="zh-CN"/>
        </w:rPr>
      </w:pPr>
      <w:r w:rsidRPr="006B242D">
        <w:rPr>
          <w:rFonts w:ascii="Book Antiqua" w:hAnsi="Book Antiqua"/>
          <w:sz w:val="24"/>
          <w:szCs w:val="24"/>
          <w:lang w:val="en-GB" w:eastAsia="zh-CN"/>
        </w:rPr>
        <w:t xml:space="preserve">To prospectively </w:t>
      </w:r>
      <w:r w:rsidR="00853B65" w:rsidRPr="006B242D">
        <w:rPr>
          <w:rFonts w:ascii="Book Antiqua" w:hAnsi="Book Antiqua"/>
          <w:sz w:val="24"/>
          <w:szCs w:val="24"/>
          <w:lang w:val="en-GB"/>
        </w:rPr>
        <w:t>evaluat</w:t>
      </w:r>
      <w:r w:rsidRPr="006B242D">
        <w:rPr>
          <w:rFonts w:ascii="Book Antiqua" w:hAnsi="Book Antiqua"/>
          <w:sz w:val="24"/>
          <w:szCs w:val="24"/>
          <w:lang w:val="en-GB" w:eastAsia="zh-CN"/>
        </w:rPr>
        <w:t>e</w:t>
      </w:r>
      <w:r w:rsidR="00853B65" w:rsidRPr="006B242D">
        <w:rPr>
          <w:rFonts w:ascii="Book Antiqua" w:hAnsi="Book Antiqua"/>
          <w:sz w:val="24"/>
          <w:szCs w:val="24"/>
          <w:lang w:val="en-GB"/>
        </w:rPr>
        <w:t xml:space="preserve"> </w:t>
      </w:r>
      <w:r w:rsidRPr="006B242D">
        <w:rPr>
          <w:rFonts w:ascii="Book Antiqua" w:hAnsi="Book Antiqua"/>
          <w:sz w:val="24"/>
          <w:szCs w:val="24"/>
          <w:lang w:val="en-GB" w:eastAsia="zh-CN"/>
        </w:rPr>
        <w:t xml:space="preserve">the GERD </w:t>
      </w:r>
      <w:r w:rsidR="00853B65" w:rsidRPr="006B242D">
        <w:rPr>
          <w:rFonts w:ascii="Book Antiqua" w:hAnsi="Book Antiqua"/>
          <w:sz w:val="24"/>
          <w:szCs w:val="24"/>
          <w:lang w:val="en-GB"/>
        </w:rPr>
        <w:t>patients w</w:t>
      </w:r>
      <w:r w:rsidR="005041DE" w:rsidRPr="006B242D">
        <w:rPr>
          <w:rFonts w:ascii="Book Antiqua" w:hAnsi="Book Antiqua"/>
          <w:sz w:val="24"/>
          <w:szCs w:val="24"/>
          <w:lang w:val="en-GB"/>
        </w:rPr>
        <w:t xml:space="preserve">ith </w:t>
      </w:r>
      <w:r w:rsidR="005041DE" w:rsidRPr="006B242D">
        <w:rPr>
          <w:rFonts w:ascii="Book Antiqua" w:hAnsi="Book Antiqua"/>
          <w:sz w:val="24"/>
          <w:szCs w:val="24"/>
          <w:lang w:val="en-GB" w:eastAsia="zh-CN"/>
        </w:rPr>
        <w:t>and</w:t>
      </w:r>
      <w:r w:rsidR="00B46E59" w:rsidRPr="006B242D">
        <w:rPr>
          <w:rFonts w:ascii="Book Antiqua" w:hAnsi="Book Antiqua"/>
          <w:sz w:val="24"/>
          <w:szCs w:val="24"/>
          <w:lang w:val="en-GB"/>
        </w:rPr>
        <w:t xml:space="preserve"> without</w:t>
      </w:r>
      <w:r w:rsidR="00853B65" w:rsidRPr="006B242D">
        <w:rPr>
          <w:rFonts w:ascii="Book Antiqua" w:hAnsi="Book Antiqua"/>
          <w:sz w:val="24"/>
          <w:szCs w:val="24"/>
          <w:lang w:val="en-GB"/>
        </w:rPr>
        <w:t xml:space="preserve"> somatoform disorders before and after laparoscopic </w:t>
      </w:r>
      <w:bookmarkStart w:id="13" w:name="OLE_LINK15"/>
      <w:bookmarkStart w:id="14" w:name="OLE_LINK16"/>
      <w:r w:rsidR="00853B65" w:rsidRPr="006B242D">
        <w:rPr>
          <w:rFonts w:ascii="Book Antiqua" w:hAnsi="Book Antiqua"/>
          <w:sz w:val="24"/>
          <w:szCs w:val="24"/>
          <w:lang w:val="en-GB"/>
        </w:rPr>
        <w:t>antireflux</w:t>
      </w:r>
      <w:bookmarkEnd w:id="13"/>
      <w:bookmarkEnd w:id="14"/>
      <w:r w:rsidR="00853B65" w:rsidRPr="006B242D">
        <w:rPr>
          <w:rFonts w:ascii="Book Antiqua" w:hAnsi="Book Antiqua"/>
          <w:sz w:val="24"/>
          <w:szCs w:val="24"/>
          <w:lang w:val="en-GB"/>
        </w:rPr>
        <w:t xml:space="preserve"> surgery.</w:t>
      </w:r>
    </w:p>
    <w:p w:rsidR="006E1EF7" w:rsidRPr="006B242D" w:rsidRDefault="006E1EF7" w:rsidP="000B23E9">
      <w:pPr>
        <w:spacing w:line="360" w:lineRule="auto"/>
        <w:jc w:val="both"/>
        <w:rPr>
          <w:rFonts w:ascii="Book Antiqua" w:hAnsi="Book Antiqua"/>
          <w:sz w:val="24"/>
          <w:szCs w:val="24"/>
          <w:lang w:val="en-GB" w:eastAsia="zh-CN"/>
        </w:rPr>
      </w:pPr>
    </w:p>
    <w:p w:rsidR="006E1EF7" w:rsidRPr="006B242D" w:rsidRDefault="006E1EF7" w:rsidP="000B23E9">
      <w:pPr>
        <w:spacing w:line="360" w:lineRule="auto"/>
        <w:jc w:val="both"/>
        <w:rPr>
          <w:rFonts w:ascii="Book Antiqua" w:hAnsi="Book Antiqua"/>
          <w:b/>
          <w:sz w:val="24"/>
          <w:szCs w:val="24"/>
          <w:lang w:val="en-GB" w:eastAsia="zh-CN"/>
        </w:rPr>
      </w:pPr>
      <w:r w:rsidRPr="006B242D">
        <w:rPr>
          <w:rFonts w:ascii="Book Antiqua" w:hAnsi="Book Antiqua"/>
          <w:b/>
          <w:i/>
          <w:color w:val="000000"/>
          <w:sz w:val="24"/>
          <w:szCs w:val="24"/>
        </w:rPr>
        <w:t>METHODS</w:t>
      </w:r>
    </w:p>
    <w:p w:rsidR="00B46E59" w:rsidRPr="006B242D" w:rsidRDefault="00B46E59" w:rsidP="000B23E9">
      <w:pPr>
        <w:spacing w:line="360" w:lineRule="auto"/>
        <w:jc w:val="both"/>
        <w:rPr>
          <w:rFonts w:ascii="Book Antiqua" w:hAnsi="Book Antiqua"/>
          <w:sz w:val="24"/>
          <w:szCs w:val="24"/>
          <w:lang w:val="en-GB" w:eastAsia="zh-CN"/>
        </w:rPr>
      </w:pPr>
      <w:r w:rsidRPr="006B242D">
        <w:rPr>
          <w:rFonts w:ascii="Book Antiqua" w:hAnsi="Book Antiqua"/>
          <w:sz w:val="24"/>
          <w:szCs w:val="24"/>
          <w:lang w:val="en-GB"/>
        </w:rPr>
        <w:t>In a tertiary referral center for foregut surgery over a period of 3 y</w:t>
      </w:r>
      <w:r w:rsidR="001B12CC" w:rsidRPr="006B242D">
        <w:rPr>
          <w:rFonts w:ascii="Book Antiqua" w:hAnsi="Book Antiqua"/>
          <w:sz w:val="24"/>
          <w:szCs w:val="24"/>
          <w:lang w:val="en-GB" w:eastAsia="zh-CN"/>
        </w:rPr>
        <w:t>ea</w:t>
      </w:r>
      <w:r w:rsidR="00B976CD" w:rsidRPr="006B242D">
        <w:rPr>
          <w:rFonts w:ascii="Book Antiqua" w:hAnsi="Book Antiqua"/>
          <w:sz w:val="24"/>
          <w:szCs w:val="24"/>
          <w:lang w:val="en-GB"/>
        </w:rPr>
        <w:t>r</w:t>
      </w:r>
      <w:r w:rsidR="001B12CC" w:rsidRPr="006B242D">
        <w:rPr>
          <w:rFonts w:ascii="Book Antiqua" w:hAnsi="Book Antiqua"/>
          <w:sz w:val="24"/>
          <w:szCs w:val="24"/>
          <w:lang w:val="en-GB" w:eastAsia="zh-CN"/>
        </w:rPr>
        <w:t>s</w:t>
      </w:r>
      <w:r w:rsidRPr="006B242D">
        <w:rPr>
          <w:rFonts w:ascii="Book Antiqua" w:hAnsi="Book Antiqua"/>
          <w:sz w:val="24"/>
          <w:szCs w:val="24"/>
          <w:lang w:val="en-GB"/>
        </w:rPr>
        <w:t xml:space="preserve"> patients with GERD, qualifying for the indication of laparoscopic antireflux surgery, were investigated prospectively regarding their symptomatic spectrum in order to identify GERD and associated somatoform disorders. </w:t>
      </w:r>
      <w:r w:rsidR="00B46558" w:rsidRPr="006B242D">
        <w:rPr>
          <w:rFonts w:ascii="Book Antiqua" w:hAnsi="Book Antiqua"/>
          <w:sz w:val="24"/>
          <w:szCs w:val="24"/>
          <w:lang w:val="en-GB"/>
        </w:rPr>
        <w:t>Assessment of symptoms</w:t>
      </w:r>
      <w:r w:rsidR="00B46558" w:rsidRPr="006B242D">
        <w:rPr>
          <w:rFonts w:ascii="Book Antiqua" w:hAnsi="Book Antiqua"/>
          <w:b/>
          <w:sz w:val="24"/>
          <w:szCs w:val="24"/>
          <w:lang w:val="en-GB"/>
        </w:rPr>
        <w:t xml:space="preserve"> </w:t>
      </w:r>
      <w:r w:rsidR="00B46558" w:rsidRPr="006B242D">
        <w:rPr>
          <w:rFonts w:ascii="Book Antiqua" w:hAnsi="Book Antiqua"/>
          <w:sz w:val="24"/>
          <w:szCs w:val="24"/>
          <w:lang w:val="en-GB"/>
        </w:rPr>
        <w:t>was performed by an instrument for the eval</w:t>
      </w:r>
      <w:r w:rsidR="00B976CD" w:rsidRPr="006B242D">
        <w:rPr>
          <w:rFonts w:ascii="Book Antiqua" w:hAnsi="Book Antiqua"/>
          <w:sz w:val="24"/>
          <w:szCs w:val="24"/>
          <w:lang w:val="en-GB"/>
        </w:rPr>
        <w:t xml:space="preserve">uation of somatoform disorders </w:t>
      </w:r>
      <w:r w:rsidR="00B976CD" w:rsidRPr="006B242D">
        <w:rPr>
          <w:rFonts w:ascii="Book Antiqua" w:hAnsi="Book Antiqua"/>
          <w:sz w:val="24"/>
          <w:szCs w:val="24"/>
          <w:lang w:val="en-GB" w:eastAsia="zh-CN"/>
        </w:rPr>
        <w:t>[</w:t>
      </w:r>
      <w:r w:rsidR="00B46558" w:rsidRPr="006B242D">
        <w:rPr>
          <w:rFonts w:ascii="Book Antiqua" w:hAnsi="Book Antiqua"/>
          <w:sz w:val="24"/>
          <w:szCs w:val="24"/>
          <w:lang w:val="en-GB"/>
        </w:rPr>
        <w:t>So</w:t>
      </w:r>
      <w:r w:rsidR="00B976CD" w:rsidRPr="006B242D">
        <w:rPr>
          <w:rFonts w:ascii="Book Antiqua" w:hAnsi="Book Antiqua"/>
          <w:sz w:val="24"/>
          <w:szCs w:val="24"/>
          <w:lang w:val="en-GB"/>
        </w:rPr>
        <w:t xml:space="preserve">matoform Symptom Index </w:t>
      </w:r>
      <w:r w:rsidR="00B976CD" w:rsidRPr="006B242D">
        <w:rPr>
          <w:rFonts w:ascii="Book Antiqua" w:hAnsi="Book Antiqua"/>
          <w:sz w:val="24"/>
          <w:szCs w:val="24"/>
          <w:lang w:val="en-GB" w:eastAsia="zh-CN"/>
        </w:rPr>
        <w:t>(</w:t>
      </w:r>
      <w:r w:rsidR="00B976CD" w:rsidRPr="006B242D">
        <w:rPr>
          <w:rFonts w:ascii="Book Antiqua" w:hAnsi="Book Antiqua"/>
          <w:sz w:val="24"/>
          <w:szCs w:val="24"/>
          <w:lang w:val="en-GB"/>
        </w:rPr>
        <w:t>SSI</w:t>
      </w:r>
      <w:r w:rsidR="00B976CD" w:rsidRPr="006B242D">
        <w:rPr>
          <w:rFonts w:ascii="Book Antiqua" w:hAnsi="Book Antiqua"/>
          <w:sz w:val="24"/>
          <w:szCs w:val="24"/>
          <w:lang w:val="en-GB" w:eastAsia="zh-CN"/>
        </w:rPr>
        <w:t>)</w:t>
      </w:r>
      <w:r w:rsidR="00B976CD" w:rsidRPr="006B242D">
        <w:rPr>
          <w:rFonts w:ascii="Book Antiqua" w:hAnsi="Book Antiqua"/>
          <w:sz w:val="24"/>
          <w:szCs w:val="24"/>
          <w:lang w:val="en-GB"/>
        </w:rPr>
        <w:t xml:space="preserve"> &gt; 17</w:t>
      </w:r>
      <w:r w:rsidR="00B976CD" w:rsidRPr="006B242D">
        <w:rPr>
          <w:rFonts w:ascii="Book Antiqua" w:hAnsi="Book Antiqua"/>
          <w:sz w:val="24"/>
          <w:szCs w:val="24"/>
          <w:lang w:val="en-GB" w:eastAsia="zh-CN"/>
        </w:rPr>
        <w:t>]</w:t>
      </w:r>
      <w:r w:rsidR="00B46558" w:rsidRPr="006B242D">
        <w:rPr>
          <w:rFonts w:ascii="Book Antiqua" w:hAnsi="Book Antiqua"/>
          <w:sz w:val="24"/>
          <w:szCs w:val="24"/>
          <w:lang w:val="en-GB"/>
        </w:rPr>
        <w:t xml:space="preserve">. Quality of </w:t>
      </w:r>
      <w:r w:rsidR="00B976CD" w:rsidRPr="006B242D">
        <w:rPr>
          <w:rFonts w:ascii="Book Antiqua" w:hAnsi="Book Antiqua"/>
          <w:sz w:val="24"/>
          <w:szCs w:val="24"/>
          <w:lang w:val="en-GB"/>
        </w:rPr>
        <w:t>life</w:t>
      </w:r>
      <w:r w:rsidR="00B46558" w:rsidRPr="006B242D">
        <w:rPr>
          <w:rFonts w:ascii="Book Antiqua" w:hAnsi="Book Antiqua"/>
          <w:sz w:val="24"/>
          <w:szCs w:val="24"/>
          <w:lang w:val="en-GB"/>
        </w:rPr>
        <w:t xml:space="preserve"> was evaluated by Gastrointestinal Quality of Life Index</w:t>
      </w:r>
      <w:r w:rsidR="00B976CD" w:rsidRPr="006B242D">
        <w:rPr>
          <w:rFonts w:ascii="Book Antiqua" w:hAnsi="Book Antiqua"/>
          <w:sz w:val="24"/>
          <w:szCs w:val="24"/>
          <w:lang w:val="en-GB" w:eastAsia="zh-CN"/>
        </w:rPr>
        <w:t xml:space="preserve"> (</w:t>
      </w:r>
      <w:r w:rsidR="00B976CD" w:rsidRPr="006B242D">
        <w:rPr>
          <w:rFonts w:ascii="Book Antiqua" w:hAnsi="Book Antiqua"/>
          <w:sz w:val="24"/>
          <w:szCs w:val="24"/>
          <w:lang w:val="en-GB"/>
        </w:rPr>
        <w:t>GIQLI</w:t>
      </w:r>
      <w:r w:rsidR="00B976CD" w:rsidRPr="006B242D">
        <w:rPr>
          <w:rFonts w:ascii="Book Antiqua" w:hAnsi="Book Antiqua"/>
          <w:sz w:val="24"/>
          <w:szCs w:val="24"/>
          <w:lang w:val="en-GB" w:eastAsia="zh-CN"/>
        </w:rPr>
        <w:t>)</w:t>
      </w:r>
      <w:r w:rsidR="00B46558" w:rsidRPr="006B242D">
        <w:rPr>
          <w:rFonts w:ascii="Book Antiqua" w:hAnsi="Book Antiqua"/>
          <w:sz w:val="24"/>
          <w:szCs w:val="24"/>
          <w:lang w:val="en-GB"/>
        </w:rPr>
        <w:t>.</w:t>
      </w:r>
    </w:p>
    <w:p w:rsidR="005041DE" w:rsidRPr="006B242D" w:rsidRDefault="005041DE" w:rsidP="000B23E9">
      <w:pPr>
        <w:spacing w:line="360" w:lineRule="auto"/>
        <w:jc w:val="both"/>
        <w:rPr>
          <w:rFonts w:ascii="Book Antiqua" w:hAnsi="Book Antiqua"/>
          <w:sz w:val="24"/>
          <w:szCs w:val="24"/>
          <w:lang w:val="en-GB" w:eastAsia="zh-CN"/>
        </w:rPr>
      </w:pPr>
    </w:p>
    <w:p w:rsidR="005041DE" w:rsidRPr="006B242D" w:rsidRDefault="005041DE" w:rsidP="000B23E9">
      <w:pPr>
        <w:spacing w:line="360" w:lineRule="auto"/>
        <w:jc w:val="both"/>
        <w:rPr>
          <w:rFonts w:ascii="Book Antiqua" w:hAnsi="Book Antiqua"/>
          <w:b/>
          <w:sz w:val="24"/>
          <w:szCs w:val="24"/>
          <w:lang w:val="en-GB" w:eastAsia="zh-CN"/>
        </w:rPr>
      </w:pPr>
      <w:r w:rsidRPr="006B242D">
        <w:rPr>
          <w:rFonts w:ascii="Book Antiqua" w:hAnsi="Book Antiqua"/>
          <w:b/>
          <w:i/>
          <w:color w:val="000000"/>
          <w:sz w:val="24"/>
          <w:szCs w:val="24"/>
        </w:rPr>
        <w:t>RESULTS</w:t>
      </w:r>
    </w:p>
    <w:p w:rsidR="006E0D80" w:rsidRPr="006B242D" w:rsidRDefault="00D049F4" w:rsidP="000B23E9">
      <w:pPr>
        <w:spacing w:line="360" w:lineRule="auto"/>
        <w:jc w:val="both"/>
        <w:outlineLvl w:val="0"/>
        <w:rPr>
          <w:rFonts w:ascii="Book Antiqua" w:hAnsi="Book Antiqua"/>
          <w:sz w:val="24"/>
          <w:szCs w:val="24"/>
          <w:lang w:val="en-GB" w:eastAsia="zh-CN"/>
        </w:rPr>
      </w:pPr>
      <w:r w:rsidRPr="006B242D">
        <w:rPr>
          <w:rFonts w:ascii="Book Antiqua" w:hAnsi="Book Antiqua"/>
          <w:sz w:val="24"/>
          <w:szCs w:val="24"/>
          <w:lang w:val="en-GB"/>
        </w:rPr>
        <w:t xml:space="preserve">In 123 patients an indication for laparoscopic antireflux surgery was established and in 43 patients further medical therapy was suggested. The portion of somatoform tendencies in the </w:t>
      </w:r>
      <w:r w:rsidR="00DC7F7A" w:rsidRPr="006B242D">
        <w:rPr>
          <w:rFonts w:ascii="Book Antiqua" w:hAnsi="Book Antiqua"/>
          <w:sz w:val="24"/>
          <w:szCs w:val="24"/>
          <w:lang w:val="en-GB"/>
        </w:rPr>
        <w:t>total patient population was 20</w:t>
      </w:r>
      <w:r w:rsidR="00DC7F7A" w:rsidRPr="006B242D">
        <w:rPr>
          <w:rFonts w:ascii="Book Antiqua" w:hAnsi="Book Antiqua"/>
          <w:sz w:val="24"/>
          <w:szCs w:val="24"/>
          <w:lang w:val="en-GB" w:eastAsia="zh-CN"/>
        </w:rPr>
        <w:t>.</w:t>
      </w:r>
      <w:r w:rsidRPr="006B242D">
        <w:rPr>
          <w:rFonts w:ascii="Book Antiqua" w:hAnsi="Book Antiqua"/>
          <w:sz w:val="24"/>
          <w:szCs w:val="24"/>
          <w:lang w:val="en-GB"/>
        </w:rPr>
        <w:t>48% (34 patients). Patients with a positive SSI had a preoperative GIQLI of 77 (32-111). Patients with a normal SSI had a GIQLI of 105 (29-140)</w:t>
      </w:r>
      <w:r w:rsidR="00DC7F7A" w:rsidRPr="006B242D">
        <w:rPr>
          <w:rFonts w:ascii="Book Antiqua" w:hAnsi="Book Antiqua"/>
          <w:sz w:val="24"/>
          <w:szCs w:val="24"/>
          <w:lang w:val="en-GB" w:eastAsia="zh-CN"/>
        </w:rPr>
        <w:t xml:space="preserve"> </w:t>
      </w:r>
      <w:r w:rsidRPr="006B242D">
        <w:rPr>
          <w:rFonts w:ascii="Book Antiqua" w:hAnsi="Book Antiqua"/>
          <w:sz w:val="24"/>
          <w:szCs w:val="24"/>
          <w:lang w:val="en-GB"/>
        </w:rPr>
        <w:t>(</w:t>
      </w:r>
      <w:r w:rsidR="00DC7F7A" w:rsidRPr="006B242D">
        <w:rPr>
          <w:rFonts w:ascii="Book Antiqua" w:hAnsi="Book Antiqua"/>
          <w:i/>
          <w:sz w:val="24"/>
          <w:szCs w:val="24"/>
          <w:lang w:val="en-GB"/>
        </w:rPr>
        <w:t>P</w:t>
      </w:r>
      <w:r w:rsidR="00DC7F7A" w:rsidRPr="006B242D">
        <w:rPr>
          <w:rFonts w:ascii="Book Antiqua" w:hAnsi="Book Antiqua"/>
          <w:sz w:val="24"/>
          <w:szCs w:val="24"/>
          <w:lang w:val="en-GB" w:eastAsia="zh-CN"/>
        </w:rPr>
        <w:t xml:space="preserve"> </w:t>
      </w:r>
      <w:r w:rsidRPr="006B242D">
        <w:rPr>
          <w:rFonts w:ascii="Book Antiqua" w:hAnsi="Book Antiqua"/>
          <w:sz w:val="24"/>
          <w:szCs w:val="24"/>
          <w:lang w:val="en-GB"/>
        </w:rPr>
        <w:t>&lt;</w:t>
      </w:r>
      <w:r w:rsidR="00DC7F7A" w:rsidRPr="006B242D">
        <w:rPr>
          <w:rFonts w:ascii="Book Antiqua" w:hAnsi="Book Antiqua"/>
          <w:sz w:val="24"/>
          <w:szCs w:val="24"/>
          <w:lang w:val="en-GB" w:eastAsia="zh-CN"/>
        </w:rPr>
        <w:t xml:space="preserve"> </w:t>
      </w:r>
      <w:r w:rsidR="00DC7F7A" w:rsidRPr="006B242D">
        <w:rPr>
          <w:rFonts w:ascii="Book Antiqua" w:hAnsi="Book Antiqua"/>
          <w:sz w:val="24"/>
          <w:szCs w:val="24"/>
          <w:lang w:val="en-GB"/>
        </w:rPr>
        <w:t>0</w:t>
      </w:r>
      <w:r w:rsidR="00DC7F7A" w:rsidRPr="006B242D">
        <w:rPr>
          <w:rFonts w:ascii="Book Antiqua" w:hAnsi="Book Antiqua"/>
          <w:sz w:val="24"/>
          <w:szCs w:val="24"/>
          <w:lang w:val="en-GB" w:eastAsia="zh-CN"/>
        </w:rPr>
        <w:t>.</w:t>
      </w:r>
      <w:r w:rsidR="00DC7F7A" w:rsidRPr="006B242D">
        <w:rPr>
          <w:rFonts w:ascii="Book Antiqua" w:hAnsi="Book Antiqua"/>
          <w:sz w:val="24"/>
          <w:szCs w:val="24"/>
          <w:lang w:val="en-GB"/>
        </w:rPr>
        <w:t xml:space="preserve">0001). In </w:t>
      </w:r>
      <w:r w:rsidR="00EE71C0" w:rsidRPr="006B242D">
        <w:rPr>
          <w:rFonts w:ascii="Book Antiqua" w:hAnsi="Book Antiqua"/>
          <w:sz w:val="24"/>
          <w:szCs w:val="24"/>
          <w:lang w:val="en-GB"/>
        </w:rPr>
        <w:t>patients</w:t>
      </w:r>
      <w:r w:rsidR="001617F8" w:rsidRPr="006B242D">
        <w:rPr>
          <w:rFonts w:ascii="Book Antiqua" w:hAnsi="Book Antiqua"/>
          <w:sz w:val="24"/>
          <w:szCs w:val="24"/>
          <w:lang w:val="en-GB" w:eastAsia="zh-CN"/>
        </w:rPr>
        <w:t xml:space="preserve"> </w:t>
      </w:r>
      <w:r w:rsidR="00EE71C0" w:rsidRPr="006B242D">
        <w:rPr>
          <w:rFonts w:ascii="Book Antiqua" w:hAnsi="Book Antiqua"/>
          <w:sz w:val="24"/>
          <w:szCs w:val="24"/>
          <w:lang w:val="en-GB"/>
        </w:rPr>
        <w:t xml:space="preserve">with GERD the </w:t>
      </w:r>
      <w:r w:rsidR="00DC7F7A" w:rsidRPr="006B242D">
        <w:rPr>
          <w:rFonts w:ascii="Book Antiqua" w:hAnsi="Book Antiqua"/>
          <w:sz w:val="24"/>
          <w:szCs w:val="24"/>
          <w:lang w:val="en-GB"/>
        </w:rPr>
        <w:t>quality</w:t>
      </w:r>
      <w:r w:rsidR="00EE71C0" w:rsidRPr="006B242D">
        <w:rPr>
          <w:rFonts w:ascii="Book Antiqua" w:hAnsi="Book Antiqua"/>
          <w:sz w:val="24"/>
          <w:szCs w:val="24"/>
          <w:lang w:val="en-GB"/>
        </w:rPr>
        <w:t xml:space="preserve"> of </w:t>
      </w:r>
      <w:r w:rsidR="00DC7F7A" w:rsidRPr="006B242D">
        <w:rPr>
          <w:rFonts w:ascii="Book Antiqua" w:hAnsi="Book Antiqua"/>
          <w:sz w:val="24"/>
          <w:szCs w:val="24"/>
          <w:lang w:val="en-GB"/>
        </w:rPr>
        <w:t>life</w:t>
      </w:r>
      <w:r w:rsidR="00EE71C0" w:rsidRPr="006B242D">
        <w:rPr>
          <w:rFonts w:ascii="Book Antiqua" w:hAnsi="Book Antiqua"/>
          <w:sz w:val="24"/>
          <w:szCs w:val="24"/>
          <w:lang w:val="en-GB"/>
        </w:rPr>
        <w:t xml:space="preserve"> could be normalized from preoper</w:t>
      </w:r>
      <w:r w:rsidR="006320B2" w:rsidRPr="006B242D">
        <w:rPr>
          <w:rFonts w:ascii="Book Antiqua" w:hAnsi="Book Antiqua"/>
          <w:sz w:val="24"/>
          <w:szCs w:val="24"/>
          <w:lang w:val="en-GB"/>
        </w:rPr>
        <w:t>ative reduced values of GIQLI 102</w:t>
      </w:r>
      <w:r w:rsidR="009B537B" w:rsidRPr="006B242D">
        <w:rPr>
          <w:rFonts w:ascii="Book Antiqua" w:hAnsi="Book Antiqua"/>
          <w:sz w:val="24"/>
          <w:szCs w:val="24"/>
          <w:lang w:val="en-GB"/>
        </w:rPr>
        <w:t xml:space="preserve"> (47-140) to postoperative </w:t>
      </w:r>
      <w:r w:rsidR="00EE71C0" w:rsidRPr="006B242D">
        <w:rPr>
          <w:rFonts w:ascii="Book Antiqua" w:hAnsi="Book Antiqua"/>
          <w:sz w:val="24"/>
          <w:szCs w:val="24"/>
          <w:lang w:val="en-GB"/>
        </w:rPr>
        <w:t>values of 117 (44-144). In patients with GERD and somatoform disorders, the GIQLI was improved from preoperative GIQLI 75 (47-111) to postoperative 95 (44-122) (</w:t>
      </w:r>
      <w:r w:rsidR="00DC7F7A" w:rsidRPr="006B242D">
        <w:rPr>
          <w:rFonts w:ascii="Book Antiqua" w:hAnsi="Book Antiqua"/>
          <w:i/>
          <w:sz w:val="24"/>
          <w:szCs w:val="24"/>
          <w:lang w:val="en-GB"/>
        </w:rPr>
        <w:t>P</w:t>
      </w:r>
      <w:r w:rsidR="00DC7F7A" w:rsidRPr="006B242D">
        <w:rPr>
          <w:rFonts w:ascii="Book Antiqua" w:hAnsi="Book Antiqua"/>
          <w:sz w:val="24"/>
          <w:szCs w:val="24"/>
          <w:lang w:val="en-GB" w:eastAsia="zh-CN"/>
        </w:rPr>
        <w:t xml:space="preserve"> </w:t>
      </w:r>
      <w:r w:rsidR="00EE71C0" w:rsidRPr="006B242D">
        <w:rPr>
          <w:rFonts w:ascii="Book Antiqua" w:hAnsi="Book Antiqua"/>
          <w:sz w:val="24"/>
          <w:szCs w:val="24"/>
          <w:lang w:val="en-GB"/>
        </w:rPr>
        <w:t>&lt;</w:t>
      </w:r>
      <w:r w:rsidR="001617F8" w:rsidRPr="006B242D">
        <w:rPr>
          <w:rFonts w:ascii="Book Antiqua" w:hAnsi="Book Antiqua"/>
          <w:sz w:val="24"/>
          <w:szCs w:val="24"/>
          <w:lang w:val="en-GB" w:eastAsia="zh-CN"/>
        </w:rPr>
        <w:t xml:space="preserve"> </w:t>
      </w:r>
      <w:r w:rsidR="00DC7F7A" w:rsidRPr="006B242D">
        <w:rPr>
          <w:rFonts w:ascii="Book Antiqua" w:hAnsi="Book Antiqua"/>
          <w:sz w:val="24"/>
          <w:szCs w:val="24"/>
          <w:lang w:val="en-GB"/>
        </w:rPr>
        <w:t>0</w:t>
      </w:r>
      <w:r w:rsidR="00DC7F7A" w:rsidRPr="006B242D">
        <w:rPr>
          <w:rFonts w:ascii="Book Antiqua" w:hAnsi="Book Antiqua"/>
          <w:sz w:val="24"/>
          <w:szCs w:val="24"/>
          <w:lang w:val="en-GB" w:eastAsia="zh-CN"/>
        </w:rPr>
        <w:t>.</w:t>
      </w:r>
      <w:r w:rsidR="00EE71C0" w:rsidRPr="006B242D">
        <w:rPr>
          <w:rFonts w:ascii="Book Antiqua" w:hAnsi="Book Antiqua"/>
          <w:sz w:val="24"/>
          <w:szCs w:val="24"/>
          <w:lang w:val="en-GB"/>
        </w:rPr>
        <w:t>0043).</w:t>
      </w:r>
      <w:r w:rsidR="006E0D80" w:rsidRPr="006B242D">
        <w:rPr>
          <w:rFonts w:ascii="Book Antiqua" w:hAnsi="Book Antiqua"/>
          <w:sz w:val="24"/>
          <w:szCs w:val="24"/>
          <w:lang w:val="en-GB"/>
        </w:rPr>
        <w:t xml:space="preserve"> </w:t>
      </w:r>
    </w:p>
    <w:p w:rsidR="005041DE" w:rsidRPr="006B242D" w:rsidRDefault="005041DE" w:rsidP="000B23E9">
      <w:pPr>
        <w:spacing w:line="360" w:lineRule="auto"/>
        <w:jc w:val="both"/>
        <w:outlineLvl w:val="0"/>
        <w:rPr>
          <w:rFonts w:ascii="Book Antiqua" w:hAnsi="Book Antiqua"/>
          <w:sz w:val="24"/>
          <w:szCs w:val="24"/>
          <w:lang w:val="en-GB" w:eastAsia="zh-CN"/>
        </w:rPr>
      </w:pPr>
    </w:p>
    <w:p w:rsidR="005041DE" w:rsidRPr="006B242D" w:rsidRDefault="005041DE" w:rsidP="000B23E9">
      <w:pPr>
        <w:spacing w:line="360" w:lineRule="auto"/>
        <w:jc w:val="both"/>
        <w:outlineLvl w:val="0"/>
        <w:rPr>
          <w:rFonts w:ascii="Book Antiqua" w:hAnsi="Book Antiqua"/>
          <w:sz w:val="24"/>
          <w:szCs w:val="24"/>
          <w:lang w:val="en-GB" w:eastAsia="zh-CN"/>
        </w:rPr>
      </w:pPr>
      <w:r w:rsidRPr="006B242D">
        <w:rPr>
          <w:rFonts w:ascii="Book Antiqua" w:hAnsi="Book Antiqua"/>
          <w:b/>
          <w:i/>
          <w:color w:val="000000"/>
          <w:sz w:val="24"/>
          <w:szCs w:val="24"/>
        </w:rPr>
        <w:t>CONCLUSION</w:t>
      </w:r>
    </w:p>
    <w:p w:rsidR="00EE71C0" w:rsidRPr="006B242D" w:rsidRDefault="006E0D80" w:rsidP="000B23E9">
      <w:pPr>
        <w:spacing w:line="360" w:lineRule="auto"/>
        <w:jc w:val="both"/>
        <w:outlineLvl w:val="0"/>
        <w:rPr>
          <w:rFonts w:ascii="Book Antiqua" w:hAnsi="Book Antiqua"/>
          <w:sz w:val="24"/>
          <w:szCs w:val="24"/>
          <w:lang w:val="en-GB"/>
        </w:rPr>
      </w:pPr>
      <w:r w:rsidRPr="006B242D">
        <w:rPr>
          <w:rFonts w:ascii="Book Antiqua" w:hAnsi="Book Antiqua"/>
          <w:sz w:val="24"/>
          <w:szCs w:val="24"/>
          <w:lang w:val="en-GB"/>
        </w:rPr>
        <w:t xml:space="preserve">Patients with GERD and associated somatoform disorders have significantly worse levels of </w:t>
      </w:r>
      <w:r w:rsidR="00DC7F7A" w:rsidRPr="006B242D">
        <w:rPr>
          <w:rFonts w:ascii="Book Antiqua" w:hAnsi="Book Antiqua"/>
          <w:sz w:val="24"/>
          <w:szCs w:val="24"/>
          <w:lang w:val="en-GB"/>
        </w:rPr>
        <w:t>quality of life.</w:t>
      </w:r>
      <w:r w:rsidRPr="006B242D">
        <w:rPr>
          <w:rFonts w:ascii="Book Antiqua" w:hAnsi="Book Antiqua"/>
          <w:sz w:val="24"/>
          <w:szCs w:val="24"/>
          <w:lang w:val="en-GB"/>
        </w:rPr>
        <w:t xml:space="preserve"> The latter patients can also benefit from laparoscopic fundoplication, however they will not reach a normal level.</w:t>
      </w:r>
    </w:p>
    <w:p w:rsidR="00E73AE0" w:rsidRPr="006B242D" w:rsidRDefault="00E73AE0" w:rsidP="000B23E9">
      <w:pPr>
        <w:spacing w:line="360" w:lineRule="auto"/>
        <w:jc w:val="both"/>
        <w:rPr>
          <w:rFonts w:ascii="Book Antiqua" w:hAnsi="Book Antiqua"/>
          <w:b/>
          <w:sz w:val="24"/>
          <w:szCs w:val="24"/>
          <w:u w:val="single"/>
          <w:lang w:val="en-GB" w:eastAsia="zh-CN"/>
        </w:rPr>
      </w:pPr>
    </w:p>
    <w:p w:rsidR="00E73AE0" w:rsidRPr="006B242D" w:rsidRDefault="00DC7F7A" w:rsidP="000B23E9">
      <w:pPr>
        <w:spacing w:line="360" w:lineRule="auto"/>
        <w:jc w:val="both"/>
        <w:rPr>
          <w:rFonts w:ascii="Book Antiqua" w:hAnsi="Book Antiqua"/>
          <w:sz w:val="24"/>
          <w:szCs w:val="24"/>
          <w:lang w:val="en-GB"/>
        </w:rPr>
      </w:pPr>
      <w:r w:rsidRPr="006B242D">
        <w:rPr>
          <w:rFonts w:ascii="Book Antiqua" w:hAnsi="Book Antiqua" w:cs="Arial"/>
          <w:b/>
          <w:sz w:val="24"/>
          <w:szCs w:val="24"/>
        </w:rPr>
        <w:t>Key</w:t>
      </w:r>
      <w:r w:rsidRPr="006B242D">
        <w:rPr>
          <w:rFonts w:ascii="Book Antiqua" w:hAnsi="Book Antiqua" w:cs="Arial"/>
          <w:b/>
          <w:sz w:val="24"/>
          <w:szCs w:val="24"/>
          <w:lang w:eastAsia="zh-CN"/>
        </w:rPr>
        <w:t xml:space="preserve"> </w:t>
      </w:r>
      <w:r w:rsidRPr="006B242D">
        <w:rPr>
          <w:rFonts w:ascii="Book Antiqua" w:hAnsi="Book Antiqua" w:cs="Arial"/>
          <w:b/>
          <w:sz w:val="24"/>
          <w:szCs w:val="24"/>
        </w:rPr>
        <w:t>words:</w:t>
      </w:r>
      <w:r w:rsidR="00E73AE0" w:rsidRPr="006B242D">
        <w:rPr>
          <w:rFonts w:ascii="Book Antiqua" w:hAnsi="Book Antiqua"/>
          <w:sz w:val="24"/>
          <w:szCs w:val="24"/>
          <w:lang w:val="en-GB"/>
        </w:rPr>
        <w:t xml:space="preserve"> </w:t>
      </w:r>
      <w:r w:rsidRPr="006B242D">
        <w:rPr>
          <w:rFonts w:ascii="Book Antiqua" w:hAnsi="Book Antiqua"/>
          <w:sz w:val="24"/>
          <w:szCs w:val="24"/>
          <w:lang w:val="en-GB"/>
        </w:rPr>
        <w:t>Gastroesophageal reflux disease</w:t>
      </w:r>
      <w:r w:rsidR="00E73AE0" w:rsidRPr="006B242D">
        <w:rPr>
          <w:rFonts w:ascii="Book Antiqua" w:hAnsi="Book Antiqua"/>
          <w:sz w:val="24"/>
          <w:szCs w:val="24"/>
          <w:lang w:val="en-GB"/>
        </w:rPr>
        <w:t xml:space="preserve">; </w:t>
      </w:r>
      <w:r w:rsidRPr="006B242D">
        <w:rPr>
          <w:rFonts w:ascii="Book Antiqua" w:hAnsi="Book Antiqua"/>
          <w:sz w:val="24"/>
          <w:szCs w:val="24"/>
          <w:lang w:val="en-GB"/>
        </w:rPr>
        <w:t>A</w:t>
      </w:r>
      <w:r w:rsidR="00E73AE0" w:rsidRPr="006B242D">
        <w:rPr>
          <w:rFonts w:ascii="Book Antiqua" w:hAnsi="Book Antiqua"/>
          <w:sz w:val="24"/>
          <w:szCs w:val="24"/>
          <w:lang w:val="en-GB"/>
        </w:rPr>
        <w:t xml:space="preserve">ntireflux surgery; </w:t>
      </w:r>
      <w:r w:rsidRPr="006B242D">
        <w:rPr>
          <w:rFonts w:ascii="Book Antiqua" w:hAnsi="Book Antiqua"/>
          <w:sz w:val="24"/>
          <w:szCs w:val="24"/>
          <w:lang w:val="en-GB"/>
        </w:rPr>
        <w:t>L</w:t>
      </w:r>
      <w:r w:rsidR="00E73AE0" w:rsidRPr="006B242D">
        <w:rPr>
          <w:rFonts w:ascii="Book Antiqua" w:hAnsi="Book Antiqua"/>
          <w:sz w:val="24"/>
          <w:szCs w:val="24"/>
          <w:lang w:val="en-GB"/>
        </w:rPr>
        <w:t xml:space="preserve">aparoscopic fundoplication; </w:t>
      </w:r>
      <w:r w:rsidRPr="006B242D">
        <w:rPr>
          <w:rFonts w:ascii="Book Antiqua" w:hAnsi="Book Antiqua"/>
          <w:sz w:val="24"/>
          <w:szCs w:val="24"/>
          <w:lang w:val="en-GB"/>
        </w:rPr>
        <w:t>S</w:t>
      </w:r>
      <w:r w:rsidR="00E73AE0" w:rsidRPr="006B242D">
        <w:rPr>
          <w:rFonts w:ascii="Book Antiqua" w:hAnsi="Book Antiqua"/>
          <w:sz w:val="24"/>
          <w:szCs w:val="24"/>
          <w:lang w:val="en-GB"/>
        </w:rPr>
        <w:t>omati</w:t>
      </w:r>
      <w:r w:rsidR="002336EB" w:rsidRPr="006B242D">
        <w:rPr>
          <w:rFonts w:ascii="Book Antiqua" w:hAnsi="Book Antiqua"/>
          <w:sz w:val="24"/>
          <w:szCs w:val="24"/>
          <w:lang w:val="en-GB"/>
        </w:rPr>
        <w:t>z</w:t>
      </w:r>
      <w:r w:rsidR="00E73AE0" w:rsidRPr="006B242D">
        <w:rPr>
          <w:rFonts w:ascii="Book Antiqua" w:hAnsi="Book Antiqua"/>
          <w:sz w:val="24"/>
          <w:szCs w:val="24"/>
          <w:lang w:val="en-GB"/>
        </w:rPr>
        <w:t xml:space="preserve">ation; </w:t>
      </w:r>
      <w:r w:rsidRPr="006B242D">
        <w:rPr>
          <w:rFonts w:ascii="Book Antiqua" w:hAnsi="Book Antiqua"/>
          <w:sz w:val="24"/>
          <w:szCs w:val="24"/>
          <w:lang w:val="en-GB"/>
        </w:rPr>
        <w:t xml:space="preserve">Gastroesophageal reflux disease </w:t>
      </w:r>
      <w:r w:rsidR="00E73AE0" w:rsidRPr="006B242D">
        <w:rPr>
          <w:rFonts w:ascii="Book Antiqua" w:hAnsi="Book Antiqua"/>
          <w:sz w:val="24"/>
          <w:szCs w:val="24"/>
          <w:lang w:val="en-GB"/>
        </w:rPr>
        <w:t>symptoms</w:t>
      </w:r>
    </w:p>
    <w:p w:rsidR="00E73AE0" w:rsidRPr="006B242D" w:rsidRDefault="00E73AE0" w:rsidP="000B23E9">
      <w:pPr>
        <w:spacing w:line="360" w:lineRule="auto"/>
        <w:jc w:val="both"/>
        <w:rPr>
          <w:rFonts w:ascii="Book Antiqua" w:hAnsi="Book Antiqua"/>
          <w:b/>
          <w:sz w:val="24"/>
          <w:szCs w:val="24"/>
          <w:lang w:val="en-GB" w:eastAsia="zh-CN"/>
        </w:rPr>
      </w:pPr>
    </w:p>
    <w:p w:rsidR="00DC7F7A" w:rsidRPr="006B242D" w:rsidRDefault="00DC7F7A" w:rsidP="000B23E9">
      <w:pPr>
        <w:spacing w:line="360" w:lineRule="auto"/>
        <w:jc w:val="both"/>
        <w:rPr>
          <w:rFonts w:ascii="Book Antiqua" w:hAnsi="Book Antiqua" w:cs="Arial Unicode MS"/>
          <w:sz w:val="24"/>
          <w:szCs w:val="24"/>
          <w:lang w:val="fr-FR" w:eastAsia="zh-CN"/>
        </w:rPr>
      </w:pPr>
      <w:r w:rsidRPr="006B242D">
        <w:rPr>
          <w:rFonts w:ascii="Book Antiqua" w:hAnsi="Book Antiqua" w:cs="Tahoma"/>
          <w:b/>
          <w:color w:val="000000"/>
          <w:sz w:val="24"/>
          <w:szCs w:val="24"/>
          <w:lang w:val="en-GB" w:eastAsia="ja-JP"/>
        </w:rPr>
        <w:t xml:space="preserve">© </w:t>
      </w:r>
      <w:r w:rsidRPr="006B242D">
        <w:rPr>
          <w:rFonts w:ascii="Book Antiqua" w:eastAsia="AdvTimes" w:hAnsi="Book Antiqua" w:cs="AdvTimes"/>
          <w:b/>
          <w:color w:val="000000"/>
          <w:sz w:val="24"/>
          <w:szCs w:val="24"/>
          <w:lang w:val="fr-FR" w:eastAsia="ja-JP"/>
        </w:rPr>
        <w:t>The Author(s) 201</w:t>
      </w:r>
      <w:r w:rsidRPr="006B242D">
        <w:rPr>
          <w:rFonts w:ascii="Book Antiqua" w:hAnsi="Book Antiqua" w:cs="AdvTimes"/>
          <w:b/>
          <w:color w:val="000000"/>
          <w:sz w:val="24"/>
          <w:szCs w:val="24"/>
          <w:lang w:val="fr-FR" w:eastAsia="zh-CN"/>
        </w:rPr>
        <w:t>9</w:t>
      </w:r>
      <w:r w:rsidRPr="006B242D">
        <w:rPr>
          <w:rFonts w:ascii="Book Antiqua" w:eastAsia="AdvTimes" w:hAnsi="Book Antiqua" w:cs="AdvTimes"/>
          <w:b/>
          <w:color w:val="000000"/>
          <w:sz w:val="24"/>
          <w:szCs w:val="24"/>
          <w:lang w:val="fr-FR" w:eastAsia="ja-JP"/>
        </w:rPr>
        <w:t>.</w:t>
      </w:r>
      <w:r w:rsidRPr="006B242D">
        <w:rPr>
          <w:rFonts w:ascii="Book Antiqua" w:eastAsia="AdvTimes" w:hAnsi="Book Antiqua" w:cs="AdvTimes"/>
          <w:color w:val="000000"/>
          <w:sz w:val="24"/>
          <w:szCs w:val="24"/>
          <w:lang w:val="fr-FR" w:eastAsia="ja-JP"/>
        </w:rPr>
        <w:t xml:space="preserve"> Published by </w:t>
      </w:r>
      <w:r w:rsidRPr="006B242D">
        <w:rPr>
          <w:rFonts w:ascii="Book Antiqua" w:hAnsi="Book Antiqua" w:cs="Arial Unicode MS"/>
          <w:color w:val="000000"/>
          <w:sz w:val="24"/>
          <w:szCs w:val="24"/>
          <w:lang w:val="en-GB" w:eastAsia="ja-JP"/>
        </w:rPr>
        <w:t>Baishideng Publishing Group Inc.</w:t>
      </w:r>
      <w:r w:rsidRPr="006B242D">
        <w:rPr>
          <w:rFonts w:ascii="Book Antiqua" w:hAnsi="Book Antiqua" w:cs="Arial Unicode MS"/>
          <w:sz w:val="24"/>
          <w:szCs w:val="24"/>
          <w:lang w:val="en-GB" w:eastAsia="ja-JP"/>
        </w:rPr>
        <w:t xml:space="preserve"> </w:t>
      </w:r>
      <w:r w:rsidRPr="006B242D">
        <w:rPr>
          <w:rFonts w:ascii="Book Antiqua" w:hAnsi="Book Antiqua" w:cs="Arial Unicode MS"/>
          <w:sz w:val="24"/>
          <w:szCs w:val="24"/>
          <w:lang w:val="fr-FR" w:eastAsia="ja-JP"/>
        </w:rPr>
        <w:t>All rights reserved</w:t>
      </w:r>
      <w:r w:rsidRPr="006B242D">
        <w:rPr>
          <w:rFonts w:ascii="Book Antiqua" w:hAnsi="Book Antiqua" w:cs="Arial Unicode MS"/>
          <w:sz w:val="24"/>
          <w:szCs w:val="24"/>
          <w:lang w:val="fr-FR"/>
        </w:rPr>
        <w:t>.</w:t>
      </w:r>
    </w:p>
    <w:p w:rsidR="00DC7F7A" w:rsidRPr="006B242D" w:rsidRDefault="00DC7F7A" w:rsidP="000B23E9">
      <w:pPr>
        <w:spacing w:line="360" w:lineRule="auto"/>
        <w:jc w:val="both"/>
        <w:rPr>
          <w:rFonts w:ascii="Book Antiqua" w:hAnsi="Book Antiqua"/>
          <w:b/>
          <w:sz w:val="24"/>
          <w:szCs w:val="24"/>
          <w:lang w:val="fr-FR" w:eastAsia="zh-CN"/>
        </w:rPr>
      </w:pPr>
    </w:p>
    <w:p w:rsidR="00142620" w:rsidRPr="006B242D" w:rsidRDefault="00DC7F7A" w:rsidP="000B23E9">
      <w:pPr>
        <w:spacing w:line="360" w:lineRule="auto"/>
        <w:jc w:val="both"/>
        <w:rPr>
          <w:rFonts w:ascii="Book Antiqua" w:hAnsi="Book Antiqua"/>
          <w:sz w:val="24"/>
          <w:szCs w:val="24"/>
          <w:lang w:val="en-GB" w:eastAsia="zh-CN"/>
        </w:rPr>
      </w:pPr>
      <w:r w:rsidRPr="006B242D">
        <w:rPr>
          <w:rFonts w:ascii="Book Antiqua" w:hAnsi="Book Antiqua" w:cs="Arial"/>
          <w:b/>
          <w:sz w:val="24"/>
          <w:szCs w:val="24"/>
        </w:rPr>
        <w:t>Core tip</w:t>
      </w:r>
      <w:r w:rsidRPr="006B242D">
        <w:rPr>
          <w:rFonts w:ascii="Book Antiqua" w:hAnsi="Book Antiqua" w:cs="Arial"/>
          <w:b/>
          <w:sz w:val="24"/>
          <w:szCs w:val="24"/>
          <w:lang w:eastAsia="zh-CN"/>
        </w:rPr>
        <w:t>:</w:t>
      </w:r>
      <w:r w:rsidR="00142620" w:rsidRPr="006B242D">
        <w:rPr>
          <w:rFonts w:ascii="Book Antiqua" w:eastAsia="Arial Unicode MS" w:hAnsi="Book Antiqua" w:cs="Arial Unicode MS"/>
          <w:b/>
          <w:sz w:val="24"/>
          <w:szCs w:val="24"/>
          <w:lang w:eastAsia="zh-CN"/>
        </w:rPr>
        <w:t xml:space="preserve"> </w:t>
      </w:r>
      <w:r w:rsidR="00142620" w:rsidRPr="006B242D">
        <w:rPr>
          <w:rFonts w:ascii="Book Antiqua" w:hAnsi="Book Antiqua"/>
          <w:sz w:val="24"/>
          <w:szCs w:val="24"/>
          <w:lang w:val="en-GB" w:eastAsia="zh-CN"/>
        </w:rPr>
        <w:t>The current level of evidence performing antireflux surgery in patients with overlapping symptoms such as dyspepsia, functional heartburn and/or somatoform disorders is limited and debated in small case series. In a tertiary referral center for foregut surgery (the largest center for antireflux surgery in Germany)</w:t>
      </w:r>
      <w:r w:rsidRPr="006B242D">
        <w:rPr>
          <w:rFonts w:ascii="Book Antiqua" w:hAnsi="Book Antiqua"/>
          <w:sz w:val="24"/>
          <w:szCs w:val="24"/>
          <w:lang w:val="en-GB" w:eastAsia="zh-CN"/>
        </w:rPr>
        <w:t>,</w:t>
      </w:r>
      <w:r w:rsidR="00142620" w:rsidRPr="006B242D">
        <w:rPr>
          <w:rFonts w:ascii="Book Antiqua" w:hAnsi="Book Antiqua"/>
          <w:sz w:val="24"/>
          <w:szCs w:val="24"/>
          <w:lang w:val="en-GB" w:eastAsia="zh-CN"/>
        </w:rPr>
        <w:t xml:space="preserve"> we studied patients with </w:t>
      </w:r>
      <w:r w:rsidRPr="006B242D">
        <w:rPr>
          <w:rFonts w:ascii="Book Antiqua" w:hAnsi="Book Antiqua"/>
          <w:sz w:val="24"/>
          <w:szCs w:val="24"/>
          <w:lang w:val="en-GB"/>
        </w:rPr>
        <w:t>gastroesophageal reflux disease</w:t>
      </w:r>
      <w:r w:rsidRPr="006B242D">
        <w:rPr>
          <w:rFonts w:ascii="Book Antiqua" w:hAnsi="Book Antiqua"/>
          <w:sz w:val="24"/>
          <w:szCs w:val="24"/>
          <w:lang w:val="en-GB" w:eastAsia="zh-CN"/>
        </w:rPr>
        <w:t xml:space="preserve"> (</w:t>
      </w:r>
      <w:r w:rsidR="00142620" w:rsidRPr="006B242D">
        <w:rPr>
          <w:rFonts w:ascii="Book Antiqua" w:hAnsi="Book Antiqua"/>
          <w:sz w:val="24"/>
          <w:szCs w:val="24"/>
          <w:lang w:val="en-GB" w:eastAsia="zh-CN"/>
        </w:rPr>
        <w:t>GERD</w:t>
      </w:r>
      <w:r w:rsidRPr="006B242D">
        <w:rPr>
          <w:rFonts w:ascii="Book Antiqua" w:hAnsi="Book Antiqua"/>
          <w:sz w:val="24"/>
          <w:szCs w:val="24"/>
          <w:lang w:val="en-GB" w:eastAsia="zh-CN"/>
        </w:rPr>
        <w:t>)</w:t>
      </w:r>
      <w:r w:rsidR="00142620" w:rsidRPr="006B242D">
        <w:rPr>
          <w:rFonts w:ascii="Book Antiqua" w:hAnsi="Book Antiqua"/>
          <w:sz w:val="24"/>
          <w:szCs w:val="24"/>
          <w:lang w:val="en-GB" w:eastAsia="zh-CN"/>
        </w:rPr>
        <w:t xml:space="preserve"> regarding their symptomatic</w:t>
      </w:r>
      <w:r w:rsidRPr="006B242D">
        <w:rPr>
          <w:rFonts w:ascii="Book Antiqua" w:hAnsi="Book Antiqua"/>
          <w:sz w:val="24"/>
          <w:szCs w:val="24"/>
          <w:lang w:val="en-GB" w:eastAsia="zh-CN"/>
        </w:rPr>
        <w:t xml:space="preserve"> spectrum over a period of 3 y</w:t>
      </w:r>
      <w:r w:rsidR="001B12CC" w:rsidRPr="006B242D">
        <w:rPr>
          <w:rFonts w:ascii="Book Antiqua" w:hAnsi="Book Antiqua"/>
          <w:sz w:val="24"/>
          <w:szCs w:val="24"/>
          <w:lang w:val="en-GB" w:eastAsia="zh-CN"/>
        </w:rPr>
        <w:t>ea</w:t>
      </w:r>
      <w:r w:rsidRPr="006B242D">
        <w:rPr>
          <w:rFonts w:ascii="Book Antiqua" w:hAnsi="Book Antiqua"/>
          <w:sz w:val="24"/>
          <w:szCs w:val="24"/>
          <w:lang w:val="en-GB" w:eastAsia="zh-CN"/>
        </w:rPr>
        <w:t>r</w:t>
      </w:r>
      <w:r w:rsidR="001B12CC" w:rsidRPr="006B242D">
        <w:rPr>
          <w:rFonts w:ascii="Book Antiqua" w:hAnsi="Book Antiqua"/>
          <w:sz w:val="24"/>
          <w:szCs w:val="24"/>
          <w:lang w:val="en-GB" w:eastAsia="zh-CN"/>
        </w:rPr>
        <w:t>s</w:t>
      </w:r>
      <w:r w:rsidR="00142620" w:rsidRPr="006B242D">
        <w:rPr>
          <w:rFonts w:ascii="Book Antiqua" w:hAnsi="Book Antiqua"/>
          <w:sz w:val="24"/>
          <w:szCs w:val="24"/>
          <w:lang w:val="en-GB" w:eastAsia="zh-CN"/>
        </w:rPr>
        <w:t xml:space="preserve">. It was found that patients with GERD and associated somatoform disorders have significantly worse levels of </w:t>
      </w:r>
      <w:bookmarkStart w:id="15" w:name="OLE_LINK17"/>
      <w:bookmarkStart w:id="16" w:name="OLE_LINK18"/>
      <w:r w:rsidRPr="006B242D">
        <w:rPr>
          <w:rFonts w:ascii="Book Antiqua" w:hAnsi="Book Antiqua"/>
          <w:sz w:val="24"/>
          <w:szCs w:val="24"/>
          <w:lang w:val="en-GB" w:eastAsia="zh-CN"/>
        </w:rPr>
        <w:t>quality of life</w:t>
      </w:r>
      <w:bookmarkEnd w:id="15"/>
      <w:bookmarkEnd w:id="16"/>
      <w:r w:rsidR="00142620" w:rsidRPr="006B242D">
        <w:rPr>
          <w:rFonts w:ascii="Book Antiqua" w:hAnsi="Book Antiqua"/>
          <w:sz w:val="24"/>
          <w:szCs w:val="24"/>
          <w:lang w:val="en-GB" w:eastAsia="zh-CN"/>
        </w:rPr>
        <w:t>. The latter patients can also benefit from laparoscopic fundoplication, however they will not reach a normal level.</w:t>
      </w:r>
    </w:p>
    <w:p w:rsidR="009B537B" w:rsidRPr="006B242D" w:rsidRDefault="009B537B" w:rsidP="000B23E9">
      <w:pPr>
        <w:spacing w:line="360" w:lineRule="auto"/>
        <w:jc w:val="both"/>
        <w:rPr>
          <w:rFonts w:ascii="Book Antiqua" w:hAnsi="Book Antiqua"/>
          <w:b/>
          <w:sz w:val="24"/>
          <w:szCs w:val="24"/>
          <w:lang w:eastAsia="zh-CN"/>
        </w:rPr>
      </w:pPr>
    </w:p>
    <w:p w:rsidR="00416F9A" w:rsidRPr="006B242D" w:rsidRDefault="00416F9A" w:rsidP="00416F9A">
      <w:pPr>
        <w:snapToGrid w:val="0"/>
        <w:spacing w:line="360" w:lineRule="auto"/>
        <w:rPr>
          <w:rFonts w:ascii="Book Antiqua" w:hAnsi="Book Antiqua" w:hint="eastAsia"/>
          <w:bCs/>
          <w:color w:val="000000"/>
          <w:sz w:val="24"/>
          <w:lang w:eastAsia="zh-CN"/>
        </w:rPr>
      </w:pPr>
      <w:r w:rsidRPr="006B242D">
        <w:rPr>
          <w:rFonts w:ascii="Book Antiqua" w:hAnsi="Book Antiqua"/>
          <w:b/>
          <w:sz w:val="24"/>
        </w:rPr>
        <w:t>Citation:</w:t>
      </w:r>
      <w:r w:rsidRPr="006B242D">
        <w:rPr>
          <w:rFonts w:ascii="Book Antiqua" w:hAnsi="Book Antiqua" w:hint="eastAsia"/>
          <w:sz w:val="24"/>
          <w:lang w:eastAsia="zh-CN"/>
        </w:rPr>
        <w:t xml:space="preserve"> </w:t>
      </w:r>
      <w:r w:rsidRPr="006B242D">
        <w:rPr>
          <w:rFonts w:ascii="Book Antiqua" w:hAnsi="Book Antiqua"/>
          <w:sz w:val="24"/>
        </w:rPr>
        <w:t xml:space="preserve">Fuchs HF, Babic B, Fuchs KF, Breithaupt W, Varga G, Musial F. </w:t>
      </w:r>
      <w:r w:rsidRPr="006B242D">
        <w:rPr>
          <w:rFonts w:ascii="Book Antiqua" w:hAnsi="Book Antiqua"/>
          <w:sz w:val="24"/>
          <w:lang w:val="en-GB"/>
        </w:rPr>
        <w:t xml:space="preserve">Do patients with gastroesophageal reflux disease and somatoform tendencies benefit from antireflux surgery? </w:t>
      </w:r>
      <w:r w:rsidRPr="006B242D">
        <w:rPr>
          <w:rFonts w:ascii="Book Antiqua" w:hAnsi="Book Antiqua"/>
          <w:bCs/>
          <w:i/>
          <w:color w:val="000000"/>
          <w:sz w:val="24"/>
        </w:rPr>
        <w:t>World J Gastroenterol</w:t>
      </w:r>
      <w:r w:rsidRPr="006B242D">
        <w:rPr>
          <w:rFonts w:ascii="Book Antiqua" w:hAnsi="Book Antiqua"/>
          <w:bCs/>
          <w:color w:val="000000"/>
          <w:sz w:val="24"/>
        </w:rPr>
        <w:t xml:space="preserve"> 2019; 25(3): 388-397  </w:t>
      </w:r>
    </w:p>
    <w:p w:rsidR="00416F9A" w:rsidRPr="006B242D" w:rsidRDefault="00416F9A" w:rsidP="00416F9A">
      <w:pPr>
        <w:snapToGrid w:val="0"/>
        <w:spacing w:line="360" w:lineRule="auto"/>
        <w:rPr>
          <w:rFonts w:ascii="Book Antiqua" w:hAnsi="Book Antiqua" w:hint="eastAsia"/>
          <w:bCs/>
          <w:color w:val="000000"/>
          <w:sz w:val="24"/>
          <w:lang w:eastAsia="zh-CN"/>
        </w:rPr>
      </w:pPr>
      <w:r w:rsidRPr="006B242D">
        <w:rPr>
          <w:rFonts w:ascii="Book Antiqua" w:hAnsi="Book Antiqua"/>
          <w:b/>
          <w:bCs/>
          <w:color w:val="000000"/>
          <w:sz w:val="24"/>
        </w:rPr>
        <w:t>URL:</w:t>
      </w:r>
      <w:r w:rsidRPr="006B242D">
        <w:rPr>
          <w:rFonts w:ascii="Book Antiqua" w:hAnsi="Book Antiqua"/>
          <w:bCs/>
          <w:color w:val="000000"/>
          <w:sz w:val="24"/>
        </w:rPr>
        <w:t xml:space="preserve"> https://www.wjgnet.com/1007-9327/full/v25/i3/388.htm  </w:t>
      </w:r>
    </w:p>
    <w:p w:rsidR="00416F9A" w:rsidRPr="006B242D" w:rsidRDefault="00416F9A" w:rsidP="00416F9A">
      <w:pPr>
        <w:snapToGrid w:val="0"/>
        <w:spacing w:line="360" w:lineRule="auto"/>
        <w:rPr>
          <w:rFonts w:ascii="Book Antiqua" w:hAnsi="Book Antiqua"/>
          <w:bCs/>
          <w:color w:val="000000"/>
          <w:sz w:val="24"/>
        </w:rPr>
      </w:pPr>
      <w:r w:rsidRPr="006B242D">
        <w:rPr>
          <w:rFonts w:ascii="Book Antiqua" w:hAnsi="Book Antiqua"/>
          <w:b/>
          <w:bCs/>
          <w:color w:val="000000"/>
          <w:sz w:val="24"/>
        </w:rPr>
        <w:t>DOI:</w:t>
      </w:r>
      <w:r w:rsidRPr="006B242D">
        <w:rPr>
          <w:rFonts w:ascii="Book Antiqua" w:hAnsi="Book Antiqua"/>
          <w:bCs/>
          <w:color w:val="000000"/>
          <w:sz w:val="24"/>
        </w:rPr>
        <w:t xml:space="preserve"> https://dx.doi.org/10.3748/wjg.v25.i3.388</w:t>
      </w:r>
    </w:p>
    <w:p w:rsidR="00DC7F7A" w:rsidRPr="006B242D" w:rsidRDefault="00DC7F7A" w:rsidP="000B23E9">
      <w:pPr>
        <w:spacing w:line="360" w:lineRule="auto"/>
        <w:jc w:val="both"/>
        <w:rPr>
          <w:rFonts w:ascii="Book Antiqua" w:hAnsi="Book Antiqua"/>
          <w:sz w:val="24"/>
          <w:szCs w:val="24"/>
          <w:lang w:eastAsia="zh-CN"/>
        </w:rPr>
      </w:pPr>
    </w:p>
    <w:p w:rsidR="00E66439" w:rsidRPr="006B242D" w:rsidRDefault="00CF1878" w:rsidP="000B23E9">
      <w:pPr>
        <w:spacing w:line="360" w:lineRule="auto"/>
        <w:jc w:val="both"/>
        <w:outlineLvl w:val="0"/>
        <w:rPr>
          <w:rFonts w:ascii="Book Antiqua" w:hAnsi="Book Antiqua"/>
          <w:b/>
          <w:caps/>
          <w:sz w:val="24"/>
          <w:szCs w:val="24"/>
          <w:lang w:val="en-GB" w:eastAsia="zh-CN"/>
        </w:rPr>
      </w:pPr>
      <w:r w:rsidRPr="006B242D">
        <w:rPr>
          <w:rFonts w:ascii="Book Antiqua" w:hAnsi="Book Antiqua"/>
          <w:b/>
          <w:sz w:val="24"/>
          <w:szCs w:val="24"/>
          <w:lang w:val="en-GB" w:eastAsia="zh-CN"/>
        </w:rPr>
        <w:br w:type="page"/>
      </w:r>
      <w:r w:rsidR="001617F8" w:rsidRPr="006B242D">
        <w:rPr>
          <w:rFonts w:ascii="Book Antiqua" w:hAnsi="Book Antiqua"/>
          <w:b/>
          <w:caps/>
          <w:sz w:val="24"/>
          <w:szCs w:val="24"/>
          <w:lang w:val="en-GB"/>
        </w:rPr>
        <w:t>Introduction</w:t>
      </w:r>
    </w:p>
    <w:p w:rsidR="005D4C81" w:rsidRPr="006B242D" w:rsidRDefault="00CC1C34" w:rsidP="000B23E9">
      <w:pPr>
        <w:spacing w:line="360" w:lineRule="auto"/>
        <w:jc w:val="both"/>
        <w:outlineLvl w:val="0"/>
        <w:rPr>
          <w:rFonts w:ascii="Book Antiqua" w:hAnsi="Book Antiqua"/>
          <w:sz w:val="24"/>
          <w:szCs w:val="24"/>
          <w:lang w:val="en-GB"/>
        </w:rPr>
      </w:pPr>
      <w:r w:rsidRPr="006B242D">
        <w:rPr>
          <w:rFonts w:ascii="Book Antiqua" w:hAnsi="Book Antiqua"/>
          <w:sz w:val="24"/>
          <w:szCs w:val="24"/>
          <w:lang w:val="en-GB"/>
        </w:rPr>
        <w:t>The clinical</w:t>
      </w:r>
      <w:r w:rsidR="00862AAB" w:rsidRPr="006B242D">
        <w:rPr>
          <w:rFonts w:ascii="Book Antiqua" w:hAnsi="Book Antiqua"/>
          <w:sz w:val="24"/>
          <w:szCs w:val="24"/>
          <w:lang w:val="en-GB"/>
        </w:rPr>
        <w:t xml:space="preserve"> </w:t>
      </w:r>
      <w:r w:rsidRPr="006B242D">
        <w:rPr>
          <w:rFonts w:ascii="Book Antiqua" w:hAnsi="Book Antiqua"/>
          <w:sz w:val="24"/>
          <w:szCs w:val="24"/>
          <w:lang w:val="en-GB"/>
        </w:rPr>
        <w:t>presentation</w:t>
      </w:r>
      <w:r w:rsidR="00862AAB" w:rsidRPr="006B242D">
        <w:rPr>
          <w:rFonts w:ascii="Book Antiqua" w:hAnsi="Book Antiqua"/>
          <w:sz w:val="24"/>
          <w:szCs w:val="24"/>
          <w:lang w:val="en-GB"/>
        </w:rPr>
        <w:t xml:space="preserve"> of </w:t>
      </w:r>
      <w:r w:rsidR="00592F63" w:rsidRPr="006B242D">
        <w:rPr>
          <w:rFonts w:ascii="Book Antiqua" w:hAnsi="Book Antiqua"/>
          <w:sz w:val="24"/>
          <w:szCs w:val="24"/>
          <w:lang w:val="en-GB"/>
        </w:rPr>
        <w:t>gastroesophageal reflux disease</w:t>
      </w:r>
      <w:r w:rsidR="00862AAB" w:rsidRPr="006B242D">
        <w:rPr>
          <w:rFonts w:ascii="Book Antiqua" w:hAnsi="Book Antiqua"/>
          <w:sz w:val="24"/>
          <w:szCs w:val="24"/>
          <w:lang w:val="en-GB"/>
        </w:rPr>
        <w:t xml:space="preserve"> (GERD) shows a large variety of symptoms</w:t>
      </w:r>
      <w:r w:rsidR="00F749D4" w:rsidRPr="006B242D">
        <w:rPr>
          <w:rFonts w:ascii="Book Antiqua" w:hAnsi="Book Antiqua"/>
          <w:sz w:val="24"/>
          <w:szCs w:val="24"/>
          <w:lang w:val="en-GB"/>
        </w:rPr>
        <w:t xml:space="preserve"> </w:t>
      </w:r>
      <w:r w:rsidR="005D4C81" w:rsidRPr="006B242D">
        <w:rPr>
          <w:rFonts w:ascii="Book Antiqua" w:hAnsi="Book Antiqua"/>
          <w:sz w:val="24"/>
          <w:szCs w:val="24"/>
          <w:lang w:val="en-GB"/>
        </w:rPr>
        <w:t xml:space="preserve">also in different intensities </w:t>
      </w:r>
      <w:r w:rsidR="00F749D4" w:rsidRPr="006B242D">
        <w:rPr>
          <w:rFonts w:ascii="Book Antiqua" w:hAnsi="Book Antiqua"/>
          <w:sz w:val="24"/>
          <w:szCs w:val="24"/>
          <w:lang w:val="en-GB"/>
        </w:rPr>
        <w:t xml:space="preserve">among </w:t>
      </w:r>
      <w:r w:rsidR="00862AAB" w:rsidRPr="006B242D">
        <w:rPr>
          <w:rFonts w:ascii="Book Antiqua" w:hAnsi="Book Antiqua"/>
          <w:sz w:val="24"/>
          <w:szCs w:val="24"/>
          <w:lang w:val="en-GB"/>
        </w:rPr>
        <w:t>patients</w:t>
      </w:r>
      <w:r w:rsidR="00592F63" w:rsidRPr="006B242D">
        <w:rPr>
          <w:rFonts w:ascii="Book Antiqua" w:hAnsi="Book Antiqua"/>
          <w:sz w:val="24"/>
          <w:szCs w:val="24"/>
          <w:vertAlign w:val="superscript"/>
          <w:lang w:val="en-GB" w:eastAsia="zh-CN"/>
        </w:rPr>
        <w:t>[1-3]</w:t>
      </w:r>
      <w:r w:rsidR="00862AAB" w:rsidRPr="006B242D">
        <w:rPr>
          <w:rFonts w:ascii="Book Antiqua" w:hAnsi="Book Antiqua"/>
          <w:sz w:val="24"/>
          <w:szCs w:val="24"/>
          <w:lang w:val="en-GB"/>
        </w:rPr>
        <w:t xml:space="preserve">. </w:t>
      </w:r>
      <w:r w:rsidR="009817F5" w:rsidRPr="006B242D">
        <w:rPr>
          <w:rFonts w:ascii="Book Antiqua" w:hAnsi="Book Antiqua"/>
          <w:sz w:val="24"/>
          <w:szCs w:val="24"/>
          <w:lang w:val="en-GB"/>
        </w:rPr>
        <w:t>As several studies have shown, t</w:t>
      </w:r>
      <w:r w:rsidRPr="006B242D">
        <w:rPr>
          <w:rFonts w:ascii="Book Antiqua" w:hAnsi="Book Antiqua"/>
          <w:sz w:val="24"/>
          <w:szCs w:val="24"/>
          <w:lang w:val="en-GB"/>
        </w:rPr>
        <w:t>here is a large overlap</w:t>
      </w:r>
      <w:r w:rsidR="001617F8" w:rsidRPr="006B242D">
        <w:rPr>
          <w:rFonts w:ascii="Book Antiqua" w:hAnsi="Book Antiqua"/>
          <w:sz w:val="24"/>
          <w:szCs w:val="24"/>
          <w:lang w:val="en-GB"/>
        </w:rPr>
        <w:t xml:space="preserve"> </w:t>
      </w:r>
      <w:r w:rsidR="009817F5" w:rsidRPr="006B242D">
        <w:rPr>
          <w:rFonts w:ascii="Book Antiqua" w:hAnsi="Book Antiqua"/>
          <w:sz w:val="24"/>
          <w:szCs w:val="24"/>
          <w:lang w:val="en-GB"/>
        </w:rPr>
        <w:t>in the symptomatic spectrum between proven GERD and other disorders such as dyspepsia, functional heartburn and/or somatoform disorders</w:t>
      </w:r>
      <w:r w:rsidR="00592F63" w:rsidRPr="006B242D">
        <w:rPr>
          <w:rFonts w:ascii="Book Antiqua" w:hAnsi="Book Antiqua"/>
          <w:sz w:val="24"/>
          <w:szCs w:val="24"/>
          <w:vertAlign w:val="superscript"/>
          <w:lang w:val="en-GB" w:eastAsia="zh-CN"/>
        </w:rPr>
        <w:t>[4-10]</w:t>
      </w:r>
      <w:r w:rsidR="009817F5" w:rsidRPr="006B242D">
        <w:rPr>
          <w:rFonts w:ascii="Book Antiqua" w:hAnsi="Book Antiqua"/>
          <w:sz w:val="24"/>
          <w:szCs w:val="24"/>
          <w:lang w:val="en-GB"/>
        </w:rPr>
        <w:t xml:space="preserve">. </w:t>
      </w:r>
      <w:r w:rsidR="005D4C81" w:rsidRPr="006B242D">
        <w:rPr>
          <w:rFonts w:ascii="Book Antiqua" w:hAnsi="Book Antiqua"/>
          <w:sz w:val="24"/>
          <w:szCs w:val="24"/>
          <w:lang w:val="en-GB"/>
        </w:rPr>
        <w:t xml:space="preserve">This makes a precise diagnosis, just based on symptoms quite unreliable for severe therapeutic decision making such </w:t>
      </w:r>
      <w:r w:rsidR="00BF69AE" w:rsidRPr="006B242D">
        <w:rPr>
          <w:rFonts w:ascii="Book Antiqua" w:hAnsi="Book Antiqua"/>
          <w:sz w:val="24"/>
          <w:szCs w:val="24"/>
          <w:lang w:val="en-GB"/>
        </w:rPr>
        <w:t xml:space="preserve">as </w:t>
      </w:r>
      <w:r w:rsidR="005D4C81" w:rsidRPr="006B242D">
        <w:rPr>
          <w:rFonts w:ascii="Book Antiqua" w:hAnsi="Book Antiqua"/>
          <w:sz w:val="24"/>
          <w:szCs w:val="24"/>
          <w:lang w:val="en-GB"/>
        </w:rPr>
        <w:t>antireflux surgery</w:t>
      </w:r>
      <w:r w:rsidR="00592F63" w:rsidRPr="006B242D">
        <w:rPr>
          <w:rFonts w:ascii="Book Antiqua" w:hAnsi="Book Antiqua"/>
          <w:sz w:val="24"/>
          <w:szCs w:val="24"/>
          <w:vertAlign w:val="superscript"/>
          <w:lang w:val="en-GB" w:eastAsia="zh-CN"/>
        </w:rPr>
        <w:t>[11]</w:t>
      </w:r>
      <w:r w:rsidR="00592F63" w:rsidRPr="006B242D">
        <w:rPr>
          <w:rFonts w:ascii="Book Antiqua" w:hAnsi="Book Antiqua"/>
          <w:sz w:val="24"/>
          <w:szCs w:val="24"/>
          <w:lang w:val="en-GB" w:eastAsia="zh-CN"/>
        </w:rPr>
        <w:t>.</w:t>
      </w:r>
      <w:r w:rsidR="005D4C81" w:rsidRPr="006B242D">
        <w:rPr>
          <w:rFonts w:ascii="Book Antiqua" w:hAnsi="Book Antiqua"/>
          <w:sz w:val="24"/>
          <w:szCs w:val="24"/>
          <w:lang w:val="en-GB"/>
        </w:rPr>
        <w:t xml:space="preserve"> </w:t>
      </w:r>
      <w:r w:rsidR="009817F5" w:rsidRPr="006B242D">
        <w:rPr>
          <w:rFonts w:ascii="Book Antiqua" w:hAnsi="Book Antiqua"/>
          <w:sz w:val="24"/>
          <w:szCs w:val="24"/>
          <w:lang w:val="en-GB"/>
        </w:rPr>
        <w:t xml:space="preserve">GERD can be </w:t>
      </w:r>
      <w:r w:rsidR="005D4C81" w:rsidRPr="006B242D">
        <w:rPr>
          <w:rFonts w:ascii="Book Antiqua" w:hAnsi="Book Antiqua"/>
          <w:sz w:val="24"/>
          <w:szCs w:val="24"/>
          <w:lang w:val="en-GB"/>
        </w:rPr>
        <w:t>diagnosed rather easily</w:t>
      </w:r>
      <w:r w:rsidR="009817F5" w:rsidRPr="006B242D">
        <w:rPr>
          <w:rFonts w:ascii="Book Antiqua" w:hAnsi="Book Antiqua"/>
          <w:sz w:val="24"/>
          <w:szCs w:val="24"/>
          <w:lang w:val="en-GB"/>
        </w:rPr>
        <w:t xml:space="preserve"> in patients by the presence of esophagitis during upper </w:t>
      </w:r>
      <w:r w:rsidR="00592F63" w:rsidRPr="006B242D">
        <w:rPr>
          <w:rFonts w:ascii="Book Antiqua" w:hAnsi="Book Antiqua"/>
          <w:sz w:val="24"/>
          <w:szCs w:val="24"/>
          <w:lang w:val="en-GB"/>
        </w:rPr>
        <w:t>gastrointestinal</w:t>
      </w:r>
      <w:r w:rsidR="00592F63" w:rsidRPr="006B242D">
        <w:rPr>
          <w:rFonts w:ascii="Book Antiqua" w:hAnsi="Book Antiqua"/>
          <w:sz w:val="24"/>
          <w:szCs w:val="24"/>
          <w:lang w:val="en-GB" w:eastAsia="zh-CN"/>
        </w:rPr>
        <w:t xml:space="preserve"> (GI) </w:t>
      </w:r>
      <w:r w:rsidR="009817F5" w:rsidRPr="006B242D">
        <w:rPr>
          <w:rFonts w:ascii="Book Antiqua" w:hAnsi="Book Antiqua"/>
          <w:sz w:val="24"/>
          <w:szCs w:val="24"/>
          <w:lang w:val="en-GB"/>
        </w:rPr>
        <w:t xml:space="preserve">endoscopy and/or evidence of pathologic gastroesophageal reflux in 24h-impedance-pH-monitoring, </w:t>
      </w:r>
      <w:r w:rsidR="005D4C81" w:rsidRPr="006B242D">
        <w:rPr>
          <w:rFonts w:ascii="Book Antiqua" w:hAnsi="Book Antiqua"/>
          <w:sz w:val="24"/>
          <w:szCs w:val="24"/>
          <w:lang w:val="en-GB"/>
        </w:rPr>
        <w:t xml:space="preserve">favourably </w:t>
      </w:r>
      <w:r w:rsidR="009817F5" w:rsidRPr="006B242D">
        <w:rPr>
          <w:rFonts w:ascii="Book Antiqua" w:hAnsi="Book Antiqua"/>
          <w:sz w:val="24"/>
          <w:szCs w:val="24"/>
          <w:lang w:val="en-GB"/>
        </w:rPr>
        <w:t>optimised by a positive symptom-reflux correlat</w:t>
      </w:r>
      <w:r w:rsidR="00592F63" w:rsidRPr="006B242D">
        <w:rPr>
          <w:rFonts w:ascii="Book Antiqua" w:hAnsi="Book Antiqua"/>
          <w:sz w:val="24"/>
          <w:szCs w:val="24"/>
          <w:lang w:val="en-GB"/>
        </w:rPr>
        <w:t>ion as expressed by the symptom</w:t>
      </w:r>
      <w:r w:rsidR="00592F63" w:rsidRPr="006B242D">
        <w:rPr>
          <w:rFonts w:ascii="Book Antiqua" w:hAnsi="Book Antiqua"/>
          <w:sz w:val="24"/>
          <w:szCs w:val="24"/>
          <w:lang w:val="en-GB" w:eastAsia="zh-CN"/>
        </w:rPr>
        <w:t xml:space="preserve"> </w:t>
      </w:r>
      <w:r w:rsidR="00592F63" w:rsidRPr="006B242D">
        <w:rPr>
          <w:rFonts w:ascii="Book Antiqua" w:hAnsi="Book Antiqua"/>
          <w:sz w:val="24"/>
          <w:szCs w:val="24"/>
          <w:lang w:val="en-GB"/>
        </w:rPr>
        <w:t>association</w:t>
      </w:r>
      <w:r w:rsidR="00592F63" w:rsidRPr="006B242D">
        <w:rPr>
          <w:rFonts w:ascii="Book Antiqua" w:hAnsi="Book Antiqua"/>
          <w:sz w:val="24"/>
          <w:szCs w:val="24"/>
          <w:lang w:val="en-GB" w:eastAsia="zh-CN"/>
        </w:rPr>
        <w:t xml:space="preserve"> </w:t>
      </w:r>
      <w:r w:rsidR="009817F5" w:rsidRPr="006B242D">
        <w:rPr>
          <w:rFonts w:ascii="Book Antiqua" w:hAnsi="Book Antiqua"/>
          <w:sz w:val="24"/>
          <w:szCs w:val="24"/>
          <w:lang w:val="en-GB"/>
        </w:rPr>
        <w:t>probability (SAP &gt; 95% significant)</w:t>
      </w:r>
      <w:r w:rsidR="00592F63" w:rsidRPr="006B242D">
        <w:rPr>
          <w:rFonts w:ascii="Book Antiqua" w:hAnsi="Book Antiqua"/>
          <w:sz w:val="24"/>
          <w:szCs w:val="24"/>
          <w:vertAlign w:val="superscript"/>
          <w:lang w:val="en-GB" w:eastAsia="zh-CN"/>
        </w:rPr>
        <w:t>[3,12]</w:t>
      </w:r>
      <w:r w:rsidR="009817F5" w:rsidRPr="006B242D">
        <w:rPr>
          <w:rFonts w:ascii="Book Antiqua" w:hAnsi="Book Antiqua"/>
          <w:sz w:val="24"/>
          <w:szCs w:val="24"/>
          <w:lang w:val="en-GB"/>
        </w:rPr>
        <w:t xml:space="preserve">. </w:t>
      </w:r>
    </w:p>
    <w:p w:rsidR="00431E14" w:rsidRPr="006B242D" w:rsidRDefault="005D4C81" w:rsidP="000B23E9">
      <w:pPr>
        <w:spacing w:line="360" w:lineRule="auto"/>
        <w:ind w:firstLineChars="100" w:firstLine="240"/>
        <w:jc w:val="both"/>
        <w:outlineLvl w:val="0"/>
        <w:rPr>
          <w:rFonts w:ascii="Book Antiqua" w:hAnsi="Book Antiqua"/>
          <w:sz w:val="24"/>
          <w:szCs w:val="24"/>
          <w:lang w:val="en-GB"/>
        </w:rPr>
      </w:pPr>
      <w:r w:rsidRPr="006B242D">
        <w:rPr>
          <w:rFonts w:ascii="Book Antiqua" w:hAnsi="Book Antiqua"/>
          <w:sz w:val="24"/>
          <w:szCs w:val="24"/>
          <w:lang w:val="en-GB"/>
        </w:rPr>
        <w:t xml:space="preserve">Symptom-overlapping disorders such as </w:t>
      </w:r>
      <w:r w:rsidR="00521B76" w:rsidRPr="006B242D">
        <w:rPr>
          <w:rFonts w:ascii="Book Antiqua" w:hAnsi="Book Antiqua"/>
          <w:sz w:val="24"/>
          <w:szCs w:val="24"/>
          <w:lang w:val="en-GB"/>
        </w:rPr>
        <w:t>s</w:t>
      </w:r>
      <w:r w:rsidR="009817F5" w:rsidRPr="006B242D">
        <w:rPr>
          <w:rFonts w:ascii="Book Antiqua" w:hAnsi="Book Antiqua"/>
          <w:sz w:val="24"/>
          <w:szCs w:val="24"/>
          <w:lang w:val="en-GB"/>
        </w:rPr>
        <w:t xml:space="preserve">omatisation or </w:t>
      </w:r>
      <w:r w:rsidR="0059602A" w:rsidRPr="006B242D">
        <w:rPr>
          <w:rFonts w:ascii="Book Antiqua" w:hAnsi="Book Antiqua"/>
          <w:sz w:val="24"/>
          <w:szCs w:val="24"/>
          <w:lang w:val="en-GB"/>
        </w:rPr>
        <w:t xml:space="preserve">a </w:t>
      </w:r>
      <w:r w:rsidR="009817F5" w:rsidRPr="006B242D">
        <w:rPr>
          <w:rFonts w:ascii="Book Antiqua" w:hAnsi="Book Antiqua"/>
          <w:sz w:val="24"/>
          <w:szCs w:val="24"/>
          <w:lang w:val="en-GB"/>
        </w:rPr>
        <w:t xml:space="preserve">somatoform tendency </w:t>
      </w:r>
      <w:r w:rsidRPr="006B242D">
        <w:rPr>
          <w:rFonts w:ascii="Book Antiqua" w:hAnsi="Book Antiqua"/>
          <w:sz w:val="24"/>
          <w:szCs w:val="24"/>
          <w:lang w:val="en-GB"/>
        </w:rPr>
        <w:t xml:space="preserve">can be detected </w:t>
      </w:r>
      <w:r w:rsidR="009817F5" w:rsidRPr="006B242D">
        <w:rPr>
          <w:rFonts w:ascii="Book Antiqua" w:hAnsi="Book Antiqua"/>
          <w:sz w:val="24"/>
          <w:szCs w:val="24"/>
          <w:lang w:val="en-GB"/>
        </w:rPr>
        <w:t xml:space="preserve">in a patient, if </w:t>
      </w:r>
      <w:r w:rsidR="00431E14" w:rsidRPr="006B242D">
        <w:rPr>
          <w:rFonts w:ascii="Book Antiqua" w:hAnsi="Book Antiqua"/>
          <w:sz w:val="24"/>
          <w:szCs w:val="24"/>
          <w:lang w:val="en-GB"/>
        </w:rPr>
        <w:t xml:space="preserve">a given person suffers from </w:t>
      </w:r>
      <w:r w:rsidRPr="006B242D">
        <w:rPr>
          <w:rFonts w:ascii="Book Antiqua" w:hAnsi="Book Antiqua"/>
          <w:sz w:val="24"/>
          <w:szCs w:val="24"/>
          <w:lang w:val="en-GB"/>
        </w:rPr>
        <w:t xml:space="preserve">an excessive </w:t>
      </w:r>
      <w:r w:rsidR="00431E14" w:rsidRPr="006B242D">
        <w:rPr>
          <w:rFonts w:ascii="Book Antiqua" w:hAnsi="Book Antiqua"/>
          <w:sz w:val="24"/>
          <w:szCs w:val="24"/>
          <w:lang w:val="en-GB"/>
        </w:rPr>
        <w:t>number of somatic complaints, which cannot be explained by pathophysiologic and/or measurable findings</w:t>
      </w:r>
      <w:r w:rsidR="00592F63" w:rsidRPr="006B242D">
        <w:rPr>
          <w:rFonts w:ascii="Book Antiqua" w:hAnsi="Book Antiqua"/>
          <w:sz w:val="24"/>
          <w:szCs w:val="24"/>
          <w:vertAlign w:val="superscript"/>
          <w:lang w:val="en-GB" w:eastAsia="zh-CN"/>
        </w:rPr>
        <w:t>[13]</w:t>
      </w:r>
      <w:r w:rsidR="00431E14" w:rsidRPr="006B242D">
        <w:rPr>
          <w:rFonts w:ascii="Book Antiqua" w:hAnsi="Book Antiqua"/>
          <w:sz w:val="24"/>
          <w:szCs w:val="24"/>
          <w:lang w:val="en-GB"/>
        </w:rPr>
        <w:t>. A symptomatic screening test by Rief</w:t>
      </w:r>
      <w:r w:rsidR="00592F63" w:rsidRPr="006B242D">
        <w:rPr>
          <w:rFonts w:ascii="Book Antiqua" w:hAnsi="Book Antiqua"/>
          <w:sz w:val="24"/>
          <w:szCs w:val="24"/>
          <w:lang w:val="en-GB" w:eastAsia="zh-CN"/>
        </w:rPr>
        <w:t xml:space="preserve"> </w:t>
      </w:r>
      <w:r w:rsidR="00592F63" w:rsidRPr="006B242D">
        <w:rPr>
          <w:rFonts w:ascii="Book Antiqua" w:hAnsi="Book Antiqua"/>
          <w:i/>
          <w:sz w:val="24"/>
          <w:szCs w:val="24"/>
          <w:lang w:val="en-GB" w:eastAsia="zh-CN"/>
        </w:rPr>
        <w:t>et al</w:t>
      </w:r>
      <w:r w:rsidR="00592F63" w:rsidRPr="006B242D">
        <w:rPr>
          <w:rFonts w:ascii="Book Antiqua" w:hAnsi="Book Antiqua"/>
          <w:sz w:val="24"/>
          <w:szCs w:val="24"/>
          <w:vertAlign w:val="superscript"/>
          <w:lang w:val="en-GB" w:eastAsia="zh-CN"/>
        </w:rPr>
        <w:t>[13-15]</w:t>
      </w:r>
      <w:r w:rsidR="00431E14" w:rsidRPr="006B242D">
        <w:rPr>
          <w:rFonts w:ascii="Book Antiqua" w:hAnsi="Book Antiqua"/>
          <w:sz w:val="24"/>
          <w:szCs w:val="24"/>
          <w:lang w:val="en-GB"/>
        </w:rPr>
        <w:t xml:space="preserve"> can be used to identify those patients with somatoform disorders </w:t>
      </w:r>
      <w:r w:rsidR="00E274D0" w:rsidRPr="006B242D">
        <w:rPr>
          <w:rFonts w:ascii="Book Antiqua" w:hAnsi="Book Antiqua"/>
          <w:sz w:val="24"/>
          <w:szCs w:val="24"/>
          <w:lang w:val="en-GB"/>
        </w:rPr>
        <w:t>among those wit</w:t>
      </w:r>
      <w:r w:rsidRPr="006B242D">
        <w:rPr>
          <w:rFonts w:ascii="Book Antiqua" w:hAnsi="Book Antiqua"/>
          <w:sz w:val="24"/>
          <w:szCs w:val="24"/>
          <w:lang w:val="en-GB"/>
        </w:rPr>
        <w:t>h proven GERD</w:t>
      </w:r>
      <w:r w:rsidR="00431E14" w:rsidRPr="006B242D">
        <w:rPr>
          <w:rFonts w:ascii="Book Antiqua" w:hAnsi="Book Antiqua"/>
          <w:sz w:val="24"/>
          <w:szCs w:val="24"/>
          <w:lang w:val="en-GB"/>
        </w:rPr>
        <w:t>.</w:t>
      </w:r>
      <w:r w:rsidR="00E274D0" w:rsidRPr="006B242D">
        <w:rPr>
          <w:rFonts w:ascii="Book Antiqua" w:hAnsi="Book Antiqua"/>
          <w:sz w:val="24"/>
          <w:szCs w:val="24"/>
          <w:lang w:val="en-GB"/>
        </w:rPr>
        <w:t xml:space="preserve"> </w:t>
      </w:r>
      <w:r w:rsidR="00431E14" w:rsidRPr="006B242D">
        <w:rPr>
          <w:rFonts w:ascii="Book Antiqua" w:hAnsi="Book Antiqua"/>
          <w:sz w:val="24"/>
          <w:szCs w:val="24"/>
          <w:lang w:val="en-GB"/>
        </w:rPr>
        <w:t>Recently we have shown that GERD patients do have an overlap with somatoform tendencies in about 20% of patients of an investigated population in a tertiary referral center</w:t>
      </w:r>
      <w:r w:rsidR="00592F63" w:rsidRPr="006B242D">
        <w:rPr>
          <w:rFonts w:ascii="Book Antiqua" w:hAnsi="Book Antiqua"/>
          <w:sz w:val="24"/>
          <w:szCs w:val="24"/>
          <w:vertAlign w:val="superscript"/>
          <w:lang w:val="en-GB" w:eastAsia="zh-CN"/>
        </w:rPr>
        <w:t>[10]</w:t>
      </w:r>
      <w:r w:rsidR="00431E14" w:rsidRPr="006B242D">
        <w:rPr>
          <w:rFonts w:ascii="Book Antiqua" w:hAnsi="Book Antiqua"/>
          <w:sz w:val="24"/>
          <w:szCs w:val="24"/>
          <w:lang w:val="en-GB"/>
        </w:rPr>
        <w:t>.</w:t>
      </w:r>
      <w:r w:rsidR="00B91A25" w:rsidRPr="006B242D">
        <w:rPr>
          <w:rFonts w:ascii="Book Antiqua" w:hAnsi="Book Antiqua"/>
          <w:sz w:val="24"/>
          <w:szCs w:val="24"/>
          <w:lang w:val="en-GB"/>
        </w:rPr>
        <w:t xml:space="preserve"> </w:t>
      </w:r>
      <w:r w:rsidR="00431E14" w:rsidRPr="006B242D">
        <w:rPr>
          <w:rFonts w:ascii="Book Antiqua" w:hAnsi="Book Antiqua"/>
          <w:sz w:val="24"/>
          <w:szCs w:val="24"/>
          <w:lang w:val="en-GB"/>
        </w:rPr>
        <w:t>A similar portion (20%) of patients</w:t>
      </w:r>
      <w:r w:rsidR="0059602A" w:rsidRPr="006B242D">
        <w:rPr>
          <w:rFonts w:ascii="Book Antiqua" w:hAnsi="Book Antiqua"/>
          <w:sz w:val="24"/>
          <w:szCs w:val="24"/>
          <w:lang w:val="en-GB"/>
        </w:rPr>
        <w:t xml:space="preserve"> with somatoform tendencies</w:t>
      </w:r>
      <w:r w:rsidR="00592F63" w:rsidRPr="006B242D">
        <w:rPr>
          <w:rFonts w:ascii="Book Antiqua" w:hAnsi="Book Antiqua"/>
          <w:sz w:val="24"/>
          <w:szCs w:val="24"/>
          <w:lang w:val="en-GB"/>
        </w:rPr>
        <w:t xml:space="preserve"> </w:t>
      </w:r>
      <w:r w:rsidR="00431E14" w:rsidRPr="006B242D">
        <w:rPr>
          <w:rFonts w:ascii="Book Antiqua" w:hAnsi="Book Antiqua"/>
          <w:sz w:val="24"/>
          <w:szCs w:val="24"/>
          <w:lang w:val="en-GB"/>
        </w:rPr>
        <w:t>can be detected</w:t>
      </w:r>
      <w:r w:rsidR="0059602A" w:rsidRPr="006B242D">
        <w:rPr>
          <w:rFonts w:ascii="Book Antiqua" w:hAnsi="Book Antiqua"/>
          <w:sz w:val="24"/>
          <w:szCs w:val="24"/>
          <w:lang w:val="en-GB"/>
        </w:rPr>
        <w:t xml:space="preserve"> in a population with foregut symptoms</w:t>
      </w:r>
      <w:r w:rsidR="00592F63" w:rsidRPr="006B242D">
        <w:rPr>
          <w:rFonts w:ascii="Book Antiqua" w:hAnsi="Book Antiqua"/>
          <w:sz w:val="24"/>
          <w:szCs w:val="24"/>
          <w:vertAlign w:val="superscript"/>
          <w:lang w:val="en-GB" w:eastAsia="zh-CN"/>
        </w:rPr>
        <w:t>[16]</w:t>
      </w:r>
      <w:r w:rsidR="00592F63" w:rsidRPr="006B242D">
        <w:rPr>
          <w:rFonts w:ascii="Book Antiqua" w:hAnsi="Book Antiqua"/>
          <w:sz w:val="24"/>
          <w:szCs w:val="24"/>
          <w:lang w:val="en-GB" w:eastAsia="zh-CN"/>
        </w:rPr>
        <w:t>.</w:t>
      </w:r>
      <w:r w:rsidR="00431E14" w:rsidRPr="006B242D">
        <w:rPr>
          <w:rFonts w:ascii="Book Antiqua" w:hAnsi="Book Antiqua"/>
          <w:sz w:val="24"/>
          <w:szCs w:val="24"/>
          <w:lang w:val="en-GB"/>
        </w:rPr>
        <w:t xml:space="preserve"> </w:t>
      </w:r>
    </w:p>
    <w:p w:rsidR="00E406A1" w:rsidRPr="006B242D" w:rsidRDefault="003A6742" w:rsidP="000B23E9">
      <w:pPr>
        <w:spacing w:line="360" w:lineRule="auto"/>
        <w:ind w:firstLineChars="100" w:firstLine="240"/>
        <w:jc w:val="both"/>
        <w:outlineLvl w:val="0"/>
        <w:rPr>
          <w:rFonts w:ascii="Book Antiqua" w:hAnsi="Book Antiqua"/>
          <w:sz w:val="24"/>
          <w:szCs w:val="24"/>
          <w:lang w:val="en-GB"/>
        </w:rPr>
      </w:pPr>
      <w:r w:rsidRPr="006B242D">
        <w:rPr>
          <w:rFonts w:ascii="Book Antiqua" w:hAnsi="Book Antiqua"/>
          <w:sz w:val="24"/>
          <w:szCs w:val="24"/>
          <w:lang w:val="en-GB"/>
        </w:rPr>
        <w:t>In GERD reliable decision making in long-term therapeutic strategies focuses on the reduction of troublesome symptoms and a dependable improvement of quality of life for the patients after treatment. The majority of GERD patients can be treated by conservative medical therapy such as protonpump inhibitors (PPI), while surgical therapy should be reserved for patients with severe and progressive disease, such as patients with anatomical and functional defects, substantial mucosal damage and/or increasingly reduced quality of life</w:t>
      </w:r>
      <w:r w:rsidR="00781BD8" w:rsidRPr="006B242D">
        <w:rPr>
          <w:rFonts w:ascii="Book Antiqua" w:hAnsi="Book Antiqua"/>
          <w:sz w:val="24"/>
          <w:szCs w:val="24"/>
          <w:vertAlign w:val="superscript"/>
          <w:lang w:val="en-GB" w:eastAsia="zh-CN"/>
        </w:rPr>
        <w:t>[12,17-20]</w:t>
      </w:r>
      <w:r w:rsidRPr="006B242D">
        <w:rPr>
          <w:rFonts w:ascii="Book Antiqua" w:hAnsi="Book Antiqua"/>
          <w:sz w:val="24"/>
          <w:szCs w:val="24"/>
          <w:lang w:val="en-GB"/>
        </w:rPr>
        <w:t>.</w:t>
      </w:r>
      <w:r w:rsidR="00E406A1" w:rsidRPr="006B242D">
        <w:rPr>
          <w:rFonts w:ascii="Book Antiqua" w:hAnsi="Book Antiqua"/>
          <w:sz w:val="24"/>
          <w:szCs w:val="24"/>
          <w:lang w:val="en-GB"/>
        </w:rPr>
        <w:t xml:space="preserve"> The results of antireflux surger</w:t>
      </w:r>
      <w:r w:rsidR="00EC5315" w:rsidRPr="006B242D">
        <w:rPr>
          <w:rFonts w:ascii="Book Antiqua" w:hAnsi="Book Antiqua"/>
          <w:sz w:val="24"/>
          <w:szCs w:val="24"/>
          <w:lang w:val="en-GB"/>
        </w:rPr>
        <w:t>y</w:t>
      </w:r>
      <w:r w:rsidR="00E406A1" w:rsidRPr="006B242D">
        <w:rPr>
          <w:rFonts w:ascii="Book Antiqua" w:hAnsi="Book Antiqua"/>
          <w:sz w:val="24"/>
          <w:szCs w:val="24"/>
          <w:lang w:val="en-GB"/>
        </w:rPr>
        <w:t xml:space="preserve"> </w:t>
      </w:r>
      <w:r w:rsidR="00CE7CAE" w:rsidRPr="006B242D">
        <w:rPr>
          <w:rFonts w:ascii="Book Antiqua" w:hAnsi="Book Antiqua"/>
          <w:sz w:val="24"/>
          <w:szCs w:val="24"/>
          <w:lang w:val="en-GB"/>
        </w:rPr>
        <w:t>are</w:t>
      </w:r>
      <w:r w:rsidR="00E406A1" w:rsidRPr="006B242D">
        <w:rPr>
          <w:rFonts w:ascii="Book Antiqua" w:hAnsi="Book Antiqua"/>
          <w:sz w:val="24"/>
          <w:szCs w:val="24"/>
          <w:lang w:val="en-GB"/>
        </w:rPr>
        <w:t xml:space="preserve"> well known and </w:t>
      </w:r>
      <w:r w:rsidR="00CE7CAE" w:rsidRPr="006B242D">
        <w:rPr>
          <w:rFonts w:ascii="Book Antiqua" w:hAnsi="Book Antiqua"/>
          <w:sz w:val="24"/>
          <w:szCs w:val="24"/>
          <w:lang w:val="en-GB"/>
        </w:rPr>
        <w:t xml:space="preserve">a </w:t>
      </w:r>
      <w:r w:rsidR="00E406A1" w:rsidRPr="006B242D">
        <w:rPr>
          <w:rFonts w:ascii="Book Antiqua" w:hAnsi="Book Antiqua"/>
          <w:sz w:val="24"/>
          <w:szCs w:val="24"/>
          <w:lang w:val="en-GB"/>
        </w:rPr>
        <w:t>g</w:t>
      </w:r>
      <w:r w:rsidR="00781BD8" w:rsidRPr="006B242D">
        <w:rPr>
          <w:rFonts w:ascii="Book Antiqua" w:hAnsi="Book Antiqua"/>
          <w:sz w:val="24"/>
          <w:szCs w:val="24"/>
          <w:lang w:val="en-GB"/>
        </w:rPr>
        <w:t>ood outcome ranges around 85</w:t>
      </w:r>
      <w:r w:rsidR="00781BD8" w:rsidRPr="006B242D">
        <w:rPr>
          <w:rFonts w:ascii="Book Antiqua" w:hAnsi="Book Antiqua"/>
          <w:sz w:val="24"/>
          <w:szCs w:val="24"/>
          <w:lang w:val="en-GB" w:eastAsia="zh-CN"/>
        </w:rPr>
        <w:t>%</w:t>
      </w:r>
      <w:r w:rsidR="00781BD8" w:rsidRPr="006B242D">
        <w:rPr>
          <w:rFonts w:ascii="Book Antiqua" w:hAnsi="Book Antiqua"/>
          <w:sz w:val="24"/>
          <w:szCs w:val="24"/>
          <w:lang w:val="en-GB"/>
        </w:rPr>
        <w:t>-90</w:t>
      </w:r>
      <w:r w:rsidR="00E406A1" w:rsidRPr="006B242D">
        <w:rPr>
          <w:rFonts w:ascii="Book Antiqua" w:hAnsi="Book Antiqua"/>
          <w:sz w:val="24"/>
          <w:szCs w:val="24"/>
          <w:lang w:val="en-GB"/>
        </w:rPr>
        <w:t>% in patients with proven GERD</w:t>
      </w:r>
      <w:r w:rsidR="00781BD8" w:rsidRPr="006B242D">
        <w:rPr>
          <w:rFonts w:ascii="Book Antiqua" w:hAnsi="Book Antiqua"/>
          <w:sz w:val="24"/>
          <w:szCs w:val="24"/>
          <w:vertAlign w:val="superscript"/>
          <w:lang w:val="en-GB" w:eastAsia="zh-CN"/>
        </w:rPr>
        <w:t>[12]</w:t>
      </w:r>
      <w:r w:rsidR="00781BD8" w:rsidRPr="006B242D">
        <w:rPr>
          <w:rFonts w:ascii="Book Antiqua" w:hAnsi="Book Antiqua"/>
          <w:sz w:val="24"/>
          <w:szCs w:val="24"/>
          <w:lang w:val="en-GB" w:eastAsia="zh-CN"/>
        </w:rPr>
        <w:t>.</w:t>
      </w:r>
      <w:r w:rsidR="00E406A1" w:rsidRPr="006B242D">
        <w:rPr>
          <w:rFonts w:ascii="Book Antiqua" w:hAnsi="Book Antiqua"/>
          <w:sz w:val="24"/>
          <w:szCs w:val="24"/>
          <w:lang w:val="en-GB"/>
        </w:rPr>
        <w:t xml:space="preserve"> However, little is known about the success of antireflux surgery in patients with an overlapping problem of somatoform symptoms. The question emerges, whether it is justified to operate these patients with a combined problem </w:t>
      </w:r>
      <w:r w:rsidR="00EC5315" w:rsidRPr="006B242D">
        <w:rPr>
          <w:rFonts w:ascii="Book Antiqua" w:hAnsi="Book Antiqua"/>
          <w:sz w:val="24"/>
          <w:szCs w:val="24"/>
          <w:lang w:val="en-GB"/>
        </w:rPr>
        <w:t xml:space="preserve">of proven GERD and somatoform tendencies </w:t>
      </w:r>
      <w:r w:rsidR="00E406A1" w:rsidRPr="006B242D">
        <w:rPr>
          <w:rFonts w:ascii="Book Antiqua" w:hAnsi="Book Antiqua"/>
          <w:sz w:val="24"/>
          <w:szCs w:val="24"/>
          <w:lang w:val="en-GB"/>
        </w:rPr>
        <w:t xml:space="preserve">and if </w:t>
      </w:r>
      <w:r w:rsidR="00CE7CAE" w:rsidRPr="006B242D">
        <w:rPr>
          <w:rFonts w:ascii="Book Antiqua" w:hAnsi="Book Antiqua"/>
          <w:sz w:val="24"/>
          <w:szCs w:val="24"/>
          <w:lang w:val="en-GB"/>
        </w:rPr>
        <w:t xml:space="preserve">patients with a combination of GERD and </w:t>
      </w:r>
      <w:r w:rsidR="00E406A1" w:rsidRPr="006B242D">
        <w:rPr>
          <w:rFonts w:ascii="Book Antiqua" w:hAnsi="Book Antiqua"/>
          <w:sz w:val="24"/>
          <w:szCs w:val="24"/>
          <w:lang w:val="en-GB"/>
        </w:rPr>
        <w:t>somatoform problems</w:t>
      </w:r>
      <w:r w:rsidR="00CE7CAE" w:rsidRPr="006B242D">
        <w:rPr>
          <w:rFonts w:ascii="Book Antiqua" w:hAnsi="Book Antiqua"/>
          <w:sz w:val="24"/>
          <w:szCs w:val="24"/>
          <w:lang w:val="en-GB"/>
        </w:rPr>
        <w:t xml:space="preserve"> would benefit from </w:t>
      </w:r>
      <w:r w:rsidR="00E406A1" w:rsidRPr="006B242D">
        <w:rPr>
          <w:rFonts w:ascii="Book Antiqua" w:hAnsi="Book Antiqua"/>
          <w:sz w:val="24"/>
          <w:szCs w:val="24"/>
          <w:lang w:val="en-GB"/>
        </w:rPr>
        <w:t>surgical therapy.</w:t>
      </w:r>
    </w:p>
    <w:p w:rsidR="00F5747B" w:rsidRPr="006B242D" w:rsidRDefault="003A6742" w:rsidP="000B23E9">
      <w:pPr>
        <w:spacing w:line="360" w:lineRule="auto"/>
        <w:ind w:firstLineChars="100" w:firstLine="240"/>
        <w:jc w:val="both"/>
        <w:outlineLvl w:val="0"/>
        <w:rPr>
          <w:rFonts w:ascii="Book Antiqua" w:hAnsi="Book Antiqua"/>
          <w:sz w:val="24"/>
          <w:szCs w:val="24"/>
          <w:lang w:val="en-GB"/>
        </w:rPr>
      </w:pPr>
      <w:r w:rsidRPr="006B242D">
        <w:rPr>
          <w:rFonts w:ascii="Book Antiqua" w:hAnsi="Book Antiqua"/>
          <w:sz w:val="24"/>
          <w:szCs w:val="24"/>
          <w:lang w:val="en-GB"/>
        </w:rPr>
        <w:t>There are many reports on the outcome of laparoscopic antireflux surgery in GERD patients, but only few reports focusing on patients with associated and overlapping disorders such as depression or somatoform tendencies</w:t>
      </w:r>
      <w:r w:rsidR="00781BD8" w:rsidRPr="006B242D">
        <w:rPr>
          <w:rFonts w:ascii="Book Antiqua" w:hAnsi="Book Antiqua"/>
          <w:sz w:val="24"/>
          <w:szCs w:val="24"/>
          <w:vertAlign w:val="superscript"/>
          <w:lang w:val="en-GB" w:eastAsia="zh-CN"/>
        </w:rPr>
        <w:t>[12,17-20]</w:t>
      </w:r>
      <w:r w:rsidRPr="006B242D">
        <w:rPr>
          <w:rFonts w:ascii="Book Antiqua" w:hAnsi="Book Antiqua"/>
          <w:sz w:val="24"/>
          <w:szCs w:val="24"/>
          <w:lang w:val="en-GB"/>
        </w:rPr>
        <w:t xml:space="preserve">. Especially data are lacking </w:t>
      </w:r>
      <w:r w:rsidR="00F5747B" w:rsidRPr="006B242D">
        <w:rPr>
          <w:rFonts w:ascii="Book Antiqua" w:hAnsi="Book Antiqua"/>
          <w:sz w:val="24"/>
          <w:szCs w:val="24"/>
          <w:lang w:val="en-GB"/>
        </w:rPr>
        <w:t>on pre- and postoperative quality of life in patients with GERD and combined somatoform disorders.</w:t>
      </w:r>
      <w:r w:rsidR="00781BD8" w:rsidRPr="006B242D">
        <w:rPr>
          <w:rFonts w:ascii="Book Antiqua" w:hAnsi="Book Antiqua"/>
          <w:sz w:val="24"/>
          <w:szCs w:val="24"/>
          <w:lang w:val="en-GB" w:eastAsia="zh-CN"/>
        </w:rPr>
        <w:t xml:space="preserve"> </w:t>
      </w:r>
      <w:r w:rsidR="00F5747B" w:rsidRPr="006B242D">
        <w:rPr>
          <w:rFonts w:ascii="Book Antiqua" w:hAnsi="Book Antiqua"/>
          <w:sz w:val="24"/>
          <w:szCs w:val="24"/>
          <w:lang w:val="en-GB"/>
        </w:rPr>
        <w:t xml:space="preserve">As a consequence </w:t>
      </w:r>
      <w:r w:rsidR="001E40AC" w:rsidRPr="006B242D">
        <w:rPr>
          <w:rFonts w:ascii="Book Antiqua" w:hAnsi="Book Antiqua"/>
          <w:sz w:val="24"/>
          <w:szCs w:val="24"/>
          <w:lang w:val="en-GB"/>
        </w:rPr>
        <w:t>we performed a</w:t>
      </w:r>
      <w:r w:rsidR="00F5747B" w:rsidRPr="006B242D">
        <w:rPr>
          <w:rFonts w:ascii="Book Antiqua" w:hAnsi="Book Antiqua"/>
          <w:sz w:val="24"/>
          <w:szCs w:val="24"/>
          <w:lang w:val="en-GB"/>
        </w:rPr>
        <w:t xml:space="preserve"> prospective evaluation of patients with GERD with and without a combination of somatoform disorders before and after laparoscopic antireflux surgery regarding their outcome.</w:t>
      </w:r>
    </w:p>
    <w:p w:rsidR="00463F68" w:rsidRPr="006B242D" w:rsidRDefault="00463F68" w:rsidP="000B23E9">
      <w:pPr>
        <w:spacing w:line="360" w:lineRule="auto"/>
        <w:jc w:val="both"/>
        <w:rPr>
          <w:rFonts w:ascii="Book Antiqua" w:hAnsi="Book Antiqua"/>
          <w:sz w:val="24"/>
          <w:szCs w:val="24"/>
          <w:lang w:val="en-GB" w:eastAsia="zh-CN"/>
        </w:rPr>
      </w:pPr>
    </w:p>
    <w:p w:rsidR="00781BD8" w:rsidRPr="006B242D" w:rsidRDefault="00781BD8" w:rsidP="000B23E9">
      <w:pPr>
        <w:spacing w:line="360" w:lineRule="auto"/>
        <w:jc w:val="both"/>
        <w:rPr>
          <w:rFonts w:ascii="Book Antiqua" w:hAnsi="Book Antiqua" w:cs="Arial"/>
          <w:b/>
          <w:sz w:val="24"/>
          <w:szCs w:val="24"/>
          <w:lang w:eastAsia="zh-CN"/>
        </w:rPr>
      </w:pPr>
      <w:r w:rsidRPr="006B242D">
        <w:rPr>
          <w:rFonts w:ascii="Book Antiqua" w:hAnsi="Book Antiqua" w:cs="Arial"/>
          <w:b/>
          <w:sz w:val="24"/>
          <w:szCs w:val="24"/>
        </w:rPr>
        <w:t>MATERIALS AND METHODS</w:t>
      </w:r>
    </w:p>
    <w:p w:rsidR="00E45BE4" w:rsidRPr="006B242D" w:rsidRDefault="00323C0F" w:rsidP="000B23E9">
      <w:pPr>
        <w:spacing w:line="360" w:lineRule="auto"/>
        <w:jc w:val="both"/>
        <w:outlineLvl w:val="0"/>
        <w:rPr>
          <w:rFonts w:ascii="Book Antiqua" w:hAnsi="Book Antiqua"/>
          <w:b/>
          <w:i/>
          <w:sz w:val="24"/>
          <w:szCs w:val="24"/>
          <w:lang w:val="en-GB" w:eastAsia="zh-CN"/>
        </w:rPr>
      </w:pPr>
      <w:r w:rsidRPr="006B242D">
        <w:rPr>
          <w:rFonts w:ascii="Book Antiqua" w:hAnsi="Book Antiqua"/>
          <w:b/>
          <w:i/>
          <w:sz w:val="24"/>
          <w:szCs w:val="24"/>
          <w:lang w:val="en-GB"/>
        </w:rPr>
        <w:t>Method</w:t>
      </w:r>
      <w:r w:rsidR="00781BD8" w:rsidRPr="006B242D">
        <w:rPr>
          <w:rFonts w:ascii="Book Antiqua" w:hAnsi="Book Antiqua"/>
          <w:b/>
          <w:i/>
          <w:sz w:val="24"/>
          <w:szCs w:val="24"/>
          <w:lang w:val="en-GB"/>
        </w:rPr>
        <w:t>s</w:t>
      </w:r>
    </w:p>
    <w:p w:rsidR="00B004A9" w:rsidRPr="006B242D" w:rsidRDefault="00EC3660" w:rsidP="000B23E9">
      <w:pPr>
        <w:spacing w:line="360" w:lineRule="auto"/>
        <w:jc w:val="both"/>
        <w:rPr>
          <w:rFonts w:ascii="Book Antiqua" w:hAnsi="Book Antiqua"/>
          <w:sz w:val="24"/>
          <w:szCs w:val="24"/>
          <w:lang w:val="en-GB"/>
        </w:rPr>
      </w:pPr>
      <w:r w:rsidRPr="006B242D">
        <w:rPr>
          <w:rFonts w:ascii="Book Antiqua" w:hAnsi="Book Antiqua"/>
          <w:sz w:val="24"/>
          <w:szCs w:val="24"/>
          <w:lang w:val="en-GB"/>
        </w:rPr>
        <w:t xml:space="preserve">In a tertiary referral center for foregut surgery over a period of </w:t>
      </w:r>
      <w:r w:rsidR="00F7644B" w:rsidRPr="006B242D">
        <w:rPr>
          <w:rFonts w:ascii="Book Antiqua" w:hAnsi="Book Antiqua"/>
          <w:sz w:val="24"/>
          <w:szCs w:val="24"/>
          <w:lang w:val="en-GB"/>
        </w:rPr>
        <w:t>3</w:t>
      </w:r>
      <w:r w:rsidR="00781BD8" w:rsidRPr="006B242D">
        <w:rPr>
          <w:rFonts w:ascii="Book Antiqua" w:hAnsi="Book Antiqua"/>
          <w:sz w:val="24"/>
          <w:szCs w:val="24"/>
          <w:lang w:val="en-GB"/>
        </w:rPr>
        <w:t xml:space="preserve"> y</w:t>
      </w:r>
      <w:r w:rsidR="001B12CC" w:rsidRPr="006B242D">
        <w:rPr>
          <w:rFonts w:ascii="Book Antiqua" w:hAnsi="Book Antiqua"/>
          <w:sz w:val="24"/>
          <w:szCs w:val="24"/>
          <w:lang w:val="en-GB" w:eastAsia="zh-CN"/>
        </w:rPr>
        <w:t>ea</w:t>
      </w:r>
      <w:r w:rsidR="00781BD8" w:rsidRPr="006B242D">
        <w:rPr>
          <w:rFonts w:ascii="Book Antiqua" w:hAnsi="Book Antiqua"/>
          <w:sz w:val="24"/>
          <w:szCs w:val="24"/>
          <w:lang w:val="en-GB"/>
        </w:rPr>
        <w:t>r</w:t>
      </w:r>
      <w:r w:rsidR="001B12CC" w:rsidRPr="006B242D">
        <w:rPr>
          <w:rFonts w:ascii="Book Antiqua" w:hAnsi="Book Antiqua"/>
          <w:sz w:val="24"/>
          <w:szCs w:val="24"/>
          <w:lang w:val="en-GB" w:eastAsia="zh-CN"/>
        </w:rPr>
        <w:t>s</w:t>
      </w:r>
      <w:r w:rsidRPr="006B242D">
        <w:rPr>
          <w:rFonts w:ascii="Book Antiqua" w:hAnsi="Book Antiqua"/>
          <w:sz w:val="24"/>
          <w:szCs w:val="24"/>
          <w:lang w:val="en-GB"/>
        </w:rPr>
        <w:t xml:space="preserve"> patients with GERD, qualifying for the indication of laparoscopic antireflux surgery, were investigated prospectively regarding their symptomatic spectrum in order to identify GERD and associated somatoform disorders. Patients, fulfilling the criteria for</w:t>
      </w:r>
      <w:r w:rsidR="00314413" w:rsidRPr="006B242D">
        <w:rPr>
          <w:rFonts w:ascii="Book Antiqua" w:hAnsi="Book Antiqua"/>
          <w:sz w:val="24"/>
          <w:szCs w:val="24"/>
          <w:lang w:val="en-GB"/>
        </w:rPr>
        <w:t xml:space="preserve"> the indication for</w:t>
      </w:r>
      <w:r w:rsidRPr="006B242D">
        <w:rPr>
          <w:rFonts w:ascii="Book Antiqua" w:hAnsi="Book Antiqua"/>
          <w:sz w:val="24"/>
          <w:szCs w:val="24"/>
          <w:lang w:val="en-GB"/>
        </w:rPr>
        <w:t xml:space="preserve"> laparoscopic anti</w:t>
      </w:r>
      <w:r w:rsidR="00F7644B" w:rsidRPr="006B242D">
        <w:rPr>
          <w:rFonts w:ascii="Book Antiqua" w:hAnsi="Book Antiqua"/>
          <w:sz w:val="24"/>
          <w:szCs w:val="24"/>
          <w:lang w:val="en-GB"/>
        </w:rPr>
        <w:t>ref</w:t>
      </w:r>
      <w:r w:rsidRPr="006B242D">
        <w:rPr>
          <w:rFonts w:ascii="Book Antiqua" w:hAnsi="Book Antiqua"/>
          <w:sz w:val="24"/>
          <w:szCs w:val="24"/>
          <w:lang w:val="en-GB"/>
        </w:rPr>
        <w:t>lux surgery, entered the protocol and were followed pre-, intra- and postoperatively. This allowed for the analysis of outcome parameters between patients with GERD with and without a combined problem of somatoform tendencies.</w:t>
      </w:r>
    </w:p>
    <w:p w:rsidR="0023147A" w:rsidRPr="006B242D" w:rsidRDefault="0023147A" w:rsidP="000B23E9">
      <w:pPr>
        <w:spacing w:line="360" w:lineRule="auto"/>
        <w:jc w:val="both"/>
        <w:rPr>
          <w:rFonts w:ascii="Book Antiqua" w:hAnsi="Book Antiqua"/>
          <w:sz w:val="24"/>
          <w:szCs w:val="24"/>
          <w:lang w:val="en-GB"/>
        </w:rPr>
      </w:pPr>
    </w:p>
    <w:p w:rsidR="00C16E1F" w:rsidRPr="006B242D" w:rsidRDefault="009C46AE" w:rsidP="000B23E9">
      <w:pPr>
        <w:spacing w:line="360" w:lineRule="auto"/>
        <w:jc w:val="both"/>
        <w:outlineLvl w:val="0"/>
        <w:rPr>
          <w:rFonts w:ascii="Book Antiqua" w:hAnsi="Book Antiqua"/>
          <w:b/>
          <w:i/>
          <w:sz w:val="24"/>
          <w:szCs w:val="24"/>
          <w:lang w:val="en-GB"/>
        </w:rPr>
      </w:pPr>
      <w:r w:rsidRPr="006B242D">
        <w:rPr>
          <w:rFonts w:ascii="Book Antiqua" w:hAnsi="Book Antiqua"/>
          <w:b/>
          <w:i/>
          <w:sz w:val="24"/>
          <w:szCs w:val="24"/>
          <w:lang w:val="en-GB"/>
        </w:rPr>
        <w:t>Patients</w:t>
      </w:r>
    </w:p>
    <w:p w:rsidR="00985B88" w:rsidRPr="006B242D" w:rsidRDefault="001E40AC" w:rsidP="000B23E9">
      <w:pPr>
        <w:spacing w:line="360" w:lineRule="auto"/>
        <w:jc w:val="both"/>
        <w:rPr>
          <w:rFonts w:ascii="Book Antiqua" w:hAnsi="Book Antiqua"/>
          <w:sz w:val="24"/>
          <w:szCs w:val="24"/>
          <w:lang w:val="en-GB"/>
        </w:rPr>
      </w:pPr>
      <w:r w:rsidRPr="006B242D">
        <w:rPr>
          <w:rFonts w:ascii="Book Antiqua" w:hAnsi="Book Antiqua"/>
          <w:sz w:val="24"/>
          <w:szCs w:val="24"/>
          <w:lang w:val="en-GB"/>
        </w:rPr>
        <w:t xml:space="preserve">All </w:t>
      </w:r>
      <w:r w:rsidR="00781BD8" w:rsidRPr="006B242D">
        <w:rPr>
          <w:rFonts w:ascii="Book Antiqua" w:hAnsi="Book Antiqua"/>
          <w:sz w:val="24"/>
          <w:szCs w:val="24"/>
          <w:lang w:val="en-GB"/>
        </w:rPr>
        <w:t>p</w:t>
      </w:r>
      <w:r w:rsidR="004B6313" w:rsidRPr="006B242D">
        <w:rPr>
          <w:rFonts w:ascii="Book Antiqua" w:hAnsi="Book Antiqua"/>
          <w:sz w:val="24"/>
          <w:szCs w:val="24"/>
          <w:lang w:val="en-GB"/>
        </w:rPr>
        <w:t xml:space="preserve">atients with foregut symptoms </w:t>
      </w:r>
      <w:r w:rsidRPr="006B242D">
        <w:rPr>
          <w:rFonts w:ascii="Book Antiqua" w:hAnsi="Book Antiqua"/>
          <w:sz w:val="24"/>
          <w:szCs w:val="24"/>
          <w:lang w:val="en-GB"/>
        </w:rPr>
        <w:t xml:space="preserve">such as </w:t>
      </w:r>
      <w:r w:rsidR="004B6313" w:rsidRPr="006B242D">
        <w:rPr>
          <w:rFonts w:ascii="Book Antiqua" w:hAnsi="Book Antiqua"/>
          <w:sz w:val="24"/>
          <w:szCs w:val="24"/>
          <w:lang w:val="en-GB"/>
        </w:rPr>
        <w:t>heartburn</w:t>
      </w:r>
      <w:r w:rsidRPr="006B242D">
        <w:rPr>
          <w:rFonts w:ascii="Book Antiqua" w:hAnsi="Book Antiqua"/>
          <w:sz w:val="24"/>
          <w:szCs w:val="24"/>
          <w:lang w:val="en-GB"/>
        </w:rPr>
        <w:t xml:space="preserve"> who were </w:t>
      </w:r>
      <w:r w:rsidR="00985B88" w:rsidRPr="006B242D">
        <w:rPr>
          <w:rFonts w:ascii="Book Antiqua" w:hAnsi="Book Antiqua"/>
          <w:sz w:val="24"/>
          <w:szCs w:val="24"/>
          <w:lang w:val="en-GB"/>
        </w:rPr>
        <w:t>suspicious for GERD</w:t>
      </w:r>
      <w:r w:rsidRPr="006B242D">
        <w:rPr>
          <w:rFonts w:ascii="Book Antiqua" w:hAnsi="Book Antiqua"/>
          <w:sz w:val="24"/>
          <w:szCs w:val="24"/>
          <w:lang w:val="en-GB"/>
        </w:rPr>
        <w:t xml:space="preserve"> and </w:t>
      </w:r>
      <w:r w:rsidR="004B6313" w:rsidRPr="006B242D">
        <w:rPr>
          <w:rFonts w:ascii="Book Antiqua" w:hAnsi="Book Antiqua"/>
          <w:sz w:val="24"/>
          <w:szCs w:val="24"/>
          <w:lang w:val="en-GB"/>
        </w:rPr>
        <w:t xml:space="preserve">referred to </w:t>
      </w:r>
      <w:r w:rsidRPr="006B242D">
        <w:rPr>
          <w:rFonts w:ascii="Book Antiqua" w:hAnsi="Book Antiqua"/>
          <w:sz w:val="24"/>
          <w:szCs w:val="24"/>
          <w:lang w:val="en-GB"/>
        </w:rPr>
        <w:t>our</w:t>
      </w:r>
      <w:r w:rsidR="00D16D0E" w:rsidRPr="006B242D">
        <w:rPr>
          <w:rFonts w:ascii="Book Antiqua" w:hAnsi="Book Antiqua"/>
          <w:sz w:val="24"/>
          <w:szCs w:val="24"/>
          <w:lang w:val="en-GB"/>
        </w:rPr>
        <w:t xml:space="preserve"> </w:t>
      </w:r>
      <w:r w:rsidR="004B6313" w:rsidRPr="006B242D">
        <w:rPr>
          <w:rFonts w:ascii="Book Antiqua" w:hAnsi="Book Antiqua"/>
          <w:sz w:val="24"/>
          <w:szCs w:val="24"/>
          <w:lang w:val="en-GB"/>
        </w:rPr>
        <w:t xml:space="preserve">specialized </w:t>
      </w:r>
      <w:r w:rsidR="008E4310" w:rsidRPr="006B242D">
        <w:rPr>
          <w:rFonts w:ascii="Book Antiqua" w:hAnsi="Book Antiqua"/>
          <w:sz w:val="24"/>
          <w:szCs w:val="24"/>
          <w:lang w:val="en-GB"/>
        </w:rPr>
        <w:t xml:space="preserve">referral </w:t>
      </w:r>
      <w:r w:rsidR="004B6313" w:rsidRPr="006B242D">
        <w:rPr>
          <w:rFonts w:ascii="Book Antiqua" w:hAnsi="Book Antiqua"/>
          <w:sz w:val="24"/>
          <w:szCs w:val="24"/>
          <w:lang w:val="en-GB"/>
        </w:rPr>
        <w:t xml:space="preserve">center </w:t>
      </w:r>
      <w:r w:rsidRPr="006B242D">
        <w:rPr>
          <w:rFonts w:ascii="Book Antiqua" w:hAnsi="Book Antiqua"/>
          <w:sz w:val="24"/>
          <w:szCs w:val="24"/>
          <w:lang w:val="en-GB"/>
        </w:rPr>
        <w:t>for</w:t>
      </w:r>
      <w:r w:rsidR="004B6313" w:rsidRPr="006B242D">
        <w:rPr>
          <w:rFonts w:ascii="Book Antiqua" w:hAnsi="Book Antiqua"/>
          <w:sz w:val="24"/>
          <w:szCs w:val="24"/>
          <w:lang w:val="en-GB"/>
        </w:rPr>
        <w:t xml:space="preserve"> </w:t>
      </w:r>
      <w:r w:rsidR="00592F63" w:rsidRPr="006B242D">
        <w:rPr>
          <w:rFonts w:ascii="Book Antiqua" w:hAnsi="Book Antiqua"/>
          <w:sz w:val="24"/>
          <w:szCs w:val="24"/>
          <w:lang w:val="en-GB" w:eastAsia="zh-CN"/>
        </w:rPr>
        <w:t>GI</w:t>
      </w:r>
      <w:r w:rsidR="004B6313" w:rsidRPr="006B242D">
        <w:rPr>
          <w:rFonts w:ascii="Book Antiqua" w:hAnsi="Book Antiqua"/>
          <w:sz w:val="24"/>
          <w:szCs w:val="24"/>
          <w:lang w:val="en-GB"/>
        </w:rPr>
        <w:t xml:space="preserve"> functional </w:t>
      </w:r>
      <w:r w:rsidR="00D16D0E" w:rsidRPr="006B242D">
        <w:rPr>
          <w:rFonts w:ascii="Book Antiqua" w:hAnsi="Book Antiqua"/>
          <w:sz w:val="24"/>
          <w:szCs w:val="24"/>
          <w:lang w:val="en-GB"/>
        </w:rPr>
        <w:t xml:space="preserve">disease </w:t>
      </w:r>
      <w:r w:rsidRPr="006B242D">
        <w:rPr>
          <w:rFonts w:ascii="Book Antiqua" w:hAnsi="Book Antiqua"/>
          <w:sz w:val="24"/>
          <w:szCs w:val="24"/>
          <w:lang w:val="en-GB"/>
        </w:rPr>
        <w:t>over a time frame</w:t>
      </w:r>
      <w:r w:rsidR="00E6263B" w:rsidRPr="006B242D">
        <w:rPr>
          <w:rFonts w:ascii="Book Antiqua" w:hAnsi="Book Antiqua"/>
          <w:sz w:val="24"/>
          <w:szCs w:val="24"/>
          <w:lang w:val="en-GB"/>
        </w:rPr>
        <w:t xml:space="preserve"> of </w:t>
      </w:r>
      <w:r w:rsidR="00EC3660" w:rsidRPr="006B242D">
        <w:rPr>
          <w:rFonts w:ascii="Book Antiqua" w:hAnsi="Book Antiqua"/>
          <w:sz w:val="24"/>
          <w:szCs w:val="24"/>
          <w:lang w:val="en-GB"/>
        </w:rPr>
        <w:t>3</w:t>
      </w:r>
      <w:r w:rsidR="00781BD8" w:rsidRPr="006B242D">
        <w:rPr>
          <w:rFonts w:ascii="Book Antiqua" w:hAnsi="Book Antiqua"/>
          <w:sz w:val="24"/>
          <w:szCs w:val="24"/>
          <w:lang w:val="en-GB"/>
        </w:rPr>
        <w:t xml:space="preserve"> y</w:t>
      </w:r>
      <w:r w:rsidR="001B12CC" w:rsidRPr="006B242D">
        <w:rPr>
          <w:rFonts w:ascii="Book Antiqua" w:hAnsi="Book Antiqua"/>
          <w:sz w:val="24"/>
          <w:szCs w:val="24"/>
          <w:lang w:val="en-GB" w:eastAsia="zh-CN"/>
        </w:rPr>
        <w:t>ea</w:t>
      </w:r>
      <w:r w:rsidR="00781BD8" w:rsidRPr="006B242D">
        <w:rPr>
          <w:rFonts w:ascii="Book Antiqua" w:hAnsi="Book Antiqua"/>
          <w:sz w:val="24"/>
          <w:szCs w:val="24"/>
          <w:lang w:val="en-GB"/>
        </w:rPr>
        <w:t>r</w:t>
      </w:r>
      <w:r w:rsidR="001B12CC" w:rsidRPr="006B242D">
        <w:rPr>
          <w:rFonts w:ascii="Book Antiqua" w:hAnsi="Book Antiqua"/>
          <w:sz w:val="24"/>
          <w:szCs w:val="24"/>
          <w:lang w:val="en-GB" w:eastAsia="zh-CN"/>
        </w:rPr>
        <w:t>s</w:t>
      </w:r>
      <w:r w:rsidR="00D16D0E" w:rsidRPr="006B242D">
        <w:rPr>
          <w:rFonts w:ascii="Book Antiqua" w:hAnsi="Book Antiqua"/>
          <w:sz w:val="24"/>
          <w:szCs w:val="24"/>
          <w:lang w:val="en-GB"/>
        </w:rPr>
        <w:t xml:space="preserve"> were </w:t>
      </w:r>
      <w:r w:rsidR="00A87EDA" w:rsidRPr="006B242D">
        <w:rPr>
          <w:rFonts w:ascii="Book Antiqua" w:hAnsi="Book Antiqua"/>
          <w:sz w:val="24"/>
          <w:szCs w:val="24"/>
          <w:lang w:val="en-GB"/>
        </w:rPr>
        <w:t>asked for the</w:t>
      </w:r>
      <w:r w:rsidR="00F46690" w:rsidRPr="006B242D">
        <w:rPr>
          <w:rFonts w:ascii="Book Antiqua" w:hAnsi="Book Antiqua"/>
          <w:sz w:val="24"/>
          <w:szCs w:val="24"/>
          <w:lang w:val="en-GB"/>
        </w:rPr>
        <w:t>ir permission</w:t>
      </w:r>
      <w:r w:rsidR="00A87EDA" w:rsidRPr="006B242D">
        <w:rPr>
          <w:rFonts w:ascii="Book Antiqua" w:hAnsi="Book Antiqua"/>
          <w:sz w:val="24"/>
          <w:szCs w:val="24"/>
          <w:lang w:val="en-GB"/>
        </w:rPr>
        <w:t xml:space="preserve"> and </w:t>
      </w:r>
      <w:r w:rsidR="00D16D0E" w:rsidRPr="006B242D">
        <w:rPr>
          <w:rFonts w:ascii="Book Antiqua" w:hAnsi="Book Antiqua"/>
          <w:sz w:val="24"/>
          <w:szCs w:val="24"/>
          <w:lang w:val="en-GB"/>
        </w:rPr>
        <w:t xml:space="preserve">registered </w:t>
      </w:r>
      <w:r w:rsidR="00B06B1D" w:rsidRPr="006B242D">
        <w:rPr>
          <w:rFonts w:ascii="Book Antiqua" w:hAnsi="Book Antiqua"/>
          <w:sz w:val="24"/>
          <w:szCs w:val="24"/>
          <w:lang w:val="en-GB"/>
        </w:rPr>
        <w:t>in th</w:t>
      </w:r>
      <w:r w:rsidRPr="006B242D">
        <w:rPr>
          <w:rFonts w:ascii="Book Antiqua" w:hAnsi="Book Antiqua"/>
          <w:sz w:val="24"/>
          <w:szCs w:val="24"/>
          <w:lang w:val="en-GB"/>
        </w:rPr>
        <w:t>is present</w:t>
      </w:r>
      <w:r w:rsidR="00B06B1D" w:rsidRPr="006B242D">
        <w:rPr>
          <w:rFonts w:ascii="Book Antiqua" w:hAnsi="Book Antiqua"/>
          <w:sz w:val="24"/>
          <w:szCs w:val="24"/>
          <w:lang w:val="en-GB"/>
        </w:rPr>
        <w:t xml:space="preserve"> study</w:t>
      </w:r>
      <w:r w:rsidRPr="006B242D">
        <w:rPr>
          <w:rFonts w:ascii="Book Antiqua" w:hAnsi="Book Antiqua"/>
          <w:sz w:val="24"/>
          <w:szCs w:val="24"/>
          <w:lang w:val="en-GB"/>
        </w:rPr>
        <w:t xml:space="preserve"> after</w:t>
      </w:r>
      <w:r w:rsidR="00B06B1D" w:rsidRPr="006B242D">
        <w:rPr>
          <w:rFonts w:ascii="Book Antiqua" w:hAnsi="Book Antiqua"/>
          <w:sz w:val="24"/>
          <w:szCs w:val="24"/>
          <w:lang w:val="en-GB"/>
        </w:rPr>
        <w:t xml:space="preserve"> Institutional Review B</w:t>
      </w:r>
      <w:r w:rsidR="00144E94" w:rsidRPr="006B242D">
        <w:rPr>
          <w:rFonts w:ascii="Book Antiqua" w:hAnsi="Book Antiqua"/>
          <w:sz w:val="24"/>
          <w:szCs w:val="24"/>
          <w:lang w:val="en-GB"/>
        </w:rPr>
        <w:t>oard</w:t>
      </w:r>
      <w:r w:rsidRPr="006B242D">
        <w:rPr>
          <w:rFonts w:ascii="Book Antiqua" w:hAnsi="Book Antiqua"/>
          <w:sz w:val="24"/>
          <w:szCs w:val="24"/>
          <w:lang w:val="en-GB"/>
        </w:rPr>
        <w:t xml:space="preserve"> approval</w:t>
      </w:r>
      <w:r w:rsidR="00B06B1D" w:rsidRPr="006B242D">
        <w:rPr>
          <w:rFonts w:ascii="Book Antiqua" w:hAnsi="Book Antiqua"/>
          <w:sz w:val="24"/>
          <w:szCs w:val="24"/>
          <w:lang w:val="en-GB"/>
        </w:rPr>
        <w:t>.</w:t>
      </w:r>
      <w:r w:rsidR="00144E94" w:rsidRPr="006B242D">
        <w:rPr>
          <w:rFonts w:ascii="Book Antiqua" w:hAnsi="Book Antiqua"/>
          <w:sz w:val="24"/>
          <w:szCs w:val="24"/>
          <w:lang w:val="en-GB"/>
        </w:rPr>
        <w:t xml:space="preserve"> </w:t>
      </w:r>
      <w:r w:rsidR="00076192" w:rsidRPr="006B242D">
        <w:rPr>
          <w:rFonts w:ascii="Book Antiqua" w:hAnsi="Book Antiqua"/>
          <w:sz w:val="24"/>
          <w:szCs w:val="24"/>
          <w:lang w:val="en-GB"/>
        </w:rPr>
        <w:t xml:space="preserve">This was followed by a </w:t>
      </w:r>
      <w:r w:rsidR="00F46690" w:rsidRPr="006B242D">
        <w:rPr>
          <w:rFonts w:ascii="Book Antiqua" w:hAnsi="Book Antiqua"/>
          <w:sz w:val="24"/>
          <w:szCs w:val="24"/>
          <w:lang w:val="en-GB"/>
        </w:rPr>
        <w:t xml:space="preserve">prospective </w:t>
      </w:r>
      <w:r w:rsidR="00D16D0E" w:rsidRPr="006B242D">
        <w:rPr>
          <w:rFonts w:ascii="Book Antiqua" w:hAnsi="Book Antiqua"/>
          <w:sz w:val="24"/>
          <w:szCs w:val="24"/>
          <w:lang w:val="en-GB"/>
        </w:rPr>
        <w:t>protocol of investigations</w:t>
      </w:r>
      <w:r w:rsidR="00985B88" w:rsidRPr="006B242D">
        <w:rPr>
          <w:rFonts w:ascii="Book Antiqua" w:hAnsi="Book Antiqua"/>
          <w:sz w:val="24"/>
          <w:szCs w:val="24"/>
          <w:lang w:val="en-GB"/>
        </w:rPr>
        <w:t>, assessments and therapy</w:t>
      </w:r>
      <w:r w:rsidR="00EC3660" w:rsidRPr="006B242D">
        <w:rPr>
          <w:rFonts w:ascii="Book Antiqua" w:hAnsi="Book Antiqua"/>
          <w:sz w:val="24"/>
          <w:szCs w:val="24"/>
          <w:lang w:val="en-GB"/>
        </w:rPr>
        <w:t xml:space="preserve"> as</w:t>
      </w:r>
      <w:r w:rsidR="00985B88" w:rsidRPr="006B242D">
        <w:rPr>
          <w:rFonts w:ascii="Book Antiqua" w:hAnsi="Book Antiqua"/>
          <w:sz w:val="24"/>
          <w:szCs w:val="24"/>
          <w:lang w:val="en-GB"/>
        </w:rPr>
        <w:t xml:space="preserve"> well as follow up assessments.</w:t>
      </w:r>
      <w:r w:rsidR="00EC3660" w:rsidRPr="006B242D">
        <w:rPr>
          <w:rFonts w:ascii="Book Antiqua" w:hAnsi="Book Antiqua"/>
          <w:sz w:val="24"/>
          <w:szCs w:val="24"/>
          <w:lang w:val="en-GB"/>
        </w:rPr>
        <w:t xml:space="preserve"> </w:t>
      </w:r>
      <w:r w:rsidR="00306EE5" w:rsidRPr="006B242D">
        <w:rPr>
          <w:rFonts w:ascii="Book Antiqua" w:hAnsi="Book Antiqua"/>
          <w:sz w:val="24"/>
          <w:szCs w:val="24"/>
          <w:lang w:val="en-GB"/>
        </w:rPr>
        <w:t xml:space="preserve">Patients fulfilling the indication criteria based on the </w:t>
      </w:r>
      <w:r w:rsidR="00781BD8" w:rsidRPr="006B242D">
        <w:rPr>
          <w:rFonts w:ascii="Book Antiqua" w:hAnsi="Book Antiqua"/>
          <w:sz w:val="24"/>
          <w:szCs w:val="24"/>
          <w:lang w:val="en-GB"/>
        </w:rPr>
        <w:t>guidelines</w:t>
      </w:r>
      <w:r w:rsidR="00306EE5" w:rsidRPr="006B242D">
        <w:rPr>
          <w:rFonts w:ascii="Book Antiqua" w:hAnsi="Book Antiqua"/>
          <w:sz w:val="24"/>
          <w:szCs w:val="24"/>
          <w:lang w:val="en-GB"/>
        </w:rPr>
        <w:t xml:space="preserve"> were informed and an indication for laparoscopic ant</w:t>
      </w:r>
      <w:r w:rsidR="00781BD8" w:rsidRPr="006B242D">
        <w:rPr>
          <w:rFonts w:ascii="Book Antiqua" w:hAnsi="Book Antiqua"/>
          <w:sz w:val="24"/>
          <w:szCs w:val="24"/>
          <w:lang w:val="en-GB"/>
        </w:rPr>
        <w:t>ireflux surgery was established</w:t>
      </w:r>
      <w:r w:rsidR="00306EE5" w:rsidRPr="006B242D">
        <w:rPr>
          <w:rFonts w:ascii="Book Antiqua" w:hAnsi="Book Antiqua"/>
          <w:sz w:val="24"/>
          <w:szCs w:val="24"/>
          <w:lang w:val="en-GB"/>
        </w:rPr>
        <w:t>. In patients with minor and /or non-progressive disease, a continuation of PPI-therapy was suggested.</w:t>
      </w:r>
    </w:p>
    <w:p w:rsidR="005F3CF3" w:rsidRPr="006B242D" w:rsidRDefault="005F3CF3" w:rsidP="000B23E9">
      <w:pPr>
        <w:spacing w:line="360" w:lineRule="auto"/>
        <w:jc w:val="both"/>
        <w:rPr>
          <w:rFonts w:ascii="Book Antiqua" w:hAnsi="Book Antiqua"/>
          <w:sz w:val="24"/>
          <w:szCs w:val="24"/>
          <w:lang w:val="en-GB"/>
        </w:rPr>
      </w:pPr>
    </w:p>
    <w:p w:rsidR="005F3CF3" w:rsidRPr="006B242D" w:rsidRDefault="005F3CF3" w:rsidP="000B23E9">
      <w:pPr>
        <w:spacing w:line="360" w:lineRule="auto"/>
        <w:jc w:val="both"/>
        <w:rPr>
          <w:rFonts w:ascii="Book Antiqua" w:hAnsi="Book Antiqua"/>
          <w:b/>
          <w:i/>
          <w:sz w:val="24"/>
          <w:szCs w:val="24"/>
          <w:lang w:val="en-GB"/>
        </w:rPr>
      </w:pPr>
      <w:r w:rsidRPr="006B242D">
        <w:rPr>
          <w:rFonts w:ascii="Book Antiqua" w:hAnsi="Book Antiqua"/>
          <w:b/>
          <w:i/>
          <w:sz w:val="24"/>
          <w:szCs w:val="24"/>
          <w:lang w:val="en-GB"/>
        </w:rPr>
        <w:t>Diagnostic work-up</w:t>
      </w:r>
    </w:p>
    <w:p w:rsidR="000F6B0D" w:rsidRPr="006B242D" w:rsidRDefault="00F55BE8" w:rsidP="000B23E9">
      <w:pPr>
        <w:spacing w:line="360" w:lineRule="auto"/>
        <w:jc w:val="both"/>
        <w:outlineLvl w:val="0"/>
        <w:rPr>
          <w:rFonts w:ascii="Book Antiqua" w:hAnsi="Book Antiqua"/>
          <w:bCs/>
          <w:sz w:val="24"/>
          <w:szCs w:val="24"/>
          <w:lang w:val="en-US" w:eastAsia="zh-CN"/>
        </w:rPr>
      </w:pPr>
      <w:r w:rsidRPr="006B242D">
        <w:rPr>
          <w:rFonts w:ascii="Book Antiqua" w:hAnsi="Book Antiqua"/>
          <w:sz w:val="24"/>
          <w:szCs w:val="24"/>
          <w:lang w:val="en-GB"/>
        </w:rPr>
        <w:t>S</w:t>
      </w:r>
      <w:r w:rsidR="00F90E70" w:rsidRPr="006B242D">
        <w:rPr>
          <w:rFonts w:ascii="Book Antiqua" w:hAnsi="Book Antiqua"/>
          <w:sz w:val="24"/>
          <w:szCs w:val="24"/>
          <w:lang w:val="en-GB"/>
        </w:rPr>
        <w:t xml:space="preserve">tandardized </w:t>
      </w:r>
      <w:r w:rsidR="003F69B2" w:rsidRPr="006B242D">
        <w:rPr>
          <w:rFonts w:ascii="Book Antiqua" w:hAnsi="Book Antiqua"/>
          <w:sz w:val="24"/>
          <w:szCs w:val="24"/>
          <w:lang w:val="en-GB"/>
        </w:rPr>
        <w:t xml:space="preserve">questionnaires </w:t>
      </w:r>
      <w:r w:rsidRPr="006B242D">
        <w:rPr>
          <w:rFonts w:ascii="Book Antiqua" w:hAnsi="Book Antiqua"/>
          <w:sz w:val="24"/>
          <w:szCs w:val="24"/>
          <w:lang w:val="en-GB"/>
        </w:rPr>
        <w:t xml:space="preserve">were used </w:t>
      </w:r>
      <w:r w:rsidR="003F69B2" w:rsidRPr="006B242D">
        <w:rPr>
          <w:rFonts w:ascii="Book Antiqua" w:hAnsi="Book Antiqua"/>
          <w:sz w:val="24"/>
          <w:szCs w:val="24"/>
          <w:lang w:val="en-GB"/>
        </w:rPr>
        <w:t>to assess</w:t>
      </w:r>
      <w:r w:rsidR="00F90E70" w:rsidRPr="006B242D">
        <w:rPr>
          <w:rFonts w:ascii="Book Antiqua" w:hAnsi="Book Antiqua"/>
          <w:sz w:val="24"/>
          <w:szCs w:val="24"/>
          <w:lang w:val="en-GB"/>
        </w:rPr>
        <w:t xml:space="preserve"> all presenting symptoms, a</w:t>
      </w:r>
      <w:r w:rsidRPr="006B242D">
        <w:rPr>
          <w:rFonts w:ascii="Book Antiqua" w:hAnsi="Book Antiqua"/>
          <w:sz w:val="24"/>
          <w:szCs w:val="24"/>
          <w:lang w:val="en-GB"/>
        </w:rPr>
        <w:t>nd</w:t>
      </w:r>
      <w:r w:rsidR="00F90E70" w:rsidRPr="006B242D">
        <w:rPr>
          <w:rFonts w:ascii="Book Antiqua" w:hAnsi="Book Antiqua"/>
          <w:sz w:val="24"/>
          <w:szCs w:val="24"/>
          <w:lang w:val="en-GB"/>
        </w:rPr>
        <w:t xml:space="preserve"> </w:t>
      </w:r>
      <w:r w:rsidRPr="006B242D">
        <w:rPr>
          <w:rFonts w:ascii="Book Antiqua" w:hAnsi="Book Antiqua"/>
          <w:sz w:val="24"/>
          <w:szCs w:val="24"/>
          <w:lang w:val="en-GB"/>
        </w:rPr>
        <w:t xml:space="preserve">all patients underwent a </w:t>
      </w:r>
      <w:r w:rsidR="00F90E70" w:rsidRPr="006B242D">
        <w:rPr>
          <w:rFonts w:ascii="Book Antiqua" w:hAnsi="Book Antiqua"/>
          <w:sz w:val="24"/>
          <w:szCs w:val="24"/>
          <w:lang w:val="en-GB"/>
        </w:rPr>
        <w:t xml:space="preserve">validated screening test </w:t>
      </w:r>
      <w:r w:rsidRPr="006B242D">
        <w:rPr>
          <w:rFonts w:ascii="Book Antiqua" w:hAnsi="Book Antiqua"/>
          <w:sz w:val="24"/>
          <w:szCs w:val="24"/>
          <w:lang w:val="en-GB"/>
        </w:rPr>
        <w:t>to assess</w:t>
      </w:r>
      <w:r w:rsidR="00F90E70" w:rsidRPr="006B242D">
        <w:rPr>
          <w:rFonts w:ascii="Book Antiqua" w:hAnsi="Book Antiqua"/>
          <w:sz w:val="24"/>
          <w:szCs w:val="24"/>
          <w:lang w:val="en-GB"/>
        </w:rPr>
        <w:t xml:space="preserve"> somatoform disorder</w:t>
      </w:r>
      <w:r w:rsidR="008E4310" w:rsidRPr="006B242D">
        <w:rPr>
          <w:rFonts w:ascii="Book Antiqua" w:hAnsi="Book Antiqua"/>
          <w:sz w:val="24"/>
          <w:szCs w:val="24"/>
          <w:lang w:val="en-GB"/>
        </w:rPr>
        <w:t xml:space="preserve">s </w:t>
      </w:r>
      <w:r w:rsidR="00985B88" w:rsidRPr="006B242D">
        <w:rPr>
          <w:rFonts w:ascii="Book Antiqua" w:hAnsi="Book Antiqua"/>
          <w:sz w:val="24"/>
          <w:szCs w:val="24"/>
          <w:lang w:val="en-GB"/>
        </w:rPr>
        <w:t>and quality of life</w:t>
      </w:r>
      <w:r w:rsidR="00781BD8" w:rsidRPr="006B242D">
        <w:rPr>
          <w:rFonts w:ascii="Book Antiqua" w:hAnsi="Book Antiqua"/>
          <w:sz w:val="24"/>
          <w:szCs w:val="24"/>
          <w:vertAlign w:val="superscript"/>
          <w:lang w:val="en-GB" w:eastAsia="zh-CN"/>
        </w:rPr>
        <w:t>[10,15,21]</w:t>
      </w:r>
      <w:r w:rsidR="00985B88" w:rsidRPr="006B242D">
        <w:rPr>
          <w:rFonts w:ascii="Book Antiqua" w:hAnsi="Book Antiqua"/>
          <w:sz w:val="24"/>
          <w:szCs w:val="24"/>
          <w:lang w:val="en-GB"/>
        </w:rPr>
        <w:t>.</w:t>
      </w:r>
      <w:r w:rsidR="00511EF2" w:rsidRPr="006B242D">
        <w:rPr>
          <w:rFonts w:ascii="Book Antiqua" w:hAnsi="Book Antiqua"/>
          <w:sz w:val="24"/>
          <w:szCs w:val="24"/>
          <w:lang w:val="en-GB"/>
        </w:rPr>
        <w:t xml:space="preserve"> </w:t>
      </w:r>
      <w:r w:rsidRPr="006B242D">
        <w:rPr>
          <w:rFonts w:ascii="Book Antiqua" w:hAnsi="Book Antiqua"/>
          <w:sz w:val="24"/>
          <w:szCs w:val="24"/>
          <w:lang w:val="en-GB"/>
        </w:rPr>
        <w:t>M</w:t>
      </w:r>
      <w:r w:rsidR="00D16D0E" w:rsidRPr="006B242D">
        <w:rPr>
          <w:rFonts w:ascii="Book Antiqua" w:hAnsi="Book Antiqua"/>
          <w:sz w:val="24"/>
          <w:szCs w:val="24"/>
          <w:lang w:val="en-GB"/>
        </w:rPr>
        <w:t>edical history, physical exam</w:t>
      </w:r>
      <w:r w:rsidRPr="006B242D">
        <w:rPr>
          <w:rFonts w:ascii="Book Antiqua" w:hAnsi="Book Antiqua"/>
          <w:sz w:val="24"/>
          <w:szCs w:val="24"/>
          <w:lang w:val="en-GB"/>
        </w:rPr>
        <w:t>s</w:t>
      </w:r>
      <w:r w:rsidR="00D16D0E" w:rsidRPr="006B242D">
        <w:rPr>
          <w:rFonts w:ascii="Book Antiqua" w:hAnsi="Book Antiqua"/>
          <w:sz w:val="24"/>
          <w:szCs w:val="24"/>
          <w:lang w:val="en-GB"/>
        </w:rPr>
        <w:t>,</w:t>
      </w:r>
      <w:r w:rsidR="00985B88" w:rsidRPr="006B242D">
        <w:rPr>
          <w:rFonts w:ascii="Book Antiqua" w:hAnsi="Book Antiqua"/>
          <w:sz w:val="24"/>
          <w:szCs w:val="24"/>
          <w:lang w:val="en-GB"/>
        </w:rPr>
        <w:t xml:space="preserve"> </w:t>
      </w:r>
      <w:r w:rsidR="00D16D0E" w:rsidRPr="006B242D">
        <w:rPr>
          <w:rFonts w:ascii="Book Antiqua" w:hAnsi="Book Antiqua"/>
          <w:sz w:val="24"/>
          <w:szCs w:val="24"/>
          <w:lang w:val="en-GB"/>
        </w:rPr>
        <w:t xml:space="preserve">upper </w:t>
      </w:r>
      <w:r w:rsidR="00592F63" w:rsidRPr="006B242D">
        <w:rPr>
          <w:rFonts w:ascii="Book Antiqua" w:hAnsi="Book Antiqua"/>
          <w:sz w:val="24"/>
          <w:szCs w:val="24"/>
          <w:lang w:val="en-GB" w:eastAsia="zh-CN"/>
        </w:rPr>
        <w:t>GI</w:t>
      </w:r>
      <w:r w:rsidR="00D16D0E" w:rsidRPr="006B242D">
        <w:rPr>
          <w:rFonts w:ascii="Book Antiqua" w:hAnsi="Book Antiqua"/>
          <w:sz w:val="24"/>
          <w:szCs w:val="24"/>
          <w:lang w:val="en-GB"/>
        </w:rPr>
        <w:t xml:space="preserve"> endoscopy,</w:t>
      </w:r>
      <w:r w:rsidR="00511EF2" w:rsidRPr="006B242D">
        <w:rPr>
          <w:rFonts w:ascii="Book Antiqua" w:hAnsi="Book Antiqua"/>
          <w:sz w:val="24"/>
          <w:szCs w:val="24"/>
          <w:lang w:val="en-GB"/>
        </w:rPr>
        <w:t xml:space="preserve"> </w:t>
      </w:r>
      <w:r w:rsidR="00592F63" w:rsidRPr="006B242D">
        <w:rPr>
          <w:rFonts w:ascii="Book Antiqua" w:hAnsi="Book Antiqua"/>
          <w:sz w:val="24"/>
          <w:szCs w:val="24"/>
          <w:lang w:val="en-GB" w:eastAsia="zh-CN"/>
        </w:rPr>
        <w:t>GI</w:t>
      </w:r>
      <w:r w:rsidRPr="006B242D">
        <w:rPr>
          <w:rFonts w:ascii="Book Antiqua" w:hAnsi="Book Antiqua"/>
          <w:sz w:val="24"/>
          <w:szCs w:val="24"/>
          <w:lang w:val="en-GB"/>
        </w:rPr>
        <w:t xml:space="preserve"> function testing (</w:t>
      </w:r>
      <w:r w:rsidR="00D16D0E" w:rsidRPr="006B242D">
        <w:rPr>
          <w:rFonts w:ascii="Book Antiqua" w:hAnsi="Book Antiqua"/>
          <w:sz w:val="24"/>
          <w:szCs w:val="24"/>
          <w:lang w:val="en-GB"/>
        </w:rPr>
        <w:t>esopha</w:t>
      </w:r>
      <w:r w:rsidR="00511EF2" w:rsidRPr="006B242D">
        <w:rPr>
          <w:rFonts w:ascii="Book Antiqua" w:hAnsi="Book Antiqua"/>
          <w:sz w:val="24"/>
          <w:szCs w:val="24"/>
          <w:lang w:val="en-GB"/>
        </w:rPr>
        <w:t>geal</w:t>
      </w:r>
      <w:r w:rsidR="000F6B0D" w:rsidRPr="006B242D">
        <w:rPr>
          <w:rFonts w:ascii="Book Antiqua" w:hAnsi="Book Antiqua"/>
          <w:sz w:val="24"/>
          <w:szCs w:val="24"/>
          <w:lang w:val="en-GB"/>
        </w:rPr>
        <w:t xml:space="preserve"> </w:t>
      </w:r>
      <w:r w:rsidR="00115485" w:rsidRPr="006B242D">
        <w:rPr>
          <w:rFonts w:ascii="Book Antiqua" w:hAnsi="Book Antiqua"/>
          <w:sz w:val="24"/>
          <w:szCs w:val="24"/>
          <w:lang w:val="en-GB"/>
        </w:rPr>
        <w:t>manometry</w:t>
      </w:r>
      <w:r w:rsidR="000F6B0D" w:rsidRPr="006B242D">
        <w:rPr>
          <w:rFonts w:ascii="Book Antiqua" w:hAnsi="Book Antiqua"/>
          <w:sz w:val="24"/>
          <w:szCs w:val="24"/>
          <w:lang w:val="en-GB"/>
        </w:rPr>
        <w:t xml:space="preserve"> and</w:t>
      </w:r>
      <w:r w:rsidR="00115485" w:rsidRPr="006B242D">
        <w:rPr>
          <w:rFonts w:ascii="Book Antiqua" w:hAnsi="Book Antiqua"/>
          <w:sz w:val="24"/>
          <w:szCs w:val="24"/>
          <w:lang w:val="en-GB"/>
        </w:rPr>
        <w:t xml:space="preserve"> 24</w:t>
      </w:r>
      <w:r w:rsidR="00781BD8" w:rsidRPr="006B242D">
        <w:rPr>
          <w:rFonts w:ascii="Book Antiqua" w:hAnsi="Book Antiqua"/>
          <w:sz w:val="24"/>
          <w:szCs w:val="24"/>
          <w:lang w:val="en-GB" w:eastAsia="zh-CN"/>
        </w:rPr>
        <w:t xml:space="preserve"> </w:t>
      </w:r>
      <w:r w:rsidR="00115485" w:rsidRPr="006B242D">
        <w:rPr>
          <w:rFonts w:ascii="Book Antiqua" w:hAnsi="Book Antiqua"/>
          <w:sz w:val="24"/>
          <w:szCs w:val="24"/>
          <w:lang w:val="en-GB"/>
        </w:rPr>
        <w:t>h-pH</w:t>
      </w:r>
      <w:r w:rsidR="00C24393" w:rsidRPr="006B242D">
        <w:rPr>
          <w:rFonts w:ascii="Book Antiqua" w:hAnsi="Book Antiqua"/>
          <w:sz w:val="24"/>
          <w:szCs w:val="24"/>
          <w:lang w:val="en-GB"/>
        </w:rPr>
        <w:t>–monitoring</w:t>
      </w:r>
      <w:r w:rsidRPr="006B242D">
        <w:rPr>
          <w:rFonts w:ascii="Book Antiqua" w:hAnsi="Book Antiqua"/>
          <w:sz w:val="24"/>
          <w:szCs w:val="24"/>
          <w:lang w:val="en-GB"/>
        </w:rPr>
        <w:t>)</w:t>
      </w:r>
      <w:r w:rsidR="000F6B0D" w:rsidRPr="006B242D">
        <w:rPr>
          <w:rFonts w:ascii="Book Antiqua" w:hAnsi="Book Antiqua"/>
          <w:sz w:val="24"/>
          <w:szCs w:val="24"/>
          <w:lang w:val="en-GB"/>
        </w:rPr>
        <w:t xml:space="preserve"> were performed </w:t>
      </w:r>
      <w:r w:rsidR="00D16D0E" w:rsidRPr="006B242D">
        <w:rPr>
          <w:rFonts w:ascii="Book Antiqua" w:hAnsi="Book Antiqua"/>
          <w:sz w:val="24"/>
          <w:szCs w:val="24"/>
          <w:lang w:val="en-GB"/>
        </w:rPr>
        <w:t>in order to determine the presence</w:t>
      </w:r>
      <w:r w:rsidR="00314413" w:rsidRPr="006B242D">
        <w:rPr>
          <w:rFonts w:ascii="Book Antiqua" w:hAnsi="Book Antiqua"/>
          <w:sz w:val="24"/>
          <w:szCs w:val="24"/>
          <w:lang w:val="en-GB"/>
        </w:rPr>
        <w:t xml:space="preserve"> and severity</w:t>
      </w:r>
      <w:r w:rsidR="00D16D0E" w:rsidRPr="006B242D">
        <w:rPr>
          <w:rFonts w:ascii="Book Antiqua" w:hAnsi="Book Antiqua"/>
          <w:sz w:val="24"/>
          <w:szCs w:val="24"/>
          <w:lang w:val="en-GB"/>
        </w:rPr>
        <w:t xml:space="preserve"> of GERD.</w:t>
      </w:r>
      <w:r w:rsidR="005F3CF3" w:rsidRPr="006B242D">
        <w:rPr>
          <w:rFonts w:ascii="Book Antiqua" w:hAnsi="Book Antiqua"/>
          <w:bCs/>
          <w:sz w:val="24"/>
          <w:szCs w:val="24"/>
          <w:lang w:val="en-US"/>
        </w:rPr>
        <w:t xml:space="preserve"> </w:t>
      </w:r>
      <w:r w:rsidR="00EE3219" w:rsidRPr="006B242D">
        <w:rPr>
          <w:rFonts w:ascii="Book Antiqua" w:hAnsi="Book Antiqua"/>
          <w:bCs/>
          <w:sz w:val="24"/>
          <w:szCs w:val="24"/>
          <w:lang w:val="en-US"/>
        </w:rPr>
        <w:t>T</w:t>
      </w:r>
      <w:r w:rsidR="000A10E9" w:rsidRPr="006B242D">
        <w:rPr>
          <w:rFonts w:ascii="Book Antiqua" w:hAnsi="Book Antiqua"/>
          <w:bCs/>
          <w:sz w:val="24"/>
          <w:szCs w:val="24"/>
          <w:lang w:val="en-US"/>
        </w:rPr>
        <w:t>he severity of</w:t>
      </w:r>
      <w:r w:rsidR="0087211C" w:rsidRPr="006B242D">
        <w:rPr>
          <w:rFonts w:ascii="Book Antiqua" w:hAnsi="Book Antiqua"/>
          <w:bCs/>
          <w:sz w:val="24"/>
          <w:szCs w:val="24"/>
          <w:lang w:val="en-US"/>
        </w:rPr>
        <w:t xml:space="preserve"> esophagitis</w:t>
      </w:r>
      <w:r w:rsidR="000A10E9" w:rsidRPr="006B242D">
        <w:rPr>
          <w:rFonts w:ascii="Book Antiqua" w:hAnsi="Book Antiqua"/>
          <w:bCs/>
          <w:sz w:val="24"/>
          <w:szCs w:val="24"/>
          <w:lang w:val="en-US"/>
        </w:rPr>
        <w:t xml:space="preserve"> was graded</w:t>
      </w:r>
      <w:r w:rsidR="0087211C" w:rsidRPr="006B242D">
        <w:rPr>
          <w:rFonts w:ascii="Book Antiqua" w:hAnsi="Book Antiqua"/>
          <w:bCs/>
          <w:sz w:val="24"/>
          <w:szCs w:val="24"/>
          <w:lang w:val="en-US"/>
        </w:rPr>
        <w:t xml:space="preserve"> according </w:t>
      </w:r>
      <w:r w:rsidR="000A10E9" w:rsidRPr="006B242D">
        <w:rPr>
          <w:rFonts w:ascii="Book Antiqua" w:hAnsi="Book Antiqua"/>
          <w:bCs/>
          <w:sz w:val="24"/>
          <w:szCs w:val="24"/>
          <w:lang w:val="en-US"/>
        </w:rPr>
        <w:t xml:space="preserve">to </w:t>
      </w:r>
      <w:r w:rsidR="0087211C" w:rsidRPr="006B242D">
        <w:rPr>
          <w:rFonts w:ascii="Book Antiqua" w:hAnsi="Book Antiqua"/>
          <w:bCs/>
          <w:sz w:val="24"/>
          <w:szCs w:val="24"/>
          <w:lang w:val="en-US"/>
        </w:rPr>
        <w:t xml:space="preserve">the classification of Savary-Miller </w:t>
      </w:r>
      <w:r w:rsidR="000F6B0D" w:rsidRPr="006B242D">
        <w:rPr>
          <w:rFonts w:ascii="Book Antiqua" w:hAnsi="Book Antiqua"/>
          <w:bCs/>
          <w:sz w:val="24"/>
          <w:szCs w:val="24"/>
          <w:lang w:val="en-US"/>
        </w:rPr>
        <w:t xml:space="preserve">or the Los Angeles Classification and </w:t>
      </w:r>
      <w:r w:rsidR="0087211C" w:rsidRPr="006B242D">
        <w:rPr>
          <w:rFonts w:ascii="Book Antiqua" w:hAnsi="Book Antiqua"/>
          <w:bCs/>
          <w:sz w:val="24"/>
          <w:szCs w:val="24"/>
          <w:lang w:val="en-US"/>
        </w:rPr>
        <w:t xml:space="preserve">the </w:t>
      </w:r>
      <w:r w:rsidR="00F7644B" w:rsidRPr="006B242D">
        <w:rPr>
          <w:rFonts w:ascii="Book Antiqua" w:hAnsi="Book Antiqua"/>
          <w:bCs/>
          <w:sz w:val="24"/>
          <w:szCs w:val="24"/>
          <w:lang w:val="en-US"/>
        </w:rPr>
        <w:t>vertical extension</w:t>
      </w:r>
      <w:r w:rsidR="0087211C" w:rsidRPr="006B242D">
        <w:rPr>
          <w:rFonts w:ascii="Book Antiqua" w:hAnsi="Book Antiqua"/>
          <w:bCs/>
          <w:sz w:val="24"/>
          <w:szCs w:val="24"/>
          <w:lang w:val="en-US"/>
        </w:rPr>
        <w:t xml:space="preserve"> of </w:t>
      </w:r>
      <w:r w:rsidR="00EE3219" w:rsidRPr="006B242D">
        <w:rPr>
          <w:rFonts w:ascii="Book Antiqua" w:hAnsi="Book Antiqua"/>
          <w:bCs/>
          <w:sz w:val="24"/>
          <w:szCs w:val="24"/>
          <w:lang w:val="en-US"/>
        </w:rPr>
        <w:t>a</w:t>
      </w:r>
      <w:r w:rsidR="0087211C" w:rsidRPr="006B242D">
        <w:rPr>
          <w:rFonts w:ascii="Book Antiqua" w:hAnsi="Book Antiqua"/>
          <w:bCs/>
          <w:sz w:val="24"/>
          <w:szCs w:val="24"/>
          <w:lang w:val="en-US"/>
        </w:rPr>
        <w:t xml:space="preserve"> </w:t>
      </w:r>
      <w:r w:rsidR="000A10E9" w:rsidRPr="006B242D">
        <w:rPr>
          <w:rFonts w:ascii="Book Antiqua" w:hAnsi="Book Antiqua"/>
          <w:bCs/>
          <w:sz w:val="24"/>
          <w:szCs w:val="24"/>
          <w:lang w:val="en-US"/>
        </w:rPr>
        <w:t>hiat</w:t>
      </w:r>
      <w:r w:rsidR="00EE3219" w:rsidRPr="006B242D">
        <w:rPr>
          <w:rFonts w:ascii="Book Antiqua" w:hAnsi="Book Antiqua"/>
          <w:bCs/>
          <w:sz w:val="24"/>
          <w:szCs w:val="24"/>
          <w:lang w:val="en-US"/>
        </w:rPr>
        <w:t>al</w:t>
      </w:r>
      <w:r w:rsidR="000A10E9" w:rsidRPr="006B242D">
        <w:rPr>
          <w:rFonts w:ascii="Book Antiqua" w:hAnsi="Book Antiqua"/>
          <w:bCs/>
          <w:sz w:val="24"/>
          <w:szCs w:val="24"/>
          <w:lang w:val="en-US"/>
        </w:rPr>
        <w:t xml:space="preserve"> hernia was </w:t>
      </w:r>
      <w:r w:rsidR="00EE3219" w:rsidRPr="006B242D">
        <w:rPr>
          <w:rFonts w:ascii="Book Antiqua" w:hAnsi="Book Antiqua"/>
          <w:bCs/>
          <w:sz w:val="24"/>
          <w:szCs w:val="24"/>
          <w:lang w:val="en-US"/>
        </w:rPr>
        <w:t>recorded</w:t>
      </w:r>
      <w:r w:rsidR="000A10E9" w:rsidRPr="006B242D">
        <w:rPr>
          <w:rFonts w:ascii="Book Antiqua" w:hAnsi="Book Antiqua"/>
          <w:bCs/>
          <w:sz w:val="24"/>
          <w:szCs w:val="24"/>
          <w:lang w:val="en-US"/>
        </w:rPr>
        <w:t xml:space="preserve">. </w:t>
      </w:r>
      <w:r w:rsidR="00EE3219" w:rsidRPr="006B242D">
        <w:rPr>
          <w:rFonts w:ascii="Book Antiqua" w:hAnsi="Book Antiqua"/>
          <w:bCs/>
          <w:sz w:val="24"/>
          <w:szCs w:val="24"/>
          <w:lang w:val="en-US"/>
        </w:rPr>
        <w:t>Water perfusion e</w:t>
      </w:r>
      <w:r w:rsidR="000A10E9" w:rsidRPr="006B242D">
        <w:rPr>
          <w:rFonts w:ascii="Book Antiqua" w:hAnsi="Book Antiqua"/>
          <w:bCs/>
          <w:sz w:val="24"/>
          <w:szCs w:val="24"/>
          <w:lang w:val="en-US"/>
        </w:rPr>
        <w:t>sophageal manometry</w:t>
      </w:r>
      <w:r w:rsidR="005F3CF3" w:rsidRPr="006B242D">
        <w:rPr>
          <w:rFonts w:ascii="Book Antiqua" w:hAnsi="Book Antiqua"/>
          <w:bCs/>
          <w:sz w:val="24"/>
          <w:szCs w:val="24"/>
          <w:lang w:val="en-US"/>
        </w:rPr>
        <w:t xml:space="preserve">, later High Resolution Manometry </w:t>
      </w:r>
      <w:r w:rsidR="0087211C" w:rsidRPr="006B242D">
        <w:rPr>
          <w:rFonts w:ascii="Book Antiqua" w:hAnsi="Book Antiqua"/>
          <w:bCs/>
          <w:sz w:val="24"/>
          <w:szCs w:val="24"/>
          <w:lang w:val="en-US"/>
        </w:rPr>
        <w:t xml:space="preserve">was </w:t>
      </w:r>
      <w:r w:rsidR="000F6B0D" w:rsidRPr="006B242D">
        <w:rPr>
          <w:rFonts w:ascii="Book Antiqua" w:hAnsi="Book Antiqua"/>
          <w:bCs/>
          <w:sz w:val="24"/>
          <w:szCs w:val="24"/>
          <w:lang w:val="en-US"/>
        </w:rPr>
        <w:t>performed</w:t>
      </w:r>
      <w:r w:rsidR="00EE3219" w:rsidRPr="006B242D">
        <w:rPr>
          <w:rFonts w:ascii="Book Antiqua" w:hAnsi="Book Antiqua"/>
          <w:bCs/>
          <w:sz w:val="24"/>
          <w:szCs w:val="24"/>
          <w:lang w:val="en-US"/>
        </w:rPr>
        <w:t>. P</w:t>
      </w:r>
      <w:r w:rsidR="0087211C" w:rsidRPr="006B242D">
        <w:rPr>
          <w:rFonts w:ascii="Book Antiqua" w:hAnsi="Book Antiqua"/>
          <w:bCs/>
          <w:sz w:val="24"/>
          <w:szCs w:val="24"/>
          <w:lang w:val="en-US"/>
        </w:rPr>
        <w:t>osition,</w:t>
      </w:r>
      <w:r w:rsidR="000A10E9" w:rsidRPr="006B242D">
        <w:rPr>
          <w:rFonts w:ascii="Book Antiqua" w:hAnsi="Book Antiqua"/>
          <w:bCs/>
          <w:sz w:val="24"/>
          <w:szCs w:val="24"/>
          <w:lang w:val="en-US"/>
        </w:rPr>
        <w:t xml:space="preserve"> length</w:t>
      </w:r>
      <w:r w:rsidR="00EE3219" w:rsidRPr="006B242D">
        <w:rPr>
          <w:rFonts w:ascii="Book Antiqua" w:hAnsi="Book Antiqua"/>
          <w:bCs/>
          <w:sz w:val="24"/>
          <w:szCs w:val="24"/>
          <w:lang w:val="en-US"/>
        </w:rPr>
        <w:t>,</w:t>
      </w:r>
      <w:r w:rsidR="000A10E9" w:rsidRPr="006B242D">
        <w:rPr>
          <w:rFonts w:ascii="Book Antiqua" w:hAnsi="Book Antiqua"/>
          <w:bCs/>
          <w:sz w:val="24"/>
          <w:szCs w:val="24"/>
          <w:lang w:val="en-US"/>
        </w:rPr>
        <w:t xml:space="preserve"> </w:t>
      </w:r>
      <w:r w:rsidR="00EE3219" w:rsidRPr="006B242D">
        <w:rPr>
          <w:rFonts w:ascii="Book Antiqua" w:hAnsi="Book Antiqua"/>
          <w:bCs/>
          <w:sz w:val="24"/>
          <w:szCs w:val="24"/>
          <w:lang w:val="en-US"/>
        </w:rPr>
        <w:t xml:space="preserve">and pressure </w:t>
      </w:r>
      <w:r w:rsidR="000A10E9" w:rsidRPr="006B242D">
        <w:rPr>
          <w:rFonts w:ascii="Book Antiqua" w:hAnsi="Book Antiqua"/>
          <w:bCs/>
          <w:sz w:val="24"/>
          <w:szCs w:val="24"/>
          <w:lang w:val="en-US"/>
        </w:rPr>
        <w:t>of the lower</w:t>
      </w:r>
      <w:r w:rsidR="0087211C" w:rsidRPr="006B242D">
        <w:rPr>
          <w:rFonts w:ascii="Book Antiqua" w:hAnsi="Book Antiqua"/>
          <w:bCs/>
          <w:sz w:val="24"/>
          <w:szCs w:val="24"/>
          <w:lang w:val="en-US"/>
        </w:rPr>
        <w:t xml:space="preserve"> esophageal sphincter were determined with</w:t>
      </w:r>
      <w:r w:rsidR="000A10E9" w:rsidRPr="006B242D">
        <w:rPr>
          <w:rFonts w:ascii="Book Antiqua" w:hAnsi="Book Antiqua"/>
          <w:bCs/>
          <w:sz w:val="24"/>
          <w:szCs w:val="24"/>
          <w:lang w:val="en-US"/>
        </w:rPr>
        <w:t xml:space="preserve"> the</w:t>
      </w:r>
      <w:r w:rsidR="0087211C" w:rsidRPr="006B242D">
        <w:rPr>
          <w:rFonts w:ascii="Book Antiqua" w:hAnsi="Book Antiqua"/>
          <w:bCs/>
          <w:sz w:val="24"/>
          <w:szCs w:val="24"/>
          <w:lang w:val="en-US"/>
        </w:rPr>
        <w:t xml:space="preserve"> pull-through </w:t>
      </w:r>
      <w:r w:rsidR="000A10E9" w:rsidRPr="006B242D">
        <w:rPr>
          <w:rFonts w:ascii="Book Antiqua" w:hAnsi="Book Antiqua"/>
          <w:bCs/>
          <w:sz w:val="24"/>
          <w:szCs w:val="24"/>
          <w:lang w:val="en-US"/>
        </w:rPr>
        <w:t>manometry</w:t>
      </w:r>
      <w:r w:rsidR="00EE3219" w:rsidRPr="006B242D">
        <w:rPr>
          <w:rFonts w:ascii="Book Antiqua" w:hAnsi="Book Antiqua"/>
          <w:bCs/>
          <w:sz w:val="24"/>
          <w:szCs w:val="24"/>
          <w:lang w:val="en-US"/>
        </w:rPr>
        <w:t>.</w:t>
      </w:r>
      <w:r w:rsidR="00781BD8" w:rsidRPr="006B242D">
        <w:rPr>
          <w:rFonts w:ascii="Book Antiqua" w:hAnsi="Book Antiqua"/>
          <w:bCs/>
          <w:sz w:val="24"/>
          <w:szCs w:val="24"/>
          <w:lang w:val="en-US"/>
        </w:rPr>
        <w:t xml:space="preserve"> p</w:t>
      </w:r>
      <w:r w:rsidR="000A10E9" w:rsidRPr="006B242D">
        <w:rPr>
          <w:rFonts w:ascii="Book Antiqua" w:hAnsi="Book Antiqua"/>
          <w:bCs/>
          <w:sz w:val="24"/>
          <w:szCs w:val="24"/>
          <w:lang w:val="en-US"/>
        </w:rPr>
        <w:t xml:space="preserve">H-monitoring </w:t>
      </w:r>
      <w:r w:rsidR="00C27DC6" w:rsidRPr="006B242D">
        <w:rPr>
          <w:rFonts w:ascii="Book Antiqua" w:hAnsi="Book Antiqua"/>
          <w:bCs/>
          <w:sz w:val="24"/>
          <w:szCs w:val="24"/>
          <w:lang w:val="en-US"/>
        </w:rPr>
        <w:t xml:space="preserve">or later Impedance-pH-monitoring </w:t>
      </w:r>
      <w:r w:rsidR="000A10E9" w:rsidRPr="006B242D">
        <w:rPr>
          <w:rFonts w:ascii="Book Antiqua" w:hAnsi="Book Antiqua"/>
          <w:bCs/>
          <w:sz w:val="24"/>
          <w:szCs w:val="24"/>
          <w:lang w:val="en-US"/>
        </w:rPr>
        <w:t>w</w:t>
      </w:r>
      <w:r w:rsidR="00EE3219" w:rsidRPr="006B242D">
        <w:rPr>
          <w:rFonts w:ascii="Book Antiqua" w:hAnsi="Book Antiqua"/>
          <w:bCs/>
          <w:sz w:val="24"/>
          <w:szCs w:val="24"/>
          <w:lang w:val="en-US"/>
        </w:rPr>
        <w:t>ere</w:t>
      </w:r>
      <w:r w:rsidR="000A10E9" w:rsidRPr="006B242D">
        <w:rPr>
          <w:rFonts w:ascii="Book Antiqua" w:hAnsi="Book Antiqua"/>
          <w:bCs/>
          <w:sz w:val="24"/>
          <w:szCs w:val="24"/>
          <w:lang w:val="en-US"/>
        </w:rPr>
        <w:t xml:space="preserve"> </w:t>
      </w:r>
      <w:r w:rsidR="00C27DC6" w:rsidRPr="006B242D">
        <w:rPr>
          <w:rFonts w:ascii="Book Antiqua" w:hAnsi="Book Antiqua"/>
          <w:bCs/>
          <w:sz w:val="24"/>
          <w:szCs w:val="24"/>
          <w:lang w:val="en-US"/>
        </w:rPr>
        <w:t>performed</w:t>
      </w:r>
      <w:r w:rsidR="000A10E9" w:rsidRPr="006B242D">
        <w:rPr>
          <w:rFonts w:ascii="Book Antiqua" w:hAnsi="Book Antiqua"/>
          <w:bCs/>
          <w:sz w:val="24"/>
          <w:szCs w:val="24"/>
          <w:lang w:val="en-US"/>
        </w:rPr>
        <w:t xml:space="preserve"> using </w:t>
      </w:r>
      <w:r w:rsidR="00CE4549" w:rsidRPr="006B242D">
        <w:rPr>
          <w:rFonts w:ascii="Book Antiqua" w:hAnsi="Book Antiqua"/>
          <w:bCs/>
          <w:sz w:val="24"/>
          <w:szCs w:val="24"/>
          <w:lang w:val="en-US"/>
        </w:rPr>
        <w:t xml:space="preserve">the </w:t>
      </w:r>
      <w:r w:rsidR="000A10E9" w:rsidRPr="006B242D">
        <w:rPr>
          <w:rFonts w:ascii="Book Antiqua" w:hAnsi="Book Antiqua"/>
          <w:bCs/>
          <w:sz w:val="24"/>
          <w:szCs w:val="24"/>
          <w:lang w:val="en-US"/>
        </w:rPr>
        <w:t>DeMeester-reflux-score</w:t>
      </w:r>
      <w:r w:rsidR="00781BD8" w:rsidRPr="006B242D">
        <w:rPr>
          <w:rFonts w:ascii="Book Antiqua" w:hAnsi="Book Antiqua"/>
          <w:bCs/>
          <w:sz w:val="24"/>
          <w:szCs w:val="24"/>
          <w:vertAlign w:val="superscript"/>
          <w:lang w:val="en-US" w:eastAsia="zh-CN"/>
        </w:rPr>
        <w:t>[1]</w:t>
      </w:r>
      <w:r w:rsidR="000A10E9" w:rsidRPr="006B242D">
        <w:rPr>
          <w:rFonts w:ascii="Book Antiqua" w:hAnsi="Book Antiqua"/>
          <w:bCs/>
          <w:sz w:val="24"/>
          <w:szCs w:val="24"/>
          <w:lang w:val="en-US"/>
        </w:rPr>
        <w:t xml:space="preserve">. </w:t>
      </w:r>
      <w:r w:rsidR="005174BE" w:rsidRPr="006B242D">
        <w:rPr>
          <w:rFonts w:ascii="Book Antiqua" w:hAnsi="Book Antiqua"/>
          <w:bCs/>
          <w:sz w:val="24"/>
          <w:szCs w:val="24"/>
          <w:lang w:val="en-US"/>
        </w:rPr>
        <w:t>A</w:t>
      </w:r>
      <w:r w:rsidR="00720B0D" w:rsidRPr="006B242D">
        <w:rPr>
          <w:rFonts w:ascii="Book Antiqua" w:hAnsi="Book Antiqua"/>
          <w:bCs/>
          <w:sz w:val="24"/>
          <w:szCs w:val="24"/>
          <w:lang w:val="en-US"/>
        </w:rPr>
        <w:t xml:space="preserve"> a valu</w:t>
      </w:r>
      <w:r w:rsidR="00781BD8" w:rsidRPr="006B242D">
        <w:rPr>
          <w:rFonts w:ascii="Book Antiqua" w:hAnsi="Book Antiqua"/>
          <w:bCs/>
          <w:sz w:val="24"/>
          <w:szCs w:val="24"/>
          <w:lang w:val="en-US"/>
        </w:rPr>
        <w:t>e of 14</w:t>
      </w:r>
      <w:r w:rsidR="00781BD8" w:rsidRPr="006B242D">
        <w:rPr>
          <w:rFonts w:ascii="Book Antiqua" w:hAnsi="Book Antiqua"/>
          <w:bCs/>
          <w:sz w:val="24"/>
          <w:szCs w:val="24"/>
          <w:lang w:val="en-US" w:eastAsia="zh-CN"/>
        </w:rPr>
        <w:t>.</w:t>
      </w:r>
      <w:r w:rsidR="000A106F" w:rsidRPr="006B242D">
        <w:rPr>
          <w:rFonts w:ascii="Book Antiqua" w:hAnsi="Book Antiqua"/>
          <w:bCs/>
          <w:sz w:val="24"/>
          <w:szCs w:val="24"/>
          <w:lang w:val="en-US"/>
        </w:rPr>
        <w:t>7</w:t>
      </w:r>
      <w:r w:rsidR="005174BE" w:rsidRPr="006B242D">
        <w:rPr>
          <w:rFonts w:ascii="Book Antiqua" w:hAnsi="Book Antiqua"/>
          <w:bCs/>
          <w:sz w:val="24"/>
          <w:szCs w:val="24"/>
          <w:lang w:val="en-US"/>
        </w:rPr>
        <w:t xml:space="preserve"> was used as the borderline</w:t>
      </w:r>
      <w:r w:rsidR="00720B0D" w:rsidRPr="006B242D">
        <w:rPr>
          <w:rFonts w:ascii="Book Antiqua" w:hAnsi="Book Antiqua"/>
          <w:bCs/>
          <w:sz w:val="24"/>
          <w:szCs w:val="24"/>
          <w:lang w:val="en-US"/>
        </w:rPr>
        <w:t>.</w:t>
      </w:r>
      <w:r w:rsidR="000A10E9" w:rsidRPr="006B242D">
        <w:rPr>
          <w:rFonts w:ascii="Book Antiqua" w:hAnsi="Book Antiqua"/>
          <w:bCs/>
          <w:sz w:val="24"/>
          <w:szCs w:val="24"/>
          <w:lang w:val="en-US"/>
        </w:rPr>
        <w:t xml:space="preserve"> </w:t>
      </w:r>
      <w:r w:rsidR="005174BE" w:rsidRPr="006B242D">
        <w:rPr>
          <w:rFonts w:ascii="Book Antiqua" w:hAnsi="Book Antiqua"/>
          <w:bCs/>
          <w:sz w:val="24"/>
          <w:szCs w:val="24"/>
          <w:lang w:val="en-US"/>
        </w:rPr>
        <w:t>M</w:t>
      </w:r>
      <w:r w:rsidR="00D66A4F" w:rsidRPr="006B242D">
        <w:rPr>
          <w:rFonts w:ascii="Book Antiqua" w:hAnsi="Book Antiqua"/>
          <w:bCs/>
          <w:sz w:val="24"/>
          <w:szCs w:val="24"/>
          <w:lang w:val="en-US"/>
        </w:rPr>
        <w:t xml:space="preserve">edication affecting motility and acid suppression </w:t>
      </w:r>
      <w:r w:rsidR="005174BE" w:rsidRPr="006B242D">
        <w:rPr>
          <w:rFonts w:ascii="Book Antiqua" w:hAnsi="Book Antiqua"/>
          <w:bCs/>
          <w:sz w:val="24"/>
          <w:szCs w:val="24"/>
          <w:lang w:val="en-US"/>
        </w:rPr>
        <w:t>was</w:t>
      </w:r>
      <w:r w:rsidR="00D66A4F" w:rsidRPr="006B242D">
        <w:rPr>
          <w:rFonts w:ascii="Book Antiqua" w:hAnsi="Book Antiqua"/>
          <w:bCs/>
          <w:sz w:val="24"/>
          <w:szCs w:val="24"/>
          <w:lang w:val="en-US"/>
        </w:rPr>
        <w:t xml:space="preserve"> stopped</w:t>
      </w:r>
      <w:r w:rsidR="005174BE" w:rsidRPr="006B242D">
        <w:rPr>
          <w:rFonts w:ascii="Book Antiqua" w:hAnsi="Book Antiqua"/>
          <w:bCs/>
          <w:sz w:val="24"/>
          <w:szCs w:val="24"/>
          <w:lang w:val="en-US"/>
        </w:rPr>
        <w:t xml:space="preserve"> one week prior to testing</w:t>
      </w:r>
      <w:r w:rsidR="00D66A4F" w:rsidRPr="006B242D">
        <w:rPr>
          <w:rFonts w:ascii="Book Antiqua" w:hAnsi="Book Antiqua"/>
          <w:bCs/>
          <w:sz w:val="24"/>
          <w:szCs w:val="24"/>
          <w:lang w:val="en-US"/>
        </w:rPr>
        <w:t>.</w:t>
      </w:r>
      <w:r w:rsidR="001617F8" w:rsidRPr="006B242D">
        <w:rPr>
          <w:rFonts w:ascii="Book Antiqua" w:hAnsi="Book Antiqua"/>
          <w:bCs/>
          <w:sz w:val="24"/>
          <w:szCs w:val="24"/>
          <w:lang w:val="en-US"/>
        </w:rPr>
        <w:t xml:space="preserve"> </w:t>
      </w:r>
    </w:p>
    <w:p w:rsidR="00844714" w:rsidRPr="006B242D" w:rsidRDefault="00AE71B8" w:rsidP="000B23E9">
      <w:pPr>
        <w:spacing w:line="360" w:lineRule="auto"/>
        <w:ind w:firstLineChars="100" w:firstLine="240"/>
        <w:jc w:val="both"/>
        <w:rPr>
          <w:rFonts w:ascii="Book Antiqua" w:hAnsi="Book Antiqua"/>
          <w:sz w:val="24"/>
          <w:szCs w:val="24"/>
          <w:lang w:val="en-GB"/>
        </w:rPr>
      </w:pPr>
      <w:r w:rsidRPr="006B242D">
        <w:rPr>
          <w:rFonts w:ascii="Book Antiqua" w:hAnsi="Book Antiqua"/>
          <w:sz w:val="24"/>
          <w:szCs w:val="24"/>
          <w:lang w:val="en-GB"/>
        </w:rPr>
        <w:t>A symptom evaluation</w:t>
      </w:r>
      <w:r w:rsidR="000F6B0D" w:rsidRPr="006B242D">
        <w:rPr>
          <w:rFonts w:ascii="Book Antiqua" w:hAnsi="Book Antiqua"/>
          <w:sz w:val="24"/>
          <w:szCs w:val="24"/>
          <w:lang w:val="en-GB"/>
        </w:rPr>
        <w:t xml:space="preserve"> </w:t>
      </w:r>
      <w:r w:rsidRPr="006B242D">
        <w:rPr>
          <w:rFonts w:ascii="Book Antiqua" w:hAnsi="Book Antiqua"/>
          <w:sz w:val="24"/>
          <w:szCs w:val="24"/>
          <w:lang w:val="en-GB"/>
        </w:rPr>
        <w:t>to identify</w:t>
      </w:r>
      <w:r w:rsidR="000F6B0D" w:rsidRPr="006B242D">
        <w:rPr>
          <w:rFonts w:ascii="Book Antiqua" w:hAnsi="Book Antiqua"/>
          <w:sz w:val="24"/>
          <w:szCs w:val="24"/>
          <w:lang w:val="en-GB"/>
        </w:rPr>
        <w:t xml:space="preserve"> somatoform disorders </w:t>
      </w:r>
      <w:r w:rsidRPr="006B242D">
        <w:rPr>
          <w:rFonts w:ascii="Book Antiqua" w:hAnsi="Book Antiqua"/>
          <w:sz w:val="24"/>
          <w:szCs w:val="24"/>
          <w:lang w:val="en-GB"/>
        </w:rPr>
        <w:t xml:space="preserve">was performed according to </w:t>
      </w:r>
      <w:r w:rsidR="00592F63" w:rsidRPr="006B242D">
        <w:rPr>
          <w:rFonts w:ascii="Book Antiqua" w:hAnsi="Book Antiqua"/>
          <w:sz w:val="24"/>
          <w:szCs w:val="24"/>
          <w:lang w:val="en-GB"/>
        </w:rPr>
        <w:t>Rief</w:t>
      </w:r>
      <w:r w:rsidR="00592F63" w:rsidRPr="006B242D">
        <w:rPr>
          <w:rFonts w:ascii="Book Antiqua" w:hAnsi="Book Antiqua"/>
          <w:sz w:val="24"/>
          <w:szCs w:val="24"/>
          <w:lang w:val="en-GB" w:eastAsia="zh-CN"/>
        </w:rPr>
        <w:t xml:space="preserve"> </w:t>
      </w:r>
      <w:r w:rsidR="00592F63" w:rsidRPr="006B242D">
        <w:rPr>
          <w:rFonts w:ascii="Book Antiqua" w:hAnsi="Book Antiqua"/>
          <w:i/>
          <w:sz w:val="24"/>
          <w:szCs w:val="24"/>
          <w:lang w:val="en-GB" w:eastAsia="zh-CN"/>
        </w:rPr>
        <w:t>et al</w:t>
      </w:r>
      <w:r w:rsidR="00592F63" w:rsidRPr="006B242D">
        <w:rPr>
          <w:rFonts w:ascii="Book Antiqua" w:hAnsi="Book Antiqua"/>
          <w:sz w:val="24"/>
          <w:szCs w:val="24"/>
          <w:vertAlign w:val="superscript"/>
          <w:lang w:val="en-GB" w:eastAsia="zh-CN"/>
        </w:rPr>
        <w:t>[13-15]</w:t>
      </w:r>
      <w:r w:rsidR="000F6B0D" w:rsidRPr="006B242D">
        <w:rPr>
          <w:rFonts w:ascii="Book Antiqua" w:hAnsi="Book Antiqua"/>
          <w:sz w:val="24"/>
          <w:szCs w:val="24"/>
          <w:lang w:val="en-GB"/>
        </w:rPr>
        <w:t>.</w:t>
      </w:r>
      <w:r w:rsidR="00844714" w:rsidRPr="006B242D">
        <w:rPr>
          <w:rFonts w:ascii="Book Antiqua" w:hAnsi="Book Antiqua"/>
          <w:sz w:val="24"/>
          <w:szCs w:val="24"/>
          <w:lang w:val="en-GB"/>
        </w:rPr>
        <w:t xml:space="preserve"> As a marker for the high probability for the presence of a somatoform tendency or disorder the somato</w:t>
      </w:r>
      <w:r w:rsidR="00A40056" w:rsidRPr="006B242D">
        <w:rPr>
          <w:rFonts w:ascii="Book Antiqua" w:hAnsi="Book Antiqua"/>
          <w:sz w:val="24"/>
          <w:szCs w:val="24"/>
          <w:lang w:val="en-GB"/>
        </w:rPr>
        <w:t>for</w:t>
      </w:r>
      <w:r w:rsidR="00844714" w:rsidRPr="006B242D">
        <w:rPr>
          <w:rFonts w:ascii="Book Antiqua" w:hAnsi="Book Antiqua"/>
          <w:sz w:val="24"/>
          <w:szCs w:val="24"/>
          <w:lang w:val="en-GB"/>
        </w:rPr>
        <w:t>m symptom index (SSI) was used, as recently described</w:t>
      </w:r>
      <w:r w:rsidR="00781BD8" w:rsidRPr="006B242D">
        <w:rPr>
          <w:rFonts w:ascii="Book Antiqua" w:hAnsi="Book Antiqua"/>
          <w:sz w:val="24"/>
          <w:szCs w:val="24"/>
          <w:vertAlign w:val="superscript"/>
          <w:lang w:val="en-GB" w:eastAsia="zh-CN"/>
        </w:rPr>
        <w:t>[10]</w:t>
      </w:r>
      <w:r w:rsidR="00844714" w:rsidRPr="006B242D">
        <w:rPr>
          <w:rFonts w:ascii="Book Antiqua" w:hAnsi="Book Antiqua"/>
          <w:sz w:val="24"/>
          <w:szCs w:val="24"/>
          <w:lang w:val="en-GB"/>
        </w:rPr>
        <w:t>. Th</w:t>
      </w:r>
      <w:r w:rsidR="005F3CF3" w:rsidRPr="006B242D">
        <w:rPr>
          <w:rFonts w:ascii="Book Antiqua" w:hAnsi="Book Antiqua"/>
          <w:sz w:val="24"/>
          <w:szCs w:val="24"/>
          <w:lang w:val="en-GB"/>
        </w:rPr>
        <w:t>e</w:t>
      </w:r>
      <w:r w:rsidR="00844714" w:rsidRPr="006B242D">
        <w:rPr>
          <w:rFonts w:ascii="Book Antiqua" w:hAnsi="Book Antiqua"/>
          <w:sz w:val="24"/>
          <w:szCs w:val="24"/>
          <w:lang w:val="en-GB"/>
        </w:rPr>
        <w:t xml:space="preserve"> SSI is positive for the presence of a somatoform tendency, if a given patient has more than 17 different symptoms, of which no explanation or cause can be detected.</w:t>
      </w:r>
    </w:p>
    <w:p w:rsidR="00306EE5" w:rsidRPr="006B242D" w:rsidRDefault="00C27DC6" w:rsidP="000B23E9">
      <w:pPr>
        <w:spacing w:line="360" w:lineRule="auto"/>
        <w:ind w:firstLineChars="100" w:firstLine="240"/>
        <w:jc w:val="both"/>
        <w:rPr>
          <w:rFonts w:ascii="Book Antiqua" w:hAnsi="Book Antiqua"/>
          <w:sz w:val="24"/>
          <w:szCs w:val="24"/>
          <w:lang w:val="en-GB"/>
        </w:rPr>
      </w:pPr>
      <w:r w:rsidRPr="006B242D">
        <w:rPr>
          <w:rFonts w:ascii="Book Antiqua" w:hAnsi="Book Antiqua"/>
          <w:sz w:val="24"/>
          <w:szCs w:val="24"/>
          <w:lang w:val="en-GB"/>
        </w:rPr>
        <w:t xml:space="preserve">Quality of </w:t>
      </w:r>
      <w:r w:rsidR="00781BD8" w:rsidRPr="006B242D">
        <w:rPr>
          <w:rFonts w:ascii="Book Antiqua" w:hAnsi="Book Antiqua"/>
          <w:sz w:val="24"/>
          <w:szCs w:val="24"/>
          <w:lang w:val="en-GB"/>
        </w:rPr>
        <w:t>life</w:t>
      </w:r>
      <w:r w:rsidRPr="006B242D">
        <w:rPr>
          <w:rFonts w:ascii="Book Antiqua" w:hAnsi="Book Antiqua"/>
          <w:sz w:val="24"/>
          <w:szCs w:val="24"/>
          <w:lang w:val="en-GB"/>
        </w:rPr>
        <w:t xml:space="preserve"> was eva</w:t>
      </w:r>
      <w:r w:rsidR="0090770B" w:rsidRPr="006B242D">
        <w:rPr>
          <w:rFonts w:ascii="Book Antiqua" w:hAnsi="Book Antiqua"/>
          <w:sz w:val="24"/>
          <w:szCs w:val="24"/>
          <w:lang w:val="en-GB"/>
        </w:rPr>
        <w:t>luated in this study population</w:t>
      </w:r>
      <w:r w:rsidRPr="006B242D">
        <w:rPr>
          <w:rFonts w:ascii="Book Antiqua" w:hAnsi="Book Antiqua"/>
          <w:sz w:val="24"/>
          <w:szCs w:val="24"/>
          <w:lang w:val="en-GB"/>
        </w:rPr>
        <w:t xml:space="preserve"> by the Gastrointestinal Quality of Life Index</w:t>
      </w:r>
      <w:r w:rsidR="00781BD8" w:rsidRPr="006B242D">
        <w:rPr>
          <w:rFonts w:ascii="Book Antiqua" w:hAnsi="Book Antiqua"/>
          <w:sz w:val="24"/>
          <w:szCs w:val="24"/>
          <w:lang w:val="en-GB" w:eastAsia="zh-CN"/>
        </w:rPr>
        <w:t xml:space="preserve"> (GIQLI)</w:t>
      </w:r>
      <w:r w:rsidRPr="006B242D">
        <w:rPr>
          <w:rFonts w:ascii="Book Antiqua" w:hAnsi="Book Antiqua"/>
          <w:sz w:val="24"/>
          <w:szCs w:val="24"/>
          <w:lang w:val="en-GB"/>
        </w:rPr>
        <w:t>, which is a well established instrument and validated in several languages</w:t>
      </w:r>
      <w:r w:rsidR="00781BD8" w:rsidRPr="006B242D">
        <w:rPr>
          <w:rFonts w:ascii="Book Antiqua" w:hAnsi="Book Antiqua"/>
          <w:sz w:val="24"/>
          <w:szCs w:val="24"/>
          <w:vertAlign w:val="superscript"/>
          <w:lang w:val="en-GB" w:eastAsia="zh-CN"/>
        </w:rPr>
        <w:t>[21]</w:t>
      </w:r>
      <w:r w:rsidRPr="006B242D">
        <w:rPr>
          <w:rFonts w:ascii="Book Antiqua" w:hAnsi="Book Antiqua"/>
          <w:sz w:val="24"/>
          <w:szCs w:val="24"/>
          <w:lang w:val="en-GB"/>
        </w:rPr>
        <w:t>.</w:t>
      </w:r>
      <w:r w:rsidR="00844714" w:rsidRPr="006B242D">
        <w:rPr>
          <w:rFonts w:ascii="Book Antiqua" w:hAnsi="Book Antiqua"/>
          <w:sz w:val="24"/>
          <w:szCs w:val="24"/>
          <w:lang w:val="en-GB"/>
        </w:rPr>
        <w:t xml:space="preserve"> The GIQLI carries 5 different components or dimensions of quality of life such as GI-symptoms, emotional factors, physical factors, social factors and influences by the administered the</w:t>
      </w:r>
      <w:r w:rsidR="00781BD8" w:rsidRPr="006B242D">
        <w:rPr>
          <w:rFonts w:ascii="Book Antiqua" w:hAnsi="Book Antiqua"/>
          <w:sz w:val="24"/>
          <w:szCs w:val="24"/>
          <w:lang w:val="en-GB"/>
        </w:rPr>
        <w:t>rapy with a maximum index point</w:t>
      </w:r>
      <w:r w:rsidR="00844714" w:rsidRPr="006B242D">
        <w:rPr>
          <w:rFonts w:ascii="Book Antiqua" w:hAnsi="Book Antiqua"/>
          <w:sz w:val="24"/>
          <w:szCs w:val="24"/>
          <w:lang w:val="en-GB"/>
        </w:rPr>
        <w:t xml:space="preserve"> of 144, evaluated by 36 questions.</w:t>
      </w:r>
    </w:p>
    <w:p w:rsidR="005D781E" w:rsidRPr="006B242D" w:rsidRDefault="005D781E" w:rsidP="000B23E9">
      <w:pPr>
        <w:spacing w:line="360" w:lineRule="auto"/>
        <w:jc w:val="both"/>
        <w:rPr>
          <w:rFonts w:ascii="Book Antiqua" w:hAnsi="Book Antiqua"/>
          <w:sz w:val="24"/>
          <w:szCs w:val="24"/>
          <w:lang w:val="en-GB" w:eastAsia="zh-CN"/>
        </w:rPr>
      </w:pPr>
    </w:p>
    <w:p w:rsidR="00EA378C" w:rsidRPr="006B242D" w:rsidRDefault="005D781E" w:rsidP="000B23E9">
      <w:pPr>
        <w:spacing w:line="360" w:lineRule="auto"/>
        <w:jc w:val="both"/>
        <w:rPr>
          <w:rFonts w:ascii="Book Antiqua" w:hAnsi="Book Antiqua"/>
          <w:i/>
          <w:sz w:val="24"/>
          <w:szCs w:val="24"/>
          <w:lang w:val="en-GB"/>
        </w:rPr>
      </w:pPr>
      <w:r w:rsidRPr="006B242D">
        <w:rPr>
          <w:rFonts w:ascii="Book Antiqua" w:hAnsi="Book Antiqua"/>
          <w:b/>
          <w:i/>
          <w:sz w:val="24"/>
          <w:szCs w:val="24"/>
          <w:lang w:val="en-GB"/>
        </w:rPr>
        <w:t>Surg</w:t>
      </w:r>
      <w:r w:rsidR="005F3CF3" w:rsidRPr="006B242D">
        <w:rPr>
          <w:rFonts w:ascii="Book Antiqua" w:hAnsi="Book Antiqua"/>
          <w:b/>
          <w:i/>
          <w:sz w:val="24"/>
          <w:szCs w:val="24"/>
          <w:lang w:val="en-GB"/>
        </w:rPr>
        <w:t>ical procedure</w:t>
      </w:r>
    </w:p>
    <w:p w:rsidR="005D781E" w:rsidRPr="006B242D" w:rsidRDefault="00C27DC6" w:rsidP="000B23E9">
      <w:pPr>
        <w:spacing w:line="360" w:lineRule="auto"/>
        <w:jc w:val="both"/>
        <w:rPr>
          <w:rFonts w:ascii="Book Antiqua" w:hAnsi="Book Antiqua"/>
          <w:sz w:val="24"/>
          <w:szCs w:val="24"/>
          <w:lang w:val="en-GB" w:eastAsia="zh-CN"/>
        </w:rPr>
      </w:pPr>
      <w:r w:rsidRPr="006B242D">
        <w:rPr>
          <w:rFonts w:ascii="Book Antiqua" w:hAnsi="Book Antiqua"/>
          <w:sz w:val="24"/>
          <w:szCs w:val="24"/>
          <w:lang w:val="en-GB"/>
        </w:rPr>
        <w:t>Therapeutic decision making, especially the indication for laparoscopic antireflux surgery was based on the current guidelines</w:t>
      </w:r>
      <w:r w:rsidR="00781BD8" w:rsidRPr="006B242D">
        <w:rPr>
          <w:rFonts w:ascii="Book Antiqua" w:hAnsi="Book Antiqua"/>
          <w:sz w:val="24"/>
          <w:szCs w:val="24"/>
          <w:vertAlign w:val="superscript"/>
          <w:lang w:val="en-GB" w:eastAsia="zh-CN"/>
        </w:rPr>
        <w:t>[12]</w:t>
      </w:r>
      <w:r w:rsidRPr="006B242D">
        <w:rPr>
          <w:rFonts w:ascii="Book Antiqua" w:hAnsi="Book Antiqua"/>
          <w:sz w:val="24"/>
          <w:szCs w:val="24"/>
          <w:lang w:val="en-GB"/>
        </w:rPr>
        <w:t>. Patients with progressive and advanced disease, usually with evidence of past or present esophagitis, hiatal herni</w:t>
      </w:r>
      <w:r w:rsidR="005F3CF3" w:rsidRPr="006B242D">
        <w:rPr>
          <w:rFonts w:ascii="Book Antiqua" w:hAnsi="Book Antiqua"/>
          <w:sz w:val="24"/>
          <w:szCs w:val="24"/>
          <w:lang w:val="en-GB"/>
        </w:rPr>
        <w:t>a</w:t>
      </w:r>
      <w:r w:rsidRPr="006B242D">
        <w:rPr>
          <w:rFonts w:ascii="Book Antiqua" w:hAnsi="Book Antiqua"/>
          <w:sz w:val="24"/>
          <w:szCs w:val="24"/>
          <w:lang w:val="en-GB"/>
        </w:rPr>
        <w:t xml:space="preserve">, incompetence of the lower </w:t>
      </w:r>
      <w:bookmarkStart w:id="17" w:name="OLE_LINK19"/>
      <w:bookmarkStart w:id="18" w:name="OLE_LINK20"/>
      <w:r w:rsidRPr="006B242D">
        <w:rPr>
          <w:rFonts w:ascii="Book Antiqua" w:hAnsi="Book Antiqua"/>
          <w:sz w:val="24"/>
          <w:szCs w:val="24"/>
          <w:lang w:val="en-GB"/>
        </w:rPr>
        <w:t>esophageal</w:t>
      </w:r>
      <w:bookmarkEnd w:id="17"/>
      <w:bookmarkEnd w:id="18"/>
      <w:r w:rsidRPr="006B242D">
        <w:rPr>
          <w:rFonts w:ascii="Book Antiqua" w:hAnsi="Book Antiqua"/>
          <w:sz w:val="24"/>
          <w:szCs w:val="24"/>
          <w:lang w:val="en-GB"/>
        </w:rPr>
        <w:t xml:space="preserve"> sphincter, pathologic esophageal acid exposure and/or good PPI response</w:t>
      </w:r>
      <w:r w:rsidR="005F3CF3" w:rsidRPr="006B242D">
        <w:rPr>
          <w:rFonts w:ascii="Book Antiqua" w:hAnsi="Book Antiqua"/>
          <w:sz w:val="24"/>
          <w:szCs w:val="24"/>
          <w:lang w:val="en-GB"/>
        </w:rPr>
        <w:t>, p</w:t>
      </w:r>
      <w:r w:rsidRPr="006B242D">
        <w:rPr>
          <w:rFonts w:ascii="Book Antiqua" w:hAnsi="Book Antiqua"/>
          <w:sz w:val="24"/>
          <w:szCs w:val="24"/>
          <w:lang w:val="en-GB"/>
        </w:rPr>
        <w:t xml:space="preserve">referably a PPI dosage increase over the past years as well as a reduction in quality of Life </w:t>
      </w:r>
      <w:r w:rsidR="005D781E" w:rsidRPr="006B242D">
        <w:rPr>
          <w:rFonts w:ascii="Book Antiqua" w:hAnsi="Book Antiqua"/>
          <w:sz w:val="24"/>
          <w:szCs w:val="24"/>
          <w:lang w:val="en-GB"/>
        </w:rPr>
        <w:t>were selected for surgical therapy.</w:t>
      </w:r>
      <w:r w:rsidR="00781BD8" w:rsidRPr="006B242D">
        <w:rPr>
          <w:rFonts w:ascii="Book Antiqua" w:hAnsi="Book Antiqua"/>
          <w:sz w:val="24"/>
          <w:szCs w:val="24"/>
          <w:lang w:val="en-GB" w:eastAsia="zh-CN"/>
        </w:rPr>
        <w:t xml:space="preserve"> </w:t>
      </w:r>
      <w:r w:rsidR="005D781E" w:rsidRPr="006B242D">
        <w:rPr>
          <w:rFonts w:ascii="Book Antiqua" w:hAnsi="Book Antiqua"/>
          <w:sz w:val="24"/>
          <w:szCs w:val="24"/>
          <w:lang w:val="en-GB"/>
        </w:rPr>
        <w:t xml:space="preserve">Patients with lacking positive criteria were suggested to continue their </w:t>
      </w:r>
      <w:r w:rsidR="005F3CF3" w:rsidRPr="006B242D">
        <w:rPr>
          <w:rFonts w:ascii="Book Antiqua" w:hAnsi="Book Antiqua"/>
          <w:sz w:val="24"/>
          <w:szCs w:val="24"/>
          <w:lang w:val="en-GB"/>
        </w:rPr>
        <w:t xml:space="preserve">conservative </w:t>
      </w:r>
      <w:r w:rsidR="005D781E" w:rsidRPr="006B242D">
        <w:rPr>
          <w:rFonts w:ascii="Book Antiqua" w:hAnsi="Book Antiqua"/>
          <w:sz w:val="24"/>
          <w:szCs w:val="24"/>
          <w:lang w:val="en-GB"/>
        </w:rPr>
        <w:t>medical therapy and change of life style.</w:t>
      </w:r>
    </w:p>
    <w:p w:rsidR="008F308F" w:rsidRPr="006B242D" w:rsidRDefault="005D781E" w:rsidP="000B23E9">
      <w:pPr>
        <w:spacing w:line="360" w:lineRule="auto"/>
        <w:ind w:firstLineChars="100" w:firstLine="240"/>
        <w:jc w:val="both"/>
        <w:rPr>
          <w:rFonts w:ascii="Book Antiqua" w:hAnsi="Book Antiqua"/>
          <w:sz w:val="24"/>
          <w:szCs w:val="24"/>
          <w:lang w:val="en-GB" w:eastAsia="zh-CN"/>
        </w:rPr>
      </w:pPr>
      <w:r w:rsidRPr="006B242D">
        <w:rPr>
          <w:rFonts w:ascii="Book Antiqua" w:hAnsi="Book Antiqua"/>
          <w:sz w:val="24"/>
          <w:szCs w:val="24"/>
          <w:lang w:val="en-GB"/>
        </w:rPr>
        <w:t xml:space="preserve">Patients with indication for surgery had to sign an informed consent prior to surgery. Standard laparoscopic antireflux procedure was a short floppy Nissen fundoplication and a posterior </w:t>
      </w:r>
      <w:bookmarkStart w:id="19" w:name="OLE_LINK21"/>
      <w:bookmarkStart w:id="20" w:name="OLE_LINK22"/>
      <w:r w:rsidR="007C0CD8" w:rsidRPr="006B242D">
        <w:rPr>
          <w:rFonts w:ascii="Book Antiqua" w:hAnsi="Book Antiqua"/>
          <w:sz w:val="24"/>
          <w:szCs w:val="24"/>
          <w:lang w:val="en-GB"/>
        </w:rPr>
        <w:t>h</w:t>
      </w:r>
      <w:r w:rsidRPr="006B242D">
        <w:rPr>
          <w:rFonts w:ascii="Book Antiqua" w:hAnsi="Book Antiqua"/>
          <w:sz w:val="24"/>
          <w:szCs w:val="24"/>
          <w:lang w:val="en-GB"/>
        </w:rPr>
        <w:t>iatoplasty</w:t>
      </w:r>
      <w:bookmarkEnd w:id="19"/>
      <w:bookmarkEnd w:id="20"/>
      <w:r w:rsidRPr="006B242D">
        <w:rPr>
          <w:rFonts w:ascii="Book Antiqua" w:hAnsi="Book Antiqua"/>
          <w:sz w:val="24"/>
          <w:szCs w:val="24"/>
          <w:lang w:val="en-GB"/>
        </w:rPr>
        <w:t>. In patients with severe esophageal motility dis</w:t>
      </w:r>
      <w:r w:rsidR="00760C2E" w:rsidRPr="006B242D">
        <w:rPr>
          <w:rFonts w:ascii="Book Antiqua" w:hAnsi="Book Antiqua"/>
          <w:sz w:val="24"/>
          <w:szCs w:val="24"/>
          <w:lang w:val="en-GB"/>
        </w:rPr>
        <w:t>order usually with less than 50</w:t>
      </w:r>
      <w:r w:rsidRPr="006B242D">
        <w:rPr>
          <w:rFonts w:ascii="Book Antiqua" w:hAnsi="Book Antiqua"/>
          <w:sz w:val="24"/>
          <w:szCs w:val="24"/>
          <w:lang w:val="en-GB"/>
        </w:rPr>
        <w:t xml:space="preserve">% of effective esophageal peristalsis left, received a laparoscopic partial posterior </w:t>
      </w:r>
      <w:bookmarkStart w:id="21" w:name="OLE_LINK23"/>
      <w:bookmarkStart w:id="22" w:name="OLE_LINK24"/>
      <w:r w:rsidRPr="006B242D">
        <w:rPr>
          <w:rFonts w:ascii="Book Antiqua" w:hAnsi="Book Antiqua"/>
          <w:sz w:val="24"/>
          <w:szCs w:val="24"/>
          <w:lang w:val="en-GB"/>
        </w:rPr>
        <w:t xml:space="preserve">Toupet </w:t>
      </w:r>
      <w:r w:rsidR="007C0CD8" w:rsidRPr="006B242D">
        <w:rPr>
          <w:rFonts w:ascii="Book Antiqua" w:hAnsi="Book Antiqua"/>
          <w:sz w:val="24"/>
          <w:szCs w:val="24"/>
          <w:lang w:val="en-GB"/>
        </w:rPr>
        <w:t>h</w:t>
      </w:r>
      <w:r w:rsidRPr="006B242D">
        <w:rPr>
          <w:rFonts w:ascii="Book Antiqua" w:hAnsi="Book Antiqua"/>
          <w:sz w:val="24"/>
          <w:szCs w:val="24"/>
          <w:lang w:val="en-GB"/>
        </w:rPr>
        <w:t>emifundoplication</w:t>
      </w:r>
      <w:bookmarkEnd w:id="21"/>
      <w:bookmarkEnd w:id="22"/>
      <w:r w:rsidRPr="006B242D">
        <w:rPr>
          <w:rFonts w:ascii="Book Antiqua" w:hAnsi="Book Antiqua"/>
          <w:sz w:val="24"/>
          <w:szCs w:val="24"/>
          <w:lang w:val="en-GB"/>
        </w:rPr>
        <w:t xml:space="preserve">, also combined with a posterior </w:t>
      </w:r>
      <w:r w:rsidR="007C0CD8" w:rsidRPr="006B242D">
        <w:rPr>
          <w:rFonts w:ascii="Book Antiqua" w:hAnsi="Book Antiqua"/>
          <w:sz w:val="24"/>
          <w:szCs w:val="24"/>
          <w:lang w:val="en-GB"/>
        </w:rPr>
        <w:t>h</w:t>
      </w:r>
      <w:r w:rsidRPr="006B242D">
        <w:rPr>
          <w:rFonts w:ascii="Book Antiqua" w:hAnsi="Book Antiqua"/>
          <w:sz w:val="24"/>
          <w:szCs w:val="24"/>
          <w:lang w:val="en-GB"/>
        </w:rPr>
        <w:t xml:space="preserve">iatoplasty and </w:t>
      </w:r>
      <w:bookmarkStart w:id="23" w:name="OLE_LINK25"/>
      <w:bookmarkStart w:id="24" w:name="OLE_LINK26"/>
      <w:r w:rsidRPr="006B242D">
        <w:rPr>
          <w:rFonts w:ascii="Book Antiqua" w:hAnsi="Book Antiqua"/>
          <w:sz w:val="24"/>
          <w:szCs w:val="24"/>
          <w:lang w:val="en-GB"/>
        </w:rPr>
        <w:t>gastropexy</w:t>
      </w:r>
      <w:bookmarkEnd w:id="23"/>
      <w:bookmarkEnd w:id="24"/>
      <w:r w:rsidRPr="006B242D">
        <w:rPr>
          <w:rFonts w:ascii="Book Antiqua" w:hAnsi="Book Antiqua"/>
          <w:sz w:val="24"/>
          <w:szCs w:val="24"/>
          <w:lang w:val="en-GB"/>
        </w:rPr>
        <w:t>.</w:t>
      </w:r>
    </w:p>
    <w:p w:rsidR="007C0CD8" w:rsidRPr="006B242D" w:rsidRDefault="007C0CD8" w:rsidP="000B23E9">
      <w:pPr>
        <w:spacing w:line="360" w:lineRule="auto"/>
        <w:ind w:firstLineChars="100" w:firstLine="240"/>
        <w:jc w:val="both"/>
        <w:outlineLvl w:val="0"/>
        <w:rPr>
          <w:rFonts w:ascii="Book Antiqua" w:hAnsi="Book Antiqua"/>
          <w:bCs/>
          <w:sz w:val="24"/>
          <w:szCs w:val="24"/>
          <w:lang w:val="en-GB"/>
        </w:rPr>
      </w:pPr>
      <w:r w:rsidRPr="006B242D">
        <w:rPr>
          <w:rFonts w:ascii="Book Antiqua" w:hAnsi="Book Antiqua"/>
          <w:bCs/>
          <w:sz w:val="24"/>
          <w:szCs w:val="24"/>
          <w:lang w:val="en-GB"/>
        </w:rPr>
        <w:t>The standard procedure was started with the insertion of a Ver</w:t>
      </w:r>
      <w:r w:rsidR="00041322" w:rsidRPr="006B242D">
        <w:rPr>
          <w:rFonts w:ascii="Book Antiqua" w:hAnsi="Book Antiqua"/>
          <w:bCs/>
          <w:sz w:val="24"/>
          <w:szCs w:val="24"/>
          <w:lang w:val="en-GB"/>
        </w:rPr>
        <w:t>r</w:t>
      </w:r>
      <w:r w:rsidRPr="006B242D">
        <w:rPr>
          <w:rFonts w:ascii="Book Antiqua" w:hAnsi="Book Antiqua"/>
          <w:bCs/>
          <w:sz w:val="24"/>
          <w:szCs w:val="24"/>
          <w:lang w:val="en-GB"/>
        </w:rPr>
        <w:t xml:space="preserve">es-needle to create a </w:t>
      </w:r>
      <w:bookmarkStart w:id="25" w:name="OLE_LINK27"/>
      <w:bookmarkStart w:id="26" w:name="OLE_LINK28"/>
      <w:r w:rsidRPr="006B242D">
        <w:rPr>
          <w:rFonts w:ascii="Book Antiqua" w:hAnsi="Book Antiqua"/>
          <w:bCs/>
          <w:sz w:val="24"/>
          <w:szCs w:val="24"/>
          <w:lang w:val="en-GB"/>
        </w:rPr>
        <w:t>capnoperitoneum</w:t>
      </w:r>
      <w:bookmarkEnd w:id="25"/>
      <w:bookmarkEnd w:id="26"/>
      <w:r w:rsidRPr="006B242D">
        <w:rPr>
          <w:rFonts w:ascii="Book Antiqua" w:hAnsi="Book Antiqua"/>
          <w:bCs/>
          <w:sz w:val="24"/>
          <w:szCs w:val="24"/>
          <w:lang w:val="en-GB"/>
        </w:rPr>
        <w:t xml:space="preserve"> and after safety tests to access the abdominal cavity with a 10</w:t>
      </w:r>
      <w:r w:rsidR="00760C2E" w:rsidRPr="006B242D">
        <w:rPr>
          <w:rFonts w:ascii="Book Antiqua" w:hAnsi="Book Antiqua"/>
          <w:bCs/>
          <w:sz w:val="24"/>
          <w:szCs w:val="24"/>
          <w:lang w:val="en-GB" w:eastAsia="zh-CN"/>
        </w:rPr>
        <w:t xml:space="preserve"> </w:t>
      </w:r>
      <w:r w:rsidRPr="006B242D">
        <w:rPr>
          <w:rFonts w:ascii="Book Antiqua" w:hAnsi="Book Antiqua"/>
          <w:bCs/>
          <w:sz w:val="24"/>
          <w:szCs w:val="24"/>
          <w:lang w:val="en-GB"/>
        </w:rPr>
        <w:t>mm camera port. Additional 4 trocars were placed and the procedure was started with a limited mobilisation of cranial gastric fundus especially the posterio</w:t>
      </w:r>
      <w:r w:rsidR="00F1047E" w:rsidRPr="006B242D">
        <w:rPr>
          <w:rFonts w:ascii="Book Antiqua" w:hAnsi="Book Antiqua"/>
          <w:bCs/>
          <w:sz w:val="24"/>
          <w:szCs w:val="24"/>
          <w:lang w:val="en-GB"/>
        </w:rPr>
        <w:t xml:space="preserve">r part to create a floppy mobile fundus with a posterior and an anterior fundic flap. In addition the hiatus was dissected and subsequently the distal </w:t>
      </w:r>
      <w:r w:rsidR="005F3CF3" w:rsidRPr="006B242D">
        <w:rPr>
          <w:rFonts w:ascii="Book Antiqua" w:hAnsi="Book Antiqua"/>
          <w:bCs/>
          <w:sz w:val="24"/>
          <w:szCs w:val="24"/>
          <w:lang w:val="en-GB"/>
        </w:rPr>
        <w:t>e</w:t>
      </w:r>
      <w:r w:rsidR="00F1047E" w:rsidRPr="006B242D">
        <w:rPr>
          <w:rFonts w:ascii="Book Antiqua" w:hAnsi="Book Antiqua"/>
          <w:bCs/>
          <w:sz w:val="24"/>
          <w:szCs w:val="24"/>
          <w:lang w:val="en-GB"/>
        </w:rPr>
        <w:t xml:space="preserve">sophagus was mobilized in order to </w:t>
      </w:r>
      <w:r w:rsidR="005F3CF3" w:rsidRPr="006B242D">
        <w:rPr>
          <w:rFonts w:ascii="Book Antiqua" w:hAnsi="Book Antiqua"/>
          <w:bCs/>
          <w:sz w:val="24"/>
          <w:szCs w:val="24"/>
          <w:lang w:val="en-GB"/>
        </w:rPr>
        <w:t>gain</w:t>
      </w:r>
      <w:r w:rsidR="00F1047E" w:rsidRPr="006B242D">
        <w:rPr>
          <w:rFonts w:ascii="Book Antiqua" w:hAnsi="Book Antiqua"/>
          <w:bCs/>
          <w:sz w:val="24"/>
          <w:szCs w:val="24"/>
          <w:lang w:val="en-GB"/>
        </w:rPr>
        <w:t xml:space="preserve"> a tension free esophageal segment of about 3cm of lower esophageal sphincter within the abdominal cavity below the hiatal arch. Then the obligatory posterior hiatal narrowing with 1-3 “figure-of-</w:t>
      </w:r>
      <w:r w:rsidR="005F3CF3" w:rsidRPr="006B242D">
        <w:rPr>
          <w:rFonts w:ascii="Book Antiqua" w:hAnsi="Book Antiqua"/>
          <w:bCs/>
          <w:sz w:val="24"/>
          <w:szCs w:val="24"/>
          <w:lang w:val="en-GB"/>
        </w:rPr>
        <w:t>8</w:t>
      </w:r>
      <w:r w:rsidR="00F1047E" w:rsidRPr="006B242D">
        <w:rPr>
          <w:rFonts w:ascii="Book Antiqua" w:hAnsi="Book Antiqua"/>
          <w:bCs/>
          <w:sz w:val="24"/>
          <w:szCs w:val="24"/>
          <w:lang w:val="en-GB"/>
        </w:rPr>
        <w:t>” stitches were performed to adapt the narrowing according to the diameter of the esophagus.</w:t>
      </w:r>
      <w:r w:rsidR="00041322" w:rsidRPr="006B242D">
        <w:rPr>
          <w:rFonts w:ascii="Book Antiqua" w:hAnsi="Book Antiqua"/>
          <w:bCs/>
          <w:sz w:val="24"/>
          <w:szCs w:val="24"/>
          <w:lang w:val="en-GB"/>
        </w:rPr>
        <w:t xml:space="preserve"> Afterwards the Nissen fundoplication was shaped around the esophageal sphincter, calibrated by a</w:t>
      </w:r>
      <w:r w:rsidR="005F3CF3" w:rsidRPr="006B242D">
        <w:rPr>
          <w:rFonts w:ascii="Book Antiqua" w:hAnsi="Book Antiqua"/>
          <w:bCs/>
          <w:sz w:val="24"/>
          <w:szCs w:val="24"/>
          <w:lang w:val="en-GB"/>
        </w:rPr>
        <w:t xml:space="preserve"> 18</w:t>
      </w:r>
      <w:r w:rsidR="00760C2E" w:rsidRPr="006B242D">
        <w:rPr>
          <w:rFonts w:ascii="Book Antiqua" w:hAnsi="Book Antiqua"/>
          <w:bCs/>
          <w:sz w:val="24"/>
          <w:szCs w:val="24"/>
          <w:lang w:val="en-GB" w:eastAsia="zh-CN"/>
        </w:rPr>
        <w:t xml:space="preserve"> </w:t>
      </w:r>
      <w:r w:rsidR="005F3CF3" w:rsidRPr="006B242D">
        <w:rPr>
          <w:rFonts w:ascii="Book Antiqua" w:hAnsi="Book Antiqua"/>
          <w:bCs/>
          <w:sz w:val="24"/>
          <w:szCs w:val="24"/>
          <w:lang w:val="en-GB"/>
        </w:rPr>
        <w:t>mm</w:t>
      </w:r>
      <w:r w:rsidR="00041322" w:rsidRPr="006B242D">
        <w:rPr>
          <w:rFonts w:ascii="Book Antiqua" w:hAnsi="Book Antiqua"/>
          <w:bCs/>
          <w:sz w:val="24"/>
          <w:szCs w:val="24"/>
          <w:lang w:val="en-GB"/>
        </w:rPr>
        <w:t xml:space="preserve"> bougie, and sutured including the esophageal wall. Care was taken to shape the wrap symmetrically regarding the posterior and anterior fundic flap, fixing it to the right lateral wall of the distal </w:t>
      </w:r>
      <w:r w:rsidR="00CF183D" w:rsidRPr="006B242D">
        <w:rPr>
          <w:rFonts w:ascii="Book Antiqua" w:hAnsi="Book Antiqua"/>
          <w:bCs/>
          <w:sz w:val="24"/>
          <w:szCs w:val="24"/>
          <w:lang w:val="en-GB"/>
        </w:rPr>
        <w:t>e</w:t>
      </w:r>
      <w:r w:rsidR="00041322" w:rsidRPr="006B242D">
        <w:rPr>
          <w:rFonts w:ascii="Book Antiqua" w:hAnsi="Book Antiqua"/>
          <w:bCs/>
          <w:sz w:val="24"/>
          <w:szCs w:val="24"/>
          <w:lang w:val="en-GB"/>
        </w:rPr>
        <w:t>sophagus. Care was also taken to identify both vagal truncs and avoid damage.</w:t>
      </w:r>
    </w:p>
    <w:p w:rsidR="00306EE5" w:rsidRPr="006B242D" w:rsidRDefault="00B82406" w:rsidP="000B23E9">
      <w:pPr>
        <w:spacing w:line="360" w:lineRule="auto"/>
        <w:ind w:firstLineChars="100" w:firstLine="240"/>
        <w:jc w:val="both"/>
        <w:outlineLvl w:val="0"/>
        <w:rPr>
          <w:rFonts w:ascii="Book Antiqua" w:hAnsi="Book Antiqua"/>
          <w:bCs/>
          <w:sz w:val="24"/>
          <w:szCs w:val="24"/>
          <w:lang w:val="en-GB" w:eastAsia="zh-CN"/>
        </w:rPr>
      </w:pPr>
      <w:r w:rsidRPr="006B242D">
        <w:rPr>
          <w:rFonts w:ascii="Book Antiqua" w:hAnsi="Book Antiqua"/>
          <w:bCs/>
          <w:sz w:val="24"/>
          <w:szCs w:val="24"/>
          <w:lang w:val="en-GB"/>
        </w:rPr>
        <w:t>Postoperatively the patients followed some dietary restrictions starting with fluid postop day 1 and 2, and increasing to semisolid on day 3</w:t>
      </w:r>
      <w:r w:rsidR="00AD0853" w:rsidRPr="006B242D">
        <w:rPr>
          <w:rFonts w:ascii="Book Antiqua" w:hAnsi="Book Antiqua"/>
          <w:bCs/>
          <w:sz w:val="24"/>
          <w:szCs w:val="24"/>
          <w:lang w:val="en-GB"/>
        </w:rPr>
        <w:t>, followed by their dismissal with the suggestion of several small meal rathe</w:t>
      </w:r>
      <w:r w:rsidR="00760C2E" w:rsidRPr="006B242D">
        <w:rPr>
          <w:rFonts w:ascii="Book Antiqua" w:hAnsi="Book Antiqua"/>
          <w:bCs/>
          <w:sz w:val="24"/>
          <w:szCs w:val="24"/>
          <w:lang w:val="en-GB"/>
        </w:rPr>
        <w:t>r than one main meal for 4-8 wk</w:t>
      </w:r>
      <w:r w:rsidR="00AD0853" w:rsidRPr="006B242D">
        <w:rPr>
          <w:rFonts w:ascii="Book Antiqua" w:hAnsi="Book Antiqua"/>
          <w:bCs/>
          <w:sz w:val="24"/>
          <w:szCs w:val="24"/>
          <w:lang w:val="en-GB"/>
        </w:rPr>
        <w:t xml:space="preserve"> and refrain f</w:t>
      </w:r>
      <w:r w:rsidR="00760C2E" w:rsidRPr="006B242D">
        <w:rPr>
          <w:rFonts w:ascii="Book Antiqua" w:hAnsi="Book Antiqua"/>
          <w:bCs/>
          <w:sz w:val="24"/>
          <w:szCs w:val="24"/>
          <w:lang w:val="en-GB"/>
        </w:rPr>
        <w:t>rom hard physical work for 8 wk</w:t>
      </w:r>
      <w:r w:rsidR="00AD0853" w:rsidRPr="006B242D">
        <w:rPr>
          <w:rFonts w:ascii="Book Antiqua" w:hAnsi="Book Antiqua"/>
          <w:bCs/>
          <w:sz w:val="24"/>
          <w:szCs w:val="24"/>
          <w:lang w:val="en-GB"/>
        </w:rPr>
        <w:t>.</w:t>
      </w:r>
      <w:r w:rsidR="00760C2E" w:rsidRPr="006B242D">
        <w:rPr>
          <w:rFonts w:ascii="Book Antiqua" w:hAnsi="Book Antiqua"/>
          <w:bCs/>
          <w:sz w:val="24"/>
          <w:szCs w:val="24"/>
          <w:lang w:val="en-GB" w:eastAsia="zh-CN"/>
        </w:rPr>
        <w:t xml:space="preserve"> </w:t>
      </w:r>
      <w:r w:rsidR="00AD0853" w:rsidRPr="006B242D">
        <w:rPr>
          <w:rFonts w:ascii="Book Antiqua" w:hAnsi="Book Antiqua"/>
          <w:bCs/>
          <w:sz w:val="24"/>
          <w:szCs w:val="24"/>
          <w:lang w:val="en-GB"/>
        </w:rPr>
        <w:t>Postoperative follow-up consisted of questionaire</w:t>
      </w:r>
      <w:r w:rsidR="00306EE5" w:rsidRPr="006B242D">
        <w:rPr>
          <w:rFonts w:ascii="Book Antiqua" w:hAnsi="Book Antiqua"/>
          <w:bCs/>
          <w:sz w:val="24"/>
          <w:szCs w:val="24"/>
          <w:lang w:val="en-GB"/>
        </w:rPr>
        <w:t>s</w:t>
      </w:r>
      <w:r w:rsidR="00AD0853" w:rsidRPr="006B242D">
        <w:rPr>
          <w:rFonts w:ascii="Book Antiqua" w:hAnsi="Book Antiqua"/>
          <w:bCs/>
          <w:sz w:val="24"/>
          <w:szCs w:val="24"/>
          <w:lang w:val="en-GB"/>
        </w:rPr>
        <w:t xml:space="preserve"> after</w:t>
      </w:r>
      <w:r w:rsidR="0090770B" w:rsidRPr="006B242D">
        <w:rPr>
          <w:rFonts w:ascii="Book Antiqua" w:hAnsi="Book Antiqua"/>
          <w:bCs/>
          <w:sz w:val="24"/>
          <w:szCs w:val="24"/>
          <w:lang w:val="en-GB"/>
        </w:rPr>
        <w:t xml:space="preserve"> 12 mo and a suggestion for</w:t>
      </w:r>
      <w:r w:rsidR="00AD0853" w:rsidRPr="006B242D">
        <w:rPr>
          <w:rFonts w:ascii="Book Antiqua" w:hAnsi="Book Antiqua"/>
          <w:bCs/>
          <w:sz w:val="24"/>
          <w:szCs w:val="24"/>
          <w:lang w:val="en-GB"/>
        </w:rPr>
        <w:t xml:space="preserve"> endoscopic and functional investigations. The same instruments were used as prior to surger</w:t>
      </w:r>
      <w:r w:rsidR="00306EE5" w:rsidRPr="006B242D">
        <w:rPr>
          <w:rFonts w:ascii="Book Antiqua" w:hAnsi="Book Antiqua"/>
          <w:bCs/>
          <w:sz w:val="24"/>
          <w:szCs w:val="24"/>
          <w:lang w:val="en-GB"/>
        </w:rPr>
        <w:t xml:space="preserve">y. Patients were separately followed and analysed depending on their choice of therapy. As a consequence, </w:t>
      </w:r>
      <w:r w:rsidR="003004A7" w:rsidRPr="006B242D">
        <w:rPr>
          <w:rFonts w:ascii="Book Antiqua" w:hAnsi="Book Antiqua"/>
          <w:bCs/>
          <w:sz w:val="24"/>
          <w:szCs w:val="24"/>
          <w:lang w:val="en-GB"/>
        </w:rPr>
        <w:t>2</w:t>
      </w:r>
      <w:r w:rsidR="00306EE5" w:rsidRPr="006B242D">
        <w:rPr>
          <w:rFonts w:ascii="Book Antiqua" w:hAnsi="Book Antiqua"/>
          <w:bCs/>
          <w:sz w:val="24"/>
          <w:szCs w:val="24"/>
          <w:lang w:val="en-GB"/>
        </w:rPr>
        <w:t xml:space="preserve"> groups were established: Group A post-surgical therapy; Group B: </w:t>
      </w:r>
      <w:r w:rsidR="00760C2E" w:rsidRPr="006B242D">
        <w:rPr>
          <w:rFonts w:ascii="Book Antiqua" w:hAnsi="Book Antiqua"/>
          <w:bCs/>
          <w:sz w:val="24"/>
          <w:szCs w:val="24"/>
          <w:lang w:val="en-GB"/>
        </w:rPr>
        <w:t>S</w:t>
      </w:r>
      <w:r w:rsidR="00306EE5" w:rsidRPr="006B242D">
        <w:rPr>
          <w:rFonts w:ascii="Book Antiqua" w:hAnsi="Book Antiqua"/>
          <w:bCs/>
          <w:sz w:val="24"/>
          <w:szCs w:val="24"/>
          <w:lang w:val="en-GB"/>
        </w:rPr>
        <w:t>urgery suggested, medical therapy perfo</w:t>
      </w:r>
      <w:r w:rsidR="003004A7" w:rsidRPr="006B242D">
        <w:rPr>
          <w:rFonts w:ascii="Book Antiqua" w:hAnsi="Book Antiqua"/>
          <w:bCs/>
          <w:sz w:val="24"/>
          <w:szCs w:val="24"/>
          <w:lang w:val="en-GB"/>
        </w:rPr>
        <w:t>rmed</w:t>
      </w:r>
      <w:r w:rsidR="00306EE5" w:rsidRPr="006B242D">
        <w:rPr>
          <w:rFonts w:ascii="Book Antiqua" w:hAnsi="Book Antiqua"/>
          <w:bCs/>
          <w:sz w:val="24"/>
          <w:szCs w:val="24"/>
          <w:lang w:val="en-GB"/>
        </w:rPr>
        <w:t>.</w:t>
      </w:r>
    </w:p>
    <w:p w:rsidR="00306EE5" w:rsidRPr="006B242D" w:rsidRDefault="00306EE5" w:rsidP="000B23E9">
      <w:pPr>
        <w:spacing w:line="360" w:lineRule="auto"/>
        <w:jc w:val="both"/>
        <w:outlineLvl w:val="0"/>
        <w:rPr>
          <w:rFonts w:ascii="Book Antiqua" w:hAnsi="Book Antiqua"/>
          <w:bCs/>
          <w:sz w:val="24"/>
          <w:szCs w:val="24"/>
          <w:lang w:val="en-GB"/>
        </w:rPr>
      </w:pPr>
    </w:p>
    <w:p w:rsidR="002D339D" w:rsidRPr="006B242D" w:rsidRDefault="002D339D" w:rsidP="000B23E9">
      <w:pPr>
        <w:spacing w:line="360" w:lineRule="auto"/>
        <w:jc w:val="both"/>
        <w:rPr>
          <w:rFonts w:ascii="Book Antiqua" w:hAnsi="Book Antiqua"/>
          <w:b/>
          <w:i/>
          <w:sz w:val="24"/>
          <w:szCs w:val="24"/>
          <w:lang w:val="en-GB" w:eastAsia="zh-CN"/>
        </w:rPr>
      </w:pPr>
      <w:r w:rsidRPr="006B242D">
        <w:rPr>
          <w:rFonts w:ascii="Book Antiqua" w:hAnsi="Book Antiqua"/>
          <w:b/>
          <w:i/>
          <w:caps/>
          <w:sz w:val="24"/>
          <w:szCs w:val="24"/>
          <w:lang w:val="en-GB"/>
        </w:rPr>
        <w:t>s</w:t>
      </w:r>
      <w:r w:rsidRPr="006B242D">
        <w:rPr>
          <w:rFonts w:ascii="Book Antiqua" w:hAnsi="Book Antiqua"/>
          <w:b/>
          <w:i/>
          <w:sz w:val="24"/>
          <w:szCs w:val="24"/>
          <w:lang w:val="en-GB"/>
        </w:rPr>
        <w:t>tatistical analysis</w:t>
      </w:r>
    </w:p>
    <w:p w:rsidR="00CF751F" w:rsidRPr="006B242D" w:rsidRDefault="00CF183D" w:rsidP="000B23E9">
      <w:pPr>
        <w:spacing w:line="360" w:lineRule="auto"/>
        <w:jc w:val="both"/>
        <w:rPr>
          <w:rFonts w:ascii="Book Antiqua" w:hAnsi="Book Antiqua"/>
          <w:sz w:val="24"/>
          <w:szCs w:val="24"/>
          <w:lang w:val="en-GB"/>
        </w:rPr>
      </w:pPr>
      <w:r w:rsidRPr="006B242D">
        <w:rPr>
          <w:rFonts w:ascii="Book Antiqua" w:hAnsi="Book Antiqua"/>
          <w:sz w:val="24"/>
          <w:szCs w:val="24"/>
          <w:lang w:val="en-GB"/>
        </w:rPr>
        <w:t xml:space="preserve">All data were recorded and stored in an Excel file for later comparison. </w:t>
      </w:r>
      <w:r w:rsidR="0051056F" w:rsidRPr="006B242D">
        <w:rPr>
          <w:rFonts w:ascii="Book Antiqua" w:hAnsi="Book Antiqua"/>
          <w:sz w:val="24"/>
          <w:szCs w:val="24"/>
          <w:lang w:val="en-GB"/>
        </w:rPr>
        <w:t xml:space="preserve">The results of the different groups were compared using the non-parametric test for paired samples with Wilcoxon matched pairs signed rank test and the </w:t>
      </w:r>
      <w:r w:rsidR="00B70986" w:rsidRPr="006B242D">
        <w:rPr>
          <w:rFonts w:ascii="Book Antiqua" w:hAnsi="Book Antiqua"/>
          <w:i/>
          <w:sz w:val="24"/>
          <w:szCs w:val="24"/>
          <w:lang w:val="en-GB"/>
        </w:rPr>
        <w:t>t</w:t>
      </w:r>
      <w:r w:rsidR="00B70986" w:rsidRPr="006B242D">
        <w:rPr>
          <w:rFonts w:ascii="Book Antiqua" w:hAnsi="Book Antiqua"/>
          <w:sz w:val="24"/>
          <w:szCs w:val="24"/>
          <w:lang w:val="en-GB"/>
        </w:rPr>
        <w:t>-</w:t>
      </w:r>
      <w:r w:rsidR="0051056F" w:rsidRPr="006B242D">
        <w:rPr>
          <w:rFonts w:ascii="Book Antiqua" w:hAnsi="Book Antiqua"/>
          <w:sz w:val="24"/>
          <w:szCs w:val="24"/>
          <w:lang w:val="en-GB"/>
        </w:rPr>
        <w:t xml:space="preserve">test for paired samples. For </w:t>
      </w:r>
      <w:r w:rsidR="0090770B" w:rsidRPr="006B242D">
        <w:rPr>
          <w:rFonts w:ascii="Book Antiqua" w:hAnsi="Book Antiqua"/>
          <w:sz w:val="24"/>
          <w:szCs w:val="24"/>
          <w:lang w:val="en-GB"/>
        </w:rPr>
        <w:t xml:space="preserve">comparison of </w:t>
      </w:r>
      <w:r w:rsidR="00C6201E" w:rsidRPr="006B242D">
        <w:rPr>
          <w:rFonts w:ascii="Book Antiqua" w:hAnsi="Book Antiqua"/>
          <w:sz w:val="24"/>
          <w:szCs w:val="24"/>
          <w:lang w:val="en-GB"/>
        </w:rPr>
        <w:t>quality-of-life</w:t>
      </w:r>
      <w:r w:rsidR="0090770B" w:rsidRPr="006B242D">
        <w:rPr>
          <w:rFonts w:ascii="Book Antiqua" w:hAnsi="Book Antiqua"/>
          <w:sz w:val="24"/>
          <w:szCs w:val="24"/>
          <w:lang w:val="en-GB"/>
        </w:rPr>
        <w:t xml:space="preserve"> data</w:t>
      </w:r>
      <w:r w:rsidR="0051056F" w:rsidRPr="006B242D">
        <w:rPr>
          <w:rFonts w:ascii="Book Antiqua" w:hAnsi="Book Antiqua"/>
          <w:sz w:val="24"/>
          <w:szCs w:val="24"/>
          <w:lang w:val="en-GB"/>
        </w:rPr>
        <w:t xml:space="preserve"> the Wilcoxon Two Sample test was used, since the samples had different sizes.</w:t>
      </w:r>
    </w:p>
    <w:p w:rsidR="00BD40E5" w:rsidRPr="006B242D" w:rsidRDefault="00BD40E5" w:rsidP="000B23E9">
      <w:pPr>
        <w:spacing w:line="360" w:lineRule="auto"/>
        <w:jc w:val="both"/>
        <w:rPr>
          <w:rFonts w:ascii="Book Antiqua" w:hAnsi="Book Antiqua"/>
          <w:sz w:val="24"/>
          <w:szCs w:val="24"/>
          <w:lang w:val="en-GB" w:eastAsia="zh-CN"/>
        </w:rPr>
      </w:pPr>
    </w:p>
    <w:p w:rsidR="0068350A" w:rsidRPr="006B242D" w:rsidRDefault="00C6201E" w:rsidP="000B23E9">
      <w:pPr>
        <w:spacing w:line="360" w:lineRule="auto"/>
        <w:jc w:val="both"/>
        <w:outlineLvl w:val="0"/>
        <w:rPr>
          <w:rFonts w:ascii="Book Antiqua" w:hAnsi="Book Antiqua"/>
          <w:b/>
          <w:sz w:val="24"/>
          <w:szCs w:val="24"/>
          <w:lang w:val="en-GB" w:eastAsia="zh-CN"/>
        </w:rPr>
      </w:pPr>
      <w:r w:rsidRPr="006B242D">
        <w:rPr>
          <w:rFonts w:ascii="Book Antiqua" w:hAnsi="Book Antiqua"/>
          <w:b/>
          <w:sz w:val="24"/>
          <w:szCs w:val="24"/>
          <w:lang w:val="en-GB"/>
        </w:rPr>
        <w:t>RESULTS</w:t>
      </w:r>
    </w:p>
    <w:p w:rsidR="00331207" w:rsidRPr="006B242D" w:rsidRDefault="00331207" w:rsidP="000B23E9">
      <w:pPr>
        <w:spacing w:line="360" w:lineRule="auto"/>
        <w:jc w:val="both"/>
        <w:outlineLvl w:val="0"/>
        <w:rPr>
          <w:rFonts w:ascii="Book Antiqua" w:hAnsi="Book Antiqua"/>
          <w:b/>
          <w:i/>
          <w:sz w:val="24"/>
          <w:szCs w:val="24"/>
          <w:lang w:val="en-GB"/>
        </w:rPr>
      </w:pPr>
      <w:r w:rsidRPr="006B242D">
        <w:rPr>
          <w:rFonts w:ascii="Book Antiqua" w:hAnsi="Book Antiqua"/>
          <w:b/>
          <w:i/>
          <w:sz w:val="24"/>
          <w:szCs w:val="24"/>
          <w:lang w:val="en-GB"/>
        </w:rPr>
        <w:t>Patient</w:t>
      </w:r>
      <w:r w:rsidR="00AF6F0F" w:rsidRPr="006B242D">
        <w:rPr>
          <w:rFonts w:ascii="Book Antiqua" w:hAnsi="Book Antiqua"/>
          <w:b/>
          <w:i/>
          <w:sz w:val="24"/>
          <w:szCs w:val="24"/>
          <w:lang w:val="en-GB"/>
        </w:rPr>
        <w:t>s</w:t>
      </w:r>
    </w:p>
    <w:p w:rsidR="00006370" w:rsidRPr="006B242D" w:rsidRDefault="00AF6F0F" w:rsidP="000B23E9">
      <w:pPr>
        <w:spacing w:line="360" w:lineRule="auto"/>
        <w:jc w:val="both"/>
        <w:rPr>
          <w:rFonts w:ascii="Book Antiqua" w:hAnsi="Book Antiqua"/>
          <w:sz w:val="24"/>
          <w:szCs w:val="24"/>
          <w:lang w:val="en-GB"/>
        </w:rPr>
      </w:pPr>
      <w:r w:rsidRPr="006B242D">
        <w:rPr>
          <w:rFonts w:ascii="Book Antiqua" w:hAnsi="Book Antiqua"/>
          <w:sz w:val="24"/>
          <w:szCs w:val="24"/>
          <w:lang w:val="en-GB"/>
        </w:rPr>
        <w:t>A total of</w:t>
      </w:r>
      <w:r w:rsidR="00EA378C" w:rsidRPr="006B242D">
        <w:rPr>
          <w:rFonts w:ascii="Book Antiqua" w:hAnsi="Book Antiqua"/>
          <w:sz w:val="24"/>
          <w:szCs w:val="24"/>
          <w:lang w:val="en-GB"/>
        </w:rPr>
        <w:t xml:space="preserve"> 166</w:t>
      </w:r>
      <w:r w:rsidR="00073626" w:rsidRPr="006B242D">
        <w:rPr>
          <w:rFonts w:ascii="Book Antiqua" w:hAnsi="Book Antiqua"/>
          <w:sz w:val="24"/>
          <w:szCs w:val="24"/>
          <w:lang w:val="en-GB"/>
        </w:rPr>
        <w:t xml:space="preserve"> patients</w:t>
      </w:r>
      <w:r w:rsidR="00B71E82" w:rsidRPr="006B242D">
        <w:rPr>
          <w:rFonts w:ascii="Book Antiqua" w:hAnsi="Book Antiqua"/>
          <w:sz w:val="24"/>
          <w:szCs w:val="24"/>
          <w:lang w:val="en-GB"/>
        </w:rPr>
        <w:t xml:space="preserve"> with </w:t>
      </w:r>
      <w:r w:rsidR="0062645C" w:rsidRPr="006B242D">
        <w:rPr>
          <w:rFonts w:ascii="Book Antiqua" w:hAnsi="Book Antiqua"/>
          <w:sz w:val="24"/>
          <w:szCs w:val="24"/>
          <w:lang w:val="en-GB"/>
        </w:rPr>
        <w:t>foregut symptoms</w:t>
      </w:r>
      <w:r w:rsidR="00B71E82" w:rsidRPr="006B242D">
        <w:rPr>
          <w:rFonts w:ascii="Book Antiqua" w:hAnsi="Book Antiqua"/>
          <w:sz w:val="24"/>
          <w:szCs w:val="24"/>
          <w:lang w:val="en-GB"/>
        </w:rPr>
        <w:t xml:space="preserve"> and heartburn</w:t>
      </w:r>
      <w:r w:rsidR="00073626" w:rsidRPr="006B242D">
        <w:rPr>
          <w:rFonts w:ascii="Book Antiqua" w:hAnsi="Book Antiqua"/>
          <w:sz w:val="24"/>
          <w:szCs w:val="24"/>
          <w:lang w:val="en-GB"/>
        </w:rPr>
        <w:t xml:space="preserve"> were </w:t>
      </w:r>
      <w:r w:rsidR="0062645C" w:rsidRPr="006B242D">
        <w:rPr>
          <w:rFonts w:ascii="Book Antiqua" w:hAnsi="Book Antiqua"/>
          <w:sz w:val="24"/>
          <w:szCs w:val="24"/>
          <w:lang w:val="en-GB"/>
        </w:rPr>
        <w:t xml:space="preserve">prospectively </w:t>
      </w:r>
      <w:r w:rsidR="00073626" w:rsidRPr="006B242D">
        <w:rPr>
          <w:rFonts w:ascii="Book Antiqua" w:hAnsi="Book Antiqua"/>
          <w:sz w:val="24"/>
          <w:szCs w:val="24"/>
          <w:lang w:val="en-GB"/>
        </w:rPr>
        <w:t>included in this study</w:t>
      </w:r>
      <w:r w:rsidR="00C6201E" w:rsidRPr="006B242D">
        <w:rPr>
          <w:rFonts w:ascii="Book Antiqua" w:hAnsi="Book Antiqua"/>
          <w:sz w:val="24"/>
          <w:szCs w:val="24"/>
          <w:lang w:val="en-GB"/>
        </w:rPr>
        <w:t xml:space="preserve"> over 3 y</w:t>
      </w:r>
      <w:r w:rsidR="001B12CC" w:rsidRPr="006B242D">
        <w:rPr>
          <w:rFonts w:ascii="Book Antiqua" w:hAnsi="Book Antiqua"/>
          <w:sz w:val="24"/>
          <w:szCs w:val="24"/>
          <w:lang w:val="en-GB" w:eastAsia="zh-CN"/>
        </w:rPr>
        <w:t>ea</w:t>
      </w:r>
      <w:r w:rsidR="00C6201E" w:rsidRPr="006B242D">
        <w:rPr>
          <w:rFonts w:ascii="Book Antiqua" w:hAnsi="Book Antiqua"/>
          <w:sz w:val="24"/>
          <w:szCs w:val="24"/>
          <w:lang w:val="en-GB"/>
        </w:rPr>
        <w:t>r</w:t>
      </w:r>
      <w:r w:rsidR="001B12CC" w:rsidRPr="006B242D">
        <w:rPr>
          <w:rFonts w:ascii="Book Antiqua" w:hAnsi="Book Antiqua"/>
          <w:sz w:val="24"/>
          <w:szCs w:val="24"/>
          <w:lang w:val="en-GB" w:eastAsia="zh-CN"/>
        </w:rPr>
        <w:t>s</w:t>
      </w:r>
      <w:r w:rsidR="00073626" w:rsidRPr="006B242D">
        <w:rPr>
          <w:rFonts w:ascii="Book Antiqua" w:hAnsi="Book Antiqua"/>
          <w:sz w:val="24"/>
          <w:szCs w:val="24"/>
          <w:lang w:val="en-GB"/>
        </w:rPr>
        <w:t xml:space="preserve">. </w:t>
      </w:r>
      <w:r w:rsidRPr="006B242D">
        <w:rPr>
          <w:rFonts w:ascii="Book Antiqua" w:hAnsi="Book Antiqua"/>
          <w:sz w:val="24"/>
          <w:szCs w:val="24"/>
          <w:lang w:val="en-GB"/>
        </w:rPr>
        <w:t>Mean</w:t>
      </w:r>
      <w:r w:rsidR="00B7774F" w:rsidRPr="006B242D">
        <w:rPr>
          <w:rFonts w:ascii="Book Antiqua" w:hAnsi="Book Antiqua"/>
          <w:sz w:val="24"/>
          <w:szCs w:val="24"/>
          <w:lang w:val="en-GB"/>
        </w:rPr>
        <w:t xml:space="preserve"> age </w:t>
      </w:r>
      <w:r w:rsidRPr="006B242D">
        <w:rPr>
          <w:rFonts w:ascii="Book Antiqua" w:hAnsi="Book Antiqua"/>
          <w:sz w:val="24"/>
          <w:szCs w:val="24"/>
          <w:lang w:val="en-GB"/>
        </w:rPr>
        <w:t xml:space="preserve">was </w:t>
      </w:r>
      <w:r w:rsidR="00576FE7" w:rsidRPr="006B242D">
        <w:rPr>
          <w:rFonts w:ascii="Book Antiqua" w:hAnsi="Book Antiqua"/>
          <w:sz w:val="24"/>
          <w:szCs w:val="24"/>
          <w:lang w:val="en-GB"/>
        </w:rPr>
        <w:t>58</w:t>
      </w:r>
      <w:r w:rsidR="001337B8" w:rsidRPr="006B242D">
        <w:rPr>
          <w:rFonts w:ascii="Book Antiqua" w:hAnsi="Book Antiqua"/>
          <w:sz w:val="24"/>
          <w:szCs w:val="24"/>
          <w:lang w:val="en-GB"/>
        </w:rPr>
        <w:t xml:space="preserve"> </w:t>
      </w:r>
      <w:r w:rsidR="00C6201E" w:rsidRPr="006B242D">
        <w:rPr>
          <w:rFonts w:ascii="Book Antiqua" w:hAnsi="Book Antiqua"/>
          <w:sz w:val="24"/>
          <w:szCs w:val="24"/>
          <w:lang w:val="en-GB"/>
        </w:rPr>
        <w:t>y</w:t>
      </w:r>
      <w:r w:rsidR="001B12CC" w:rsidRPr="006B242D">
        <w:rPr>
          <w:rFonts w:ascii="Book Antiqua" w:hAnsi="Book Antiqua"/>
          <w:sz w:val="24"/>
          <w:szCs w:val="24"/>
          <w:lang w:val="en-GB" w:eastAsia="zh-CN"/>
        </w:rPr>
        <w:t>ea</w:t>
      </w:r>
      <w:r w:rsidR="00C6201E" w:rsidRPr="006B242D">
        <w:rPr>
          <w:rFonts w:ascii="Book Antiqua" w:hAnsi="Book Antiqua"/>
          <w:sz w:val="24"/>
          <w:szCs w:val="24"/>
          <w:lang w:val="en-GB"/>
        </w:rPr>
        <w:t>r</w:t>
      </w:r>
      <w:r w:rsidR="001B12CC" w:rsidRPr="006B242D">
        <w:rPr>
          <w:rFonts w:ascii="Book Antiqua" w:hAnsi="Book Antiqua"/>
          <w:sz w:val="24"/>
          <w:szCs w:val="24"/>
          <w:lang w:val="en-GB" w:eastAsia="zh-CN"/>
        </w:rPr>
        <w:t>s</w:t>
      </w:r>
      <w:r w:rsidR="005E276C" w:rsidRPr="006B242D">
        <w:rPr>
          <w:rFonts w:ascii="Book Antiqua" w:hAnsi="Book Antiqua"/>
          <w:sz w:val="24"/>
          <w:szCs w:val="24"/>
          <w:lang w:val="en-GB"/>
        </w:rPr>
        <w:t xml:space="preserve"> </w:t>
      </w:r>
      <w:r w:rsidR="00CF751F" w:rsidRPr="006B242D">
        <w:rPr>
          <w:rFonts w:ascii="Book Antiqua" w:hAnsi="Book Antiqua"/>
          <w:sz w:val="24"/>
          <w:szCs w:val="24"/>
          <w:lang w:val="en-GB"/>
        </w:rPr>
        <w:t>(</w:t>
      </w:r>
      <w:r w:rsidR="00576FE7" w:rsidRPr="006B242D">
        <w:rPr>
          <w:rFonts w:ascii="Book Antiqua" w:hAnsi="Book Antiqua"/>
          <w:sz w:val="24"/>
          <w:szCs w:val="24"/>
          <w:lang w:val="en-GB"/>
        </w:rPr>
        <w:t>20-82</w:t>
      </w:r>
      <w:r w:rsidR="00B7774F" w:rsidRPr="006B242D">
        <w:rPr>
          <w:rFonts w:ascii="Book Antiqua" w:hAnsi="Book Antiqua"/>
          <w:sz w:val="24"/>
          <w:szCs w:val="24"/>
          <w:lang w:val="en-GB"/>
        </w:rPr>
        <w:t>)</w:t>
      </w:r>
      <w:r w:rsidRPr="006B242D">
        <w:rPr>
          <w:rFonts w:ascii="Book Antiqua" w:hAnsi="Book Antiqua"/>
          <w:sz w:val="24"/>
          <w:szCs w:val="24"/>
          <w:lang w:val="en-GB"/>
        </w:rPr>
        <w:t xml:space="preserve"> and t</w:t>
      </w:r>
      <w:r w:rsidR="00B7774F" w:rsidRPr="006B242D">
        <w:rPr>
          <w:rFonts w:ascii="Book Antiqua" w:hAnsi="Book Antiqua"/>
          <w:sz w:val="24"/>
          <w:szCs w:val="24"/>
          <w:lang w:val="en-GB"/>
        </w:rPr>
        <w:t xml:space="preserve">here were </w:t>
      </w:r>
      <w:r w:rsidR="00576FE7" w:rsidRPr="006B242D">
        <w:rPr>
          <w:rFonts w:ascii="Book Antiqua" w:hAnsi="Book Antiqua"/>
          <w:sz w:val="24"/>
          <w:szCs w:val="24"/>
          <w:lang w:val="en-GB"/>
        </w:rPr>
        <w:t>82</w:t>
      </w:r>
      <w:r w:rsidR="00B7774F" w:rsidRPr="006B242D">
        <w:rPr>
          <w:rFonts w:ascii="Book Antiqua" w:hAnsi="Book Antiqua"/>
          <w:sz w:val="24"/>
          <w:szCs w:val="24"/>
          <w:lang w:val="en-GB"/>
        </w:rPr>
        <w:t xml:space="preserve"> females</w:t>
      </w:r>
      <w:r w:rsidR="006320B2" w:rsidRPr="006B242D">
        <w:rPr>
          <w:rFonts w:ascii="Book Antiqua" w:hAnsi="Book Antiqua"/>
          <w:sz w:val="24"/>
          <w:szCs w:val="24"/>
          <w:lang w:val="en-GB"/>
        </w:rPr>
        <w:t>.</w:t>
      </w:r>
      <w:r w:rsidR="00576FE7" w:rsidRPr="006B242D">
        <w:rPr>
          <w:rFonts w:ascii="Book Antiqua" w:hAnsi="Book Antiqua"/>
          <w:sz w:val="24"/>
          <w:szCs w:val="24"/>
          <w:lang w:val="en-GB"/>
        </w:rPr>
        <w:t xml:space="preserve"> In 123 patients an indication for laparoscopic antireflux surgery was established and in 43 patients further medical therapy was suggested, based on the indication criteria of the EAES guidelines. Almost a third of the patients had some kind of concomitant disease and some risk factors.</w:t>
      </w:r>
      <w:r w:rsidR="00C6201E" w:rsidRPr="006B242D">
        <w:rPr>
          <w:rFonts w:ascii="Book Antiqua" w:hAnsi="Book Antiqua"/>
          <w:sz w:val="24"/>
          <w:szCs w:val="24"/>
          <w:lang w:val="en-GB" w:eastAsia="zh-CN"/>
        </w:rPr>
        <w:t xml:space="preserve"> </w:t>
      </w:r>
      <w:r w:rsidR="00006370" w:rsidRPr="006B242D">
        <w:rPr>
          <w:rFonts w:ascii="Book Antiqua" w:hAnsi="Book Antiqua"/>
          <w:sz w:val="24"/>
          <w:szCs w:val="24"/>
          <w:lang w:val="en-GB"/>
        </w:rPr>
        <w:t xml:space="preserve">The duration since the onset </w:t>
      </w:r>
      <w:r w:rsidR="00C6201E" w:rsidRPr="006B242D">
        <w:rPr>
          <w:rFonts w:ascii="Book Antiqua" w:hAnsi="Book Antiqua"/>
          <w:sz w:val="24"/>
          <w:szCs w:val="24"/>
          <w:lang w:val="en-GB"/>
        </w:rPr>
        <w:t>of the symptoms was median 5 y</w:t>
      </w:r>
      <w:r w:rsidR="001B12CC" w:rsidRPr="006B242D">
        <w:rPr>
          <w:rFonts w:ascii="Book Antiqua" w:hAnsi="Book Antiqua"/>
          <w:sz w:val="24"/>
          <w:szCs w:val="24"/>
          <w:lang w:val="en-GB" w:eastAsia="zh-CN"/>
        </w:rPr>
        <w:t>ea</w:t>
      </w:r>
      <w:r w:rsidR="00C6201E" w:rsidRPr="006B242D">
        <w:rPr>
          <w:rFonts w:ascii="Book Antiqua" w:hAnsi="Book Antiqua"/>
          <w:sz w:val="24"/>
          <w:szCs w:val="24"/>
          <w:lang w:val="en-GB"/>
        </w:rPr>
        <w:t>r</w:t>
      </w:r>
      <w:r w:rsidR="001B12CC" w:rsidRPr="006B242D">
        <w:rPr>
          <w:rFonts w:ascii="Book Antiqua" w:hAnsi="Book Antiqua"/>
          <w:sz w:val="24"/>
          <w:szCs w:val="24"/>
          <w:lang w:val="en-GB" w:eastAsia="zh-CN"/>
        </w:rPr>
        <w:t>s</w:t>
      </w:r>
      <w:r w:rsidR="00006370" w:rsidRPr="006B242D">
        <w:rPr>
          <w:rFonts w:ascii="Book Antiqua" w:hAnsi="Book Antiqua"/>
          <w:sz w:val="24"/>
          <w:szCs w:val="24"/>
          <w:lang w:val="en-GB"/>
        </w:rPr>
        <w:t xml:space="preserve"> (1-50). The most frequent chief complaint was heartburn (61%)</w:t>
      </w:r>
      <w:r w:rsidR="00C6201E" w:rsidRPr="006B242D">
        <w:rPr>
          <w:rFonts w:ascii="Book Antiqua" w:hAnsi="Book Antiqua"/>
          <w:sz w:val="24"/>
          <w:szCs w:val="24"/>
          <w:lang w:val="en-GB"/>
        </w:rPr>
        <w:t>, followed by regurgitation (18%) and epigastric pain (15</w:t>
      </w:r>
      <w:r w:rsidR="00006370" w:rsidRPr="006B242D">
        <w:rPr>
          <w:rFonts w:ascii="Book Antiqua" w:hAnsi="Book Antiqua"/>
          <w:sz w:val="24"/>
          <w:szCs w:val="24"/>
          <w:lang w:val="en-GB"/>
        </w:rPr>
        <w:t xml:space="preserve">%). The previous response to medication was very limited in the recent months, which led to the referral of the patients to surgery. Esophagitis was visible on endoscopy in </w:t>
      </w:r>
      <w:r w:rsidR="00C6201E" w:rsidRPr="006B242D">
        <w:rPr>
          <w:rFonts w:ascii="Book Antiqua" w:hAnsi="Book Antiqua"/>
          <w:sz w:val="24"/>
          <w:szCs w:val="24"/>
          <w:lang w:val="en-GB"/>
        </w:rPr>
        <w:t>51</w:t>
      </w:r>
      <w:r w:rsidR="00006370" w:rsidRPr="006B242D">
        <w:rPr>
          <w:rFonts w:ascii="Book Antiqua" w:hAnsi="Book Antiqua"/>
          <w:sz w:val="24"/>
          <w:szCs w:val="24"/>
          <w:lang w:val="en-GB"/>
        </w:rPr>
        <w:t>% of the patients. Hiatal hernia was documented in 78%. Es</w:t>
      </w:r>
      <w:r w:rsidR="00C6201E" w:rsidRPr="006B242D">
        <w:rPr>
          <w:rFonts w:ascii="Book Antiqua" w:hAnsi="Book Antiqua"/>
          <w:sz w:val="24"/>
          <w:szCs w:val="24"/>
          <w:lang w:val="en-GB"/>
        </w:rPr>
        <w:t>ophageal manometry showed in 86</w:t>
      </w:r>
      <w:r w:rsidR="00006370" w:rsidRPr="006B242D">
        <w:rPr>
          <w:rFonts w:ascii="Book Antiqua" w:hAnsi="Book Antiqua"/>
          <w:sz w:val="24"/>
          <w:szCs w:val="24"/>
          <w:lang w:val="en-GB"/>
        </w:rPr>
        <w:t>% an incompetent lower</w:t>
      </w:r>
      <w:r w:rsidR="00C6201E" w:rsidRPr="006B242D">
        <w:rPr>
          <w:rFonts w:ascii="Book Antiqua" w:hAnsi="Book Antiqua"/>
          <w:sz w:val="24"/>
          <w:szCs w:val="24"/>
          <w:lang w:val="en-GB"/>
        </w:rPr>
        <w:t xml:space="preserve"> esophageal sphincter and in 16</w:t>
      </w:r>
      <w:r w:rsidR="00006370" w:rsidRPr="006B242D">
        <w:rPr>
          <w:rFonts w:ascii="Book Antiqua" w:hAnsi="Book Antiqua"/>
          <w:sz w:val="24"/>
          <w:szCs w:val="24"/>
          <w:lang w:val="en-GB"/>
        </w:rPr>
        <w:t>% an ineffective motility of the esophageal body. A pathologic esophageal aci</w:t>
      </w:r>
      <w:r w:rsidR="00C6201E" w:rsidRPr="006B242D">
        <w:rPr>
          <w:rFonts w:ascii="Book Antiqua" w:hAnsi="Book Antiqua"/>
          <w:sz w:val="24"/>
          <w:szCs w:val="24"/>
          <w:lang w:val="en-GB"/>
        </w:rPr>
        <w:t>d exposure was documented in 88</w:t>
      </w:r>
      <w:r w:rsidR="00006370" w:rsidRPr="006B242D">
        <w:rPr>
          <w:rFonts w:ascii="Book Antiqua" w:hAnsi="Book Antiqua"/>
          <w:sz w:val="24"/>
          <w:szCs w:val="24"/>
          <w:lang w:val="en-GB"/>
        </w:rPr>
        <w:t>% of the patients.</w:t>
      </w:r>
    </w:p>
    <w:p w:rsidR="00D95F6A" w:rsidRPr="006B242D" w:rsidRDefault="00576FE7" w:rsidP="000B23E9">
      <w:pPr>
        <w:spacing w:line="360" w:lineRule="auto"/>
        <w:ind w:firstLineChars="100" w:firstLine="240"/>
        <w:jc w:val="both"/>
        <w:rPr>
          <w:rFonts w:ascii="Book Antiqua" w:hAnsi="Book Antiqua"/>
          <w:sz w:val="24"/>
          <w:szCs w:val="24"/>
          <w:lang w:val="en-GB" w:eastAsia="zh-CN"/>
        </w:rPr>
      </w:pPr>
      <w:r w:rsidRPr="006B242D">
        <w:rPr>
          <w:rFonts w:ascii="Book Antiqua" w:hAnsi="Book Antiqua"/>
          <w:sz w:val="24"/>
          <w:szCs w:val="24"/>
          <w:lang w:val="en-GB"/>
        </w:rPr>
        <w:t xml:space="preserve">After information about the disease and the operative procedure, </w:t>
      </w:r>
      <w:r w:rsidR="00CF183D" w:rsidRPr="006B242D">
        <w:rPr>
          <w:rFonts w:ascii="Book Antiqua" w:hAnsi="Book Antiqua"/>
          <w:sz w:val="24"/>
          <w:szCs w:val="24"/>
          <w:lang w:val="en-GB"/>
        </w:rPr>
        <w:t xml:space="preserve">finally </w:t>
      </w:r>
      <w:r w:rsidRPr="006B242D">
        <w:rPr>
          <w:rFonts w:ascii="Book Antiqua" w:hAnsi="Book Antiqua"/>
          <w:sz w:val="24"/>
          <w:szCs w:val="24"/>
          <w:lang w:val="en-GB"/>
        </w:rPr>
        <w:t xml:space="preserve">93 patients </w:t>
      </w:r>
      <w:r w:rsidR="002B1369" w:rsidRPr="006B242D">
        <w:rPr>
          <w:rFonts w:ascii="Book Antiqua" w:hAnsi="Book Antiqua"/>
          <w:sz w:val="24"/>
          <w:szCs w:val="24"/>
          <w:lang w:val="en-GB"/>
        </w:rPr>
        <w:t xml:space="preserve">(Group A) </w:t>
      </w:r>
      <w:r w:rsidRPr="006B242D">
        <w:rPr>
          <w:rFonts w:ascii="Book Antiqua" w:hAnsi="Book Antiqua"/>
          <w:sz w:val="24"/>
          <w:szCs w:val="24"/>
          <w:lang w:val="en-GB"/>
        </w:rPr>
        <w:t>agreed to undergo a laparoscopic antireflux procedure.</w:t>
      </w:r>
      <w:r w:rsidR="002B1369" w:rsidRPr="006B242D">
        <w:rPr>
          <w:rFonts w:ascii="Book Antiqua" w:hAnsi="Book Antiqua"/>
          <w:sz w:val="24"/>
          <w:szCs w:val="24"/>
          <w:lang w:val="en-GB"/>
        </w:rPr>
        <w:t xml:space="preserve"> Thirty patients decided to continue medical therapy despite the fact that</w:t>
      </w:r>
      <w:r w:rsidRPr="006B242D">
        <w:rPr>
          <w:rFonts w:ascii="Book Antiqua" w:hAnsi="Book Antiqua"/>
          <w:sz w:val="24"/>
          <w:szCs w:val="24"/>
          <w:lang w:val="en-GB"/>
        </w:rPr>
        <w:t xml:space="preserve"> </w:t>
      </w:r>
      <w:r w:rsidR="002B1369" w:rsidRPr="006B242D">
        <w:rPr>
          <w:rFonts w:ascii="Book Antiqua" w:hAnsi="Book Antiqua"/>
          <w:sz w:val="24"/>
          <w:szCs w:val="24"/>
          <w:lang w:val="en-GB"/>
        </w:rPr>
        <w:t>an indication for laparoscopic antireflux surgery was suggested</w:t>
      </w:r>
      <w:r w:rsidR="003004A7" w:rsidRPr="006B242D">
        <w:rPr>
          <w:rFonts w:ascii="Book Antiqua" w:hAnsi="Book Antiqua"/>
          <w:sz w:val="24"/>
          <w:szCs w:val="24"/>
          <w:lang w:val="en-GB"/>
        </w:rPr>
        <w:t xml:space="preserve"> (Group B)</w:t>
      </w:r>
      <w:r w:rsidR="002B1369" w:rsidRPr="006B242D">
        <w:rPr>
          <w:rFonts w:ascii="Book Antiqua" w:hAnsi="Book Antiqua"/>
          <w:sz w:val="24"/>
          <w:szCs w:val="24"/>
          <w:lang w:val="en-GB"/>
        </w:rPr>
        <w:t xml:space="preserve">. </w:t>
      </w:r>
      <w:r w:rsidR="00031DCB" w:rsidRPr="006B242D">
        <w:rPr>
          <w:rFonts w:ascii="Book Antiqua" w:hAnsi="Book Antiqua"/>
          <w:sz w:val="24"/>
          <w:szCs w:val="24"/>
          <w:lang w:val="en-GB"/>
        </w:rPr>
        <w:t xml:space="preserve">The portion of somatoform tendencies in the </w:t>
      </w:r>
      <w:r w:rsidR="00C6201E" w:rsidRPr="006B242D">
        <w:rPr>
          <w:rFonts w:ascii="Book Antiqua" w:hAnsi="Book Antiqua"/>
          <w:sz w:val="24"/>
          <w:szCs w:val="24"/>
          <w:lang w:val="en-GB"/>
        </w:rPr>
        <w:t>total patient population was 20</w:t>
      </w:r>
      <w:r w:rsidR="00C6201E" w:rsidRPr="006B242D">
        <w:rPr>
          <w:rFonts w:ascii="Book Antiqua" w:hAnsi="Book Antiqua"/>
          <w:sz w:val="24"/>
          <w:szCs w:val="24"/>
          <w:lang w:val="en-GB" w:eastAsia="zh-CN"/>
        </w:rPr>
        <w:t>.</w:t>
      </w:r>
      <w:r w:rsidR="00CF66C5" w:rsidRPr="006B242D">
        <w:rPr>
          <w:rFonts w:ascii="Book Antiqua" w:hAnsi="Book Antiqua"/>
          <w:sz w:val="24"/>
          <w:szCs w:val="24"/>
          <w:lang w:val="en-GB"/>
        </w:rPr>
        <w:t>4</w:t>
      </w:r>
      <w:r w:rsidR="00031DCB" w:rsidRPr="006B242D">
        <w:rPr>
          <w:rFonts w:ascii="Book Antiqua" w:hAnsi="Book Antiqua"/>
          <w:sz w:val="24"/>
          <w:szCs w:val="24"/>
          <w:lang w:val="en-GB"/>
        </w:rPr>
        <w:t>8%</w:t>
      </w:r>
      <w:r w:rsidR="00CF66C5" w:rsidRPr="006B242D">
        <w:rPr>
          <w:rFonts w:ascii="Book Antiqua" w:hAnsi="Book Antiqua"/>
          <w:sz w:val="24"/>
          <w:szCs w:val="24"/>
          <w:lang w:val="en-GB"/>
        </w:rPr>
        <w:t xml:space="preserve"> (34 patients)</w:t>
      </w:r>
      <w:r w:rsidR="00031DCB" w:rsidRPr="006B242D">
        <w:rPr>
          <w:rFonts w:ascii="Book Antiqua" w:hAnsi="Book Antiqua"/>
          <w:sz w:val="24"/>
          <w:szCs w:val="24"/>
          <w:lang w:val="en-GB"/>
        </w:rPr>
        <w:t xml:space="preserve">, when the </w:t>
      </w:r>
      <w:r w:rsidR="00781BD8" w:rsidRPr="006B242D">
        <w:rPr>
          <w:rFonts w:ascii="Book Antiqua" w:hAnsi="Book Antiqua"/>
          <w:sz w:val="24"/>
          <w:szCs w:val="24"/>
          <w:lang w:val="en-GB"/>
        </w:rPr>
        <w:t>SSI ≥ 17 symptoms</w:t>
      </w:r>
      <w:r w:rsidR="00031DCB" w:rsidRPr="006B242D">
        <w:rPr>
          <w:rFonts w:ascii="Book Antiqua" w:hAnsi="Book Antiqua"/>
          <w:sz w:val="24"/>
          <w:szCs w:val="24"/>
          <w:lang w:val="en-GB"/>
        </w:rPr>
        <w:t xml:space="preserve"> was used as criteri</w:t>
      </w:r>
      <w:r w:rsidR="00CF66C5" w:rsidRPr="006B242D">
        <w:rPr>
          <w:rFonts w:ascii="Book Antiqua" w:hAnsi="Book Antiqua"/>
          <w:sz w:val="24"/>
          <w:szCs w:val="24"/>
          <w:lang w:val="en-GB"/>
        </w:rPr>
        <w:t>on</w:t>
      </w:r>
      <w:r w:rsidR="00031DCB" w:rsidRPr="006B242D">
        <w:rPr>
          <w:rFonts w:ascii="Book Antiqua" w:hAnsi="Book Antiqua"/>
          <w:sz w:val="24"/>
          <w:szCs w:val="24"/>
          <w:lang w:val="en-GB"/>
        </w:rPr>
        <w:t xml:space="preserve"> for the presence of somatoform disorder</w:t>
      </w:r>
      <w:r w:rsidR="00CF66C5" w:rsidRPr="006B242D">
        <w:rPr>
          <w:rFonts w:ascii="Book Antiqua" w:hAnsi="Book Antiqua"/>
          <w:sz w:val="24"/>
          <w:szCs w:val="24"/>
          <w:lang w:val="en-GB"/>
        </w:rPr>
        <w:t xml:space="preserve">s. In Group A (patients with </w:t>
      </w:r>
      <w:r w:rsidR="00C6201E" w:rsidRPr="006B242D">
        <w:rPr>
          <w:rFonts w:ascii="Book Antiqua" w:hAnsi="Book Antiqua"/>
          <w:sz w:val="24"/>
          <w:szCs w:val="24"/>
          <w:lang w:val="en-GB"/>
        </w:rPr>
        <w:t>laparoscopic fundoplication) 22</w:t>
      </w:r>
      <w:r w:rsidR="00CF66C5" w:rsidRPr="006B242D">
        <w:rPr>
          <w:rFonts w:ascii="Book Antiqua" w:hAnsi="Book Antiqua"/>
          <w:sz w:val="24"/>
          <w:szCs w:val="24"/>
          <w:lang w:val="en-GB"/>
        </w:rPr>
        <w:t>% (20 patients) showed a positive SSI for somatoform tendencies, while in Group B this po</w:t>
      </w:r>
      <w:r w:rsidR="00C6201E" w:rsidRPr="006B242D">
        <w:rPr>
          <w:rFonts w:ascii="Book Antiqua" w:hAnsi="Book Antiqua"/>
          <w:sz w:val="24"/>
          <w:szCs w:val="24"/>
          <w:lang w:val="en-GB"/>
        </w:rPr>
        <w:t>rtion was quite similar with 20</w:t>
      </w:r>
      <w:r w:rsidR="00CF66C5" w:rsidRPr="006B242D">
        <w:rPr>
          <w:rFonts w:ascii="Book Antiqua" w:hAnsi="Book Antiqua"/>
          <w:sz w:val="24"/>
          <w:szCs w:val="24"/>
          <w:lang w:val="en-GB"/>
        </w:rPr>
        <w:t>% (6 patients) (Figure 1).</w:t>
      </w:r>
    </w:p>
    <w:p w:rsidR="00576FE7" w:rsidRPr="006B242D" w:rsidRDefault="00314A57" w:rsidP="000B23E9">
      <w:pPr>
        <w:spacing w:line="360" w:lineRule="auto"/>
        <w:ind w:firstLineChars="100" w:firstLine="240"/>
        <w:jc w:val="both"/>
        <w:outlineLvl w:val="0"/>
        <w:rPr>
          <w:rFonts w:ascii="Book Antiqua" w:hAnsi="Book Antiqua"/>
          <w:sz w:val="24"/>
          <w:szCs w:val="24"/>
          <w:lang w:val="en-GB" w:eastAsia="zh-CN"/>
        </w:rPr>
      </w:pPr>
      <w:r w:rsidRPr="006B242D">
        <w:rPr>
          <w:rFonts w:ascii="Book Antiqua" w:hAnsi="Book Antiqua"/>
          <w:sz w:val="24"/>
          <w:szCs w:val="24"/>
          <w:lang w:val="en-GB"/>
        </w:rPr>
        <w:t xml:space="preserve">Figure 2 shows the preoperative level of the GIQLI in patients with and without a somatoform disorder as measured by the SSI (normal &lt; 17 symptoms). Patients with a positive SSI (number of present symptoms </w:t>
      </w:r>
      <w:r w:rsidR="00C6201E" w:rsidRPr="006B242D">
        <w:rPr>
          <w:rFonts w:ascii="Book Antiqua" w:hAnsi="Book Antiqua"/>
          <w:sz w:val="24"/>
          <w:szCs w:val="24"/>
          <w:lang w:val="en-GB"/>
        </w:rPr>
        <w:t>≥</w:t>
      </w:r>
      <w:r w:rsidRPr="006B242D">
        <w:rPr>
          <w:rFonts w:ascii="Book Antiqua" w:hAnsi="Book Antiqua"/>
          <w:sz w:val="24"/>
          <w:szCs w:val="24"/>
          <w:lang w:val="en-GB"/>
        </w:rPr>
        <w:t xml:space="preserve"> 17) had a preoperative GIQLI of 77 (32-111). Patients with a normal SSI (&lt;</w:t>
      </w:r>
      <w:r w:rsidR="00C6201E" w:rsidRPr="006B242D">
        <w:rPr>
          <w:rFonts w:ascii="Book Antiqua" w:hAnsi="Book Antiqua"/>
          <w:sz w:val="24"/>
          <w:szCs w:val="24"/>
          <w:lang w:val="en-GB" w:eastAsia="zh-CN"/>
        </w:rPr>
        <w:t xml:space="preserve"> </w:t>
      </w:r>
      <w:r w:rsidRPr="006B242D">
        <w:rPr>
          <w:rFonts w:ascii="Book Antiqua" w:hAnsi="Book Antiqua"/>
          <w:sz w:val="24"/>
          <w:szCs w:val="24"/>
          <w:lang w:val="en-GB"/>
        </w:rPr>
        <w:t>17 symptoms) had a GIQLI of 105 (29-140). This difference was highly significant (</w:t>
      </w:r>
      <w:r w:rsidR="00C6201E" w:rsidRPr="006B242D">
        <w:rPr>
          <w:rFonts w:ascii="Book Antiqua" w:hAnsi="Book Antiqua"/>
          <w:i/>
          <w:sz w:val="24"/>
          <w:szCs w:val="24"/>
          <w:lang w:val="en-GB"/>
        </w:rPr>
        <w:t>P</w:t>
      </w:r>
      <w:r w:rsidR="00C6201E" w:rsidRPr="006B242D">
        <w:rPr>
          <w:rFonts w:ascii="Book Antiqua" w:hAnsi="Book Antiqua"/>
          <w:sz w:val="24"/>
          <w:szCs w:val="24"/>
          <w:lang w:val="en-GB" w:eastAsia="zh-CN"/>
        </w:rPr>
        <w:t xml:space="preserve"> </w:t>
      </w:r>
      <w:r w:rsidRPr="006B242D">
        <w:rPr>
          <w:rFonts w:ascii="Book Antiqua" w:hAnsi="Book Antiqua"/>
          <w:sz w:val="24"/>
          <w:szCs w:val="24"/>
          <w:lang w:val="en-GB"/>
        </w:rPr>
        <w:t>&lt;</w:t>
      </w:r>
      <w:r w:rsidR="00C6201E" w:rsidRPr="006B242D">
        <w:rPr>
          <w:rFonts w:ascii="Book Antiqua" w:hAnsi="Book Antiqua"/>
          <w:sz w:val="24"/>
          <w:szCs w:val="24"/>
          <w:lang w:val="en-GB" w:eastAsia="zh-CN"/>
        </w:rPr>
        <w:t xml:space="preserve"> </w:t>
      </w:r>
      <w:r w:rsidR="00C6201E" w:rsidRPr="006B242D">
        <w:rPr>
          <w:rFonts w:ascii="Book Antiqua" w:hAnsi="Book Antiqua"/>
          <w:sz w:val="24"/>
          <w:szCs w:val="24"/>
          <w:lang w:val="en-GB"/>
        </w:rPr>
        <w:t>0</w:t>
      </w:r>
      <w:r w:rsidR="00C6201E" w:rsidRPr="006B242D">
        <w:rPr>
          <w:rFonts w:ascii="Book Antiqua" w:hAnsi="Book Antiqua"/>
          <w:sz w:val="24"/>
          <w:szCs w:val="24"/>
          <w:lang w:val="en-GB" w:eastAsia="zh-CN"/>
        </w:rPr>
        <w:t>.</w:t>
      </w:r>
      <w:r w:rsidRPr="006B242D">
        <w:rPr>
          <w:rFonts w:ascii="Book Antiqua" w:hAnsi="Book Antiqua"/>
          <w:sz w:val="24"/>
          <w:szCs w:val="24"/>
          <w:lang w:val="en-GB"/>
        </w:rPr>
        <w:t>0001).</w:t>
      </w:r>
    </w:p>
    <w:p w:rsidR="00576FE7" w:rsidRPr="006B242D" w:rsidRDefault="00576FE7" w:rsidP="000B23E9">
      <w:pPr>
        <w:spacing w:line="360" w:lineRule="auto"/>
        <w:ind w:firstLineChars="100" w:firstLine="240"/>
        <w:jc w:val="both"/>
        <w:rPr>
          <w:rFonts w:ascii="Book Antiqua" w:hAnsi="Book Antiqua"/>
          <w:sz w:val="24"/>
          <w:szCs w:val="24"/>
          <w:lang w:val="en-GB"/>
        </w:rPr>
      </w:pPr>
      <w:r w:rsidRPr="006B242D">
        <w:rPr>
          <w:rFonts w:ascii="Book Antiqua" w:hAnsi="Book Antiqua"/>
          <w:sz w:val="24"/>
          <w:szCs w:val="24"/>
          <w:lang w:val="en-GB"/>
        </w:rPr>
        <w:t xml:space="preserve">In all </w:t>
      </w:r>
      <w:r w:rsidR="0047189A" w:rsidRPr="006B242D">
        <w:rPr>
          <w:rFonts w:ascii="Book Antiqua" w:hAnsi="Book Antiqua"/>
          <w:sz w:val="24"/>
          <w:szCs w:val="24"/>
          <w:lang w:val="en-GB"/>
        </w:rPr>
        <w:t>surgical</w:t>
      </w:r>
      <w:r w:rsidR="003004A7" w:rsidRPr="006B242D">
        <w:rPr>
          <w:rFonts w:ascii="Book Antiqua" w:hAnsi="Book Antiqua"/>
          <w:sz w:val="24"/>
          <w:szCs w:val="24"/>
          <w:lang w:val="en-GB"/>
        </w:rPr>
        <w:t xml:space="preserve"> </w:t>
      </w:r>
      <w:r w:rsidRPr="006B242D">
        <w:rPr>
          <w:rFonts w:ascii="Book Antiqua" w:hAnsi="Book Antiqua"/>
          <w:sz w:val="24"/>
          <w:szCs w:val="24"/>
          <w:lang w:val="en-GB"/>
        </w:rPr>
        <w:t>cases the primary laparoscopic procedure could be pe</w:t>
      </w:r>
      <w:r w:rsidR="00C6201E" w:rsidRPr="006B242D">
        <w:rPr>
          <w:rFonts w:ascii="Book Antiqua" w:hAnsi="Book Antiqua"/>
          <w:sz w:val="24"/>
          <w:szCs w:val="24"/>
          <w:lang w:val="en-GB"/>
        </w:rPr>
        <w:t xml:space="preserve">rformed without conversion. In </w:t>
      </w:r>
      <w:r w:rsidR="00C6201E" w:rsidRPr="006B242D">
        <w:rPr>
          <w:rFonts w:ascii="Book Antiqua" w:hAnsi="Book Antiqua"/>
          <w:sz w:val="24"/>
          <w:szCs w:val="24"/>
          <w:lang w:val="en-GB" w:eastAsia="zh-CN"/>
        </w:rPr>
        <w:t>four</w:t>
      </w:r>
      <w:r w:rsidRPr="006B242D">
        <w:rPr>
          <w:rFonts w:ascii="Book Antiqua" w:hAnsi="Book Antiqua"/>
          <w:sz w:val="24"/>
          <w:szCs w:val="24"/>
          <w:lang w:val="en-GB"/>
        </w:rPr>
        <w:t xml:space="preserve"> patients intraoperative opening</w:t>
      </w:r>
      <w:r w:rsidR="00CF183D" w:rsidRPr="006B242D">
        <w:rPr>
          <w:rFonts w:ascii="Book Antiqua" w:hAnsi="Book Antiqua"/>
          <w:sz w:val="24"/>
          <w:szCs w:val="24"/>
          <w:lang w:val="en-GB"/>
        </w:rPr>
        <w:t xml:space="preserve"> </w:t>
      </w:r>
      <w:r w:rsidRPr="006B242D">
        <w:rPr>
          <w:rFonts w:ascii="Book Antiqua" w:hAnsi="Book Antiqua"/>
          <w:sz w:val="24"/>
          <w:szCs w:val="24"/>
          <w:lang w:val="en-GB"/>
        </w:rPr>
        <w:t>of the</w:t>
      </w:r>
      <w:r w:rsidR="00521B76" w:rsidRPr="006B242D">
        <w:rPr>
          <w:rFonts w:ascii="Book Antiqua" w:hAnsi="Book Antiqua"/>
          <w:sz w:val="24"/>
          <w:szCs w:val="24"/>
          <w:lang w:val="en-GB"/>
        </w:rPr>
        <w:t xml:space="preserve"> </w:t>
      </w:r>
      <w:r w:rsidRPr="006B242D">
        <w:rPr>
          <w:rFonts w:ascii="Book Antiqua" w:hAnsi="Book Antiqua"/>
          <w:sz w:val="24"/>
          <w:szCs w:val="24"/>
          <w:lang w:val="en-GB"/>
        </w:rPr>
        <w:t>pleural cavity</w:t>
      </w:r>
      <w:r w:rsidR="00521B76" w:rsidRPr="006B242D">
        <w:rPr>
          <w:rFonts w:ascii="Book Antiqua" w:hAnsi="Book Antiqua"/>
          <w:sz w:val="24"/>
          <w:szCs w:val="24"/>
          <w:lang w:val="en-GB"/>
        </w:rPr>
        <w:t xml:space="preserve"> on the left side</w:t>
      </w:r>
      <w:r w:rsidRPr="006B242D">
        <w:rPr>
          <w:rFonts w:ascii="Book Antiqua" w:hAnsi="Book Antiqua"/>
          <w:sz w:val="24"/>
          <w:szCs w:val="24"/>
          <w:lang w:val="en-GB"/>
        </w:rPr>
        <w:t xml:space="preserve"> occurred during mobilisation of the </w:t>
      </w:r>
      <w:r w:rsidR="00CF183D" w:rsidRPr="006B242D">
        <w:rPr>
          <w:rFonts w:ascii="Book Antiqua" w:hAnsi="Book Antiqua"/>
          <w:sz w:val="24"/>
          <w:szCs w:val="24"/>
          <w:lang w:val="en-GB"/>
        </w:rPr>
        <w:t>e</w:t>
      </w:r>
      <w:r w:rsidRPr="006B242D">
        <w:rPr>
          <w:rFonts w:ascii="Book Antiqua" w:hAnsi="Book Antiqua"/>
          <w:sz w:val="24"/>
          <w:szCs w:val="24"/>
          <w:lang w:val="en-GB"/>
        </w:rPr>
        <w:t>sophagus in the mediastinum</w:t>
      </w:r>
      <w:r w:rsidR="007F3B19" w:rsidRPr="006B242D">
        <w:rPr>
          <w:rFonts w:ascii="Book Antiqua" w:hAnsi="Book Antiqua"/>
          <w:sz w:val="24"/>
          <w:szCs w:val="24"/>
          <w:lang w:val="en-GB"/>
        </w:rPr>
        <w:t>, resulting in a compression of the lung by</w:t>
      </w:r>
      <w:r w:rsidR="00521B76" w:rsidRPr="006B242D">
        <w:rPr>
          <w:rFonts w:ascii="Book Antiqua" w:hAnsi="Book Antiqua"/>
          <w:sz w:val="24"/>
          <w:szCs w:val="24"/>
          <w:lang w:val="en-GB"/>
        </w:rPr>
        <w:t xml:space="preserve"> gas-</w:t>
      </w:r>
      <w:r w:rsidR="007F3B19" w:rsidRPr="006B242D">
        <w:rPr>
          <w:rFonts w:ascii="Book Antiqua" w:hAnsi="Book Antiqua"/>
          <w:sz w:val="24"/>
          <w:szCs w:val="24"/>
          <w:lang w:val="en-GB"/>
        </w:rPr>
        <w:t>insufflation. Two patients showed postoperative minor complications</w:t>
      </w:r>
      <w:r w:rsidRPr="006B242D">
        <w:rPr>
          <w:rFonts w:ascii="Book Antiqua" w:hAnsi="Book Antiqua"/>
          <w:sz w:val="24"/>
          <w:szCs w:val="24"/>
          <w:lang w:val="en-GB"/>
        </w:rPr>
        <w:t xml:space="preserve"> </w:t>
      </w:r>
      <w:r w:rsidR="007F3B19" w:rsidRPr="006B242D">
        <w:rPr>
          <w:rFonts w:ascii="Book Antiqua" w:hAnsi="Book Antiqua"/>
          <w:sz w:val="24"/>
          <w:szCs w:val="24"/>
          <w:lang w:val="en-GB"/>
        </w:rPr>
        <w:t>such as 1 patient with an extraordinary pain level, which neede</w:t>
      </w:r>
      <w:r w:rsidR="00CF183D" w:rsidRPr="006B242D">
        <w:rPr>
          <w:rFonts w:ascii="Book Antiqua" w:hAnsi="Book Antiqua"/>
          <w:sz w:val="24"/>
          <w:szCs w:val="24"/>
          <w:lang w:val="en-GB"/>
        </w:rPr>
        <w:t>d</w:t>
      </w:r>
      <w:r w:rsidR="00C6201E" w:rsidRPr="006B242D">
        <w:rPr>
          <w:rFonts w:ascii="Book Antiqua" w:hAnsi="Book Antiqua"/>
          <w:sz w:val="24"/>
          <w:szCs w:val="24"/>
          <w:lang w:val="en-GB"/>
        </w:rPr>
        <w:t xml:space="preserve"> 3 d</w:t>
      </w:r>
      <w:r w:rsidR="007F3B19" w:rsidRPr="006B242D">
        <w:rPr>
          <w:rFonts w:ascii="Book Antiqua" w:hAnsi="Book Antiqua"/>
          <w:sz w:val="24"/>
          <w:szCs w:val="24"/>
          <w:lang w:val="en-GB"/>
        </w:rPr>
        <w:t xml:space="preserve"> of extra hospitalisation as well as 1 patient with abdominal distension and pain due to postoperative delayed intestinal motility recovery, which also needed prolonged hospital stay.</w:t>
      </w:r>
      <w:r w:rsidR="00CF183D" w:rsidRPr="006B242D">
        <w:rPr>
          <w:rFonts w:ascii="Book Antiqua" w:hAnsi="Book Antiqua"/>
          <w:sz w:val="24"/>
          <w:szCs w:val="24"/>
          <w:lang w:val="en-GB"/>
        </w:rPr>
        <w:t xml:space="preserve"> </w:t>
      </w:r>
      <w:r w:rsidR="00521B76" w:rsidRPr="006B242D">
        <w:rPr>
          <w:rFonts w:ascii="Book Antiqua" w:hAnsi="Book Antiqua"/>
          <w:sz w:val="24"/>
          <w:szCs w:val="24"/>
          <w:lang w:val="en-GB"/>
        </w:rPr>
        <w:t>All patients had dysphagia in the first 4 postoperative days during their hospitalisation and a stepwise increase in fluid, semisolid and finally solid food was given during this period in order to prevent excessive gagging and vomiting, which could cause early migration.</w:t>
      </w:r>
    </w:p>
    <w:p w:rsidR="00754FDE" w:rsidRPr="006B242D" w:rsidRDefault="00754FDE" w:rsidP="000B23E9">
      <w:pPr>
        <w:spacing w:line="360" w:lineRule="auto"/>
        <w:jc w:val="both"/>
        <w:rPr>
          <w:rFonts w:ascii="Book Antiqua" w:hAnsi="Book Antiqua"/>
          <w:sz w:val="24"/>
          <w:szCs w:val="24"/>
          <w:lang w:val="en-GB"/>
        </w:rPr>
      </w:pPr>
    </w:p>
    <w:p w:rsidR="00306EE5" w:rsidRPr="006B242D" w:rsidRDefault="00306EE5" w:rsidP="000B23E9">
      <w:pPr>
        <w:spacing w:line="360" w:lineRule="auto"/>
        <w:jc w:val="both"/>
        <w:rPr>
          <w:rFonts w:ascii="Book Antiqua" w:hAnsi="Book Antiqua"/>
          <w:b/>
          <w:i/>
          <w:sz w:val="24"/>
          <w:szCs w:val="24"/>
          <w:lang w:val="en-GB"/>
        </w:rPr>
      </w:pPr>
      <w:r w:rsidRPr="006B242D">
        <w:rPr>
          <w:rFonts w:ascii="Book Antiqua" w:hAnsi="Book Antiqua"/>
          <w:b/>
          <w:i/>
          <w:sz w:val="24"/>
          <w:szCs w:val="24"/>
          <w:lang w:val="en-GB"/>
        </w:rPr>
        <w:t>Follow-up</w:t>
      </w:r>
    </w:p>
    <w:p w:rsidR="0003140C" w:rsidRPr="006B242D" w:rsidRDefault="00FA6069" w:rsidP="000B23E9">
      <w:pPr>
        <w:spacing w:line="360" w:lineRule="auto"/>
        <w:jc w:val="both"/>
        <w:outlineLvl w:val="0"/>
        <w:rPr>
          <w:rFonts w:ascii="Book Antiqua" w:hAnsi="Book Antiqua"/>
          <w:sz w:val="24"/>
          <w:szCs w:val="24"/>
          <w:lang w:val="en-GB"/>
        </w:rPr>
      </w:pPr>
      <w:r w:rsidRPr="006B242D">
        <w:rPr>
          <w:rFonts w:ascii="Book Antiqua" w:hAnsi="Book Antiqua"/>
          <w:sz w:val="24"/>
          <w:szCs w:val="24"/>
          <w:lang w:val="en-GB"/>
        </w:rPr>
        <w:t xml:space="preserve">After minimum </w:t>
      </w:r>
      <w:r w:rsidR="00C6201E" w:rsidRPr="006B242D">
        <w:rPr>
          <w:rFonts w:ascii="Book Antiqua" w:hAnsi="Book Antiqua"/>
          <w:sz w:val="24"/>
          <w:szCs w:val="24"/>
          <w:lang w:val="en-GB"/>
        </w:rPr>
        <w:t>of 1 y</w:t>
      </w:r>
      <w:r w:rsidR="001B12CC" w:rsidRPr="006B242D">
        <w:rPr>
          <w:rFonts w:ascii="Book Antiqua" w:hAnsi="Book Antiqua"/>
          <w:sz w:val="24"/>
          <w:szCs w:val="24"/>
          <w:lang w:val="en-GB" w:eastAsia="zh-CN"/>
        </w:rPr>
        <w:t>ea</w:t>
      </w:r>
      <w:r w:rsidRPr="006B242D">
        <w:rPr>
          <w:rFonts w:ascii="Book Antiqua" w:hAnsi="Book Antiqua"/>
          <w:sz w:val="24"/>
          <w:szCs w:val="24"/>
          <w:lang w:val="en-GB"/>
        </w:rPr>
        <w:t xml:space="preserve">r follow-up time </w:t>
      </w:r>
      <w:r w:rsidR="00F03D87" w:rsidRPr="006B242D">
        <w:rPr>
          <w:rFonts w:ascii="Book Antiqua" w:hAnsi="Book Antiqua"/>
          <w:sz w:val="24"/>
          <w:szCs w:val="24"/>
          <w:lang w:val="en-GB"/>
        </w:rPr>
        <w:t xml:space="preserve">all </w:t>
      </w:r>
      <w:r w:rsidRPr="006B242D">
        <w:rPr>
          <w:rFonts w:ascii="Book Antiqua" w:hAnsi="Book Antiqua"/>
          <w:sz w:val="24"/>
          <w:szCs w:val="24"/>
          <w:lang w:val="en-GB"/>
        </w:rPr>
        <w:t>patients were contacted and questionnaires wer</w:t>
      </w:r>
      <w:r w:rsidR="00AE1D0C" w:rsidRPr="006B242D">
        <w:rPr>
          <w:rFonts w:ascii="Book Antiqua" w:hAnsi="Book Antiqua"/>
          <w:sz w:val="24"/>
          <w:szCs w:val="24"/>
          <w:lang w:val="en-GB"/>
        </w:rPr>
        <w:t>e</w:t>
      </w:r>
      <w:r w:rsidRPr="006B242D">
        <w:rPr>
          <w:rFonts w:ascii="Book Antiqua" w:hAnsi="Book Antiqua"/>
          <w:sz w:val="24"/>
          <w:szCs w:val="24"/>
          <w:lang w:val="en-GB"/>
        </w:rPr>
        <w:t xml:space="preserve"> returned from </w:t>
      </w:r>
      <w:r w:rsidR="00306EE5" w:rsidRPr="006B242D">
        <w:rPr>
          <w:rFonts w:ascii="Book Antiqua" w:hAnsi="Book Antiqua"/>
          <w:sz w:val="24"/>
          <w:szCs w:val="24"/>
          <w:lang w:val="en-GB"/>
        </w:rPr>
        <w:t>138</w:t>
      </w:r>
      <w:r w:rsidRPr="006B242D">
        <w:rPr>
          <w:rFonts w:ascii="Book Antiqua" w:hAnsi="Book Antiqua"/>
          <w:sz w:val="24"/>
          <w:szCs w:val="24"/>
          <w:lang w:val="en-GB"/>
        </w:rPr>
        <w:t xml:space="preserve"> out of </w:t>
      </w:r>
      <w:r w:rsidR="00306EE5" w:rsidRPr="006B242D">
        <w:rPr>
          <w:rFonts w:ascii="Book Antiqua" w:hAnsi="Book Antiqua"/>
          <w:sz w:val="24"/>
          <w:szCs w:val="24"/>
          <w:lang w:val="en-GB"/>
        </w:rPr>
        <w:t>166</w:t>
      </w:r>
      <w:r w:rsidR="0047189A" w:rsidRPr="006B242D">
        <w:rPr>
          <w:rFonts w:ascii="Book Antiqua" w:hAnsi="Book Antiqua"/>
          <w:sz w:val="24"/>
          <w:szCs w:val="24"/>
          <w:lang w:val="en-GB"/>
        </w:rPr>
        <w:t xml:space="preserve"> patients</w:t>
      </w:r>
      <w:r w:rsidRPr="006B242D">
        <w:rPr>
          <w:rFonts w:ascii="Book Antiqua" w:hAnsi="Book Antiqua"/>
          <w:sz w:val="24"/>
          <w:szCs w:val="24"/>
          <w:lang w:val="en-GB"/>
        </w:rPr>
        <w:t xml:space="preserve">, that were initially </w:t>
      </w:r>
      <w:r w:rsidR="00306EE5" w:rsidRPr="006B242D">
        <w:rPr>
          <w:rFonts w:ascii="Book Antiqua" w:hAnsi="Book Antiqua"/>
          <w:sz w:val="24"/>
          <w:szCs w:val="24"/>
          <w:lang w:val="en-GB"/>
        </w:rPr>
        <w:t>investigated.</w:t>
      </w:r>
      <w:r w:rsidR="002B1369" w:rsidRPr="006B242D">
        <w:rPr>
          <w:rFonts w:ascii="Book Antiqua" w:hAnsi="Book Antiqua"/>
          <w:sz w:val="24"/>
          <w:szCs w:val="24"/>
          <w:lang w:val="en-GB"/>
        </w:rPr>
        <w:t xml:space="preserve"> From the initially 93 patients with laparoscopic fundoplication, 77 patients responded and follow-up information could be obtained. Twent</w:t>
      </w:r>
      <w:r w:rsidR="00314A57" w:rsidRPr="006B242D">
        <w:rPr>
          <w:rFonts w:ascii="Book Antiqua" w:hAnsi="Book Antiqua"/>
          <w:sz w:val="24"/>
          <w:szCs w:val="24"/>
          <w:lang w:val="en-GB"/>
        </w:rPr>
        <w:t>y-</w:t>
      </w:r>
      <w:r w:rsidR="002B1369" w:rsidRPr="006B242D">
        <w:rPr>
          <w:rFonts w:ascii="Book Antiqua" w:hAnsi="Book Antiqua"/>
          <w:sz w:val="24"/>
          <w:szCs w:val="24"/>
          <w:lang w:val="en-GB"/>
        </w:rPr>
        <w:t>five out of 30 patients responded, who had been suggested for surgery, but decided to continue conservative treatment</w:t>
      </w:r>
      <w:r w:rsidR="003004A7" w:rsidRPr="006B242D">
        <w:rPr>
          <w:rFonts w:ascii="Book Antiqua" w:hAnsi="Book Antiqua"/>
          <w:sz w:val="24"/>
          <w:szCs w:val="24"/>
          <w:lang w:val="en-GB"/>
        </w:rPr>
        <w:t xml:space="preserve">. </w:t>
      </w:r>
      <w:r w:rsidRPr="006B242D">
        <w:rPr>
          <w:rFonts w:ascii="Book Antiqua" w:hAnsi="Book Antiqua"/>
          <w:sz w:val="24"/>
          <w:szCs w:val="24"/>
          <w:lang w:val="en-GB"/>
        </w:rPr>
        <w:t>Preoper</w:t>
      </w:r>
      <w:r w:rsidR="00AE1D0C" w:rsidRPr="006B242D">
        <w:rPr>
          <w:rFonts w:ascii="Book Antiqua" w:hAnsi="Book Antiqua"/>
          <w:sz w:val="24"/>
          <w:szCs w:val="24"/>
          <w:lang w:val="en-GB"/>
        </w:rPr>
        <w:t>a</w:t>
      </w:r>
      <w:r w:rsidRPr="006B242D">
        <w:rPr>
          <w:rFonts w:ascii="Book Antiqua" w:hAnsi="Book Antiqua"/>
          <w:sz w:val="24"/>
          <w:szCs w:val="24"/>
          <w:lang w:val="en-GB"/>
        </w:rPr>
        <w:t xml:space="preserve">tive and postoperative </w:t>
      </w:r>
      <w:r w:rsidR="00C6201E" w:rsidRPr="006B242D">
        <w:rPr>
          <w:rFonts w:ascii="Book Antiqua" w:hAnsi="Book Antiqua"/>
          <w:sz w:val="24"/>
          <w:szCs w:val="24"/>
          <w:lang w:val="en-GB"/>
        </w:rPr>
        <w:t>quality of life</w:t>
      </w:r>
      <w:r w:rsidR="003F4FE1" w:rsidRPr="006B242D">
        <w:rPr>
          <w:rFonts w:ascii="Book Antiqua" w:hAnsi="Book Antiqua"/>
          <w:sz w:val="24"/>
          <w:szCs w:val="24"/>
          <w:lang w:val="en-GB"/>
        </w:rPr>
        <w:t xml:space="preserve"> as assessed by the GIQLI</w:t>
      </w:r>
      <w:r w:rsidRPr="006B242D">
        <w:rPr>
          <w:rFonts w:ascii="Book Antiqua" w:hAnsi="Book Antiqua"/>
          <w:sz w:val="24"/>
          <w:szCs w:val="24"/>
          <w:lang w:val="en-GB"/>
        </w:rPr>
        <w:t xml:space="preserve"> showed a significant difference</w:t>
      </w:r>
      <w:r w:rsidR="00B8389E" w:rsidRPr="006B242D">
        <w:rPr>
          <w:rFonts w:ascii="Book Antiqua" w:hAnsi="Book Antiqua"/>
          <w:sz w:val="24"/>
          <w:szCs w:val="24"/>
          <w:lang w:val="en-GB"/>
        </w:rPr>
        <w:t xml:space="preserve"> (</w:t>
      </w:r>
      <w:r w:rsidR="00C6201E" w:rsidRPr="006B242D">
        <w:rPr>
          <w:rFonts w:ascii="Book Antiqua" w:hAnsi="Book Antiqua"/>
          <w:i/>
          <w:sz w:val="24"/>
          <w:szCs w:val="24"/>
          <w:lang w:val="en-GB"/>
        </w:rPr>
        <w:t>P</w:t>
      </w:r>
      <w:r w:rsidR="00C6201E" w:rsidRPr="006B242D">
        <w:rPr>
          <w:rFonts w:ascii="Book Antiqua" w:hAnsi="Book Antiqua"/>
          <w:sz w:val="24"/>
          <w:szCs w:val="24"/>
          <w:lang w:val="en-GB"/>
        </w:rPr>
        <w:t xml:space="preserve"> &lt; 0</w:t>
      </w:r>
      <w:r w:rsidR="00C6201E" w:rsidRPr="006B242D">
        <w:rPr>
          <w:rFonts w:ascii="Book Antiqua" w:hAnsi="Book Antiqua"/>
          <w:sz w:val="24"/>
          <w:szCs w:val="24"/>
          <w:lang w:val="en-GB" w:eastAsia="zh-CN"/>
        </w:rPr>
        <w:t>.</w:t>
      </w:r>
      <w:r w:rsidR="00B8389E" w:rsidRPr="006B242D">
        <w:rPr>
          <w:rFonts w:ascii="Book Antiqua" w:hAnsi="Book Antiqua"/>
          <w:sz w:val="24"/>
          <w:szCs w:val="24"/>
          <w:lang w:val="en-GB"/>
        </w:rPr>
        <w:t>001)</w:t>
      </w:r>
      <w:r w:rsidRPr="006B242D">
        <w:rPr>
          <w:rFonts w:ascii="Book Antiqua" w:hAnsi="Book Antiqua"/>
          <w:sz w:val="24"/>
          <w:szCs w:val="24"/>
          <w:lang w:val="en-GB"/>
        </w:rPr>
        <w:t xml:space="preserve"> for patients</w:t>
      </w:r>
      <w:r w:rsidR="003F4FE1" w:rsidRPr="006B242D">
        <w:rPr>
          <w:rFonts w:ascii="Book Antiqua" w:hAnsi="Book Antiqua"/>
          <w:sz w:val="24"/>
          <w:szCs w:val="24"/>
          <w:lang w:val="en-GB"/>
        </w:rPr>
        <w:t xml:space="preserve"> in Group A</w:t>
      </w:r>
      <w:r w:rsidR="006320B2" w:rsidRPr="006B242D">
        <w:rPr>
          <w:rFonts w:ascii="Book Antiqua" w:hAnsi="Book Antiqua"/>
          <w:sz w:val="24"/>
          <w:szCs w:val="24"/>
          <w:lang w:val="en-GB"/>
        </w:rPr>
        <w:t>, operated upon with laparoscopic antireflux procedure</w:t>
      </w:r>
      <w:r w:rsidR="003F4FE1" w:rsidRPr="006B242D">
        <w:rPr>
          <w:rFonts w:ascii="Book Antiqua" w:hAnsi="Book Antiqua"/>
          <w:sz w:val="24"/>
          <w:szCs w:val="24"/>
          <w:lang w:val="en-GB"/>
        </w:rPr>
        <w:t xml:space="preserve"> (Figure </w:t>
      </w:r>
      <w:r w:rsidR="00314A57" w:rsidRPr="006B242D">
        <w:rPr>
          <w:rFonts w:ascii="Book Antiqua" w:hAnsi="Book Antiqua"/>
          <w:sz w:val="24"/>
          <w:szCs w:val="24"/>
          <w:lang w:val="en-GB"/>
        </w:rPr>
        <w:t>3</w:t>
      </w:r>
      <w:r w:rsidR="003F4FE1" w:rsidRPr="006B242D">
        <w:rPr>
          <w:rFonts w:ascii="Book Antiqua" w:hAnsi="Book Antiqua"/>
          <w:sz w:val="24"/>
          <w:szCs w:val="24"/>
          <w:lang w:val="en-GB"/>
        </w:rPr>
        <w:t>)</w:t>
      </w:r>
      <w:r w:rsidRPr="006B242D">
        <w:rPr>
          <w:rFonts w:ascii="Book Antiqua" w:hAnsi="Book Antiqua"/>
          <w:sz w:val="24"/>
          <w:szCs w:val="24"/>
          <w:lang w:val="en-GB"/>
        </w:rPr>
        <w:t>.</w:t>
      </w:r>
    </w:p>
    <w:p w:rsidR="00F62933" w:rsidRPr="006B242D" w:rsidRDefault="00AE1D0C" w:rsidP="000B23E9">
      <w:pPr>
        <w:spacing w:line="360" w:lineRule="auto"/>
        <w:ind w:firstLineChars="100" w:firstLine="240"/>
        <w:jc w:val="both"/>
        <w:outlineLvl w:val="0"/>
        <w:rPr>
          <w:rFonts w:ascii="Book Antiqua" w:hAnsi="Book Antiqua"/>
          <w:sz w:val="24"/>
          <w:szCs w:val="24"/>
          <w:lang w:val="en-GB" w:eastAsia="zh-CN"/>
        </w:rPr>
      </w:pPr>
      <w:r w:rsidRPr="006B242D">
        <w:rPr>
          <w:rFonts w:ascii="Book Antiqua" w:hAnsi="Book Antiqua"/>
          <w:sz w:val="24"/>
          <w:szCs w:val="24"/>
          <w:lang w:val="en-GB"/>
        </w:rPr>
        <w:t xml:space="preserve">The GIQLI </w:t>
      </w:r>
      <w:r w:rsidR="006320B2" w:rsidRPr="006B242D">
        <w:rPr>
          <w:rFonts w:ascii="Book Antiqua" w:hAnsi="Book Antiqua"/>
          <w:sz w:val="24"/>
          <w:szCs w:val="24"/>
          <w:lang w:val="en-GB"/>
        </w:rPr>
        <w:t xml:space="preserve">of the operated patients, who responded to the follow-up, </w:t>
      </w:r>
      <w:r w:rsidRPr="006B242D">
        <w:rPr>
          <w:rFonts w:ascii="Book Antiqua" w:hAnsi="Book Antiqua"/>
          <w:sz w:val="24"/>
          <w:szCs w:val="24"/>
          <w:lang w:val="en-GB"/>
        </w:rPr>
        <w:t>was elevated from a preoperative level of 99 (47-140) up to postoperative 117 (44-144) (</w:t>
      </w:r>
      <w:r w:rsidR="00C6201E" w:rsidRPr="006B242D">
        <w:rPr>
          <w:rFonts w:ascii="Book Antiqua" w:hAnsi="Book Antiqua"/>
          <w:i/>
          <w:sz w:val="24"/>
          <w:szCs w:val="24"/>
          <w:lang w:val="en-GB"/>
        </w:rPr>
        <w:t>P</w:t>
      </w:r>
      <w:r w:rsidR="00C6201E" w:rsidRPr="006B242D">
        <w:rPr>
          <w:rFonts w:ascii="Book Antiqua" w:hAnsi="Book Antiqua"/>
          <w:sz w:val="24"/>
          <w:szCs w:val="24"/>
          <w:lang w:val="en-GB" w:eastAsia="zh-CN"/>
        </w:rPr>
        <w:t xml:space="preserve"> </w:t>
      </w:r>
      <w:r w:rsidRPr="006B242D">
        <w:rPr>
          <w:rFonts w:ascii="Book Antiqua" w:hAnsi="Book Antiqua"/>
          <w:sz w:val="24"/>
          <w:szCs w:val="24"/>
          <w:lang w:val="en-GB"/>
        </w:rPr>
        <w:t>&lt;</w:t>
      </w:r>
      <w:r w:rsidR="00C6201E" w:rsidRPr="006B242D">
        <w:rPr>
          <w:rFonts w:ascii="Book Antiqua" w:hAnsi="Book Antiqua"/>
          <w:sz w:val="24"/>
          <w:szCs w:val="24"/>
          <w:lang w:val="en-GB" w:eastAsia="zh-CN"/>
        </w:rPr>
        <w:t xml:space="preserve"> </w:t>
      </w:r>
      <w:r w:rsidR="00C6201E" w:rsidRPr="006B242D">
        <w:rPr>
          <w:rFonts w:ascii="Book Antiqua" w:hAnsi="Book Antiqua"/>
          <w:sz w:val="24"/>
          <w:szCs w:val="24"/>
          <w:lang w:val="en-GB"/>
        </w:rPr>
        <w:t>0</w:t>
      </w:r>
      <w:r w:rsidR="00C6201E" w:rsidRPr="006B242D">
        <w:rPr>
          <w:rFonts w:ascii="Book Antiqua" w:hAnsi="Book Antiqua"/>
          <w:sz w:val="24"/>
          <w:szCs w:val="24"/>
          <w:lang w:val="en-GB" w:eastAsia="zh-CN"/>
        </w:rPr>
        <w:t>.</w:t>
      </w:r>
      <w:r w:rsidRPr="006B242D">
        <w:rPr>
          <w:rFonts w:ascii="Book Antiqua" w:hAnsi="Book Antiqua"/>
          <w:sz w:val="24"/>
          <w:szCs w:val="24"/>
          <w:lang w:val="en-GB"/>
        </w:rPr>
        <w:t xml:space="preserve">001). The normal level of GIQLI of healthy individuals is reported </w:t>
      </w:r>
      <w:r w:rsidR="00C6201E" w:rsidRPr="006B242D">
        <w:rPr>
          <w:rFonts w:ascii="Book Antiqua" w:hAnsi="Book Antiqua"/>
          <w:sz w:val="24"/>
          <w:szCs w:val="24"/>
          <w:lang w:val="en-GB" w:eastAsia="zh-CN"/>
        </w:rPr>
        <w:t xml:space="preserve">from </w:t>
      </w:r>
      <w:r w:rsidRPr="006B242D">
        <w:rPr>
          <w:rFonts w:ascii="Book Antiqua" w:hAnsi="Book Antiqua"/>
          <w:sz w:val="24"/>
          <w:szCs w:val="24"/>
          <w:lang w:val="en-GB"/>
        </w:rPr>
        <w:t>120</w:t>
      </w:r>
      <w:r w:rsidR="00C6201E" w:rsidRPr="006B242D">
        <w:rPr>
          <w:rFonts w:ascii="Book Antiqua" w:hAnsi="Book Antiqua"/>
          <w:sz w:val="24"/>
          <w:szCs w:val="24"/>
          <w:lang w:val="en-GB" w:eastAsia="zh-CN"/>
        </w:rPr>
        <w:t xml:space="preserve"> to </w:t>
      </w:r>
      <w:r w:rsidRPr="006B242D">
        <w:rPr>
          <w:rFonts w:ascii="Book Antiqua" w:hAnsi="Book Antiqua"/>
          <w:sz w:val="24"/>
          <w:szCs w:val="24"/>
          <w:lang w:val="en-GB"/>
        </w:rPr>
        <w:t>131.</w:t>
      </w:r>
      <w:r w:rsidR="006320B2" w:rsidRPr="006B242D">
        <w:rPr>
          <w:rFonts w:ascii="Book Antiqua" w:hAnsi="Book Antiqua"/>
          <w:sz w:val="24"/>
          <w:szCs w:val="24"/>
          <w:lang w:val="en-GB"/>
        </w:rPr>
        <w:t xml:space="preserve"> Patients with GERD, who decided to continue with conservative medical therapy despite the suggestion for laparoscopic surgery </w:t>
      </w:r>
      <w:r w:rsidR="00B8389E" w:rsidRPr="006B242D">
        <w:rPr>
          <w:rFonts w:ascii="Book Antiqua" w:hAnsi="Book Antiqua"/>
          <w:sz w:val="24"/>
          <w:szCs w:val="24"/>
          <w:lang w:val="en-GB"/>
        </w:rPr>
        <w:t xml:space="preserve">(group B), </w:t>
      </w:r>
      <w:r w:rsidR="006320B2" w:rsidRPr="006B242D">
        <w:rPr>
          <w:rFonts w:ascii="Book Antiqua" w:hAnsi="Book Antiqua"/>
          <w:sz w:val="24"/>
          <w:szCs w:val="24"/>
          <w:lang w:val="en-GB"/>
        </w:rPr>
        <w:t>show after the follow-up ti</w:t>
      </w:r>
      <w:r w:rsidR="00C6201E" w:rsidRPr="006B242D">
        <w:rPr>
          <w:rFonts w:ascii="Book Antiqua" w:hAnsi="Book Antiqua"/>
          <w:sz w:val="24"/>
          <w:szCs w:val="24"/>
          <w:lang w:val="en-GB"/>
        </w:rPr>
        <w:t>me of at least 1 y</w:t>
      </w:r>
      <w:r w:rsidR="001B12CC" w:rsidRPr="006B242D">
        <w:rPr>
          <w:rFonts w:ascii="Book Antiqua" w:hAnsi="Book Antiqua"/>
          <w:sz w:val="24"/>
          <w:szCs w:val="24"/>
          <w:lang w:val="en-GB" w:eastAsia="zh-CN"/>
        </w:rPr>
        <w:t>ea</w:t>
      </w:r>
      <w:r w:rsidR="006320B2" w:rsidRPr="006B242D">
        <w:rPr>
          <w:rFonts w:ascii="Book Antiqua" w:hAnsi="Book Antiqua"/>
          <w:sz w:val="24"/>
          <w:szCs w:val="24"/>
          <w:lang w:val="en-GB"/>
        </w:rPr>
        <w:t xml:space="preserve">r a constant level of reduced </w:t>
      </w:r>
      <w:r w:rsidR="00C6201E" w:rsidRPr="006B242D">
        <w:rPr>
          <w:rFonts w:ascii="Book Antiqua" w:hAnsi="Book Antiqua"/>
          <w:sz w:val="24"/>
          <w:szCs w:val="24"/>
          <w:lang w:val="en-GB"/>
        </w:rPr>
        <w:t>quality of life</w:t>
      </w:r>
      <w:r w:rsidR="006320B2" w:rsidRPr="006B242D">
        <w:rPr>
          <w:rFonts w:ascii="Book Antiqua" w:hAnsi="Book Antiqua"/>
          <w:sz w:val="24"/>
          <w:szCs w:val="24"/>
          <w:lang w:val="en-GB"/>
        </w:rPr>
        <w:t xml:space="preserve"> with GIQLI of 98 (51-130</w:t>
      </w:r>
      <w:r w:rsidR="00B8389E" w:rsidRPr="006B242D">
        <w:rPr>
          <w:rFonts w:ascii="Book Antiqua" w:hAnsi="Book Antiqua"/>
          <w:sz w:val="24"/>
          <w:szCs w:val="24"/>
          <w:lang w:val="en-GB"/>
        </w:rPr>
        <w:t xml:space="preserve">; </w:t>
      </w:r>
      <w:r w:rsidR="00C6201E" w:rsidRPr="006B242D">
        <w:rPr>
          <w:rFonts w:ascii="Book Antiqua" w:hAnsi="Book Antiqua"/>
          <w:i/>
          <w:sz w:val="24"/>
          <w:szCs w:val="24"/>
          <w:lang w:val="en-GB"/>
        </w:rPr>
        <w:t>P</w:t>
      </w:r>
      <w:r w:rsidR="00C6201E" w:rsidRPr="006B242D">
        <w:rPr>
          <w:rFonts w:ascii="Book Antiqua" w:hAnsi="Book Antiqua"/>
          <w:sz w:val="24"/>
          <w:szCs w:val="24"/>
          <w:lang w:val="en-GB" w:eastAsia="zh-CN"/>
        </w:rPr>
        <w:t xml:space="preserve"> </w:t>
      </w:r>
      <w:r w:rsidR="006320B2" w:rsidRPr="006B242D">
        <w:rPr>
          <w:rFonts w:ascii="Book Antiqua" w:hAnsi="Book Antiqua"/>
          <w:sz w:val="24"/>
          <w:szCs w:val="24"/>
          <w:lang w:val="en-GB"/>
        </w:rPr>
        <w:t>=</w:t>
      </w:r>
      <w:r w:rsidR="00C6201E" w:rsidRPr="006B242D">
        <w:rPr>
          <w:rFonts w:ascii="Book Antiqua" w:hAnsi="Book Antiqua"/>
          <w:sz w:val="24"/>
          <w:szCs w:val="24"/>
          <w:lang w:val="en-GB" w:eastAsia="zh-CN"/>
        </w:rPr>
        <w:t xml:space="preserve"> </w:t>
      </w:r>
      <w:r w:rsidR="00C6201E" w:rsidRPr="006B242D">
        <w:rPr>
          <w:rFonts w:ascii="Book Antiqua" w:hAnsi="Book Antiqua"/>
          <w:sz w:val="24"/>
          <w:szCs w:val="24"/>
          <w:lang w:val="en-GB"/>
        </w:rPr>
        <w:t>0</w:t>
      </w:r>
      <w:r w:rsidR="00C6201E" w:rsidRPr="006B242D">
        <w:rPr>
          <w:rFonts w:ascii="Book Antiqua" w:hAnsi="Book Antiqua"/>
          <w:sz w:val="24"/>
          <w:szCs w:val="24"/>
          <w:lang w:val="en-GB" w:eastAsia="zh-CN"/>
        </w:rPr>
        <w:t>.</w:t>
      </w:r>
      <w:r w:rsidR="006320B2" w:rsidRPr="006B242D">
        <w:rPr>
          <w:rFonts w:ascii="Book Antiqua" w:hAnsi="Book Antiqua"/>
          <w:sz w:val="24"/>
          <w:szCs w:val="24"/>
          <w:lang w:val="en-GB"/>
        </w:rPr>
        <w:t>8279</w:t>
      </w:r>
      <w:r w:rsidR="00B8389E" w:rsidRPr="006B242D">
        <w:rPr>
          <w:rFonts w:ascii="Book Antiqua" w:hAnsi="Book Antiqua"/>
          <w:sz w:val="24"/>
          <w:szCs w:val="24"/>
          <w:lang w:val="en-GB"/>
        </w:rPr>
        <w:t xml:space="preserve">; Figure 3). Within group B </w:t>
      </w:r>
      <w:r w:rsidR="00C6201E" w:rsidRPr="006B242D">
        <w:rPr>
          <w:rFonts w:ascii="Book Antiqua" w:hAnsi="Book Antiqua"/>
          <w:sz w:val="24"/>
          <w:szCs w:val="24"/>
          <w:lang w:val="en-GB"/>
        </w:rPr>
        <w:t>quality of life</w:t>
      </w:r>
      <w:r w:rsidR="00B8389E" w:rsidRPr="006B242D">
        <w:rPr>
          <w:rFonts w:ascii="Book Antiqua" w:hAnsi="Book Antiqua"/>
          <w:sz w:val="24"/>
          <w:szCs w:val="24"/>
          <w:lang w:val="en-GB"/>
        </w:rPr>
        <w:t xml:space="preserve"> in those patients without somatoform tendency (SSI</w:t>
      </w:r>
      <w:r w:rsidR="00C6201E" w:rsidRPr="006B242D">
        <w:rPr>
          <w:rFonts w:ascii="Book Antiqua" w:hAnsi="Book Antiqua"/>
          <w:sz w:val="24"/>
          <w:szCs w:val="24"/>
          <w:lang w:val="en-GB" w:eastAsia="zh-CN"/>
        </w:rPr>
        <w:t xml:space="preserve"> </w:t>
      </w:r>
      <w:r w:rsidR="00B8389E" w:rsidRPr="006B242D">
        <w:rPr>
          <w:rFonts w:ascii="Book Antiqua" w:hAnsi="Book Antiqua"/>
          <w:sz w:val="24"/>
          <w:szCs w:val="24"/>
          <w:lang w:val="en-GB"/>
        </w:rPr>
        <w:t>&lt;</w:t>
      </w:r>
      <w:r w:rsidR="00C6201E" w:rsidRPr="006B242D">
        <w:rPr>
          <w:rFonts w:ascii="Book Antiqua" w:hAnsi="Book Antiqua"/>
          <w:sz w:val="24"/>
          <w:szCs w:val="24"/>
          <w:lang w:val="en-GB" w:eastAsia="zh-CN"/>
        </w:rPr>
        <w:t xml:space="preserve"> </w:t>
      </w:r>
      <w:r w:rsidR="00B8389E" w:rsidRPr="006B242D">
        <w:rPr>
          <w:rFonts w:ascii="Book Antiqua" w:hAnsi="Book Antiqua"/>
          <w:sz w:val="24"/>
          <w:szCs w:val="24"/>
          <w:lang w:val="en-GB"/>
        </w:rPr>
        <w:t>17) had an initial GIQLI of 1</w:t>
      </w:r>
      <w:r w:rsidR="00C6201E" w:rsidRPr="006B242D">
        <w:rPr>
          <w:rFonts w:ascii="Book Antiqua" w:hAnsi="Book Antiqua"/>
          <w:sz w:val="24"/>
          <w:szCs w:val="24"/>
          <w:lang w:val="en-GB"/>
        </w:rPr>
        <w:t>02, which was documented at 1 y</w:t>
      </w:r>
      <w:r w:rsidR="001B12CC" w:rsidRPr="006B242D">
        <w:rPr>
          <w:rFonts w:ascii="Book Antiqua" w:hAnsi="Book Antiqua"/>
          <w:sz w:val="24"/>
          <w:szCs w:val="24"/>
          <w:lang w:val="en-GB" w:eastAsia="zh-CN"/>
        </w:rPr>
        <w:t>ea</w:t>
      </w:r>
      <w:r w:rsidR="00B8389E" w:rsidRPr="006B242D">
        <w:rPr>
          <w:rFonts w:ascii="Book Antiqua" w:hAnsi="Book Antiqua"/>
          <w:sz w:val="24"/>
          <w:szCs w:val="24"/>
          <w:lang w:val="en-GB"/>
        </w:rPr>
        <w:t>r follow-up at 104 (not significant). Patients with a SSI &gt; 17 had an init</w:t>
      </w:r>
      <w:r w:rsidR="00C6201E" w:rsidRPr="006B242D">
        <w:rPr>
          <w:rFonts w:ascii="Book Antiqua" w:hAnsi="Book Antiqua"/>
          <w:sz w:val="24"/>
          <w:szCs w:val="24"/>
          <w:lang w:val="en-GB"/>
        </w:rPr>
        <w:t>ial GIQLI of 73, which was 1 y</w:t>
      </w:r>
      <w:r w:rsidR="001B12CC" w:rsidRPr="006B242D">
        <w:rPr>
          <w:rFonts w:ascii="Book Antiqua" w:hAnsi="Book Antiqua"/>
          <w:sz w:val="24"/>
          <w:szCs w:val="24"/>
          <w:lang w:val="en-GB" w:eastAsia="zh-CN"/>
        </w:rPr>
        <w:t>ea</w:t>
      </w:r>
      <w:r w:rsidR="00B8389E" w:rsidRPr="006B242D">
        <w:rPr>
          <w:rFonts w:ascii="Book Antiqua" w:hAnsi="Book Antiqua"/>
          <w:sz w:val="24"/>
          <w:szCs w:val="24"/>
          <w:lang w:val="en-GB"/>
        </w:rPr>
        <w:t>r later at 72. Thus medical therapy did not change the level of Quality of life in this cohort.</w:t>
      </w:r>
    </w:p>
    <w:p w:rsidR="0003129D" w:rsidRPr="006B242D" w:rsidRDefault="00F62933" w:rsidP="000B23E9">
      <w:pPr>
        <w:spacing w:line="360" w:lineRule="auto"/>
        <w:ind w:firstLineChars="100" w:firstLine="240"/>
        <w:jc w:val="both"/>
        <w:outlineLvl w:val="0"/>
        <w:rPr>
          <w:rFonts w:ascii="Book Antiqua" w:hAnsi="Book Antiqua"/>
          <w:sz w:val="24"/>
          <w:szCs w:val="24"/>
          <w:lang w:val="en-GB" w:eastAsia="zh-CN"/>
        </w:rPr>
      </w:pPr>
      <w:r w:rsidRPr="006B242D">
        <w:rPr>
          <w:rFonts w:ascii="Book Antiqua" w:hAnsi="Book Antiqua"/>
          <w:sz w:val="24"/>
          <w:szCs w:val="24"/>
          <w:lang w:val="en-GB"/>
        </w:rPr>
        <w:t xml:space="preserve">Figure </w:t>
      </w:r>
      <w:r w:rsidR="00314A57" w:rsidRPr="006B242D">
        <w:rPr>
          <w:rFonts w:ascii="Book Antiqua" w:hAnsi="Book Antiqua"/>
          <w:sz w:val="24"/>
          <w:szCs w:val="24"/>
          <w:lang w:val="en-GB"/>
        </w:rPr>
        <w:t>4</w:t>
      </w:r>
      <w:r w:rsidRPr="006B242D">
        <w:rPr>
          <w:rFonts w:ascii="Book Antiqua" w:hAnsi="Book Antiqua"/>
          <w:sz w:val="24"/>
          <w:szCs w:val="24"/>
          <w:lang w:val="en-GB"/>
        </w:rPr>
        <w:t xml:space="preserve"> demonst</w:t>
      </w:r>
      <w:r w:rsidR="00314A57" w:rsidRPr="006B242D">
        <w:rPr>
          <w:rFonts w:ascii="Book Antiqua" w:hAnsi="Book Antiqua"/>
          <w:sz w:val="24"/>
          <w:szCs w:val="24"/>
          <w:lang w:val="en-GB"/>
        </w:rPr>
        <w:t>r</w:t>
      </w:r>
      <w:r w:rsidRPr="006B242D">
        <w:rPr>
          <w:rFonts w:ascii="Book Antiqua" w:hAnsi="Book Antiqua"/>
          <w:sz w:val="24"/>
          <w:szCs w:val="24"/>
          <w:lang w:val="en-GB"/>
        </w:rPr>
        <w:t xml:space="preserve">ates the main finding of the study, comparing the pre- and postoperative level of the GIQLI, related to the presence of a somatoform disorder. In both groups, patients with GERD alone and patients with GERD and </w:t>
      </w:r>
      <w:r w:rsidR="00314A57" w:rsidRPr="006B242D">
        <w:rPr>
          <w:rFonts w:ascii="Book Antiqua" w:hAnsi="Book Antiqua"/>
          <w:sz w:val="24"/>
          <w:szCs w:val="24"/>
          <w:lang w:val="en-GB"/>
        </w:rPr>
        <w:t xml:space="preserve">combined </w:t>
      </w:r>
      <w:r w:rsidRPr="006B242D">
        <w:rPr>
          <w:rFonts w:ascii="Book Antiqua" w:hAnsi="Book Antiqua"/>
          <w:sz w:val="24"/>
          <w:szCs w:val="24"/>
          <w:lang w:val="en-GB"/>
        </w:rPr>
        <w:t>somatoform disorder</w:t>
      </w:r>
      <w:r w:rsidR="00314A57" w:rsidRPr="006B242D">
        <w:rPr>
          <w:rFonts w:ascii="Book Antiqua" w:hAnsi="Book Antiqua"/>
          <w:sz w:val="24"/>
          <w:szCs w:val="24"/>
          <w:lang w:val="en-GB"/>
        </w:rPr>
        <w:t>,</w:t>
      </w:r>
      <w:r w:rsidRPr="006B242D">
        <w:rPr>
          <w:rFonts w:ascii="Book Antiqua" w:hAnsi="Book Antiqua"/>
          <w:sz w:val="24"/>
          <w:szCs w:val="24"/>
          <w:lang w:val="en-GB"/>
        </w:rPr>
        <w:t xml:space="preserve"> the quality of life could be significantly increased by the laparo</w:t>
      </w:r>
      <w:r w:rsidR="00CD7724" w:rsidRPr="006B242D">
        <w:rPr>
          <w:rFonts w:ascii="Book Antiqua" w:hAnsi="Book Antiqua"/>
          <w:sz w:val="24"/>
          <w:szCs w:val="24"/>
          <w:lang w:val="en-GB"/>
        </w:rPr>
        <w:t>scopic antireflux procedure. In</w:t>
      </w:r>
      <w:r w:rsidRPr="006B242D">
        <w:rPr>
          <w:rFonts w:ascii="Book Antiqua" w:hAnsi="Book Antiqua"/>
          <w:sz w:val="24"/>
          <w:szCs w:val="24"/>
          <w:lang w:val="en-GB"/>
        </w:rPr>
        <w:t xml:space="preserve"> </w:t>
      </w:r>
      <w:r w:rsidR="006320B2" w:rsidRPr="006B242D">
        <w:rPr>
          <w:rFonts w:ascii="Book Antiqua" w:hAnsi="Book Antiqua"/>
          <w:sz w:val="24"/>
          <w:szCs w:val="24"/>
          <w:lang w:val="en-GB"/>
        </w:rPr>
        <w:t xml:space="preserve">the operated </w:t>
      </w:r>
      <w:r w:rsidRPr="006B242D">
        <w:rPr>
          <w:rFonts w:ascii="Book Antiqua" w:hAnsi="Book Antiqua"/>
          <w:sz w:val="24"/>
          <w:szCs w:val="24"/>
          <w:lang w:val="en-GB"/>
        </w:rPr>
        <w:t>patient</w:t>
      </w:r>
      <w:r w:rsidR="00314A57" w:rsidRPr="006B242D">
        <w:rPr>
          <w:rFonts w:ascii="Book Antiqua" w:hAnsi="Book Antiqua"/>
          <w:sz w:val="24"/>
          <w:szCs w:val="24"/>
          <w:lang w:val="en-GB"/>
        </w:rPr>
        <w:t>s</w:t>
      </w:r>
      <w:r w:rsidRPr="006B242D">
        <w:rPr>
          <w:rFonts w:ascii="Book Antiqua" w:hAnsi="Book Antiqua"/>
          <w:sz w:val="24"/>
          <w:szCs w:val="24"/>
          <w:lang w:val="en-GB"/>
        </w:rPr>
        <w:t xml:space="preserve"> </w:t>
      </w:r>
      <w:r w:rsidR="00314A57" w:rsidRPr="006B242D">
        <w:rPr>
          <w:rFonts w:ascii="Book Antiqua" w:hAnsi="Book Antiqua"/>
          <w:sz w:val="24"/>
          <w:szCs w:val="24"/>
          <w:lang w:val="en-GB"/>
        </w:rPr>
        <w:t xml:space="preserve">with </w:t>
      </w:r>
      <w:r w:rsidRPr="006B242D">
        <w:rPr>
          <w:rFonts w:ascii="Book Antiqua" w:hAnsi="Book Antiqua"/>
          <w:sz w:val="24"/>
          <w:szCs w:val="24"/>
          <w:lang w:val="en-GB"/>
        </w:rPr>
        <w:t>GERD</w:t>
      </w:r>
      <w:r w:rsidR="008B4C8B" w:rsidRPr="006B242D">
        <w:rPr>
          <w:rFonts w:ascii="Book Antiqua" w:hAnsi="Book Antiqua"/>
          <w:sz w:val="24"/>
          <w:szCs w:val="24"/>
          <w:lang w:val="en-GB"/>
        </w:rPr>
        <w:t xml:space="preserve"> alone,</w:t>
      </w:r>
      <w:r w:rsidR="00314A57" w:rsidRPr="006B242D">
        <w:rPr>
          <w:rFonts w:ascii="Book Antiqua" w:hAnsi="Book Antiqua"/>
          <w:sz w:val="24"/>
          <w:szCs w:val="24"/>
          <w:lang w:val="en-GB"/>
        </w:rPr>
        <w:t xml:space="preserve"> Quality of Life could be normalized from preoper</w:t>
      </w:r>
      <w:r w:rsidR="006320B2" w:rsidRPr="006B242D">
        <w:rPr>
          <w:rFonts w:ascii="Book Antiqua" w:hAnsi="Book Antiqua"/>
          <w:sz w:val="24"/>
          <w:szCs w:val="24"/>
          <w:lang w:val="en-GB"/>
        </w:rPr>
        <w:t>ative reduced values of GIQLI 102</w:t>
      </w:r>
      <w:r w:rsidR="0047189A" w:rsidRPr="006B242D">
        <w:rPr>
          <w:rFonts w:ascii="Book Antiqua" w:hAnsi="Book Antiqua"/>
          <w:sz w:val="24"/>
          <w:szCs w:val="24"/>
          <w:lang w:val="en-GB"/>
        </w:rPr>
        <w:t xml:space="preserve"> (47-140)</w:t>
      </w:r>
      <w:r w:rsidR="008B4C8B" w:rsidRPr="006B242D">
        <w:rPr>
          <w:rFonts w:ascii="Book Antiqua" w:hAnsi="Book Antiqua"/>
          <w:sz w:val="24"/>
          <w:szCs w:val="24"/>
          <w:lang w:val="en-GB"/>
        </w:rPr>
        <w:t xml:space="preserve"> to postoperative</w:t>
      </w:r>
      <w:r w:rsidR="00314A57" w:rsidRPr="006B242D">
        <w:rPr>
          <w:rFonts w:ascii="Book Antiqua" w:hAnsi="Book Antiqua"/>
          <w:sz w:val="24"/>
          <w:szCs w:val="24"/>
          <w:lang w:val="en-GB"/>
        </w:rPr>
        <w:t xml:space="preserve"> values of 117 (44-144). In patients with GERD and </w:t>
      </w:r>
      <w:r w:rsidR="006320B2" w:rsidRPr="006B242D">
        <w:rPr>
          <w:rFonts w:ascii="Book Antiqua" w:hAnsi="Book Antiqua"/>
          <w:sz w:val="24"/>
          <w:szCs w:val="24"/>
          <w:lang w:val="en-GB"/>
        </w:rPr>
        <w:t xml:space="preserve">combined </w:t>
      </w:r>
      <w:r w:rsidR="00314A57" w:rsidRPr="006B242D">
        <w:rPr>
          <w:rFonts w:ascii="Book Antiqua" w:hAnsi="Book Antiqua"/>
          <w:sz w:val="24"/>
          <w:szCs w:val="24"/>
          <w:lang w:val="en-GB"/>
        </w:rPr>
        <w:t xml:space="preserve">somatoform disorders, the GIQLI was improved from preoperative </w:t>
      </w:r>
      <w:r w:rsidR="0047189A" w:rsidRPr="006B242D">
        <w:rPr>
          <w:rFonts w:ascii="Book Antiqua" w:hAnsi="Book Antiqua"/>
          <w:sz w:val="24"/>
          <w:szCs w:val="24"/>
          <w:lang w:val="en-GB"/>
        </w:rPr>
        <w:t xml:space="preserve">GIQLI </w:t>
      </w:r>
      <w:r w:rsidR="0060180F" w:rsidRPr="006B242D">
        <w:rPr>
          <w:rFonts w:ascii="Book Antiqua" w:hAnsi="Book Antiqua"/>
          <w:sz w:val="24"/>
          <w:szCs w:val="24"/>
          <w:lang w:val="en-GB"/>
        </w:rPr>
        <w:t>7</w:t>
      </w:r>
      <w:r w:rsidR="0047189A" w:rsidRPr="006B242D">
        <w:rPr>
          <w:rFonts w:ascii="Book Antiqua" w:hAnsi="Book Antiqua"/>
          <w:sz w:val="24"/>
          <w:szCs w:val="24"/>
          <w:lang w:val="en-GB"/>
        </w:rPr>
        <w:t>5</w:t>
      </w:r>
      <w:r w:rsidR="0060180F" w:rsidRPr="006B242D">
        <w:rPr>
          <w:rFonts w:ascii="Book Antiqua" w:hAnsi="Book Antiqua"/>
          <w:sz w:val="24"/>
          <w:szCs w:val="24"/>
          <w:lang w:val="en-GB"/>
        </w:rPr>
        <w:t xml:space="preserve"> (47-111)</w:t>
      </w:r>
      <w:r w:rsidR="0047189A" w:rsidRPr="006B242D">
        <w:rPr>
          <w:rFonts w:ascii="Book Antiqua" w:hAnsi="Book Antiqua"/>
          <w:sz w:val="24"/>
          <w:szCs w:val="24"/>
          <w:lang w:val="en-GB"/>
        </w:rPr>
        <w:t xml:space="preserve"> to postoperative 95 (44-122) (</w:t>
      </w:r>
      <w:r w:rsidR="00C6201E" w:rsidRPr="006B242D">
        <w:rPr>
          <w:rFonts w:ascii="Book Antiqua" w:hAnsi="Book Antiqua"/>
          <w:i/>
          <w:sz w:val="24"/>
          <w:szCs w:val="24"/>
          <w:lang w:val="en-GB"/>
        </w:rPr>
        <w:t>P</w:t>
      </w:r>
      <w:r w:rsidR="008B4C8B" w:rsidRPr="006B242D">
        <w:rPr>
          <w:rFonts w:ascii="Book Antiqua" w:hAnsi="Book Antiqua"/>
          <w:sz w:val="24"/>
          <w:szCs w:val="24"/>
          <w:lang w:val="en-GB"/>
        </w:rPr>
        <w:t xml:space="preserve"> </w:t>
      </w:r>
      <w:r w:rsidR="00C6201E" w:rsidRPr="006B242D">
        <w:rPr>
          <w:rFonts w:ascii="Book Antiqua" w:hAnsi="Book Antiqua"/>
          <w:sz w:val="24"/>
          <w:szCs w:val="24"/>
          <w:lang w:val="en-GB"/>
        </w:rPr>
        <w:t>&lt; 0</w:t>
      </w:r>
      <w:r w:rsidR="00C6201E" w:rsidRPr="006B242D">
        <w:rPr>
          <w:rFonts w:ascii="Book Antiqua" w:hAnsi="Book Antiqua"/>
          <w:sz w:val="24"/>
          <w:szCs w:val="24"/>
          <w:lang w:val="en-GB" w:eastAsia="zh-CN"/>
        </w:rPr>
        <w:t>.</w:t>
      </w:r>
      <w:r w:rsidR="0047189A" w:rsidRPr="006B242D">
        <w:rPr>
          <w:rFonts w:ascii="Book Antiqua" w:hAnsi="Book Antiqua"/>
          <w:sz w:val="24"/>
          <w:szCs w:val="24"/>
          <w:lang w:val="en-GB"/>
        </w:rPr>
        <w:t>0043).</w:t>
      </w:r>
    </w:p>
    <w:p w:rsidR="00A35E96" w:rsidRPr="006B242D" w:rsidRDefault="00A35E96" w:rsidP="000B23E9">
      <w:pPr>
        <w:spacing w:line="360" w:lineRule="auto"/>
        <w:ind w:firstLineChars="100" w:firstLine="240"/>
        <w:jc w:val="both"/>
        <w:outlineLvl w:val="0"/>
        <w:rPr>
          <w:rFonts w:ascii="Book Antiqua" w:hAnsi="Book Antiqua"/>
          <w:sz w:val="24"/>
          <w:szCs w:val="24"/>
          <w:lang w:val="en-GB"/>
        </w:rPr>
      </w:pPr>
      <w:r w:rsidRPr="006B242D">
        <w:rPr>
          <w:rFonts w:ascii="Book Antiqua" w:hAnsi="Book Antiqua"/>
          <w:sz w:val="24"/>
          <w:szCs w:val="24"/>
          <w:lang w:val="en-GB"/>
        </w:rPr>
        <w:t xml:space="preserve">In summary, </w:t>
      </w:r>
      <w:r w:rsidR="00C6201E" w:rsidRPr="006B242D">
        <w:rPr>
          <w:rFonts w:ascii="Book Antiqua" w:hAnsi="Book Antiqua"/>
          <w:sz w:val="24"/>
          <w:szCs w:val="24"/>
          <w:lang w:val="en-GB"/>
        </w:rPr>
        <w:t>quality of life</w:t>
      </w:r>
      <w:r w:rsidR="0003129D" w:rsidRPr="006B242D">
        <w:rPr>
          <w:rFonts w:ascii="Book Antiqua" w:hAnsi="Book Antiqua"/>
          <w:sz w:val="24"/>
          <w:szCs w:val="24"/>
          <w:lang w:val="en-GB"/>
        </w:rPr>
        <w:t xml:space="preserve"> in patients with GERD as selected for surgery using the criteria as published in the guidelines is severely reduced and can</w:t>
      </w:r>
      <w:r w:rsidR="00BD4056" w:rsidRPr="006B242D">
        <w:rPr>
          <w:rFonts w:ascii="Book Antiqua" w:hAnsi="Book Antiqua"/>
          <w:sz w:val="24"/>
          <w:szCs w:val="24"/>
          <w:lang w:val="en-GB"/>
        </w:rPr>
        <w:t xml:space="preserve"> be elevated by laparoscopic fu</w:t>
      </w:r>
      <w:r w:rsidR="0003129D" w:rsidRPr="006B242D">
        <w:rPr>
          <w:rFonts w:ascii="Book Antiqua" w:hAnsi="Book Antiqua"/>
          <w:sz w:val="24"/>
          <w:szCs w:val="24"/>
          <w:lang w:val="en-GB"/>
        </w:rPr>
        <w:t xml:space="preserve">ndoplication to normal levels. Patients with GERD and associated somatoform disorders have significantly worse levels of </w:t>
      </w:r>
      <w:r w:rsidR="000B23E9" w:rsidRPr="006B242D">
        <w:rPr>
          <w:rFonts w:ascii="Book Antiqua" w:hAnsi="Book Antiqua"/>
          <w:sz w:val="24"/>
          <w:szCs w:val="24"/>
          <w:lang w:val="en-GB"/>
        </w:rPr>
        <w:t>quality of life</w:t>
      </w:r>
      <w:r w:rsidR="0003129D" w:rsidRPr="006B242D">
        <w:rPr>
          <w:rFonts w:ascii="Book Antiqua" w:hAnsi="Book Antiqua"/>
          <w:sz w:val="24"/>
          <w:szCs w:val="24"/>
          <w:lang w:val="en-GB"/>
        </w:rPr>
        <w:t>. The latter patients can also benefit from laparoscopic fundopli</w:t>
      </w:r>
      <w:r w:rsidR="00BD4056" w:rsidRPr="006B242D">
        <w:rPr>
          <w:rFonts w:ascii="Book Antiqua" w:hAnsi="Book Antiqua"/>
          <w:sz w:val="24"/>
          <w:szCs w:val="24"/>
          <w:lang w:val="en-GB"/>
        </w:rPr>
        <w:t>cation, however they will not re</w:t>
      </w:r>
      <w:r w:rsidR="0003129D" w:rsidRPr="006B242D">
        <w:rPr>
          <w:rFonts w:ascii="Book Antiqua" w:hAnsi="Book Antiqua"/>
          <w:sz w:val="24"/>
          <w:szCs w:val="24"/>
          <w:lang w:val="en-GB"/>
        </w:rPr>
        <w:t>ach a normal level due to the large amount of present symptoms, which can not all be influenced by antireflux surgery.</w:t>
      </w:r>
    </w:p>
    <w:p w:rsidR="0003140C" w:rsidRPr="006B242D" w:rsidRDefault="0003140C" w:rsidP="000B23E9">
      <w:pPr>
        <w:spacing w:line="360" w:lineRule="auto"/>
        <w:jc w:val="both"/>
        <w:outlineLvl w:val="0"/>
        <w:rPr>
          <w:rFonts w:ascii="Book Antiqua" w:hAnsi="Book Antiqua"/>
          <w:b/>
          <w:sz w:val="24"/>
          <w:szCs w:val="24"/>
          <w:lang w:val="en-GB" w:eastAsia="zh-CN"/>
        </w:rPr>
      </w:pPr>
    </w:p>
    <w:p w:rsidR="00BD4056" w:rsidRPr="006B242D" w:rsidRDefault="000B23E9" w:rsidP="000B23E9">
      <w:pPr>
        <w:spacing w:line="360" w:lineRule="auto"/>
        <w:jc w:val="both"/>
        <w:outlineLvl w:val="0"/>
        <w:rPr>
          <w:rFonts w:ascii="Book Antiqua" w:hAnsi="Book Antiqua" w:cs="Arial"/>
          <w:b/>
          <w:sz w:val="24"/>
          <w:szCs w:val="24"/>
          <w:lang w:val="en-GB" w:eastAsia="zh-CN"/>
        </w:rPr>
      </w:pPr>
      <w:r w:rsidRPr="006B242D">
        <w:rPr>
          <w:rFonts w:ascii="Book Antiqua" w:hAnsi="Book Antiqua" w:cs="Arial"/>
          <w:b/>
          <w:sz w:val="24"/>
          <w:szCs w:val="24"/>
          <w:lang w:val="en-GB"/>
        </w:rPr>
        <w:t>DISCUSSION</w:t>
      </w:r>
    </w:p>
    <w:p w:rsidR="00417F07" w:rsidRPr="006B242D" w:rsidRDefault="00BD60BA" w:rsidP="000B23E9">
      <w:pPr>
        <w:spacing w:line="360" w:lineRule="auto"/>
        <w:jc w:val="both"/>
        <w:rPr>
          <w:rFonts w:ascii="Book Antiqua" w:hAnsi="Book Antiqua" w:cs="Arial"/>
          <w:sz w:val="24"/>
          <w:szCs w:val="24"/>
          <w:lang w:val="en-US" w:eastAsia="zh-CN"/>
        </w:rPr>
      </w:pPr>
      <w:r w:rsidRPr="006B242D">
        <w:rPr>
          <w:rFonts w:ascii="Book Antiqua" w:hAnsi="Book Antiqua" w:cs="Arial"/>
          <w:sz w:val="24"/>
          <w:szCs w:val="24"/>
          <w:lang w:val="en-US"/>
        </w:rPr>
        <w:t>It has been shown that the classic clinical presen</w:t>
      </w:r>
      <w:r w:rsidR="000B23E9" w:rsidRPr="006B242D">
        <w:rPr>
          <w:rFonts w:ascii="Book Antiqua" w:hAnsi="Book Antiqua" w:cs="Arial"/>
          <w:sz w:val="24"/>
          <w:szCs w:val="24"/>
          <w:lang w:val="en-US"/>
        </w:rPr>
        <w:t xml:space="preserve">tation of the </w:t>
      </w:r>
      <w:r w:rsidRPr="006B242D">
        <w:rPr>
          <w:rFonts w:ascii="Book Antiqua" w:hAnsi="Book Antiqua" w:cs="Arial"/>
          <w:sz w:val="24"/>
          <w:szCs w:val="24"/>
          <w:lang w:val="en-US"/>
        </w:rPr>
        <w:t>GERD</w:t>
      </w:r>
      <w:r w:rsidR="000B23E9" w:rsidRPr="006B242D">
        <w:rPr>
          <w:rFonts w:ascii="Book Antiqua" w:hAnsi="Book Antiqua" w:cs="Arial"/>
          <w:sz w:val="24"/>
          <w:szCs w:val="24"/>
          <w:lang w:val="en-US" w:eastAsia="zh-CN"/>
        </w:rPr>
        <w:t xml:space="preserve"> </w:t>
      </w:r>
      <w:r w:rsidRPr="006B242D">
        <w:rPr>
          <w:rFonts w:ascii="Book Antiqua" w:hAnsi="Book Antiqua" w:cs="Arial"/>
          <w:sz w:val="24"/>
          <w:szCs w:val="24"/>
          <w:lang w:val="en-US"/>
        </w:rPr>
        <w:t xml:space="preserve">has a remarkable symptom overlap with other </w:t>
      </w:r>
      <w:r w:rsidR="00BD2917" w:rsidRPr="006B242D">
        <w:rPr>
          <w:rFonts w:ascii="Book Antiqua" w:hAnsi="Book Antiqua" w:cs="Arial"/>
          <w:sz w:val="24"/>
          <w:szCs w:val="24"/>
          <w:lang w:val="en-US"/>
        </w:rPr>
        <w:t xml:space="preserve">often functional </w:t>
      </w:r>
      <w:r w:rsidRPr="006B242D">
        <w:rPr>
          <w:rFonts w:ascii="Book Antiqua" w:hAnsi="Book Antiqua" w:cs="Arial"/>
          <w:sz w:val="24"/>
          <w:szCs w:val="24"/>
          <w:lang w:val="en-US"/>
        </w:rPr>
        <w:t>disorder</w:t>
      </w:r>
      <w:r w:rsidR="00BD2917" w:rsidRPr="006B242D">
        <w:rPr>
          <w:rFonts w:ascii="Book Antiqua" w:hAnsi="Book Antiqua" w:cs="Arial"/>
          <w:sz w:val="24"/>
          <w:szCs w:val="24"/>
          <w:lang w:val="en-US"/>
        </w:rPr>
        <w:t>s such as</w:t>
      </w:r>
      <w:r w:rsidRPr="006B242D">
        <w:rPr>
          <w:rFonts w:ascii="Book Antiqua" w:hAnsi="Book Antiqua" w:cs="Arial"/>
          <w:sz w:val="24"/>
          <w:szCs w:val="24"/>
          <w:lang w:val="en-US"/>
        </w:rPr>
        <w:t xml:space="preserve"> heartburn, somatization and/or hypertensive esophagus and others</w:t>
      </w:r>
      <w:r w:rsidR="000B23E9" w:rsidRPr="006B242D">
        <w:rPr>
          <w:rFonts w:ascii="Book Antiqua" w:hAnsi="Book Antiqua" w:cs="Arial"/>
          <w:sz w:val="24"/>
          <w:szCs w:val="24"/>
          <w:vertAlign w:val="superscript"/>
          <w:lang w:val="en-US" w:eastAsia="zh-CN"/>
        </w:rPr>
        <w:t>[3-10]</w:t>
      </w:r>
      <w:r w:rsidRPr="006B242D">
        <w:rPr>
          <w:rFonts w:ascii="Book Antiqua" w:hAnsi="Book Antiqua" w:cs="Arial"/>
          <w:sz w:val="24"/>
          <w:szCs w:val="24"/>
          <w:lang w:val="en-US"/>
        </w:rPr>
        <w:t xml:space="preserve">. Several instruments have been used in the past to </w:t>
      </w:r>
      <w:r w:rsidR="005F13F0" w:rsidRPr="006B242D">
        <w:rPr>
          <w:rFonts w:ascii="Book Antiqua" w:hAnsi="Book Antiqua" w:cs="Arial"/>
          <w:sz w:val="24"/>
          <w:szCs w:val="24"/>
          <w:lang w:val="en-US"/>
        </w:rPr>
        <w:t>ass</w:t>
      </w:r>
      <w:r w:rsidRPr="006B242D">
        <w:rPr>
          <w:rFonts w:ascii="Book Antiqua" w:hAnsi="Book Antiqua" w:cs="Arial"/>
          <w:sz w:val="24"/>
          <w:szCs w:val="24"/>
          <w:lang w:val="en-US"/>
        </w:rPr>
        <w:t xml:space="preserve">ess the presence of such conditions in order to verify </w:t>
      </w:r>
      <w:r w:rsidR="0003129D" w:rsidRPr="006B242D">
        <w:rPr>
          <w:rFonts w:ascii="Book Antiqua" w:hAnsi="Book Antiqua" w:cs="Arial"/>
          <w:sz w:val="24"/>
          <w:szCs w:val="24"/>
          <w:lang w:val="en-US"/>
        </w:rPr>
        <w:t>the precise d</w:t>
      </w:r>
      <w:r w:rsidRPr="006B242D">
        <w:rPr>
          <w:rFonts w:ascii="Book Antiqua" w:hAnsi="Book Antiqua" w:cs="Arial"/>
          <w:sz w:val="24"/>
          <w:szCs w:val="24"/>
          <w:lang w:val="en-US"/>
        </w:rPr>
        <w:t>iagnosis</w:t>
      </w:r>
      <w:r w:rsidR="0003129D" w:rsidRPr="006B242D">
        <w:rPr>
          <w:rFonts w:ascii="Book Antiqua" w:hAnsi="Book Antiqua" w:cs="Arial"/>
          <w:sz w:val="24"/>
          <w:szCs w:val="24"/>
          <w:lang w:val="en-US"/>
        </w:rPr>
        <w:t xml:space="preserve"> and document the combination of GERD with somatoform tendencies</w:t>
      </w:r>
      <w:r w:rsidR="000B23E9" w:rsidRPr="006B242D">
        <w:rPr>
          <w:rFonts w:ascii="Book Antiqua" w:hAnsi="Book Antiqua" w:cs="Arial"/>
          <w:sz w:val="24"/>
          <w:szCs w:val="24"/>
          <w:vertAlign w:val="superscript"/>
          <w:lang w:val="en-US" w:eastAsia="zh-CN"/>
        </w:rPr>
        <w:t>[4-10,13-15]</w:t>
      </w:r>
      <w:r w:rsidR="000B23E9" w:rsidRPr="006B242D">
        <w:rPr>
          <w:rFonts w:ascii="Book Antiqua" w:hAnsi="Book Antiqua" w:cs="Arial"/>
          <w:sz w:val="24"/>
          <w:szCs w:val="24"/>
          <w:lang w:val="en-US" w:eastAsia="zh-CN"/>
        </w:rPr>
        <w:t>.</w:t>
      </w:r>
      <w:r w:rsidR="00CE5F26" w:rsidRPr="006B242D">
        <w:rPr>
          <w:rFonts w:ascii="Book Antiqua" w:hAnsi="Book Antiqua" w:cs="Arial"/>
          <w:sz w:val="24"/>
          <w:szCs w:val="24"/>
          <w:lang w:val="en-US"/>
        </w:rPr>
        <w:t xml:space="preserve"> </w:t>
      </w:r>
      <w:r w:rsidRPr="006B242D">
        <w:rPr>
          <w:rFonts w:ascii="Book Antiqua" w:hAnsi="Book Antiqua" w:cs="Arial"/>
          <w:sz w:val="24"/>
          <w:szCs w:val="24"/>
          <w:lang w:val="en-US"/>
        </w:rPr>
        <w:t>Recently the relationship between GERD and somatoform disorders</w:t>
      </w:r>
      <w:r w:rsidR="00BD2917" w:rsidRPr="006B242D">
        <w:rPr>
          <w:rFonts w:ascii="Book Antiqua" w:hAnsi="Book Antiqua" w:cs="Arial"/>
          <w:sz w:val="24"/>
          <w:szCs w:val="24"/>
          <w:lang w:val="en-US"/>
        </w:rPr>
        <w:t xml:space="preserve"> was</w:t>
      </w:r>
      <w:r w:rsidR="00CE5F26" w:rsidRPr="006B242D">
        <w:rPr>
          <w:rFonts w:ascii="Book Antiqua" w:hAnsi="Book Antiqua" w:cs="Arial"/>
          <w:sz w:val="24"/>
          <w:szCs w:val="24"/>
          <w:lang w:val="en-US"/>
        </w:rPr>
        <w:t xml:space="preserve"> published demonstrating a</w:t>
      </w:r>
      <w:r w:rsidRPr="006B242D">
        <w:rPr>
          <w:rFonts w:ascii="Book Antiqua" w:hAnsi="Book Antiqua" w:cs="Arial"/>
          <w:sz w:val="24"/>
          <w:szCs w:val="24"/>
          <w:lang w:val="en-US"/>
        </w:rPr>
        <w:t xml:space="preserve"> 20% incidence of combine</w:t>
      </w:r>
      <w:r w:rsidR="00653ED5" w:rsidRPr="006B242D">
        <w:rPr>
          <w:rFonts w:ascii="Book Antiqua" w:hAnsi="Book Antiqua" w:cs="Arial"/>
          <w:sz w:val="24"/>
          <w:szCs w:val="24"/>
          <w:lang w:val="en-US"/>
        </w:rPr>
        <w:t>d</w:t>
      </w:r>
      <w:r w:rsidRPr="006B242D">
        <w:rPr>
          <w:rFonts w:ascii="Book Antiqua" w:hAnsi="Book Antiqua" w:cs="Arial"/>
          <w:sz w:val="24"/>
          <w:szCs w:val="24"/>
          <w:lang w:val="en-US"/>
        </w:rPr>
        <w:t xml:space="preserve"> somatoform tendencies in a population of GERD patients with</w:t>
      </w:r>
      <w:r w:rsidR="00653ED5" w:rsidRPr="006B242D">
        <w:rPr>
          <w:rFonts w:ascii="Book Antiqua" w:hAnsi="Book Antiqua" w:cs="Arial"/>
          <w:sz w:val="24"/>
          <w:szCs w:val="24"/>
          <w:lang w:val="en-US"/>
        </w:rPr>
        <w:t xml:space="preserve"> more than 17 </w:t>
      </w:r>
      <w:r w:rsidRPr="006B242D">
        <w:rPr>
          <w:rFonts w:ascii="Book Antiqua" w:hAnsi="Book Antiqua" w:cs="Arial"/>
          <w:sz w:val="24"/>
          <w:szCs w:val="24"/>
          <w:lang w:val="en-US"/>
        </w:rPr>
        <w:t>symptoms</w:t>
      </w:r>
      <w:r w:rsidR="00653ED5" w:rsidRPr="006B242D">
        <w:rPr>
          <w:rFonts w:ascii="Book Antiqua" w:hAnsi="Book Antiqua" w:cs="Arial"/>
          <w:sz w:val="24"/>
          <w:szCs w:val="24"/>
          <w:lang w:val="en-US"/>
        </w:rPr>
        <w:t xml:space="preserve"> present</w:t>
      </w:r>
      <w:r w:rsidR="000B23E9" w:rsidRPr="006B242D">
        <w:rPr>
          <w:rFonts w:ascii="Book Antiqua" w:hAnsi="Book Antiqua" w:cs="Arial"/>
          <w:sz w:val="24"/>
          <w:szCs w:val="24"/>
          <w:vertAlign w:val="superscript"/>
          <w:lang w:val="en-US" w:eastAsia="zh-CN"/>
        </w:rPr>
        <w:t>[10]</w:t>
      </w:r>
      <w:r w:rsidR="000B23E9" w:rsidRPr="006B242D">
        <w:rPr>
          <w:rFonts w:ascii="Book Antiqua" w:hAnsi="Book Antiqua" w:cs="Arial"/>
          <w:sz w:val="24"/>
          <w:szCs w:val="24"/>
          <w:lang w:val="en-US" w:eastAsia="zh-CN"/>
        </w:rPr>
        <w:t>.</w:t>
      </w:r>
      <w:r w:rsidR="00417F07" w:rsidRPr="006B242D">
        <w:rPr>
          <w:rFonts w:ascii="Book Antiqua" w:hAnsi="Book Antiqua" w:cs="Arial"/>
          <w:sz w:val="24"/>
          <w:szCs w:val="24"/>
          <w:lang w:val="en-US"/>
        </w:rPr>
        <w:t xml:space="preserve"> </w:t>
      </w:r>
      <w:r w:rsidRPr="006B242D">
        <w:rPr>
          <w:rFonts w:ascii="Book Antiqua" w:hAnsi="Book Antiqua" w:cs="Arial"/>
          <w:sz w:val="24"/>
          <w:szCs w:val="24"/>
          <w:lang w:val="en-US"/>
        </w:rPr>
        <w:t>This confirms early reports of similar involvement of patients with both conditions</w:t>
      </w:r>
      <w:r w:rsidR="000B23E9" w:rsidRPr="006B242D">
        <w:rPr>
          <w:rFonts w:ascii="Book Antiqua" w:hAnsi="Book Antiqua" w:cs="Arial"/>
          <w:sz w:val="24"/>
          <w:szCs w:val="24"/>
          <w:vertAlign w:val="superscript"/>
          <w:lang w:val="en-US" w:eastAsia="zh-CN"/>
        </w:rPr>
        <w:t>[16]</w:t>
      </w:r>
      <w:r w:rsidRPr="006B242D">
        <w:rPr>
          <w:rFonts w:ascii="Book Antiqua" w:hAnsi="Book Antiqua" w:cs="Arial"/>
          <w:sz w:val="24"/>
          <w:szCs w:val="24"/>
          <w:lang w:val="en-US"/>
        </w:rPr>
        <w:t xml:space="preserve">. </w:t>
      </w:r>
      <w:r w:rsidR="00CE5F26" w:rsidRPr="006B242D">
        <w:rPr>
          <w:rFonts w:ascii="Book Antiqua" w:hAnsi="Book Antiqua" w:cs="Arial"/>
          <w:sz w:val="24"/>
          <w:szCs w:val="24"/>
          <w:lang w:val="en-US"/>
        </w:rPr>
        <w:t>Two questions emerge</w:t>
      </w:r>
      <w:r w:rsidR="00794DA7" w:rsidRPr="006B242D">
        <w:rPr>
          <w:rFonts w:ascii="Book Antiqua" w:hAnsi="Book Antiqua" w:cs="Arial"/>
          <w:sz w:val="24"/>
          <w:szCs w:val="24"/>
          <w:lang w:val="en-US"/>
        </w:rPr>
        <w:t xml:space="preserve"> whether a patient with somatoform disorder can be detected within a population of GERD-patients and second</w:t>
      </w:r>
      <w:r w:rsidR="00CE5F26" w:rsidRPr="006B242D">
        <w:rPr>
          <w:rFonts w:ascii="Book Antiqua" w:hAnsi="Book Antiqua" w:cs="Arial"/>
          <w:sz w:val="24"/>
          <w:szCs w:val="24"/>
          <w:lang w:val="en-US"/>
        </w:rPr>
        <w:t>ly, if these</w:t>
      </w:r>
      <w:r w:rsidR="00794DA7" w:rsidRPr="006B242D">
        <w:rPr>
          <w:rFonts w:ascii="Book Antiqua" w:hAnsi="Book Antiqua" w:cs="Arial"/>
          <w:sz w:val="24"/>
          <w:szCs w:val="24"/>
          <w:lang w:val="en-US"/>
        </w:rPr>
        <w:t xml:space="preserve"> patient</w:t>
      </w:r>
      <w:r w:rsidR="00CE5F26" w:rsidRPr="006B242D">
        <w:rPr>
          <w:rFonts w:ascii="Book Antiqua" w:hAnsi="Book Antiqua" w:cs="Arial"/>
          <w:sz w:val="24"/>
          <w:szCs w:val="24"/>
          <w:lang w:val="en-US"/>
        </w:rPr>
        <w:t>s should be selected</w:t>
      </w:r>
      <w:r w:rsidR="00794DA7" w:rsidRPr="006B242D">
        <w:rPr>
          <w:rFonts w:ascii="Book Antiqua" w:hAnsi="Book Antiqua" w:cs="Arial"/>
          <w:sz w:val="24"/>
          <w:szCs w:val="24"/>
          <w:lang w:val="en-US"/>
        </w:rPr>
        <w:t xml:space="preserve"> for antireflux surgery.</w:t>
      </w:r>
    </w:p>
    <w:p w:rsidR="00653ED5" w:rsidRPr="006B242D" w:rsidRDefault="00417F07" w:rsidP="000B23E9">
      <w:pPr>
        <w:spacing w:line="360" w:lineRule="auto"/>
        <w:ind w:firstLineChars="100" w:firstLine="240"/>
        <w:jc w:val="both"/>
        <w:rPr>
          <w:rFonts w:ascii="Book Antiqua" w:hAnsi="Book Antiqua" w:cs="Arial"/>
          <w:sz w:val="24"/>
          <w:szCs w:val="24"/>
          <w:lang w:val="en-US" w:eastAsia="zh-CN"/>
        </w:rPr>
      </w:pPr>
      <w:r w:rsidRPr="006B242D">
        <w:rPr>
          <w:rFonts w:ascii="Book Antiqua" w:hAnsi="Book Antiqua" w:cs="Arial"/>
          <w:sz w:val="24"/>
          <w:szCs w:val="24"/>
          <w:lang w:val="en-GB"/>
        </w:rPr>
        <w:t>Somatizatio</w:t>
      </w:r>
      <w:r w:rsidR="008F22C4" w:rsidRPr="006B242D">
        <w:rPr>
          <w:rFonts w:ascii="Book Antiqua" w:hAnsi="Book Antiqua" w:cs="Arial"/>
          <w:sz w:val="24"/>
          <w:szCs w:val="24"/>
          <w:lang w:val="en-GB"/>
        </w:rPr>
        <w:t>n represents a situation where</w:t>
      </w:r>
      <w:r w:rsidRPr="006B242D">
        <w:rPr>
          <w:rFonts w:ascii="Book Antiqua" w:hAnsi="Book Antiqua" w:cs="Arial"/>
          <w:sz w:val="24"/>
          <w:szCs w:val="24"/>
          <w:lang w:val="en-GB"/>
        </w:rPr>
        <w:t xml:space="preserve"> somatic complaints cannot be expla</w:t>
      </w:r>
      <w:r w:rsidR="008F22C4" w:rsidRPr="006B242D">
        <w:rPr>
          <w:rFonts w:ascii="Book Antiqua" w:hAnsi="Book Antiqua" w:cs="Arial"/>
          <w:sz w:val="24"/>
          <w:szCs w:val="24"/>
          <w:lang w:val="en-GB"/>
        </w:rPr>
        <w:t>ined by measurable findings</w:t>
      </w:r>
      <w:r w:rsidR="000B23E9" w:rsidRPr="006B242D">
        <w:rPr>
          <w:rFonts w:ascii="Book Antiqua" w:hAnsi="Book Antiqua" w:cs="Arial"/>
          <w:sz w:val="24"/>
          <w:szCs w:val="24"/>
          <w:vertAlign w:val="superscript"/>
          <w:lang w:val="en-GB" w:eastAsia="zh-CN"/>
        </w:rPr>
        <w:t>[10,15]</w:t>
      </w:r>
      <w:r w:rsidRPr="006B242D">
        <w:rPr>
          <w:rFonts w:ascii="Book Antiqua" w:hAnsi="Book Antiqua" w:cs="Arial"/>
          <w:sz w:val="24"/>
          <w:szCs w:val="24"/>
          <w:lang w:val="en-GB"/>
        </w:rPr>
        <w:t>. Psychodiagnostic instruments are necessary to clarify the situation and establish a</w:t>
      </w:r>
      <w:r w:rsidR="00E97385" w:rsidRPr="006B242D">
        <w:rPr>
          <w:rFonts w:ascii="Book Antiqua" w:hAnsi="Book Antiqua" w:cs="Arial"/>
          <w:sz w:val="24"/>
          <w:szCs w:val="24"/>
          <w:lang w:val="en-GB"/>
        </w:rPr>
        <w:t xml:space="preserve">n objective </w:t>
      </w:r>
      <w:r w:rsidRPr="006B242D">
        <w:rPr>
          <w:rFonts w:ascii="Book Antiqua" w:hAnsi="Book Antiqua" w:cs="Arial"/>
          <w:sz w:val="24"/>
          <w:szCs w:val="24"/>
          <w:lang w:val="en-GB"/>
        </w:rPr>
        <w:t xml:space="preserve">diagnosis. </w:t>
      </w:r>
      <w:r w:rsidR="00E97385" w:rsidRPr="006B242D">
        <w:rPr>
          <w:rFonts w:ascii="Book Antiqua" w:hAnsi="Book Antiqua" w:cs="Arial"/>
          <w:sz w:val="24"/>
          <w:szCs w:val="24"/>
          <w:lang w:val="en-GB"/>
        </w:rPr>
        <w:t xml:space="preserve">A variety of </w:t>
      </w:r>
      <w:r w:rsidRPr="006B242D">
        <w:rPr>
          <w:rFonts w:ascii="Book Antiqua" w:hAnsi="Book Antiqua" w:cs="Arial"/>
          <w:sz w:val="24"/>
          <w:szCs w:val="24"/>
          <w:lang w:val="en-GB"/>
        </w:rPr>
        <w:t xml:space="preserve">tests can be used to evaluate persons with </w:t>
      </w:r>
      <w:r w:rsidR="00BC1415" w:rsidRPr="006B242D">
        <w:rPr>
          <w:rFonts w:ascii="Book Antiqua" w:hAnsi="Book Antiqua" w:cs="Arial"/>
          <w:sz w:val="24"/>
          <w:szCs w:val="24"/>
          <w:lang w:val="en-GB"/>
        </w:rPr>
        <w:t>the</w:t>
      </w:r>
      <w:r w:rsidRPr="006B242D">
        <w:rPr>
          <w:rFonts w:ascii="Book Antiqua" w:hAnsi="Book Antiqua" w:cs="Arial"/>
          <w:sz w:val="24"/>
          <w:szCs w:val="24"/>
          <w:lang w:val="en-GB"/>
        </w:rPr>
        <w:t xml:space="preserve"> suspicion of </w:t>
      </w:r>
      <w:r w:rsidR="008F22C4" w:rsidRPr="006B242D">
        <w:rPr>
          <w:rFonts w:ascii="Book Antiqua" w:hAnsi="Book Antiqua" w:cs="Arial"/>
          <w:sz w:val="24"/>
          <w:szCs w:val="24"/>
          <w:lang w:val="en-GB"/>
        </w:rPr>
        <w:t xml:space="preserve">a somatoform </w:t>
      </w:r>
      <w:r w:rsidR="00BC1415" w:rsidRPr="006B242D">
        <w:rPr>
          <w:rFonts w:ascii="Book Antiqua" w:hAnsi="Book Antiqua" w:cs="Arial"/>
          <w:sz w:val="24"/>
          <w:szCs w:val="24"/>
          <w:lang w:val="en-GB"/>
        </w:rPr>
        <w:t>tendency</w:t>
      </w:r>
      <w:r w:rsidR="000B23E9" w:rsidRPr="006B242D">
        <w:rPr>
          <w:rFonts w:ascii="Book Antiqua" w:hAnsi="Book Antiqua" w:cs="Arial"/>
          <w:sz w:val="24"/>
          <w:szCs w:val="24"/>
          <w:vertAlign w:val="superscript"/>
          <w:lang w:val="en-GB" w:eastAsia="zh-CN"/>
        </w:rPr>
        <w:t>[10,13,15,22-24]</w:t>
      </w:r>
      <w:r w:rsidR="000B23E9" w:rsidRPr="006B242D">
        <w:rPr>
          <w:rFonts w:ascii="Book Antiqua" w:hAnsi="Book Antiqua" w:cs="Arial"/>
          <w:sz w:val="24"/>
          <w:szCs w:val="24"/>
          <w:lang w:val="en-GB"/>
        </w:rPr>
        <w:t>.</w:t>
      </w:r>
      <w:r w:rsidRPr="006B242D">
        <w:rPr>
          <w:rFonts w:ascii="Book Antiqua" w:hAnsi="Book Antiqua" w:cs="Arial"/>
          <w:sz w:val="24"/>
          <w:szCs w:val="24"/>
          <w:lang w:val="en-GB"/>
        </w:rPr>
        <w:t xml:space="preserve"> Often these patients may have depression and anxiety, which can influence the clinical</w:t>
      </w:r>
      <w:r w:rsidR="000B23E9" w:rsidRPr="006B242D">
        <w:rPr>
          <w:rFonts w:ascii="Book Antiqua" w:hAnsi="Book Antiqua" w:cs="Arial"/>
          <w:sz w:val="24"/>
          <w:szCs w:val="24"/>
          <w:lang w:val="en-GB"/>
        </w:rPr>
        <w:t xml:space="preserve"> assessment of patients</w:t>
      </w:r>
      <w:r w:rsidR="000B23E9" w:rsidRPr="006B242D">
        <w:rPr>
          <w:rFonts w:ascii="Book Antiqua" w:hAnsi="Book Antiqua" w:cs="Arial"/>
          <w:sz w:val="24"/>
          <w:szCs w:val="24"/>
          <w:vertAlign w:val="superscript"/>
          <w:lang w:val="en-GB" w:eastAsia="zh-CN"/>
        </w:rPr>
        <w:t>[</w:t>
      </w:r>
      <w:r w:rsidR="00646C4D" w:rsidRPr="006B242D">
        <w:rPr>
          <w:rFonts w:ascii="Book Antiqua" w:hAnsi="Book Antiqua" w:cs="Arial"/>
          <w:sz w:val="24"/>
          <w:szCs w:val="24"/>
          <w:vertAlign w:val="superscript"/>
          <w:lang w:val="en-GB"/>
        </w:rPr>
        <w:t>23-25</w:t>
      </w:r>
      <w:r w:rsidR="000B23E9" w:rsidRPr="006B242D">
        <w:rPr>
          <w:rFonts w:ascii="Book Antiqua" w:hAnsi="Book Antiqua" w:cs="Arial"/>
          <w:sz w:val="24"/>
          <w:szCs w:val="24"/>
          <w:vertAlign w:val="superscript"/>
          <w:lang w:val="en-GB" w:eastAsia="zh-CN"/>
        </w:rPr>
        <w:t>]</w:t>
      </w:r>
      <w:r w:rsidRPr="006B242D">
        <w:rPr>
          <w:rFonts w:ascii="Book Antiqua" w:hAnsi="Book Antiqua" w:cs="Arial"/>
          <w:sz w:val="24"/>
          <w:szCs w:val="24"/>
          <w:lang w:val="en-GB"/>
        </w:rPr>
        <w:t xml:space="preserve">. </w:t>
      </w:r>
      <w:r w:rsidR="008F22C4" w:rsidRPr="006B242D">
        <w:rPr>
          <w:rFonts w:ascii="Book Antiqua" w:hAnsi="Book Antiqua" w:cs="Arial"/>
          <w:sz w:val="24"/>
          <w:szCs w:val="24"/>
          <w:lang w:val="en-US"/>
        </w:rPr>
        <w:t>The basis for</w:t>
      </w:r>
      <w:r w:rsidR="00794DA7" w:rsidRPr="006B242D">
        <w:rPr>
          <w:rFonts w:ascii="Book Antiqua" w:hAnsi="Book Antiqua" w:cs="Arial"/>
          <w:sz w:val="24"/>
          <w:szCs w:val="24"/>
          <w:lang w:val="en-US"/>
        </w:rPr>
        <w:t xml:space="preserve"> an optimal selection of pati</w:t>
      </w:r>
      <w:r w:rsidR="008F22C4" w:rsidRPr="006B242D">
        <w:rPr>
          <w:rFonts w:ascii="Book Antiqua" w:hAnsi="Book Antiqua" w:cs="Arial"/>
          <w:sz w:val="24"/>
          <w:szCs w:val="24"/>
          <w:lang w:val="en-US"/>
        </w:rPr>
        <w:t>ents with GERD for surgery is a</w:t>
      </w:r>
      <w:r w:rsidR="00794DA7" w:rsidRPr="006B242D">
        <w:rPr>
          <w:rFonts w:ascii="Book Antiqua" w:hAnsi="Book Antiqua" w:cs="Arial"/>
          <w:sz w:val="24"/>
          <w:szCs w:val="24"/>
          <w:lang w:val="en-US"/>
        </w:rPr>
        <w:t xml:space="preserve"> comprehensive diagnostic work-up to generate evidence for a</w:t>
      </w:r>
      <w:r w:rsidR="008F22C4" w:rsidRPr="006B242D">
        <w:rPr>
          <w:rFonts w:ascii="Book Antiqua" w:hAnsi="Book Antiqua" w:cs="Arial"/>
          <w:sz w:val="24"/>
          <w:szCs w:val="24"/>
          <w:lang w:val="en-US"/>
        </w:rPr>
        <w:t>n</w:t>
      </w:r>
      <w:r w:rsidR="00794DA7" w:rsidRPr="006B242D">
        <w:rPr>
          <w:rFonts w:ascii="Book Antiqua" w:hAnsi="Book Antiqua" w:cs="Arial"/>
          <w:sz w:val="24"/>
          <w:szCs w:val="24"/>
          <w:lang w:val="en-US"/>
        </w:rPr>
        <w:t xml:space="preserve"> advanced, progressive disease with proven dam</w:t>
      </w:r>
      <w:r w:rsidR="008F22C4" w:rsidRPr="006B242D">
        <w:rPr>
          <w:rFonts w:ascii="Book Antiqua" w:hAnsi="Book Antiqua" w:cs="Arial"/>
          <w:sz w:val="24"/>
          <w:szCs w:val="24"/>
          <w:lang w:val="en-US"/>
        </w:rPr>
        <w:t>a</w:t>
      </w:r>
      <w:r w:rsidR="00794DA7" w:rsidRPr="006B242D">
        <w:rPr>
          <w:rFonts w:ascii="Book Antiqua" w:hAnsi="Book Antiqua" w:cs="Arial"/>
          <w:sz w:val="24"/>
          <w:szCs w:val="24"/>
          <w:lang w:val="en-US"/>
        </w:rPr>
        <w:t>ge and functional defects.</w:t>
      </w:r>
    </w:p>
    <w:p w:rsidR="00F5544B" w:rsidRPr="006B242D" w:rsidRDefault="00653ED5" w:rsidP="000B23E9">
      <w:pPr>
        <w:spacing w:line="360" w:lineRule="auto"/>
        <w:ind w:firstLineChars="100" w:firstLine="240"/>
        <w:jc w:val="both"/>
        <w:rPr>
          <w:rFonts w:ascii="Book Antiqua" w:hAnsi="Book Antiqua" w:cs="Arial"/>
          <w:sz w:val="24"/>
          <w:szCs w:val="24"/>
          <w:lang w:val="en-US" w:eastAsia="zh-CN"/>
        </w:rPr>
      </w:pPr>
      <w:r w:rsidRPr="006B242D">
        <w:rPr>
          <w:rFonts w:ascii="Book Antiqua" w:hAnsi="Book Antiqua" w:cs="Arial"/>
          <w:sz w:val="24"/>
          <w:szCs w:val="24"/>
          <w:lang w:val="en-US"/>
        </w:rPr>
        <w:t>Besides a good surgical technique, the optimal selection of the right patients for laparoscopic fundoplication is of utmost importance for the final result of surgical therapy. Laparoscopic fundoplication can produce an ideal solution for a patient with severe and progressive GERD, reducing most of the troublesome symptoms and enabling the patient to live a normal joyful life</w:t>
      </w:r>
      <w:r w:rsidR="000B23E9" w:rsidRPr="006B242D">
        <w:rPr>
          <w:rFonts w:ascii="Book Antiqua" w:hAnsi="Book Antiqua" w:cs="Arial"/>
          <w:sz w:val="24"/>
          <w:szCs w:val="24"/>
          <w:vertAlign w:val="superscript"/>
          <w:lang w:val="en-US" w:eastAsia="zh-CN"/>
        </w:rPr>
        <w:t>[12]</w:t>
      </w:r>
      <w:r w:rsidRPr="006B242D">
        <w:rPr>
          <w:rFonts w:ascii="Book Antiqua" w:hAnsi="Book Antiqua" w:cs="Arial"/>
          <w:sz w:val="24"/>
          <w:szCs w:val="24"/>
          <w:lang w:val="en-US"/>
        </w:rPr>
        <w:t xml:space="preserve">. Having expressed this, it must be emphasized that performing a fundoplication on the wrong patient, who either does not need a fundoplication or who </w:t>
      </w:r>
      <w:r w:rsidR="00F5544B" w:rsidRPr="006B242D">
        <w:rPr>
          <w:rFonts w:ascii="Book Antiqua" w:hAnsi="Book Antiqua" w:cs="Arial"/>
          <w:sz w:val="24"/>
          <w:szCs w:val="24"/>
          <w:lang w:val="en-US"/>
        </w:rPr>
        <w:t xml:space="preserve">has other problems, which could be worsened by a fundoplication, can easily destroy the patient`s </w:t>
      </w:r>
      <w:r w:rsidR="000B23E9" w:rsidRPr="006B242D">
        <w:rPr>
          <w:rFonts w:ascii="Book Antiqua" w:hAnsi="Book Antiqua" w:cs="Arial"/>
          <w:sz w:val="24"/>
          <w:szCs w:val="24"/>
          <w:lang w:val="en-US"/>
        </w:rPr>
        <w:t>quality of life</w:t>
      </w:r>
      <w:r w:rsidR="00F5544B" w:rsidRPr="006B242D">
        <w:rPr>
          <w:rFonts w:ascii="Book Antiqua" w:hAnsi="Book Antiqua" w:cs="Arial"/>
          <w:sz w:val="24"/>
          <w:szCs w:val="24"/>
          <w:lang w:val="en-US"/>
        </w:rPr>
        <w:t>.</w:t>
      </w:r>
    </w:p>
    <w:p w:rsidR="00F5544B" w:rsidRPr="006B242D" w:rsidRDefault="00F5544B" w:rsidP="000B23E9">
      <w:pPr>
        <w:spacing w:line="360" w:lineRule="auto"/>
        <w:ind w:firstLineChars="100" w:firstLine="240"/>
        <w:jc w:val="both"/>
        <w:rPr>
          <w:rFonts w:ascii="Book Antiqua" w:hAnsi="Book Antiqua" w:cs="Arial"/>
          <w:sz w:val="24"/>
          <w:szCs w:val="24"/>
          <w:lang w:val="en-US"/>
        </w:rPr>
      </w:pPr>
      <w:r w:rsidRPr="006B242D">
        <w:rPr>
          <w:rFonts w:ascii="Book Antiqua" w:hAnsi="Book Antiqua" w:cs="Arial"/>
          <w:sz w:val="24"/>
          <w:szCs w:val="24"/>
          <w:lang w:val="en-US"/>
        </w:rPr>
        <w:t>Patients with somatoform disorders usually have a large variety of symptoms, where typical reflux symptoms such as heartburn and acid regurgitation may play only a limited role or may be overrated by the patient due to the stress and heavy load of all symptoms. In these cases the question emerges, whether surgery is justified. Objective diagnostic testing is essential to verify pathologic gastroesophageal reflux, but still given the tests are positive, there is still a dilemma, whether patients would benefit from antireflux surgery. Some surgeons advise to see these patients as contraindications for antireflux surgery</w:t>
      </w:r>
      <w:r w:rsidR="000B23E9" w:rsidRPr="006B242D">
        <w:rPr>
          <w:rFonts w:ascii="Book Antiqua" w:hAnsi="Book Antiqua" w:cs="Arial"/>
          <w:sz w:val="24"/>
          <w:szCs w:val="24"/>
          <w:vertAlign w:val="superscript"/>
          <w:lang w:val="en-US" w:eastAsia="zh-CN"/>
        </w:rPr>
        <w:t>[17,18]</w:t>
      </w:r>
      <w:r w:rsidRPr="006B242D">
        <w:rPr>
          <w:rFonts w:ascii="Book Antiqua" w:hAnsi="Book Antiqua" w:cs="Arial"/>
          <w:sz w:val="24"/>
          <w:szCs w:val="24"/>
          <w:lang w:val="en-US"/>
        </w:rPr>
        <w:t>.</w:t>
      </w:r>
      <w:r w:rsidR="00413D17" w:rsidRPr="006B242D">
        <w:rPr>
          <w:rFonts w:ascii="Book Antiqua" w:hAnsi="Book Antiqua" w:cs="Arial"/>
          <w:sz w:val="24"/>
          <w:szCs w:val="24"/>
          <w:lang w:val="en-US"/>
        </w:rPr>
        <w:t xml:space="preserve"> </w:t>
      </w:r>
    </w:p>
    <w:p w:rsidR="00413D17" w:rsidRPr="006B242D" w:rsidRDefault="00413D17" w:rsidP="000B23E9">
      <w:pPr>
        <w:spacing w:line="360" w:lineRule="auto"/>
        <w:ind w:firstLineChars="100" w:firstLine="240"/>
        <w:jc w:val="both"/>
        <w:rPr>
          <w:rFonts w:ascii="Book Antiqua" w:hAnsi="Book Antiqua" w:cs="Arial"/>
          <w:sz w:val="24"/>
          <w:szCs w:val="24"/>
          <w:lang w:val="en-US" w:eastAsia="zh-CN"/>
        </w:rPr>
      </w:pPr>
      <w:r w:rsidRPr="006B242D">
        <w:rPr>
          <w:rFonts w:ascii="Book Antiqua" w:hAnsi="Book Antiqua" w:cs="Arial"/>
          <w:sz w:val="24"/>
          <w:szCs w:val="24"/>
          <w:lang w:val="en-US"/>
        </w:rPr>
        <w:t xml:space="preserve">Little is known about the probability of success after surgical therapy in these patients with the combined problem. Therefore the present study shows very clearly that a precise diagnostic work-up is necessary to determine the presence of a somatoform tendency as well as the presence of severe GERD. The study is helpful in showing evidence that on one hand improvement of </w:t>
      </w:r>
      <w:r w:rsidR="000B23E9" w:rsidRPr="006B242D">
        <w:rPr>
          <w:rFonts w:ascii="Book Antiqua" w:hAnsi="Book Antiqua" w:cs="Arial"/>
          <w:sz w:val="24"/>
          <w:szCs w:val="24"/>
          <w:lang w:val="en-US"/>
        </w:rPr>
        <w:t>quality of life</w:t>
      </w:r>
      <w:r w:rsidRPr="006B242D">
        <w:rPr>
          <w:rFonts w:ascii="Book Antiqua" w:hAnsi="Book Antiqua" w:cs="Arial"/>
          <w:sz w:val="24"/>
          <w:szCs w:val="24"/>
          <w:lang w:val="en-US"/>
        </w:rPr>
        <w:t xml:space="preserve"> is possible, and on the other hand that </w:t>
      </w:r>
      <w:r w:rsidR="000B23E9" w:rsidRPr="006B242D">
        <w:rPr>
          <w:rFonts w:ascii="Book Antiqua" w:hAnsi="Book Antiqua" w:cs="Arial"/>
          <w:sz w:val="24"/>
          <w:szCs w:val="24"/>
          <w:lang w:val="en-US"/>
        </w:rPr>
        <w:t>quality of life</w:t>
      </w:r>
      <w:r w:rsidRPr="006B242D">
        <w:rPr>
          <w:rFonts w:ascii="Book Antiqua" w:hAnsi="Book Antiqua" w:cs="Arial"/>
          <w:sz w:val="24"/>
          <w:szCs w:val="24"/>
          <w:lang w:val="en-US"/>
        </w:rPr>
        <w:t xml:space="preserve"> can rather not be normalized, since too many other symptoms are involved with no connection the underlying reflux problem.</w:t>
      </w:r>
    </w:p>
    <w:p w:rsidR="00646C4D" w:rsidRPr="006B242D" w:rsidRDefault="00BD60BA" w:rsidP="000B23E9">
      <w:pPr>
        <w:spacing w:line="360" w:lineRule="auto"/>
        <w:ind w:firstLineChars="100" w:firstLine="240"/>
        <w:jc w:val="both"/>
        <w:rPr>
          <w:rFonts w:ascii="Book Antiqua" w:hAnsi="Book Antiqua" w:cs="Arial"/>
          <w:sz w:val="24"/>
          <w:szCs w:val="24"/>
          <w:lang w:val="en-US" w:eastAsia="zh-CN"/>
        </w:rPr>
      </w:pPr>
      <w:r w:rsidRPr="006B242D">
        <w:rPr>
          <w:rFonts w:ascii="Book Antiqua" w:hAnsi="Book Antiqua" w:cs="Arial"/>
          <w:sz w:val="24"/>
          <w:szCs w:val="24"/>
          <w:lang w:val="en-US"/>
        </w:rPr>
        <w:t xml:space="preserve">The problem is that patients with GERD and somatoform disorders start from </w:t>
      </w:r>
      <w:r w:rsidR="00413D17" w:rsidRPr="006B242D">
        <w:rPr>
          <w:rFonts w:ascii="Book Antiqua" w:hAnsi="Book Antiqua" w:cs="Arial"/>
          <w:sz w:val="24"/>
          <w:szCs w:val="24"/>
          <w:lang w:val="en-US"/>
        </w:rPr>
        <w:t>a</w:t>
      </w:r>
      <w:r w:rsidR="00C81488" w:rsidRPr="006B242D">
        <w:rPr>
          <w:rFonts w:ascii="Book Antiqua" w:hAnsi="Book Antiqua" w:cs="Arial"/>
          <w:sz w:val="24"/>
          <w:szCs w:val="24"/>
          <w:lang w:val="en-US"/>
        </w:rPr>
        <w:t xml:space="preserve"> preoperative </w:t>
      </w:r>
      <w:r w:rsidRPr="006B242D">
        <w:rPr>
          <w:rFonts w:ascii="Book Antiqua" w:hAnsi="Book Antiqua" w:cs="Arial"/>
          <w:sz w:val="24"/>
          <w:szCs w:val="24"/>
          <w:lang w:val="en-US"/>
        </w:rPr>
        <w:t>significantly lower level of quality of life</w:t>
      </w:r>
      <w:r w:rsidR="00413D17" w:rsidRPr="006B242D">
        <w:rPr>
          <w:rFonts w:ascii="Book Antiqua" w:hAnsi="Book Antiqua" w:cs="Arial"/>
          <w:sz w:val="24"/>
          <w:szCs w:val="24"/>
          <w:lang w:val="en-US"/>
        </w:rPr>
        <w:t xml:space="preserve"> than GERD patients without somatoform tendencies</w:t>
      </w:r>
      <w:r w:rsidRPr="006B242D">
        <w:rPr>
          <w:rFonts w:ascii="Book Antiqua" w:hAnsi="Book Antiqua" w:cs="Arial"/>
          <w:sz w:val="24"/>
          <w:szCs w:val="24"/>
          <w:lang w:val="en-US"/>
        </w:rPr>
        <w:t xml:space="preserve">. Interesting enough laparoscopic </w:t>
      </w:r>
      <w:r w:rsidR="00413D17" w:rsidRPr="006B242D">
        <w:rPr>
          <w:rFonts w:ascii="Book Antiqua" w:hAnsi="Book Antiqua" w:cs="Arial"/>
          <w:sz w:val="24"/>
          <w:szCs w:val="24"/>
          <w:lang w:val="en-US"/>
        </w:rPr>
        <w:t>anti</w:t>
      </w:r>
      <w:r w:rsidR="00C81488" w:rsidRPr="006B242D">
        <w:rPr>
          <w:rFonts w:ascii="Book Antiqua" w:hAnsi="Book Antiqua" w:cs="Arial"/>
          <w:sz w:val="24"/>
          <w:szCs w:val="24"/>
          <w:lang w:val="en-US"/>
        </w:rPr>
        <w:t>reflux surgery can elevate</w:t>
      </w:r>
      <w:r w:rsidRPr="006B242D">
        <w:rPr>
          <w:rFonts w:ascii="Book Antiqua" w:hAnsi="Book Antiqua" w:cs="Arial"/>
          <w:sz w:val="24"/>
          <w:szCs w:val="24"/>
          <w:lang w:val="en-US"/>
        </w:rPr>
        <w:t xml:space="preserve"> the GIQLI for about 20</w:t>
      </w:r>
      <w:r w:rsidR="00413D17" w:rsidRPr="006B242D">
        <w:rPr>
          <w:rFonts w:ascii="Book Antiqua" w:hAnsi="Book Antiqua" w:cs="Arial"/>
          <w:sz w:val="24"/>
          <w:szCs w:val="24"/>
          <w:lang w:val="en-US"/>
        </w:rPr>
        <w:t>-</w:t>
      </w:r>
      <w:r w:rsidR="00C81488" w:rsidRPr="006B242D">
        <w:rPr>
          <w:rFonts w:ascii="Book Antiqua" w:hAnsi="Book Antiqua" w:cs="Arial"/>
          <w:sz w:val="24"/>
          <w:szCs w:val="24"/>
          <w:lang w:val="en-US"/>
        </w:rPr>
        <w:t>25 points in</w:t>
      </w:r>
      <w:r w:rsidRPr="006B242D">
        <w:rPr>
          <w:rFonts w:ascii="Book Antiqua" w:hAnsi="Book Antiqua" w:cs="Arial"/>
          <w:sz w:val="24"/>
          <w:szCs w:val="24"/>
          <w:lang w:val="en-US"/>
        </w:rPr>
        <w:t xml:space="preserve"> patients. The latter </w:t>
      </w:r>
      <w:r w:rsidR="00413D17" w:rsidRPr="006B242D">
        <w:rPr>
          <w:rFonts w:ascii="Book Antiqua" w:hAnsi="Book Antiqua" w:cs="Arial"/>
          <w:sz w:val="24"/>
          <w:szCs w:val="24"/>
          <w:lang w:val="en-US"/>
        </w:rPr>
        <w:t>causes</w:t>
      </w:r>
      <w:r w:rsidRPr="006B242D">
        <w:rPr>
          <w:rFonts w:ascii="Book Antiqua" w:hAnsi="Book Antiqua" w:cs="Arial"/>
          <w:sz w:val="24"/>
          <w:szCs w:val="24"/>
          <w:lang w:val="en-US"/>
        </w:rPr>
        <w:t xml:space="preserve"> in </w:t>
      </w:r>
      <w:r w:rsidR="00413D17" w:rsidRPr="006B242D">
        <w:rPr>
          <w:rFonts w:ascii="Book Antiqua" w:hAnsi="Book Antiqua" w:cs="Arial"/>
          <w:sz w:val="24"/>
          <w:szCs w:val="24"/>
          <w:lang w:val="en-US"/>
        </w:rPr>
        <w:t>GERD-</w:t>
      </w:r>
      <w:r w:rsidRPr="006B242D">
        <w:rPr>
          <w:rFonts w:ascii="Book Antiqua" w:hAnsi="Book Antiqua" w:cs="Arial"/>
          <w:sz w:val="24"/>
          <w:szCs w:val="24"/>
          <w:lang w:val="en-US"/>
        </w:rPr>
        <w:t xml:space="preserve">patients </w:t>
      </w:r>
      <w:r w:rsidR="00413D17" w:rsidRPr="006B242D">
        <w:rPr>
          <w:rFonts w:ascii="Book Antiqua" w:hAnsi="Book Antiqua" w:cs="Arial"/>
          <w:sz w:val="24"/>
          <w:szCs w:val="24"/>
          <w:lang w:val="en-US"/>
        </w:rPr>
        <w:t xml:space="preserve">without associated problems </w:t>
      </w:r>
      <w:r w:rsidRPr="006B242D">
        <w:rPr>
          <w:rFonts w:ascii="Book Antiqua" w:hAnsi="Book Antiqua" w:cs="Arial"/>
          <w:sz w:val="24"/>
          <w:szCs w:val="24"/>
          <w:lang w:val="en-US"/>
        </w:rPr>
        <w:t>a postoperative quality</w:t>
      </w:r>
      <w:r w:rsidR="00C81488" w:rsidRPr="006B242D">
        <w:rPr>
          <w:rFonts w:ascii="Book Antiqua" w:hAnsi="Book Antiqua" w:cs="Arial"/>
          <w:sz w:val="24"/>
          <w:szCs w:val="24"/>
          <w:lang w:val="en-US"/>
        </w:rPr>
        <w:t xml:space="preserve"> of life level of nearly normal</w:t>
      </w:r>
      <w:r w:rsidRPr="006B242D">
        <w:rPr>
          <w:rFonts w:ascii="Book Antiqua" w:hAnsi="Book Antiqua" w:cs="Arial"/>
          <w:sz w:val="24"/>
          <w:szCs w:val="24"/>
          <w:lang w:val="en-US"/>
        </w:rPr>
        <w:t xml:space="preserve"> levels while patients with both, GERD and somat</w:t>
      </w:r>
      <w:r w:rsidR="00794DA7" w:rsidRPr="006B242D">
        <w:rPr>
          <w:rFonts w:ascii="Book Antiqua" w:hAnsi="Book Antiqua" w:cs="Arial"/>
          <w:sz w:val="24"/>
          <w:szCs w:val="24"/>
          <w:lang w:val="en-US"/>
        </w:rPr>
        <w:t>i</w:t>
      </w:r>
      <w:r w:rsidRPr="006B242D">
        <w:rPr>
          <w:rFonts w:ascii="Book Antiqua" w:hAnsi="Book Antiqua" w:cs="Arial"/>
          <w:sz w:val="24"/>
          <w:szCs w:val="24"/>
          <w:lang w:val="en-US"/>
        </w:rPr>
        <w:t>sation will usually</w:t>
      </w:r>
      <w:r w:rsidR="00794DA7" w:rsidRPr="006B242D">
        <w:rPr>
          <w:rFonts w:ascii="Book Antiqua" w:hAnsi="Book Antiqua" w:cs="Arial"/>
          <w:sz w:val="24"/>
          <w:szCs w:val="24"/>
          <w:lang w:val="en-US"/>
        </w:rPr>
        <w:t xml:space="preserve"> remain in a lower level, which can cause postoperative disappointment and frustration.</w:t>
      </w:r>
      <w:r w:rsidR="00AB15F0" w:rsidRPr="006B242D">
        <w:rPr>
          <w:rFonts w:ascii="Book Antiqua" w:hAnsi="Book Antiqua" w:cs="Arial"/>
          <w:sz w:val="24"/>
          <w:szCs w:val="24"/>
          <w:lang w:val="en-US"/>
        </w:rPr>
        <w:t xml:space="preserve"> </w:t>
      </w:r>
      <w:r w:rsidRPr="006B242D">
        <w:rPr>
          <w:rFonts w:ascii="Book Antiqua" w:hAnsi="Book Antiqua" w:cs="Arial"/>
          <w:sz w:val="24"/>
          <w:szCs w:val="24"/>
          <w:lang w:val="en-US"/>
        </w:rPr>
        <w:t>This should be communicated to the patients prior to surgery to make sure that the preoperative expectations will not be unrealistic.</w:t>
      </w:r>
    </w:p>
    <w:p w:rsidR="00646C4D" w:rsidRPr="006B242D" w:rsidRDefault="00646C4D" w:rsidP="000B23E9">
      <w:pPr>
        <w:spacing w:line="360" w:lineRule="auto"/>
        <w:ind w:firstLineChars="100" w:firstLine="240"/>
        <w:jc w:val="both"/>
        <w:rPr>
          <w:rFonts w:ascii="Book Antiqua" w:hAnsi="Book Antiqua" w:cs="Arial"/>
          <w:sz w:val="24"/>
          <w:szCs w:val="24"/>
          <w:lang w:val="en-US"/>
        </w:rPr>
      </w:pPr>
      <w:r w:rsidRPr="006B242D">
        <w:rPr>
          <w:rFonts w:ascii="Book Antiqua" w:hAnsi="Book Antiqua" w:cs="Arial"/>
          <w:sz w:val="24"/>
          <w:szCs w:val="24"/>
          <w:lang w:val="en-US"/>
        </w:rPr>
        <w:t>In conclusion, patients with GERD and overlapping symptoms due to somatoform disorders should not be withhold from laparoscopic antireflux surgery</w:t>
      </w:r>
      <w:r w:rsidR="00AB15F0" w:rsidRPr="006B242D">
        <w:rPr>
          <w:rFonts w:ascii="Book Antiqua" w:hAnsi="Book Antiqua" w:cs="Arial"/>
          <w:sz w:val="24"/>
          <w:szCs w:val="24"/>
          <w:lang w:val="en-US"/>
        </w:rPr>
        <w:t xml:space="preserve"> in general</w:t>
      </w:r>
      <w:r w:rsidRPr="006B242D">
        <w:rPr>
          <w:rFonts w:ascii="Book Antiqua" w:hAnsi="Book Antiqua" w:cs="Arial"/>
          <w:sz w:val="24"/>
          <w:szCs w:val="24"/>
          <w:lang w:val="en-US"/>
        </w:rPr>
        <w:t>, if their GERD is proven by objective assessment. It must be however emphasized that these patients must be especially informed about their critical situation regarding the</w:t>
      </w:r>
      <w:r w:rsidR="00AB15F0" w:rsidRPr="006B242D">
        <w:rPr>
          <w:rFonts w:ascii="Book Antiqua" w:hAnsi="Book Antiqua" w:cs="Arial"/>
          <w:sz w:val="24"/>
          <w:szCs w:val="24"/>
          <w:lang w:val="en-US"/>
        </w:rPr>
        <w:t>ir large number of often atypical</w:t>
      </w:r>
      <w:r w:rsidRPr="006B242D">
        <w:rPr>
          <w:rFonts w:ascii="Book Antiqua" w:hAnsi="Book Antiqua" w:cs="Arial"/>
          <w:sz w:val="24"/>
          <w:szCs w:val="24"/>
          <w:lang w:val="en-US"/>
        </w:rPr>
        <w:t xml:space="preserve"> symptoms, which cannot be cured completely. The latter causes continuing restrictions in their </w:t>
      </w:r>
      <w:r w:rsidR="000B23E9" w:rsidRPr="006B242D">
        <w:rPr>
          <w:rFonts w:ascii="Book Antiqua" w:hAnsi="Book Antiqua" w:cs="Arial"/>
          <w:sz w:val="24"/>
          <w:szCs w:val="24"/>
          <w:lang w:val="en-US"/>
        </w:rPr>
        <w:t>quality of life</w:t>
      </w:r>
      <w:r w:rsidRPr="006B242D">
        <w:rPr>
          <w:rFonts w:ascii="Book Antiqua" w:hAnsi="Book Antiqua" w:cs="Arial"/>
          <w:sz w:val="24"/>
          <w:szCs w:val="24"/>
          <w:lang w:val="en-US"/>
        </w:rPr>
        <w:t>. As a consequence the indication for a</w:t>
      </w:r>
      <w:r w:rsidR="00AB15F0" w:rsidRPr="006B242D">
        <w:rPr>
          <w:rFonts w:ascii="Book Antiqua" w:hAnsi="Book Antiqua" w:cs="Arial"/>
          <w:sz w:val="24"/>
          <w:szCs w:val="24"/>
          <w:lang w:val="en-US"/>
        </w:rPr>
        <w:t>ntireflux surgery must be</w:t>
      </w:r>
      <w:r w:rsidRPr="006B242D">
        <w:rPr>
          <w:rFonts w:ascii="Book Antiqua" w:hAnsi="Book Antiqua" w:cs="Arial"/>
          <w:sz w:val="24"/>
          <w:szCs w:val="24"/>
          <w:lang w:val="en-US"/>
        </w:rPr>
        <w:t xml:space="preserve"> discussed in detail with the patients and only</w:t>
      </w:r>
      <w:r w:rsidR="00AB15F0" w:rsidRPr="006B242D">
        <w:rPr>
          <w:rFonts w:ascii="Book Antiqua" w:hAnsi="Book Antiqua" w:cs="Arial"/>
          <w:sz w:val="24"/>
          <w:szCs w:val="24"/>
          <w:lang w:val="en-US"/>
        </w:rPr>
        <w:t xml:space="preserve"> those should be selected, in whom reflux-generated-symptoms are</w:t>
      </w:r>
      <w:r w:rsidRPr="006B242D">
        <w:rPr>
          <w:rFonts w:ascii="Book Antiqua" w:hAnsi="Book Antiqua" w:cs="Arial"/>
          <w:sz w:val="24"/>
          <w:szCs w:val="24"/>
          <w:lang w:val="en-US"/>
        </w:rPr>
        <w:t xml:space="preserve"> proven by reflux symptom-correlation</w:t>
      </w:r>
      <w:r w:rsidR="001B12CC" w:rsidRPr="006B242D">
        <w:rPr>
          <w:rFonts w:ascii="Book Antiqua" w:hAnsi="Book Antiqua" w:cs="Arial"/>
          <w:sz w:val="24"/>
          <w:szCs w:val="24"/>
          <w:vertAlign w:val="superscript"/>
          <w:lang w:val="en-US" w:eastAsia="zh-CN"/>
        </w:rPr>
        <w:t>[26]</w:t>
      </w:r>
      <w:r w:rsidR="00AB15F0" w:rsidRPr="006B242D">
        <w:rPr>
          <w:rFonts w:ascii="Book Antiqua" w:hAnsi="Book Antiqua" w:cs="Arial"/>
          <w:sz w:val="24"/>
          <w:szCs w:val="24"/>
          <w:lang w:val="en-US"/>
        </w:rPr>
        <w:t>. These symptoms should be</w:t>
      </w:r>
      <w:r w:rsidR="000B23E9" w:rsidRPr="006B242D">
        <w:rPr>
          <w:rFonts w:ascii="Book Antiqua" w:hAnsi="Book Antiqua" w:cs="Arial"/>
          <w:sz w:val="24"/>
          <w:szCs w:val="24"/>
          <w:lang w:val="en-US"/>
        </w:rPr>
        <w:t xml:space="preserve"> the major quality-of–life </w:t>
      </w:r>
      <w:r w:rsidRPr="006B242D">
        <w:rPr>
          <w:rFonts w:ascii="Book Antiqua" w:hAnsi="Book Antiqua" w:cs="Arial"/>
          <w:sz w:val="24"/>
          <w:szCs w:val="24"/>
          <w:lang w:val="en-US"/>
        </w:rPr>
        <w:t>restricting factors.</w:t>
      </w:r>
    </w:p>
    <w:p w:rsidR="00BD60BA" w:rsidRPr="006B242D" w:rsidRDefault="00BD60BA" w:rsidP="000B23E9">
      <w:pPr>
        <w:spacing w:line="360" w:lineRule="auto"/>
        <w:jc w:val="both"/>
        <w:rPr>
          <w:rFonts w:ascii="Book Antiqua" w:hAnsi="Book Antiqua" w:cs="Arial"/>
          <w:sz w:val="24"/>
          <w:szCs w:val="24"/>
          <w:lang w:val="en-US"/>
        </w:rPr>
      </w:pPr>
    </w:p>
    <w:p w:rsidR="009817B0" w:rsidRPr="006B242D" w:rsidRDefault="009817B0" w:rsidP="000B23E9">
      <w:pPr>
        <w:adjustRightInd w:val="0"/>
        <w:snapToGrid w:val="0"/>
        <w:spacing w:line="360" w:lineRule="auto"/>
        <w:jc w:val="both"/>
        <w:rPr>
          <w:rFonts w:ascii="Book Antiqua" w:hAnsi="Book Antiqua"/>
          <w:b/>
          <w:color w:val="000000"/>
          <w:sz w:val="24"/>
          <w:szCs w:val="24"/>
          <w:lang w:eastAsia="zh-CN"/>
        </w:rPr>
      </w:pPr>
      <w:r w:rsidRPr="006B242D">
        <w:rPr>
          <w:rFonts w:ascii="Book Antiqua" w:hAnsi="Book Antiqua" w:cs="Garamond-Bold"/>
          <w:b/>
          <w:bCs/>
          <w:sz w:val="24"/>
          <w:szCs w:val="24"/>
        </w:rPr>
        <w:t>ARTICLE HIGHLIGHTS</w:t>
      </w:r>
      <w:r w:rsidRPr="006B242D">
        <w:rPr>
          <w:rFonts w:ascii="Book Antiqua" w:hAnsi="Book Antiqua" w:cs="Garamond-Bold"/>
          <w:b/>
          <w:bCs/>
          <w:sz w:val="24"/>
          <w:szCs w:val="24"/>
          <w:lang w:eastAsia="zh-CN"/>
        </w:rPr>
        <w:t xml:space="preserve"> </w:t>
      </w:r>
    </w:p>
    <w:p w:rsidR="00C54C76" w:rsidRPr="006B242D" w:rsidRDefault="00C54C76" w:rsidP="000B23E9">
      <w:pPr>
        <w:spacing w:line="360" w:lineRule="auto"/>
        <w:jc w:val="both"/>
        <w:rPr>
          <w:rFonts w:ascii="Book Antiqua" w:hAnsi="Book Antiqua" w:cs="Arial"/>
          <w:b/>
          <w:i/>
          <w:sz w:val="24"/>
          <w:szCs w:val="24"/>
        </w:rPr>
      </w:pPr>
      <w:r w:rsidRPr="006B242D">
        <w:rPr>
          <w:rFonts w:ascii="Book Antiqua" w:hAnsi="Book Antiqua" w:cs="Arial"/>
          <w:b/>
          <w:i/>
          <w:sz w:val="24"/>
          <w:szCs w:val="24"/>
        </w:rPr>
        <w:t>Research background</w:t>
      </w:r>
    </w:p>
    <w:p w:rsidR="00E24308" w:rsidRPr="006B242D" w:rsidRDefault="000B23E9" w:rsidP="000B23E9">
      <w:pPr>
        <w:spacing w:line="360" w:lineRule="auto"/>
        <w:jc w:val="both"/>
        <w:rPr>
          <w:rFonts w:ascii="Book Antiqua" w:hAnsi="Book Antiqua"/>
          <w:b/>
          <w:sz w:val="24"/>
          <w:szCs w:val="24"/>
          <w:lang w:val="en-GB"/>
        </w:rPr>
      </w:pPr>
      <w:r w:rsidRPr="006B242D">
        <w:rPr>
          <w:rFonts w:ascii="Book Antiqua" w:hAnsi="Book Antiqua"/>
          <w:sz w:val="24"/>
          <w:szCs w:val="24"/>
          <w:lang w:val="en-GB"/>
        </w:rPr>
        <w:t xml:space="preserve">Gastroesophageal reflux disease </w:t>
      </w:r>
      <w:r w:rsidRPr="006B242D">
        <w:rPr>
          <w:rFonts w:ascii="Book Antiqua" w:hAnsi="Book Antiqua"/>
          <w:sz w:val="24"/>
          <w:szCs w:val="24"/>
          <w:lang w:val="en-GB" w:eastAsia="zh-CN"/>
        </w:rPr>
        <w:t>(</w:t>
      </w:r>
      <w:r w:rsidR="00E24308" w:rsidRPr="006B242D">
        <w:rPr>
          <w:rFonts w:ascii="Book Antiqua" w:hAnsi="Book Antiqua"/>
          <w:sz w:val="24"/>
          <w:szCs w:val="24"/>
          <w:lang w:val="en-GB"/>
        </w:rPr>
        <w:t>GERD</w:t>
      </w:r>
      <w:r w:rsidRPr="006B242D">
        <w:rPr>
          <w:rFonts w:ascii="Book Antiqua" w:hAnsi="Book Antiqua"/>
          <w:sz w:val="24"/>
          <w:szCs w:val="24"/>
          <w:lang w:val="en-GB" w:eastAsia="zh-CN"/>
        </w:rPr>
        <w:t>)</w:t>
      </w:r>
      <w:r w:rsidR="00E24308" w:rsidRPr="006B242D">
        <w:rPr>
          <w:rFonts w:ascii="Book Antiqua" w:hAnsi="Book Antiqua"/>
          <w:sz w:val="24"/>
          <w:szCs w:val="24"/>
          <w:lang w:val="en-GB"/>
        </w:rPr>
        <w:t xml:space="preserve"> shows a large symptom variation also in different intensities among patients. Up-to-date, patients with somatoform tendencies were often per se excluded from surgery.</w:t>
      </w:r>
    </w:p>
    <w:p w:rsidR="000B23E9" w:rsidRPr="006B242D" w:rsidRDefault="000B23E9" w:rsidP="000B23E9">
      <w:pPr>
        <w:spacing w:line="360" w:lineRule="auto"/>
        <w:jc w:val="both"/>
        <w:rPr>
          <w:rFonts w:ascii="Book Antiqua" w:hAnsi="Book Antiqua" w:cs="Arial"/>
          <w:sz w:val="24"/>
          <w:szCs w:val="24"/>
          <w:lang w:eastAsia="zh-CN"/>
        </w:rPr>
      </w:pPr>
    </w:p>
    <w:p w:rsidR="00C54C76" w:rsidRPr="006B242D" w:rsidRDefault="00C54C76" w:rsidP="000B23E9">
      <w:pPr>
        <w:spacing w:line="360" w:lineRule="auto"/>
        <w:jc w:val="both"/>
        <w:rPr>
          <w:rFonts w:ascii="Book Antiqua" w:hAnsi="Book Antiqua" w:cs="Arial"/>
          <w:b/>
          <w:i/>
          <w:sz w:val="24"/>
          <w:szCs w:val="24"/>
        </w:rPr>
      </w:pPr>
      <w:r w:rsidRPr="006B242D">
        <w:rPr>
          <w:rFonts w:ascii="Book Antiqua" w:hAnsi="Book Antiqua" w:cs="Arial"/>
          <w:b/>
          <w:i/>
          <w:sz w:val="24"/>
          <w:szCs w:val="24"/>
        </w:rPr>
        <w:t>Research motivation</w:t>
      </w:r>
    </w:p>
    <w:p w:rsidR="00E24308" w:rsidRPr="006B242D" w:rsidRDefault="00E24308" w:rsidP="000B23E9">
      <w:pPr>
        <w:spacing w:line="360" w:lineRule="auto"/>
        <w:jc w:val="both"/>
        <w:rPr>
          <w:rFonts w:ascii="Book Antiqua" w:hAnsi="Book Antiqua" w:cs="Arial"/>
          <w:sz w:val="24"/>
          <w:szCs w:val="24"/>
        </w:rPr>
      </w:pPr>
      <w:r w:rsidRPr="006B242D">
        <w:rPr>
          <w:rFonts w:ascii="Book Antiqua" w:hAnsi="Book Antiqua"/>
          <w:sz w:val="24"/>
          <w:szCs w:val="24"/>
          <w:lang w:val="en-GB"/>
        </w:rPr>
        <w:t>There is a large overlap in the symptomatic spectrum between GERD and other disorders such as dyspepsia, functional heartburn or somatoform disorders. We intended to be able to better differentiate between these different entities to provide optimal patient care. Before our study, it was still unclear if patients with somatoform tendencies should undergo surgery at all.</w:t>
      </w:r>
    </w:p>
    <w:p w:rsidR="000B23E9" w:rsidRPr="006B242D" w:rsidRDefault="000B23E9" w:rsidP="000B23E9">
      <w:pPr>
        <w:spacing w:line="360" w:lineRule="auto"/>
        <w:jc w:val="both"/>
        <w:rPr>
          <w:rFonts w:ascii="Book Antiqua" w:hAnsi="Book Antiqua" w:cs="Arial"/>
          <w:sz w:val="24"/>
          <w:szCs w:val="24"/>
          <w:lang w:eastAsia="zh-CN"/>
        </w:rPr>
      </w:pPr>
    </w:p>
    <w:p w:rsidR="00C54C76" w:rsidRPr="006B242D" w:rsidRDefault="00C54C76" w:rsidP="000B23E9">
      <w:pPr>
        <w:spacing w:line="360" w:lineRule="auto"/>
        <w:jc w:val="both"/>
        <w:rPr>
          <w:rFonts w:ascii="Book Antiqua" w:hAnsi="Book Antiqua" w:cs="Arial" w:hint="eastAsia"/>
          <w:sz w:val="24"/>
          <w:szCs w:val="24"/>
          <w:lang w:eastAsia="zh-CN"/>
        </w:rPr>
      </w:pPr>
      <w:r w:rsidRPr="006B242D">
        <w:rPr>
          <w:rFonts w:ascii="Book Antiqua" w:hAnsi="Book Antiqua" w:cs="Arial"/>
          <w:b/>
          <w:i/>
          <w:sz w:val="24"/>
          <w:szCs w:val="24"/>
        </w:rPr>
        <w:t>Research objectives</w:t>
      </w:r>
    </w:p>
    <w:p w:rsidR="00E24308" w:rsidRPr="006B242D" w:rsidRDefault="00E24308" w:rsidP="000B23E9">
      <w:pPr>
        <w:spacing w:line="360" w:lineRule="auto"/>
        <w:jc w:val="both"/>
        <w:rPr>
          <w:rFonts w:ascii="Book Antiqua" w:hAnsi="Book Antiqua" w:cs="Arial"/>
          <w:sz w:val="24"/>
          <w:szCs w:val="24"/>
        </w:rPr>
      </w:pPr>
      <w:r w:rsidRPr="006B242D">
        <w:rPr>
          <w:rFonts w:ascii="Book Antiqua" w:hAnsi="Book Antiqua"/>
          <w:sz w:val="24"/>
          <w:szCs w:val="24"/>
          <w:lang w:val="en-GB"/>
        </w:rPr>
        <w:t>The purpose of this study is an evaluation of patients with GERD with and without somatoform disorders before and after laparoscopic antireflux surgery regarding their outcome.</w:t>
      </w:r>
    </w:p>
    <w:p w:rsidR="000B23E9" w:rsidRPr="006B242D" w:rsidRDefault="000B23E9" w:rsidP="000B23E9">
      <w:pPr>
        <w:spacing w:line="360" w:lineRule="auto"/>
        <w:jc w:val="both"/>
        <w:rPr>
          <w:rFonts w:ascii="Book Antiqua" w:hAnsi="Book Antiqua" w:cs="Arial"/>
          <w:sz w:val="24"/>
          <w:szCs w:val="24"/>
          <w:lang w:eastAsia="zh-CN"/>
        </w:rPr>
      </w:pPr>
    </w:p>
    <w:p w:rsidR="00C54C76" w:rsidRPr="006B242D" w:rsidRDefault="00C54C76" w:rsidP="000B23E9">
      <w:pPr>
        <w:spacing w:line="360" w:lineRule="auto"/>
        <w:jc w:val="both"/>
        <w:rPr>
          <w:rFonts w:ascii="Book Antiqua" w:hAnsi="Book Antiqua" w:cs="Arial"/>
          <w:b/>
          <w:i/>
          <w:sz w:val="24"/>
          <w:szCs w:val="24"/>
        </w:rPr>
      </w:pPr>
      <w:r w:rsidRPr="006B242D">
        <w:rPr>
          <w:rFonts w:ascii="Book Antiqua" w:hAnsi="Book Antiqua" w:cs="Arial"/>
          <w:b/>
          <w:i/>
          <w:sz w:val="24"/>
          <w:szCs w:val="24"/>
        </w:rPr>
        <w:t>Research methods</w:t>
      </w:r>
    </w:p>
    <w:p w:rsidR="00E13865" w:rsidRPr="006B242D" w:rsidRDefault="00E13865" w:rsidP="000B23E9">
      <w:pPr>
        <w:spacing w:line="360" w:lineRule="auto"/>
        <w:jc w:val="both"/>
        <w:rPr>
          <w:rFonts w:ascii="Book Antiqua" w:hAnsi="Book Antiqua"/>
          <w:b/>
          <w:sz w:val="24"/>
          <w:szCs w:val="24"/>
          <w:lang w:val="en-GB"/>
        </w:rPr>
      </w:pPr>
      <w:r w:rsidRPr="006B242D">
        <w:rPr>
          <w:rFonts w:ascii="Book Antiqua" w:hAnsi="Book Antiqua"/>
          <w:sz w:val="24"/>
          <w:szCs w:val="24"/>
          <w:lang w:val="en-GB"/>
        </w:rPr>
        <w:t>In the largest center for benign foregut surgery in Germany patients with GERD, qualifying for antireflux surgery were investigated prospectively regarding their symptomatic spectrum in order to identify GERD and associated somatoform disorders over a period of 3 y</w:t>
      </w:r>
      <w:r w:rsidR="001B12CC" w:rsidRPr="006B242D">
        <w:rPr>
          <w:rFonts w:ascii="Book Antiqua" w:hAnsi="Book Antiqua"/>
          <w:sz w:val="24"/>
          <w:szCs w:val="24"/>
          <w:lang w:val="en-GB" w:eastAsia="zh-CN"/>
        </w:rPr>
        <w:t>ea</w:t>
      </w:r>
      <w:r w:rsidR="000B23E9" w:rsidRPr="006B242D">
        <w:rPr>
          <w:rFonts w:ascii="Book Antiqua" w:hAnsi="Book Antiqua"/>
          <w:sz w:val="24"/>
          <w:szCs w:val="24"/>
          <w:lang w:val="en-GB"/>
        </w:rPr>
        <w:t>r</w:t>
      </w:r>
      <w:r w:rsidR="001B12CC" w:rsidRPr="006B242D">
        <w:rPr>
          <w:rFonts w:ascii="Book Antiqua" w:hAnsi="Book Antiqua"/>
          <w:sz w:val="24"/>
          <w:szCs w:val="24"/>
          <w:lang w:val="en-GB" w:eastAsia="zh-CN"/>
        </w:rPr>
        <w:t>s</w:t>
      </w:r>
      <w:r w:rsidRPr="006B242D">
        <w:rPr>
          <w:rFonts w:ascii="Book Antiqua" w:hAnsi="Book Antiqua"/>
          <w:sz w:val="24"/>
          <w:szCs w:val="24"/>
          <w:lang w:val="en-GB"/>
        </w:rPr>
        <w:t xml:space="preserve"> using an instrument for the evaluation of somatoform disorders. Quality of </w:t>
      </w:r>
      <w:r w:rsidR="000B23E9" w:rsidRPr="006B242D">
        <w:rPr>
          <w:rFonts w:ascii="Book Antiqua" w:hAnsi="Book Antiqua"/>
          <w:sz w:val="24"/>
          <w:szCs w:val="24"/>
          <w:lang w:val="en-GB"/>
        </w:rPr>
        <w:t>life</w:t>
      </w:r>
      <w:r w:rsidRPr="006B242D">
        <w:rPr>
          <w:rFonts w:ascii="Book Antiqua" w:hAnsi="Book Antiqua"/>
          <w:sz w:val="24"/>
          <w:szCs w:val="24"/>
          <w:lang w:val="en-GB"/>
        </w:rPr>
        <w:t xml:space="preserve"> was evaluated by Gastrointestinal Quality of Life Index</w:t>
      </w:r>
      <w:r w:rsidR="000B23E9" w:rsidRPr="006B242D">
        <w:rPr>
          <w:rFonts w:ascii="Book Antiqua" w:hAnsi="Book Antiqua"/>
          <w:sz w:val="24"/>
          <w:szCs w:val="24"/>
          <w:lang w:val="en-GB" w:eastAsia="zh-CN"/>
        </w:rPr>
        <w:t xml:space="preserve"> (</w:t>
      </w:r>
      <w:r w:rsidR="000B23E9" w:rsidRPr="006B242D">
        <w:rPr>
          <w:rFonts w:ascii="Book Antiqua" w:hAnsi="Book Antiqua"/>
          <w:sz w:val="24"/>
          <w:szCs w:val="24"/>
          <w:lang w:val="en-GB"/>
        </w:rPr>
        <w:t>GIQLI</w:t>
      </w:r>
      <w:r w:rsidR="000B23E9" w:rsidRPr="006B242D">
        <w:rPr>
          <w:rFonts w:ascii="Book Antiqua" w:hAnsi="Book Antiqua"/>
          <w:sz w:val="24"/>
          <w:szCs w:val="24"/>
          <w:lang w:val="en-GB" w:eastAsia="zh-CN"/>
        </w:rPr>
        <w:t>)</w:t>
      </w:r>
      <w:r w:rsidRPr="006B242D">
        <w:rPr>
          <w:rFonts w:ascii="Book Antiqua" w:hAnsi="Book Antiqua"/>
          <w:sz w:val="24"/>
          <w:szCs w:val="24"/>
          <w:lang w:val="en-GB"/>
        </w:rPr>
        <w:t>. These parameters were compared depending on the group assignment of patients.</w:t>
      </w:r>
    </w:p>
    <w:p w:rsidR="000B23E9" w:rsidRPr="006B242D" w:rsidRDefault="000B23E9" w:rsidP="000B23E9">
      <w:pPr>
        <w:spacing w:line="360" w:lineRule="auto"/>
        <w:jc w:val="both"/>
        <w:rPr>
          <w:rFonts w:ascii="Book Antiqua" w:hAnsi="Book Antiqua" w:cs="Arial"/>
          <w:sz w:val="24"/>
          <w:szCs w:val="24"/>
          <w:lang w:eastAsia="zh-CN"/>
        </w:rPr>
      </w:pPr>
    </w:p>
    <w:p w:rsidR="00C54C76" w:rsidRPr="006B242D" w:rsidRDefault="00C54C76" w:rsidP="000B23E9">
      <w:pPr>
        <w:spacing w:line="360" w:lineRule="auto"/>
        <w:jc w:val="both"/>
        <w:rPr>
          <w:rFonts w:ascii="Book Antiqua" w:hAnsi="Book Antiqua" w:cs="Arial"/>
          <w:b/>
          <w:i/>
          <w:sz w:val="24"/>
          <w:szCs w:val="24"/>
        </w:rPr>
      </w:pPr>
      <w:r w:rsidRPr="006B242D">
        <w:rPr>
          <w:rFonts w:ascii="Book Antiqua" w:hAnsi="Book Antiqua" w:cs="Arial"/>
          <w:b/>
          <w:i/>
          <w:sz w:val="24"/>
          <w:szCs w:val="24"/>
        </w:rPr>
        <w:t>Research results</w:t>
      </w:r>
    </w:p>
    <w:p w:rsidR="00E13865" w:rsidRPr="006B242D" w:rsidRDefault="008C7FF8" w:rsidP="000B23E9">
      <w:pPr>
        <w:spacing w:line="360" w:lineRule="auto"/>
        <w:jc w:val="both"/>
        <w:outlineLvl w:val="0"/>
        <w:rPr>
          <w:rFonts w:ascii="Book Antiqua" w:hAnsi="Book Antiqua"/>
          <w:sz w:val="24"/>
          <w:szCs w:val="24"/>
          <w:lang w:val="en-GB"/>
        </w:rPr>
      </w:pPr>
      <w:r w:rsidRPr="006B242D">
        <w:rPr>
          <w:rFonts w:ascii="Book Antiqua" w:hAnsi="Book Antiqua"/>
          <w:sz w:val="24"/>
          <w:szCs w:val="24"/>
          <w:lang w:val="en-GB"/>
        </w:rPr>
        <w:t xml:space="preserve">One fifth of all included patients suffered from </w:t>
      </w:r>
      <w:r w:rsidR="00E13865" w:rsidRPr="006B242D">
        <w:rPr>
          <w:rFonts w:ascii="Book Antiqua" w:hAnsi="Book Antiqua"/>
          <w:sz w:val="24"/>
          <w:szCs w:val="24"/>
          <w:lang w:val="en-GB"/>
        </w:rPr>
        <w:t xml:space="preserve">somatoform tendencies </w:t>
      </w:r>
      <w:r w:rsidR="000B23E9" w:rsidRPr="006B242D">
        <w:rPr>
          <w:rFonts w:ascii="Book Antiqua" w:hAnsi="Book Antiqua"/>
          <w:sz w:val="24"/>
          <w:szCs w:val="24"/>
          <w:lang w:val="en-GB"/>
        </w:rPr>
        <w:t>(20</w:t>
      </w:r>
      <w:r w:rsidR="000B23E9" w:rsidRPr="006B242D">
        <w:rPr>
          <w:rFonts w:ascii="Book Antiqua" w:hAnsi="Book Antiqua"/>
          <w:sz w:val="24"/>
          <w:szCs w:val="24"/>
          <w:lang w:val="en-GB" w:eastAsia="zh-CN"/>
        </w:rPr>
        <w:t>.</w:t>
      </w:r>
      <w:r w:rsidRPr="006B242D">
        <w:rPr>
          <w:rFonts w:ascii="Book Antiqua" w:hAnsi="Book Antiqua"/>
          <w:sz w:val="24"/>
          <w:szCs w:val="24"/>
          <w:lang w:val="en-GB"/>
        </w:rPr>
        <w:t xml:space="preserve">48%; </w:t>
      </w:r>
      <w:r w:rsidR="00E13865" w:rsidRPr="006B242D">
        <w:rPr>
          <w:rFonts w:ascii="Book Antiqua" w:hAnsi="Book Antiqua"/>
          <w:sz w:val="24"/>
          <w:szCs w:val="24"/>
          <w:lang w:val="en-GB"/>
        </w:rPr>
        <w:t xml:space="preserve">34 patients). Patients with </w:t>
      </w:r>
      <w:r w:rsidRPr="006B242D">
        <w:rPr>
          <w:rFonts w:ascii="Book Antiqua" w:hAnsi="Book Antiqua"/>
          <w:sz w:val="24"/>
          <w:szCs w:val="24"/>
          <w:lang w:val="en-GB"/>
        </w:rPr>
        <w:t>this tendency</w:t>
      </w:r>
      <w:r w:rsidR="00E13865" w:rsidRPr="006B242D">
        <w:rPr>
          <w:rFonts w:ascii="Book Antiqua" w:hAnsi="Book Antiqua"/>
          <w:sz w:val="24"/>
          <w:szCs w:val="24"/>
          <w:lang w:val="en-GB"/>
        </w:rPr>
        <w:t xml:space="preserve"> had a preoperative GIQLI of 77 (32-111). Patients with</w:t>
      </w:r>
      <w:r w:rsidRPr="006B242D">
        <w:rPr>
          <w:rFonts w:ascii="Book Antiqua" w:hAnsi="Book Antiqua"/>
          <w:sz w:val="24"/>
          <w:szCs w:val="24"/>
          <w:lang w:val="en-GB"/>
        </w:rPr>
        <w:t xml:space="preserve">out this tendency </w:t>
      </w:r>
      <w:r w:rsidR="000C7670" w:rsidRPr="006B242D">
        <w:rPr>
          <w:rFonts w:ascii="Book Antiqua" w:hAnsi="Book Antiqua"/>
          <w:sz w:val="24"/>
          <w:szCs w:val="24"/>
          <w:lang w:val="en-GB"/>
        </w:rPr>
        <w:t xml:space="preserve">had a GIQLI of 105 (29-140; </w:t>
      </w:r>
      <w:r w:rsidR="000B23E9" w:rsidRPr="006B242D">
        <w:rPr>
          <w:rFonts w:ascii="Book Antiqua" w:hAnsi="Book Antiqua"/>
          <w:i/>
          <w:sz w:val="24"/>
          <w:szCs w:val="24"/>
          <w:lang w:val="en-GB"/>
        </w:rPr>
        <w:t>P</w:t>
      </w:r>
      <w:r w:rsidR="000B23E9" w:rsidRPr="006B242D">
        <w:rPr>
          <w:rFonts w:ascii="Book Antiqua" w:hAnsi="Book Antiqua"/>
          <w:sz w:val="24"/>
          <w:szCs w:val="24"/>
          <w:lang w:val="en-GB" w:eastAsia="zh-CN"/>
        </w:rPr>
        <w:t xml:space="preserve"> </w:t>
      </w:r>
      <w:r w:rsidR="000C7670" w:rsidRPr="006B242D">
        <w:rPr>
          <w:rFonts w:ascii="Book Antiqua" w:hAnsi="Book Antiqua"/>
          <w:sz w:val="24"/>
          <w:szCs w:val="24"/>
          <w:lang w:val="en-GB"/>
        </w:rPr>
        <w:t>&lt;</w:t>
      </w:r>
      <w:r w:rsidR="000B23E9" w:rsidRPr="006B242D">
        <w:rPr>
          <w:rFonts w:ascii="Book Antiqua" w:hAnsi="Book Antiqua"/>
          <w:sz w:val="24"/>
          <w:szCs w:val="24"/>
          <w:lang w:val="en-GB" w:eastAsia="zh-CN"/>
        </w:rPr>
        <w:t xml:space="preserve"> </w:t>
      </w:r>
      <w:r w:rsidR="000B23E9" w:rsidRPr="006B242D">
        <w:rPr>
          <w:rFonts w:ascii="Book Antiqua" w:hAnsi="Book Antiqua"/>
          <w:sz w:val="24"/>
          <w:szCs w:val="24"/>
          <w:lang w:val="en-GB"/>
        </w:rPr>
        <w:t>0</w:t>
      </w:r>
      <w:r w:rsidR="000B23E9" w:rsidRPr="006B242D">
        <w:rPr>
          <w:rFonts w:ascii="Book Antiqua" w:hAnsi="Book Antiqua"/>
          <w:sz w:val="24"/>
          <w:szCs w:val="24"/>
          <w:lang w:val="en-GB" w:eastAsia="zh-CN"/>
        </w:rPr>
        <w:t>.</w:t>
      </w:r>
      <w:r w:rsidR="000C7670" w:rsidRPr="006B242D">
        <w:rPr>
          <w:rFonts w:ascii="Book Antiqua" w:hAnsi="Book Antiqua"/>
          <w:sz w:val="24"/>
          <w:szCs w:val="24"/>
          <w:lang w:val="en-GB"/>
        </w:rPr>
        <w:t xml:space="preserve">0001). </w:t>
      </w:r>
      <w:r w:rsidR="00E13865" w:rsidRPr="006B242D">
        <w:rPr>
          <w:rFonts w:ascii="Book Antiqua" w:hAnsi="Book Antiqua"/>
          <w:sz w:val="24"/>
          <w:szCs w:val="24"/>
          <w:lang w:val="en-GB"/>
        </w:rPr>
        <w:t xml:space="preserve">Quality of </w:t>
      </w:r>
      <w:r w:rsidR="000B23E9" w:rsidRPr="006B242D">
        <w:rPr>
          <w:rFonts w:ascii="Book Antiqua" w:hAnsi="Book Antiqua"/>
          <w:sz w:val="24"/>
          <w:szCs w:val="24"/>
          <w:lang w:val="en-GB"/>
        </w:rPr>
        <w:t>l</w:t>
      </w:r>
      <w:r w:rsidR="00E13865" w:rsidRPr="006B242D">
        <w:rPr>
          <w:rFonts w:ascii="Book Antiqua" w:hAnsi="Book Antiqua"/>
          <w:sz w:val="24"/>
          <w:szCs w:val="24"/>
          <w:lang w:val="en-GB"/>
        </w:rPr>
        <w:t>ife could be normalized from preoperative reduced values of GIQLI</w:t>
      </w:r>
      <w:r w:rsidR="000B23E9" w:rsidRPr="006B242D">
        <w:rPr>
          <w:rFonts w:ascii="Book Antiqua" w:hAnsi="Book Antiqua"/>
          <w:sz w:val="24"/>
          <w:szCs w:val="24"/>
          <w:lang w:val="en-GB"/>
        </w:rPr>
        <w:t xml:space="preserve"> 102 (47-140) to postoperative </w:t>
      </w:r>
      <w:r w:rsidR="00E13865" w:rsidRPr="006B242D">
        <w:rPr>
          <w:rFonts w:ascii="Book Antiqua" w:hAnsi="Book Antiqua"/>
          <w:sz w:val="24"/>
          <w:szCs w:val="24"/>
          <w:lang w:val="en-GB"/>
        </w:rPr>
        <w:t>values of 117 (44-144)</w:t>
      </w:r>
      <w:r w:rsidR="000C7670" w:rsidRPr="006B242D">
        <w:rPr>
          <w:rFonts w:ascii="Book Antiqua" w:hAnsi="Book Antiqua"/>
          <w:sz w:val="24"/>
          <w:szCs w:val="24"/>
          <w:lang w:val="en-GB"/>
        </w:rPr>
        <w:t xml:space="preserve"> in patients with GERD. GIQLI of p</w:t>
      </w:r>
      <w:r w:rsidR="00E13865" w:rsidRPr="006B242D">
        <w:rPr>
          <w:rFonts w:ascii="Book Antiqua" w:hAnsi="Book Antiqua"/>
          <w:sz w:val="24"/>
          <w:szCs w:val="24"/>
          <w:lang w:val="en-GB"/>
        </w:rPr>
        <w:t xml:space="preserve">atients with GERD and somatoform </w:t>
      </w:r>
      <w:r w:rsidR="000C7670" w:rsidRPr="006B242D">
        <w:rPr>
          <w:rFonts w:ascii="Book Antiqua" w:hAnsi="Book Antiqua"/>
          <w:sz w:val="24"/>
          <w:szCs w:val="24"/>
          <w:lang w:val="en-GB"/>
        </w:rPr>
        <w:t>tendency</w:t>
      </w:r>
      <w:r w:rsidR="00E13865" w:rsidRPr="006B242D">
        <w:rPr>
          <w:rFonts w:ascii="Book Antiqua" w:hAnsi="Book Antiqua"/>
          <w:sz w:val="24"/>
          <w:szCs w:val="24"/>
          <w:lang w:val="en-GB"/>
        </w:rPr>
        <w:t xml:space="preserve"> was improved from preoperative GIQLI 75 (47-111</w:t>
      </w:r>
      <w:r w:rsidR="000C7670" w:rsidRPr="006B242D">
        <w:rPr>
          <w:rFonts w:ascii="Book Antiqua" w:hAnsi="Book Antiqua"/>
          <w:sz w:val="24"/>
          <w:szCs w:val="24"/>
          <w:lang w:val="en-GB"/>
        </w:rPr>
        <w:t xml:space="preserve">) to postoperative 95 (44-122; </w:t>
      </w:r>
      <w:r w:rsidR="000B23E9" w:rsidRPr="006B242D">
        <w:rPr>
          <w:rFonts w:ascii="Book Antiqua" w:hAnsi="Book Antiqua"/>
          <w:i/>
          <w:sz w:val="24"/>
          <w:szCs w:val="24"/>
          <w:lang w:val="en-GB"/>
        </w:rPr>
        <w:t>P</w:t>
      </w:r>
      <w:r w:rsidR="000B23E9" w:rsidRPr="006B242D">
        <w:rPr>
          <w:rFonts w:ascii="Book Antiqua" w:hAnsi="Book Antiqua"/>
          <w:sz w:val="24"/>
          <w:szCs w:val="24"/>
          <w:lang w:val="en-GB"/>
        </w:rPr>
        <w:t xml:space="preserve"> &lt; 0</w:t>
      </w:r>
      <w:r w:rsidR="000B23E9" w:rsidRPr="006B242D">
        <w:rPr>
          <w:rFonts w:ascii="Book Antiqua" w:hAnsi="Book Antiqua"/>
          <w:sz w:val="24"/>
          <w:szCs w:val="24"/>
          <w:lang w:val="en-GB" w:eastAsia="zh-CN"/>
        </w:rPr>
        <w:t>.</w:t>
      </w:r>
      <w:r w:rsidR="00E13865" w:rsidRPr="006B242D">
        <w:rPr>
          <w:rFonts w:ascii="Book Antiqua" w:hAnsi="Book Antiqua"/>
          <w:sz w:val="24"/>
          <w:szCs w:val="24"/>
          <w:lang w:val="en-GB"/>
        </w:rPr>
        <w:t xml:space="preserve">0043). </w:t>
      </w:r>
    </w:p>
    <w:p w:rsidR="00E13865" w:rsidRPr="006B242D" w:rsidRDefault="00E13865" w:rsidP="000B23E9">
      <w:pPr>
        <w:spacing w:line="360" w:lineRule="auto"/>
        <w:jc w:val="both"/>
        <w:rPr>
          <w:rFonts w:ascii="Book Antiqua" w:hAnsi="Book Antiqua" w:cs="Arial"/>
          <w:sz w:val="24"/>
          <w:szCs w:val="24"/>
        </w:rPr>
      </w:pPr>
    </w:p>
    <w:p w:rsidR="00C54C76" w:rsidRPr="006B242D" w:rsidRDefault="00C54C76" w:rsidP="000B23E9">
      <w:pPr>
        <w:spacing w:line="360" w:lineRule="auto"/>
        <w:jc w:val="both"/>
        <w:rPr>
          <w:rFonts w:ascii="Book Antiqua" w:hAnsi="Book Antiqua" w:cs="Arial"/>
          <w:b/>
          <w:i/>
          <w:sz w:val="24"/>
          <w:szCs w:val="24"/>
        </w:rPr>
      </w:pPr>
      <w:r w:rsidRPr="006B242D">
        <w:rPr>
          <w:rFonts w:ascii="Book Antiqua" w:hAnsi="Book Antiqua" w:cs="Arial"/>
          <w:b/>
          <w:i/>
          <w:sz w:val="24"/>
          <w:szCs w:val="24"/>
        </w:rPr>
        <w:t>Research conclusions</w:t>
      </w:r>
    </w:p>
    <w:p w:rsidR="00E13865" w:rsidRPr="006B242D" w:rsidRDefault="000C7670" w:rsidP="000B23E9">
      <w:pPr>
        <w:spacing w:line="360" w:lineRule="auto"/>
        <w:jc w:val="both"/>
        <w:outlineLvl w:val="0"/>
        <w:rPr>
          <w:rFonts w:ascii="Book Antiqua" w:hAnsi="Book Antiqua"/>
          <w:sz w:val="24"/>
          <w:szCs w:val="24"/>
          <w:lang w:val="en-GB"/>
        </w:rPr>
      </w:pPr>
      <w:r w:rsidRPr="006B242D">
        <w:rPr>
          <w:rFonts w:ascii="Book Antiqua" w:hAnsi="Book Antiqua"/>
          <w:sz w:val="24"/>
          <w:szCs w:val="24"/>
          <w:lang w:val="en-GB"/>
        </w:rPr>
        <w:t>This is the first study to show that patients with a somatoform tende</w:t>
      </w:r>
      <w:r w:rsidR="000B23E9" w:rsidRPr="006B242D">
        <w:rPr>
          <w:rFonts w:ascii="Book Antiqua" w:hAnsi="Book Antiqua"/>
          <w:sz w:val="24"/>
          <w:szCs w:val="24"/>
          <w:lang w:val="en-GB"/>
        </w:rPr>
        <w:t>ncy should not be excluded from</w:t>
      </w:r>
      <w:r w:rsidR="005B5C1F" w:rsidRPr="006B242D">
        <w:rPr>
          <w:rFonts w:ascii="Book Antiqua" w:hAnsi="Book Antiqua" w:hint="eastAsia"/>
          <w:sz w:val="24"/>
          <w:szCs w:val="24"/>
          <w:lang w:val="en-GB" w:eastAsia="zh-CN"/>
        </w:rPr>
        <w:t xml:space="preserve"> </w:t>
      </w:r>
      <w:r w:rsidRPr="006B242D">
        <w:rPr>
          <w:rFonts w:ascii="Book Antiqua" w:hAnsi="Book Antiqua"/>
          <w:sz w:val="24"/>
          <w:szCs w:val="24"/>
          <w:lang w:val="en-GB"/>
        </w:rPr>
        <w:t xml:space="preserve">surgery, however they will not reach a normal level of quality of life. </w:t>
      </w:r>
      <w:r w:rsidR="00E13865" w:rsidRPr="006B242D">
        <w:rPr>
          <w:rFonts w:ascii="Book Antiqua" w:hAnsi="Book Antiqua"/>
          <w:sz w:val="24"/>
          <w:szCs w:val="24"/>
          <w:lang w:val="en-GB"/>
        </w:rPr>
        <w:t>Patients wit</w:t>
      </w:r>
      <w:r w:rsidRPr="006B242D">
        <w:rPr>
          <w:rFonts w:ascii="Book Antiqua" w:hAnsi="Book Antiqua"/>
          <w:sz w:val="24"/>
          <w:szCs w:val="24"/>
          <w:lang w:val="en-GB"/>
        </w:rPr>
        <w:t>h GERD and</w:t>
      </w:r>
      <w:r w:rsidR="00E13865" w:rsidRPr="006B242D">
        <w:rPr>
          <w:rFonts w:ascii="Book Antiqua" w:hAnsi="Book Antiqua"/>
          <w:sz w:val="24"/>
          <w:szCs w:val="24"/>
          <w:lang w:val="en-GB"/>
        </w:rPr>
        <w:t xml:space="preserve"> somatoform disorders have </w:t>
      </w:r>
      <w:r w:rsidRPr="006B242D">
        <w:rPr>
          <w:rFonts w:ascii="Book Antiqua" w:hAnsi="Book Antiqua"/>
          <w:sz w:val="24"/>
          <w:szCs w:val="24"/>
          <w:lang w:val="en-GB"/>
        </w:rPr>
        <w:t>an impaired</w:t>
      </w:r>
      <w:r w:rsidR="00E13865" w:rsidRPr="006B242D">
        <w:rPr>
          <w:rFonts w:ascii="Book Antiqua" w:hAnsi="Book Antiqua"/>
          <w:sz w:val="24"/>
          <w:szCs w:val="24"/>
          <w:lang w:val="en-GB"/>
        </w:rPr>
        <w:t xml:space="preserve"> </w:t>
      </w:r>
      <w:r w:rsidR="000B23E9" w:rsidRPr="006B242D">
        <w:rPr>
          <w:rFonts w:ascii="Book Antiqua" w:hAnsi="Book Antiqua"/>
          <w:sz w:val="24"/>
          <w:szCs w:val="24"/>
          <w:lang w:val="en-GB"/>
        </w:rPr>
        <w:t>quality of life</w:t>
      </w:r>
      <w:r w:rsidR="00E13865" w:rsidRPr="006B242D">
        <w:rPr>
          <w:rFonts w:ascii="Book Antiqua" w:hAnsi="Book Antiqua"/>
          <w:sz w:val="24"/>
          <w:szCs w:val="24"/>
          <w:lang w:val="en-GB"/>
        </w:rPr>
        <w:t>. The latter patients can also benefit from laparoscopic fundoplication, however they will not reach a normal level.</w:t>
      </w:r>
      <w:r w:rsidRPr="006B242D">
        <w:rPr>
          <w:rFonts w:ascii="Book Antiqua" w:hAnsi="Book Antiqua"/>
          <w:sz w:val="24"/>
          <w:szCs w:val="24"/>
          <w:lang w:val="en-GB"/>
        </w:rPr>
        <w:t xml:space="preserve"> </w:t>
      </w:r>
    </w:p>
    <w:p w:rsidR="000B23E9" w:rsidRPr="006B242D" w:rsidRDefault="000B23E9" w:rsidP="000B23E9">
      <w:pPr>
        <w:spacing w:line="360" w:lineRule="auto"/>
        <w:jc w:val="both"/>
        <w:rPr>
          <w:rFonts w:ascii="Book Antiqua" w:hAnsi="Book Antiqua" w:cs="Arial"/>
          <w:sz w:val="24"/>
          <w:szCs w:val="24"/>
          <w:lang w:eastAsia="zh-CN"/>
        </w:rPr>
      </w:pPr>
    </w:p>
    <w:p w:rsidR="00C54C76" w:rsidRPr="006B242D" w:rsidRDefault="00C54C76" w:rsidP="000B23E9">
      <w:pPr>
        <w:spacing w:line="360" w:lineRule="auto"/>
        <w:jc w:val="both"/>
        <w:rPr>
          <w:rFonts w:ascii="Book Antiqua" w:hAnsi="Book Antiqua" w:cs="Arial"/>
          <w:sz w:val="24"/>
          <w:szCs w:val="24"/>
        </w:rPr>
      </w:pPr>
      <w:r w:rsidRPr="006B242D">
        <w:rPr>
          <w:rFonts w:ascii="Book Antiqua" w:hAnsi="Book Antiqua" w:cs="Arial"/>
          <w:b/>
          <w:i/>
          <w:sz w:val="24"/>
          <w:szCs w:val="24"/>
        </w:rPr>
        <w:t>Research perspectives</w:t>
      </w:r>
    </w:p>
    <w:p w:rsidR="000F06F9" w:rsidRPr="006B242D" w:rsidRDefault="000C7670" w:rsidP="005B5C1F">
      <w:pPr>
        <w:spacing w:line="360" w:lineRule="auto"/>
        <w:jc w:val="both"/>
        <w:rPr>
          <w:rFonts w:ascii="Book Antiqua" w:hAnsi="Book Antiqua" w:cs="Arial" w:hint="eastAsia"/>
          <w:sz w:val="24"/>
          <w:szCs w:val="24"/>
          <w:lang w:eastAsia="zh-CN"/>
        </w:rPr>
      </w:pPr>
      <w:r w:rsidRPr="006B242D">
        <w:rPr>
          <w:rFonts w:ascii="Book Antiqua" w:hAnsi="Book Antiqua"/>
          <w:sz w:val="24"/>
          <w:szCs w:val="24"/>
          <w:lang w:val="en-GB"/>
        </w:rPr>
        <w:t>The investigated instruments for assessment of quality of life and somatoform disorders can help to discriminate between the different symptom origins and should be used in all patients who undergo antireflux surgery.</w:t>
      </w:r>
    </w:p>
    <w:p w:rsidR="00C81488" w:rsidRPr="006B242D" w:rsidRDefault="00C54C76" w:rsidP="000B23E9">
      <w:pPr>
        <w:tabs>
          <w:tab w:val="left" w:pos="7830"/>
        </w:tabs>
        <w:spacing w:line="360" w:lineRule="auto"/>
        <w:jc w:val="both"/>
        <w:rPr>
          <w:rFonts w:ascii="Book Antiqua" w:hAnsi="Book Antiqua" w:cs="Arial"/>
          <w:b/>
          <w:sz w:val="24"/>
          <w:szCs w:val="24"/>
          <w:lang w:val="en-GB" w:eastAsia="zh-CN"/>
        </w:rPr>
      </w:pPr>
      <w:r w:rsidRPr="006B242D">
        <w:rPr>
          <w:rFonts w:ascii="Book Antiqua" w:hAnsi="Book Antiqua" w:cs="Arial"/>
          <w:b/>
          <w:sz w:val="24"/>
          <w:szCs w:val="24"/>
          <w:u w:val="single"/>
          <w:lang w:val="en-GB"/>
        </w:rPr>
        <w:br w:type="page"/>
      </w:r>
      <w:r w:rsidR="000B23E9" w:rsidRPr="006B242D">
        <w:rPr>
          <w:rFonts w:ascii="Book Antiqua" w:hAnsi="Book Antiqua" w:cs="Arial"/>
          <w:b/>
          <w:sz w:val="24"/>
          <w:szCs w:val="24"/>
          <w:lang w:val="en-GB"/>
        </w:rPr>
        <w:t>REFERENCES</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 </w:t>
      </w:r>
      <w:r w:rsidRPr="006B242D">
        <w:rPr>
          <w:rFonts w:ascii="Book Antiqua" w:hAnsi="Book Antiqua"/>
          <w:b/>
          <w:kern w:val="2"/>
          <w:sz w:val="24"/>
          <w:szCs w:val="24"/>
          <w:lang w:val="en-US" w:eastAsia="zh-CN"/>
        </w:rPr>
        <w:t>DeMeester TR</w:t>
      </w:r>
      <w:r w:rsidRPr="006B242D">
        <w:rPr>
          <w:rFonts w:ascii="Book Antiqua" w:hAnsi="Book Antiqua"/>
          <w:kern w:val="2"/>
          <w:sz w:val="24"/>
          <w:szCs w:val="24"/>
          <w:lang w:val="en-US" w:eastAsia="zh-CN"/>
        </w:rPr>
        <w:t>.</w:t>
      </w:r>
      <w:r w:rsidRPr="006B242D">
        <w:rPr>
          <w:rFonts w:ascii="Book Antiqua" w:hAnsi="Book Antiqua"/>
          <w:b/>
          <w:kern w:val="2"/>
          <w:sz w:val="24"/>
          <w:szCs w:val="24"/>
          <w:lang w:val="en-US" w:eastAsia="zh-CN"/>
        </w:rPr>
        <w:t xml:space="preserve"> </w:t>
      </w:r>
      <w:r w:rsidRPr="006B242D">
        <w:rPr>
          <w:rFonts w:ascii="Book Antiqua" w:hAnsi="Book Antiqua"/>
          <w:kern w:val="2"/>
          <w:sz w:val="24"/>
          <w:szCs w:val="24"/>
          <w:lang w:val="en-US" w:eastAsia="zh-CN"/>
        </w:rPr>
        <w:t>Definition, detection and pathophysiology of gastroesophageal reflux disease. In: DeMeester TR, Matthews HR (eds) Benign esophageal disease. International trends in general thoracic surgery. Mosby St. Louis, 1987; 99-127</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2 </w:t>
      </w:r>
      <w:r w:rsidRPr="006B242D">
        <w:rPr>
          <w:rFonts w:ascii="Book Antiqua" w:hAnsi="Book Antiqua"/>
          <w:b/>
          <w:kern w:val="2"/>
          <w:sz w:val="24"/>
          <w:szCs w:val="24"/>
          <w:lang w:val="en-US" w:eastAsia="zh-CN"/>
        </w:rPr>
        <w:t>Klauser AG</w:t>
      </w:r>
      <w:r w:rsidRPr="006B242D">
        <w:rPr>
          <w:rFonts w:ascii="Book Antiqua" w:hAnsi="Book Antiqua"/>
          <w:kern w:val="2"/>
          <w:sz w:val="24"/>
          <w:szCs w:val="24"/>
          <w:lang w:val="en-US" w:eastAsia="zh-CN"/>
        </w:rPr>
        <w:t xml:space="preserve">, Schindlbeck NE, Müller-Lissner SA. Symptoms in gastro-oesophageal reflux disease. </w:t>
      </w:r>
      <w:r w:rsidRPr="006B242D">
        <w:rPr>
          <w:rFonts w:ascii="Book Antiqua" w:hAnsi="Book Antiqua"/>
          <w:i/>
          <w:kern w:val="2"/>
          <w:sz w:val="24"/>
          <w:szCs w:val="24"/>
          <w:lang w:val="en-US" w:eastAsia="zh-CN"/>
        </w:rPr>
        <w:t>Lancet</w:t>
      </w:r>
      <w:r w:rsidRPr="006B242D">
        <w:rPr>
          <w:rFonts w:ascii="Book Antiqua" w:hAnsi="Book Antiqua"/>
          <w:kern w:val="2"/>
          <w:sz w:val="24"/>
          <w:szCs w:val="24"/>
          <w:lang w:val="en-US" w:eastAsia="zh-CN"/>
        </w:rPr>
        <w:t xml:space="preserve"> 1990; </w:t>
      </w:r>
      <w:r w:rsidRPr="006B242D">
        <w:rPr>
          <w:rFonts w:ascii="Book Antiqua" w:hAnsi="Book Antiqua"/>
          <w:b/>
          <w:kern w:val="2"/>
          <w:sz w:val="24"/>
          <w:szCs w:val="24"/>
          <w:lang w:val="en-US" w:eastAsia="zh-CN"/>
        </w:rPr>
        <w:t>335</w:t>
      </w:r>
      <w:r w:rsidRPr="006B242D">
        <w:rPr>
          <w:rFonts w:ascii="Book Antiqua" w:hAnsi="Book Antiqua"/>
          <w:kern w:val="2"/>
          <w:sz w:val="24"/>
          <w:szCs w:val="24"/>
          <w:lang w:val="en-US" w:eastAsia="zh-CN"/>
        </w:rPr>
        <w:t>: 205-208 [PMID: 1967675 DOI: 10.1016/0140-6736(90)90287-F]</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3 </w:t>
      </w:r>
      <w:r w:rsidRPr="006B242D">
        <w:rPr>
          <w:rFonts w:ascii="Book Antiqua" w:hAnsi="Book Antiqua"/>
          <w:b/>
          <w:kern w:val="2"/>
          <w:sz w:val="24"/>
          <w:szCs w:val="24"/>
          <w:lang w:val="en-US" w:eastAsia="zh-CN"/>
        </w:rPr>
        <w:t>Vakil N</w:t>
      </w:r>
      <w:r w:rsidRPr="006B242D">
        <w:rPr>
          <w:rFonts w:ascii="Book Antiqua" w:hAnsi="Book Antiqua"/>
          <w:kern w:val="2"/>
          <w:sz w:val="24"/>
          <w:szCs w:val="24"/>
          <w:lang w:val="en-US" w:eastAsia="zh-CN"/>
        </w:rPr>
        <w:t xml:space="preserve">, van Zanten SV, Kahrilas P, Dent J, Jones R; Global Consensus Group. The Montreal definition and classification of gastroesophageal reflux disease: a global evidence-based consensus. </w:t>
      </w:r>
      <w:r w:rsidRPr="006B242D">
        <w:rPr>
          <w:rFonts w:ascii="Book Antiqua" w:hAnsi="Book Antiqua"/>
          <w:i/>
          <w:kern w:val="2"/>
          <w:sz w:val="24"/>
          <w:szCs w:val="24"/>
          <w:lang w:val="en-US" w:eastAsia="zh-CN"/>
        </w:rPr>
        <w:t>Am J Gastroenterol</w:t>
      </w:r>
      <w:r w:rsidRPr="006B242D">
        <w:rPr>
          <w:rFonts w:ascii="Book Antiqua" w:hAnsi="Book Antiqua"/>
          <w:kern w:val="2"/>
          <w:sz w:val="24"/>
          <w:szCs w:val="24"/>
          <w:lang w:val="en-US" w:eastAsia="zh-CN"/>
        </w:rPr>
        <w:t xml:space="preserve"> 2006; </w:t>
      </w:r>
      <w:r w:rsidRPr="006B242D">
        <w:rPr>
          <w:rFonts w:ascii="Book Antiqua" w:hAnsi="Book Antiqua"/>
          <w:b/>
          <w:kern w:val="2"/>
          <w:sz w:val="24"/>
          <w:szCs w:val="24"/>
          <w:lang w:val="en-US" w:eastAsia="zh-CN"/>
        </w:rPr>
        <w:t>101</w:t>
      </w:r>
      <w:r w:rsidRPr="006B242D">
        <w:rPr>
          <w:rFonts w:ascii="Book Antiqua" w:hAnsi="Book Antiqua"/>
          <w:kern w:val="2"/>
          <w:sz w:val="24"/>
          <w:szCs w:val="24"/>
          <w:lang w:val="en-US" w:eastAsia="zh-CN"/>
        </w:rPr>
        <w:t>: 1900-</w:t>
      </w:r>
      <w:r w:rsidR="006A414C" w:rsidRPr="006B242D">
        <w:rPr>
          <w:rFonts w:ascii="Book Antiqua" w:hAnsi="Book Antiqua" w:hint="eastAsia"/>
          <w:kern w:val="2"/>
          <w:sz w:val="24"/>
          <w:szCs w:val="24"/>
          <w:lang w:val="en-US" w:eastAsia="zh-CN"/>
        </w:rPr>
        <w:t>19</w:t>
      </w:r>
      <w:r w:rsidRPr="006B242D">
        <w:rPr>
          <w:rFonts w:ascii="Book Antiqua" w:hAnsi="Book Antiqua"/>
          <w:kern w:val="2"/>
          <w:sz w:val="24"/>
          <w:szCs w:val="24"/>
          <w:lang w:val="en-US" w:eastAsia="zh-CN"/>
        </w:rPr>
        <w:t>20; quiz 1943 [PMID: 16928254 DOI: 10.1111/j.1572-0241.2006.00630.x]</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4 </w:t>
      </w:r>
      <w:r w:rsidRPr="006B242D">
        <w:rPr>
          <w:rFonts w:ascii="Book Antiqua" w:hAnsi="Book Antiqua"/>
          <w:b/>
          <w:kern w:val="2"/>
          <w:sz w:val="24"/>
          <w:szCs w:val="24"/>
          <w:lang w:val="en-US" w:eastAsia="zh-CN"/>
        </w:rPr>
        <w:t>Holtmann G</w:t>
      </w:r>
      <w:r w:rsidRPr="006B242D">
        <w:rPr>
          <w:rFonts w:ascii="Book Antiqua" w:hAnsi="Book Antiqua"/>
          <w:kern w:val="2"/>
          <w:sz w:val="24"/>
          <w:szCs w:val="24"/>
          <w:lang w:val="en-US" w:eastAsia="zh-CN"/>
        </w:rPr>
        <w:t xml:space="preserve">, Kutscher SU, Haag S, Langkafel M, Heuft G, Neufang-Hueber J, Goebell H, Senf W, Talley NJ. Clinical presentation and personality factors are predictors of the response to treatment in patients with functional dyspepsia; a randomized, double-blind placebo-controlled crossover study. </w:t>
      </w:r>
      <w:r w:rsidRPr="006B242D">
        <w:rPr>
          <w:rFonts w:ascii="Book Antiqua" w:hAnsi="Book Antiqua"/>
          <w:i/>
          <w:kern w:val="2"/>
          <w:sz w:val="24"/>
          <w:szCs w:val="24"/>
          <w:lang w:val="en-US" w:eastAsia="zh-CN"/>
        </w:rPr>
        <w:t>Dig Dis Sci</w:t>
      </w:r>
      <w:r w:rsidRPr="006B242D">
        <w:rPr>
          <w:rFonts w:ascii="Book Antiqua" w:hAnsi="Book Antiqua"/>
          <w:kern w:val="2"/>
          <w:sz w:val="24"/>
          <w:szCs w:val="24"/>
          <w:lang w:val="en-US" w:eastAsia="zh-CN"/>
        </w:rPr>
        <w:t xml:space="preserve"> 2004; </w:t>
      </w:r>
      <w:r w:rsidRPr="006B242D">
        <w:rPr>
          <w:rFonts w:ascii="Book Antiqua" w:hAnsi="Book Antiqua"/>
          <w:b/>
          <w:kern w:val="2"/>
          <w:sz w:val="24"/>
          <w:szCs w:val="24"/>
          <w:lang w:val="en-US" w:eastAsia="zh-CN"/>
        </w:rPr>
        <w:t>49</w:t>
      </w:r>
      <w:r w:rsidRPr="006B242D">
        <w:rPr>
          <w:rFonts w:ascii="Book Antiqua" w:hAnsi="Book Antiqua"/>
          <w:kern w:val="2"/>
          <w:sz w:val="24"/>
          <w:szCs w:val="24"/>
          <w:lang w:val="en-US" w:eastAsia="zh-CN"/>
        </w:rPr>
        <w:t>: 672-679 [PMID: 15185877 DOI: 10.1023/B:DDAS.0000026317.00071.75]</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5 </w:t>
      </w:r>
      <w:r w:rsidRPr="006B242D">
        <w:rPr>
          <w:rFonts w:ascii="Book Antiqua" w:hAnsi="Book Antiqua"/>
          <w:b/>
          <w:kern w:val="2"/>
          <w:sz w:val="24"/>
          <w:szCs w:val="24"/>
          <w:lang w:val="en-US" w:eastAsia="zh-CN"/>
        </w:rPr>
        <w:t>Clauwaert N</w:t>
      </w:r>
      <w:r w:rsidRPr="006B242D">
        <w:rPr>
          <w:rFonts w:ascii="Book Antiqua" w:hAnsi="Book Antiqua"/>
          <w:kern w:val="2"/>
          <w:sz w:val="24"/>
          <w:szCs w:val="24"/>
          <w:lang w:val="en-US" w:eastAsia="zh-CN"/>
        </w:rPr>
        <w:t xml:space="preserve">, Jones MP, Holvoet L, Vandenberghe J, Vos R, Tack J, Van Oudenhove L. Associations between gastric sensorimotor function, depression, somatization, and symptom-based subgroups in functional gastroduodenal disorders: Are all symptoms equal? </w:t>
      </w:r>
      <w:r w:rsidRPr="006B242D">
        <w:rPr>
          <w:rFonts w:ascii="Book Antiqua" w:hAnsi="Book Antiqua"/>
          <w:i/>
          <w:kern w:val="2"/>
          <w:sz w:val="24"/>
          <w:szCs w:val="24"/>
          <w:lang w:val="en-US" w:eastAsia="zh-CN"/>
        </w:rPr>
        <w:t>Neurogastroenterol Motil</w:t>
      </w:r>
      <w:r w:rsidRPr="006B242D">
        <w:rPr>
          <w:rFonts w:ascii="Book Antiqua" w:hAnsi="Book Antiqua"/>
          <w:kern w:val="2"/>
          <w:sz w:val="24"/>
          <w:szCs w:val="24"/>
          <w:lang w:val="en-US" w:eastAsia="zh-CN"/>
        </w:rPr>
        <w:t xml:space="preserve"> 2012; </w:t>
      </w:r>
      <w:r w:rsidRPr="006B242D">
        <w:rPr>
          <w:rFonts w:ascii="Book Antiqua" w:hAnsi="Book Antiqua"/>
          <w:b/>
          <w:kern w:val="2"/>
          <w:sz w:val="24"/>
          <w:szCs w:val="24"/>
          <w:lang w:val="en-US" w:eastAsia="zh-CN"/>
        </w:rPr>
        <w:t>24</w:t>
      </w:r>
      <w:r w:rsidRPr="006B242D">
        <w:rPr>
          <w:rFonts w:ascii="Book Antiqua" w:hAnsi="Book Antiqua"/>
          <w:kern w:val="2"/>
          <w:sz w:val="24"/>
          <w:szCs w:val="24"/>
          <w:lang w:val="en-US" w:eastAsia="zh-CN"/>
        </w:rPr>
        <w:t>: 1088-e565 [PMID: 22816492 DOI: 10.1111/j.1365-2982.2012.01985.x]</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6 </w:t>
      </w:r>
      <w:r w:rsidRPr="006B242D">
        <w:rPr>
          <w:rFonts w:ascii="Book Antiqua" w:hAnsi="Book Antiqua"/>
          <w:b/>
          <w:kern w:val="2"/>
          <w:sz w:val="24"/>
          <w:szCs w:val="24"/>
          <w:lang w:val="en-US" w:eastAsia="zh-CN"/>
        </w:rPr>
        <w:t>Bradley LA</w:t>
      </w:r>
      <w:r w:rsidRPr="006B242D">
        <w:rPr>
          <w:rFonts w:ascii="Book Antiqua" w:hAnsi="Book Antiqua"/>
          <w:kern w:val="2"/>
          <w:sz w:val="24"/>
          <w:szCs w:val="24"/>
          <w:lang w:val="en-US" w:eastAsia="zh-CN"/>
        </w:rPr>
        <w:t xml:space="preserve">, Richter JE, Pulliam TJ, Haile JM, Scarinci IC, Schan CA, Dalton CB, Salley AN. The relationship between stress and symptoms of gastroesophageal reflux: The influence of psychological factors. </w:t>
      </w:r>
      <w:r w:rsidRPr="006B242D">
        <w:rPr>
          <w:rFonts w:ascii="Book Antiqua" w:hAnsi="Book Antiqua"/>
          <w:i/>
          <w:kern w:val="2"/>
          <w:sz w:val="24"/>
          <w:szCs w:val="24"/>
          <w:lang w:val="en-US" w:eastAsia="zh-CN"/>
        </w:rPr>
        <w:t>Am J Gastroenterol</w:t>
      </w:r>
      <w:r w:rsidRPr="006B242D">
        <w:rPr>
          <w:rFonts w:ascii="Book Antiqua" w:hAnsi="Book Antiqua"/>
          <w:kern w:val="2"/>
          <w:sz w:val="24"/>
          <w:szCs w:val="24"/>
          <w:lang w:val="en-US" w:eastAsia="zh-CN"/>
        </w:rPr>
        <w:t xml:space="preserve"> 1993; </w:t>
      </w:r>
      <w:r w:rsidRPr="006B242D">
        <w:rPr>
          <w:rFonts w:ascii="Book Antiqua" w:hAnsi="Book Antiqua"/>
          <w:b/>
          <w:kern w:val="2"/>
          <w:sz w:val="24"/>
          <w:szCs w:val="24"/>
          <w:lang w:val="en-US" w:eastAsia="zh-CN"/>
        </w:rPr>
        <w:t>88</w:t>
      </w:r>
      <w:r w:rsidRPr="006B242D">
        <w:rPr>
          <w:rFonts w:ascii="Book Antiqua" w:hAnsi="Book Antiqua"/>
          <w:kern w:val="2"/>
          <w:sz w:val="24"/>
          <w:szCs w:val="24"/>
          <w:lang w:val="en-US" w:eastAsia="zh-CN"/>
        </w:rPr>
        <w:t>: 11-19 [PMID: 8420248 DOI: 10.1097/00001610-199312000-00015]</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7 </w:t>
      </w:r>
      <w:r w:rsidRPr="006B242D">
        <w:rPr>
          <w:rFonts w:ascii="Book Antiqua" w:hAnsi="Book Antiqua"/>
          <w:b/>
          <w:kern w:val="2"/>
          <w:sz w:val="24"/>
          <w:szCs w:val="24"/>
          <w:lang w:val="en-US" w:eastAsia="zh-CN"/>
        </w:rPr>
        <w:t>Johnston BT</w:t>
      </w:r>
      <w:r w:rsidRPr="006B242D">
        <w:rPr>
          <w:rFonts w:ascii="Book Antiqua" w:hAnsi="Book Antiqua"/>
          <w:kern w:val="2"/>
          <w:sz w:val="24"/>
          <w:szCs w:val="24"/>
          <w:lang w:val="en-US" w:eastAsia="zh-CN"/>
        </w:rPr>
        <w:t xml:space="preserve">, Lewis SA, Love AH. Stress, personality and social support in gastro-oesophageal reflux disease. </w:t>
      </w:r>
      <w:r w:rsidRPr="006B242D">
        <w:rPr>
          <w:rFonts w:ascii="Book Antiqua" w:hAnsi="Book Antiqua"/>
          <w:i/>
          <w:kern w:val="2"/>
          <w:sz w:val="24"/>
          <w:szCs w:val="24"/>
          <w:lang w:val="en-US" w:eastAsia="zh-CN"/>
        </w:rPr>
        <w:t>J Psychosom Res</w:t>
      </w:r>
      <w:r w:rsidRPr="006B242D">
        <w:rPr>
          <w:rFonts w:ascii="Book Antiqua" w:hAnsi="Book Antiqua"/>
          <w:kern w:val="2"/>
          <w:sz w:val="24"/>
          <w:szCs w:val="24"/>
          <w:lang w:val="en-US" w:eastAsia="zh-CN"/>
        </w:rPr>
        <w:t xml:space="preserve"> 1995; </w:t>
      </w:r>
      <w:r w:rsidRPr="006B242D">
        <w:rPr>
          <w:rFonts w:ascii="Book Antiqua" w:hAnsi="Book Antiqua"/>
          <w:b/>
          <w:kern w:val="2"/>
          <w:sz w:val="24"/>
          <w:szCs w:val="24"/>
          <w:lang w:val="en-US" w:eastAsia="zh-CN"/>
        </w:rPr>
        <w:t>39</w:t>
      </w:r>
      <w:r w:rsidRPr="006B242D">
        <w:rPr>
          <w:rFonts w:ascii="Book Antiqua" w:hAnsi="Book Antiqua"/>
          <w:kern w:val="2"/>
          <w:sz w:val="24"/>
          <w:szCs w:val="24"/>
          <w:lang w:val="en-US" w:eastAsia="zh-CN"/>
        </w:rPr>
        <w:t>: 221-226 [PMID: 7595880 DOI: 10.1016/0022-3999(94)00102-B]</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8 </w:t>
      </w:r>
      <w:r w:rsidRPr="006B242D">
        <w:rPr>
          <w:rFonts w:ascii="Book Antiqua" w:hAnsi="Book Antiqua"/>
          <w:b/>
          <w:kern w:val="2"/>
          <w:sz w:val="24"/>
          <w:szCs w:val="24"/>
          <w:lang w:val="en-US" w:eastAsia="zh-CN"/>
        </w:rPr>
        <w:t>Tack J</w:t>
      </w:r>
      <w:r w:rsidRPr="006B242D">
        <w:rPr>
          <w:rFonts w:ascii="Book Antiqua" w:hAnsi="Book Antiqua"/>
          <w:kern w:val="2"/>
          <w:sz w:val="24"/>
          <w:szCs w:val="24"/>
          <w:lang w:val="en-US" w:eastAsia="zh-CN"/>
        </w:rPr>
        <w:t xml:space="preserve">, Caenepeel P, Arts J, Lee KJ, Sifrim D, Janssens J. Prevalence of acid reflux in functional dyspepsia and its association with symptom profile. </w:t>
      </w:r>
      <w:r w:rsidRPr="006B242D">
        <w:rPr>
          <w:rFonts w:ascii="Book Antiqua" w:hAnsi="Book Antiqua"/>
          <w:i/>
          <w:kern w:val="2"/>
          <w:sz w:val="24"/>
          <w:szCs w:val="24"/>
          <w:lang w:val="en-US" w:eastAsia="zh-CN"/>
        </w:rPr>
        <w:t>Gut</w:t>
      </w:r>
      <w:r w:rsidRPr="006B242D">
        <w:rPr>
          <w:rFonts w:ascii="Book Antiqua" w:hAnsi="Book Antiqua"/>
          <w:kern w:val="2"/>
          <w:sz w:val="24"/>
          <w:szCs w:val="24"/>
          <w:lang w:val="en-US" w:eastAsia="zh-CN"/>
        </w:rPr>
        <w:t xml:space="preserve"> 2005; </w:t>
      </w:r>
      <w:r w:rsidRPr="006B242D">
        <w:rPr>
          <w:rFonts w:ascii="Book Antiqua" w:hAnsi="Book Antiqua"/>
          <w:b/>
          <w:kern w:val="2"/>
          <w:sz w:val="24"/>
          <w:szCs w:val="24"/>
          <w:lang w:val="en-US" w:eastAsia="zh-CN"/>
        </w:rPr>
        <w:t>54</w:t>
      </w:r>
      <w:r w:rsidRPr="006B242D">
        <w:rPr>
          <w:rFonts w:ascii="Book Antiqua" w:hAnsi="Book Antiqua"/>
          <w:kern w:val="2"/>
          <w:sz w:val="24"/>
          <w:szCs w:val="24"/>
          <w:lang w:val="en-US" w:eastAsia="zh-CN"/>
        </w:rPr>
        <w:t>: 1370-1376 [PMID: 15972301 DOI: 10.1136/gut.2004.053355]</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9 </w:t>
      </w:r>
      <w:r w:rsidRPr="006B242D">
        <w:rPr>
          <w:rFonts w:ascii="Book Antiqua" w:hAnsi="Book Antiqua"/>
          <w:b/>
          <w:kern w:val="2"/>
          <w:sz w:val="24"/>
          <w:szCs w:val="24"/>
          <w:lang w:val="en-US" w:eastAsia="zh-CN"/>
        </w:rPr>
        <w:t>Neumann H</w:t>
      </w:r>
      <w:r w:rsidRPr="006B242D">
        <w:rPr>
          <w:rFonts w:ascii="Book Antiqua" w:hAnsi="Book Antiqua"/>
          <w:kern w:val="2"/>
          <w:sz w:val="24"/>
          <w:szCs w:val="24"/>
          <w:lang w:val="en-US" w:eastAsia="zh-CN"/>
        </w:rPr>
        <w:t xml:space="preserve">, Monkemuller K, Kandulski A, Malfertheiner P. Dyspepsia and IBS symptoms in patients with NERD, ERD and Barrett's esophagus. </w:t>
      </w:r>
      <w:r w:rsidRPr="006B242D">
        <w:rPr>
          <w:rFonts w:ascii="Book Antiqua" w:hAnsi="Book Antiqua"/>
          <w:i/>
          <w:kern w:val="2"/>
          <w:sz w:val="24"/>
          <w:szCs w:val="24"/>
          <w:lang w:val="en-US" w:eastAsia="zh-CN"/>
        </w:rPr>
        <w:t>Dig Dis</w:t>
      </w:r>
      <w:r w:rsidRPr="006B242D">
        <w:rPr>
          <w:rFonts w:ascii="Book Antiqua" w:hAnsi="Book Antiqua"/>
          <w:kern w:val="2"/>
          <w:sz w:val="24"/>
          <w:szCs w:val="24"/>
          <w:lang w:val="en-US" w:eastAsia="zh-CN"/>
        </w:rPr>
        <w:t xml:space="preserve"> 2008; </w:t>
      </w:r>
      <w:r w:rsidRPr="006B242D">
        <w:rPr>
          <w:rFonts w:ascii="Book Antiqua" w:hAnsi="Book Antiqua"/>
          <w:b/>
          <w:kern w:val="2"/>
          <w:sz w:val="24"/>
          <w:szCs w:val="24"/>
          <w:lang w:val="en-US" w:eastAsia="zh-CN"/>
        </w:rPr>
        <w:t>26</w:t>
      </w:r>
      <w:r w:rsidRPr="006B242D">
        <w:rPr>
          <w:rFonts w:ascii="Book Antiqua" w:hAnsi="Book Antiqua"/>
          <w:kern w:val="2"/>
          <w:sz w:val="24"/>
          <w:szCs w:val="24"/>
          <w:lang w:val="en-US" w:eastAsia="zh-CN"/>
        </w:rPr>
        <w:t>: 243-247 [PMID: 18463443 DOI: 10.1159/000121354]</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10 </w:t>
      </w:r>
      <w:r w:rsidRPr="006B242D">
        <w:rPr>
          <w:rFonts w:ascii="Book Antiqua" w:hAnsi="Book Antiqua"/>
          <w:b/>
          <w:kern w:val="2"/>
          <w:sz w:val="24"/>
          <w:szCs w:val="24"/>
          <w:lang w:val="en-US" w:eastAsia="zh-CN"/>
        </w:rPr>
        <w:t>Fuchs KH</w:t>
      </w:r>
      <w:r w:rsidRPr="006B242D">
        <w:rPr>
          <w:rFonts w:ascii="Book Antiqua" w:hAnsi="Book Antiqua"/>
          <w:kern w:val="2"/>
          <w:sz w:val="24"/>
          <w:szCs w:val="24"/>
          <w:lang w:val="en-US" w:eastAsia="zh-CN"/>
        </w:rPr>
        <w:t xml:space="preserve">, Musial F, Ulbricht F, Breithaupt W, Reinisch A, Babic B, Fuchs H, Varga G. Foregut symptoms, somatoform tendencies, and the selection of patients for antireflux surgery. </w:t>
      </w:r>
      <w:r w:rsidRPr="006B242D">
        <w:rPr>
          <w:rFonts w:ascii="Book Antiqua" w:hAnsi="Book Antiqua"/>
          <w:i/>
          <w:kern w:val="2"/>
          <w:sz w:val="24"/>
          <w:szCs w:val="24"/>
          <w:lang w:val="en-US" w:eastAsia="zh-CN"/>
        </w:rPr>
        <w:t>Dis Esophagus</w:t>
      </w:r>
      <w:r w:rsidRPr="006B242D">
        <w:rPr>
          <w:rFonts w:ascii="Book Antiqua" w:hAnsi="Book Antiqua"/>
          <w:kern w:val="2"/>
          <w:sz w:val="24"/>
          <w:szCs w:val="24"/>
          <w:lang w:val="en-US" w:eastAsia="zh-CN"/>
        </w:rPr>
        <w:t xml:space="preserve"> 2017; </w:t>
      </w:r>
      <w:r w:rsidRPr="006B242D">
        <w:rPr>
          <w:rFonts w:ascii="Book Antiqua" w:hAnsi="Book Antiqua"/>
          <w:b/>
          <w:kern w:val="2"/>
          <w:sz w:val="24"/>
          <w:szCs w:val="24"/>
          <w:lang w:val="en-US" w:eastAsia="zh-CN"/>
        </w:rPr>
        <w:t>30</w:t>
      </w:r>
      <w:r w:rsidRPr="006B242D">
        <w:rPr>
          <w:rFonts w:ascii="Book Antiqua" w:hAnsi="Book Antiqua"/>
          <w:kern w:val="2"/>
          <w:sz w:val="24"/>
          <w:szCs w:val="24"/>
          <w:lang w:val="en-US" w:eastAsia="zh-CN"/>
        </w:rPr>
        <w:t>: 1-10 [PMID: 28475727 DOI: 10.1093/dote/dox022]</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11 </w:t>
      </w:r>
      <w:r w:rsidRPr="006B242D">
        <w:rPr>
          <w:rFonts w:ascii="Book Antiqua" w:hAnsi="Book Antiqua"/>
          <w:b/>
          <w:kern w:val="2"/>
          <w:sz w:val="24"/>
          <w:szCs w:val="24"/>
          <w:lang w:val="en-US" w:eastAsia="zh-CN"/>
        </w:rPr>
        <w:t>Costantini M</w:t>
      </w:r>
      <w:r w:rsidRPr="006B242D">
        <w:rPr>
          <w:rFonts w:ascii="Book Antiqua" w:hAnsi="Book Antiqua"/>
          <w:kern w:val="2"/>
          <w:sz w:val="24"/>
          <w:szCs w:val="24"/>
          <w:lang w:val="en-US" w:eastAsia="zh-CN"/>
        </w:rPr>
        <w:t xml:space="preserve">, Crookes PF, Bremner RM, Hoeft SF, Ehsan A, Peters JH, Bremner CG, DeMeester TR. Value of physiologic assessment of foregut symptoms in a surgical practice. </w:t>
      </w:r>
      <w:r w:rsidRPr="006B242D">
        <w:rPr>
          <w:rFonts w:ascii="Book Antiqua" w:hAnsi="Book Antiqua"/>
          <w:i/>
          <w:kern w:val="2"/>
          <w:sz w:val="24"/>
          <w:szCs w:val="24"/>
          <w:lang w:val="en-US" w:eastAsia="zh-CN"/>
        </w:rPr>
        <w:t>Surgery</w:t>
      </w:r>
      <w:r w:rsidRPr="006B242D">
        <w:rPr>
          <w:rFonts w:ascii="Book Antiqua" w:hAnsi="Book Antiqua"/>
          <w:kern w:val="2"/>
          <w:sz w:val="24"/>
          <w:szCs w:val="24"/>
          <w:lang w:val="en-US" w:eastAsia="zh-CN"/>
        </w:rPr>
        <w:t xml:space="preserve"> 1993; </w:t>
      </w:r>
      <w:r w:rsidRPr="006B242D">
        <w:rPr>
          <w:rFonts w:ascii="Book Antiqua" w:hAnsi="Book Antiqua"/>
          <w:b/>
          <w:kern w:val="2"/>
          <w:sz w:val="24"/>
          <w:szCs w:val="24"/>
          <w:lang w:val="en-US" w:eastAsia="zh-CN"/>
        </w:rPr>
        <w:t>114</w:t>
      </w:r>
      <w:r w:rsidRPr="006B242D">
        <w:rPr>
          <w:rFonts w:ascii="Book Antiqua" w:hAnsi="Book Antiqua"/>
          <w:kern w:val="2"/>
          <w:sz w:val="24"/>
          <w:szCs w:val="24"/>
          <w:lang w:val="en-US" w:eastAsia="zh-CN"/>
        </w:rPr>
        <w:t>: 780-</w:t>
      </w:r>
      <w:r w:rsidR="00E67040" w:rsidRPr="006B242D">
        <w:rPr>
          <w:rFonts w:ascii="Book Antiqua" w:hAnsi="Book Antiqua" w:hint="eastAsia"/>
          <w:kern w:val="2"/>
          <w:sz w:val="24"/>
          <w:szCs w:val="24"/>
          <w:lang w:val="en-US" w:eastAsia="zh-CN"/>
        </w:rPr>
        <w:t>78</w:t>
      </w:r>
      <w:r w:rsidRPr="006B242D">
        <w:rPr>
          <w:rFonts w:ascii="Book Antiqua" w:hAnsi="Book Antiqua"/>
          <w:kern w:val="2"/>
          <w:sz w:val="24"/>
          <w:szCs w:val="24"/>
          <w:lang w:val="en-US" w:eastAsia="zh-CN"/>
        </w:rPr>
        <w:t>6; discussion 786-</w:t>
      </w:r>
      <w:r w:rsidR="00E67040" w:rsidRPr="006B242D">
        <w:rPr>
          <w:rFonts w:ascii="Book Antiqua" w:hAnsi="Book Antiqua" w:hint="eastAsia"/>
          <w:kern w:val="2"/>
          <w:sz w:val="24"/>
          <w:szCs w:val="24"/>
          <w:lang w:val="en-US" w:eastAsia="zh-CN"/>
        </w:rPr>
        <w:t>78</w:t>
      </w:r>
      <w:r w:rsidRPr="006B242D">
        <w:rPr>
          <w:rFonts w:ascii="Book Antiqua" w:hAnsi="Book Antiqua"/>
          <w:kern w:val="2"/>
          <w:sz w:val="24"/>
          <w:szCs w:val="24"/>
          <w:lang w:val="en-US" w:eastAsia="zh-CN"/>
        </w:rPr>
        <w:t>7 [PMID: 8211694 DOI: 10.1023/A:1016656812095]</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12 </w:t>
      </w:r>
      <w:r w:rsidRPr="006B242D">
        <w:rPr>
          <w:rFonts w:ascii="Book Antiqua" w:hAnsi="Book Antiqua"/>
          <w:b/>
          <w:kern w:val="2"/>
          <w:sz w:val="24"/>
          <w:szCs w:val="24"/>
          <w:lang w:val="en-US" w:eastAsia="zh-CN"/>
        </w:rPr>
        <w:t>Fuchs KH</w:t>
      </w:r>
      <w:r w:rsidRPr="006B242D">
        <w:rPr>
          <w:rFonts w:ascii="Book Antiqua" w:hAnsi="Book Antiqua"/>
          <w:kern w:val="2"/>
          <w:sz w:val="24"/>
          <w:szCs w:val="24"/>
          <w:lang w:val="en-US" w:eastAsia="zh-CN"/>
        </w:rPr>
        <w:t xml:space="preserve">, Babic B, Breithaupt W, Dallemagne B, Fingerhut A, Furnee E, Granderath F, Horvath P, Kardos P, Pointner R, Savarino E, Van Herwaarden-Lindeboom M, Zaninotto G; European Association of Endoscopic Surgery (EAES). EAES recommendations for the management of gastroesophageal reflux disease. </w:t>
      </w:r>
      <w:r w:rsidRPr="006B242D">
        <w:rPr>
          <w:rFonts w:ascii="Book Antiqua" w:hAnsi="Book Antiqua"/>
          <w:i/>
          <w:kern w:val="2"/>
          <w:sz w:val="24"/>
          <w:szCs w:val="24"/>
          <w:lang w:val="en-US" w:eastAsia="zh-CN"/>
        </w:rPr>
        <w:t>Surg Endosc</w:t>
      </w:r>
      <w:r w:rsidRPr="006B242D">
        <w:rPr>
          <w:rFonts w:ascii="Book Antiqua" w:hAnsi="Book Antiqua"/>
          <w:kern w:val="2"/>
          <w:sz w:val="24"/>
          <w:szCs w:val="24"/>
          <w:lang w:val="en-US" w:eastAsia="zh-CN"/>
        </w:rPr>
        <w:t xml:space="preserve"> 2014; </w:t>
      </w:r>
      <w:r w:rsidRPr="006B242D">
        <w:rPr>
          <w:rFonts w:ascii="Book Antiqua" w:hAnsi="Book Antiqua"/>
          <w:b/>
          <w:kern w:val="2"/>
          <w:sz w:val="24"/>
          <w:szCs w:val="24"/>
          <w:lang w:val="en-US" w:eastAsia="zh-CN"/>
        </w:rPr>
        <w:t>28</w:t>
      </w:r>
      <w:r w:rsidRPr="006B242D">
        <w:rPr>
          <w:rFonts w:ascii="Book Antiqua" w:hAnsi="Book Antiqua"/>
          <w:kern w:val="2"/>
          <w:sz w:val="24"/>
          <w:szCs w:val="24"/>
          <w:lang w:val="en-US" w:eastAsia="zh-CN"/>
        </w:rPr>
        <w:t>: 1753-1773 [PMID: 24789125 DOI: 10.1007/s00464-014-3431-z]</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13 </w:t>
      </w:r>
      <w:r w:rsidRPr="006B242D">
        <w:rPr>
          <w:rFonts w:ascii="Book Antiqua" w:hAnsi="Book Antiqua"/>
          <w:b/>
          <w:kern w:val="2"/>
          <w:sz w:val="24"/>
          <w:szCs w:val="24"/>
          <w:lang w:val="en-US" w:eastAsia="zh-CN"/>
        </w:rPr>
        <w:t>Rief W</w:t>
      </w:r>
      <w:r w:rsidRPr="006B242D">
        <w:rPr>
          <w:rFonts w:ascii="Book Antiqua" w:hAnsi="Book Antiqua"/>
          <w:kern w:val="2"/>
          <w:sz w:val="24"/>
          <w:szCs w:val="24"/>
          <w:lang w:val="en-US" w:eastAsia="zh-CN"/>
        </w:rPr>
        <w:t xml:space="preserve">, Hiller W. Toward empirically based criteria for the classification of somatoform disorders. </w:t>
      </w:r>
      <w:r w:rsidRPr="006B242D">
        <w:rPr>
          <w:rFonts w:ascii="Book Antiqua" w:hAnsi="Book Antiqua"/>
          <w:i/>
          <w:kern w:val="2"/>
          <w:sz w:val="24"/>
          <w:szCs w:val="24"/>
          <w:lang w:val="en-US" w:eastAsia="zh-CN"/>
        </w:rPr>
        <w:t>J Psychosom Res</w:t>
      </w:r>
      <w:r w:rsidRPr="006B242D">
        <w:rPr>
          <w:rFonts w:ascii="Book Antiqua" w:hAnsi="Book Antiqua"/>
          <w:kern w:val="2"/>
          <w:sz w:val="24"/>
          <w:szCs w:val="24"/>
          <w:lang w:val="en-US" w:eastAsia="zh-CN"/>
        </w:rPr>
        <w:t xml:space="preserve"> 1999; </w:t>
      </w:r>
      <w:r w:rsidRPr="006B242D">
        <w:rPr>
          <w:rFonts w:ascii="Book Antiqua" w:hAnsi="Book Antiqua"/>
          <w:b/>
          <w:kern w:val="2"/>
          <w:sz w:val="24"/>
          <w:szCs w:val="24"/>
          <w:lang w:val="en-US" w:eastAsia="zh-CN"/>
        </w:rPr>
        <w:t>46</w:t>
      </w:r>
      <w:r w:rsidRPr="006B242D">
        <w:rPr>
          <w:rFonts w:ascii="Book Antiqua" w:hAnsi="Book Antiqua"/>
          <w:kern w:val="2"/>
          <w:sz w:val="24"/>
          <w:szCs w:val="24"/>
          <w:lang w:val="en-US" w:eastAsia="zh-CN"/>
        </w:rPr>
        <w:t>: 507-518 [PMID: 10454165 DOI: 10.1016/S0022-3999(99)00023-9]</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14 </w:t>
      </w:r>
      <w:r w:rsidRPr="006B242D">
        <w:rPr>
          <w:rFonts w:ascii="Book Antiqua" w:hAnsi="Book Antiqua"/>
          <w:b/>
          <w:kern w:val="2"/>
          <w:sz w:val="24"/>
          <w:szCs w:val="24"/>
          <w:lang w:val="en-US" w:eastAsia="zh-CN"/>
        </w:rPr>
        <w:t>Rief W</w:t>
      </w:r>
      <w:r w:rsidRPr="006B242D">
        <w:rPr>
          <w:rFonts w:ascii="Book Antiqua" w:hAnsi="Book Antiqua"/>
          <w:kern w:val="2"/>
          <w:sz w:val="24"/>
          <w:szCs w:val="24"/>
          <w:lang w:val="en-US" w:eastAsia="zh-CN"/>
        </w:rPr>
        <w:t xml:space="preserve">, Hessel A, Braehler E. Somatization symptoms and hypochondriacal features in the general population. </w:t>
      </w:r>
      <w:r w:rsidRPr="006B242D">
        <w:rPr>
          <w:rFonts w:ascii="Book Antiqua" w:hAnsi="Book Antiqua"/>
          <w:i/>
          <w:kern w:val="2"/>
          <w:sz w:val="24"/>
          <w:szCs w:val="24"/>
          <w:lang w:val="en-US" w:eastAsia="zh-CN"/>
        </w:rPr>
        <w:t>Psychosom Med</w:t>
      </w:r>
      <w:r w:rsidRPr="006B242D">
        <w:rPr>
          <w:rFonts w:ascii="Book Antiqua" w:hAnsi="Book Antiqua"/>
          <w:kern w:val="2"/>
          <w:sz w:val="24"/>
          <w:szCs w:val="24"/>
          <w:lang w:val="en-US" w:eastAsia="zh-CN"/>
        </w:rPr>
        <w:t xml:space="preserve"> 2001; </w:t>
      </w:r>
      <w:r w:rsidRPr="006B242D">
        <w:rPr>
          <w:rFonts w:ascii="Book Antiqua" w:hAnsi="Book Antiqua"/>
          <w:b/>
          <w:kern w:val="2"/>
          <w:sz w:val="24"/>
          <w:szCs w:val="24"/>
          <w:lang w:val="en-US" w:eastAsia="zh-CN"/>
        </w:rPr>
        <w:t>63</w:t>
      </w:r>
      <w:r w:rsidRPr="006B242D">
        <w:rPr>
          <w:rFonts w:ascii="Book Antiqua" w:hAnsi="Book Antiqua"/>
          <w:kern w:val="2"/>
          <w:sz w:val="24"/>
          <w:szCs w:val="24"/>
          <w:lang w:val="en-US" w:eastAsia="zh-CN"/>
        </w:rPr>
        <w:t>: 595-602 [PMID: 11485113 DOI: 10.1097/00006842-200107000-00012]</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15 </w:t>
      </w:r>
      <w:r w:rsidRPr="006B242D">
        <w:rPr>
          <w:rFonts w:ascii="Book Antiqua" w:hAnsi="Book Antiqua"/>
          <w:b/>
          <w:kern w:val="2"/>
          <w:sz w:val="24"/>
          <w:szCs w:val="24"/>
          <w:lang w:val="en-US" w:eastAsia="zh-CN"/>
        </w:rPr>
        <w:t>Rief W</w:t>
      </w:r>
      <w:r w:rsidRPr="006B242D">
        <w:rPr>
          <w:rFonts w:ascii="Book Antiqua" w:hAnsi="Book Antiqua"/>
          <w:kern w:val="2"/>
          <w:sz w:val="24"/>
          <w:szCs w:val="24"/>
          <w:lang w:val="en-US" w:eastAsia="zh-CN"/>
        </w:rPr>
        <w:t xml:space="preserve">, Hiller W. A new approach to the assessment of the treatment effects of somatoform disorders. </w:t>
      </w:r>
      <w:r w:rsidRPr="006B242D">
        <w:rPr>
          <w:rFonts w:ascii="Book Antiqua" w:hAnsi="Book Antiqua"/>
          <w:i/>
          <w:kern w:val="2"/>
          <w:sz w:val="24"/>
          <w:szCs w:val="24"/>
          <w:lang w:val="en-US" w:eastAsia="zh-CN"/>
        </w:rPr>
        <w:t>Psychosomatics</w:t>
      </w:r>
      <w:r w:rsidRPr="006B242D">
        <w:rPr>
          <w:rFonts w:ascii="Book Antiqua" w:hAnsi="Book Antiqua"/>
          <w:kern w:val="2"/>
          <w:sz w:val="24"/>
          <w:szCs w:val="24"/>
          <w:lang w:val="en-US" w:eastAsia="zh-CN"/>
        </w:rPr>
        <w:t xml:space="preserve"> 2003; </w:t>
      </w:r>
      <w:r w:rsidRPr="006B242D">
        <w:rPr>
          <w:rFonts w:ascii="Book Antiqua" w:hAnsi="Book Antiqua"/>
          <w:b/>
          <w:kern w:val="2"/>
          <w:sz w:val="24"/>
          <w:szCs w:val="24"/>
          <w:lang w:val="en-US" w:eastAsia="zh-CN"/>
        </w:rPr>
        <w:t>44</w:t>
      </w:r>
      <w:r w:rsidRPr="006B242D">
        <w:rPr>
          <w:rFonts w:ascii="Book Antiqua" w:hAnsi="Book Antiqua"/>
          <w:kern w:val="2"/>
          <w:sz w:val="24"/>
          <w:szCs w:val="24"/>
          <w:lang w:val="en-US" w:eastAsia="zh-CN"/>
        </w:rPr>
        <w:t>: 492-498 [PMID: 14597684 DOI: 10.1176/appi.psy.44.6.492]</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16 </w:t>
      </w:r>
      <w:r w:rsidRPr="006B242D">
        <w:rPr>
          <w:rFonts w:ascii="Book Antiqua" w:hAnsi="Book Antiqua"/>
          <w:b/>
          <w:kern w:val="2"/>
          <w:sz w:val="24"/>
          <w:szCs w:val="24"/>
          <w:lang w:val="en-US" w:eastAsia="zh-CN"/>
        </w:rPr>
        <w:t>Zaballa P</w:t>
      </w:r>
      <w:r w:rsidRPr="006B242D">
        <w:rPr>
          <w:rFonts w:ascii="Book Antiqua" w:hAnsi="Book Antiqua"/>
          <w:kern w:val="2"/>
          <w:sz w:val="24"/>
          <w:szCs w:val="24"/>
          <w:lang w:val="en-US" w:eastAsia="zh-CN"/>
        </w:rPr>
        <w:t xml:space="preserve">, Crega Y, Grandes G, Peralta C. The Othmer and DeSouza test for screening of somatisation disorder: Is it useful in general practice? </w:t>
      </w:r>
      <w:r w:rsidRPr="006B242D">
        <w:rPr>
          <w:rFonts w:ascii="Book Antiqua" w:hAnsi="Book Antiqua"/>
          <w:i/>
          <w:kern w:val="2"/>
          <w:sz w:val="24"/>
          <w:szCs w:val="24"/>
          <w:lang w:val="en-US" w:eastAsia="zh-CN"/>
        </w:rPr>
        <w:t>Br J Gen Pract</w:t>
      </w:r>
      <w:r w:rsidRPr="006B242D">
        <w:rPr>
          <w:rFonts w:ascii="Book Antiqua" w:hAnsi="Book Antiqua"/>
          <w:kern w:val="2"/>
          <w:sz w:val="24"/>
          <w:szCs w:val="24"/>
          <w:lang w:val="en-US" w:eastAsia="zh-CN"/>
        </w:rPr>
        <w:t xml:space="preserve"> 2001; </w:t>
      </w:r>
      <w:r w:rsidRPr="006B242D">
        <w:rPr>
          <w:rFonts w:ascii="Book Antiqua" w:hAnsi="Book Antiqua"/>
          <w:b/>
          <w:kern w:val="2"/>
          <w:sz w:val="24"/>
          <w:szCs w:val="24"/>
          <w:lang w:val="en-US" w:eastAsia="zh-CN"/>
        </w:rPr>
        <w:t>51</w:t>
      </w:r>
      <w:r w:rsidRPr="006B242D">
        <w:rPr>
          <w:rFonts w:ascii="Book Antiqua" w:hAnsi="Book Antiqua"/>
          <w:kern w:val="2"/>
          <w:sz w:val="24"/>
          <w:szCs w:val="24"/>
          <w:lang w:val="en-US" w:eastAsia="zh-CN"/>
        </w:rPr>
        <w:t>: 182-186 [PMID: 11255898 DOI: 10.3109/07853890109002070]</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17 </w:t>
      </w:r>
      <w:r w:rsidRPr="006B242D">
        <w:rPr>
          <w:rFonts w:ascii="Book Antiqua" w:hAnsi="Book Antiqua"/>
          <w:b/>
          <w:kern w:val="2"/>
          <w:sz w:val="24"/>
          <w:szCs w:val="24"/>
          <w:lang w:val="en-US" w:eastAsia="zh-CN"/>
        </w:rPr>
        <w:t>Kamolz T</w:t>
      </w:r>
      <w:r w:rsidRPr="006B242D">
        <w:rPr>
          <w:rFonts w:ascii="Book Antiqua" w:hAnsi="Book Antiqua"/>
          <w:kern w:val="2"/>
          <w:sz w:val="24"/>
          <w:szCs w:val="24"/>
          <w:lang w:val="en-US" w:eastAsia="zh-CN"/>
        </w:rPr>
        <w:t xml:space="preserve">, Granderath FA, Bammer T, Pasiut M, Pointner R. Psychological intervention influences the outcome of laparoscopic antireflux surgery in patients with stress-related symptoms of gastroesophageal reflux disease. </w:t>
      </w:r>
      <w:r w:rsidRPr="006B242D">
        <w:rPr>
          <w:rFonts w:ascii="Book Antiqua" w:hAnsi="Book Antiqua"/>
          <w:i/>
          <w:kern w:val="2"/>
          <w:sz w:val="24"/>
          <w:szCs w:val="24"/>
          <w:lang w:val="en-US" w:eastAsia="zh-CN"/>
        </w:rPr>
        <w:t>Scand J Gastroenterol</w:t>
      </w:r>
      <w:r w:rsidRPr="006B242D">
        <w:rPr>
          <w:rFonts w:ascii="Book Antiqua" w:hAnsi="Book Antiqua"/>
          <w:kern w:val="2"/>
          <w:sz w:val="24"/>
          <w:szCs w:val="24"/>
          <w:lang w:val="en-US" w:eastAsia="zh-CN"/>
        </w:rPr>
        <w:t xml:space="preserve"> 2001; </w:t>
      </w:r>
      <w:r w:rsidRPr="006B242D">
        <w:rPr>
          <w:rFonts w:ascii="Book Antiqua" w:hAnsi="Book Antiqua"/>
          <w:b/>
          <w:kern w:val="2"/>
          <w:sz w:val="24"/>
          <w:szCs w:val="24"/>
          <w:lang w:val="en-US" w:eastAsia="zh-CN"/>
        </w:rPr>
        <w:t>36</w:t>
      </w:r>
      <w:r w:rsidRPr="006B242D">
        <w:rPr>
          <w:rFonts w:ascii="Book Antiqua" w:hAnsi="Book Antiqua"/>
          <w:kern w:val="2"/>
          <w:sz w:val="24"/>
          <w:szCs w:val="24"/>
          <w:lang w:val="en-US" w:eastAsia="zh-CN"/>
        </w:rPr>
        <w:t>: 800-805 [PMID: 11495073 DOI: 10.1080/003655201750313306]</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18 </w:t>
      </w:r>
      <w:r w:rsidRPr="006B242D">
        <w:rPr>
          <w:rFonts w:ascii="Book Antiqua" w:hAnsi="Book Antiqua"/>
          <w:b/>
          <w:kern w:val="2"/>
          <w:sz w:val="24"/>
          <w:szCs w:val="24"/>
          <w:lang w:val="en-US" w:eastAsia="zh-CN"/>
        </w:rPr>
        <w:t>Velanovich V</w:t>
      </w:r>
      <w:r w:rsidRPr="006B242D">
        <w:rPr>
          <w:rFonts w:ascii="Book Antiqua" w:hAnsi="Book Antiqua"/>
          <w:kern w:val="2"/>
          <w:sz w:val="24"/>
          <w:szCs w:val="24"/>
          <w:lang w:val="en-US" w:eastAsia="zh-CN"/>
        </w:rPr>
        <w:t xml:space="preserve">, Karmy-Jones R. Psychiatric disorders affect outcomes of antireflux operations for gastroesophageal reflux disease. </w:t>
      </w:r>
      <w:r w:rsidRPr="006B242D">
        <w:rPr>
          <w:rFonts w:ascii="Book Antiqua" w:hAnsi="Book Antiqua"/>
          <w:i/>
          <w:kern w:val="2"/>
          <w:sz w:val="24"/>
          <w:szCs w:val="24"/>
          <w:lang w:val="en-US" w:eastAsia="zh-CN"/>
        </w:rPr>
        <w:t>Surg Endosc</w:t>
      </w:r>
      <w:r w:rsidRPr="006B242D">
        <w:rPr>
          <w:rFonts w:ascii="Book Antiqua" w:hAnsi="Book Antiqua"/>
          <w:kern w:val="2"/>
          <w:sz w:val="24"/>
          <w:szCs w:val="24"/>
          <w:lang w:val="en-US" w:eastAsia="zh-CN"/>
        </w:rPr>
        <w:t xml:space="preserve"> 2001; </w:t>
      </w:r>
      <w:r w:rsidRPr="006B242D">
        <w:rPr>
          <w:rFonts w:ascii="Book Antiqua" w:hAnsi="Book Antiqua"/>
          <w:b/>
          <w:kern w:val="2"/>
          <w:sz w:val="24"/>
          <w:szCs w:val="24"/>
          <w:lang w:val="en-US" w:eastAsia="zh-CN"/>
        </w:rPr>
        <w:t>15</w:t>
      </w:r>
      <w:r w:rsidRPr="006B242D">
        <w:rPr>
          <w:rFonts w:ascii="Book Antiqua" w:hAnsi="Book Antiqua"/>
          <w:kern w:val="2"/>
          <w:sz w:val="24"/>
          <w:szCs w:val="24"/>
          <w:lang w:val="en-US" w:eastAsia="zh-CN"/>
        </w:rPr>
        <w:t>: 171-175 [PMID: 11285962 DOI: 10.1007/s004640000318]</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19 </w:t>
      </w:r>
      <w:r w:rsidRPr="006B242D">
        <w:rPr>
          <w:rFonts w:ascii="Book Antiqua" w:hAnsi="Book Antiqua"/>
          <w:b/>
          <w:kern w:val="2"/>
          <w:sz w:val="24"/>
          <w:szCs w:val="24"/>
          <w:lang w:val="en-US" w:eastAsia="zh-CN"/>
        </w:rPr>
        <w:t>Mearin F</w:t>
      </w:r>
      <w:r w:rsidRPr="006B242D">
        <w:rPr>
          <w:rFonts w:ascii="Book Antiqua" w:hAnsi="Book Antiqua"/>
          <w:kern w:val="2"/>
          <w:sz w:val="24"/>
          <w:szCs w:val="24"/>
          <w:lang w:val="en-US" w:eastAsia="zh-CN"/>
        </w:rPr>
        <w:t xml:space="preserve">, Ponce J, Ponce M, Balboa A, Gónzalez MA, Zapardiel J. Frequency and clinical implications of supraesophageal and dyspeptic symptoms in gastroesophageal reflux disease. </w:t>
      </w:r>
      <w:r w:rsidRPr="006B242D">
        <w:rPr>
          <w:rFonts w:ascii="Book Antiqua" w:hAnsi="Book Antiqua"/>
          <w:i/>
          <w:kern w:val="2"/>
          <w:sz w:val="24"/>
          <w:szCs w:val="24"/>
          <w:lang w:val="en-US" w:eastAsia="zh-CN"/>
        </w:rPr>
        <w:t>Eur J Gastroenterol Hepatol</w:t>
      </w:r>
      <w:r w:rsidRPr="006B242D">
        <w:rPr>
          <w:rFonts w:ascii="Book Antiqua" w:hAnsi="Book Antiqua"/>
          <w:kern w:val="2"/>
          <w:sz w:val="24"/>
          <w:szCs w:val="24"/>
          <w:lang w:val="en-US" w:eastAsia="zh-CN"/>
        </w:rPr>
        <w:t xml:space="preserve"> 2012; </w:t>
      </w:r>
      <w:r w:rsidRPr="006B242D">
        <w:rPr>
          <w:rFonts w:ascii="Book Antiqua" w:hAnsi="Book Antiqua"/>
          <w:b/>
          <w:kern w:val="2"/>
          <w:sz w:val="24"/>
          <w:szCs w:val="24"/>
          <w:lang w:val="en-US" w:eastAsia="zh-CN"/>
        </w:rPr>
        <w:t>24</w:t>
      </w:r>
      <w:r w:rsidRPr="006B242D">
        <w:rPr>
          <w:rFonts w:ascii="Book Antiqua" w:hAnsi="Book Antiqua"/>
          <w:kern w:val="2"/>
          <w:sz w:val="24"/>
          <w:szCs w:val="24"/>
          <w:lang w:val="en-US" w:eastAsia="zh-CN"/>
        </w:rPr>
        <w:t>: 665-674 [PMID: 22330237 DOI: 10.1097/MEG.0b013e3283512139]</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20 </w:t>
      </w:r>
      <w:r w:rsidRPr="006B242D">
        <w:rPr>
          <w:rFonts w:ascii="Book Antiqua" w:hAnsi="Book Antiqua"/>
          <w:b/>
          <w:kern w:val="2"/>
          <w:sz w:val="24"/>
          <w:szCs w:val="24"/>
          <w:lang w:val="en-US" w:eastAsia="zh-CN"/>
        </w:rPr>
        <w:t>Kamolz T</w:t>
      </w:r>
      <w:r w:rsidRPr="006B242D">
        <w:rPr>
          <w:rFonts w:ascii="Book Antiqua" w:hAnsi="Book Antiqua"/>
          <w:kern w:val="2"/>
          <w:sz w:val="24"/>
          <w:szCs w:val="24"/>
          <w:lang w:val="en-US" w:eastAsia="zh-CN"/>
        </w:rPr>
        <w:t xml:space="preserve">, Granderath F, Pointner R. Laparoscopic antireflux surgery: disease-related quality of life assessment before and after surgery in GERD patients with and without Barrett's esophagus. </w:t>
      </w:r>
      <w:r w:rsidRPr="006B242D">
        <w:rPr>
          <w:rFonts w:ascii="Book Antiqua" w:hAnsi="Book Antiqua"/>
          <w:i/>
          <w:kern w:val="2"/>
          <w:sz w:val="24"/>
          <w:szCs w:val="24"/>
          <w:lang w:val="en-US" w:eastAsia="zh-CN"/>
        </w:rPr>
        <w:t>Surg Endosc</w:t>
      </w:r>
      <w:r w:rsidRPr="006B242D">
        <w:rPr>
          <w:rFonts w:ascii="Book Antiqua" w:hAnsi="Book Antiqua"/>
          <w:kern w:val="2"/>
          <w:sz w:val="24"/>
          <w:szCs w:val="24"/>
          <w:lang w:val="en-US" w:eastAsia="zh-CN"/>
        </w:rPr>
        <w:t xml:space="preserve"> 2003; </w:t>
      </w:r>
      <w:r w:rsidRPr="006B242D">
        <w:rPr>
          <w:rFonts w:ascii="Book Antiqua" w:hAnsi="Book Antiqua"/>
          <w:b/>
          <w:kern w:val="2"/>
          <w:sz w:val="24"/>
          <w:szCs w:val="24"/>
          <w:lang w:val="en-US" w:eastAsia="zh-CN"/>
        </w:rPr>
        <w:t>17</w:t>
      </w:r>
      <w:r w:rsidRPr="006B242D">
        <w:rPr>
          <w:rFonts w:ascii="Book Antiqua" w:hAnsi="Book Antiqua"/>
          <w:kern w:val="2"/>
          <w:sz w:val="24"/>
          <w:szCs w:val="24"/>
          <w:lang w:val="en-US" w:eastAsia="zh-CN"/>
        </w:rPr>
        <w:t>: 880-885 [PMID: 12618934 DOI: 10.1007/s00464-002-9158-2]</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21 </w:t>
      </w:r>
      <w:r w:rsidRPr="006B242D">
        <w:rPr>
          <w:rFonts w:ascii="Book Antiqua" w:hAnsi="Book Antiqua"/>
          <w:b/>
          <w:kern w:val="2"/>
          <w:sz w:val="24"/>
          <w:szCs w:val="24"/>
          <w:lang w:val="en-US" w:eastAsia="zh-CN"/>
        </w:rPr>
        <w:t>Eypasch E</w:t>
      </w:r>
      <w:r w:rsidRPr="006B242D">
        <w:rPr>
          <w:rFonts w:ascii="Book Antiqua" w:hAnsi="Book Antiqua"/>
          <w:kern w:val="2"/>
          <w:sz w:val="24"/>
          <w:szCs w:val="24"/>
          <w:lang w:val="en-US" w:eastAsia="zh-CN"/>
        </w:rPr>
        <w:t xml:space="preserve">, Williams JI, Wood-Dauphinee S, Ure BM, Schmülling C, Neugebauer E, Troidl H. Gastrointestinal Quality of Life Index: Development, validation and application of a new instrument. </w:t>
      </w:r>
      <w:r w:rsidRPr="006B242D">
        <w:rPr>
          <w:rFonts w:ascii="Book Antiqua" w:hAnsi="Book Antiqua"/>
          <w:i/>
          <w:kern w:val="2"/>
          <w:sz w:val="24"/>
          <w:szCs w:val="24"/>
          <w:lang w:val="en-US" w:eastAsia="zh-CN"/>
        </w:rPr>
        <w:t>Br J Surg</w:t>
      </w:r>
      <w:r w:rsidRPr="006B242D">
        <w:rPr>
          <w:rFonts w:ascii="Book Antiqua" w:hAnsi="Book Antiqua"/>
          <w:kern w:val="2"/>
          <w:sz w:val="24"/>
          <w:szCs w:val="24"/>
          <w:lang w:val="en-US" w:eastAsia="zh-CN"/>
        </w:rPr>
        <w:t xml:space="preserve"> 1995; </w:t>
      </w:r>
      <w:r w:rsidRPr="006B242D">
        <w:rPr>
          <w:rFonts w:ascii="Book Antiqua" w:hAnsi="Book Antiqua"/>
          <w:b/>
          <w:kern w:val="2"/>
          <w:sz w:val="24"/>
          <w:szCs w:val="24"/>
          <w:lang w:val="en-US" w:eastAsia="zh-CN"/>
        </w:rPr>
        <w:t>82</w:t>
      </w:r>
      <w:r w:rsidRPr="006B242D">
        <w:rPr>
          <w:rFonts w:ascii="Book Antiqua" w:hAnsi="Book Antiqua"/>
          <w:kern w:val="2"/>
          <w:sz w:val="24"/>
          <w:szCs w:val="24"/>
          <w:lang w:val="en-US" w:eastAsia="zh-CN"/>
        </w:rPr>
        <w:t>: 216-222 [PMID: 7749697 DOI: 10.1002/bjs.1800820229]</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22 </w:t>
      </w:r>
      <w:r w:rsidRPr="006B242D">
        <w:rPr>
          <w:rFonts w:ascii="Book Antiqua" w:hAnsi="Book Antiqua"/>
          <w:b/>
          <w:kern w:val="2"/>
          <w:sz w:val="24"/>
          <w:szCs w:val="24"/>
          <w:lang w:val="en-US" w:eastAsia="zh-CN"/>
        </w:rPr>
        <w:t>Fink P</w:t>
      </w:r>
      <w:r w:rsidRPr="006B242D">
        <w:rPr>
          <w:rFonts w:ascii="Book Antiqua" w:hAnsi="Book Antiqua"/>
          <w:kern w:val="2"/>
          <w:sz w:val="24"/>
          <w:szCs w:val="24"/>
          <w:lang w:val="en-US" w:eastAsia="zh-CN"/>
        </w:rPr>
        <w:t xml:space="preserve">. Surgery and medical treatment in persistent somatizing patients. </w:t>
      </w:r>
      <w:r w:rsidRPr="006B242D">
        <w:rPr>
          <w:rFonts w:ascii="Book Antiqua" w:hAnsi="Book Antiqua"/>
          <w:i/>
          <w:kern w:val="2"/>
          <w:sz w:val="24"/>
          <w:szCs w:val="24"/>
          <w:lang w:val="en-US" w:eastAsia="zh-CN"/>
        </w:rPr>
        <w:t>J Psychosom Res</w:t>
      </w:r>
      <w:r w:rsidRPr="006B242D">
        <w:rPr>
          <w:rFonts w:ascii="Book Antiqua" w:hAnsi="Book Antiqua"/>
          <w:kern w:val="2"/>
          <w:sz w:val="24"/>
          <w:szCs w:val="24"/>
          <w:lang w:val="en-US" w:eastAsia="zh-CN"/>
        </w:rPr>
        <w:t xml:space="preserve"> 1992; </w:t>
      </w:r>
      <w:r w:rsidRPr="006B242D">
        <w:rPr>
          <w:rFonts w:ascii="Book Antiqua" w:hAnsi="Book Antiqua"/>
          <w:b/>
          <w:kern w:val="2"/>
          <w:sz w:val="24"/>
          <w:szCs w:val="24"/>
          <w:lang w:val="en-US" w:eastAsia="zh-CN"/>
        </w:rPr>
        <w:t>36</w:t>
      </w:r>
      <w:r w:rsidRPr="006B242D">
        <w:rPr>
          <w:rFonts w:ascii="Book Antiqua" w:hAnsi="Book Antiqua"/>
          <w:kern w:val="2"/>
          <w:sz w:val="24"/>
          <w:szCs w:val="24"/>
          <w:lang w:val="en-US" w:eastAsia="zh-CN"/>
        </w:rPr>
        <w:t>: 439-447 [PMID: 1535658 DOI: 10.1016/0022-3999(92)90004-L]</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23 </w:t>
      </w:r>
      <w:r w:rsidRPr="006B242D">
        <w:rPr>
          <w:rFonts w:ascii="Book Antiqua" w:hAnsi="Book Antiqua"/>
          <w:b/>
          <w:kern w:val="2"/>
          <w:sz w:val="24"/>
          <w:szCs w:val="24"/>
          <w:lang w:val="en-US" w:eastAsia="zh-CN"/>
        </w:rPr>
        <w:t>Mussell M</w:t>
      </w:r>
      <w:r w:rsidRPr="006B242D">
        <w:rPr>
          <w:rFonts w:ascii="Book Antiqua" w:hAnsi="Book Antiqua"/>
          <w:kern w:val="2"/>
          <w:sz w:val="24"/>
          <w:szCs w:val="24"/>
          <w:lang w:val="en-US" w:eastAsia="zh-CN"/>
        </w:rPr>
        <w:t xml:space="preserve">, Kroenke K, Spitzer RL, Williams JB, Herzog W, Löwe B. Gastrointestinal symptoms in primary care: Prevalence and association with depression and anxiety. </w:t>
      </w:r>
      <w:r w:rsidRPr="006B242D">
        <w:rPr>
          <w:rFonts w:ascii="Book Antiqua" w:hAnsi="Book Antiqua"/>
          <w:i/>
          <w:kern w:val="2"/>
          <w:sz w:val="24"/>
          <w:szCs w:val="24"/>
          <w:lang w:val="en-US" w:eastAsia="zh-CN"/>
        </w:rPr>
        <w:t>J Psychosom Res</w:t>
      </w:r>
      <w:r w:rsidRPr="006B242D">
        <w:rPr>
          <w:rFonts w:ascii="Book Antiqua" w:hAnsi="Book Antiqua"/>
          <w:kern w:val="2"/>
          <w:sz w:val="24"/>
          <w:szCs w:val="24"/>
          <w:lang w:val="en-US" w:eastAsia="zh-CN"/>
        </w:rPr>
        <w:t xml:space="preserve"> 2008; </w:t>
      </w:r>
      <w:r w:rsidRPr="006B242D">
        <w:rPr>
          <w:rFonts w:ascii="Book Antiqua" w:hAnsi="Book Antiqua"/>
          <w:b/>
          <w:kern w:val="2"/>
          <w:sz w:val="24"/>
          <w:szCs w:val="24"/>
          <w:lang w:val="en-US" w:eastAsia="zh-CN"/>
        </w:rPr>
        <w:t>64</w:t>
      </w:r>
      <w:r w:rsidRPr="006B242D">
        <w:rPr>
          <w:rFonts w:ascii="Book Antiqua" w:hAnsi="Book Antiqua"/>
          <w:kern w:val="2"/>
          <w:sz w:val="24"/>
          <w:szCs w:val="24"/>
          <w:lang w:val="en-US" w:eastAsia="zh-CN"/>
        </w:rPr>
        <w:t>: 605-612 [PMID: 18501261 DOI: 10.1016/j.jpsychores.2008.02.019]</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24 </w:t>
      </w:r>
      <w:r w:rsidRPr="006B242D">
        <w:rPr>
          <w:rFonts w:ascii="Book Antiqua" w:hAnsi="Book Antiqua"/>
          <w:b/>
          <w:kern w:val="2"/>
          <w:sz w:val="24"/>
          <w:szCs w:val="24"/>
          <w:lang w:val="en-US" w:eastAsia="zh-CN"/>
        </w:rPr>
        <w:t>Löwe B</w:t>
      </w:r>
      <w:r w:rsidRPr="006B242D">
        <w:rPr>
          <w:rFonts w:ascii="Book Antiqua" w:hAnsi="Book Antiqua"/>
          <w:kern w:val="2"/>
          <w:sz w:val="24"/>
          <w:szCs w:val="24"/>
          <w:lang w:val="en-US" w:eastAsia="zh-CN"/>
        </w:rPr>
        <w:t xml:space="preserve">, Spitzer RL, Williams JB, Mussell M, Schellberg D, Kroenke K. Depression, anxiety and somatization in primary care: Syndrome overlap and functional impairment. </w:t>
      </w:r>
      <w:r w:rsidRPr="006B242D">
        <w:rPr>
          <w:rFonts w:ascii="Book Antiqua" w:hAnsi="Book Antiqua"/>
          <w:i/>
          <w:kern w:val="2"/>
          <w:sz w:val="24"/>
          <w:szCs w:val="24"/>
          <w:lang w:val="en-US" w:eastAsia="zh-CN"/>
        </w:rPr>
        <w:t>Gen Hosp Psychiatry</w:t>
      </w:r>
      <w:r w:rsidRPr="006B242D">
        <w:rPr>
          <w:rFonts w:ascii="Book Antiqua" w:hAnsi="Book Antiqua"/>
          <w:kern w:val="2"/>
          <w:sz w:val="24"/>
          <w:szCs w:val="24"/>
          <w:lang w:val="en-US" w:eastAsia="zh-CN"/>
        </w:rPr>
        <w:t xml:space="preserve"> 2008; </w:t>
      </w:r>
      <w:r w:rsidRPr="006B242D">
        <w:rPr>
          <w:rFonts w:ascii="Book Antiqua" w:hAnsi="Book Antiqua"/>
          <w:b/>
          <w:kern w:val="2"/>
          <w:sz w:val="24"/>
          <w:szCs w:val="24"/>
          <w:lang w:val="en-US" w:eastAsia="zh-CN"/>
        </w:rPr>
        <w:t>30</w:t>
      </w:r>
      <w:r w:rsidRPr="006B242D">
        <w:rPr>
          <w:rFonts w:ascii="Book Antiqua" w:hAnsi="Book Antiqua"/>
          <w:kern w:val="2"/>
          <w:sz w:val="24"/>
          <w:szCs w:val="24"/>
          <w:lang w:val="en-US" w:eastAsia="zh-CN"/>
        </w:rPr>
        <w:t>: 191-199 [PMID: 18433651 DOI: 10.1016/j.genhosppsych.2008.01.001]</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25 </w:t>
      </w:r>
      <w:r w:rsidRPr="006B242D">
        <w:rPr>
          <w:rFonts w:ascii="Book Antiqua" w:hAnsi="Book Antiqua"/>
          <w:b/>
          <w:kern w:val="2"/>
          <w:sz w:val="24"/>
          <w:szCs w:val="24"/>
          <w:lang w:val="en-US" w:eastAsia="zh-CN"/>
        </w:rPr>
        <w:t>Cheville AL</w:t>
      </w:r>
      <w:r w:rsidRPr="006B242D">
        <w:rPr>
          <w:rFonts w:ascii="Book Antiqua" w:hAnsi="Book Antiqua"/>
          <w:kern w:val="2"/>
          <w:sz w:val="24"/>
          <w:szCs w:val="24"/>
          <w:lang w:val="en-US" w:eastAsia="zh-CN"/>
        </w:rPr>
        <w:t xml:space="preserve">, Basford JR, Dos Santos K, Kroenke K. Symptom burden and comorbidities impact the consistency of responses on patient-reported functional outcomes. </w:t>
      </w:r>
      <w:r w:rsidRPr="006B242D">
        <w:rPr>
          <w:rFonts w:ascii="Book Antiqua" w:hAnsi="Book Antiqua"/>
          <w:i/>
          <w:kern w:val="2"/>
          <w:sz w:val="24"/>
          <w:szCs w:val="24"/>
          <w:lang w:val="en-US" w:eastAsia="zh-CN"/>
        </w:rPr>
        <w:t>Arch Phys Med Rehabil</w:t>
      </w:r>
      <w:r w:rsidRPr="006B242D">
        <w:rPr>
          <w:rFonts w:ascii="Book Antiqua" w:hAnsi="Book Antiqua"/>
          <w:kern w:val="2"/>
          <w:sz w:val="24"/>
          <w:szCs w:val="24"/>
          <w:lang w:val="en-US" w:eastAsia="zh-CN"/>
        </w:rPr>
        <w:t xml:space="preserve"> 2014; </w:t>
      </w:r>
      <w:r w:rsidRPr="006B242D">
        <w:rPr>
          <w:rFonts w:ascii="Book Antiqua" w:hAnsi="Book Antiqua"/>
          <w:b/>
          <w:kern w:val="2"/>
          <w:sz w:val="24"/>
          <w:szCs w:val="24"/>
          <w:lang w:val="en-US" w:eastAsia="zh-CN"/>
        </w:rPr>
        <w:t>95</w:t>
      </w:r>
      <w:r w:rsidRPr="006B242D">
        <w:rPr>
          <w:rFonts w:ascii="Book Antiqua" w:hAnsi="Book Antiqua"/>
          <w:kern w:val="2"/>
          <w:sz w:val="24"/>
          <w:szCs w:val="24"/>
          <w:lang w:val="en-US" w:eastAsia="zh-CN"/>
        </w:rPr>
        <w:t>: 79-86 [PMID: 23988394 DOI: 10.1016/j.apmr.2013.08.009]</w:t>
      </w:r>
    </w:p>
    <w:p w:rsidR="00F829C4" w:rsidRPr="006B242D" w:rsidRDefault="00F829C4" w:rsidP="00F829C4">
      <w:pPr>
        <w:widowControl w:val="0"/>
        <w:spacing w:line="360" w:lineRule="auto"/>
        <w:jc w:val="both"/>
        <w:rPr>
          <w:rFonts w:ascii="Book Antiqua" w:hAnsi="Book Antiqua"/>
          <w:kern w:val="2"/>
          <w:sz w:val="24"/>
          <w:szCs w:val="24"/>
          <w:lang w:val="en-US" w:eastAsia="zh-CN"/>
        </w:rPr>
      </w:pPr>
      <w:r w:rsidRPr="006B242D">
        <w:rPr>
          <w:rFonts w:ascii="Book Antiqua" w:hAnsi="Book Antiqua"/>
          <w:kern w:val="2"/>
          <w:sz w:val="24"/>
          <w:szCs w:val="24"/>
          <w:lang w:val="en-US" w:eastAsia="zh-CN"/>
        </w:rPr>
        <w:t xml:space="preserve">26 </w:t>
      </w:r>
      <w:r w:rsidRPr="006B242D">
        <w:rPr>
          <w:rFonts w:ascii="Book Antiqua" w:hAnsi="Book Antiqua"/>
          <w:b/>
          <w:kern w:val="2"/>
          <w:sz w:val="24"/>
          <w:szCs w:val="24"/>
          <w:lang w:val="en-US" w:eastAsia="zh-CN"/>
        </w:rPr>
        <w:t>Savarino E</w:t>
      </w:r>
      <w:r w:rsidRPr="006B242D">
        <w:rPr>
          <w:rFonts w:ascii="Book Antiqua" w:hAnsi="Book Antiqua"/>
          <w:kern w:val="2"/>
          <w:sz w:val="24"/>
          <w:szCs w:val="24"/>
          <w:lang w:val="en-US" w:eastAsia="zh-CN"/>
        </w:rPr>
        <w:t xml:space="preserve">, Tutuian R, Zentilin P, Dulbecco P, Pohl D, Marabotto E, Parodi A, Sammito G, Gemignani L, Bodini G, Savarino V. Characteristics of reflux episodes and symptom association in patients with erosive esophagitis and nonerosive reflux disease: Study using combined impedance-pH off therapy. </w:t>
      </w:r>
      <w:r w:rsidRPr="006B242D">
        <w:rPr>
          <w:rFonts w:ascii="Book Antiqua" w:hAnsi="Book Antiqua"/>
          <w:i/>
          <w:kern w:val="2"/>
          <w:sz w:val="24"/>
          <w:szCs w:val="24"/>
          <w:lang w:val="en-US" w:eastAsia="zh-CN"/>
        </w:rPr>
        <w:t>Am J Gastroenterol</w:t>
      </w:r>
      <w:r w:rsidRPr="006B242D">
        <w:rPr>
          <w:rFonts w:ascii="Book Antiqua" w:hAnsi="Book Antiqua"/>
          <w:kern w:val="2"/>
          <w:sz w:val="24"/>
          <w:szCs w:val="24"/>
          <w:lang w:val="en-US" w:eastAsia="zh-CN"/>
        </w:rPr>
        <w:t xml:space="preserve"> 2010; </w:t>
      </w:r>
      <w:r w:rsidRPr="006B242D">
        <w:rPr>
          <w:rFonts w:ascii="Book Antiqua" w:hAnsi="Book Antiqua"/>
          <w:b/>
          <w:kern w:val="2"/>
          <w:sz w:val="24"/>
          <w:szCs w:val="24"/>
          <w:lang w:val="en-US" w:eastAsia="zh-CN"/>
        </w:rPr>
        <w:t>105</w:t>
      </w:r>
      <w:r w:rsidRPr="006B242D">
        <w:rPr>
          <w:rFonts w:ascii="Book Antiqua" w:hAnsi="Book Antiqua"/>
          <w:kern w:val="2"/>
          <w:sz w:val="24"/>
          <w:szCs w:val="24"/>
          <w:lang w:val="en-US" w:eastAsia="zh-CN"/>
        </w:rPr>
        <w:t>: 1053-1061 [PMID: 19997095 DOI: 10.1038/ajg.2009.670]</w:t>
      </w:r>
    </w:p>
    <w:p w:rsidR="001B12CC" w:rsidRPr="006B242D" w:rsidRDefault="001B12CC" w:rsidP="001B12CC">
      <w:pPr>
        <w:wordWrap w:val="0"/>
        <w:adjustRightInd w:val="0"/>
        <w:snapToGrid w:val="0"/>
        <w:spacing w:line="360" w:lineRule="auto"/>
        <w:jc w:val="right"/>
        <w:rPr>
          <w:rFonts w:ascii="Book Antiqua" w:hAnsi="Book Antiqua"/>
          <w:color w:val="000000"/>
          <w:sz w:val="24"/>
          <w:szCs w:val="24"/>
        </w:rPr>
      </w:pPr>
      <w:bookmarkStart w:id="27" w:name="OLE_LINK139"/>
      <w:bookmarkStart w:id="28" w:name="OLE_LINK140"/>
      <w:bookmarkStart w:id="29" w:name="OLE_LINK287"/>
      <w:bookmarkStart w:id="30" w:name="OLE_LINK288"/>
      <w:bookmarkStart w:id="31" w:name="OLE_LINK70"/>
      <w:bookmarkStart w:id="32" w:name="OLE_LINK110"/>
      <w:bookmarkStart w:id="33" w:name="OLE_LINK109"/>
      <w:bookmarkStart w:id="34" w:name="OLE_LINK138"/>
      <w:bookmarkStart w:id="35" w:name="OLE_LINK72"/>
      <w:bookmarkStart w:id="36" w:name="OLE_LINK116"/>
      <w:bookmarkStart w:id="37" w:name="OLE_LINK95"/>
      <w:r w:rsidRPr="006B242D">
        <w:rPr>
          <w:rFonts w:ascii="Book Antiqua" w:hAnsi="Book Antiqua"/>
          <w:b/>
          <w:bCs/>
          <w:color w:val="000000"/>
          <w:sz w:val="24"/>
          <w:szCs w:val="24"/>
        </w:rPr>
        <w:t>P-Reviewer:</w:t>
      </w:r>
      <w:r w:rsidRPr="006B242D">
        <w:rPr>
          <w:rFonts w:ascii="Book Antiqua" w:hAnsi="Book Antiqua"/>
          <w:bCs/>
          <w:color w:val="000000"/>
          <w:sz w:val="24"/>
          <w:szCs w:val="24"/>
        </w:rPr>
        <w:t xml:space="preserve"> Herbella</w:t>
      </w:r>
      <w:r w:rsidRPr="006B242D">
        <w:rPr>
          <w:rFonts w:ascii="Book Antiqua" w:hAnsi="Book Antiqua"/>
          <w:bCs/>
          <w:color w:val="000000"/>
          <w:sz w:val="24"/>
          <w:szCs w:val="24"/>
          <w:lang w:eastAsia="zh-CN"/>
        </w:rPr>
        <w:t xml:space="preserve"> F, Park JM, Sakitani K </w:t>
      </w:r>
      <w:r w:rsidRPr="006B242D">
        <w:rPr>
          <w:rFonts w:ascii="Book Antiqua" w:hAnsi="Book Antiqua"/>
          <w:b/>
          <w:bCs/>
          <w:color w:val="000000"/>
          <w:sz w:val="24"/>
          <w:szCs w:val="24"/>
        </w:rPr>
        <w:t>S-Editor:</w:t>
      </w:r>
      <w:r w:rsidRPr="006B242D">
        <w:rPr>
          <w:rFonts w:ascii="Book Antiqua" w:hAnsi="Book Antiqua"/>
          <w:color w:val="000000"/>
          <w:sz w:val="24"/>
          <w:szCs w:val="24"/>
        </w:rPr>
        <w:t xml:space="preserve"> Yan JP</w:t>
      </w:r>
    </w:p>
    <w:p w:rsidR="001B12CC" w:rsidRPr="006B242D" w:rsidRDefault="001B12CC" w:rsidP="00E36B47">
      <w:pPr>
        <w:wordWrap w:val="0"/>
        <w:adjustRightInd w:val="0"/>
        <w:snapToGrid w:val="0"/>
        <w:spacing w:line="360" w:lineRule="auto"/>
        <w:jc w:val="right"/>
        <w:rPr>
          <w:rFonts w:ascii="Book Antiqua" w:hAnsi="Book Antiqua" w:hint="eastAsia"/>
          <w:b/>
          <w:bCs/>
          <w:color w:val="000000"/>
          <w:sz w:val="24"/>
          <w:szCs w:val="24"/>
          <w:lang w:eastAsia="zh-CN"/>
        </w:rPr>
      </w:pPr>
      <w:r w:rsidRPr="006B242D">
        <w:rPr>
          <w:rFonts w:ascii="Book Antiqua" w:hAnsi="Book Antiqua"/>
          <w:b/>
          <w:bCs/>
          <w:color w:val="000000"/>
          <w:sz w:val="24"/>
          <w:szCs w:val="24"/>
        </w:rPr>
        <w:t>L-Editor:</w:t>
      </w:r>
      <w:r w:rsidRPr="006B242D">
        <w:rPr>
          <w:rFonts w:ascii="Book Antiqua" w:hAnsi="Book Antiqua"/>
          <w:color w:val="000000"/>
          <w:sz w:val="24"/>
          <w:szCs w:val="24"/>
        </w:rPr>
        <w:t xml:space="preserve"> </w:t>
      </w:r>
      <w:r w:rsidR="00E36B47">
        <w:rPr>
          <w:rFonts w:ascii="Book Antiqua" w:hAnsi="Book Antiqua" w:hint="eastAsia"/>
          <w:color w:val="000000"/>
          <w:sz w:val="24"/>
          <w:szCs w:val="24"/>
          <w:lang w:eastAsia="zh-CN"/>
        </w:rPr>
        <w:t xml:space="preserve">A </w:t>
      </w:r>
      <w:r w:rsidRPr="006B242D">
        <w:rPr>
          <w:rFonts w:ascii="Book Antiqua" w:hAnsi="Book Antiqua"/>
          <w:b/>
          <w:bCs/>
          <w:color w:val="000000"/>
          <w:sz w:val="24"/>
          <w:szCs w:val="24"/>
        </w:rPr>
        <w:t>E-Editor:</w:t>
      </w:r>
      <w:r w:rsidR="00E36B47">
        <w:rPr>
          <w:rFonts w:ascii="Book Antiqua" w:hAnsi="Book Antiqua" w:hint="eastAsia"/>
          <w:b/>
          <w:bCs/>
          <w:color w:val="000000"/>
          <w:sz w:val="24"/>
          <w:szCs w:val="24"/>
          <w:lang w:eastAsia="zh-CN"/>
        </w:rPr>
        <w:t xml:space="preserve"> </w:t>
      </w:r>
      <w:r w:rsidR="00E36B47" w:rsidRPr="00E36B47">
        <w:rPr>
          <w:rFonts w:ascii="Book Antiqua" w:hAnsi="Book Antiqua" w:hint="eastAsia"/>
          <w:bCs/>
          <w:color w:val="000000"/>
          <w:sz w:val="24"/>
          <w:szCs w:val="24"/>
          <w:lang w:eastAsia="zh-CN"/>
        </w:rPr>
        <w:t>Huang Y</w:t>
      </w:r>
    </w:p>
    <w:bookmarkEnd w:id="27"/>
    <w:bookmarkEnd w:id="28"/>
    <w:p w:rsidR="001B12CC" w:rsidRPr="006B242D" w:rsidRDefault="001B12CC" w:rsidP="001B12CC">
      <w:pPr>
        <w:spacing w:line="360" w:lineRule="auto"/>
        <w:rPr>
          <w:rFonts w:ascii="Book Antiqua" w:hAnsi="Book Antiqua" w:cs="宋体"/>
          <w:sz w:val="24"/>
          <w:szCs w:val="24"/>
        </w:rPr>
      </w:pPr>
      <w:r w:rsidRPr="006B242D">
        <w:rPr>
          <w:rFonts w:ascii="Book Antiqua" w:hAnsi="Book Antiqua" w:cs="宋体"/>
          <w:b/>
          <w:sz w:val="24"/>
          <w:szCs w:val="24"/>
        </w:rPr>
        <w:t xml:space="preserve">Specialty type: </w:t>
      </w:r>
      <w:r w:rsidRPr="006B242D">
        <w:rPr>
          <w:rFonts w:ascii="Book Antiqua" w:eastAsia="微软雅黑" w:hAnsi="Book Antiqua" w:cs="宋体"/>
          <w:sz w:val="24"/>
          <w:szCs w:val="24"/>
        </w:rPr>
        <w:t>Gastroenterology and hepatology</w:t>
      </w:r>
      <w:r w:rsidRPr="006B242D">
        <w:rPr>
          <w:rFonts w:ascii="Book Antiqua" w:hAnsi="Book Antiqua" w:cs="宋体"/>
          <w:sz w:val="24"/>
          <w:szCs w:val="24"/>
        </w:rPr>
        <w:t xml:space="preserve"> </w:t>
      </w:r>
      <w:r w:rsidRPr="006B242D">
        <w:rPr>
          <w:rFonts w:ascii="Book Antiqua" w:hAnsi="Book Antiqua" w:cs="宋体"/>
          <w:sz w:val="24"/>
          <w:szCs w:val="24"/>
        </w:rPr>
        <w:br/>
      </w:r>
      <w:r w:rsidRPr="006B242D">
        <w:rPr>
          <w:rFonts w:ascii="Book Antiqua" w:hAnsi="Book Antiqua" w:cs="宋体"/>
          <w:b/>
          <w:sz w:val="24"/>
          <w:szCs w:val="24"/>
        </w:rPr>
        <w:t xml:space="preserve">Country of origin: </w:t>
      </w:r>
      <w:r w:rsidRPr="006B242D">
        <w:rPr>
          <w:rFonts w:ascii="Book Antiqua" w:hAnsi="Book Antiqua" w:cs="宋体"/>
          <w:sz w:val="24"/>
          <w:szCs w:val="24"/>
        </w:rPr>
        <w:t>Germany</w:t>
      </w:r>
      <w:r w:rsidRPr="006B242D">
        <w:rPr>
          <w:rFonts w:ascii="Book Antiqua" w:hAnsi="Book Antiqua" w:cs="宋体"/>
          <w:sz w:val="24"/>
          <w:szCs w:val="24"/>
        </w:rPr>
        <w:br/>
      </w:r>
      <w:r w:rsidRPr="006B242D">
        <w:rPr>
          <w:rFonts w:ascii="Book Antiqua" w:hAnsi="Book Antiqua" w:cs="宋体"/>
          <w:b/>
          <w:sz w:val="24"/>
          <w:szCs w:val="24"/>
        </w:rPr>
        <w:t>Peer-review report classification</w:t>
      </w:r>
      <w:r w:rsidRPr="006B242D">
        <w:rPr>
          <w:rFonts w:ascii="Book Antiqua" w:hAnsi="Book Antiqua" w:cs="宋体"/>
          <w:sz w:val="24"/>
          <w:szCs w:val="24"/>
        </w:rPr>
        <w:br/>
      </w:r>
      <w:r w:rsidRPr="006B242D">
        <w:rPr>
          <w:rFonts w:ascii="Book Antiqua" w:hAnsi="Book Antiqua" w:cs="宋体"/>
          <w:b/>
          <w:sz w:val="24"/>
          <w:szCs w:val="24"/>
        </w:rPr>
        <w:t xml:space="preserve">Grade A (Excellent): </w:t>
      </w:r>
      <w:r w:rsidRPr="006B242D">
        <w:rPr>
          <w:rFonts w:ascii="Book Antiqua" w:hAnsi="Book Antiqua" w:cs="宋体"/>
          <w:sz w:val="24"/>
          <w:szCs w:val="24"/>
          <w:lang w:eastAsia="zh-CN"/>
        </w:rPr>
        <w:t>0</w:t>
      </w:r>
      <w:r w:rsidRPr="006B242D">
        <w:rPr>
          <w:rFonts w:ascii="Book Antiqua" w:hAnsi="Book Antiqua" w:cs="宋体"/>
          <w:sz w:val="24"/>
          <w:szCs w:val="24"/>
        </w:rPr>
        <w:br/>
      </w:r>
      <w:r w:rsidRPr="006B242D">
        <w:rPr>
          <w:rFonts w:ascii="Book Antiqua" w:hAnsi="Book Antiqua" w:cs="宋体"/>
          <w:b/>
          <w:sz w:val="24"/>
          <w:szCs w:val="24"/>
        </w:rPr>
        <w:t xml:space="preserve">Grade B (Very good): </w:t>
      </w:r>
      <w:r w:rsidRPr="006B242D">
        <w:rPr>
          <w:rFonts w:ascii="Book Antiqua" w:hAnsi="Book Antiqua" w:cs="宋体"/>
          <w:sz w:val="24"/>
          <w:szCs w:val="24"/>
        </w:rPr>
        <w:t>B</w:t>
      </w:r>
      <w:r w:rsidRPr="006B242D">
        <w:rPr>
          <w:rFonts w:ascii="Book Antiqua" w:hAnsi="Book Antiqua" w:cs="宋体"/>
          <w:sz w:val="24"/>
          <w:szCs w:val="24"/>
        </w:rPr>
        <w:br/>
      </w:r>
      <w:r w:rsidRPr="006B242D">
        <w:rPr>
          <w:rFonts w:ascii="Book Antiqua" w:hAnsi="Book Antiqua" w:cs="宋体"/>
          <w:b/>
          <w:sz w:val="24"/>
          <w:szCs w:val="24"/>
        </w:rPr>
        <w:t xml:space="preserve">Grade C (Good): </w:t>
      </w:r>
      <w:r w:rsidRPr="006B242D">
        <w:rPr>
          <w:rFonts w:ascii="Book Antiqua" w:hAnsi="Book Antiqua" w:cs="宋体"/>
          <w:sz w:val="24"/>
          <w:szCs w:val="24"/>
          <w:lang w:eastAsia="zh-CN"/>
        </w:rPr>
        <w:t>C, C</w:t>
      </w:r>
      <w:r w:rsidRPr="006B242D">
        <w:rPr>
          <w:rFonts w:ascii="Book Antiqua" w:hAnsi="Book Antiqua" w:cs="宋体"/>
          <w:sz w:val="24"/>
          <w:szCs w:val="24"/>
        </w:rPr>
        <w:br/>
      </w:r>
      <w:r w:rsidRPr="006B242D">
        <w:rPr>
          <w:rFonts w:ascii="Book Antiqua" w:hAnsi="Book Antiqua" w:cs="宋体"/>
          <w:b/>
          <w:sz w:val="24"/>
          <w:szCs w:val="24"/>
        </w:rPr>
        <w:t xml:space="preserve">Grade D (Fair): </w:t>
      </w:r>
      <w:r w:rsidRPr="006B242D">
        <w:rPr>
          <w:rFonts w:ascii="Book Antiqua" w:hAnsi="Book Antiqua" w:cs="宋体"/>
          <w:sz w:val="24"/>
          <w:szCs w:val="24"/>
        </w:rPr>
        <w:t>0</w:t>
      </w:r>
      <w:r w:rsidRPr="006B242D">
        <w:rPr>
          <w:rFonts w:ascii="Book Antiqua" w:hAnsi="Book Antiqua" w:cs="宋体"/>
          <w:b/>
          <w:sz w:val="24"/>
          <w:szCs w:val="24"/>
        </w:rPr>
        <w:br/>
        <w:t xml:space="preserve">Grade E (Poor): </w:t>
      </w:r>
      <w:r w:rsidRPr="006B242D">
        <w:rPr>
          <w:rFonts w:ascii="Book Antiqua" w:hAnsi="Book Antiqua" w:cs="宋体"/>
          <w:sz w:val="24"/>
          <w:szCs w:val="24"/>
        </w:rPr>
        <w:t>0</w:t>
      </w:r>
    </w:p>
    <w:bookmarkEnd w:id="29"/>
    <w:bookmarkEnd w:id="30"/>
    <w:bookmarkEnd w:id="31"/>
    <w:bookmarkEnd w:id="32"/>
    <w:bookmarkEnd w:id="33"/>
    <w:bookmarkEnd w:id="34"/>
    <w:bookmarkEnd w:id="35"/>
    <w:bookmarkEnd w:id="36"/>
    <w:bookmarkEnd w:id="37"/>
    <w:p w:rsidR="001B12CC" w:rsidRPr="006B242D" w:rsidRDefault="001B12CC" w:rsidP="000B23E9">
      <w:pPr>
        <w:spacing w:line="360" w:lineRule="auto"/>
        <w:jc w:val="both"/>
        <w:rPr>
          <w:rFonts w:ascii="Book Antiqua" w:hAnsi="Book Antiqua" w:cs="Arial"/>
          <w:sz w:val="24"/>
          <w:szCs w:val="24"/>
          <w:lang w:val="en-GB" w:eastAsia="zh-CN"/>
        </w:rPr>
      </w:pPr>
    </w:p>
    <w:p w:rsidR="008B35AC" w:rsidRPr="006B242D" w:rsidRDefault="0063063A" w:rsidP="000B23E9">
      <w:pPr>
        <w:spacing w:line="360" w:lineRule="auto"/>
        <w:jc w:val="both"/>
        <w:rPr>
          <w:rFonts w:ascii="Book Antiqua" w:hAnsi="Book Antiqua" w:cs="Arial"/>
          <w:sz w:val="24"/>
          <w:szCs w:val="24"/>
          <w:lang w:val="en-GB" w:eastAsia="zh-CN"/>
        </w:rPr>
      </w:pPr>
      <w:r w:rsidRPr="006B242D">
        <w:rPr>
          <w:rFonts w:ascii="Book Antiqua" w:hAnsi="Book Antiqua" w:cs="Arial"/>
          <w:sz w:val="24"/>
          <w:szCs w:val="24"/>
          <w:lang w:val="en-GB"/>
        </w:rPr>
        <w:br w:type="page"/>
      </w:r>
      <w:r w:rsidR="00556EED" w:rsidRPr="006B242D">
        <w:rPr>
          <w:rFonts w:ascii="Book Antiqua" w:hAnsi="Book Antiqua" w:cs="Arial"/>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85pt;height:219.1pt">
            <v:imagedata r:id="rId14" o:title="figure 1"/>
          </v:shape>
        </w:pict>
      </w:r>
    </w:p>
    <w:p w:rsidR="00A41C6B" w:rsidRPr="006B242D" w:rsidRDefault="008B35AC" w:rsidP="000B23E9">
      <w:pPr>
        <w:spacing w:line="360" w:lineRule="auto"/>
        <w:jc w:val="both"/>
        <w:rPr>
          <w:rFonts w:ascii="Book Antiqua" w:hAnsi="Book Antiqua" w:cs="Arial"/>
          <w:sz w:val="24"/>
          <w:szCs w:val="24"/>
          <w:lang w:val="en-GB" w:eastAsia="zh-CN"/>
        </w:rPr>
      </w:pPr>
      <w:r w:rsidRPr="006B242D">
        <w:rPr>
          <w:rFonts w:ascii="Book Antiqua" w:hAnsi="Book Antiqua" w:cs="Arial"/>
          <w:b/>
          <w:sz w:val="24"/>
          <w:szCs w:val="24"/>
          <w:lang w:val="en-GB"/>
        </w:rPr>
        <w:t>Figure 1</w:t>
      </w:r>
      <w:r w:rsidR="00A41C6B" w:rsidRPr="006B242D">
        <w:rPr>
          <w:rFonts w:ascii="Book Antiqua" w:hAnsi="Book Antiqua" w:cs="Arial"/>
          <w:b/>
          <w:sz w:val="24"/>
          <w:szCs w:val="24"/>
          <w:lang w:val="en-GB"/>
        </w:rPr>
        <w:t xml:space="preserve"> </w:t>
      </w:r>
      <w:r w:rsidR="002E66E7" w:rsidRPr="006B242D">
        <w:rPr>
          <w:rFonts w:ascii="Book Antiqua" w:hAnsi="Book Antiqua" w:cs="Arial"/>
          <w:b/>
          <w:sz w:val="24"/>
          <w:szCs w:val="24"/>
          <w:lang w:val="en-GB"/>
        </w:rPr>
        <w:t xml:space="preserve">Incidence of somatoform </w:t>
      </w:r>
      <w:r w:rsidRPr="006B242D">
        <w:rPr>
          <w:rFonts w:ascii="Book Antiqua" w:hAnsi="Book Antiqua" w:cs="Arial"/>
          <w:b/>
          <w:sz w:val="24"/>
          <w:szCs w:val="24"/>
          <w:lang w:val="en-GB"/>
        </w:rPr>
        <w:t>s</w:t>
      </w:r>
      <w:r w:rsidR="002E66E7" w:rsidRPr="006B242D">
        <w:rPr>
          <w:rFonts w:ascii="Book Antiqua" w:hAnsi="Book Antiqua" w:cs="Arial"/>
          <w:b/>
          <w:sz w:val="24"/>
          <w:szCs w:val="24"/>
          <w:lang w:val="en-GB"/>
        </w:rPr>
        <w:t xml:space="preserve">ymptoms in patients with </w:t>
      </w:r>
      <w:r w:rsidRPr="006B242D">
        <w:rPr>
          <w:rFonts w:ascii="Book Antiqua" w:hAnsi="Book Antiqua"/>
          <w:b/>
          <w:sz w:val="24"/>
          <w:szCs w:val="24"/>
          <w:lang w:val="en-GB"/>
        </w:rPr>
        <w:t>gastroesophageal reflux disease</w:t>
      </w:r>
      <w:r w:rsidRPr="006B242D">
        <w:rPr>
          <w:rFonts w:ascii="Book Antiqua" w:hAnsi="Book Antiqua" w:cs="Arial"/>
          <w:b/>
          <w:sz w:val="24"/>
          <w:szCs w:val="24"/>
          <w:lang w:val="en-GB" w:eastAsia="zh-CN"/>
        </w:rPr>
        <w:t>.</w:t>
      </w:r>
      <w:r w:rsidR="002E66E7" w:rsidRPr="006B242D">
        <w:rPr>
          <w:rFonts w:ascii="Book Antiqua" w:hAnsi="Book Antiqua" w:cs="Arial"/>
          <w:sz w:val="24"/>
          <w:szCs w:val="24"/>
          <w:lang w:val="en-GB"/>
        </w:rPr>
        <w:t xml:space="preserve"> Group A</w:t>
      </w:r>
      <w:r w:rsidR="00C848DB" w:rsidRPr="006B242D">
        <w:rPr>
          <w:rFonts w:ascii="Book Antiqua" w:hAnsi="Book Antiqua" w:cs="Arial"/>
          <w:sz w:val="24"/>
          <w:szCs w:val="24"/>
          <w:lang w:val="en-GB"/>
        </w:rPr>
        <w:t>: patients with indication for surgery</w:t>
      </w:r>
      <w:r w:rsidR="002E66E7" w:rsidRPr="006B242D">
        <w:rPr>
          <w:rFonts w:ascii="Book Antiqua" w:hAnsi="Book Antiqua" w:cs="Arial"/>
          <w:sz w:val="24"/>
          <w:szCs w:val="24"/>
          <w:lang w:val="en-GB"/>
        </w:rPr>
        <w:t>, willing to undergo surgery</w:t>
      </w:r>
      <w:r w:rsidR="00C848DB" w:rsidRPr="006B242D">
        <w:rPr>
          <w:rFonts w:ascii="Book Antiqua" w:hAnsi="Book Antiqua" w:cs="Arial"/>
          <w:sz w:val="24"/>
          <w:szCs w:val="24"/>
          <w:lang w:val="en-GB"/>
        </w:rPr>
        <w:t>. The percentage of SSI</w:t>
      </w:r>
      <w:r w:rsidRPr="006B242D">
        <w:rPr>
          <w:rFonts w:ascii="Book Antiqua" w:hAnsi="Book Antiqua" w:cs="Arial"/>
          <w:sz w:val="24"/>
          <w:szCs w:val="24"/>
          <w:lang w:val="en-GB" w:eastAsia="zh-CN"/>
        </w:rPr>
        <w:t xml:space="preserve"> </w:t>
      </w:r>
      <w:r w:rsidRPr="006B242D">
        <w:rPr>
          <w:rFonts w:ascii="Book Antiqua" w:hAnsi="Book Antiqua" w:cs="Arial"/>
          <w:sz w:val="24"/>
          <w:szCs w:val="24"/>
          <w:lang w:val="en-GB"/>
        </w:rPr>
        <w:t>≥</w:t>
      </w:r>
      <w:r w:rsidRPr="006B242D">
        <w:rPr>
          <w:rFonts w:ascii="Book Antiqua" w:hAnsi="Book Antiqua" w:cs="Arial"/>
          <w:sz w:val="24"/>
          <w:szCs w:val="24"/>
          <w:lang w:val="en-GB" w:eastAsia="zh-CN"/>
        </w:rPr>
        <w:t xml:space="preserve"> </w:t>
      </w:r>
      <w:r w:rsidR="00C848DB" w:rsidRPr="006B242D">
        <w:rPr>
          <w:rFonts w:ascii="Book Antiqua" w:hAnsi="Book Antiqua" w:cs="Arial"/>
          <w:sz w:val="24"/>
          <w:szCs w:val="24"/>
          <w:lang w:val="en-GB"/>
        </w:rPr>
        <w:t>17 was 22%; Group B:</w:t>
      </w:r>
      <w:r w:rsidR="002E66E7" w:rsidRPr="006B242D">
        <w:rPr>
          <w:rFonts w:ascii="Book Antiqua" w:hAnsi="Book Antiqua" w:cs="Arial"/>
          <w:sz w:val="24"/>
          <w:szCs w:val="24"/>
          <w:lang w:val="en-GB"/>
        </w:rPr>
        <w:t xml:space="preserve"> Patients with </w:t>
      </w:r>
      <w:r w:rsidRPr="006B242D">
        <w:rPr>
          <w:rFonts w:ascii="Book Antiqua" w:hAnsi="Book Antiqua" w:cs="Arial"/>
          <w:sz w:val="24"/>
          <w:szCs w:val="24"/>
          <w:lang w:val="en-GB" w:eastAsia="zh-CN"/>
        </w:rPr>
        <w:t xml:space="preserve">GERD </w:t>
      </w:r>
      <w:r w:rsidR="002E66E7" w:rsidRPr="006B242D">
        <w:rPr>
          <w:rFonts w:ascii="Book Antiqua" w:hAnsi="Book Antiqua" w:cs="Arial"/>
          <w:sz w:val="24"/>
          <w:szCs w:val="24"/>
          <w:lang w:val="en-GB"/>
        </w:rPr>
        <w:t>and</w:t>
      </w:r>
      <w:r w:rsidRPr="006B242D">
        <w:rPr>
          <w:rFonts w:ascii="Book Antiqua" w:hAnsi="Book Antiqua" w:cs="Arial"/>
          <w:sz w:val="24"/>
          <w:szCs w:val="24"/>
          <w:lang w:val="en-GB"/>
        </w:rPr>
        <w:t xml:space="preserve"> indication for surgery, who ha</w:t>
      </w:r>
      <w:r w:rsidRPr="006B242D">
        <w:rPr>
          <w:rFonts w:ascii="Book Antiqua" w:hAnsi="Book Antiqua" w:cs="Arial"/>
          <w:sz w:val="24"/>
          <w:szCs w:val="24"/>
          <w:lang w:val="en-GB" w:eastAsia="zh-CN"/>
        </w:rPr>
        <w:t>s</w:t>
      </w:r>
      <w:r w:rsidR="002E66E7" w:rsidRPr="006B242D">
        <w:rPr>
          <w:rFonts w:ascii="Book Antiqua" w:hAnsi="Book Antiqua" w:cs="Arial"/>
          <w:sz w:val="24"/>
          <w:szCs w:val="24"/>
          <w:lang w:val="en-GB"/>
        </w:rPr>
        <w:t xml:space="preserve"> refused antireflux surgery and have continued </w:t>
      </w:r>
      <w:r w:rsidRPr="006B242D">
        <w:rPr>
          <w:rFonts w:ascii="Book Antiqua" w:hAnsi="Book Antiqua"/>
          <w:sz w:val="24"/>
          <w:szCs w:val="24"/>
          <w:lang w:val="en-GB"/>
        </w:rPr>
        <w:t>protonpump inhibitors</w:t>
      </w:r>
      <w:r w:rsidRPr="006B242D">
        <w:rPr>
          <w:rFonts w:ascii="Book Antiqua" w:hAnsi="Book Antiqua" w:cs="Arial"/>
          <w:sz w:val="24"/>
          <w:szCs w:val="24"/>
          <w:lang w:val="en-GB"/>
        </w:rPr>
        <w:t xml:space="preserve"> t</w:t>
      </w:r>
      <w:r w:rsidR="002E66E7" w:rsidRPr="006B242D">
        <w:rPr>
          <w:rFonts w:ascii="Book Antiqua" w:hAnsi="Book Antiqua" w:cs="Arial"/>
          <w:sz w:val="24"/>
          <w:szCs w:val="24"/>
          <w:lang w:val="en-GB"/>
        </w:rPr>
        <w:t>herapy.</w:t>
      </w:r>
      <w:r w:rsidR="00C848DB" w:rsidRPr="006B242D">
        <w:rPr>
          <w:rFonts w:ascii="Book Antiqua" w:hAnsi="Book Antiqua" w:cs="Arial"/>
          <w:sz w:val="24"/>
          <w:szCs w:val="24"/>
          <w:lang w:val="en-GB"/>
        </w:rPr>
        <w:t xml:space="preserve"> The percentage of SSI</w:t>
      </w:r>
      <w:r w:rsidRPr="006B242D">
        <w:rPr>
          <w:rFonts w:ascii="Book Antiqua" w:hAnsi="Book Antiqua" w:cs="Arial"/>
          <w:sz w:val="24"/>
          <w:szCs w:val="24"/>
          <w:lang w:val="en-GB" w:eastAsia="zh-CN"/>
        </w:rPr>
        <w:t xml:space="preserve"> </w:t>
      </w:r>
      <w:r w:rsidRPr="006B242D">
        <w:rPr>
          <w:rFonts w:ascii="Book Antiqua" w:hAnsi="Book Antiqua" w:cs="Arial"/>
          <w:sz w:val="24"/>
          <w:szCs w:val="24"/>
          <w:lang w:val="en-GB"/>
        </w:rPr>
        <w:t>≥</w:t>
      </w:r>
      <w:r w:rsidRPr="006B242D">
        <w:rPr>
          <w:rFonts w:ascii="Book Antiqua" w:hAnsi="Book Antiqua" w:cs="Arial"/>
          <w:sz w:val="24"/>
          <w:szCs w:val="24"/>
          <w:lang w:val="en-GB" w:eastAsia="zh-CN"/>
        </w:rPr>
        <w:t xml:space="preserve"> </w:t>
      </w:r>
      <w:r w:rsidR="00C848DB" w:rsidRPr="006B242D">
        <w:rPr>
          <w:rFonts w:ascii="Book Antiqua" w:hAnsi="Book Antiqua" w:cs="Arial"/>
          <w:sz w:val="24"/>
          <w:szCs w:val="24"/>
          <w:lang w:val="en-GB"/>
        </w:rPr>
        <w:t>17 was 20%.</w:t>
      </w:r>
      <w:r w:rsidRPr="006B242D">
        <w:rPr>
          <w:rFonts w:ascii="Book Antiqua" w:hAnsi="Book Antiqua" w:cs="Arial"/>
          <w:sz w:val="24"/>
          <w:szCs w:val="24"/>
          <w:lang w:val="en-GB" w:eastAsia="zh-CN"/>
        </w:rPr>
        <w:t xml:space="preserve"> GERD: </w:t>
      </w:r>
      <w:r w:rsidRPr="006B242D">
        <w:rPr>
          <w:rFonts w:ascii="Book Antiqua" w:hAnsi="Book Antiqua"/>
          <w:sz w:val="24"/>
          <w:szCs w:val="24"/>
          <w:lang w:val="en-GB"/>
        </w:rPr>
        <w:t>Gastroesophageal reflux disease</w:t>
      </w:r>
      <w:r w:rsidRPr="006B242D">
        <w:rPr>
          <w:rFonts w:ascii="Book Antiqua" w:hAnsi="Book Antiqua"/>
          <w:sz w:val="24"/>
          <w:szCs w:val="24"/>
          <w:lang w:val="en-GB" w:eastAsia="zh-CN"/>
        </w:rPr>
        <w:t xml:space="preserve">; </w:t>
      </w:r>
      <w:r w:rsidRPr="006B242D">
        <w:rPr>
          <w:rFonts w:ascii="Book Antiqua" w:hAnsi="Book Antiqua" w:cs="Arial"/>
          <w:sz w:val="24"/>
          <w:szCs w:val="24"/>
          <w:lang w:val="en-GB"/>
        </w:rPr>
        <w:t>SSI</w:t>
      </w:r>
      <w:r w:rsidRPr="006B242D">
        <w:rPr>
          <w:rFonts w:ascii="Book Antiqua" w:hAnsi="Book Antiqua" w:cs="Arial"/>
          <w:sz w:val="24"/>
          <w:szCs w:val="24"/>
          <w:lang w:val="en-GB" w:eastAsia="zh-CN"/>
        </w:rPr>
        <w:t xml:space="preserve">: </w:t>
      </w:r>
      <w:r w:rsidRPr="006B242D">
        <w:rPr>
          <w:rFonts w:ascii="Book Antiqua" w:hAnsi="Book Antiqua"/>
          <w:sz w:val="24"/>
          <w:szCs w:val="24"/>
          <w:lang w:val="en-GB"/>
        </w:rPr>
        <w:t>Somatoform Symptom Index</w:t>
      </w:r>
      <w:r w:rsidRPr="006B242D">
        <w:rPr>
          <w:rFonts w:ascii="Book Antiqua" w:hAnsi="Book Antiqua"/>
          <w:sz w:val="24"/>
          <w:szCs w:val="24"/>
          <w:lang w:val="en-GB" w:eastAsia="zh-CN"/>
        </w:rPr>
        <w:t>.</w:t>
      </w:r>
    </w:p>
    <w:p w:rsidR="0003140C" w:rsidRPr="006B242D" w:rsidRDefault="0003140C" w:rsidP="000B23E9">
      <w:pPr>
        <w:spacing w:line="360" w:lineRule="auto"/>
        <w:jc w:val="both"/>
        <w:rPr>
          <w:rFonts w:ascii="Book Antiqua" w:hAnsi="Book Antiqua" w:cs="Arial"/>
          <w:sz w:val="24"/>
          <w:szCs w:val="24"/>
          <w:lang w:val="en-GB" w:eastAsia="zh-CN"/>
        </w:rPr>
      </w:pPr>
    </w:p>
    <w:p w:rsidR="008B35AC" w:rsidRPr="006B242D" w:rsidRDefault="008B35AC" w:rsidP="000B23E9">
      <w:pPr>
        <w:spacing w:line="360" w:lineRule="auto"/>
        <w:jc w:val="both"/>
        <w:rPr>
          <w:rFonts w:ascii="Book Antiqua" w:hAnsi="Book Antiqua" w:cs="Arial"/>
          <w:sz w:val="24"/>
          <w:szCs w:val="24"/>
          <w:lang w:val="en-GB" w:eastAsia="zh-CN"/>
        </w:rPr>
      </w:pPr>
      <w:r w:rsidRPr="006B242D">
        <w:rPr>
          <w:rFonts w:ascii="Book Antiqua" w:hAnsi="Book Antiqua" w:cs="Arial"/>
          <w:sz w:val="24"/>
          <w:szCs w:val="24"/>
          <w:lang w:val="en-GB" w:eastAsia="zh-CN"/>
        </w:rPr>
        <w:br w:type="page"/>
      </w:r>
      <w:r w:rsidRPr="006B242D">
        <w:rPr>
          <w:rFonts w:ascii="Book Antiqua" w:hAnsi="Book Antiqua" w:cs="Arial"/>
          <w:sz w:val="24"/>
          <w:szCs w:val="24"/>
          <w:lang w:val="en-GB" w:eastAsia="zh-CN"/>
        </w:rPr>
        <w:pict>
          <v:shape id="_x0000_i1026" type="#_x0000_t75" style="width:354.35pt;height:202.1pt">
            <v:imagedata r:id="rId15" o:title="figure 2"/>
          </v:shape>
        </w:pict>
      </w:r>
    </w:p>
    <w:p w:rsidR="00A41C6B" w:rsidRPr="006B242D" w:rsidRDefault="00A41C6B" w:rsidP="000B23E9">
      <w:pPr>
        <w:spacing w:line="360" w:lineRule="auto"/>
        <w:jc w:val="both"/>
        <w:rPr>
          <w:rFonts w:ascii="Book Antiqua" w:hAnsi="Book Antiqua" w:cs="Arial"/>
          <w:sz w:val="24"/>
          <w:szCs w:val="24"/>
          <w:lang w:val="en-GB" w:eastAsia="zh-CN"/>
        </w:rPr>
      </w:pPr>
      <w:r w:rsidRPr="006B242D">
        <w:rPr>
          <w:rFonts w:ascii="Book Antiqua" w:hAnsi="Book Antiqua" w:cs="Arial"/>
          <w:b/>
          <w:sz w:val="24"/>
          <w:szCs w:val="24"/>
          <w:lang w:val="en-GB"/>
        </w:rPr>
        <w:t xml:space="preserve">Figure </w:t>
      </w:r>
      <w:r w:rsidR="0003140C" w:rsidRPr="006B242D">
        <w:rPr>
          <w:rFonts w:ascii="Book Antiqua" w:hAnsi="Book Antiqua" w:cs="Arial"/>
          <w:b/>
          <w:sz w:val="24"/>
          <w:szCs w:val="24"/>
          <w:lang w:val="en-GB"/>
        </w:rPr>
        <w:t>2</w:t>
      </w:r>
      <w:r w:rsidRPr="006B242D">
        <w:rPr>
          <w:rFonts w:ascii="Book Antiqua" w:hAnsi="Book Antiqua" w:cs="Arial"/>
          <w:b/>
          <w:sz w:val="24"/>
          <w:szCs w:val="24"/>
          <w:lang w:val="en-GB"/>
        </w:rPr>
        <w:t xml:space="preserve"> </w:t>
      </w:r>
      <w:r w:rsidR="00C848DB" w:rsidRPr="006B242D">
        <w:rPr>
          <w:rFonts w:ascii="Book Antiqua" w:hAnsi="Book Antiqua" w:cs="Arial"/>
          <w:b/>
          <w:sz w:val="24"/>
          <w:szCs w:val="24"/>
          <w:lang w:val="en-GB"/>
        </w:rPr>
        <w:t xml:space="preserve">Preoperative </w:t>
      </w:r>
      <w:r w:rsidR="008B35AC" w:rsidRPr="006B242D">
        <w:rPr>
          <w:rFonts w:ascii="Book Antiqua" w:hAnsi="Book Antiqua" w:cs="Arial"/>
          <w:b/>
          <w:sz w:val="24"/>
          <w:szCs w:val="24"/>
          <w:lang w:val="en-GB"/>
        </w:rPr>
        <w:t>quality of l</w:t>
      </w:r>
      <w:r w:rsidR="002E66E7" w:rsidRPr="006B242D">
        <w:rPr>
          <w:rFonts w:ascii="Book Antiqua" w:hAnsi="Book Antiqua" w:cs="Arial"/>
          <w:b/>
          <w:sz w:val="24"/>
          <w:szCs w:val="24"/>
          <w:lang w:val="en-GB"/>
        </w:rPr>
        <w:t xml:space="preserve">ife, as measured by the </w:t>
      </w:r>
      <w:r w:rsidR="008B35AC" w:rsidRPr="006B242D">
        <w:rPr>
          <w:rFonts w:ascii="Book Antiqua" w:hAnsi="Book Antiqua"/>
          <w:b/>
          <w:sz w:val="24"/>
          <w:szCs w:val="24"/>
          <w:lang w:val="en-GB"/>
        </w:rPr>
        <w:t>Gastrointestinal Quality of Life Index</w:t>
      </w:r>
      <w:r w:rsidR="002E66E7" w:rsidRPr="006B242D">
        <w:rPr>
          <w:rFonts w:ascii="Book Antiqua" w:hAnsi="Book Antiqua" w:cs="Arial"/>
          <w:b/>
          <w:sz w:val="24"/>
          <w:szCs w:val="24"/>
          <w:lang w:val="en-GB"/>
        </w:rPr>
        <w:t xml:space="preserve"> in patients with </w:t>
      </w:r>
      <w:r w:rsidR="008B35AC" w:rsidRPr="006B242D">
        <w:rPr>
          <w:rFonts w:ascii="Book Antiqua" w:hAnsi="Book Antiqua"/>
          <w:b/>
          <w:sz w:val="24"/>
          <w:szCs w:val="24"/>
          <w:lang w:val="en-GB"/>
        </w:rPr>
        <w:t>gastroesophageal reflux disease</w:t>
      </w:r>
      <w:r w:rsidR="00B55937" w:rsidRPr="006B242D">
        <w:rPr>
          <w:rFonts w:ascii="Book Antiqua" w:hAnsi="Book Antiqua" w:cs="Arial"/>
          <w:b/>
          <w:sz w:val="24"/>
          <w:szCs w:val="24"/>
          <w:lang w:val="en-GB" w:eastAsia="zh-CN"/>
        </w:rPr>
        <w:t xml:space="preserve"> </w:t>
      </w:r>
      <w:r w:rsidR="00C848DB" w:rsidRPr="006B242D">
        <w:rPr>
          <w:rFonts w:ascii="Book Antiqua" w:hAnsi="Book Antiqua" w:cs="Arial"/>
          <w:b/>
          <w:sz w:val="24"/>
          <w:szCs w:val="24"/>
          <w:lang w:val="en-GB"/>
        </w:rPr>
        <w:t>alone</w:t>
      </w:r>
      <w:r w:rsidR="002E66E7" w:rsidRPr="006B242D">
        <w:rPr>
          <w:rFonts w:ascii="Book Antiqua" w:hAnsi="Book Antiqua" w:cs="Arial"/>
          <w:b/>
          <w:sz w:val="24"/>
          <w:szCs w:val="24"/>
          <w:lang w:val="en-GB"/>
        </w:rPr>
        <w:t xml:space="preserve"> </w:t>
      </w:r>
      <w:r w:rsidR="00C848DB" w:rsidRPr="006B242D">
        <w:rPr>
          <w:rFonts w:ascii="Book Antiqua" w:hAnsi="Book Antiqua" w:cs="Arial"/>
          <w:b/>
          <w:sz w:val="24"/>
          <w:szCs w:val="24"/>
          <w:lang w:val="en-GB"/>
        </w:rPr>
        <w:t xml:space="preserve">(median GIQLI: 105) </w:t>
      </w:r>
      <w:r w:rsidR="002E66E7" w:rsidRPr="006B242D">
        <w:rPr>
          <w:rFonts w:ascii="Book Antiqua" w:hAnsi="Book Antiqua" w:cs="Arial"/>
          <w:b/>
          <w:sz w:val="24"/>
          <w:szCs w:val="24"/>
          <w:lang w:val="en-GB"/>
        </w:rPr>
        <w:t xml:space="preserve">and patients with </w:t>
      </w:r>
      <w:r w:rsidR="00B55937" w:rsidRPr="006B242D">
        <w:rPr>
          <w:rFonts w:ascii="Book Antiqua" w:hAnsi="Book Antiqua"/>
          <w:b/>
          <w:sz w:val="24"/>
          <w:szCs w:val="24"/>
          <w:lang w:val="en-GB"/>
        </w:rPr>
        <w:t>gastroesophageal reflux disease</w:t>
      </w:r>
      <w:r w:rsidR="002E66E7" w:rsidRPr="006B242D">
        <w:rPr>
          <w:rFonts w:ascii="Book Antiqua" w:hAnsi="Book Antiqua" w:cs="Arial"/>
          <w:b/>
          <w:sz w:val="24"/>
          <w:szCs w:val="24"/>
          <w:lang w:val="en-GB"/>
        </w:rPr>
        <w:t xml:space="preserve"> and associated somatofor</w:t>
      </w:r>
      <w:r w:rsidR="00C848DB" w:rsidRPr="006B242D">
        <w:rPr>
          <w:rFonts w:ascii="Book Antiqua" w:hAnsi="Book Antiqua" w:cs="Arial"/>
          <w:b/>
          <w:sz w:val="24"/>
          <w:szCs w:val="24"/>
          <w:lang w:val="en-GB"/>
        </w:rPr>
        <w:t>m tendencies (SSI</w:t>
      </w:r>
      <w:r w:rsidR="002E66E7" w:rsidRPr="006B242D">
        <w:rPr>
          <w:rFonts w:ascii="Book Antiqua" w:hAnsi="Book Antiqua" w:cs="Arial"/>
          <w:b/>
          <w:sz w:val="24"/>
          <w:szCs w:val="24"/>
          <w:lang w:val="en-GB"/>
        </w:rPr>
        <w:t xml:space="preserve"> </w:t>
      </w:r>
      <w:r w:rsidR="00B55937" w:rsidRPr="006B242D">
        <w:rPr>
          <w:rFonts w:ascii="Book Antiqua" w:hAnsi="Book Antiqua" w:cs="Arial"/>
          <w:b/>
          <w:sz w:val="24"/>
          <w:szCs w:val="24"/>
          <w:lang w:val="en-GB"/>
        </w:rPr>
        <w:t>≥</w:t>
      </w:r>
      <w:r w:rsidR="00B55937" w:rsidRPr="006B242D">
        <w:rPr>
          <w:rFonts w:ascii="Book Antiqua" w:hAnsi="Book Antiqua" w:cs="Arial"/>
          <w:b/>
          <w:sz w:val="24"/>
          <w:szCs w:val="24"/>
          <w:lang w:val="en-GB" w:eastAsia="zh-CN"/>
        </w:rPr>
        <w:t xml:space="preserve"> </w:t>
      </w:r>
      <w:r w:rsidR="002E66E7" w:rsidRPr="006B242D">
        <w:rPr>
          <w:rFonts w:ascii="Book Antiqua" w:hAnsi="Book Antiqua" w:cs="Arial"/>
          <w:b/>
          <w:sz w:val="24"/>
          <w:szCs w:val="24"/>
          <w:lang w:val="en-GB"/>
        </w:rPr>
        <w:t>17)</w:t>
      </w:r>
      <w:r w:rsidR="00B55937" w:rsidRPr="006B242D">
        <w:rPr>
          <w:rFonts w:ascii="Book Antiqua" w:hAnsi="Book Antiqua" w:cs="Arial"/>
          <w:b/>
          <w:sz w:val="24"/>
          <w:szCs w:val="24"/>
          <w:lang w:val="en-GB" w:eastAsia="zh-CN"/>
        </w:rPr>
        <w:t xml:space="preserve"> </w:t>
      </w:r>
      <w:r w:rsidR="00C848DB" w:rsidRPr="006B242D">
        <w:rPr>
          <w:rFonts w:ascii="Book Antiqua" w:hAnsi="Book Antiqua" w:cs="Arial"/>
          <w:b/>
          <w:sz w:val="24"/>
          <w:szCs w:val="24"/>
          <w:lang w:val="en-GB"/>
        </w:rPr>
        <w:t>(median GIQLI: 77).</w:t>
      </w:r>
      <w:r w:rsidR="00B8389E" w:rsidRPr="006B242D">
        <w:rPr>
          <w:rFonts w:ascii="Book Antiqua" w:hAnsi="Book Antiqua" w:cs="Arial"/>
          <w:b/>
          <w:sz w:val="24"/>
          <w:szCs w:val="24"/>
          <w:lang w:val="en-GB"/>
        </w:rPr>
        <w:t xml:space="preserve"> </w:t>
      </w:r>
      <w:r w:rsidR="00B8389E" w:rsidRPr="006B242D">
        <w:rPr>
          <w:rFonts w:ascii="Book Antiqua" w:hAnsi="Book Antiqua" w:cs="Arial"/>
          <w:sz w:val="24"/>
          <w:szCs w:val="24"/>
          <w:lang w:val="en-GB"/>
        </w:rPr>
        <w:t>This d</w:t>
      </w:r>
      <w:r w:rsidR="00B55937" w:rsidRPr="006B242D">
        <w:rPr>
          <w:rFonts w:ascii="Book Antiqua" w:hAnsi="Book Antiqua" w:cs="Arial"/>
          <w:sz w:val="24"/>
          <w:szCs w:val="24"/>
          <w:lang w:val="en-GB"/>
        </w:rPr>
        <w:t>ifference is significant (</w:t>
      </w:r>
      <w:r w:rsidR="00B55937" w:rsidRPr="006B242D">
        <w:rPr>
          <w:rFonts w:ascii="Book Antiqua" w:hAnsi="Book Antiqua" w:cs="Arial"/>
          <w:i/>
          <w:sz w:val="24"/>
          <w:szCs w:val="24"/>
          <w:lang w:val="en-GB"/>
        </w:rPr>
        <w:t>P</w:t>
      </w:r>
      <w:r w:rsidR="00B55937" w:rsidRPr="006B242D">
        <w:rPr>
          <w:rFonts w:ascii="Book Antiqua" w:hAnsi="Book Antiqua" w:cs="Arial"/>
          <w:sz w:val="24"/>
          <w:szCs w:val="24"/>
          <w:lang w:val="en-GB"/>
        </w:rPr>
        <w:t xml:space="preserve"> &lt; 0</w:t>
      </w:r>
      <w:r w:rsidR="00B55937" w:rsidRPr="006B242D">
        <w:rPr>
          <w:rFonts w:ascii="Book Antiqua" w:hAnsi="Book Antiqua" w:cs="Arial"/>
          <w:sz w:val="24"/>
          <w:szCs w:val="24"/>
          <w:lang w:val="en-GB" w:eastAsia="zh-CN"/>
        </w:rPr>
        <w:t>.</w:t>
      </w:r>
      <w:r w:rsidR="00B8389E" w:rsidRPr="006B242D">
        <w:rPr>
          <w:rFonts w:ascii="Book Antiqua" w:hAnsi="Book Antiqua" w:cs="Arial"/>
          <w:sz w:val="24"/>
          <w:szCs w:val="24"/>
          <w:lang w:val="en-GB"/>
        </w:rPr>
        <w:t>001).</w:t>
      </w:r>
      <w:r w:rsidR="00B55937" w:rsidRPr="006B242D">
        <w:rPr>
          <w:rFonts w:ascii="Book Antiqua" w:hAnsi="Book Antiqua" w:cs="Arial"/>
          <w:sz w:val="24"/>
          <w:szCs w:val="24"/>
          <w:lang w:val="en-GB" w:eastAsia="zh-CN"/>
        </w:rPr>
        <w:t xml:space="preserve"> </w:t>
      </w:r>
      <w:r w:rsidR="00B55937" w:rsidRPr="006B242D">
        <w:rPr>
          <w:rFonts w:ascii="Book Antiqua" w:hAnsi="Book Antiqua"/>
          <w:sz w:val="24"/>
          <w:szCs w:val="24"/>
          <w:lang w:val="en-GB" w:eastAsia="zh-CN"/>
        </w:rPr>
        <w:t xml:space="preserve">SSI: </w:t>
      </w:r>
      <w:r w:rsidR="00B55937" w:rsidRPr="006B242D">
        <w:rPr>
          <w:rFonts w:ascii="Book Antiqua" w:hAnsi="Book Antiqua"/>
          <w:sz w:val="24"/>
          <w:szCs w:val="24"/>
          <w:lang w:val="en-GB"/>
        </w:rPr>
        <w:t>Somatoform Symptom Index</w:t>
      </w:r>
      <w:r w:rsidR="00B55937" w:rsidRPr="006B242D">
        <w:rPr>
          <w:rFonts w:ascii="Book Antiqua" w:hAnsi="Book Antiqua"/>
          <w:sz w:val="24"/>
          <w:szCs w:val="24"/>
          <w:lang w:val="en-GB" w:eastAsia="zh-CN"/>
        </w:rPr>
        <w:t xml:space="preserve">; </w:t>
      </w:r>
      <w:r w:rsidR="00B55937" w:rsidRPr="006B242D">
        <w:rPr>
          <w:rFonts w:ascii="Book Antiqua" w:hAnsi="Book Antiqua" w:cs="Arial"/>
          <w:sz w:val="24"/>
          <w:szCs w:val="24"/>
          <w:lang w:val="en-GB"/>
        </w:rPr>
        <w:t>GIQLI</w:t>
      </w:r>
      <w:r w:rsidR="00B55937" w:rsidRPr="006B242D">
        <w:rPr>
          <w:rFonts w:ascii="Book Antiqua" w:hAnsi="Book Antiqua" w:cs="Arial"/>
          <w:sz w:val="24"/>
          <w:szCs w:val="24"/>
          <w:lang w:val="en-GB" w:eastAsia="zh-CN"/>
        </w:rPr>
        <w:t xml:space="preserve">: </w:t>
      </w:r>
      <w:r w:rsidR="00B55937" w:rsidRPr="006B242D">
        <w:rPr>
          <w:rFonts w:ascii="Book Antiqua" w:hAnsi="Book Antiqua"/>
          <w:sz w:val="24"/>
          <w:szCs w:val="24"/>
          <w:lang w:val="en-GB"/>
        </w:rPr>
        <w:t>Gastrointestinal Quality of Life Index</w:t>
      </w:r>
      <w:r w:rsidR="00B55937" w:rsidRPr="006B242D">
        <w:rPr>
          <w:rFonts w:ascii="Book Antiqua" w:hAnsi="Book Antiqua"/>
          <w:sz w:val="24"/>
          <w:szCs w:val="24"/>
          <w:lang w:val="en-GB" w:eastAsia="zh-CN"/>
        </w:rPr>
        <w:t xml:space="preserve">; </w:t>
      </w:r>
      <w:r w:rsidR="00B55937" w:rsidRPr="006B242D">
        <w:rPr>
          <w:rFonts w:ascii="Book Antiqua" w:hAnsi="Book Antiqua" w:cs="Arial"/>
          <w:sz w:val="24"/>
          <w:szCs w:val="24"/>
          <w:lang w:val="en-GB" w:eastAsia="zh-CN"/>
        </w:rPr>
        <w:t xml:space="preserve">GERD: </w:t>
      </w:r>
      <w:r w:rsidR="00B55937" w:rsidRPr="006B242D">
        <w:rPr>
          <w:rFonts w:ascii="Book Antiqua" w:hAnsi="Book Antiqua"/>
          <w:sz w:val="24"/>
          <w:szCs w:val="24"/>
          <w:lang w:val="en-GB"/>
        </w:rPr>
        <w:t>Gastroesophageal reflux disease</w:t>
      </w:r>
      <w:r w:rsidR="00B55937" w:rsidRPr="006B242D">
        <w:rPr>
          <w:rFonts w:ascii="Book Antiqua" w:hAnsi="Book Antiqua"/>
          <w:sz w:val="24"/>
          <w:szCs w:val="24"/>
          <w:lang w:val="en-GB" w:eastAsia="zh-CN"/>
        </w:rPr>
        <w:t>.</w:t>
      </w:r>
    </w:p>
    <w:p w:rsidR="0003140C" w:rsidRPr="006B242D" w:rsidRDefault="0003140C" w:rsidP="000B23E9">
      <w:pPr>
        <w:spacing w:line="360" w:lineRule="auto"/>
        <w:jc w:val="both"/>
        <w:rPr>
          <w:rFonts w:ascii="Book Antiqua" w:hAnsi="Book Antiqua" w:cs="Arial"/>
          <w:sz w:val="24"/>
          <w:szCs w:val="24"/>
          <w:lang w:val="en-GB" w:eastAsia="zh-CN"/>
        </w:rPr>
      </w:pPr>
    </w:p>
    <w:p w:rsidR="00B55937" w:rsidRPr="006B242D" w:rsidRDefault="00B55937" w:rsidP="000B23E9">
      <w:pPr>
        <w:spacing w:line="360" w:lineRule="auto"/>
        <w:jc w:val="both"/>
        <w:rPr>
          <w:rFonts w:ascii="Book Antiqua" w:hAnsi="Book Antiqua" w:cs="Arial"/>
          <w:sz w:val="24"/>
          <w:szCs w:val="24"/>
          <w:lang w:val="en-GB" w:eastAsia="zh-CN"/>
        </w:rPr>
      </w:pPr>
      <w:r w:rsidRPr="006B242D">
        <w:rPr>
          <w:rFonts w:ascii="Book Antiqua" w:hAnsi="Book Antiqua" w:cs="Arial"/>
          <w:sz w:val="24"/>
          <w:szCs w:val="24"/>
          <w:lang w:val="en-GB" w:eastAsia="zh-CN"/>
        </w:rPr>
        <w:br w:type="page"/>
      </w:r>
      <w:r w:rsidR="00420934" w:rsidRPr="006B242D">
        <w:rPr>
          <w:noProof/>
          <w:lang w:val="en-US" w:eastAsia="zh-CN"/>
        </w:rPr>
        <w:pict>
          <v:shape id="图片 1" o:spid="_x0000_i1027" type="#_x0000_t75" style="width:407.3pt;height:239.15pt;visibility:visible">
            <v:imagedata r:id="rId16" o:title=""/>
          </v:shape>
        </w:pict>
      </w:r>
    </w:p>
    <w:p w:rsidR="0040131C" w:rsidRPr="006B242D" w:rsidRDefault="00A41C6B" w:rsidP="000B23E9">
      <w:pPr>
        <w:spacing w:line="360" w:lineRule="auto"/>
        <w:jc w:val="both"/>
        <w:rPr>
          <w:rFonts w:ascii="Book Antiqua" w:hAnsi="Book Antiqua" w:cs="Arial"/>
          <w:sz w:val="24"/>
          <w:szCs w:val="24"/>
          <w:lang w:val="en-GB" w:eastAsia="zh-CN"/>
        </w:rPr>
      </w:pPr>
      <w:r w:rsidRPr="006B242D">
        <w:rPr>
          <w:rFonts w:ascii="Book Antiqua" w:hAnsi="Book Antiqua" w:cs="Arial"/>
          <w:b/>
          <w:sz w:val="24"/>
          <w:szCs w:val="24"/>
          <w:lang w:val="en-GB"/>
        </w:rPr>
        <w:t xml:space="preserve">Figure </w:t>
      </w:r>
      <w:r w:rsidR="0003140C" w:rsidRPr="006B242D">
        <w:rPr>
          <w:rFonts w:ascii="Book Antiqua" w:hAnsi="Book Antiqua" w:cs="Arial"/>
          <w:b/>
          <w:sz w:val="24"/>
          <w:szCs w:val="24"/>
          <w:lang w:val="en-GB"/>
        </w:rPr>
        <w:t xml:space="preserve">3 </w:t>
      </w:r>
      <w:r w:rsidR="00542425" w:rsidRPr="006B242D">
        <w:rPr>
          <w:rFonts w:ascii="Book Antiqua" w:hAnsi="Book Antiqua" w:cs="Arial"/>
          <w:b/>
          <w:sz w:val="24"/>
          <w:szCs w:val="24"/>
          <w:lang w:val="en-GB"/>
        </w:rPr>
        <w:t xml:space="preserve">Pre-and post-therapeutic </w:t>
      </w:r>
      <w:r w:rsidR="00B55937" w:rsidRPr="006B242D">
        <w:rPr>
          <w:rFonts w:ascii="Book Antiqua" w:hAnsi="Book Antiqua" w:cs="Arial"/>
          <w:b/>
          <w:sz w:val="24"/>
          <w:szCs w:val="24"/>
          <w:lang w:val="en-GB"/>
        </w:rPr>
        <w:t>quality of l</w:t>
      </w:r>
      <w:r w:rsidR="002E66E7" w:rsidRPr="006B242D">
        <w:rPr>
          <w:rFonts w:ascii="Book Antiqua" w:hAnsi="Book Antiqua" w:cs="Arial"/>
          <w:b/>
          <w:sz w:val="24"/>
          <w:szCs w:val="24"/>
          <w:lang w:val="en-GB"/>
        </w:rPr>
        <w:t>ife, as</w:t>
      </w:r>
      <w:r w:rsidR="00542425" w:rsidRPr="006B242D">
        <w:rPr>
          <w:rFonts w:ascii="Book Antiqua" w:hAnsi="Book Antiqua" w:cs="Arial"/>
          <w:b/>
          <w:sz w:val="24"/>
          <w:szCs w:val="24"/>
          <w:lang w:val="en-GB"/>
        </w:rPr>
        <w:t xml:space="preserve"> measured by the </w:t>
      </w:r>
      <w:r w:rsidR="00B55937" w:rsidRPr="006B242D">
        <w:rPr>
          <w:rFonts w:ascii="Book Antiqua" w:hAnsi="Book Antiqua"/>
          <w:b/>
          <w:sz w:val="24"/>
          <w:szCs w:val="24"/>
          <w:lang w:val="en-GB"/>
        </w:rPr>
        <w:t>Gastrointestinal Quality of Life Index</w:t>
      </w:r>
      <w:r w:rsidR="00542425" w:rsidRPr="006B242D">
        <w:rPr>
          <w:rFonts w:ascii="Book Antiqua" w:hAnsi="Book Antiqua" w:cs="Arial"/>
          <w:b/>
          <w:sz w:val="24"/>
          <w:szCs w:val="24"/>
          <w:lang w:val="en-GB"/>
        </w:rPr>
        <w:t>,</w:t>
      </w:r>
      <w:r w:rsidR="00B55937" w:rsidRPr="006B242D">
        <w:rPr>
          <w:rFonts w:ascii="Book Antiqua" w:hAnsi="Book Antiqua" w:cs="Arial"/>
          <w:b/>
          <w:sz w:val="24"/>
          <w:szCs w:val="24"/>
          <w:lang w:val="en-GB"/>
        </w:rPr>
        <w:t xml:space="preserve"> for both groups</w:t>
      </w:r>
      <w:r w:rsidR="00B55937" w:rsidRPr="006B242D">
        <w:rPr>
          <w:rFonts w:ascii="Book Antiqua" w:hAnsi="Book Antiqua" w:cs="Arial"/>
          <w:b/>
          <w:sz w:val="24"/>
          <w:szCs w:val="24"/>
          <w:lang w:val="en-GB" w:eastAsia="zh-CN"/>
        </w:rPr>
        <w:t>.</w:t>
      </w:r>
      <w:r w:rsidR="002E66E7" w:rsidRPr="006B242D">
        <w:rPr>
          <w:rFonts w:ascii="Book Antiqua" w:hAnsi="Book Antiqua" w:cs="Arial"/>
          <w:sz w:val="24"/>
          <w:szCs w:val="24"/>
          <w:lang w:val="en-GB"/>
        </w:rPr>
        <w:t xml:space="preserve"> Group A after laparoscopic antireflux surgery </w:t>
      </w:r>
      <w:r w:rsidR="00B8389E" w:rsidRPr="006B242D">
        <w:rPr>
          <w:rFonts w:ascii="Book Antiqua" w:hAnsi="Book Antiqua" w:cs="Arial"/>
          <w:sz w:val="24"/>
          <w:szCs w:val="24"/>
          <w:lang w:val="en-GB"/>
        </w:rPr>
        <w:t xml:space="preserve">(GIQLI preop: 91; postop 117; </w:t>
      </w:r>
      <w:r w:rsidR="00B55937" w:rsidRPr="006B242D">
        <w:rPr>
          <w:rFonts w:ascii="Book Antiqua" w:hAnsi="Book Antiqua" w:cs="Arial"/>
          <w:i/>
          <w:sz w:val="24"/>
          <w:szCs w:val="24"/>
          <w:lang w:val="en-GB"/>
        </w:rPr>
        <w:t>P</w:t>
      </w:r>
      <w:r w:rsidR="00B8389E" w:rsidRPr="006B242D">
        <w:rPr>
          <w:rFonts w:ascii="Book Antiqua" w:hAnsi="Book Antiqua" w:cs="Arial"/>
          <w:sz w:val="24"/>
          <w:szCs w:val="24"/>
          <w:lang w:val="en-GB"/>
        </w:rPr>
        <w:t xml:space="preserve"> &lt; 0,001) </w:t>
      </w:r>
      <w:r w:rsidR="002E66E7" w:rsidRPr="006B242D">
        <w:rPr>
          <w:rFonts w:ascii="Book Antiqua" w:hAnsi="Book Antiqua" w:cs="Arial"/>
          <w:sz w:val="24"/>
          <w:szCs w:val="24"/>
          <w:lang w:val="en-GB"/>
        </w:rPr>
        <w:t>and Group B after continued conservative treatment</w:t>
      </w:r>
      <w:r w:rsidR="00B55937" w:rsidRPr="006B242D">
        <w:rPr>
          <w:rFonts w:ascii="Book Antiqua" w:hAnsi="Book Antiqua" w:cs="Arial"/>
          <w:sz w:val="24"/>
          <w:szCs w:val="24"/>
          <w:lang w:val="en-GB"/>
        </w:rPr>
        <w:t xml:space="preserve"> </w:t>
      </w:r>
      <w:r w:rsidR="00B8389E" w:rsidRPr="006B242D">
        <w:rPr>
          <w:rFonts w:ascii="Book Antiqua" w:hAnsi="Book Antiqua" w:cs="Arial"/>
          <w:sz w:val="24"/>
          <w:szCs w:val="24"/>
          <w:lang w:val="en-GB"/>
        </w:rPr>
        <w:t xml:space="preserve">(GIQLI pre: 96; post: 98; </w:t>
      </w:r>
      <w:r w:rsidR="00B55937" w:rsidRPr="006B242D">
        <w:rPr>
          <w:rFonts w:ascii="Book Antiqua" w:hAnsi="Book Antiqua" w:cs="Arial"/>
          <w:i/>
          <w:sz w:val="24"/>
          <w:szCs w:val="24"/>
          <w:lang w:val="en-GB"/>
        </w:rPr>
        <w:t>P</w:t>
      </w:r>
      <w:r w:rsidR="00B55937" w:rsidRPr="006B242D">
        <w:rPr>
          <w:rFonts w:ascii="Book Antiqua" w:hAnsi="Book Antiqua" w:cs="Arial"/>
          <w:sz w:val="24"/>
          <w:szCs w:val="24"/>
          <w:lang w:val="en-GB"/>
        </w:rPr>
        <w:t xml:space="preserve"> </w:t>
      </w:r>
      <w:r w:rsidR="00B8389E" w:rsidRPr="006B242D">
        <w:rPr>
          <w:rFonts w:ascii="Book Antiqua" w:hAnsi="Book Antiqua" w:cs="Arial"/>
          <w:sz w:val="24"/>
          <w:szCs w:val="24"/>
          <w:lang w:val="en-GB"/>
        </w:rPr>
        <w:t>=</w:t>
      </w:r>
      <w:r w:rsidR="00B55937" w:rsidRPr="006B242D">
        <w:rPr>
          <w:rFonts w:ascii="Book Antiqua" w:hAnsi="Book Antiqua" w:cs="Arial"/>
          <w:sz w:val="24"/>
          <w:szCs w:val="24"/>
          <w:lang w:val="en-GB" w:eastAsia="zh-CN"/>
        </w:rPr>
        <w:t xml:space="preserve"> </w:t>
      </w:r>
      <w:r w:rsidR="00B55937" w:rsidRPr="006B242D">
        <w:rPr>
          <w:rFonts w:ascii="Book Antiqua" w:hAnsi="Book Antiqua" w:cs="Arial"/>
          <w:sz w:val="24"/>
          <w:szCs w:val="24"/>
          <w:lang w:val="en-GB"/>
        </w:rPr>
        <w:t>0</w:t>
      </w:r>
      <w:r w:rsidR="00B55937" w:rsidRPr="006B242D">
        <w:rPr>
          <w:rFonts w:ascii="Book Antiqua" w:hAnsi="Book Antiqua" w:cs="Arial"/>
          <w:sz w:val="24"/>
          <w:szCs w:val="24"/>
          <w:lang w:val="en-GB" w:eastAsia="zh-CN"/>
        </w:rPr>
        <w:t>.</w:t>
      </w:r>
      <w:r w:rsidR="00B8389E" w:rsidRPr="006B242D">
        <w:rPr>
          <w:rFonts w:ascii="Book Antiqua" w:hAnsi="Book Antiqua" w:cs="Arial"/>
          <w:sz w:val="24"/>
          <w:szCs w:val="24"/>
          <w:lang w:val="en-GB"/>
        </w:rPr>
        <w:t>8279)</w:t>
      </w:r>
      <w:r w:rsidR="002E66E7" w:rsidRPr="006B242D">
        <w:rPr>
          <w:rFonts w:ascii="Book Antiqua" w:hAnsi="Book Antiqua" w:cs="Arial"/>
          <w:sz w:val="24"/>
          <w:szCs w:val="24"/>
          <w:lang w:val="en-GB"/>
        </w:rPr>
        <w:t>. In the surgical group</w:t>
      </w:r>
      <w:r w:rsidR="00542425" w:rsidRPr="006B242D">
        <w:rPr>
          <w:rFonts w:ascii="Book Antiqua" w:hAnsi="Book Antiqua" w:cs="Arial"/>
          <w:sz w:val="24"/>
          <w:szCs w:val="24"/>
          <w:lang w:val="en-GB"/>
        </w:rPr>
        <w:t>,</w:t>
      </w:r>
      <w:r w:rsidR="002E66E7" w:rsidRPr="006B242D">
        <w:rPr>
          <w:rFonts w:ascii="Book Antiqua" w:hAnsi="Book Antiqua" w:cs="Arial"/>
          <w:sz w:val="24"/>
          <w:szCs w:val="24"/>
          <w:lang w:val="en-GB"/>
        </w:rPr>
        <w:t xml:space="preserve"> GIQLI could be significantly increased.</w:t>
      </w:r>
      <w:r w:rsidR="00B55937" w:rsidRPr="006B242D">
        <w:rPr>
          <w:rFonts w:ascii="Book Antiqua" w:hAnsi="Book Antiqua" w:cs="Arial"/>
          <w:sz w:val="24"/>
          <w:szCs w:val="24"/>
          <w:lang w:val="en-GB" w:eastAsia="zh-CN"/>
        </w:rPr>
        <w:t xml:space="preserve"> </w:t>
      </w:r>
      <w:r w:rsidR="00B55937" w:rsidRPr="006B242D">
        <w:rPr>
          <w:rFonts w:ascii="Book Antiqua" w:hAnsi="Book Antiqua" w:cs="Arial"/>
          <w:sz w:val="24"/>
          <w:szCs w:val="24"/>
          <w:lang w:val="en-GB"/>
        </w:rPr>
        <w:t>GIQLI</w:t>
      </w:r>
      <w:r w:rsidR="00B55937" w:rsidRPr="006B242D">
        <w:rPr>
          <w:rFonts w:ascii="Book Antiqua" w:hAnsi="Book Antiqua" w:cs="Arial"/>
          <w:sz w:val="24"/>
          <w:szCs w:val="24"/>
          <w:lang w:val="en-GB" w:eastAsia="zh-CN"/>
        </w:rPr>
        <w:t xml:space="preserve">: </w:t>
      </w:r>
      <w:r w:rsidR="00B55937" w:rsidRPr="006B242D">
        <w:rPr>
          <w:rFonts w:ascii="Book Antiqua" w:hAnsi="Book Antiqua"/>
          <w:sz w:val="24"/>
          <w:szCs w:val="24"/>
          <w:lang w:val="en-GB"/>
        </w:rPr>
        <w:t>Gastrointestinal Quality of Life Index</w:t>
      </w:r>
      <w:r w:rsidR="00B55937" w:rsidRPr="006B242D">
        <w:rPr>
          <w:rFonts w:ascii="Book Antiqua" w:hAnsi="Book Antiqua"/>
          <w:sz w:val="24"/>
          <w:szCs w:val="24"/>
          <w:lang w:val="en-GB" w:eastAsia="zh-CN"/>
        </w:rPr>
        <w:t>.</w:t>
      </w:r>
    </w:p>
    <w:p w:rsidR="002E66E7" w:rsidRPr="006B242D" w:rsidRDefault="002E66E7" w:rsidP="000B23E9">
      <w:pPr>
        <w:spacing w:line="360" w:lineRule="auto"/>
        <w:jc w:val="both"/>
        <w:rPr>
          <w:rFonts w:ascii="Book Antiqua" w:hAnsi="Book Antiqua" w:cs="Arial"/>
          <w:sz w:val="24"/>
          <w:szCs w:val="24"/>
          <w:lang w:val="en-GB" w:eastAsia="zh-CN"/>
        </w:rPr>
      </w:pPr>
    </w:p>
    <w:p w:rsidR="00B55937" w:rsidRPr="006B242D" w:rsidRDefault="00B55937" w:rsidP="000B23E9">
      <w:pPr>
        <w:spacing w:line="360" w:lineRule="auto"/>
        <w:jc w:val="both"/>
        <w:rPr>
          <w:rFonts w:ascii="Book Antiqua" w:hAnsi="Book Antiqua" w:cs="Arial"/>
          <w:sz w:val="24"/>
          <w:szCs w:val="24"/>
          <w:lang w:val="en-GB" w:eastAsia="zh-CN"/>
        </w:rPr>
      </w:pPr>
      <w:r w:rsidRPr="006B242D">
        <w:rPr>
          <w:rFonts w:ascii="Book Antiqua" w:hAnsi="Book Antiqua" w:cs="Arial"/>
          <w:sz w:val="24"/>
          <w:szCs w:val="24"/>
          <w:lang w:val="en-GB" w:eastAsia="zh-CN"/>
        </w:rPr>
        <w:br w:type="page"/>
      </w:r>
      <w:r w:rsidR="00420934" w:rsidRPr="006B242D">
        <w:rPr>
          <w:noProof/>
          <w:lang w:val="en-US" w:eastAsia="zh-CN"/>
        </w:rPr>
        <w:pict>
          <v:shape id="_x0000_i1028" type="#_x0000_t75" style="width:369.25pt;height:224.25pt;visibility:visible">
            <v:imagedata r:id="rId17" o:title=""/>
          </v:shape>
        </w:pict>
      </w:r>
    </w:p>
    <w:p w:rsidR="0099362E" w:rsidRPr="002D339D" w:rsidRDefault="00B55937" w:rsidP="000B23E9">
      <w:pPr>
        <w:spacing w:line="360" w:lineRule="auto"/>
        <w:jc w:val="both"/>
        <w:rPr>
          <w:rFonts w:ascii="Book Antiqua" w:hAnsi="Book Antiqua" w:cs="Arial" w:hint="eastAsia"/>
          <w:sz w:val="24"/>
          <w:szCs w:val="24"/>
          <w:lang w:val="en-GB" w:eastAsia="zh-CN"/>
        </w:rPr>
      </w:pPr>
      <w:r w:rsidRPr="006B242D">
        <w:rPr>
          <w:rFonts w:ascii="Book Antiqua" w:hAnsi="Book Antiqua" w:cs="Arial"/>
          <w:b/>
          <w:sz w:val="24"/>
          <w:szCs w:val="24"/>
          <w:lang w:val="en-GB"/>
        </w:rPr>
        <w:t>Figure 4</w:t>
      </w:r>
      <w:r w:rsidR="0040131C" w:rsidRPr="006B242D">
        <w:rPr>
          <w:rFonts w:ascii="Book Antiqua" w:hAnsi="Book Antiqua" w:cs="Arial"/>
          <w:b/>
          <w:sz w:val="24"/>
          <w:szCs w:val="24"/>
          <w:lang w:val="en-GB"/>
        </w:rPr>
        <w:t xml:space="preserve"> </w:t>
      </w:r>
      <w:r w:rsidR="002E66E7" w:rsidRPr="006B242D">
        <w:rPr>
          <w:rFonts w:ascii="Book Antiqua" w:hAnsi="Book Antiqua" w:cs="Arial"/>
          <w:b/>
          <w:sz w:val="24"/>
          <w:szCs w:val="24"/>
          <w:lang w:val="en-GB"/>
        </w:rPr>
        <w:t xml:space="preserve">Comparison of pre- and postoperative levels of </w:t>
      </w:r>
      <w:r w:rsidRPr="006B242D">
        <w:rPr>
          <w:rFonts w:ascii="Book Antiqua" w:hAnsi="Book Antiqua"/>
          <w:b/>
          <w:sz w:val="24"/>
          <w:szCs w:val="24"/>
          <w:lang w:val="en-GB"/>
        </w:rPr>
        <w:t>Gastrointestinal Quality of Life Index</w:t>
      </w:r>
      <w:r w:rsidR="002E66E7" w:rsidRPr="006B242D">
        <w:rPr>
          <w:rFonts w:ascii="Book Antiqua" w:hAnsi="Book Antiqua" w:cs="Arial"/>
          <w:b/>
          <w:sz w:val="24"/>
          <w:szCs w:val="24"/>
          <w:lang w:val="en-GB"/>
        </w:rPr>
        <w:t xml:space="preserve"> in relation to the presence of somatoform disorders.</w:t>
      </w:r>
      <w:r w:rsidR="002E66E7" w:rsidRPr="006B242D">
        <w:rPr>
          <w:rFonts w:ascii="Book Antiqua" w:hAnsi="Book Antiqua" w:cs="Arial"/>
          <w:sz w:val="24"/>
          <w:szCs w:val="24"/>
          <w:lang w:val="en-GB"/>
        </w:rPr>
        <w:t xml:space="preserve"> </w:t>
      </w:r>
      <w:r w:rsidR="00910F22" w:rsidRPr="006B242D">
        <w:rPr>
          <w:rFonts w:ascii="Book Antiqua" w:hAnsi="Book Antiqua" w:cs="Arial"/>
          <w:sz w:val="24"/>
          <w:szCs w:val="24"/>
          <w:lang w:val="en-GB"/>
        </w:rPr>
        <w:t>Patients with somatoform disorders will also improve their GIQLI postoperatively</w:t>
      </w:r>
      <w:r w:rsidR="008B35AC" w:rsidRPr="006B242D">
        <w:rPr>
          <w:rFonts w:ascii="Book Antiqua" w:hAnsi="Book Antiqua" w:cs="Arial"/>
          <w:sz w:val="24"/>
          <w:szCs w:val="24"/>
          <w:lang w:val="en-GB"/>
        </w:rPr>
        <w:t xml:space="preserve"> </w:t>
      </w:r>
      <w:r w:rsidR="00B8389E" w:rsidRPr="006B242D">
        <w:rPr>
          <w:rFonts w:ascii="Book Antiqua" w:hAnsi="Book Antiqua" w:cs="Arial"/>
          <w:sz w:val="24"/>
          <w:szCs w:val="24"/>
          <w:lang w:val="en-GB"/>
        </w:rPr>
        <w:t>(GIQ</w:t>
      </w:r>
      <w:r w:rsidRPr="006B242D">
        <w:rPr>
          <w:rFonts w:ascii="Book Antiqua" w:hAnsi="Book Antiqua" w:cs="Arial"/>
          <w:sz w:val="24"/>
          <w:szCs w:val="24"/>
          <w:lang w:val="en-GB"/>
        </w:rPr>
        <w:t xml:space="preserve">LI preop: 75; postop: 95; </w:t>
      </w:r>
      <w:r w:rsidRPr="006B242D">
        <w:rPr>
          <w:rFonts w:ascii="Book Antiqua" w:hAnsi="Book Antiqua" w:cs="Arial"/>
          <w:i/>
          <w:sz w:val="24"/>
          <w:szCs w:val="24"/>
          <w:lang w:val="en-GB"/>
        </w:rPr>
        <w:t>P</w:t>
      </w:r>
      <w:r w:rsidRPr="006B242D">
        <w:rPr>
          <w:rFonts w:ascii="Book Antiqua" w:hAnsi="Book Antiqua" w:cs="Arial"/>
          <w:sz w:val="24"/>
          <w:szCs w:val="24"/>
          <w:lang w:val="en-GB"/>
        </w:rPr>
        <w:t xml:space="preserve"> &lt; 0</w:t>
      </w:r>
      <w:r w:rsidRPr="006B242D">
        <w:rPr>
          <w:rFonts w:ascii="Book Antiqua" w:hAnsi="Book Antiqua" w:cs="Arial"/>
          <w:sz w:val="24"/>
          <w:szCs w:val="24"/>
          <w:lang w:val="en-GB" w:eastAsia="zh-CN"/>
        </w:rPr>
        <w:t>.</w:t>
      </w:r>
      <w:r w:rsidR="00B8389E" w:rsidRPr="006B242D">
        <w:rPr>
          <w:rFonts w:ascii="Book Antiqua" w:hAnsi="Book Antiqua" w:cs="Arial"/>
          <w:sz w:val="24"/>
          <w:szCs w:val="24"/>
          <w:lang w:val="en-GB"/>
        </w:rPr>
        <w:t>0043)</w:t>
      </w:r>
      <w:r w:rsidR="00910F22" w:rsidRPr="006B242D">
        <w:rPr>
          <w:rFonts w:ascii="Book Antiqua" w:hAnsi="Book Antiqua" w:cs="Arial"/>
          <w:sz w:val="24"/>
          <w:szCs w:val="24"/>
          <w:lang w:val="en-GB"/>
        </w:rPr>
        <w:t xml:space="preserve">, however it could not </w:t>
      </w:r>
      <w:r w:rsidR="00BE2FC0" w:rsidRPr="006B242D">
        <w:rPr>
          <w:rFonts w:ascii="Book Antiqua" w:hAnsi="Book Antiqua" w:cs="Arial"/>
          <w:sz w:val="24"/>
          <w:szCs w:val="24"/>
          <w:lang w:val="en-GB"/>
        </w:rPr>
        <w:t>be increased to normal levels due t</w:t>
      </w:r>
      <w:r w:rsidR="00910F22" w:rsidRPr="006B242D">
        <w:rPr>
          <w:rFonts w:ascii="Book Antiqua" w:hAnsi="Book Antiqua" w:cs="Arial"/>
          <w:sz w:val="24"/>
          <w:szCs w:val="24"/>
          <w:lang w:val="en-GB"/>
        </w:rPr>
        <w:t>o the large number of non-related symptoms.</w:t>
      </w:r>
      <w:r w:rsidR="00B8389E" w:rsidRPr="006B242D">
        <w:rPr>
          <w:rFonts w:ascii="Book Antiqua" w:hAnsi="Book Antiqua" w:cs="Arial"/>
          <w:sz w:val="24"/>
          <w:szCs w:val="24"/>
          <w:lang w:val="en-GB"/>
        </w:rPr>
        <w:t xml:space="preserve"> Patients with SSI &lt; 17 could reach normal levels of GIQLI postoperatively (preop: 102; postop: 117; </w:t>
      </w:r>
      <w:r w:rsidRPr="006B242D">
        <w:rPr>
          <w:rFonts w:ascii="Book Antiqua" w:hAnsi="Book Antiqua" w:cs="Arial"/>
          <w:i/>
          <w:sz w:val="24"/>
          <w:szCs w:val="24"/>
          <w:lang w:val="en-GB"/>
        </w:rPr>
        <w:t>P</w:t>
      </w:r>
      <w:r w:rsidR="00B8389E" w:rsidRPr="006B242D">
        <w:rPr>
          <w:rFonts w:ascii="Book Antiqua" w:hAnsi="Book Antiqua" w:cs="Arial"/>
          <w:sz w:val="24"/>
          <w:szCs w:val="24"/>
          <w:lang w:val="en-GB"/>
        </w:rPr>
        <w:t xml:space="preserve"> &lt; 0</w:t>
      </w:r>
      <w:r w:rsidR="00A37D0A" w:rsidRPr="006B242D">
        <w:rPr>
          <w:rFonts w:ascii="Book Antiqua" w:hAnsi="Book Antiqua" w:cs="Arial" w:hint="eastAsia"/>
          <w:sz w:val="24"/>
          <w:szCs w:val="24"/>
          <w:lang w:val="en-GB" w:eastAsia="zh-CN"/>
        </w:rPr>
        <w:t>.</w:t>
      </w:r>
      <w:r w:rsidR="00B8389E" w:rsidRPr="006B242D">
        <w:rPr>
          <w:rFonts w:ascii="Book Antiqua" w:hAnsi="Book Antiqua" w:cs="Arial"/>
          <w:sz w:val="24"/>
          <w:szCs w:val="24"/>
          <w:lang w:val="en-GB"/>
        </w:rPr>
        <w:t>001).</w:t>
      </w:r>
      <w:r w:rsidRPr="006B242D">
        <w:rPr>
          <w:rFonts w:ascii="Book Antiqua" w:hAnsi="Book Antiqua" w:cs="Arial"/>
          <w:sz w:val="24"/>
          <w:szCs w:val="24"/>
          <w:lang w:val="en-GB" w:eastAsia="zh-CN"/>
        </w:rPr>
        <w:t xml:space="preserve"> </w:t>
      </w:r>
      <w:r w:rsidRPr="006B242D">
        <w:rPr>
          <w:rFonts w:ascii="Book Antiqua" w:hAnsi="Book Antiqua" w:cs="Arial"/>
          <w:sz w:val="24"/>
          <w:szCs w:val="24"/>
          <w:lang w:val="en-GB"/>
        </w:rPr>
        <w:t>GIQLI</w:t>
      </w:r>
      <w:r w:rsidRPr="006B242D">
        <w:rPr>
          <w:rFonts w:ascii="Book Antiqua" w:hAnsi="Book Antiqua" w:cs="Arial"/>
          <w:sz w:val="24"/>
          <w:szCs w:val="24"/>
          <w:lang w:val="en-GB" w:eastAsia="zh-CN"/>
        </w:rPr>
        <w:t xml:space="preserve">: </w:t>
      </w:r>
      <w:r w:rsidRPr="006B242D">
        <w:rPr>
          <w:rFonts w:ascii="Book Antiqua" w:hAnsi="Book Antiqua"/>
          <w:sz w:val="24"/>
          <w:szCs w:val="24"/>
          <w:lang w:val="en-GB"/>
        </w:rPr>
        <w:t>Gastrointestinal Quality of Life Index</w:t>
      </w:r>
      <w:r w:rsidRPr="006B242D">
        <w:rPr>
          <w:rFonts w:ascii="Book Antiqua" w:hAnsi="Book Antiqua"/>
          <w:sz w:val="24"/>
          <w:szCs w:val="24"/>
          <w:lang w:val="en-GB" w:eastAsia="zh-CN"/>
        </w:rPr>
        <w:t xml:space="preserve">; SSI: </w:t>
      </w:r>
      <w:r w:rsidRPr="006B242D">
        <w:rPr>
          <w:rFonts w:ascii="Book Antiqua" w:hAnsi="Book Antiqua"/>
          <w:sz w:val="24"/>
          <w:szCs w:val="24"/>
          <w:lang w:val="en-GB"/>
        </w:rPr>
        <w:t>Somatoform Symptom Index</w:t>
      </w:r>
      <w:r w:rsidRPr="006B242D">
        <w:rPr>
          <w:rFonts w:ascii="Book Antiqua" w:hAnsi="Book Antiqua"/>
          <w:sz w:val="24"/>
          <w:szCs w:val="24"/>
          <w:lang w:val="en-GB" w:eastAsia="zh-CN"/>
        </w:rPr>
        <w:t xml:space="preserve">; </w:t>
      </w:r>
      <w:r w:rsidRPr="006B242D">
        <w:rPr>
          <w:rFonts w:ascii="Book Antiqua" w:hAnsi="Book Antiqua" w:cs="Arial"/>
          <w:sz w:val="24"/>
          <w:szCs w:val="24"/>
          <w:lang w:val="en-GB" w:eastAsia="zh-CN"/>
        </w:rPr>
        <w:t xml:space="preserve">GERD: </w:t>
      </w:r>
      <w:r w:rsidRPr="006B242D">
        <w:rPr>
          <w:rFonts w:ascii="Book Antiqua" w:hAnsi="Book Antiqua"/>
          <w:sz w:val="24"/>
          <w:szCs w:val="24"/>
          <w:lang w:val="en-GB"/>
        </w:rPr>
        <w:t>Gastroesophageal reflux disease</w:t>
      </w:r>
      <w:r w:rsidRPr="006B242D">
        <w:rPr>
          <w:rFonts w:ascii="Book Antiqua" w:hAnsi="Book Antiqua"/>
          <w:sz w:val="24"/>
          <w:szCs w:val="24"/>
          <w:lang w:val="en-GB" w:eastAsia="zh-CN"/>
        </w:rPr>
        <w:t>.</w:t>
      </w:r>
    </w:p>
    <w:sectPr w:rsidR="0099362E" w:rsidRPr="002D339D">
      <w:headerReference w:type="default" r:id="rId1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96" w:rsidRDefault="00EA7796">
      <w:r>
        <w:separator/>
      </w:r>
    </w:p>
  </w:endnote>
  <w:endnote w:type="continuationSeparator" w:id="0">
    <w:p w:rsidR="00EA7796" w:rsidRDefault="00EA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roman"/>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96" w:rsidRDefault="00EA7796">
      <w:r>
        <w:separator/>
      </w:r>
    </w:p>
  </w:footnote>
  <w:footnote w:type="continuationSeparator" w:id="0">
    <w:p w:rsidR="00EA7796" w:rsidRDefault="00EA7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F8" w:rsidRDefault="008C7FF8" w:rsidP="0006072A">
    <w:pPr>
      <w:pStyle w:val="a6"/>
      <w:jc w:val="right"/>
    </w:pPr>
    <w:r>
      <w:rPr>
        <w:rStyle w:val="a8"/>
      </w:rPr>
      <w:t xml:space="preserve">- </w:t>
    </w:r>
    <w:r>
      <w:rPr>
        <w:rStyle w:val="a8"/>
      </w:rPr>
      <w:fldChar w:fldCharType="begin"/>
    </w:r>
    <w:r>
      <w:rPr>
        <w:rStyle w:val="a8"/>
      </w:rPr>
      <w:instrText xml:space="preserve"> </w:instrText>
    </w:r>
    <w:r w:rsidR="00500708">
      <w:rPr>
        <w:rStyle w:val="a8"/>
      </w:rPr>
      <w:instrText>PAGE</w:instrText>
    </w:r>
    <w:r>
      <w:rPr>
        <w:rStyle w:val="a8"/>
      </w:rPr>
      <w:instrText xml:space="preserve"> </w:instrText>
    </w:r>
    <w:r>
      <w:rPr>
        <w:rStyle w:val="a8"/>
      </w:rPr>
      <w:fldChar w:fldCharType="separate"/>
    </w:r>
    <w:r w:rsidR="00303F35">
      <w:rPr>
        <w:rStyle w:val="a8"/>
        <w:noProof/>
      </w:rPr>
      <w:t>1</w:t>
    </w:r>
    <w:r>
      <w:rPr>
        <w:rStyle w:val="a8"/>
      </w:rPr>
      <w:fldChar w:fldCharType="end"/>
    </w:r>
    <w:r>
      <w:rPr>
        <w:rStyle w:val="a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529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D85746"/>
    <w:lvl w:ilvl="0">
      <w:start w:val="1"/>
      <w:numFmt w:val="decimal"/>
      <w:lvlText w:val="%1."/>
      <w:lvlJc w:val="left"/>
      <w:pPr>
        <w:tabs>
          <w:tab w:val="num" w:pos="1492"/>
        </w:tabs>
        <w:ind w:left="1492" w:hanging="360"/>
      </w:pPr>
    </w:lvl>
  </w:abstractNum>
  <w:abstractNum w:abstractNumId="2">
    <w:nsid w:val="FFFFFF7D"/>
    <w:multiLevelType w:val="singleLevel"/>
    <w:tmpl w:val="80B650CE"/>
    <w:lvl w:ilvl="0">
      <w:start w:val="1"/>
      <w:numFmt w:val="decimal"/>
      <w:lvlText w:val="%1."/>
      <w:lvlJc w:val="left"/>
      <w:pPr>
        <w:tabs>
          <w:tab w:val="num" w:pos="1209"/>
        </w:tabs>
        <w:ind w:left="1209" w:hanging="360"/>
      </w:pPr>
    </w:lvl>
  </w:abstractNum>
  <w:abstractNum w:abstractNumId="3">
    <w:nsid w:val="FFFFFF7E"/>
    <w:multiLevelType w:val="singleLevel"/>
    <w:tmpl w:val="770EF036"/>
    <w:lvl w:ilvl="0">
      <w:start w:val="1"/>
      <w:numFmt w:val="decimal"/>
      <w:lvlText w:val="%1."/>
      <w:lvlJc w:val="left"/>
      <w:pPr>
        <w:tabs>
          <w:tab w:val="num" w:pos="926"/>
        </w:tabs>
        <w:ind w:left="926" w:hanging="360"/>
      </w:pPr>
    </w:lvl>
  </w:abstractNum>
  <w:abstractNum w:abstractNumId="4">
    <w:nsid w:val="FFFFFF7F"/>
    <w:multiLevelType w:val="singleLevel"/>
    <w:tmpl w:val="4BB01642"/>
    <w:lvl w:ilvl="0">
      <w:start w:val="1"/>
      <w:numFmt w:val="decimal"/>
      <w:lvlText w:val="%1."/>
      <w:lvlJc w:val="left"/>
      <w:pPr>
        <w:tabs>
          <w:tab w:val="num" w:pos="643"/>
        </w:tabs>
        <w:ind w:left="643" w:hanging="360"/>
      </w:pPr>
    </w:lvl>
  </w:abstractNum>
  <w:abstractNum w:abstractNumId="5">
    <w:nsid w:val="FFFFFF80"/>
    <w:multiLevelType w:val="singleLevel"/>
    <w:tmpl w:val="ADB802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A8C8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5F20E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11EEC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72CE5C0"/>
    <w:lvl w:ilvl="0">
      <w:start w:val="1"/>
      <w:numFmt w:val="decimal"/>
      <w:lvlText w:val="%1."/>
      <w:lvlJc w:val="left"/>
      <w:pPr>
        <w:tabs>
          <w:tab w:val="num" w:pos="360"/>
        </w:tabs>
        <w:ind w:left="360" w:hanging="360"/>
      </w:pPr>
    </w:lvl>
  </w:abstractNum>
  <w:abstractNum w:abstractNumId="10">
    <w:nsid w:val="FFFFFF89"/>
    <w:multiLevelType w:val="singleLevel"/>
    <w:tmpl w:val="9E50CA78"/>
    <w:lvl w:ilvl="0">
      <w:start w:val="1"/>
      <w:numFmt w:val="bullet"/>
      <w:lvlText w:val=""/>
      <w:lvlJc w:val="left"/>
      <w:pPr>
        <w:tabs>
          <w:tab w:val="num" w:pos="360"/>
        </w:tabs>
        <w:ind w:left="360" w:hanging="360"/>
      </w:pPr>
      <w:rPr>
        <w:rFonts w:ascii="Symbol" w:hAnsi="Symbol" w:hint="default"/>
      </w:rPr>
    </w:lvl>
  </w:abstractNum>
  <w:abstractNum w:abstractNumId="11">
    <w:nsid w:val="008B0FAF"/>
    <w:multiLevelType w:val="hybridMultilevel"/>
    <w:tmpl w:val="D4C62CEE"/>
    <w:lvl w:ilvl="0" w:tplc="CFFECFB4">
      <w:start w:val="1"/>
      <w:numFmt w:val="decimal"/>
      <w:lvlText w:val="%1."/>
      <w:lvlJc w:val="left"/>
      <w:pPr>
        <w:tabs>
          <w:tab w:val="num" w:pos="910"/>
        </w:tabs>
        <w:ind w:left="91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05F5285"/>
    <w:multiLevelType w:val="hybridMultilevel"/>
    <w:tmpl w:val="7D48BEA4"/>
    <w:lvl w:ilvl="0" w:tplc="CFFECFB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05357CE"/>
    <w:multiLevelType w:val="hybridMultilevel"/>
    <w:tmpl w:val="B2BA1172"/>
    <w:lvl w:ilvl="0" w:tplc="8FC026F4">
      <w:start w:val="4"/>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81913F3"/>
    <w:multiLevelType w:val="hybridMultilevel"/>
    <w:tmpl w:val="FEA6D6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F15676E"/>
    <w:multiLevelType w:val="hybridMultilevel"/>
    <w:tmpl w:val="DF20586E"/>
    <w:lvl w:ilvl="0" w:tplc="CFFECFB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583184A"/>
    <w:multiLevelType w:val="hybridMultilevel"/>
    <w:tmpl w:val="801C1506"/>
    <w:lvl w:ilvl="0" w:tplc="27800D4A">
      <w:start w:val="1"/>
      <w:numFmt w:val="decimal"/>
      <w:lvlText w:val="%1."/>
      <w:lvlJc w:val="left"/>
      <w:pPr>
        <w:tabs>
          <w:tab w:val="num" w:pos="720"/>
        </w:tabs>
        <w:ind w:left="720" w:hanging="360"/>
      </w:pPr>
      <w:rPr>
        <w:b w:val="0"/>
      </w:rPr>
    </w:lvl>
    <w:lvl w:ilvl="1" w:tplc="16FC79E8">
      <w:start w:val="2"/>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96A5CF1"/>
    <w:multiLevelType w:val="hybridMultilevel"/>
    <w:tmpl w:val="4DC4DAD6"/>
    <w:lvl w:ilvl="0" w:tplc="9F840990">
      <w:start w:val="1"/>
      <w:numFmt w:val="decimal"/>
      <w:lvlText w:val="%1."/>
      <w:lvlJc w:val="left"/>
      <w:pPr>
        <w:ind w:left="36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8">
    <w:nsid w:val="39BA5C47"/>
    <w:multiLevelType w:val="hybridMultilevel"/>
    <w:tmpl w:val="637AB12C"/>
    <w:lvl w:ilvl="0" w:tplc="CFFECFB4">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CE37F04"/>
    <w:multiLevelType w:val="hybridMultilevel"/>
    <w:tmpl w:val="35A2E838"/>
    <w:lvl w:ilvl="0" w:tplc="2646D1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0D0253C"/>
    <w:multiLevelType w:val="hybridMultilevel"/>
    <w:tmpl w:val="7F7648AE"/>
    <w:lvl w:ilvl="0" w:tplc="CFFECFB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3B416FE"/>
    <w:multiLevelType w:val="hybridMultilevel"/>
    <w:tmpl w:val="D312E972"/>
    <w:lvl w:ilvl="0" w:tplc="F20651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26F103B"/>
    <w:multiLevelType w:val="hybridMultilevel"/>
    <w:tmpl w:val="C884296A"/>
    <w:lvl w:ilvl="0" w:tplc="04070001">
      <w:start w:val="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969744C"/>
    <w:multiLevelType w:val="hybridMultilevel"/>
    <w:tmpl w:val="FEA6D66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B442725"/>
    <w:multiLevelType w:val="hybridMultilevel"/>
    <w:tmpl w:val="FEA6D66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12"/>
  </w:num>
  <w:num w:numId="5">
    <w:abstractNumId w:val="1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2"/>
  </w:num>
  <w:num w:numId="17">
    <w:abstractNumId w:val="11"/>
  </w:num>
  <w:num w:numId="18">
    <w:abstractNumId w:val="16"/>
  </w:num>
  <w:num w:numId="19">
    <w:abstractNumId w:val="24"/>
  </w:num>
  <w:num w:numId="20">
    <w:abstractNumId w:val="21"/>
  </w:num>
  <w:num w:numId="21">
    <w:abstractNumId w:val="19"/>
  </w:num>
  <w:num w:numId="22">
    <w:abstractNumId w:val="0"/>
  </w:num>
  <w:num w:numId="23">
    <w:abstractNumId w:val="14"/>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CB7"/>
    <w:rsid w:val="00001ADC"/>
    <w:rsid w:val="00001DF3"/>
    <w:rsid w:val="00002D51"/>
    <w:rsid w:val="000032E0"/>
    <w:rsid w:val="00006370"/>
    <w:rsid w:val="00006E88"/>
    <w:rsid w:val="00010061"/>
    <w:rsid w:val="0001027F"/>
    <w:rsid w:val="00010B69"/>
    <w:rsid w:val="00011393"/>
    <w:rsid w:val="00014B2E"/>
    <w:rsid w:val="00014C99"/>
    <w:rsid w:val="00020ADE"/>
    <w:rsid w:val="00020BE0"/>
    <w:rsid w:val="00020E75"/>
    <w:rsid w:val="00021EFF"/>
    <w:rsid w:val="00023F25"/>
    <w:rsid w:val="00024F5C"/>
    <w:rsid w:val="0002536B"/>
    <w:rsid w:val="000253B1"/>
    <w:rsid w:val="0002587F"/>
    <w:rsid w:val="00027306"/>
    <w:rsid w:val="0003129D"/>
    <w:rsid w:val="0003140C"/>
    <w:rsid w:val="000316A7"/>
    <w:rsid w:val="00031DCB"/>
    <w:rsid w:val="00033276"/>
    <w:rsid w:val="00033891"/>
    <w:rsid w:val="000354C6"/>
    <w:rsid w:val="00041322"/>
    <w:rsid w:val="00047832"/>
    <w:rsid w:val="000500B0"/>
    <w:rsid w:val="00050EED"/>
    <w:rsid w:val="0005162A"/>
    <w:rsid w:val="0006026F"/>
    <w:rsid w:val="0006072A"/>
    <w:rsid w:val="000608F7"/>
    <w:rsid w:val="0006397F"/>
    <w:rsid w:val="000654AA"/>
    <w:rsid w:val="00066469"/>
    <w:rsid w:val="00066BDB"/>
    <w:rsid w:val="000703A1"/>
    <w:rsid w:val="00070461"/>
    <w:rsid w:val="000707F4"/>
    <w:rsid w:val="00073626"/>
    <w:rsid w:val="00076192"/>
    <w:rsid w:val="00076B00"/>
    <w:rsid w:val="0008412F"/>
    <w:rsid w:val="00087CB2"/>
    <w:rsid w:val="00090375"/>
    <w:rsid w:val="00092E7C"/>
    <w:rsid w:val="00093AC4"/>
    <w:rsid w:val="000A106F"/>
    <w:rsid w:val="000A10E9"/>
    <w:rsid w:val="000A37FA"/>
    <w:rsid w:val="000A724E"/>
    <w:rsid w:val="000A7C6C"/>
    <w:rsid w:val="000B17BE"/>
    <w:rsid w:val="000B23E9"/>
    <w:rsid w:val="000B6EFA"/>
    <w:rsid w:val="000B73C4"/>
    <w:rsid w:val="000C0764"/>
    <w:rsid w:val="000C66CF"/>
    <w:rsid w:val="000C7670"/>
    <w:rsid w:val="000D3D1A"/>
    <w:rsid w:val="000D4E77"/>
    <w:rsid w:val="000D6396"/>
    <w:rsid w:val="000E045B"/>
    <w:rsid w:val="000E1E23"/>
    <w:rsid w:val="000E3ED4"/>
    <w:rsid w:val="000E52FE"/>
    <w:rsid w:val="000F06F9"/>
    <w:rsid w:val="000F0AAE"/>
    <w:rsid w:val="000F1B31"/>
    <w:rsid w:val="000F28FA"/>
    <w:rsid w:val="000F4D34"/>
    <w:rsid w:val="000F51F5"/>
    <w:rsid w:val="000F6B0D"/>
    <w:rsid w:val="001039ED"/>
    <w:rsid w:val="00104535"/>
    <w:rsid w:val="001052D9"/>
    <w:rsid w:val="00105EE3"/>
    <w:rsid w:val="00107166"/>
    <w:rsid w:val="00107D00"/>
    <w:rsid w:val="001104D9"/>
    <w:rsid w:val="00113A96"/>
    <w:rsid w:val="00115485"/>
    <w:rsid w:val="0011577C"/>
    <w:rsid w:val="00117A17"/>
    <w:rsid w:val="001237DB"/>
    <w:rsid w:val="001246CE"/>
    <w:rsid w:val="00130B7C"/>
    <w:rsid w:val="00132824"/>
    <w:rsid w:val="00132BEE"/>
    <w:rsid w:val="001337B8"/>
    <w:rsid w:val="001343C4"/>
    <w:rsid w:val="00142620"/>
    <w:rsid w:val="0014288C"/>
    <w:rsid w:val="00144E94"/>
    <w:rsid w:val="001460A4"/>
    <w:rsid w:val="0014677A"/>
    <w:rsid w:val="001474DE"/>
    <w:rsid w:val="00147C5F"/>
    <w:rsid w:val="001505CC"/>
    <w:rsid w:val="00155C0B"/>
    <w:rsid w:val="00156C99"/>
    <w:rsid w:val="00157D9D"/>
    <w:rsid w:val="001606DF"/>
    <w:rsid w:val="001617F8"/>
    <w:rsid w:val="0017212A"/>
    <w:rsid w:val="00174BC4"/>
    <w:rsid w:val="00175DA7"/>
    <w:rsid w:val="00175EC0"/>
    <w:rsid w:val="00176520"/>
    <w:rsid w:val="0018119B"/>
    <w:rsid w:val="00182607"/>
    <w:rsid w:val="00183D0B"/>
    <w:rsid w:val="00183F00"/>
    <w:rsid w:val="0018575D"/>
    <w:rsid w:val="0018641A"/>
    <w:rsid w:val="00190922"/>
    <w:rsid w:val="00195EFC"/>
    <w:rsid w:val="001A0139"/>
    <w:rsid w:val="001A1B30"/>
    <w:rsid w:val="001A3F33"/>
    <w:rsid w:val="001A3FA0"/>
    <w:rsid w:val="001A4D58"/>
    <w:rsid w:val="001A7A73"/>
    <w:rsid w:val="001A7D16"/>
    <w:rsid w:val="001B12CC"/>
    <w:rsid w:val="001B17BB"/>
    <w:rsid w:val="001B25F9"/>
    <w:rsid w:val="001B2749"/>
    <w:rsid w:val="001B381E"/>
    <w:rsid w:val="001B5657"/>
    <w:rsid w:val="001C2C38"/>
    <w:rsid w:val="001C2D30"/>
    <w:rsid w:val="001C3CA2"/>
    <w:rsid w:val="001C44C2"/>
    <w:rsid w:val="001C4F83"/>
    <w:rsid w:val="001C666B"/>
    <w:rsid w:val="001C7CBB"/>
    <w:rsid w:val="001D0E0C"/>
    <w:rsid w:val="001D39F9"/>
    <w:rsid w:val="001D6486"/>
    <w:rsid w:val="001D7C5E"/>
    <w:rsid w:val="001E012F"/>
    <w:rsid w:val="001E0873"/>
    <w:rsid w:val="001E0F37"/>
    <w:rsid w:val="001E1BEF"/>
    <w:rsid w:val="001E1F47"/>
    <w:rsid w:val="001E297F"/>
    <w:rsid w:val="001E40AC"/>
    <w:rsid w:val="001E4332"/>
    <w:rsid w:val="001E4666"/>
    <w:rsid w:val="001E56A4"/>
    <w:rsid w:val="001F01BD"/>
    <w:rsid w:val="001F02CA"/>
    <w:rsid w:val="001F3775"/>
    <w:rsid w:val="001F60E5"/>
    <w:rsid w:val="001F67BC"/>
    <w:rsid w:val="001F6EF1"/>
    <w:rsid w:val="00202BB8"/>
    <w:rsid w:val="002059E9"/>
    <w:rsid w:val="00207558"/>
    <w:rsid w:val="00216CB2"/>
    <w:rsid w:val="00224248"/>
    <w:rsid w:val="0022474D"/>
    <w:rsid w:val="00224E4C"/>
    <w:rsid w:val="0022532D"/>
    <w:rsid w:val="002258EF"/>
    <w:rsid w:val="00230ADD"/>
    <w:rsid w:val="0023147A"/>
    <w:rsid w:val="00231502"/>
    <w:rsid w:val="002323C4"/>
    <w:rsid w:val="00232445"/>
    <w:rsid w:val="00232D1E"/>
    <w:rsid w:val="002336EB"/>
    <w:rsid w:val="00233C00"/>
    <w:rsid w:val="00233EA1"/>
    <w:rsid w:val="00237398"/>
    <w:rsid w:val="00240B4C"/>
    <w:rsid w:val="0024411A"/>
    <w:rsid w:val="002456B3"/>
    <w:rsid w:val="002478B5"/>
    <w:rsid w:val="00247DC5"/>
    <w:rsid w:val="0025019F"/>
    <w:rsid w:val="00252C75"/>
    <w:rsid w:val="00254BB7"/>
    <w:rsid w:val="00256651"/>
    <w:rsid w:val="0025756A"/>
    <w:rsid w:val="0026452C"/>
    <w:rsid w:val="002702E5"/>
    <w:rsid w:val="0027041D"/>
    <w:rsid w:val="00270C62"/>
    <w:rsid w:val="0027214B"/>
    <w:rsid w:val="00272EA3"/>
    <w:rsid w:val="0027473C"/>
    <w:rsid w:val="00277C48"/>
    <w:rsid w:val="002807BD"/>
    <w:rsid w:val="002811B9"/>
    <w:rsid w:val="00281375"/>
    <w:rsid w:val="00281CDA"/>
    <w:rsid w:val="00281D38"/>
    <w:rsid w:val="00282440"/>
    <w:rsid w:val="00286231"/>
    <w:rsid w:val="00286A61"/>
    <w:rsid w:val="00286AD4"/>
    <w:rsid w:val="00290A95"/>
    <w:rsid w:val="002912C3"/>
    <w:rsid w:val="00294F03"/>
    <w:rsid w:val="002A21E7"/>
    <w:rsid w:val="002A2FCB"/>
    <w:rsid w:val="002A39CB"/>
    <w:rsid w:val="002A6464"/>
    <w:rsid w:val="002B0480"/>
    <w:rsid w:val="002B0E66"/>
    <w:rsid w:val="002B0E6A"/>
    <w:rsid w:val="002B1369"/>
    <w:rsid w:val="002B156B"/>
    <w:rsid w:val="002B1D0D"/>
    <w:rsid w:val="002B37C2"/>
    <w:rsid w:val="002B75A4"/>
    <w:rsid w:val="002C11CE"/>
    <w:rsid w:val="002C165F"/>
    <w:rsid w:val="002C7DD6"/>
    <w:rsid w:val="002D020D"/>
    <w:rsid w:val="002D339D"/>
    <w:rsid w:val="002D3F7A"/>
    <w:rsid w:val="002D4118"/>
    <w:rsid w:val="002D5927"/>
    <w:rsid w:val="002D7358"/>
    <w:rsid w:val="002E04DD"/>
    <w:rsid w:val="002E308E"/>
    <w:rsid w:val="002E37E7"/>
    <w:rsid w:val="002E66E7"/>
    <w:rsid w:val="002E786A"/>
    <w:rsid w:val="002F1683"/>
    <w:rsid w:val="002F459A"/>
    <w:rsid w:val="002F4E08"/>
    <w:rsid w:val="002F5F8C"/>
    <w:rsid w:val="002F6C58"/>
    <w:rsid w:val="002F70F8"/>
    <w:rsid w:val="003004A7"/>
    <w:rsid w:val="00303CAE"/>
    <w:rsid w:val="00303F35"/>
    <w:rsid w:val="00306EE5"/>
    <w:rsid w:val="003075EE"/>
    <w:rsid w:val="0030768C"/>
    <w:rsid w:val="00310886"/>
    <w:rsid w:val="00314413"/>
    <w:rsid w:val="0031491F"/>
    <w:rsid w:val="00314A57"/>
    <w:rsid w:val="00314C9D"/>
    <w:rsid w:val="0031546D"/>
    <w:rsid w:val="00315C5A"/>
    <w:rsid w:val="00321EE5"/>
    <w:rsid w:val="00321F86"/>
    <w:rsid w:val="00323A54"/>
    <w:rsid w:val="00323C0F"/>
    <w:rsid w:val="00324594"/>
    <w:rsid w:val="00324643"/>
    <w:rsid w:val="003258EB"/>
    <w:rsid w:val="00326810"/>
    <w:rsid w:val="00327CA8"/>
    <w:rsid w:val="00331207"/>
    <w:rsid w:val="00334FEB"/>
    <w:rsid w:val="0033622B"/>
    <w:rsid w:val="003367B7"/>
    <w:rsid w:val="00343989"/>
    <w:rsid w:val="00351671"/>
    <w:rsid w:val="00352222"/>
    <w:rsid w:val="00353CD7"/>
    <w:rsid w:val="003546C2"/>
    <w:rsid w:val="0035531A"/>
    <w:rsid w:val="00355DE9"/>
    <w:rsid w:val="00356AAA"/>
    <w:rsid w:val="0035745C"/>
    <w:rsid w:val="00357992"/>
    <w:rsid w:val="003611A2"/>
    <w:rsid w:val="00361530"/>
    <w:rsid w:val="00361A14"/>
    <w:rsid w:val="003660EE"/>
    <w:rsid w:val="00367297"/>
    <w:rsid w:val="0037026E"/>
    <w:rsid w:val="00371D95"/>
    <w:rsid w:val="003720B7"/>
    <w:rsid w:val="0037419D"/>
    <w:rsid w:val="00377522"/>
    <w:rsid w:val="00380E83"/>
    <w:rsid w:val="0038272D"/>
    <w:rsid w:val="0038431D"/>
    <w:rsid w:val="003879C8"/>
    <w:rsid w:val="00387E3C"/>
    <w:rsid w:val="003926AB"/>
    <w:rsid w:val="0039390C"/>
    <w:rsid w:val="00393B0C"/>
    <w:rsid w:val="00393C96"/>
    <w:rsid w:val="00396F62"/>
    <w:rsid w:val="003A172F"/>
    <w:rsid w:val="003A1FD3"/>
    <w:rsid w:val="003A47C4"/>
    <w:rsid w:val="003A4933"/>
    <w:rsid w:val="003A549B"/>
    <w:rsid w:val="003A6742"/>
    <w:rsid w:val="003B1772"/>
    <w:rsid w:val="003B2A40"/>
    <w:rsid w:val="003B3DD6"/>
    <w:rsid w:val="003B7F93"/>
    <w:rsid w:val="003C03C1"/>
    <w:rsid w:val="003C1B23"/>
    <w:rsid w:val="003C427F"/>
    <w:rsid w:val="003C47D4"/>
    <w:rsid w:val="003C5751"/>
    <w:rsid w:val="003C5CFD"/>
    <w:rsid w:val="003D006E"/>
    <w:rsid w:val="003D0185"/>
    <w:rsid w:val="003D023B"/>
    <w:rsid w:val="003D1039"/>
    <w:rsid w:val="003D3DD5"/>
    <w:rsid w:val="003D40E7"/>
    <w:rsid w:val="003D4DE7"/>
    <w:rsid w:val="003E017E"/>
    <w:rsid w:val="003E4042"/>
    <w:rsid w:val="003E460B"/>
    <w:rsid w:val="003E5156"/>
    <w:rsid w:val="003F04E4"/>
    <w:rsid w:val="003F103C"/>
    <w:rsid w:val="003F17F3"/>
    <w:rsid w:val="003F2891"/>
    <w:rsid w:val="003F362F"/>
    <w:rsid w:val="003F4011"/>
    <w:rsid w:val="003F4FE1"/>
    <w:rsid w:val="003F6412"/>
    <w:rsid w:val="003F6562"/>
    <w:rsid w:val="003F69B2"/>
    <w:rsid w:val="0040131C"/>
    <w:rsid w:val="00401B0B"/>
    <w:rsid w:val="00401E56"/>
    <w:rsid w:val="004048DE"/>
    <w:rsid w:val="004066C2"/>
    <w:rsid w:val="00406D04"/>
    <w:rsid w:val="004134AD"/>
    <w:rsid w:val="00413B6E"/>
    <w:rsid w:val="00413D17"/>
    <w:rsid w:val="00415A22"/>
    <w:rsid w:val="00416F9A"/>
    <w:rsid w:val="00417F07"/>
    <w:rsid w:val="00420934"/>
    <w:rsid w:val="004250C3"/>
    <w:rsid w:val="004251A6"/>
    <w:rsid w:val="00426C37"/>
    <w:rsid w:val="00427EA8"/>
    <w:rsid w:val="00431D3D"/>
    <w:rsid w:val="00431E14"/>
    <w:rsid w:val="00433223"/>
    <w:rsid w:val="00434347"/>
    <w:rsid w:val="00434B6D"/>
    <w:rsid w:val="00434CDA"/>
    <w:rsid w:val="00436ABC"/>
    <w:rsid w:val="00445ECA"/>
    <w:rsid w:val="004474F7"/>
    <w:rsid w:val="00450A47"/>
    <w:rsid w:val="00451A38"/>
    <w:rsid w:val="00453E6A"/>
    <w:rsid w:val="00454577"/>
    <w:rsid w:val="00460DEA"/>
    <w:rsid w:val="00461DFE"/>
    <w:rsid w:val="004627BC"/>
    <w:rsid w:val="00463F68"/>
    <w:rsid w:val="00465AA5"/>
    <w:rsid w:val="00465F43"/>
    <w:rsid w:val="00466BE8"/>
    <w:rsid w:val="00470769"/>
    <w:rsid w:val="00470C75"/>
    <w:rsid w:val="0047189A"/>
    <w:rsid w:val="004724D9"/>
    <w:rsid w:val="004728E9"/>
    <w:rsid w:val="00472AE3"/>
    <w:rsid w:val="00473931"/>
    <w:rsid w:val="00474403"/>
    <w:rsid w:val="0047654B"/>
    <w:rsid w:val="00477E4A"/>
    <w:rsid w:val="00480EB0"/>
    <w:rsid w:val="00481003"/>
    <w:rsid w:val="00481748"/>
    <w:rsid w:val="00484308"/>
    <w:rsid w:val="00486B54"/>
    <w:rsid w:val="00487AC7"/>
    <w:rsid w:val="0049086E"/>
    <w:rsid w:val="004927B1"/>
    <w:rsid w:val="00496B77"/>
    <w:rsid w:val="004A2E53"/>
    <w:rsid w:val="004A56C9"/>
    <w:rsid w:val="004A6D29"/>
    <w:rsid w:val="004A7290"/>
    <w:rsid w:val="004A773C"/>
    <w:rsid w:val="004A780E"/>
    <w:rsid w:val="004B3601"/>
    <w:rsid w:val="004B6313"/>
    <w:rsid w:val="004B719F"/>
    <w:rsid w:val="004B7433"/>
    <w:rsid w:val="004B7EC0"/>
    <w:rsid w:val="004C1E8B"/>
    <w:rsid w:val="004C226F"/>
    <w:rsid w:val="004C2731"/>
    <w:rsid w:val="004C7A18"/>
    <w:rsid w:val="004D1511"/>
    <w:rsid w:val="004D209B"/>
    <w:rsid w:val="004D565E"/>
    <w:rsid w:val="004D769F"/>
    <w:rsid w:val="004D76AD"/>
    <w:rsid w:val="004E135E"/>
    <w:rsid w:val="004E1EB2"/>
    <w:rsid w:val="004E3253"/>
    <w:rsid w:val="004E56B2"/>
    <w:rsid w:val="004E570D"/>
    <w:rsid w:val="004E58F0"/>
    <w:rsid w:val="004E6038"/>
    <w:rsid w:val="004E68C4"/>
    <w:rsid w:val="004E7F75"/>
    <w:rsid w:val="004F21F3"/>
    <w:rsid w:val="004F2B51"/>
    <w:rsid w:val="004F3A1D"/>
    <w:rsid w:val="004F5526"/>
    <w:rsid w:val="004F5DBF"/>
    <w:rsid w:val="004F5E9F"/>
    <w:rsid w:val="0050047A"/>
    <w:rsid w:val="00500708"/>
    <w:rsid w:val="005016A9"/>
    <w:rsid w:val="005041DE"/>
    <w:rsid w:val="00504A3D"/>
    <w:rsid w:val="00504A94"/>
    <w:rsid w:val="00506C9F"/>
    <w:rsid w:val="0051056F"/>
    <w:rsid w:val="00511EF2"/>
    <w:rsid w:val="00512A38"/>
    <w:rsid w:val="00513B36"/>
    <w:rsid w:val="00514280"/>
    <w:rsid w:val="005142E1"/>
    <w:rsid w:val="005174BE"/>
    <w:rsid w:val="005200E4"/>
    <w:rsid w:val="00521B76"/>
    <w:rsid w:val="005220FA"/>
    <w:rsid w:val="00522942"/>
    <w:rsid w:val="00523ECC"/>
    <w:rsid w:val="00523FA6"/>
    <w:rsid w:val="00524D4A"/>
    <w:rsid w:val="00525216"/>
    <w:rsid w:val="005268E5"/>
    <w:rsid w:val="00526937"/>
    <w:rsid w:val="00526C20"/>
    <w:rsid w:val="0053094B"/>
    <w:rsid w:val="00532D3B"/>
    <w:rsid w:val="00532DBE"/>
    <w:rsid w:val="00532E42"/>
    <w:rsid w:val="00533B7A"/>
    <w:rsid w:val="00534B5E"/>
    <w:rsid w:val="0053567B"/>
    <w:rsid w:val="00535931"/>
    <w:rsid w:val="00537CB5"/>
    <w:rsid w:val="005401DA"/>
    <w:rsid w:val="00541BCC"/>
    <w:rsid w:val="00541FFE"/>
    <w:rsid w:val="00542425"/>
    <w:rsid w:val="00542894"/>
    <w:rsid w:val="00542A96"/>
    <w:rsid w:val="005436A1"/>
    <w:rsid w:val="00543DAB"/>
    <w:rsid w:val="00544F06"/>
    <w:rsid w:val="00547851"/>
    <w:rsid w:val="005500F6"/>
    <w:rsid w:val="00550BB8"/>
    <w:rsid w:val="00556EED"/>
    <w:rsid w:val="00557146"/>
    <w:rsid w:val="00557621"/>
    <w:rsid w:val="005611CC"/>
    <w:rsid w:val="00563F61"/>
    <w:rsid w:val="0056599B"/>
    <w:rsid w:val="005663D2"/>
    <w:rsid w:val="005675C6"/>
    <w:rsid w:val="00571D59"/>
    <w:rsid w:val="00572197"/>
    <w:rsid w:val="00573997"/>
    <w:rsid w:val="005765AF"/>
    <w:rsid w:val="00576FE7"/>
    <w:rsid w:val="005779D7"/>
    <w:rsid w:val="00580A24"/>
    <w:rsid w:val="00581937"/>
    <w:rsid w:val="00582045"/>
    <w:rsid w:val="0058345B"/>
    <w:rsid w:val="00584DCD"/>
    <w:rsid w:val="005861CE"/>
    <w:rsid w:val="005869CC"/>
    <w:rsid w:val="00586ECA"/>
    <w:rsid w:val="00586F6C"/>
    <w:rsid w:val="00587E1C"/>
    <w:rsid w:val="00590328"/>
    <w:rsid w:val="00592F63"/>
    <w:rsid w:val="00593172"/>
    <w:rsid w:val="005944D7"/>
    <w:rsid w:val="00595D45"/>
    <w:rsid w:val="0059602A"/>
    <w:rsid w:val="005963DA"/>
    <w:rsid w:val="00597455"/>
    <w:rsid w:val="005A6091"/>
    <w:rsid w:val="005A7A41"/>
    <w:rsid w:val="005A7DE8"/>
    <w:rsid w:val="005B1EB9"/>
    <w:rsid w:val="005B490D"/>
    <w:rsid w:val="005B5266"/>
    <w:rsid w:val="005B5C1F"/>
    <w:rsid w:val="005C0176"/>
    <w:rsid w:val="005C0CEA"/>
    <w:rsid w:val="005C3401"/>
    <w:rsid w:val="005C4A32"/>
    <w:rsid w:val="005C51F2"/>
    <w:rsid w:val="005C7EBA"/>
    <w:rsid w:val="005D2466"/>
    <w:rsid w:val="005D4C81"/>
    <w:rsid w:val="005D4DD2"/>
    <w:rsid w:val="005D6C27"/>
    <w:rsid w:val="005D781E"/>
    <w:rsid w:val="005E0427"/>
    <w:rsid w:val="005E0DD5"/>
    <w:rsid w:val="005E276C"/>
    <w:rsid w:val="005E5686"/>
    <w:rsid w:val="005F13F0"/>
    <w:rsid w:val="005F1C4F"/>
    <w:rsid w:val="005F3CF3"/>
    <w:rsid w:val="005F49AC"/>
    <w:rsid w:val="005F7AA6"/>
    <w:rsid w:val="005F7E2D"/>
    <w:rsid w:val="005F7E4F"/>
    <w:rsid w:val="00600C40"/>
    <w:rsid w:val="00600EE1"/>
    <w:rsid w:val="0060180F"/>
    <w:rsid w:val="00606115"/>
    <w:rsid w:val="00611202"/>
    <w:rsid w:val="00611295"/>
    <w:rsid w:val="006133D4"/>
    <w:rsid w:val="006206EE"/>
    <w:rsid w:val="00622294"/>
    <w:rsid w:val="006222ED"/>
    <w:rsid w:val="00624C48"/>
    <w:rsid w:val="00625147"/>
    <w:rsid w:val="0062645C"/>
    <w:rsid w:val="0063063A"/>
    <w:rsid w:val="006309CC"/>
    <w:rsid w:val="006320B2"/>
    <w:rsid w:val="006373B2"/>
    <w:rsid w:val="006413DE"/>
    <w:rsid w:val="00641B45"/>
    <w:rsid w:val="00643A6E"/>
    <w:rsid w:val="006461DB"/>
    <w:rsid w:val="00646913"/>
    <w:rsid w:val="00646C4D"/>
    <w:rsid w:val="00653ED5"/>
    <w:rsid w:val="006552BD"/>
    <w:rsid w:val="00663C37"/>
    <w:rsid w:val="0066721E"/>
    <w:rsid w:val="006716B1"/>
    <w:rsid w:val="00674B54"/>
    <w:rsid w:val="00675CCA"/>
    <w:rsid w:val="00677B59"/>
    <w:rsid w:val="0068335F"/>
    <w:rsid w:val="0068350A"/>
    <w:rsid w:val="00687090"/>
    <w:rsid w:val="00690A59"/>
    <w:rsid w:val="006918AB"/>
    <w:rsid w:val="00691A3B"/>
    <w:rsid w:val="00694EDD"/>
    <w:rsid w:val="00695C47"/>
    <w:rsid w:val="00696D35"/>
    <w:rsid w:val="006A2A3B"/>
    <w:rsid w:val="006A414C"/>
    <w:rsid w:val="006A5A64"/>
    <w:rsid w:val="006A74CD"/>
    <w:rsid w:val="006B1D4B"/>
    <w:rsid w:val="006B242D"/>
    <w:rsid w:val="006B2F3D"/>
    <w:rsid w:val="006C00DD"/>
    <w:rsid w:val="006C29FC"/>
    <w:rsid w:val="006C2F5E"/>
    <w:rsid w:val="006C39DF"/>
    <w:rsid w:val="006C619E"/>
    <w:rsid w:val="006C680D"/>
    <w:rsid w:val="006C6928"/>
    <w:rsid w:val="006C7D7E"/>
    <w:rsid w:val="006D0BA1"/>
    <w:rsid w:val="006D12C8"/>
    <w:rsid w:val="006D4814"/>
    <w:rsid w:val="006D5250"/>
    <w:rsid w:val="006D666A"/>
    <w:rsid w:val="006D6A47"/>
    <w:rsid w:val="006E0D80"/>
    <w:rsid w:val="006E1EF7"/>
    <w:rsid w:val="006E2946"/>
    <w:rsid w:val="006E3DD0"/>
    <w:rsid w:val="006E6C41"/>
    <w:rsid w:val="006E7504"/>
    <w:rsid w:val="006F28CB"/>
    <w:rsid w:val="006F3DAD"/>
    <w:rsid w:val="006F3FA7"/>
    <w:rsid w:val="006F47DC"/>
    <w:rsid w:val="006F50DF"/>
    <w:rsid w:val="006F5276"/>
    <w:rsid w:val="006F593F"/>
    <w:rsid w:val="006F5CA4"/>
    <w:rsid w:val="006F744B"/>
    <w:rsid w:val="006F7A9D"/>
    <w:rsid w:val="00701675"/>
    <w:rsid w:val="00701BF6"/>
    <w:rsid w:val="007030F4"/>
    <w:rsid w:val="00705B53"/>
    <w:rsid w:val="00705DBF"/>
    <w:rsid w:val="00705FA4"/>
    <w:rsid w:val="00710DD5"/>
    <w:rsid w:val="00710FD9"/>
    <w:rsid w:val="00711E4F"/>
    <w:rsid w:val="00715CCD"/>
    <w:rsid w:val="00717543"/>
    <w:rsid w:val="0072090E"/>
    <w:rsid w:val="00720B0D"/>
    <w:rsid w:val="00723842"/>
    <w:rsid w:val="00723D08"/>
    <w:rsid w:val="007245DD"/>
    <w:rsid w:val="00725FE2"/>
    <w:rsid w:val="00732BE2"/>
    <w:rsid w:val="00740E96"/>
    <w:rsid w:val="007416A1"/>
    <w:rsid w:val="00741C1C"/>
    <w:rsid w:val="00743113"/>
    <w:rsid w:val="007433FC"/>
    <w:rsid w:val="00744597"/>
    <w:rsid w:val="00745A06"/>
    <w:rsid w:val="00747283"/>
    <w:rsid w:val="007500F6"/>
    <w:rsid w:val="00754FDE"/>
    <w:rsid w:val="00757E9B"/>
    <w:rsid w:val="00760C2E"/>
    <w:rsid w:val="00764002"/>
    <w:rsid w:val="00764D64"/>
    <w:rsid w:val="00765B91"/>
    <w:rsid w:val="00765EEF"/>
    <w:rsid w:val="0076653F"/>
    <w:rsid w:val="00766E6C"/>
    <w:rsid w:val="00770E44"/>
    <w:rsid w:val="007714B0"/>
    <w:rsid w:val="00771832"/>
    <w:rsid w:val="0077331F"/>
    <w:rsid w:val="00773715"/>
    <w:rsid w:val="00774163"/>
    <w:rsid w:val="007766D3"/>
    <w:rsid w:val="00780F26"/>
    <w:rsid w:val="0078194F"/>
    <w:rsid w:val="00781BD8"/>
    <w:rsid w:val="00782CEA"/>
    <w:rsid w:val="00783021"/>
    <w:rsid w:val="00783DA5"/>
    <w:rsid w:val="00790A38"/>
    <w:rsid w:val="00792D5F"/>
    <w:rsid w:val="00793171"/>
    <w:rsid w:val="00794462"/>
    <w:rsid w:val="00794DA7"/>
    <w:rsid w:val="00795F70"/>
    <w:rsid w:val="007963ED"/>
    <w:rsid w:val="007A00BB"/>
    <w:rsid w:val="007A16FC"/>
    <w:rsid w:val="007A2C02"/>
    <w:rsid w:val="007A42DB"/>
    <w:rsid w:val="007A52A6"/>
    <w:rsid w:val="007A6D22"/>
    <w:rsid w:val="007A728B"/>
    <w:rsid w:val="007B0661"/>
    <w:rsid w:val="007B3B2A"/>
    <w:rsid w:val="007B580F"/>
    <w:rsid w:val="007B5A63"/>
    <w:rsid w:val="007B65B3"/>
    <w:rsid w:val="007C0CD8"/>
    <w:rsid w:val="007C1472"/>
    <w:rsid w:val="007C2C06"/>
    <w:rsid w:val="007C54CA"/>
    <w:rsid w:val="007C5D08"/>
    <w:rsid w:val="007C72F6"/>
    <w:rsid w:val="007C7F93"/>
    <w:rsid w:val="007D40E5"/>
    <w:rsid w:val="007D4A20"/>
    <w:rsid w:val="007D51C8"/>
    <w:rsid w:val="007D6326"/>
    <w:rsid w:val="007E0DAF"/>
    <w:rsid w:val="007E4E96"/>
    <w:rsid w:val="007E4F1B"/>
    <w:rsid w:val="007E73EC"/>
    <w:rsid w:val="007F3590"/>
    <w:rsid w:val="007F3B19"/>
    <w:rsid w:val="007F7B15"/>
    <w:rsid w:val="007F7D85"/>
    <w:rsid w:val="00803DCB"/>
    <w:rsid w:val="008128A6"/>
    <w:rsid w:val="00812AE5"/>
    <w:rsid w:val="00816BEF"/>
    <w:rsid w:val="00820E8C"/>
    <w:rsid w:val="00831169"/>
    <w:rsid w:val="00833AF9"/>
    <w:rsid w:val="00835F77"/>
    <w:rsid w:val="00836556"/>
    <w:rsid w:val="00836D0B"/>
    <w:rsid w:val="00837B9F"/>
    <w:rsid w:val="00842637"/>
    <w:rsid w:val="00844714"/>
    <w:rsid w:val="008448E4"/>
    <w:rsid w:val="00845E72"/>
    <w:rsid w:val="00846509"/>
    <w:rsid w:val="008466F5"/>
    <w:rsid w:val="00846BAA"/>
    <w:rsid w:val="00847DAD"/>
    <w:rsid w:val="0085040A"/>
    <w:rsid w:val="00852A64"/>
    <w:rsid w:val="00853B65"/>
    <w:rsid w:val="00853E1F"/>
    <w:rsid w:val="0085430A"/>
    <w:rsid w:val="00855CB6"/>
    <w:rsid w:val="008562AD"/>
    <w:rsid w:val="008571A1"/>
    <w:rsid w:val="00860567"/>
    <w:rsid w:val="00860842"/>
    <w:rsid w:val="00862AAB"/>
    <w:rsid w:val="008631C4"/>
    <w:rsid w:val="00864C02"/>
    <w:rsid w:val="00866029"/>
    <w:rsid w:val="00866B99"/>
    <w:rsid w:val="00867369"/>
    <w:rsid w:val="00870381"/>
    <w:rsid w:val="0087211C"/>
    <w:rsid w:val="00872E7F"/>
    <w:rsid w:val="008809F1"/>
    <w:rsid w:val="0088369C"/>
    <w:rsid w:val="00884271"/>
    <w:rsid w:val="00884745"/>
    <w:rsid w:val="008864DB"/>
    <w:rsid w:val="00891891"/>
    <w:rsid w:val="0089404A"/>
    <w:rsid w:val="00895F2D"/>
    <w:rsid w:val="00895F9D"/>
    <w:rsid w:val="0089697C"/>
    <w:rsid w:val="00897880"/>
    <w:rsid w:val="008A2015"/>
    <w:rsid w:val="008A2359"/>
    <w:rsid w:val="008A40F2"/>
    <w:rsid w:val="008A5B91"/>
    <w:rsid w:val="008A6153"/>
    <w:rsid w:val="008A6F47"/>
    <w:rsid w:val="008A71C1"/>
    <w:rsid w:val="008A736A"/>
    <w:rsid w:val="008B35AC"/>
    <w:rsid w:val="008B3FD9"/>
    <w:rsid w:val="008B4C31"/>
    <w:rsid w:val="008B4C8B"/>
    <w:rsid w:val="008B6EBB"/>
    <w:rsid w:val="008B7DA7"/>
    <w:rsid w:val="008C18C8"/>
    <w:rsid w:val="008C4570"/>
    <w:rsid w:val="008C4BC5"/>
    <w:rsid w:val="008C52C3"/>
    <w:rsid w:val="008C63C2"/>
    <w:rsid w:val="008C6735"/>
    <w:rsid w:val="008C7703"/>
    <w:rsid w:val="008C7FF8"/>
    <w:rsid w:val="008D0193"/>
    <w:rsid w:val="008D0735"/>
    <w:rsid w:val="008D2AE7"/>
    <w:rsid w:val="008D2E35"/>
    <w:rsid w:val="008E0479"/>
    <w:rsid w:val="008E4310"/>
    <w:rsid w:val="008E438A"/>
    <w:rsid w:val="008E4CE5"/>
    <w:rsid w:val="008E62FA"/>
    <w:rsid w:val="008F0125"/>
    <w:rsid w:val="008F0610"/>
    <w:rsid w:val="008F11BB"/>
    <w:rsid w:val="008F22C4"/>
    <w:rsid w:val="008F2B06"/>
    <w:rsid w:val="008F308F"/>
    <w:rsid w:val="008F5B73"/>
    <w:rsid w:val="008F728A"/>
    <w:rsid w:val="008F7661"/>
    <w:rsid w:val="008F7A83"/>
    <w:rsid w:val="00900806"/>
    <w:rsid w:val="00900937"/>
    <w:rsid w:val="009023A8"/>
    <w:rsid w:val="00902696"/>
    <w:rsid w:val="00904DAB"/>
    <w:rsid w:val="00906896"/>
    <w:rsid w:val="0090770B"/>
    <w:rsid w:val="00910F22"/>
    <w:rsid w:val="00913FBD"/>
    <w:rsid w:val="0091501B"/>
    <w:rsid w:val="00917558"/>
    <w:rsid w:val="00917E97"/>
    <w:rsid w:val="0092069C"/>
    <w:rsid w:val="00921242"/>
    <w:rsid w:val="0092411E"/>
    <w:rsid w:val="00926A2D"/>
    <w:rsid w:val="009278C7"/>
    <w:rsid w:val="009310A0"/>
    <w:rsid w:val="00934EEF"/>
    <w:rsid w:val="00942889"/>
    <w:rsid w:val="00943E3B"/>
    <w:rsid w:val="009455FE"/>
    <w:rsid w:val="00946474"/>
    <w:rsid w:val="00947A23"/>
    <w:rsid w:val="00955654"/>
    <w:rsid w:val="00956289"/>
    <w:rsid w:val="00956515"/>
    <w:rsid w:val="00956E80"/>
    <w:rsid w:val="009616F3"/>
    <w:rsid w:val="00961863"/>
    <w:rsid w:val="009637A7"/>
    <w:rsid w:val="00967ABB"/>
    <w:rsid w:val="00970A1D"/>
    <w:rsid w:val="0097114C"/>
    <w:rsid w:val="00972832"/>
    <w:rsid w:val="00973687"/>
    <w:rsid w:val="009746D7"/>
    <w:rsid w:val="009748C8"/>
    <w:rsid w:val="009753CB"/>
    <w:rsid w:val="00980B70"/>
    <w:rsid w:val="009817B0"/>
    <w:rsid w:val="009817F5"/>
    <w:rsid w:val="00982412"/>
    <w:rsid w:val="00983AE4"/>
    <w:rsid w:val="00984B0D"/>
    <w:rsid w:val="00984B3B"/>
    <w:rsid w:val="00985B88"/>
    <w:rsid w:val="0098602A"/>
    <w:rsid w:val="009866DC"/>
    <w:rsid w:val="00987AB6"/>
    <w:rsid w:val="00991937"/>
    <w:rsid w:val="00991B88"/>
    <w:rsid w:val="0099362E"/>
    <w:rsid w:val="0099587D"/>
    <w:rsid w:val="00995BE1"/>
    <w:rsid w:val="00995F24"/>
    <w:rsid w:val="009A0367"/>
    <w:rsid w:val="009A23CC"/>
    <w:rsid w:val="009A6D63"/>
    <w:rsid w:val="009B0118"/>
    <w:rsid w:val="009B15B5"/>
    <w:rsid w:val="009B16EF"/>
    <w:rsid w:val="009B3BB3"/>
    <w:rsid w:val="009B485C"/>
    <w:rsid w:val="009B537B"/>
    <w:rsid w:val="009B5CB3"/>
    <w:rsid w:val="009C01DE"/>
    <w:rsid w:val="009C0DA1"/>
    <w:rsid w:val="009C2307"/>
    <w:rsid w:val="009C23C8"/>
    <w:rsid w:val="009C46AE"/>
    <w:rsid w:val="009C4B40"/>
    <w:rsid w:val="009C75E0"/>
    <w:rsid w:val="009D01C7"/>
    <w:rsid w:val="009D1FEC"/>
    <w:rsid w:val="009D2A26"/>
    <w:rsid w:val="009D447E"/>
    <w:rsid w:val="009D5FE1"/>
    <w:rsid w:val="009D73CD"/>
    <w:rsid w:val="009E1FA8"/>
    <w:rsid w:val="009E3DA7"/>
    <w:rsid w:val="009E593F"/>
    <w:rsid w:val="009E6D2E"/>
    <w:rsid w:val="009E6E96"/>
    <w:rsid w:val="009E77CF"/>
    <w:rsid w:val="009F01B9"/>
    <w:rsid w:val="009F2EB0"/>
    <w:rsid w:val="009F57A0"/>
    <w:rsid w:val="009F71C8"/>
    <w:rsid w:val="00A016BA"/>
    <w:rsid w:val="00A01D18"/>
    <w:rsid w:val="00A026D9"/>
    <w:rsid w:val="00A030A5"/>
    <w:rsid w:val="00A10D12"/>
    <w:rsid w:val="00A11DB4"/>
    <w:rsid w:val="00A2016B"/>
    <w:rsid w:val="00A209B6"/>
    <w:rsid w:val="00A209EE"/>
    <w:rsid w:val="00A20D9A"/>
    <w:rsid w:val="00A2103A"/>
    <w:rsid w:val="00A21609"/>
    <w:rsid w:val="00A22C20"/>
    <w:rsid w:val="00A23299"/>
    <w:rsid w:val="00A2450B"/>
    <w:rsid w:val="00A25B53"/>
    <w:rsid w:val="00A25BC5"/>
    <w:rsid w:val="00A269C6"/>
    <w:rsid w:val="00A26C9F"/>
    <w:rsid w:val="00A272A9"/>
    <w:rsid w:val="00A329C9"/>
    <w:rsid w:val="00A33A5C"/>
    <w:rsid w:val="00A342FB"/>
    <w:rsid w:val="00A35E96"/>
    <w:rsid w:val="00A37A5D"/>
    <w:rsid w:val="00A37D0A"/>
    <w:rsid w:val="00A37F5E"/>
    <w:rsid w:val="00A40056"/>
    <w:rsid w:val="00A407A9"/>
    <w:rsid w:val="00A41C6B"/>
    <w:rsid w:val="00A450F3"/>
    <w:rsid w:val="00A455A3"/>
    <w:rsid w:val="00A45C0E"/>
    <w:rsid w:val="00A47DEB"/>
    <w:rsid w:val="00A50D34"/>
    <w:rsid w:val="00A511DE"/>
    <w:rsid w:val="00A529A5"/>
    <w:rsid w:val="00A548E4"/>
    <w:rsid w:val="00A550F0"/>
    <w:rsid w:val="00A55DB4"/>
    <w:rsid w:val="00A56734"/>
    <w:rsid w:val="00A5699D"/>
    <w:rsid w:val="00A60707"/>
    <w:rsid w:val="00A60A3A"/>
    <w:rsid w:val="00A614CD"/>
    <w:rsid w:val="00A62F37"/>
    <w:rsid w:val="00A64A36"/>
    <w:rsid w:val="00A654A8"/>
    <w:rsid w:val="00A66F9C"/>
    <w:rsid w:val="00A731F4"/>
    <w:rsid w:val="00A73296"/>
    <w:rsid w:val="00A75F4B"/>
    <w:rsid w:val="00A766BF"/>
    <w:rsid w:val="00A80046"/>
    <w:rsid w:val="00A804FC"/>
    <w:rsid w:val="00A81938"/>
    <w:rsid w:val="00A842B9"/>
    <w:rsid w:val="00A8484B"/>
    <w:rsid w:val="00A863AD"/>
    <w:rsid w:val="00A86CF2"/>
    <w:rsid w:val="00A87EDA"/>
    <w:rsid w:val="00A90271"/>
    <w:rsid w:val="00A92BBE"/>
    <w:rsid w:val="00A92EB3"/>
    <w:rsid w:val="00A93173"/>
    <w:rsid w:val="00A934C8"/>
    <w:rsid w:val="00A963F4"/>
    <w:rsid w:val="00AA162B"/>
    <w:rsid w:val="00AA4026"/>
    <w:rsid w:val="00AA4A78"/>
    <w:rsid w:val="00AA517B"/>
    <w:rsid w:val="00AA565D"/>
    <w:rsid w:val="00AA7714"/>
    <w:rsid w:val="00AB15F0"/>
    <w:rsid w:val="00AB170D"/>
    <w:rsid w:val="00AB3FA4"/>
    <w:rsid w:val="00AB68E5"/>
    <w:rsid w:val="00AB7123"/>
    <w:rsid w:val="00AC534D"/>
    <w:rsid w:val="00AC6CBD"/>
    <w:rsid w:val="00AD0315"/>
    <w:rsid w:val="00AD0853"/>
    <w:rsid w:val="00AD0A76"/>
    <w:rsid w:val="00AD1C6A"/>
    <w:rsid w:val="00AD1CBF"/>
    <w:rsid w:val="00AD2A26"/>
    <w:rsid w:val="00AD300E"/>
    <w:rsid w:val="00AD46DD"/>
    <w:rsid w:val="00AD4B08"/>
    <w:rsid w:val="00AE098A"/>
    <w:rsid w:val="00AE0E2B"/>
    <w:rsid w:val="00AE1D0C"/>
    <w:rsid w:val="00AE3A52"/>
    <w:rsid w:val="00AE3CBF"/>
    <w:rsid w:val="00AE66D2"/>
    <w:rsid w:val="00AE688E"/>
    <w:rsid w:val="00AE71B8"/>
    <w:rsid w:val="00AF35A0"/>
    <w:rsid w:val="00AF4483"/>
    <w:rsid w:val="00AF6826"/>
    <w:rsid w:val="00AF6F0F"/>
    <w:rsid w:val="00AF7334"/>
    <w:rsid w:val="00B004A9"/>
    <w:rsid w:val="00B0149F"/>
    <w:rsid w:val="00B036F3"/>
    <w:rsid w:val="00B03726"/>
    <w:rsid w:val="00B04215"/>
    <w:rsid w:val="00B04269"/>
    <w:rsid w:val="00B04438"/>
    <w:rsid w:val="00B04CA2"/>
    <w:rsid w:val="00B06B1D"/>
    <w:rsid w:val="00B11347"/>
    <w:rsid w:val="00B137AB"/>
    <w:rsid w:val="00B155BA"/>
    <w:rsid w:val="00B16AEF"/>
    <w:rsid w:val="00B17E21"/>
    <w:rsid w:val="00B20900"/>
    <w:rsid w:val="00B20B46"/>
    <w:rsid w:val="00B21675"/>
    <w:rsid w:val="00B236BE"/>
    <w:rsid w:val="00B242B1"/>
    <w:rsid w:val="00B24769"/>
    <w:rsid w:val="00B25589"/>
    <w:rsid w:val="00B2589E"/>
    <w:rsid w:val="00B26011"/>
    <w:rsid w:val="00B26926"/>
    <w:rsid w:val="00B26FD3"/>
    <w:rsid w:val="00B32F12"/>
    <w:rsid w:val="00B345B5"/>
    <w:rsid w:val="00B3529D"/>
    <w:rsid w:val="00B408EC"/>
    <w:rsid w:val="00B423F6"/>
    <w:rsid w:val="00B446D8"/>
    <w:rsid w:val="00B44D2A"/>
    <w:rsid w:val="00B46558"/>
    <w:rsid w:val="00B46E59"/>
    <w:rsid w:val="00B47FD0"/>
    <w:rsid w:val="00B55937"/>
    <w:rsid w:val="00B56F87"/>
    <w:rsid w:val="00B5796C"/>
    <w:rsid w:val="00B65197"/>
    <w:rsid w:val="00B65CC9"/>
    <w:rsid w:val="00B662AA"/>
    <w:rsid w:val="00B70986"/>
    <w:rsid w:val="00B71E82"/>
    <w:rsid w:val="00B7210A"/>
    <w:rsid w:val="00B7403E"/>
    <w:rsid w:val="00B75C24"/>
    <w:rsid w:val="00B75F99"/>
    <w:rsid w:val="00B7648D"/>
    <w:rsid w:val="00B76D61"/>
    <w:rsid w:val="00B7774F"/>
    <w:rsid w:val="00B82406"/>
    <w:rsid w:val="00B82DBC"/>
    <w:rsid w:val="00B8389E"/>
    <w:rsid w:val="00B86CE5"/>
    <w:rsid w:val="00B86DAA"/>
    <w:rsid w:val="00B87507"/>
    <w:rsid w:val="00B9111D"/>
    <w:rsid w:val="00B91A25"/>
    <w:rsid w:val="00B92498"/>
    <w:rsid w:val="00B96050"/>
    <w:rsid w:val="00B96C41"/>
    <w:rsid w:val="00B976CD"/>
    <w:rsid w:val="00BA033F"/>
    <w:rsid w:val="00BA5A78"/>
    <w:rsid w:val="00BB0B8A"/>
    <w:rsid w:val="00BB0EF6"/>
    <w:rsid w:val="00BB259F"/>
    <w:rsid w:val="00BB293F"/>
    <w:rsid w:val="00BB2C3A"/>
    <w:rsid w:val="00BB3B7E"/>
    <w:rsid w:val="00BB6AA4"/>
    <w:rsid w:val="00BB7297"/>
    <w:rsid w:val="00BB7A1A"/>
    <w:rsid w:val="00BB7A7C"/>
    <w:rsid w:val="00BC05B8"/>
    <w:rsid w:val="00BC1415"/>
    <w:rsid w:val="00BC18CC"/>
    <w:rsid w:val="00BC5050"/>
    <w:rsid w:val="00BC5E46"/>
    <w:rsid w:val="00BC71EA"/>
    <w:rsid w:val="00BD02F6"/>
    <w:rsid w:val="00BD0E38"/>
    <w:rsid w:val="00BD181C"/>
    <w:rsid w:val="00BD2917"/>
    <w:rsid w:val="00BD34A8"/>
    <w:rsid w:val="00BD3796"/>
    <w:rsid w:val="00BD4056"/>
    <w:rsid w:val="00BD40E5"/>
    <w:rsid w:val="00BD4E32"/>
    <w:rsid w:val="00BD5BC6"/>
    <w:rsid w:val="00BD60BA"/>
    <w:rsid w:val="00BD6403"/>
    <w:rsid w:val="00BD7103"/>
    <w:rsid w:val="00BE0F47"/>
    <w:rsid w:val="00BE2FC0"/>
    <w:rsid w:val="00BE64EF"/>
    <w:rsid w:val="00BE6767"/>
    <w:rsid w:val="00BE7437"/>
    <w:rsid w:val="00BF05DC"/>
    <w:rsid w:val="00BF0AE8"/>
    <w:rsid w:val="00BF373F"/>
    <w:rsid w:val="00BF3C5E"/>
    <w:rsid w:val="00BF4D5E"/>
    <w:rsid w:val="00BF54A6"/>
    <w:rsid w:val="00BF69AE"/>
    <w:rsid w:val="00BF7B65"/>
    <w:rsid w:val="00BF7D11"/>
    <w:rsid w:val="00C02E4F"/>
    <w:rsid w:val="00C055BD"/>
    <w:rsid w:val="00C05CB7"/>
    <w:rsid w:val="00C05FDE"/>
    <w:rsid w:val="00C110BD"/>
    <w:rsid w:val="00C12F75"/>
    <w:rsid w:val="00C1349A"/>
    <w:rsid w:val="00C16E1F"/>
    <w:rsid w:val="00C222DC"/>
    <w:rsid w:val="00C223A1"/>
    <w:rsid w:val="00C22CCD"/>
    <w:rsid w:val="00C24330"/>
    <w:rsid w:val="00C24393"/>
    <w:rsid w:val="00C2527B"/>
    <w:rsid w:val="00C2732C"/>
    <w:rsid w:val="00C27DC6"/>
    <w:rsid w:val="00C32E23"/>
    <w:rsid w:val="00C34578"/>
    <w:rsid w:val="00C34B8F"/>
    <w:rsid w:val="00C4379C"/>
    <w:rsid w:val="00C43D4B"/>
    <w:rsid w:val="00C45CA1"/>
    <w:rsid w:val="00C45D47"/>
    <w:rsid w:val="00C50396"/>
    <w:rsid w:val="00C5110D"/>
    <w:rsid w:val="00C5142C"/>
    <w:rsid w:val="00C53854"/>
    <w:rsid w:val="00C547B8"/>
    <w:rsid w:val="00C54C76"/>
    <w:rsid w:val="00C54CD8"/>
    <w:rsid w:val="00C5590C"/>
    <w:rsid w:val="00C57397"/>
    <w:rsid w:val="00C6201E"/>
    <w:rsid w:val="00C64184"/>
    <w:rsid w:val="00C652E5"/>
    <w:rsid w:val="00C65ACB"/>
    <w:rsid w:val="00C66930"/>
    <w:rsid w:val="00C71B29"/>
    <w:rsid w:val="00C729DB"/>
    <w:rsid w:val="00C764DC"/>
    <w:rsid w:val="00C772EE"/>
    <w:rsid w:val="00C77CA6"/>
    <w:rsid w:val="00C805C9"/>
    <w:rsid w:val="00C80890"/>
    <w:rsid w:val="00C80917"/>
    <w:rsid w:val="00C81488"/>
    <w:rsid w:val="00C8253D"/>
    <w:rsid w:val="00C83ED4"/>
    <w:rsid w:val="00C84487"/>
    <w:rsid w:val="00C848DB"/>
    <w:rsid w:val="00C84EB3"/>
    <w:rsid w:val="00C84F6D"/>
    <w:rsid w:val="00C85BC9"/>
    <w:rsid w:val="00C904CD"/>
    <w:rsid w:val="00C90822"/>
    <w:rsid w:val="00C9250B"/>
    <w:rsid w:val="00C940A9"/>
    <w:rsid w:val="00C94ECA"/>
    <w:rsid w:val="00C95CC0"/>
    <w:rsid w:val="00C96389"/>
    <w:rsid w:val="00C97005"/>
    <w:rsid w:val="00CA2CF1"/>
    <w:rsid w:val="00CA590D"/>
    <w:rsid w:val="00CA6A70"/>
    <w:rsid w:val="00CA71E8"/>
    <w:rsid w:val="00CB1C90"/>
    <w:rsid w:val="00CB22CB"/>
    <w:rsid w:val="00CB6821"/>
    <w:rsid w:val="00CC1C34"/>
    <w:rsid w:val="00CC5A12"/>
    <w:rsid w:val="00CC78F7"/>
    <w:rsid w:val="00CD04ED"/>
    <w:rsid w:val="00CD12AA"/>
    <w:rsid w:val="00CD1CCE"/>
    <w:rsid w:val="00CD2D05"/>
    <w:rsid w:val="00CD5A73"/>
    <w:rsid w:val="00CD62A9"/>
    <w:rsid w:val="00CD7724"/>
    <w:rsid w:val="00CE4549"/>
    <w:rsid w:val="00CE49F6"/>
    <w:rsid w:val="00CE4D8D"/>
    <w:rsid w:val="00CE5F26"/>
    <w:rsid w:val="00CE7170"/>
    <w:rsid w:val="00CE72A1"/>
    <w:rsid w:val="00CE7CAE"/>
    <w:rsid w:val="00CF183D"/>
    <w:rsid w:val="00CF1878"/>
    <w:rsid w:val="00CF290B"/>
    <w:rsid w:val="00CF2DEE"/>
    <w:rsid w:val="00CF34E6"/>
    <w:rsid w:val="00CF43B9"/>
    <w:rsid w:val="00CF510D"/>
    <w:rsid w:val="00CF66C5"/>
    <w:rsid w:val="00CF6B59"/>
    <w:rsid w:val="00CF751F"/>
    <w:rsid w:val="00CF79CA"/>
    <w:rsid w:val="00D006E4"/>
    <w:rsid w:val="00D015F0"/>
    <w:rsid w:val="00D019BD"/>
    <w:rsid w:val="00D02B36"/>
    <w:rsid w:val="00D03A0B"/>
    <w:rsid w:val="00D04642"/>
    <w:rsid w:val="00D049F4"/>
    <w:rsid w:val="00D050CF"/>
    <w:rsid w:val="00D10A69"/>
    <w:rsid w:val="00D11A52"/>
    <w:rsid w:val="00D1208B"/>
    <w:rsid w:val="00D13360"/>
    <w:rsid w:val="00D14775"/>
    <w:rsid w:val="00D16D0E"/>
    <w:rsid w:val="00D24F6A"/>
    <w:rsid w:val="00D25C0C"/>
    <w:rsid w:val="00D270FE"/>
    <w:rsid w:val="00D279EB"/>
    <w:rsid w:val="00D316DF"/>
    <w:rsid w:val="00D325D8"/>
    <w:rsid w:val="00D33AC4"/>
    <w:rsid w:val="00D346F7"/>
    <w:rsid w:val="00D36ECA"/>
    <w:rsid w:val="00D41541"/>
    <w:rsid w:val="00D424A1"/>
    <w:rsid w:val="00D445E4"/>
    <w:rsid w:val="00D44C9E"/>
    <w:rsid w:val="00D44E88"/>
    <w:rsid w:val="00D45739"/>
    <w:rsid w:val="00D505EC"/>
    <w:rsid w:val="00D50ECB"/>
    <w:rsid w:val="00D51C2E"/>
    <w:rsid w:val="00D55D6A"/>
    <w:rsid w:val="00D632D7"/>
    <w:rsid w:val="00D64BF7"/>
    <w:rsid w:val="00D65A45"/>
    <w:rsid w:val="00D66A4F"/>
    <w:rsid w:val="00D71963"/>
    <w:rsid w:val="00D71B67"/>
    <w:rsid w:val="00D7455D"/>
    <w:rsid w:val="00D745FF"/>
    <w:rsid w:val="00D8010B"/>
    <w:rsid w:val="00D82138"/>
    <w:rsid w:val="00D823D1"/>
    <w:rsid w:val="00D831F7"/>
    <w:rsid w:val="00D83692"/>
    <w:rsid w:val="00D84754"/>
    <w:rsid w:val="00D86AA1"/>
    <w:rsid w:val="00D922B5"/>
    <w:rsid w:val="00D95F6A"/>
    <w:rsid w:val="00D96697"/>
    <w:rsid w:val="00D97E36"/>
    <w:rsid w:val="00DA151A"/>
    <w:rsid w:val="00DA3D87"/>
    <w:rsid w:val="00DA6605"/>
    <w:rsid w:val="00DB4688"/>
    <w:rsid w:val="00DB4D53"/>
    <w:rsid w:val="00DB7C08"/>
    <w:rsid w:val="00DC0B35"/>
    <w:rsid w:val="00DC20E3"/>
    <w:rsid w:val="00DC30F4"/>
    <w:rsid w:val="00DC67F7"/>
    <w:rsid w:val="00DC6F74"/>
    <w:rsid w:val="00DC7F7A"/>
    <w:rsid w:val="00DD1353"/>
    <w:rsid w:val="00DD2FE7"/>
    <w:rsid w:val="00DD6AA9"/>
    <w:rsid w:val="00DE0634"/>
    <w:rsid w:val="00DE0DE1"/>
    <w:rsid w:val="00DE26FC"/>
    <w:rsid w:val="00DE3E69"/>
    <w:rsid w:val="00DE5724"/>
    <w:rsid w:val="00DF025D"/>
    <w:rsid w:val="00DF095C"/>
    <w:rsid w:val="00DF1B25"/>
    <w:rsid w:val="00DF2FF8"/>
    <w:rsid w:val="00DF7871"/>
    <w:rsid w:val="00E005D8"/>
    <w:rsid w:val="00E04C5D"/>
    <w:rsid w:val="00E0668F"/>
    <w:rsid w:val="00E11215"/>
    <w:rsid w:val="00E13865"/>
    <w:rsid w:val="00E20C19"/>
    <w:rsid w:val="00E21021"/>
    <w:rsid w:val="00E24308"/>
    <w:rsid w:val="00E25494"/>
    <w:rsid w:val="00E256A8"/>
    <w:rsid w:val="00E274D0"/>
    <w:rsid w:val="00E303EB"/>
    <w:rsid w:val="00E3054D"/>
    <w:rsid w:val="00E32491"/>
    <w:rsid w:val="00E327B0"/>
    <w:rsid w:val="00E33048"/>
    <w:rsid w:val="00E35B77"/>
    <w:rsid w:val="00E3612A"/>
    <w:rsid w:val="00E36B47"/>
    <w:rsid w:val="00E400E7"/>
    <w:rsid w:val="00E406A1"/>
    <w:rsid w:val="00E40CC7"/>
    <w:rsid w:val="00E415AE"/>
    <w:rsid w:val="00E45BE4"/>
    <w:rsid w:val="00E52208"/>
    <w:rsid w:val="00E53E5D"/>
    <w:rsid w:val="00E544D5"/>
    <w:rsid w:val="00E5654F"/>
    <w:rsid w:val="00E57E1E"/>
    <w:rsid w:val="00E604B5"/>
    <w:rsid w:val="00E61836"/>
    <w:rsid w:val="00E6263B"/>
    <w:rsid w:val="00E655A0"/>
    <w:rsid w:val="00E66439"/>
    <w:rsid w:val="00E67040"/>
    <w:rsid w:val="00E71463"/>
    <w:rsid w:val="00E7303F"/>
    <w:rsid w:val="00E73AE0"/>
    <w:rsid w:val="00E766DF"/>
    <w:rsid w:val="00E77E8F"/>
    <w:rsid w:val="00E8120B"/>
    <w:rsid w:val="00E81B02"/>
    <w:rsid w:val="00E842FA"/>
    <w:rsid w:val="00E85EED"/>
    <w:rsid w:val="00E9207D"/>
    <w:rsid w:val="00E9239F"/>
    <w:rsid w:val="00E92D72"/>
    <w:rsid w:val="00E93DFC"/>
    <w:rsid w:val="00E95B7F"/>
    <w:rsid w:val="00E97385"/>
    <w:rsid w:val="00EA11EB"/>
    <w:rsid w:val="00EA280E"/>
    <w:rsid w:val="00EA34E9"/>
    <w:rsid w:val="00EA378C"/>
    <w:rsid w:val="00EA7796"/>
    <w:rsid w:val="00EB05D2"/>
    <w:rsid w:val="00EB1DEC"/>
    <w:rsid w:val="00EB22A1"/>
    <w:rsid w:val="00EB2657"/>
    <w:rsid w:val="00EB4F1A"/>
    <w:rsid w:val="00EB7A85"/>
    <w:rsid w:val="00EC0CE0"/>
    <w:rsid w:val="00EC1255"/>
    <w:rsid w:val="00EC1BF0"/>
    <w:rsid w:val="00EC2FE5"/>
    <w:rsid w:val="00EC35D3"/>
    <w:rsid w:val="00EC3660"/>
    <w:rsid w:val="00EC4DB5"/>
    <w:rsid w:val="00EC5315"/>
    <w:rsid w:val="00EC67C0"/>
    <w:rsid w:val="00ED045C"/>
    <w:rsid w:val="00ED0A6D"/>
    <w:rsid w:val="00ED0DD1"/>
    <w:rsid w:val="00ED3A1C"/>
    <w:rsid w:val="00ED4C8A"/>
    <w:rsid w:val="00ED6239"/>
    <w:rsid w:val="00ED62D5"/>
    <w:rsid w:val="00EE096C"/>
    <w:rsid w:val="00EE0B17"/>
    <w:rsid w:val="00EE3219"/>
    <w:rsid w:val="00EE3AD7"/>
    <w:rsid w:val="00EE6C9B"/>
    <w:rsid w:val="00EE71C0"/>
    <w:rsid w:val="00EE7374"/>
    <w:rsid w:val="00EE76E1"/>
    <w:rsid w:val="00EF005C"/>
    <w:rsid w:val="00EF00E6"/>
    <w:rsid w:val="00EF2961"/>
    <w:rsid w:val="00EF42AA"/>
    <w:rsid w:val="00EF60DC"/>
    <w:rsid w:val="00EF6F1C"/>
    <w:rsid w:val="00F03D87"/>
    <w:rsid w:val="00F0464E"/>
    <w:rsid w:val="00F0644D"/>
    <w:rsid w:val="00F0769F"/>
    <w:rsid w:val="00F1047E"/>
    <w:rsid w:val="00F115F5"/>
    <w:rsid w:val="00F134C4"/>
    <w:rsid w:val="00F14A12"/>
    <w:rsid w:val="00F167DE"/>
    <w:rsid w:val="00F2085F"/>
    <w:rsid w:val="00F21D07"/>
    <w:rsid w:val="00F23662"/>
    <w:rsid w:val="00F3460C"/>
    <w:rsid w:val="00F35718"/>
    <w:rsid w:val="00F35B57"/>
    <w:rsid w:val="00F35CCA"/>
    <w:rsid w:val="00F40A13"/>
    <w:rsid w:val="00F40D85"/>
    <w:rsid w:val="00F429BE"/>
    <w:rsid w:val="00F43081"/>
    <w:rsid w:val="00F438A1"/>
    <w:rsid w:val="00F45578"/>
    <w:rsid w:val="00F45736"/>
    <w:rsid w:val="00F46156"/>
    <w:rsid w:val="00F46690"/>
    <w:rsid w:val="00F50212"/>
    <w:rsid w:val="00F50E7C"/>
    <w:rsid w:val="00F5544B"/>
    <w:rsid w:val="00F55BE8"/>
    <w:rsid w:val="00F563FF"/>
    <w:rsid w:val="00F5668F"/>
    <w:rsid w:val="00F5747B"/>
    <w:rsid w:val="00F603C3"/>
    <w:rsid w:val="00F60A83"/>
    <w:rsid w:val="00F61AC0"/>
    <w:rsid w:val="00F62933"/>
    <w:rsid w:val="00F6306B"/>
    <w:rsid w:val="00F64D0C"/>
    <w:rsid w:val="00F656E1"/>
    <w:rsid w:val="00F65E68"/>
    <w:rsid w:val="00F6654B"/>
    <w:rsid w:val="00F66B9B"/>
    <w:rsid w:val="00F7082E"/>
    <w:rsid w:val="00F72BCF"/>
    <w:rsid w:val="00F73388"/>
    <w:rsid w:val="00F73999"/>
    <w:rsid w:val="00F749D4"/>
    <w:rsid w:val="00F74A54"/>
    <w:rsid w:val="00F75A65"/>
    <w:rsid w:val="00F763D9"/>
    <w:rsid w:val="00F7644B"/>
    <w:rsid w:val="00F77297"/>
    <w:rsid w:val="00F8042F"/>
    <w:rsid w:val="00F80D06"/>
    <w:rsid w:val="00F816CC"/>
    <w:rsid w:val="00F81A12"/>
    <w:rsid w:val="00F829C4"/>
    <w:rsid w:val="00F82B1A"/>
    <w:rsid w:val="00F84776"/>
    <w:rsid w:val="00F87C31"/>
    <w:rsid w:val="00F908C0"/>
    <w:rsid w:val="00F90E70"/>
    <w:rsid w:val="00F91EF6"/>
    <w:rsid w:val="00F9253B"/>
    <w:rsid w:val="00F93CB0"/>
    <w:rsid w:val="00F94C82"/>
    <w:rsid w:val="00F96F1E"/>
    <w:rsid w:val="00FA0696"/>
    <w:rsid w:val="00FA168E"/>
    <w:rsid w:val="00FA1716"/>
    <w:rsid w:val="00FA2B10"/>
    <w:rsid w:val="00FA3C77"/>
    <w:rsid w:val="00FA4FF9"/>
    <w:rsid w:val="00FA6069"/>
    <w:rsid w:val="00FA7332"/>
    <w:rsid w:val="00FB2BC2"/>
    <w:rsid w:val="00FB2E0F"/>
    <w:rsid w:val="00FB739B"/>
    <w:rsid w:val="00FC0304"/>
    <w:rsid w:val="00FC41B3"/>
    <w:rsid w:val="00FC446C"/>
    <w:rsid w:val="00FC5712"/>
    <w:rsid w:val="00FC7219"/>
    <w:rsid w:val="00FC7AE3"/>
    <w:rsid w:val="00FD32B0"/>
    <w:rsid w:val="00FD47E5"/>
    <w:rsid w:val="00FD6C3E"/>
    <w:rsid w:val="00FD6EA6"/>
    <w:rsid w:val="00FD77DE"/>
    <w:rsid w:val="00FE18AE"/>
    <w:rsid w:val="00FE2D04"/>
    <w:rsid w:val="00FE5EC7"/>
    <w:rsid w:val="00FF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2"/>
      <w:szCs w:val="22"/>
      <w:lang w:val="de-DE" w:eastAsia="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envelope address"/>
    <w:basedOn w:val="a"/>
    <w:pPr>
      <w:framePr w:w="4320" w:h="2160" w:hRule="exact" w:hSpace="141" w:wrap="auto" w:hAnchor="page" w:xAlign="center" w:yAlign="bottom"/>
      <w:ind w:left="1"/>
    </w:pPr>
  </w:style>
  <w:style w:type="paragraph" w:styleId="a4">
    <w:name w:val="envelope return"/>
    <w:basedOn w:val="a"/>
    <w:rPr>
      <w:sz w:val="20"/>
    </w:rPr>
  </w:style>
  <w:style w:type="paragraph" w:styleId="a5">
    <w:name w:val="Balloon Text"/>
    <w:basedOn w:val="a"/>
    <w:semiHidden/>
    <w:rsid w:val="00512A38"/>
    <w:rPr>
      <w:rFonts w:ascii="Tahoma" w:hAnsi="Tahoma" w:cs="Tahoma"/>
      <w:sz w:val="16"/>
      <w:szCs w:val="16"/>
    </w:rPr>
  </w:style>
  <w:style w:type="paragraph" w:styleId="a6">
    <w:name w:val="header"/>
    <w:basedOn w:val="a"/>
    <w:rsid w:val="0006072A"/>
    <w:pPr>
      <w:tabs>
        <w:tab w:val="center" w:pos="4536"/>
        <w:tab w:val="right" w:pos="9072"/>
      </w:tabs>
    </w:pPr>
  </w:style>
  <w:style w:type="paragraph" w:styleId="a7">
    <w:name w:val="footer"/>
    <w:basedOn w:val="a"/>
    <w:rsid w:val="0006072A"/>
    <w:pPr>
      <w:tabs>
        <w:tab w:val="center" w:pos="4536"/>
        <w:tab w:val="right" w:pos="9072"/>
      </w:tabs>
    </w:pPr>
  </w:style>
  <w:style w:type="character" w:styleId="a8">
    <w:name w:val="page number"/>
    <w:basedOn w:val="a0"/>
    <w:rsid w:val="0006072A"/>
  </w:style>
  <w:style w:type="table" w:styleId="a9">
    <w:name w:val="Table Grid"/>
    <w:basedOn w:val="a1"/>
    <w:rsid w:val="00AA5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B44D2A"/>
    <w:rPr>
      <w:color w:val="0000FF"/>
      <w:u w:val="single"/>
    </w:rPr>
  </w:style>
  <w:style w:type="paragraph" w:styleId="ab">
    <w:name w:val="Body Text"/>
    <w:basedOn w:val="a"/>
    <w:rsid w:val="0098602A"/>
    <w:rPr>
      <w:rFonts w:ascii="Times New Roman" w:hAnsi="Times New Roman"/>
      <w:sz w:val="28"/>
      <w:szCs w:val="20"/>
      <w:lang w:eastAsia="ja-JP"/>
    </w:rPr>
  </w:style>
  <w:style w:type="paragraph" w:styleId="2">
    <w:name w:val="Body Text 2"/>
    <w:basedOn w:val="a"/>
    <w:rsid w:val="00277C48"/>
    <w:pPr>
      <w:spacing w:after="120" w:line="480" w:lineRule="auto"/>
    </w:pPr>
  </w:style>
  <w:style w:type="paragraph" w:styleId="ac">
    <w:name w:val="Document Map"/>
    <w:basedOn w:val="a"/>
    <w:semiHidden/>
    <w:rsid w:val="00C652E5"/>
    <w:pPr>
      <w:shd w:val="clear" w:color="auto" w:fill="000080"/>
    </w:pPr>
    <w:rPr>
      <w:rFonts w:ascii="Tahoma" w:hAnsi="Tahoma" w:cs="Tahoma"/>
      <w:sz w:val="20"/>
      <w:szCs w:val="20"/>
    </w:rPr>
  </w:style>
  <w:style w:type="paragraph" w:styleId="-5">
    <w:name w:val="Light List Accent 5"/>
    <w:basedOn w:val="a"/>
    <w:uiPriority w:val="34"/>
    <w:qFormat/>
    <w:rsid w:val="00027306"/>
    <w:pPr>
      <w:ind w:left="708"/>
    </w:pPr>
  </w:style>
  <w:style w:type="character" w:styleId="ad">
    <w:name w:val="annotation reference"/>
    <w:uiPriority w:val="99"/>
    <w:qFormat/>
    <w:rsid w:val="0038431D"/>
    <w:rPr>
      <w:sz w:val="16"/>
      <w:szCs w:val="16"/>
    </w:rPr>
  </w:style>
  <w:style w:type="paragraph" w:styleId="ae">
    <w:name w:val="annotation text"/>
    <w:basedOn w:val="a"/>
    <w:link w:val="Char"/>
    <w:uiPriority w:val="99"/>
    <w:qFormat/>
    <w:rsid w:val="0038431D"/>
    <w:rPr>
      <w:sz w:val="20"/>
      <w:szCs w:val="20"/>
    </w:rPr>
  </w:style>
  <w:style w:type="character" w:customStyle="1" w:styleId="Char">
    <w:name w:val="批注文字 Char"/>
    <w:link w:val="ae"/>
    <w:uiPriority w:val="99"/>
    <w:qFormat/>
    <w:rsid w:val="0038431D"/>
    <w:rPr>
      <w:rFonts w:ascii="Arial" w:hAnsi="Arial"/>
      <w:lang w:val="de-DE" w:eastAsia="de-DE"/>
    </w:rPr>
  </w:style>
  <w:style w:type="paragraph" w:styleId="af">
    <w:name w:val="annotation subject"/>
    <w:basedOn w:val="ae"/>
    <w:next w:val="ae"/>
    <w:link w:val="Char0"/>
    <w:rsid w:val="0038431D"/>
    <w:rPr>
      <w:b/>
      <w:bCs/>
    </w:rPr>
  </w:style>
  <w:style w:type="character" w:customStyle="1" w:styleId="Char0">
    <w:name w:val="批注主题 Char"/>
    <w:link w:val="af"/>
    <w:rsid w:val="0038431D"/>
    <w:rPr>
      <w:rFonts w:ascii="Arial" w:hAnsi="Arial"/>
      <w:b/>
      <w:bCs/>
      <w:lang w:val="de-DE" w:eastAsia="de-DE"/>
    </w:rPr>
  </w:style>
  <w:style w:type="character" w:customStyle="1" w:styleId="reference-text">
    <w:name w:val="reference-text"/>
    <w:rsid w:val="008F728A"/>
  </w:style>
  <w:style w:type="character" w:customStyle="1" w:styleId="plainlinks">
    <w:name w:val="plainlinks"/>
    <w:rsid w:val="008F728A"/>
  </w:style>
  <w:style w:type="paragraph" w:styleId="2-4">
    <w:name w:val="Medium List 2 Accent 4"/>
    <w:basedOn w:val="a"/>
    <w:uiPriority w:val="34"/>
    <w:qFormat/>
    <w:rsid w:val="00B20B46"/>
    <w:pPr>
      <w:ind w:left="708"/>
    </w:pPr>
  </w:style>
  <w:style w:type="paragraph" w:styleId="-3">
    <w:name w:val="Colorful Shading Accent 3"/>
    <w:basedOn w:val="a"/>
    <w:uiPriority w:val="34"/>
    <w:qFormat/>
    <w:rsid w:val="008A6F47"/>
    <w:pPr>
      <w:ind w:left="708"/>
    </w:pPr>
  </w:style>
  <w:style w:type="paragraph" w:styleId="-30">
    <w:name w:val="Light Grid Accent 3"/>
    <w:basedOn w:val="a"/>
    <w:uiPriority w:val="34"/>
    <w:qFormat/>
    <w:rsid w:val="0025019F"/>
    <w:pPr>
      <w:ind w:left="708"/>
    </w:pPr>
  </w:style>
  <w:style w:type="character" w:styleId="af0">
    <w:name w:val="Strong"/>
    <w:qFormat/>
    <w:rsid w:val="001460A4"/>
    <w:rPr>
      <w:b/>
      <w:bCs/>
    </w:rPr>
  </w:style>
  <w:style w:type="paragraph" w:styleId="1-2">
    <w:name w:val="Medium Grid 1 Accent 2"/>
    <w:basedOn w:val="a"/>
    <w:uiPriority w:val="34"/>
    <w:qFormat/>
    <w:rsid w:val="00FA7332"/>
    <w:pPr>
      <w:ind w:left="708"/>
    </w:pPr>
  </w:style>
  <w:style w:type="paragraph" w:styleId="af1">
    <w:name w:val="Normal (Web)"/>
    <w:basedOn w:val="a"/>
    <w:unhideWhenUsed/>
    <w:rsid w:val="006C680D"/>
    <w:pPr>
      <w:spacing w:before="100" w:beforeAutospacing="1" w:after="100" w:afterAutospacing="1"/>
    </w:pPr>
    <w:rPr>
      <w:rFonts w:ascii="Times" w:eastAsia="MS Mincho" w:hAnsi="Times"/>
      <w:sz w:val="20"/>
      <w:szCs w:val="20"/>
    </w:rPr>
  </w:style>
  <w:style w:type="paragraph" w:styleId="HTML">
    <w:name w:val="HTML Preformatted"/>
    <w:basedOn w:val="a"/>
    <w:link w:val="HTMLChar"/>
    <w:uiPriority w:val="99"/>
    <w:unhideWhenUsed/>
    <w:rsid w:val="00B2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har">
    <w:name w:val="HTML 预设格式 Char"/>
    <w:link w:val="HTML"/>
    <w:uiPriority w:val="99"/>
    <w:rsid w:val="00B26926"/>
    <w:rPr>
      <w:rFonts w:ascii="Courier" w:hAnsi="Courier" w:cs="Courier"/>
    </w:rPr>
  </w:style>
  <w:style w:type="character" w:customStyle="1" w:styleId="bibliographic-informationvalue">
    <w:name w:val="bibliographic-information__value"/>
    <w:rsid w:val="008A2015"/>
  </w:style>
  <w:style w:type="character" w:customStyle="1" w:styleId="hps">
    <w:name w:val="hps"/>
    <w:rsid w:val="00CF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4342">
      <w:bodyDiv w:val="1"/>
      <w:marLeft w:val="0"/>
      <w:marRight w:val="0"/>
      <w:marTop w:val="0"/>
      <w:marBottom w:val="0"/>
      <w:divBdr>
        <w:top w:val="none" w:sz="0" w:space="0" w:color="auto"/>
        <w:left w:val="none" w:sz="0" w:space="0" w:color="auto"/>
        <w:bottom w:val="none" w:sz="0" w:space="0" w:color="auto"/>
        <w:right w:val="none" w:sz="0" w:space="0" w:color="auto"/>
      </w:divBdr>
    </w:div>
    <w:div w:id="247857315">
      <w:bodyDiv w:val="1"/>
      <w:marLeft w:val="0"/>
      <w:marRight w:val="0"/>
      <w:marTop w:val="0"/>
      <w:marBottom w:val="0"/>
      <w:divBdr>
        <w:top w:val="none" w:sz="0" w:space="0" w:color="auto"/>
        <w:left w:val="none" w:sz="0" w:space="0" w:color="auto"/>
        <w:bottom w:val="none" w:sz="0" w:space="0" w:color="auto"/>
        <w:right w:val="none" w:sz="0" w:space="0" w:color="auto"/>
      </w:divBdr>
    </w:div>
    <w:div w:id="256981197">
      <w:bodyDiv w:val="1"/>
      <w:marLeft w:val="0"/>
      <w:marRight w:val="0"/>
      <w:marTop w:val="0"/>
      <w:marBottom w:val="0"/>
      <w:divBdr>
        <w:top w:val="none" w:sz="0" w:space="0" w:color="auto"/>
        <w:left w:val="none" w:sz="0" w:space="0" w:color="auto"/>
        <w:bottom w:val="none" w:sz="0" w:space="0" w:color="auto"/>
        <w:right w:val="none" w:sz="0" w:space="0" w:color="auto"/>
      </w:divBdr>
      <w:divsChild>
        <w:div w:id="1426417621">
          <w:marLeft w:val="0"/>
          <w:marRight w:val="0"/>
          <w:marTop w:val="0"/>
          <w:marBottom w:val="0"/>
          <w:divBdr>
            <w:top w:val="none" w:sz="0" w:space="0" w:color="auto"/>
            <w:left w:val="none" w:sz="0" w:space="0" w:color="auto"/>
            <w:bottom w:val="none" w:sz="0" w:space="0" w:color="auto"/>
            <w:right w:val="none" w:sz="0" w:space="0" w:color="auto"/>
          </w:divBdr>
        </w:div>
      </w:divsChild>
    </w:div>
    <w:div w:id="257569704">
      <w:bodyDiv w:val="1"/>
      <w:marLeft w:val="0"/>
      <w:marRight w:val="0"/>
      <w:marTop w:val="0"/>
      <w:marBottom w:val="0"/>
      <w:divBdr>
        <w:top w:val="none" w:sz="0" w:space="0" w:color="auto"/>
        <w:left w:val="none" w:sz="0" w:space="0" w:color="auto"/>
        <w:bottom w:val="none" w:sz="0" w:space="0" w:color="auto"/>
        <w:right w:val="none" w:sz="0" w:space="0" w:color="auto"/>
      </w:divBdr>
    </w:div>
    <w:div w:id="270433799">
      <w:bodyDiv w:val="1"/>
      <w:marLeft w:val="0"/>
      <w:marRight w:val="0"/>
      <w:marTop w:val="0"/>
      <w:marBottom w:val="0"/>
      <w:divBdr>
        <w:top w:val="none" w:sz="0" w:space="0" w:color="auto"/>
        <w:left w:val="none" w:sz="0" w:space="0" w:color="auto"/>
        <w:bottom w:val="none" w:sz="0" w:space="0" w:color="auto"/>
        <w:right w:val="none" w:sz="0" w:space="0" w:color="auto"/>
      </w:divBdr>
    </w:div>
    <w:div w:id="331297052">
      <w:bodyDiv w:val="1"/>
      <w:marLeft w:val="0"/>
      <w:marRight w:val="0"/>
      <w:marTop w:val="0"/>
      <w:marBottom w:val="0"/>
      <w:divBdr>
        <w:top w:val="none" w:sz="0" w:space="0" w:color="auto"/>
        <w:left w:val="none" w:sz="0" w:space="0" w:color="auto"/>
        <w:bottom w:val="none" w:sz="0" w:space="0" w:color="auto"/>
        <w:right w:val="none" w:sz="0" w:space="0" w:color="auto"/>
      </w:divBdr>
    </w:div>
    <w:div w:id="399601709">
      <w:bodyDiv w:val="1"/>
      <w:marLeft w:val="0"/>
      <w:marRight w:val="0"/>
      <w:marTop w:val="0"/>
      <w:marBottom w:val="0"/>
      <w:divBdr>
        <w:top w:val="none" w:sz="0" w:space="0" w:color="auto"/>
        <w:left w:val="none" w:sz="0" w:space="0" w:color="auto"/>
        <w:bottom w:val="none" w:sz="0" w:space="0" w:color="auto"/>
        <w:right w:val="none" w:sz="0" w:space="0" w:color="auto"/>
      </w:divBdr>
    </w:div>
    <w:div w:id="441147187">
      <w:bodyDiv w:val="1"/>
      <w:marLeft w:val="0"/>
      <w:marRight w:val="0"/>
      <w:marTop w:val="0"/>
      <w:marBottom w:val="0"/>
      <w:divBdr>
        <w:top w:val="none" w:sz="0" w:space="0" w:color="auto"/>
        <w:left w:val="none" w:sz="0" w:space="0" w:color="auto"/>
        <w:bottom w:val="none" w:sz="0" w:space="0" w:color="auto"/>
        <w:right w:val="none" w:sz="0" w:space="0" w:color="auto"/>
      </w:divBdr>
    </w:div>
    <w:div w:id="643702670">
      <w:bodyDiv w:val="1"/>
      <w:marLeft w:val="0"/>
      <w:marRight w:val="0"/>
      <w:marTop w:val="0"/>
      <w:marBottom w:val="0"/>
      <w:divBdr>
        <w:top w:val="none" w:sz="0" w:space="0" w:color="auto"/>
        <w:left w:val="none" w:sz="0" w:space="0" w:color="auto"/>
        <w:bottom w:val="none" w:sz="0" w:space="0" w:color="auto"/>
        <w:right w:val="none" w:sz="0" w:space="0" w:color="auto"/>
      </w:divBdr>
    </w:div>
    <w:div w:id="685403074">
      <w:bodyDiv w:val="1"/>
      <w:marLeft w:val="0"/>
      <w:marRight w:val="0"/>
      <w:marTop w:val="0"/>
      <w:marBottom w:val="0"/>
      <w:divBdr>
        <w:top w:val="none" w:sz="0" w:space="0" w:color="auto"/>
        <w:left w:val="none" w:sz="0" w:space="0" w:color="auto"/>
        <w:bottom w:val="none" w:sz="0" w:space="0" w:color="auto"/>
        <w:right w:val="none" w:sz="0" w:space="0" w:color="auto"/>
      </w:divBdr>
    </w:div>
    <w:div w:id="696976223">
      <w:bodyDiv w:val="1"/>
      <w:marLeft w:val="0"/>
      <w:marRight w:val="0"/>
      <w:marTop w:val="0"/>
      <w:marBottom w:val="0"/>
      <w:divBdr>
        <w:top w:val="none" w:sz="0" w:space="0" w:color="auto"/>
        <w:left w:val="none" w:sz="0" w:space="0" w:color="auto"/>
        <w:bottom w:val="none" w:sz="0" w:space="0" w:color="auto"/>
        <w:right w:val="none" w:sz="0" w:space="0" w:color="auto"/>
      </w:divBdr>
    </w:div>
    <w:div w:id="724181331">
      <w:bodyDiv w:val="1"/>
      <w:marLeft w:val="0"/>
      <w:marRight w:val="0"/>
      <w:marTop w:val="0"/>
      <w:marBottom w:val="0"/>
      <w:divBdr>
        <w:top w:val="none" w:sz="0" w:space="0" w:color="auto"/>
        <w:left w:val="none" w:sz="0" w:space="0" w:color="auto"/>
        <w:bottom w:val="none" w:sz="0" w:space="0" w:color="auto"/>
        <w:right w:val="none" w:sz="0" w:space="0" w:color="auto"/>
      </w:divBdr>
    </w:div>
    <w:div w:id="738403822">
      <w:bodyDiv w:val="1"/>
      <w:marLeft w:val="0"/>
      <w:marRight w:val="0"/>
      <w:marTop w:val="0"/>
      <w:marBottom w:val="0"/>
      <w:divBdr>
        <w:top w:val="none" w:sz="0" w:space="0" w:color="auto"/>
        <w:left w:val="none" w:sz="0" w:space="0" w:color="auto"/>
        <w:bottom w:val="none" w:sz="0" w:space="0" w:color="auto"/>
        <w:right w:val="none" w:sz="0" w:space="0" w:color="auto"/>
      </w:divBdr>
    </w:div>
    <w:div w:id="833641702">
      <w:bodyDiv w:val="1"/>
      <w:marLeft w:val="0"/>
      <w:marRight w:val="0"/>
      <w:marTop w:val="0"/>
      <w:marBottom w:val="0"/>
      <w:divBdr>
        <w:top w:val="none" w:sz="0" w:space="0" w:color="auto"/>
        <w:left w:val="none" w:sz="0" w:space="0" w:color="auto"/>
        <w:bottom w:val="none" w:sz="0" w:space="0" w:color="auto"/>
        <w:right w:val="none" w:sz="0" w:space="0" w:color="auto"/>
      </w:divBdr>
      <w:divsChild>
        <w:div w:id="351539649">
          <w:marLeft w:val="0"/>
          <w:marRight w:val="0"/>
          <w:marTop w:val="0"/>
          <w:marBottom w:val="0"/>
          <w:divBdr>
            <w:top w:val="none" w:sz="0" w:space="0" w:color="auto"/>
            <w:left w:val="none" w:sz="0" w:space="0" w:color="auto"/>
            <w:bottom w:val="none" w:sz="0" w:space="0" w:color="auto"/>
            <w:right w:val="none" w:sz="0" w:space="0" w:color="auto"/>
          </w:divBdr>
        </w:div>
      </w:divsChild>
    </w:div>
    <w:div w:id="1057359017">
      <w:bodyDiv w:val="1"/>
      <w:marLeft w:val="0"/>
      <w:marRight w:val="0"/>
      <w:marTop w:val="0"/>
      <w:marBottom w:val="0"/>
      <w:divBdr>
        <w:top w:val="none" w:sz="0" w:space="0" w:color="auto"/>
        <w:left w:val="none" w:sz="0" w:space="0" w:color="auto"/>
        <w:bottom w:val="none" w:sz="0" w:space="0" w:color="auto"/>
        <w:right w:val="none" w:sz="0" w:space="0" w:color="auto"/>
      </w:divBdr>
    </w:div>
    <w:div w:id="1136722372">
      <w:bodyDiv w:val="1"/>
      <w:marLeft w:val="0"/>
      <w:marRight w:val="0"/>
      <w:marTop w:val="0"/>
      <w:marBottom w:val="0"/>
      <w:divBdr>
        <w:top w:val="none" w:sz="0" w:space="0" w:color="auto"/>
        <w:left w:val="none" w:sz="0" w:space="0" w:color="auto"/>
        <w:bottom w:val="none" w:sz="0" w:space="0" w:color="auto"/>
        <w:right w:val="none" w:sz="0" w:space="0" w:color="auto"/>
      </w:divBdr>
    </w:div>
    <w:div w:id="1230455084">
      <w:bodyDiv w:val="1"/>
      <w:marLeft w:val="0"/>
      <w:marRight w:val="0"/>
      <w:marTop w:val="0"/>
      <w:marBottom w:val="0"/>
      <w:divBdr>
        <w:top w:val="none" w:sz="0" w:space="0" w:color="auto"/>
        <w:left w:val="none" w:sz="0" w:space="0" w:color="auto"/>
        <w:bottom w:val="none" w:sz="0" w:space="0" w:color="auto"/>
        <w:right w:val="none" w:sz="0" w:space="0" w:color="auto"/>
      </w:divBdr>
    </w:div>
    <w:div w:id="1261989283">
      <w:bodyDiv w:val="1"/>
      <w:marLeft w:val="0"/>
      <w:marRight w:val="0"/>
      <w:marTop w:val="0"/>
      <w:marBottom w:val="0"/>
      <w:divBdr>
        <w:top w:val="none" w:sz="0" w:space="0" w:color="auto"/>
        <w:left w:val="none" w:sz="0" w:space="0" w:color="auto"/>
        <w:bottom w:val="none" w:sz="0" w:space="0" w:color="auto"/>
        <w:right w:val="none" w:sz="0" w:space="0" w:color="auto"/>
      </w:divBdr>
    </w:div>
    <w:div w:id="1265456183">
      <w:bodyDiv w:val="1"/>
      <w:marLeft w:val="0"/>
      <w:marRight w:val="0"/>
      <w:marTop w:val="0"/>
      <w:marBottom w:val="0"/>
      <w:divBdr>
        <w:top w:val="none" w:sz="0" w:space="0" w:color="auto"/>
        <w:left w:val="none" w:sz="0" w:space="0" w:color="auto"/>
        <w:bottom w:val="none" w:sz="0" w:space="0" w:color="auto"/>
        <w:right w:val="none" w:sz="0" w:space="0" w:color="auto"/>
      </w:divBdr>
    </w:div>
    <w:div w:id="1316179735">
      <w:bodyDiv w:val="1"/>
      <w:marLeft w:val="0"/>
      <w:marRight w:val="0"/>
      <w:marTop w:val="0"/>
      <w:marBottom w:val="0"/>
      <w:divBdr>
        <w:top w:val="none" w:sz="0" w:space="0" w:color="auto"/>
        <w:left w:val="none" w:sz="0" w:space="0" w:color="auto"/>
        <w:bottom w:val="none" w:sz="0" w:space="0" w:color="auto"/>
        <w:right w:val="none" w:sz="0" w:space="0" w:color="auto"/>
      </w:divBdr>
    </w:div>
    <w:div w:id="1397315056">
      <w:bodyDiv w:val="1"/>
      <w:marLeft w:val="0"/>
      <w:marRight w:val="0"/>
      <w:marTop w:val="0"/>
      <w:marBottom w:val="0"/>
      <w:divBdr>
        <w:top w:val="none" w:sz="0" w:space="0" w:color="auto"/>
        <w:left w:val="none" w:sz="0" w:space="0" w:color="auto"/>
        <w:bottom w:val="none" w:sz="0" w:space="0" w:color="auto"/>
        <w:right w:val="none" w:sz="0" w:space="0" w:color="auto"/>
      </w:divBdr>
    </w:div>
    <w:div w:id="1431850425">
      <w:bodyDiv w:val="1"/>
      <w:marLeft w:val="0"/>
      <w:marRight w:val="0"/>
      <w:marTop w:val="0"/>
      <w:marBottom w:val="0"/>
      <w:divBdr>
        <w:top w:val="none" w:sz="0" w:space="0" w:color="auto"/>
        <w:left w:val="none" w:sz="0" w:space="0" w:color="auto"/>
        <w:bottom w:val="none" w:sz="0" w:space="0" w:color="auto"/>
        <w:right w:val="none" w:sz="0" w:space="0" w:color="auto"/>
      </w:divBdr>
    </w:div>
    <w:div w:id="1508206165">
      <w:bodyDiv w:val="1"/>
      <w:marLeft w:val="0"/>
      <w:marRight w:val="0"/>
      <w:marTop w:val="0"/>
      <w:marBottom w:val="0"/>
      <w:divBdr>
        <w:top w:val="none" w:sz="0" w:space="0" w:color="auto"/>
        <w:left w:val="none" w:sz="0" w:space="0" w:color="auto"/>
        <w:bottom w:val="none" w:sz="0" w:space="0" w:color="auto"/>
        <w:right w:val="none" w:sz="0" w:space="0" w:color="auto"/>
      </w:divBdr>
    </w:div>
    <w:div w:id="1585601550">
      <w:bodyDiv w:val="1"/>
      <w:marLeft w:val="0"/>
      <w:marRight w:val="0"/>
      <w:marTop w:val="0"/>
      <w:marBottom w:val="0"/>
      <w:divBdr>
        <w:top w:val="none" w:sz="0" w:space="0" w:color="auto"/>
        <w:left w:val="none" w:sz="0" w:space="0" w:color="auto"/>
        <w:bottom w:val="none" w:sz="0" w:space="0" w:color="auto"/>
        <w:right w:val="none" w:sz="0" w:space="0" w:color="auto"/>
      </w:divBdr>
    </w:div>
    <w:div w:id="1596674134">
      <w:bodyDiv w:val="1"/>
      <w:marLeft w:val="0"/>
      <w:marRight w:val="0"/>
      <w:marTop w:val="0"/>
      <w:marBottom w:val="0"/>
      <w:divBdr>
        <w:top w:val="none" w:sz="0" w:space="0" w:color="auto"/>
        <w:left w:val="none" w:sz="0" w:space="0" w:color="auto"/>
        <w:bottom w:val="none" w:sz="0" w:space="0" w:color="auto"/>
        <w:right w:val="none" w:sz="0" w:space="0" w:color="auto"/>
      </w:divBdr>
    </w:div>
    <w:div w:id="1660114442">
      <w:bodyDiv w:val="1"/>
      <w:marLeft w:val="0"/>
      <w:marRight w:val="0"/>
      <w:marTop w:val="0"/>
      <w:marBottom w:val="0"/>
      <w:divBdr>
        <w:top w:val="none" w:sz="0" w:space="0" w:color="auto"/>
        <w:left w:val="none" w:sz="0" w:space="0" w:color="auto"/>
        <w:bottom w:val="none" w:sz="0" w:space="0" w:color="auto"/>
        <w:right w:val="none" w:sz="0" w:space="0" w:color="auto"/>
      </w:divBdr>
    </w:div>
    <w:div w:id="1687440729">
      <w:bodyDiv w:val="1"/>
      <w:marLeft w:val="0"/>
      <w:marRight w:val="0"/>
      <w:marTop w:val="0"/>
      <w:marBottom w:val="0"/>
      <w:divBdr>
        <w:top w:val="none" w:sz="0" w:space="0" w:color="auto"/>
        <w:left w:val="none" w:sz="0" w:space="0" w:color="auto"/>
        <w:bottom w:val="none" w:sz="0" w:space="0" w:color="auto"/>
        <w:right w:val="none" w:sz="0" w:space="0" w:color="auto"/>
      </w:divBdr>
    </w:div>
    <w:div w:id="1691906046">
      <w:bodyDiv w:val="1"/>
      <w:marLeft w:val="0"/>
      <w:marRight w:val="0"/>
      <w:marTop w:val="0"/>
      <w:marBottom w:val="0"/>
      <w:divBdr>
        <w:top w:val="none" w:sz="0" w:space="0" w:color="auto"/>
        <w:left w:val="none" w:sz="0" w:space="0" w:color="auto"/>
        <w:bottom w:val="none" w:sz="0" w:space="0" w:color="auto"/>
        <w:right w:val="none" w:sz="0" w:space="0" w:color="auto"/>
      </w:divBdr>
    </w:div>
    <w:div w:id="1868978574">
      <w:bodyDiv w:val="1"/>
      <w:marLeft w:val="0"/>
      <w:marRight w:val="0"/>
      <w:marTop w:val="0"/>
      <w:marBottom w:val="0"/>
      <w:divBdr>
        <w:top w:val="none" w:sz="0" w:space="0" w:color="auto"/>
        <w:left w:val="none" w:sz="0" w:space="0" w:color="auto"/>
        <w:bottom w:val="none" w:sz="0" w:space="0" w:color="auto"/>
        <w:right w:val="none" w:sz="0" w:space="0" w:color="auto"/>
      </w:divBdr>
    </w:div>
    <w:div w:id="21138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4764-8050" TargetMode="External"/><Relationship Id="rId13" Type="http://schemas.openxmlformats.org/officeDocument/2006/relationships/hyperlink" Target="http://creativecommons.org/licenses/by-nc/4.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3-0074-343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0386-3659"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orcid.org/0000-0002-3951-71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cid.org/0000-0003-0313-6862"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8AB0-3BA8-4345-A56B-811A048A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5796</Words>
  <Characters>33040</Characters>
  <Application>Microsoft Office Word</Application>
  <DocSecurity>0</DocSecurity>
  <Lines>275</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Fortsetzung 'flexible stapling paper'</vt:lpstr>
      <vt:lpstr>Fortsetzung 'flexible stapling paper'</vt:lpstr>
    </vt:vector>
  </TitlesOfParts>
  <Company>FDK</Company>
  <LinksUpToDate>false</LinksUpToDate>
  <CharactersWithSpaces>38759</CharactersWithSpaces>
  <SharedDoc>false</SharedDoc>
  <HLinks>
    <vt:vector size="36" baseType="variant">
      <vt:variant>
        <vt:i4>2555949</vt:i4>
      </vt:variant>
      <vt:variant>
        <vt:i4>15</vt:i4>
      </vt:variant>
      <vt:variant>
        <vt:i4>0</vt:i4>
      </vt:variant>
      <vt:variant>
        <vt:i4>5</vt:i4>
      </vt:variant>
      <vt:variant>
        <vt:lpwstr>http://creativecommons.org/licenses/by-nc/4.0/</vt:lpwstr>
      </vt:variant>
      <vt:variant>
        <vt:lpwstr/>
      </vt:variant>
      <vt:variant>
        <vt:i4>196680</vt:i4>
      </vt:variant>
      <vt:variant>
        <vt:i4>12</vt:i4>
      </vt:variant>
      <vt:variant>
        <vt:i4>0</vt:i4>
      </vt:variant>
      <vt:variant>
        <vt:i4>5</vt:i4>
      </vt:variant>
      <vt:variant>
        <vt:lpwstr>http://orcid.org/0000-0003-0074-343X</vt:lpwstr>
      </vt:variant>
      <vt:variant>
        <vt:lpwstr/>
      </vt:variant>
      <vt:variant>
        <vt:i4>5111887</vt:i4>
      </vt:variant>
      <vt:variant>
        <vt:i4>9</vt:i4>
      </vt:variant>
      <vt:variant>
        <vt:i4>0</vt:i4>
      </vt:variant>
      <vt:variant>
        <vt:i4>5</vt:i4>
      </vt:variant>
      <vt:variant>
        <vt:lpwstr>http://orcid.org/0000-0002-0386-3659</vt:lpwstr>
      </vt:variant>
      <vt:variant>
        <vt:lpwstr/>
      </vt:variant>
      <vt:variant>
        <vt:i4>5046336</vt:i4>
      </vt:variant>
      <vt:variant>
        <vt:i4>6</vt:i4>
      </vt:variant>
      <vt:variant>
        <vt:i4>0</vt:i4>
      </vt:variant>
      <vt:variant>
        <vt:i4>5</vt:i4>
      </vt:variant>
      <vt:variant>
        <vt:lpwstr>http://orcid.org/0000-0002-3951-7133</vt:lpwstr>
      </vt:variant>
      <vt:variant>
        <vt:lpwstr/>
      </vt:variant>
      <vt:variant>
        <vt:i4>4390988</vt:i4>
      </vt:variant>
      <vt:variant>
        <vt:i4>3</vt:i4>
      </vt:variant>
      <vt:variant>
        <vt:i4>0</vt:i4>
      </vt:variant>
      <vt:variant>
        <vt:i4>5</vt:i4>
      </vt:variant>
      <vt:variant>
        <vt:lpwstr>http://orcid.org/0000-0003-0313-6862</vt:lpwstr>
      </vt:variant>
      <vt:variant>
        <vt:lpwstr/>
      </vt:variant>
      <vt:variant>
        <vt:i4>4849730</vt:i4>
      </vt:variant>
      <vt:variant>
        <vt:i4>0</vt:i4>
      </vt:variant>
      <vt:variant>
        <vt:i4>0</vt:i4>
      </vt:variant>
      <vt:variant>
        <vt:i4>5</vt:i4>
      </vt:variant>
      <vt:variant>
        <vt:lpwstr>http://orcid.org/0000-0003-4764-8050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Fortsetzung 'flexible stapling paper'</dc:title>
  <dc:creator>Renate Tischer</dc:creator>
  <cp:lastModifiedBy>Shuai Ma</cp:lastModifiedBy>
  <cp:revision>2</cp:revision>
  <cp:lastPrinted>2018-10-12T09:20:00Z</cp:lastPrinted>
  <dcterms:created xsi:type="dcterms:W3CDTF">2019-01-21T09:42:00Z</dcterms:created>
  <dcterms:modified xsi:type="dcterms:W3CDTF">2019-01-21T09:42:00Z</dcterms:modified>
</cp:coreProperties>
</file>