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7B2" w:rsidRDefault="00BB07B2">
      <w:pPr>
        <w:adjustRightInd w:val="0"/>
        <w:snapToGrid w:val="0"/>
        <w:spacing w:after="0" w:line="360" w:lineRule="auto"/>
        <w:outlineLvl w:val="0"/>
        <w:rPr>
          <w:rFonts w:ascii="Book Antiqua" w:hAnsi="Book Antiqua"/>
          <w:b/>
          <w:bCs/>
          <w:color w:val="000000"/>
          <w:sz w:val="24"/>
        </w:rPr>
      </w:pPr>
      <w:bookmarkStart w:id="0" w:name="_GoBack"/>
      <w:bookmarkEnd w:id="0"/>
      <w:r>
        <w:rPr>
          <w:rFonts w:ascii="Book Antiqua" w:hAnsi="Book Antiqua"/>
          <w:b/>
          <w:bCs/>
          <w:color w:val="000000"/>
          <w:sz w:val="24"/>
        </w:rPr>
        <w:t xml:space="preserve">Name of Journal: </w:t>
      </w:r>
      <w:r>
        <w:rPr>
          <w:rFonts w:ascii="Book Antiqua" w:hAnsi="Book Antiqua"/>
          <w:b/>
          <w:bCs/>
          <w:i/>
          <w:color w:val="000000"/>
          <w:sz w:val="24"/>
        </w:rPr>
        <w:t>World Journal of Gastroenterology</w:t>
      </w:r>
    </w:p>
    <w:p w:rsidR="00BB07B2" w:rsidRDefault="00BB07B2">
      <w:pPr>
        <w:adjustRightInd w:val="0"/>
        <w:snapToGrid w:val="0"/>
        <w:spacing w:after="0" w:line="360" w:lineRule="auto"/>
        <w:outlineLvl w:val="0"/>
        <w:rPr>
          <w:rFonts w:ascii="Book Antiqua" w:hAnsi="Book Antiqua"/>
          <w:b/>
          <w:bCs/>
          <w:color w:val="000000"/>
          <w:sz w:val="24"/>
        </w:rPr>
      </w:pPr>
      <w:r>
        <w:rPr>
          <w:rFonts w:ascii="Book Antiqua" w:hAnsi="Book Antiqua"/>
          <w:b/>
          <w:bCs/>
          <w:color w:val="000000"/>
          <w:sz w:val="24"/>
        </w:rPr>
        <w:t>Manuscript NO: 43117</w:t>
      </w:r>
    </w:p>
    <w:p w:rsidR="00BB07B2" w:rsidRDefault="00BB07B2">
      <w:pPr>
        <w:adjustRightInd w:val="0"/>
        <w:snapToGrid w:val="0"/>
        <w:spacing w:after="0" w:line="360" w:lineRule="auto"/>
        <w:outlineLvl w:val="0"/>
        <w:rPr>
          <w:rFonts w:ascii="Book Antiqua" w:hAnsi="Book Antiqua"/>
          <w:b/>
          <w:bCs/>
          <w:color w:val="000000"/>
          <w:sz w:val="24"/>
        </w:rPr>
      </w:pPr>
      <w:r>
        <w:rPr>
          <w:rFonts w:ascii="Book Antiqua" w:hAnsi="Book Antiqua"/>
          <w:b/>
          <w:bCs/>
          <w:color w:val="000000"/>
          <w:sz w:val="24"/>
        </w:rPr>
        <w:t>Manuscript Type: ORIGINAL ARTICLE</w:t>
      </w:r>
    </w:p>
    <w:p w:rsidR="00BB07B2" w:rsidRDefault="00BB07B2">
      <w:pPr>
        <w:adjustRightInd w:val="0"/>
        <w:snapToGrid w:val="0"/>
        <w:spacing w:after="0" w:line="360" w:lineRule="auto"/>
        <w:rPr>
          <w:rFonts w:ascii="Book Antiqua" w:hAnsi="Book Antiqua"/>
          <w:b/>
          <w:bCs/>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Retrospective Study</w:t>
      </w:r>
    </w:p>
    <w:p w:rsidR="00BB07B2" w:rsidRDefault="00BB07B2">
      <w:pPr>
        <w:adjustRightInd w:val="0"/>
        <w:snapToGrid w:val="0"/>
        <w:spacing w:after="0" w:line="360" w:lineRule="auto"/>
        <w:rPr>
          <w:rFonts w:ascii="Book Antiqua" w:hAnsi="Book Antiqua"/>
          <w:b/>
          <w:bCs/>
          <w:color w:val="000000"/>
          <w:sz w:val="24"/>
        </w:rPr>
      </w:pPr>
      <w:r>
        <w:rPr>
          <w:rFonts w:ascii="Book Antiqua" w:hAnsi="Book Antiqua"/>
          <w:b/>
          <w:bCs/>
          <w:color w:val="000000"/>
          <w:sz w:val="24"/>
        </w:rPr>
        <w:t>Novel abdominal negative pressure lavage-</w:t>
      </w:r>
      <w:bookmarkStart w:id="1" w:name="OLE_LINK26"/>
      <w:r>
        <w:rPr>
          <w:rFonts w:ascii="Book Antiqua" w:hAnsi="Book Antiqua"/>
          <w:b/>
          <w:bCs/>
          <w:color w:val="000000"/>
          <w:sz w:val="24"/>
        </w:rPr>
        <w:t>drainage</w:t>
      </w:r>
      <w:bookmarkEnd w:id="1"/>
      <w:r>
        <w:rPr>
          <w:rFonts w:ascii="Book Antiqua" w:hAnsi="Book Antiqua"/>
          <w:b/>
          <w:bCs/>
          <w:color w:val="000000"/>
          <w:sz w:val="24"/>
        </w:rPr>
        <w:t xml:space="preserve"> system for </w:t>
      </w:r>
      <w:bookmarkStart w:id="2" w:name="OLE_LINK42"/>
      <w:r>
        <w:rPr>
          <w:rFonts w:ascii="Book Antiqua" w:hAnsi="Book Antiqua"/>
          <w:b/>
          <w:bCs/>
          <w:color w:val="000000"/>
          <w:sz w:val="24"/>
        </w:rPr>
        <w:t xml:space="preserve">anastomotic </w:t>
      </w:r>
      <w:bookmarkEnd w:id="2"/>
      <w:r>
        <w:rPr>
          <w:rFonts w:ascii="Book Antiqua" w:hAnsi="Book Antiqua"/>
          <w:b/>
          <w:bCs/>
          <w:color w:val="000000"/>
          <w:sz w:val="24"/>
        </w:rPr>
        <w:t>leakage after R0 resection for gastric cancer</w:t>
      </w:r>
    </w:p>
    <w:p w:rsidR="00BB07B2" w:rsidRDefault="00BB07B2">
      <w:pPr>
        <w:adjustRightInd w:val="0"/>
        <w:snapToGrid w:val="0"/>
        <w:spacing w:after="0" w:line="360" w:lineRule="auto"/>
        <w:rPr>
          <w:rFonts w:ascii="Book Antiqua" w:hAnsi="Book Antiqua"/>
          <w:b/>
          <w:bCs/>
          <w:color w:val="000000"/>
          <w:sz w:val="24"/>
        </w:rPr>
      </w:pPr>
    </w:p>
    <w:p w:rsidR="00BB07B2" w:rsidRDefault="00BB07B2">
      <w:pPr>
        <w:adjustRightInd w:val="0"/>
        <w:snapToGrid w:val="0"/>
        <w:spacing w:after="0" w:line="360" w:lineRule="auto"/>
        <w:outlineLvl w:val="0"/>
        <w:rPr>
          <w:rFonts w:ascii="Book Antiqua" w:eastAsia="AdvP4A213B" w:hAnsi="Book Antiqua"/>
          <w:color w:val="000000"/>
          <w:sz w:val="24"/>
        </w:rPr>
      </w:pPr>
      <w:bookmarkStart w:id="3" w:name="OLE_LINK15"/>
      <w:r>
        <w:rPr>
          <w:rFonts w:ascii="Book Antiqua" w:eastAsia="AdvP4A213B" w:hAnsi="Book Antiqua"/>
          <w:bCs/>
          <w:color w:val="000000"/>
          <w:sz w:val="24"/>
        </w:rPr>
        <w:t xml:space="preserve">Zheng ZF </w:t>
      </w:r>
      <w:r>
        <w:rPr>
          <w:rFonts w:ascii="Book Antiqua" w:eastAsia="AdvP4A213B" w:hAnsi="Book Antiqua"/>
          <w:bCs/>
          <w:i/>
          <w:color w:val="000000"/>
          <w:sz w:val="24"/>
        </w:rPr>
        <w:t>et al</w:t>
      </w:r>
      <w:r>
        <w:rPr>
          <w:rFonts w:ascii="Book Antiqua" w:eastAsia="AdvP4A213B" w:hAnsi="Book Antiqua"/>
          <w:bCs/>
          <w:color w:val="000000"/>
          <w:sz w:val="24"/>
        </w:rPr>
        <w:t xml:space="preserve">. </w:t>
      </w:r>
      <w:bookmarkStart w:id="4" w:name="OLE_LINK22"/>
      <w:r>
        <w:rPr>
          <w:rFonts w:ascii="Book Antiqua" w:eastAsia="AdvP4A213B" w:hAnsi="Book Antiqua"/>
          <w:color w:val="000000"/>
          <w:sz w:val="24"/>
        </w:rPr>
        <w:t>Novel drainage system for leakage</w:t>
      </w:r>
      <w:bookmarkEnd w:id="3"/>
      <w:bookmarkEnd w:id="4"/>
    </w:p>
    <w:p w:rsidR="00BB07B2" w:rsidRDefault="00BB07B2">
      <w:pPr>
        <w:adjustRightInd w:val="0"/>
        <w:snapToGrid w:val="0"/>
        <w:spacing w:after="0" w:line="360" w:lineRule="auto"/>
        <w:rPr>
          <w:rFonts w:ascii="Book Antiqua" w:eastAsia="AdvP4A213B" w:hAnsi="Book Antiqua"/>
          <w:color w:val="000000"/>
          <w:sz w:val="24"/>
        </w:rPr>
      </w:pPr>
    </w:p>
    <w:p w:rsidR="00BB07B2" w:rsidRDefault="00BB07B2">
      <w:pPr>
        <w:adjustRightInd w:val="0"/>
        <w:snapToGrid w:val="0"/>
        <w:spacing w:after="0" w:line="360" w:lineRule="auto"/>
        <w:rPr>
          <w:rFonts w:ascii="Book Antiqua" w:eastAsia="AdvP4A213B" w:hAnsi="Book Antiqua"/>
          <w:color w:val="000000"/>
          <w:sz w:val="24"/>
        </w:rPr>
      </w:pPr>
      <w:r>
        <w:rPr>
          <w:rFonts w:ascii="Book Antiqua" w:eastAsia="AdvP4A213B" w:hAnsi="Book Antiqua"/>
          <w:color w:val="000000"/>
          <w:sz w:val="24"/>
        </w:rPr>
        <w:t>Zhi-Fang Zheng,</w:t>
      </w:r>
      <w:r>
        <w:rPr>
          <w:rFonts w:ascii="Book Antiqua" w:hAnsi="Book Antiqua"/>
          <w:color w:val="000000"/>
          <w:sz w:val="24"/>
        </w:rPr>
        <w:t xml:space="preserve"> </w:t>
      </w:r>
      <w:r>
        <w:rPr>
          <w:rFonts w:ascii="Book Antiqua" w:eastAsia="AdvP4A213B" w:hAnsi="Book Antiqua"/>
          <w:color w:val="000000"/>
          <w:sz w:val="24"/>
        </w:rPr>
        <w:t>Jun Lu,</w:t>
      </w:r>
      <w:r>
        <w:rPr>
          <w:rFonts w:ascii="Book Antiqua" w:hAnsi="Book Antiqua"/>
          <w:color w:val="000000"/>
          <w:sz w:val="24"/>
        </w:rPr>
        <w:t xml:space="preserve"> </w:t>
      </w:r>
      <w:r>
        <w:rPr>
          <w:rFonts w:ascii="Book Antiqua" w:eastAsia="AdvP4A213B" w:hAnsi="Book Antiqua"/>
          <w:color w:val="000000"/>
          <w:sz w:val="24"/>
        </w:rPr>
        <w:t>Peng-Yang Zhang</w:t>
      </w:r>
      <w:r>
        <w:rPr>
          <w:rFonts w:ascii="Book Antiqua" w:hAnsi="Book Antiqua"/>
          <w:color w:val="000000"/>
          <w:sz w:val="24"/>
        </w:rPr>
        <w:t xml:space="preserve">, </w:t>
      </w:r>
      <w:r>
        <w:rPr>
          <w:rFonts w:ascii="Book Antiqua" w:eastAsia="AdvP4A213B" w:hAnsi="Book Antiqua"/>
          <w:color w:val="000000"/>
          <w:sz w:val="24"/>
        </w:rPr>
        <w:t>Bin-Bin Xu,</w:t>
      </w:r>
      <w:r>
        <w:rPr>
          <w:rFonts w:ascii="Book Antiqua" w:hAnsi="Book Antiqua"/>
          <w:color w:val="000000"/>
          <w:sz w:val="24"/>
        </w:rPr>
        <w:t xml:space="preserve"> </w:t>
      </w:r>
      <w:r>
        <w:rPr>
          <w:rFonts w:ascii="Book Antiqua" w:eastAsia="AdvP4A213B" w:hAnsi="Book Antiqua"/>
          <w:color w:val="000000"/>
          <w:sz w:val="24"/>
        </w:rPr>
        <w:t>Chao-Hui Zheng,</w:t>
      </w:r>
      <w:r>
        <w:rPr>
          <w:rFonts w:ascii="Book Antiqua" w:hAnsi="Book Antiqua"/>
          <w:color w:val="000000"/>
          <w:sz w:val="24"/>
        </w:rPr>
        <w:t xml:space="preserve"> </w:t>
      </w:r>
      <w:r>
        <w:rPr>
          <w:rFonts w:ascii="Book Antiqua" w:eastAsia="AdvP4A213B" w:hAnsi="Book Antiqua"/>
          <w:color w:val="000000"/>
          <w:sz w:val="24"/>
        </w:rPr>
        <w:t>Ping Li, Jian-Wei Xie,</w:t>
      </w:r>
      <w:r>
        <w:rPr>
          <w:rFonts w:ascii="Book Antiqua" w:hAnsi="Book Antiqua"/>
          <w:color w:val="000000"/>
          <w:sz w:val="24"/>
        </w:rPr>
        <w:t xml:space="preserve"> </w:t>
      </w:r>
      <w:r>
        <w:rPr>
          <w:rFonts w:ascii="Book Antiqua" w:eastAsia="AdvP4A213B" w:hAnsi="Book Antiqua"/>
          <w:color w:val="000000"/>
          <w:sz w:val="24"/>
        </w:rPr>
        <w:t>Jia-Bin Wang,</w:t>
      </w:r>
      <w:r>
        <w:rPr>
          <w:rFonts w:ascii="Book Antiqua" w:hAnsi="Book Antiqua"/>
          <w:color w:val="000000"/>
          <w:sz w:val="24"/>
        </w:rPr>
        <w:t xml:space="preserve"> </w:t>
      </w:r>
      <w:r>
        <w:rPr>
          <w:rFonts w:ascii="Book Antiqua" w:eastAsia="AdvP4A213B" w:hAnsi="Book Antiqua"/>
          <w:color w:val="000000"/>
          <w:sz w:val="24"/>
        </w:rPr>
        <w:t>Jian-Xian Lin,</w:t>
      </w:r>
      <w:r>
        <w:rPr>
          <w:rFonts w:ascii="Book Antiqua" w:hAnsi="Book Antiqua"/>
          <w:color w:val="000000"/>
          <w:sz w:val="24"/>
        </w:rPr>
        <w:t xml:space="preserve"> </w:t>
      </w:r>
      <w:r>
        <w:rPr>
          <w:rFonts w:ascii="Book Antiqua" w:eastAsia="AdvP4A213B" w:hAnsi="Book Antiqua"/>
          <w:color w:val="000000"/>
          <w:sz w:val="24"/>
        </w:rPr>
        <w:t>Qi-Yue Chen,</w:t>
      </w:r>
      <w:r>
        <w:rPr>
          <w:rFonts w:ascii="Book Antiqua" w:hAnsi="Book Antiqua"/>
          <w:color w:val="000000"/>
          <w:sz w:val="24"/>
        </w:rPr>
        <w:t xml:space="preserve"> </w:t>
      </w:r>
      <w:r>
        <w:rPr>
          <w:rFonts w:ascii="Book Antiqua" w:eastAsia="AdvP4A213B" w:hAnsi="Book Antiqua"/>
          <w:color w:val="000000"/>
          <w:sz w:val="24"/>
        </w:rPr>
        <w:t>Chang-Ming Huang</w:t>
      </w:r>
    </w:p>
    <w:p w:rsidR="00BB07B2" w:rsidRDefault="00BB07B2">
      <w:pPr>
        <w:adjustRightInd w:val="0"/>
        <w:snapToGrid w:val="0"/>
        <w:spacing w:after="0" w:line="360" w:lineRule="auto"/>
        <w:rPr>
          <w:rFonts w:ascii="Book Antiqua" w:eastAsia="AdvP4A213B" w:hAnsi="Book Antiqua"/>
          <w:color w:val="000000"/>
          <w:sz w:val="24"/>
          <w:vertAlign w:val="superscript"/>
        </w:rPr>
      </w:pPr>
    </w:p>
    <w:p w:rsidR="00BB07B2" w:rsidRDefault="00BB07B2">
      <w:pPr>
        <w:adjustRightInd w:val="0"/>
        <w:snapToGrid w:val="0"/>
        <w:spacing w:after="0" w:line="360" w:lineRule="auto"/>
        <w:rPr>
          <w:rFonts w:ascii="Book Antiqua" w:hAnsi="Book Antiqua"/>
          <w:color w:val="000000"/>
          <w:sz w:val="24"/>
        </w:rPr>
      </w:pPr>
      <w:r>
        <w:rPr>
          <w:rFonts w:ascii="Book Antiqua" w:eastAsia="AdvP4A213B" w:hAnsi="Book Antiqua"/>
          <w:b/>
          <w:color w:val="000000"/>
          <w:sz w:val="24"/>
        </w:rPr>
        <w:t>Zhi-Fang Zheng,</w:t>
      </w:r>
      <w:r>
        <w:rPr>
          <w:rFonts w:ascii="Book Antiqua" w:hAnsi="Book Antiqua"/>
          <w:b/>
          <w:color w:val="000000"/>
          <w:sz w:val="24"/>
        </w:rPr>
        <w:t xml:space="preserve"> </w:t>
      </w:r>
      <w:r>
        <w:rPr>
          <w:rFonts w:ascii="Book Antiqua" w:eastAsia="AdvP4A213B" w:hAnsi="Book Antiqua"/>
          <w:b/>
          <w:color w:val="000000"/>
          <w:sz w:val="24"/>
        </w:rPr>
        <w:t>Jun Lu,</w:t>
      </w:r>
      <w:r>
        <w:rPr>
          <w:rFonts w:ascii="Book Antiqua" w:hAnsi="Book Antiqua"/>
          <w:b/>
          <w:color w:val="000000"/>
          <w:sz w:val="24"/>
        </w:rPr>
        <w:t xml:space="preserve"> </w:t>
      </w:r>
      <w:r>
        <w:rPr>
          <w:rFonts w:ascii="Book Antiqua" w:eastAsia="AdvP4A213B" w:hAnsi="Book Antiqua"/>
          <w:b/>
          <w:color w:val="000000"/>
          <w:sz w:val="24"/>
        </w:rPr>
        <w:t>Peng-Yang Zhang</w:t>
      </w:r>
      <w:r>
        <w:rPr>
          <w:rFonts w:ascii="Book Antiqua" w:hAnsi="Book Antiqua"/>
          <w:b/>
          <w:color w:val="000000"/>
          <w:sz w:val="24"/>
        </w:rPr>
        <w:t xml:space="preserve">, </w:t>
      </w:r>
      <w:r>
        <w:rPr>
          <w:rFonts w:ascii="Book Antiqua" w:eastAsia="AdvP4A213B" w:hAnsi="Book Antiqua"/>
          <w:b/>
          <w:color w:val="000000"/>
          <w:sz w:val="24"/>
        </w:rPr>
        <w:t>Bin-Bin Xu,</w:t>
      </w:r>
      <w:r>
        <w:rPr>
          <w:rFonts w:ascii="Book Antiqua" w:hAnsi="Book Antiqua"/>
          <w:b/>
          <w:color w:val="000000"/>
          <w:sz w:val="24"/>
        </w:rPr>
        <w:t xml:space="preserve"> </w:t>
      </w:r>
      <w:r>
        <w:rPr>
          <w:rFonts w:ascii="Book Antiqua" w:eastAsia="AdvP4A213B" w:hAnsi="Book Antiqua"/>
          <w:b/>
          <w:color w:val="000000"/>
          <w:sz w:val="24"/>
        </w:rPr>
        <w:t>Chao-Hui Zheng,</w:t>
      </w:r>
      <w:r>
        <w:rPr>
          <w:rFonts w:ascii="Book Antiqua" w:hAnsi="Book Antiqua"/>
          <w:b/>
          <w:color w:val="000000"/>
          <w:sz w:val="24"/>
        </w:rPr>
        <w:t xml:space="preserve"> </w:t>
      </w:r>
      <w:r>
        <w:rPr>
          <w:rFonts w:ascii="Book Antiqua" w:eastAsia="AdvP4A213B" w:hAnsi="Book Antiqua"/>
          <w:b/>
          <w:color w:val="000000"/>
          <w:sz w:val="24"/>
        </w:rPr>
        <w:t>Ping Li, Jian-Wei Xie,</w:t>
      </w:r>
      <w:r>
        <w:rPr>
          <w:rFonts w:ascii="Book Antiqua" w:hAnsi="Book Antiqua"/>
          <w:b/>
          <w:color w:val="000000"/>
          <w:sz w:val="24"/>
        </w:rPr>
        <w:t xml:space="preserve"> </w:t>
      </w:r>
      <w:r>
        <w:rPr>
          <w:rFonts w:ascii="Book Antiqua" w:eastAsia="AdvP4A213B" w:hAnsi="Book Antiqua"/>
          <w:b/>
          <w:color w:val="000000"/>
          <w:sz w:val="24"/>
        </w:rPr>
        <w:t>Jia-Bin Wang,</w:t>
      </w:r>
      <w:r>
        <w:rPr>
          <w:rFonts w:ascii="Book Antiqua" w:hAnsi="Book Antiqua"/>
          <w:b/>
          <w:color w:val="000000"/>
          <w:sz w:val="24"/>
        </w:rPr>
        <w:t xml:space="preserve"> </w:t>
      </w:r>
      <w:r>
        <w:rPr>
          <w:rFonts w:ascii="Book Antiqua" w:eastAsia="AdvP4A213B" w:hAnsi="Book Antiqua"/>
          <w:b/>
          <w:color w:val="000000"/>
          <w:sz w:val="24"/>
        </w:rPr>
        <w:t>Jian-Xian Lin,</w:t>
      </w:r>
      <w:r>
        <w:rPr>
          <w:rFonts w:ascii="Book Antiqua" w:hAnsi="Book Antiqua"/>
          <w:b/>
          <w:color w:val="000000"/>
          <w:sz w:val="24"/>
        </w:rPr>
        <w:t xml:space="preserve"> </w:t>
      </w:r>
      <w:r>
        <w:rPr>
          <w:rFonts w:ascii="Book Antiqua" w:eastAsia="AdvP4A213B" w:hAnsi="Book Antiqua"/>
          <w:b/>
          <w:color w:val="000000"/>
          <w:sz w:val="24"/>
        </w:rPr>
        <w:t>Qi-Yue Chen,</w:t>
      </w:r>
      <w:r>
        <w:rPr>
          <w:rFonts w:ascii="Book Antiqua" w:hAnsi="Book Antiqua"/>
          <w:b/>
          <w:color w:val="000000"/>
          <w:sz w:val="24"/>
        </w:rPr>
        <w:t xml:space="preserve"> </w:t>
      </w:r>
      <w:r>
        <w:rPr>
          <w:rFonts w:ascii="Book Antiqua" w:eastAsia="AdvP4A213B" w:hAnsi="Book Antiqua"/>
          <w:b/>
          <w:color w:val="000000"/>
          <w:sz w:val="24"/>
        </w:rPr>
        <w:t xml:space="preserve">Chang-Ming Huang, </w:t>
      </w:r>
      <w:r>
        <w:rPr>
          <w:rFonts w:ascii="Book Antiqua" w:eastAsia="AdvP4A213B" w:hAnsi="Book Antiqua"/>
          <w:color w:val="000000"/>
          <w:sz w:val="24"/>
        </w:rPr>
        <w:t>Department of Gastric Surgery, Fujian Medical University Union Hospital, Fuzhou 350001</w:t>
      </w:r>
      <w:r>
        <w:rPr>
          <w:rFonts w:ascii="Book Antiqua" w:hAnsi="Book Antiqua"/>
          <w:color w:val="000000"/>
          <w:sz w:val="24"/>
        </w:rPr>
        <w:t>,</w:t>
      </w:r>
      <w:r>
        <w:rPr>
          <w:rFonts w:ascii="Book Antiqua" w:eastAsia="AdvP4A213B" w:hAnsi="Book Antiqua"/>
          <w:color w:val="000000"/>
          <w:sz w:val="24"/>
        </w:rPr>
        <w:t xml:space="preserve"> Fujian Province, China</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eastAsia="AdvP4A213B" w:hAnsi="Book Antiqua"/>
          <w:b/>
          <w:color w:val="000000"/>
          <w:sz w:val="24"/>
        </w:rPr>
        <w:t>Zhi-Fang Zheng,</w:t>
      </w:r>
      <w:r>
        <w:rPr>
          <w:rFonts w:ascii="Book Antiqua" w:hAnsi="Book Antiqua"/>
          <w:b/>
          <w:color w:val="000000"/>
          <w:sz w:val="24"/>
        </w:rPr>
        <w:t xml:space="preserve"> </w:t>
      </w:r>
      <w:r>
        <w:rPr>
          <w:rFonts w:ascii="Book Antiqua" w:eastAsia="AdvP4A213B" w:hAnsi="Book Antiqua"/>
          <w:b/>
          <w:color w:val="000000"/>
          <w:sz w:val="24"/>
        </w:rPr>
        <w:t>Jun Lu,</w:t>
      </w:r>
      <w:r>
        <w:rPr>
          <w:rFonts w:ascii="Book Antiqua" w:hAnsi="Book Antiqua"/>
          <w:b/>
          <w:color w:val="000000"/>
          <w:sz w:val="24"/>
        </w:rPr>
        <w:t xml:space="preserve"> </w:t>
      </w:r>
      <w:r>
        <w:rPr>
          <w:rFonts w:ascii="Book Antiqua" w:eastAsia="AdvP4A213B" w:hAnsi="Book Antiqua"/>
          <w:b/>
          <w:color w:val="000000"/>
          <w:sz w:val="24"/>
        </w:rPr>
        <w:t>Peng-Yang Zhang</w:t>
      </w:r>
      <w:r>
        <w:rPr>
          <w:rFonts w:ascii="Book Antiqua" w:hAnsi="Book Antiqua"/>
          <w:b/>
          <w:color w:val="000000"/>
          <w:sz w:val="24"/>
        </w:rPr>
        <w:t xml:space="preserve">, </w:t>
      </w:r>
      <w:r>
        <w:rPr>
          <w:rFonts w:ascii="Book Antiqua" w:eastAsia="AdvP4A213B" w:hAnsi="Book Antiqua"/>
          <w:b/>
          <w:color w:val="000000"/>
          <w:sz w:val="24"/>
        </w:rPr>
        <w:t>Bin-Bin Xu,</w:t>
      </w:r>
      <w:r>
        <w:rPr>
          <w:rFonts w:ascii="Book Antiqua" w:hAnsi="Book Antiqua"/>
          <w:b/>
          <w:color w:val="000000"/>
          <w:sz w:val="24"/>
        </w:rPr>
        <w:t xml:space="preserve"> </w:t>
      </w:r>
      <w:r>
        <w:rPr>
          <w:rFonts w:ascii="Book Antiqua" w:eastAsia="AdvP4A213B" w:hAnsi="Book Antiqua"/>
          <w:b/>
          <w:color w:val="000000"/>
          <w:sz w:val="24"/>
        </w:rPr>
        <w:t>Chao-Hui Zheng,</w:t>
      </w:r>
      <w:r>
        <w:rPr>
          <w:rFonts w:ascii="Book Antiqua" w:hAnsi="Book Antiqua"/>
          <w:b/>
          <w:color w:val="000000"/>
          <w:sz w:val="24"/>
        </w:rPr>
        <w:t xml:space="preserve"> </w:t>
      </w:r>
      <w:r>
        <w:rPr>
          <w:rFonts w:ascii="Book Antiqua" w:eastAsia="AdvP4A213B" w:hAnsi="Book Antiqua"/>
          <w:b/>
          <w:color w:val="000000"/>
          <w:sz w:val="24"/>
        </w:rPr>
        <w:t>Ping Li, Jian-Wei Xie,</w:t>
      </w:r>
      <w:r>
        <w:rPr>
          <w:rFonts w:ascii="Book Antiqua" w:hAnsi="Book Antiqua"/>
          <w:b/>
          <w:color w:val="000000"/>
          <w:sz w:val="24"/>
        </w:rPr>
        <w:t xml:space="preserve"> </w:t>
      </w:r>
      <w:r>
        <w:rPr>
          <w:rFonts w:ascii="Book Antiqua" w:eastAsia="AdvP4A213B" w:hAnsi="Book Antiqua"/>
          <w:b/>
          <w:color w:val="000000"/>
          <w:sz w:val="24"/>
        </w:rPr>
        <w:t>Jia-Bin Wang,</w:t>
      </w:r>
      <w:r>
        <w:rPr>
          <w:rFonts w:ascii="Book Antiqua" w:hAnsi="Book Antiqua"/>
          <w:b/>
          <w:color w:val="000000"/>
          <w:sz w:val="24"/>
        </w:rPr>
        <w:t xml:space="preserve"> </w:t>
      </w:r>
      <w:r>
        <w:rPr>
          <w:rFonts w:ascii="Book Antiqua" w:eastAsia="AdvP4A213B" w:hAnsi="Book Antiqua"/>
          <w:b/>
          <w:color w:val="000000"/>
          <w:sz w:val="24"/>
        </w:rPr>
        <w:t>Jian-Xian Lin,</w:t>
      </w:r>
      <w:r>
        <w:rPr>
          <w:rFonts w:ascii="Book Antiqua" w:hAnsi="Book Antiqua"/>
          <w:b/>
          <w:color w:val="000000"/>
          <w:sz w:val="24"/>
        </w:rPr>
        <w:t xml:space="preserve"> </w:t>
      </w:r>
      <w:r>
        <w:rPr>
          <w:rFonts w:ascii="Book Antiqua" w:eastAsia="AdvP4A213B" w:hAnsi="Book Antiqua"/>
          <w:b/>
          <w:color w:val="000000"/>
          <w:sz w:val="24"/>
        </w:rPr>
        <w:t>Qi-Yue Chen,</w:t>
      </w:r>
      <w:r>
        <w:rPr>
          <w:rFonts w:ascii="Book Antiqua" w:hAnsi="Book Antiqua"/>
          <w:b/>
          <w:color w:val="000000"/>
          <w:sz w:val="24"/>
        </w:rPr>
        <w:t xml:space="preserve"> </w:t>
      </w:r>
      <w:r>
        <w:rPr>
          <w:rFonts w:ascii="Book Antiqua" w:eastAsia="AdvP4A213B" w:hAnsi="Book Antiqua"/>
          <w:b/>
          <w:color w:val="000000"/>
          <w:sz w:val="24"/>
        </w:rPr>
        <w:t xml:space="preserve">Chang-Ming Huang, </w:t>
      </w:r>
      <w:r>
        <w:rPr>
          <w:rFonts w:ascii="Book Antiqua" w:eastAsia="AdvP4A213B" w:hAnsi="Book Antiqua"/>
          <w:color w:val="000000"/>
          <w:sz w:val="24"/>
        </w:rPr>
        <w:t>Department of General Surgery, Fujian Medical University Union Hospital, Fuzhou 350001,</w:t>
      </w:r>
      <w:r>
        <w:rPr>
          <w:rFonts w:ascii="Book Antiqua" w:hAnsi="Book Antiqua"/>
          <w:color w:val="000000"/>
          <w:sz w:val="24"/>
        </w:rPr>
        <w:t xml:space="preserve"> </w:t>
      </w:r>
      <w:r>
        <w:rPr>
          <w:rFonts w:ascii="Book Antiqua" w:eastAsia="AdvP4A213B" w:hAnsi="Book Antiqua"/>
          <w:color w:val="000000"/>
          <w:sz w:val="24"/>
        </w:rPr>
        <w:t>Fujian Province, China</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eastAsia="AdvP4A213B" w:hAnsi="Book Antiqua"/>
          <w:b/>
          <w:color w:val="000000"/>
          <w:sz w:val="24"/>
        </w:rPr>
        <w:t>Jun Lu,</w:t>
      </w:r>
      <w:r>
        <w:rPr>
          <w:rFonts w:ascii="Book Antiqua" w:hAnsi="Book Antiqua"/>
          <w:b/>
          <w:color w:val="000000"/>
          <w:sz w:val="24"/>
        </w:rPr>
        <w:t xml:space="preserve"> </w:t>
      </w:r>
      <w:r>
        <w:rPr>
          <w:rFonts w:ascii="Book Antiqua" w:eastAsia="AdvP4A213B" w:hAnsi="Book Antiqua"/>
          <w:b/>
          <w:color w:val="000000"/>
          <w:sz w:val="24"/>
        </w:rPr>
        <w:t>Peng-Yang Zhang,</w:t>
      </w:r>
      <w:r>
        <w:rPr>
          <w:rFonts w:ascii="Book Antiqua" w:hAnsi="Book Antiqua"/>
          <w:b/>
          <w:color w:val="000000"/>
          <w:sz w:val="24"/>
        </w:rPr>
        <w:t xml:space="preserve"> </w:t>
      </w:r>
      <w:r>
        <w:rPr>
          <w:rFonts w:ascii="Book Antiqua" w:eastAsia="AdvP4A213B" w:hAnsi="Book Antiqua"/>
          <w:b/>
          <w:color w:val="000000"/>
          <w:sz w:val="24"/>
        </w:rPr>
        <w:t>Chao-Hui Zheng,</w:t>
      </w:r>
      <w:r>
        <w:rPr>
          <w:rFonts w:ascii="Book Antiqua" w:hAnsi="Book Antiqua"/>
          <w:b/>
          <w:color w:val="000000"/>
          <w:sz w:val="24"/>
        </w:rPr>
        <w:t xml:space="preserve"> </w:t>
      </w:r>
      <w:r>
        <w:rPr>
          <w:rFonts w:ascii="Book Antiqua" w:eastAsia="AdvP4A213B" w:hAnsi="Book Antiqua"/>
          <w:b/>
          <w:color w:val="000000"/>
          <w:sz w:val="24"/>
        </w:rPr>
        <w:t>Ping Li, Jian-Wei Xie,</w:t>
      </w:r>
      <w:r>
        <w:rPr>
          <w:rFonts w:ascii="Book Antiqua" w:hAnsi="Book Antiqua"/>
          <w:b/>
          <w:color w:val="000000"/>
          <w:sz w:val="24"/>
        </w:rPr>
        <w:t xml:space="preserve"> </w:t>
      </w:r>
      <w:r>
        <w:rPr>
          <w:rFonts w:ascii="Book Antiqua" w:eastAsia="AdvP4A213B" w:hAnsi="Book Antiqua"/>
          <w:b/>
          <w:color w:val="000000"/>
          <w:sz w:val="24"/>
        </w:rPr>
        <w:t>Jia-Bin Wang,</w:t>
      </w:r>
      <w:r>
        <w:rPr>
          <w:rFonts w:ascii="Book Antiqua" w:hAnsi="Book Antiqua"/>
          <w:b/>
          <w:color w:val="000000"/>
          <w:sz w:val="24"/>
        </w:rPr>
        <w:t xml:space="preserve"> </w:t>
      </w:r>
      <w:r>
        <w:rPr>
          <w:rFonts w:ascii="Book Antiqua" w:eastAsia="AdvP4A213B" w:hAnsi="Book Antiqua"/>
          <w:b/>
          <w:color w:val="000000"/>
          <w:sz w:val="24"/>
        </w:rPr>
        <w:t>Jian-Xian Lin,</w:t>
      </w:r>
      <w:r>
        <w:rPr>
          <w:rFonts w:ascii="Book Antiqua" w:hAnsi="Book Antiqua"/>
          <w:b/>
          <w:color w:val="000000"/>
          <w:sz w:val="24"/>
        </w:rPr>
        <w:t xml:space="preserve"> </w:t>
      </w:r>
      <w:r>
        <w:rPr>
          <w:rFonts w:ascii="Book Antiqua" w:eastAsia="AdvP4A213B" w:hAnsi="Book Antiqua"/>
          <w:b/>
          <w:color w:val="000000"/>
          <w:sz w:val="24"/>
        </w:rPr>
        <w:t>Qi-Yue Chen,</w:t>
      </w:r>
      <w:r>
        <w:rPr>
          <w:rFonts w:ascii="Book Antiqua" w:hAnsi="Book Antiqua"/>
          <w:b/>
          <w:color w:val="000000"/>
          <w:sz w:val="24"/>
        </w:rPr>
        <w:t xml:space="preserve"> </w:t>
      </w:r>
      <w:r>
        <w:rPr>
          <w:rFonts w:ascii="Book Antiqua" w:eastAsia="AdvP4A213B" w:hAnsi="Book Antiqua"/>
          <w:b/>
          <w:color w:val="000000"/>
          <w:sz w:val="24"/>
        </w:rPr>
        <w:t>Chang-Ming Huang,</w:t>
      </w:r>
      <w:r>
        <w:rPr>
          <w:rFonts w:ascii="Book Antiqua" w:eastAsia="AdvP4A213B" w:hAnsi="Book Antiqua"/>
          <w:color w:val="000000"/>
          <w:sz w:val="24"/>
        </w:rPr>
        <w:t xml:space="preserve"> Key Laboratory of Ministry of Education of Gastrointestinal Cancer, Fujian Medical University, Fuzhou 350108</w:t>
      </w:r>
      <w:r>
        <w:rPr>
          <w:rFonts w:ascii="Book Antiqua" w:hAnsi="Book Antiqua"/>
          <w:color w:val="000000"/>
          <w:sz w:val="24"/>
        </w:rPr>
        <w:t>,</w:t>
      </w:r>
      <w:r>
        <w:rPr>
          <w:rFonts w:ascii="Book Antiqua" w:eastAsia="AdvP4A213B" w:hAnsi="Book Antiqua"/>
          <w:color w:val="000000"/>
          <w:sz w:val="24"/>
        </w:rPr>
        <w:t xml:space="preserve"> Fujian Province, China</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hAnsi="Book Antiqua"/>
          <w:b/>
          <w:color w:val="000000"/>
          <w:sz w:val="24"/>
        </w:rPr>
        <w:t>ORCID number:</w:t>
      </w:r>
      <w:r>
        <w:rPr>
          <w:rFonts w:ascii="Book Antiqua" w:hAnsi="Book Antiqua"/>
          <w:color w:val="000000"/>
          <w:sz w:val="24"/>
        </w:rPr>
        <w:t xml:space="preserve"> Zhi-Fang Zheng (0000-0002-6696-0675); Jun Lu (0000-0002-8459-4867); Peng-Yang Zhang (0000-0002-3116-2008); Bin-Bin Xu </w:t>
      </w:r>
      <w:r>
        <w:rPr>
          <w:rFonts w:ascii="Book Antiqua" w:hAnsi="Book Antiqua"/>
          <w:color w:val="000000"/>
          <w:sz w:val="24"/>
        </w:rPr>
        <w:lastRenderedPageBreak/>
        <w:t>(0000-0001-7502-2253); Chao-Hui Zheng (0000-0003-0157-5167); Ping Li (0000-0002-9418-9339); Jian-Wei Xie (0000-0001-9000-5638); Jia-Bin Wang (0000-0002-2023-0183); Jian-Xian Lin (0000-0002-5006-4454); Qi-Yue Chen (0000-0001-6391-4043); Chang-Ming Huang (0000-0002-0019-885X).</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hAnsi="Book Antiqua"/>
          <w:b/>
          <w:bCs/>
          <w:color w:val="000000"/>
          <w:sz w:val="24"/>
        </w:rPr>
        <w:t xml:space="preserve">Author contributions: </w:t>
      </w:r>
      <w:r>
        <w:rPr>
          <w:rFonts w:ascii="Book Antiqua" w:hAnsi="Book Antiqua"/>
          <w:color w:val="000000"/>
          <w:sz w:val="24"/>
        </w:rPr>
        <w:t>Zheng ZF, Lu J, and Huang CM conceived of the study, analyzed the data, and drafted the manuscript; Zhang PY, Xu BB, Li P, and Zheng CH helped revise the manuscript critically for important intellectual content; Xie JW, Wang JB, Lin JX, and Chen QY helped collect the data and design the study. All authors read and approved the final manuscript.</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hAnsi="Book Antiqua"/>
          <w:b/>
          <w:bCs/>
          <w:color w:val="000000"/>
          <w:sz w:val="24"/>
        </w:rPr>
        <w:t xml:space="preserve">Supported by </w:t>
      </w:r>
      <w:bookmarkStart w:id="5" w:name="OLE_LINK18"/>
      <w:r>
        <w:rPr>
          <w:rFonts w:ascii="Book Antiqua" w:hAnsi="Book Antiqua"/>
          <w:color w:val="000000"/>
          <w:sz w:val="24"/>
        </w:rPr>
        <w:t>Scientific and Technological Innovation Joint Capital Projects of Fujian Province</w:t>
      </w:r>
      <w:bookmarkStart w:id="6" w:name="OLE_LINK19"/>
      <w:bookmarkEnd w:id="5"/>
      <w:r>
        <w:rPr>
          <w:rFonts w:ascii="Book Antiqua" w:hAnsi="Book Antiqua"/>
          <w:color w:val="000000"/>
          <w:sz w:val="24"/>
        </w:rPr>
        <w:t>, No. 2016Y9031</w:t>
      </w:r>
      <w:bookmarkEnd w:id="6"/>
      <w:r>
        <w:rPr>
          <w:rFonts w:ascii="Book Antiqua" w:hAnsi="Book Antiqua"/>
          <w:color w:val="000000"/>
          <w:sz w:val="24"/>
        </w:rPr>
        <w:t xml:space="preserve">; </w:t>
      </w:r>
      <w:bookmarkStart w:id="7" w:name="OLE_LINK20"/>
      <w:r>
        <w:rPr>
          <w:rFonts w:ascii="Book Antiqua" w:hAnsi="Book Antiqua"/>
          <w:color w:val="000000"/>
          <w:sz w:val="24"/>
        </w:rPr>
        <w:t>Construction Project of Fujian Province Minimally Invasive Medical Center</w:t>
      </w:r>
      <w:bookmarkEnd w:id="7"/>
      <w:r>
        <w:rPr>
          <w:rFonts w:ascii="Book Antiqua" w:hAnsi="Book Antiqua"/>
          <w:color w:val="000000"/>
          <w:sz w:val="24"/>
        </w:rPr>
        <w:t xml:space="preserve">, No. [2017]171; The Second Batch of Special Support Funds for Fujian Province </w:t>
      </w:r>
      <w:bookmarkStart w:id="8" w:name="OLE_LINK31"/>
      <w:r>
        <w:rPr>
          <w:rFonts w:ascii="Book Antiqua" w:hAnsi="Book Antiqua"/>
          <w:color w:val="000000"/>
          <w:sz w:val="24"/>
        </w:rPr>
        <w:t>Innovation and Entrepreneurship Talents, No. 2016B013</w:t>
      </w:r>
      <w:bookmarkEnd w:id="8"/>
      <w:r>
        <w:rPr>
          <w:rFonts w:ascii="Book Antiqua" w:hAnsi="Book Antiqua"/>
          <w:color w:val="000000"/>
          <w:sz w:val="24"/>
        </w:rPr>
        <w:t>;</w:t>
      </w:r>
      <w:bookmarkStart w:id="9" w:name="OLE_LINK38"/>
      <w:r>
        <w:rPr>
          <w:rFonts w:ascii="Book Antiqua" w:hAnsi="Book Antiqua"/>
          <w:color w:val="000000"/>
          <w:sz w:val="24"/>
        </w:rPr>
        <w:t xml:space="preserve"> Youth Scientific Research Subject of Fujian Provincial Health and Family Planning </w:t>
      </w:r>
      <w:bookmarkEnd w:id="9"/>
      <w:r>
        <w:rPr>
          <w:rFonts w:ascii="Book Antiqua" w:hAnsi="Book Antiqua"/>
          <w:color w:val="000000"/>
          <w:sz w:val="24"/>
        </w:rPr>
        <w:t xml:space="preserve">Commission, No. 2015-1-37; and </w:t>
      </w:r>
      <w:bookmarkStart w:id="10" w:name="OLE_LINK46"/>
      <w:r>
        <w:rPr>
          <w:rFonts w:ascii="Book Antiqua" w:hAnsi="Book Antiqua"/>
          <w:color w:val="000000"/>
          <w:sz w:val="24"/>
        </w:rPr>
        <w:t>QIHANG Funds of Fujian Medical University</w:t>
      </w:r>
      <w:bookmarkStart w:id="11" w:name="OLE_LINK47"/>
      <w:bookmarkEnd w:id="10"/>
      <w:r>
        <w:rPr>
          <w:rFonts w:ascii="Book Antiqua" w:hAnsi="Book Antiqua"/>
          <w:color w:val="000000"/>
          <w:sz w:val="24"/>
        </w:rPr>
        <w:t>, No. 2016QH025</w:t>
      </w:r>
      <w:bookmarkEnd w:id="11"/>
      <w:r>
        <w:rPr>
          <w:rFonts w:ascii="Book Antiqua" w:hAnsi="Book Antiqua"/>
          <w:color w:val="000000"/>
          <w:sz w:val="24"/>
        </w:rPr>
        <w:t>.</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hAnsi="Book Antiqua"/>
          <w:b/>
          <w:bCs/>
          <w:color w:val="000000"/>
          <w:sz w:val="24"/>
        </w:rPr>
        <w:t xml:space="preserve">Institutional review board statement: </w:t>
      </w:r>
      <w:r>
        <w:rPr>
          <w:rFonts w:ascii="Book Antiqua" w:hAnsi="Book Antiqua"/>
          <w:color w:val="000000"/>
          <w:sz w:val="24"/>
        </w:rPr>
        <w:t>This study was reviewed and approved by the Ethics Committee of the Fujian Medical University Union Hospital.</w:t>
      </w:r>
    </w:p>
    <w:p w:rsidR="00BB07B2" w:rsidRDefault="00BB07B2">
      <w:pPr>
        <w:adjustRightInd w:val="0"/>
        <w:snapToGrid w:val="0"/>
        <w:spacing w:after="0" w:line="360" w:lineRule="auto"/>
        <w:rPr>
          <w:rFonts w:ascii="Book Antiqua" w:hAnsi="Book Antiqua"/>
          <w:color w:val="000000"/>
          <w:sz w:val="24"/>
        </w:rPr>
      </w:pPr>
    </w:p>
    <w:p w:rsidR="00BB07B2" w:rsidRDefault="00BB07B2">
      <w:pPr>
        <w:widowControl/>
        <w:adjustRightInd w:val="0"/>
        <w:snapToGrid w:val="0"/>
        <w:spacing w:after="0" w:line="360" w:lineRule="auto"/>
        <w:rPr>
          <w:rFonts w:ascii="Book Antiqua" w:hAnsi="Book Antiqua"/>
          <w:bCs/>
          <w:color w:val="000000"/>
          <w:sz w:val="24"/>
        </w:rPr>
      </w:pPr>
      <w:r>
        <w:rPr>
          <w:rFonts w:ascii="Book Antiqua" w:hAnsi="Book Antiqua"/>
          <w:b/>
          <w:color w:val="000000"/>
          <w:sz w:val="24"/>
        </w:rPr>
        <w:t xml:space="preserve">Informed consent statement: </w:t>
      </w:r>
      <w:r>
        <w:rPr>
          <w:rFonts w:ascii="Book Antiqua" w:hAnsi="Book Antiqua"/>
          <w:bCs/>
          <w:color w:val="000000"/>
          <w:sz w:val="24"/>
        </w:rPr>
        <w:t>Patients were not required to give informed consent to the study because the analysis used anonymous clinical data that were obtained after each patient agreed to treatment by written consent.</w:t>
      </w:r>
    </w:p>
    <w:p w:rsidR="00BB07B2" w:rsidRDefault="00BB07B2">
      <w:pPr>
        <w:widowControl/>
        <w:adjustRightInd w:val="0"/>
        <w:snapToGrid w:val="0"/>
        <w:spacing w:after="0" w:line="360" w:lineRule="auto"/>
        <w:rPr>
          <w:rFonts w:ascii="Book Antiqua" w:hAnsi="Book Antiqua"/>
          <w:bCs/>
          <w:color w:val="000000"/>
          <w:sz w:val="24"/>
        </w:rPr>
      </w:pPr>
    </w:p>
    <w:p w:rsidR="00BB07B2" w:rsidRDefault="00BB07B2">
      <w:pPr>
        <w:widowControl/>
        <w:adjustRightInd w:val="0"/>
        <w:snapToGrid w:val="0"/>
        <w:spacing w:after="0" w:line="360" w:lineRule="auto"/>
        <w:rPr>
          <w:rFonts w:ascii="Book Antiqua" w:hAnsi="Book Antiqua"/>
          <w:bCs/>
          <w:color w:val="000000"/>
          <w:sz w:val="24"/>
        </w:rPr>
      </w:pPr>
      <w:r>
        <w:rPr>
          <w:rFonts w:ascii="Book Antiqua" w:hAnsi="Book Antiqua"/>
          <w:b/>
          <w:color w:val="000000"/>
          <w:sz w:val="24"/>
        </w:rPr>
        <w:t xml:space="preserve">Conflict-of-interest statement: </w:t>
      </w:r>
      <w:r>
        <w:rPr>
          <w:rFonts w:ascii="Book Antiqua" w:hAnsi="Book Antiqua"/>
          <w:bCs/>
          <w:color w:val="000000"/>
          <w:sz w:val="24"/>
        </w:rPr>
        <w:t>To the best of our knowledge, no conflict of interest exists.</w:t>
      </w:r>
    </w:p>
    <w:p w:rsidR="00BB07B2" w:rsidRDefault="00BB07B2">
      <w:pPr>
        <w:widowControl/>
        <w:adjustRightInd w:val="0"/>
        <w:snapToGrid w:val="0"/>
        <w:spacing w:after="0" w:line="360" w:lineRule="auto"/>
        <w:rPr>
          <w:rFonts w:ascii="Book Antiqua" w:hAnsi="Book Antiqua"/>
          <w:bCs/>
          <w:color w:val="000000"/>
          <w:sz w:val="24"/>
        </w:rPr>
      </w:pPr>
    </w:p>
    <w:p w:rsidR="00BB07B2" w:rsidRDefault="00BB07B2">
      <w:pPr>
        <w:widowControl/>
        <w:adjustRightInd w:val="0"/>
        <w:snapToGrid w:val="0"/>
        <w:spacing w:after="0" w:line="360" w:lineRule="auto"/>
        <w:outlineLvl w:val="0"/>
        <w:rPr>
          <w:rFonts w:ascii="Book Antiqua" w:hAnsi="Book Antiqua"/>
          <w:bCs/>
          <w:color w:val="000000"/>
          <w:sz w:val="24"/>
        </w:rPr>
      </w:pPr>
      <w:r>
        <w:rPr>
          <w:rFonts w:ascii="Book Antiqua" w:hAnsi="Book Antiqua"/>
          <w:b/>
          <w:color w:val="000000"/>
          <w:sz w:val="24"/>
        </w:rPr>
        <w:t>Data sharing statement:</w:t>
      </w:r>
      <w:r>
        <w:rPr>
          <w:rFonts w:ascii="Book Antiqua" w:hAnsi="Book Antiqua"/>
          <w:bCs/>
          <w:color w:val="000000"/>
          <w:sz w:val="24"/>
        </w:rPr>
        <w:t xml:space="preserve"> No additional data are available.</w:t>
      </w:r>
    </w:p>
    <w:p w:rsidR="00BB07B2" w:rsidRDefault="00BB07B2">
      <w:pPr>
        <w:widowControl/>
        <w:adjustRightInd w:val="0"/>
        <w:snapToGrid w:val="0"/>
        <w:spacing w:after="0" w:line="360" w:lineRule="auto"/>
        <w:rPr>
          <w:rFonts w:ascii="Book Antiqua" w:hAnsi="Book Antiqua"/>
          <w:bCs/>
          <w:color w:val="000000"/>
          <w:sz w:val="24"/>
        </w:rPr>
      </w:pPr>
    </w:p>
    <w:p w:rsidR="00BB07B2" w:rsidRDefault="00BB07B2">
      <w:pPr>
        <w:adjustRightInd w:val="0"/>
        <w:snapToGrid w:val="0"/>
        <w:spacing w:after="0" w:line="360" w:lineRule="auto"/>
        <w:rPr>
          <w:rFonts w:ascii="Book Antiqua" w:hAnsi="Book Antiqua" w:hint="eastAsia"/>
          <w:sz w:val="24"/>
        </w:rPr>
      </w:pPr>
      <w:bookmarkStart w:id="12" w:name="OLE_LINK375"/>
      <w:bookmarkStart w:id="13" w:name="OLE_LINK381"/>
      <w:bookmarkStart w:id="14" w:name="OLE_LINK413"/>
      <w:r>
        <w:rPr>
          <w:rFonts w:ascii="Book Antiqua" w:hAnsi="Book Antiqua"/>
          <w:b/>
          <w:color w:val="000000"/>
          <w:sz w:val="24"/>
        </w:rPr>
        <w:t xml:space="preserve">Open-Access: </w:t>
      </w:r>
      <w:r>
        <w:rPr>
          <w:rFonts w:ascii="Book Antiqua" w:hAnsi="Book Antiqua"/>
          <w:color w:val="000000"/>
          <w:sz w:val="24"/>
        </w:rPr>
        <w:t xml:space="preserve">This is an </w:t>
      </w:r>
      <w:r>
        <w:rPr>
          <w:rFonts w:ascii="Book Antiqua" w:hAnsi="Book Antiqua" w:cs="宋体"/>
          <w:sz w:val="24"/>
        </w:rPr>
        <w:t xml:space="preserve">open-access article that was </w:t>
      </w:r>
      <w:r>
        <w:rPr>
          <w:rFonts w:ascii="Book Antiqua" w:hAnsi="Book Antiqua"/>
          <w:sz w:val="24"/>
        </w:rPr>
        <w:t xml:space="preserve">selected by an in-house editor and fully peer-reviewed by external reviewers. It is </w:t>
      </w:r>
      <w:r>
        <w:rPr>
          <w:rFonts w:ascii="Book Antiqua" w:hAnsi="Book Antiqua" w:cs="宋体"/>
          <w:sz w:val="24"/>
        </w:rPr>
        <w:t xml:space="preserve">distributed in accordance with </w:t>
      </w:r>
      <w:r>
        <w:rPr>
          <w:rFonts w:ascii="Book Antiqua" w:hAnsi="Book Antiqua"/>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5" w:history="1">
        <w:r>
          <w:rPr>
            <w:rStyle w:val="a4"/>
            <w:rFonts w:ascii="Book Antiqua" w:hAnsi="Book Antiqua"/>
            <w:sz w:val="24"/>
          </w:rPr>
          <w:t>http://creativecommons.org/licenses/by-nc/4.0/</w:t>
        </w:r>
      </w:hyperlink>
    </w:p>
    <w:p w:rsidR="00BB07B2" w:rsidRDefault="00BB07B2">
      <w:pPr>
        <w:adjustRightInd w:val="0"/>
        <w:snapToGrid w:val="0"/>
        <w:spacing w:after="0" w:line="360" w:lineRule="auto"/>
        <w:rPr>
          <w:rFonts w:ascii="Book Antiqua" w:hAnsi="Book Antiqua"/>
          <w:sz w:val="24"/>
        </w:rPr>
      </w:pPr>
    </w:p>
    <w:p w:rsidR="00BB07B2" w:rsidRDefault="00BB07B2">
      <w:pPr>
        <w:adjustRightInd w:val="0"/>
        <w:snapToGrid w:val="0"/>
        <w:spacing w:after="0" w:line="360" w:lineRule="auto"/>
        <w:outlineLvl w:val="0"/>
        <w:rPr>
          <w:rFonts w:ascii="Book Antiqua" w:hAnsi="Book Antiqua"/>
          <w:bCs/>
          <w:sz w:val="24"/>
        </w:rPr>
      </w:pPr>
      <w:r>
        <w:rPr>
          <w:rFonts w:ascii="Book Antiqua" w:hAnsi="Book Antiqua"/>
          <w:b/>
          <w:bCs/>
          <w:sz w:val="24"/>
          <w:highlight w:val="white"/>
        </w:rPr>
        <w:t>Manuscript source:</w:t>
      </w:r>
      <w:r>
        <w:rPr>
          <w:rFonts w:ascii="Book Antiqua" w:hAnsi="Book Antiqua" w:hint="eastAsia"/>
          <w:b/>
          <w:bCs/>
          <w:sz w:val="24"/>
          <w:highlight w:val="white"/>
        </w:rPr>
        <w:t xml:space="preserve"> </w:t>
      </w:r>
      <w:r>
        <w:rPr>
          <w:rFonts w:ascii="Book Antiqua" w:hAnsi="Book Antiqua"/>
          <w:bCs/>
          <w:sz w:val="24"/>
          <w:highlight w:val="white"/>
        </w:rPr>
        <w:t>Unsolicited manuscript</w:t>
      </w:r>
      <w:bookmarkEnd w:id="12"/>
      <w:bookmarkEnd w:id="13"/>
      <w:bookmarkEnd w:id="14"/>
    </w:p>
    <w:p w:rsidR="00BB07B2" w:rsidRDefault="00BB07B2">
      <w:pPr>
        <w:adjustRightInd w:val="0"/>
        <w:snapToGrid w:val="0"/>
        <w:spacing w:after="0" w:line="360" w:lineRule="auto"/>
        <w:rPr>
          <w:rFonts w:ascii="Book Antiqua" w:hAnsi="Book Antiqua"/>
          <w:bCs/>
          <w:sz w:val="24"/>
        </w:rPr>
      </w:pPr>
    </w:p>
    <w:p w:rsidR="00BB07B2" w:rsidRDefault="00BB07B2">
      <w:pPr>
        <w:adjustRightInd w:val="0"/>
        <w:snapToGrid w:val="0"/>
        <w:spacing w:after="0" w:line="360" w:lineRule="auto"/>
        <w:rPr>
          <w:rFonts w:ascii="Book Antiqua" w:eastAsia="AdvP4A213B" w:hAnsi="Book Antiqua"/>
          <w:color w:val="000000"/>
          <w:sz w:val="24"/>
        </w:rPr>
      </w:pPr>
      <w:r>
        <w:rPr>
          <w:rFonts w:ascii="Book Antiqua" w:eastAsia="AdvP4A213B" w:hAnsi="Book Antiqua"/>
          <w:b/>
          <w:bCs/>
          <w:color w:val="000000"/>
          <w:sz w:val="24"/>
        </w:rPr>
        <w:t>Corresponding author to:</w:t>
      </w:r>
      <w:r>
        <w:rPr>
          <w:rFonts w:ascii="Book Antiqua" w:eastAsia="AdvP4A213B" w:hAnsi="Book Antiqua"/>
          <w:color w:val="000000"/>
          <w:sz w:val="24"/>
        </w:rPr>
        <w:t xml:space="preserve"> </w:t>
      </w:r>
      <w:r>
        <w:rPr>
          <w:rFonts w:ascii="Book Antiqua" w:eastAsia="AdvP4A213B" w:hAnsi="Book Antiqua"/>
          <w:b/>
          <w:color w:val="000000"/>
          <w:sz w:val="24"/>
        </w:rPr>
        <w:t>Chang-Ming Huang, MD, Doctor, Professor,</w:t>
      </w:r>
      <w:r>
        <w:rPr>
          <w:rFonts w:ascii="Book Antiqua" w:eastAsia="AdvP4A213B" w:hAnsi="Book Antiqua"/>
          <w:color w:val="000000"/>
          <w:sz w:val="24"/>
        </w:rPr>
        <w:t xml:space="preserve"> Department of Gastric Surgery, Fujian Medical University Union Hospital, No. 29, Xinquan Road, Fuzhou 350001, Fujian Province, China. hcmlr2002@163.com</w:t>
      </w:r>
    </w:p>
    <w:p w:rsidR="00BB07B2" w:rsidRDefault="00BB07B2">
      <w:pPr>
        <w:adjustRightInd w:val="0"/>
        <w:snapToGrid w:val="0"/>
        <w:spacing w:after="0" w:line="360" w:lineRule="auto"/>
        <w:rPr>
          <w:rFonts w:ascii="Book Antiqua" w:eastAsia="AdvP4A213B" w:hAnsi="Book Antiqua"/>
          <w:color w:val="000000"/>
          <w:sz w:val="24"/>
        </w:rPr>
      </w:pPr>
      <w:r>
        <w:rPr>
          <w:rFonts w:ascii="Book Antiqua" w:eastAsia="AdvP4A213B" w:hAnsi="Book Antiqua"/>
          <w:b/>
          <w:bCs/>
          <w:color w:val="000000"/>
          <w:sz w:val="24"/>
        </w:rPr>
        <w:t xml:space="preserve">Telephone: </w:t>
      </w:r>
      <w:r>
        <w:rPr>
          <w:rFonts w:ascii="Book Antiqua" w:eastAsia="AdvP4A213B" w:hAnsi="Book Antiqua"/>
          <w:color w:val="000000"/>
          <w:sz w:val="24"/>
        </w:rPr>
        <w:t>+86-591-83363366</w:t>
      </w:r>
    </w:p>
    <w:p w:rsidR="00BB07B2" w:rsidRDefault="00BB07B2">
      <w:pPr>
        <w:adjustRightInd w:val="0"/>
        <w:snapToGrid w:val="0"/>
        <w:spacing w:after="0" w:line="360" w:lineRule="auto"/>
        <w:rPr>
          <w:rFonts w:ascii="Book Antiqua" w:eastAsia="AdvP4A213B" w:hAnsi="Book Antiqua"/>
          <w:color w:val="000000"/>
          <w:sz w:val="24"/>
        </w:rPr>
      </w:pPr>
      <w:r>
        <w:rPr>
          <w:rFonts w:ascii="Book Antiqua" w:eastAsia="AdvP4A213B" w:hAnsi="Book Antiqua"/>
          <w:b/>
          <w:bCs/>
          <w:color w:val="000000"/>
          <w:sz w:val="24"/>
        </w:rPr>
        <w:t xml:space="preserve">Fax: </w:t>
      </w:r>
      <w:r>
        <w:rPr>
          <w:rFonts w:ascii="Book Antiqua" w:eastAsia="AdvP4A213B" w:hAnsi="Book Antiqua"/>
          <w:color w:val="000000"/>
          <w:sz w:val="24"/>
        </w:rPr>
        <w:t>+86-591-83363366</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sz w:val="24"/>
        </w:rPr>
      </w:pPr>
      <w:bookmarkStart w:id="15" w:name="OLE_LINK51"/>
      <w:bookmarkStart w:id="16" w:name="OLE_LINK382"/>
      <w:r>
        <w:rPr>
          <w:rFonts w:ascii="Book Antiqua" w:hAnsi="Book Antiqua"/>
          <w:b/>
          <w:sz w:val="24"/>
        </w:rPr>
        <w:t xml:space="preserve">Received: </w:t>
      </w:r>
      <w:r>
        <w:rPr>
          <w:rFonts w:ascii="Book Antiqua" w:hAnsi="Book Antiqua"/>
          <w:sz w:val="24"/>
        </w:rPr>
        <w:t>October</w:t>
      </w:r>
      <w:r>
        <w:rPr>
          <w:rFonts w:ascii="Book Antiqua" w:eastAsia="等线" w:hAnsi="Book Antiqua"/>
          <w:sz w:val="24"/>
        </w:rPr>
        <w:t xml:space="preserve"> 31, 2018</w:t>
      </w:r>
      <w:r>
        <w:rPr>
          <w:rFonts w:ascii="Book Antiqua" w:hAnsi="Book Antiqua"/>
          <w:b/>
          <w:sz w:val="24"/>
        </w:rPr>
        <w:t xml:space="preserve">  </w:t>
      </w:r>
    </w:p>
    <w:p w:rsidR="00BB07B2" w:rsidRDefault="00BB07B2">
      <w:pPr>
        <w:adjustRightInd w:val="0"/>
        <w:snapToGrid w:val="0"/>
        <w:spacing w:after="0" w:line="360" w:lineRule="auto"/>
        <w:outlineLvl w:val="0"/>
        <w:rPr>
          <w:rFonts w:ascii="Book Antiqua" w:eastAsia="等线" w:hAnsi="Book Antiqua"/>
          <w:b/>
          <w:sz w:val="24"/>
        </w:rPr>
      </w:pPr>
      <w:r>
        <w:rPr>
          <w:rFonts w:ascii="Book Antiqua" w:hAnsi="Book Antiqua"/>
          <w:b/>
          <w:sz w:val="24"/>
        </w:rPr>
        <w:t>Peer-review started:</w:t>
      </w:r>
      <w:r>
        <w:rPr>
          <w:rFonts w:ascii="Book Antiqua" w:eastAsia="等线" w:hAnsi="Book Antiqua"/>
          <w:b/>
          <w:sz w:val="24"/>
        </w:rPr>
        <w:t xml:space="preserve"> </w:t>
      </w:r>
      <w:r>
        <w:rPr>
          <w:rFonts w:ascii="Book Antiqua" w:hAnsi="Book Antiqua"/>
          <w:sz w:val="24"/>
        </w:rPr>
        <w:t>October</w:t>
      </w:r>
      <w:r>
        <w:rPr>
          <w:rFonts w:ascii="Book Antiqua" w:eastAsia="等线" w:hAnsi="Book Antiqua"/>
          <w:sz w:val="24"/>
        </w:rPr>
        <w:t xml:space="preserve"> 31, 2018</w:t>
      </w:r>
    </w:p>
    <w:p w:rsidR="00BB07B2" w:rsidRDefault="00BB07B2">
      <w:pPr>
        <w:adjustRightInd w:val="0"/>
        <w:snapToGrid w:val="0"/>
        <w:spacing w:after="0" w:line="360" w:lineRule="auto"/>
        <w:outlineLvl w:val="0"/>
        <w:rPr>
          <w:rFonts w:ascii="Book Antiqua" w:eastAsia="等线" w:hAnsi="Book Antiqua"/>
          <w:b/>
          <w:sz w:val="24"/>
        </w:rPr>
      </w:pPr>
      <w:r>
        <w:rPr>
          <w:rFonts w:ascii="Book Antiqua" w:hAnsi="Book Antiqua"/>
          <w:b/>
          <w:sz w:val="24"/>
        </w:rPr>
        <w:t>First decision:</w:t>
      </w:r>
      <w:r>
        <w:rPr>
          <w:rFonts w:ascii="Book Antiqua" w:eastAsia="等线" w:hAnsi="Book Antiqua"/>
          <w:b/>
          <w:sz w:val="24"/>
        </w:rPr>
        <w:t xml:space="preserve"> </w:t>
      </w:r>
      <w:r>
        <w:rPr>
          <w:rFonts w:ascii="Book Antiqua" w:hAnsi="Book Antiqua"/>
          <w:sz w:val="24"/>
        </w:rPr>
        <w:t>December</w:t>
      </w:r>
      <w:r>
        <w:rPr>
          <w:rFonts w:ascii="Book Antiqua" w:eastAsia="等线" w:hAnsi="Book Antiqua"/>
          <w:sz w:val="24"/>
        </w:rPr>
        <w:t xml:space="preserve"> 5, 2018</w:t>
      </w:r>
    </w:p>
    <w:p w:rsidR="00BB07B2" w:rsidRDefault="00BB07B2">
      <w:pPr>
        <w:adjustRightInd w:val="0"/>
        <w:snapToGrid w:val="0"/>
        <w:spacing w:after="0" w:line="360" w:lineRule="auto"/>
        <w:rPr>
          <w:rFonts w:ascii="Book Antiqua" w:hAnsi="Book Antiqua"/>
          <w:b/>
          <w:sz w:val="24"/>
        </w:rPr>
      </w:pPr>
      <w:r>
        <w:rPr>
          <w:rFonts w:ascii="Book Antiqua" w:hAnsi="Book Antiqua"/>
          <w:b/>
          <w:sz w:val="24"/>
        </w:rPr>
        <w:t xml:space="preserve">Revised: </w:t>
      </w:r>
      <w:r>
        <w:rPr>
          <w:rFonts w:ascii="Book Antiqua" w:hAnsi="Book Antiqua"/>
          <w:sz w:val="24"/>
        </w:rPr>
        <w:t>December</w:t>
      </w:r>
      <w:r>
        <w:rPr>
          <w:rFonts w:ascii="Book Antiqua" w:eastAsia="等线" w:hAnsi="Book Antiqua"/>
          <w:sz w:val="24"/>
        </w:rPr>
        <w:t xml:space="preserve"> 9</w:t>
      </w:r>
      <w:r>
        <w:rPr>
          <w:rFonts w:ascii="Book Antiqua" w:hAnsi="Book Antiqua"/>
          <w:sz w:val="24"/>
        </w:rPr>
        <w:t xml:space="preserve">, 2018 </w:t>
      </w:r>
    </w:p>
    <w:p w:rsidR="00BB07B2" w:rsidRDefault="00BB07B2">
      <w:pPr>
        <w:adjustRightInd w:val="0"/>
        <w:snapToGrid w:val="0"/>
        <w:spacing w:after="0" w:line="360" w:lineRule="auto"/>
        <w:outlineLvl w:val="0"/>
        <w:rPr>
          <w:rFonts w:ascii="Book Antiqua" w:hAnsi="Book Antiqua"/>
          <w:b/>
          <w:sz w:val="24"/>
        </w:rPr>
      </w:pPr>
      <w:r>
        <w:rPr>
          <w:rFonts w:ascii="Book Antiqua" w:hAnsi="Book Antiqua"/>
          <w:b/>
          <w:sz w:val="24"/>
        </w:rPr>
        <w:t>Accepted:</w:t>
      </w:r>
      <w:r>
        <w:t xml:space="preserve"> </w:t>
      </w:r>
      <w:r>
        <w:rPr>
          <w:rFonts w:ascii="Book Antiqua" w:hAnsi="Book Antiqua"/>
          <w:sz w:val="24"/>
        </w:rPr>
        <w:t>December 19, 2018</w:t>
      </w:r>
      <w:r>
        <w:rPr>
          <w:rFonts w:ascii="Book Antiqua" w:hAnsi="Book Antiqua"/>
          <w:b/>
          <w:sz w:val="24"/>
        </w:rPr>
        <w:t xml:space="preserve"> </w:t>
      </w:r>
    </w:p>
    <w:p w:rsidR="00BB07B2" w:rsidRDefault="00BB07B2">
      <w:pPr>
        <w:adjustRightInd w:val="0"/>
        <w:snapToGrid w:val="0"/>
        <w:spacing w:after="0" w:line="360" w:lineRule="auto"/>
        <w:outlineLvl w:val="0"/>
        <w:rPr>
          <w:rFonts w:ascii="Book Antiqua" w:hAnsi="Book Antiqua"/>
          <w:b/>
          <w:sz w:val="24"/>
        </w:rPr>
      </w:pPr>
      <w:r>
        <w:rPr>
          <w:rFonts w:ascii="Book Antiqua" w:hAnsi="Book Antiqua"/>
          <w:b/>
          <w:sz w:val="24"/>
        </w:rPr>
        <w:t>Article in press:</w:t>
      </w:r>
      <w:r w:rsidR="00E95EDB">
        <w:t xml:space="preserve"> </w:t>
      </w:r>
      <w:r w:rsidR="00E95EDB">
        <w:rPr>
          <w:rFonts w:ascii="Book Antiqua" w:hAnsi="Book Antiqua"/>
          <w:sz w:val="24"/>
        </w:rPr>
        <w:t>December 19, 2018</w:t>
      </w:r>
    </w:p>
    <w:p w:rsidR="00BB07B2" w:rsidRDefault="00BB07B2">
      <w:pPr>
        <w:adjustRightInd w:val="0"/>
        <w:snapToGrid w:val="0"/>
        <w:spacing w:after="0" w:line="360" w:lineRule="auto"/>
        <w:outlineLvl w:val="0"/>
        <w:rPr>
          <w:rFonts w:ascii="Book Antiqua" w:hAnsi="Book Antiqua"/>
          <w:color w:val="000000"/>
          <w:sz w:val="24"/>
        </w:rPr>
      </w:pPr>
      <w:r>
        <w:rPr>
          <w:rFonts w:ascii="Book Antiqua" w:hAnsi="Book Antiqua"/>
          <w:b/>
          <w:sz w:val="24"/>
        </w:rPr>
        <w:t>Published online:</w:t>
      </w:r>
      <w:bookmarkEnd w:id="15"/>
      <w:bookmarkEnd w:id="16"/>
      <w:r w:rsidR="00E95EDB">
        <w:rPr>
          <w:rFonts w:ascii="Book Antiqua" w:hAnsi="Book Antiqua" w:hint="eastAsia"/>
          <w:b/>
          <w:sz w:val="24"/>
        </w:rPr>
        <w:t xml:space="preserve"> </w:t>
      </w:r>
      <w:r w:rsidR="00E95EDB" w:rsidRPr="00E95EDB">
        <w:rPr>
          <w:rFonts w:ascii="Book Antiqua" w:hAnsi="Book Antiqua"/>
          <w:sz w:val="24"/>
        </w:rPr>
        <w:t>January 14, 2019</w:t>
      </w:r>
    </w:p>
    <w:p w:rsidR="00BB07B2" w:rsidRDefault="00BB07B2">
      <w:pPr>
        <w:adjustRightInd w:val="0"/>
        <w:snapToGrid w:val="0"/>
        <w:spacing w:after="0" w:line="360" w:lineRule="auto"/>
        <w:outlineLvl w:val="0"/>
        <w:rPr>
          <w:rFonts w:ascii="Book Antiqua" w:hAnsi="Book Antiqua"/>
          <w:b/>
          <w:bCs/>
          <w:color w:val="000000"/>
          <w:sz w:val="24"/>
        </w:rPr>
      </w:pPr>
      <w:r>
        <w:rPr>
          <w:rFonts w:ascii="Book Antiqua" w:hAnsi="Book Antiqua"/>
          <w:color w:val="000000"/>
          <w:sz w:val="24"/>
        </w:rPr>
        <w:br w:type="page"/>
      </w:r>
      <w:r>
        <w:rPr>
          <w:rFonts w:ascii="Book Antiqua" w:eastAsia="AdvP4A213B" w:hAnsi="Book Antiqua"/>
          <w:b/>
          <w:bCs/>
          <w:color w:val="000000"/>
          <w:sz w:val="24"/>
        </w:rPr>
        <w:t>A</w:t>
      </w:r>
      <w:r>
        <w:rPr>
          <w:rFonts w:ascii="Book Antiqua" w:hAnsi="Book Antiqua"/>
          <w:b/>
          <w:bCs/>
          <w:color w:val="000000"/>
          <w:sz w:val="24"/>
        </w:rPr>
        <w:t>bstract</w:t>
      </w: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BACKGROUND</w:t>
      </w:r>
    </w:p>
    <w:p w:rsidR="00BB07B2" w:rsidRDefault="00BB07B2">
      <w:pPr>
        <w:adjustRightInd w:val="0"/>
        <w:snapToGrid w:val="0"/>
        <w:spacing w:after="0" w:line="360" w:lineRule="auto"/>
        <w:rPr>
          <w:rFonts w:ascii="Book Antiqua" w:hAnsi="Book Antiqua"/>
          <w:color w:val="000000"/>
          <w:sz w:val="24"/>
        </w:rPr>
      </w:pPr>
      <w:bookmarkStart w:id="17" w:name="OLE_LINK341"/>
      <w:bookmarkStart w:id="18" w:name="OLE_LINK342"/>
      <w:r>
        <w:rPr>
          <w:rFonts w:ascii="Book Antiqua" w:hAnsi="Book Antiqua"/>
          <w:color w:val="000000"/>
          <w:sz w:val="24"/>
        </w:rPr>
        <w:t>Anastomotic leakage</w:t>
      </w:r>
      <w:bookmarkEnd w:id="17"/>
      <w:bookmarkEnd w:id="18"/>
      <w:r>
        <w:rPr>
          <w:rFonts w:ascii="Book Antiqua" w:hAnsi="Book Antiqua"/>
          <w:color w:val="000000"/>
          <w:sz w:val="24"/>
        </w:rPr>
        <w:t xml:space="preserve"> (AL) is a severe complication associated with high morbidity and mortality after radical gastrectomy (RG) for gastric cancer (GC). We hypothesized that a novel abdominal negative pressure lavage-drainage system (ANPLDS) can effectively reduce the </w:t>
      </w:r>
      <w:bookmarkStart w:id="19" w:name="OLE_LINK345"/>
      <w:r>
        <w:rPr>
          <w:rFonts w:ascii="Book Antiqua" w:hAnsi="Book Antiqua"/>
          <w:color w:val="000000"/>
          <w:sz w:val="24"/>
        </w:rPr>
        <w:t>failure-to-rescue</w:t>
      </w:r>
      <w:bookmarkEnd w:id="19"/>
      <w:r>
        <w:rPr>
          <w:rFonts w:ascii="Book Antiqua" w:hAnsi="Book Antiqua"/>
          <w:color w:val="000000"/>
          <w:sz w:val="24"/>
        </w:rPr>
        <w:t xml:space="preserve"> (FTR) and the risk of reoperation, and it is a feasible management for AL.</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eastAsia="AdvP4A213B" w:hAnsi="Book Antiqua"/>
          <w:b/>
          <w:bCs/>
          <w:i/>
          <w:color w:val="000000"/>
          <w:sz w:val="24"/>
        </w:rPr>
      </w:pPr>
      <w:bookmarkStart w:id="20" w:name="OLE_LINK48"/>
      <w:r>
        <w:rPr>
          <w:rFonts w:ascii="Book Antiqua" w:eastAsia="AdvP4A213B" w:hAnsi="Book Antiqua"/>
          <w:b/>
          <w:bCs/>
          <w:i/>
          <w:color w:val="000000"/>
          <w:sz w:val="24"/>
        </w:rPr>
        <w:t>AIM</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T</w:t>
      </w:r>
      <w:r>
        <w:rPr>
          <w:rFonts w:ascii="Book Antiqua" w:eastAsia="AdvP41153C" w:hAnsi="Book Antiqua"/>
          <w:color w:val="000000"/>
          <w:sz w:val="24"/>
        </w:rPr>
        <w:t>o report our institution’s experience</w:t>
      </w:r>
      <w:r>
        <w:rPr>
          <w:rFonts w:ascii="Book Antiqua" w:hAnsi="Book Antiqua"/>
          <w:color w:val="000000"/>
          <w:sz w:val="24"/>
        </w:rPr>
        <w:t xml:space="preserve"> </w:t>
      </w:r>
      <w:r>
        <w:rPr>
          <w:rFonts w:ascii="Book Antiqua" w:eastAsia="AdvP41153C" w:hAnsi="Book Antiqua"/>
          <w:color w:val="000000"/>
          <w:sz w:val="24"/>
        </w:rPr>
        <w:t xml:space="preserve">with </w:t>
      </w:r>
      <w:r>
        <w:rPr>
          <w:rFonts w:ascii="Book Antiqua" w:hAnsi="Book Antiqua"/>
          <w:color w:val="000000"/>
          <w:sz w:val="24"/>
        </w:rPr>
        <w:t xml:space="preserve">a novel ANPLDS </w:t>
      </w:r>
      <w:r>
        <w:rPr>
          <w:rFonts w:ascii="Book Antiqua" w:eastAsia="AdvP41153C" w:hAnsi="Book Antiqua"/>
          <w:color w:val="000000"/>
          <w:sz w:val="24"/>
        </w:rPr>
        <w:t xml:space="preserve">for </w:t>
      </w:r>
      <w:r>
        <w:rPr>
          <w:rFonts w:ascii="Book Antiqua" w:hAnsi="Book Antiqua"/>
          <w:color w:val="000000"/>
          <w:sz w:val="24"/>
        </w:rPr>
        <w:t>AL after RG for GC.</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eastAsia="AdvP4A213B" w:hAnsi="Book Antiqua"/>
          <w:b/>
          <w:bCs/>
          <w:i/>
          <w:color w:val="000000"/>
          <w:sz w:val="24"/>
        </w:rPr>
        <w:t>METHODS</w:t>
      </w:r>
    </w:p>
    <w:p w:rsidR="00BB07B2" w:rsidRDefault="00BB07B2">
      <w:pPr>
        <w:adjustRightInd w:val="0"/>
        <w:snapToGrid w:val="0"/>
        <w:spacing w:after="0" w:line="360" w:lineRule="auto"/>
        <w:rPr>
          <w:rFonts w:ascii="Book Antiqua" w:hAnsi="Book Antiqua"/>
          <w:color w:val="000000"/>
          <w:sz w:val="24"/>
        </w:rPr>
      </w:pPr>
      <w:r>
        <w:rPr>
          <w:rFonts w:ascii="Book Antiqua" w:eastAsia="AdvP4A213B" w:hAnsi="Book Antiqua"/>
          <w:bCs/>
          <w:color w:val="000000"/>
          <w:sz w:val="24"/>
        </w:rPr>
        <w:t>The study enrolled</w:t>
      </w:r>
      <w:r>
        <w:rPr>
          <w:rFonts w:ascii="Book Antiqua" w:eastAsia="AdvP4A213B" w:hAnsi="Book Antiqua"/>
          <w:b/>
          <w:bCs/>
          <w:color w:val="000000"/>
          <w:sz w:val="24"/>
        </w:rPr>
        <w:t xml:space="preserve"> </w:t>
      </w:r>
      <w:r>
        <w:rPr>
          <w:rFonts w:ascii="Book Antiqua" w:hAnsi="Book Antiqua"/>
          <w:color w:val="000000"/>
          <w:sz w:val="24"/>
        </w:rPr>
        <w:t xml:space="preserve">4173 </w:t>
      </w:r>
      <w:r>
        <w:rPr>
          <w:rFonts w:ascii="Book Antiqua" w:eastAsia="AdvP4A213B" w:hAnsi="Book Antiqua"/>
          <w:bCs/>
          <w:color w:val="000000"/>
          <w:sz w:val="24"/>
        </w:rPr>
        <w:t>patients who</w:t>
      </w:r>
      <w:r>
        <w:rPr>
          <w:rFonts w:ascii="Book Antiqua" w:hAnsi="Book Antiqua"/>
          <w:bCs/>
          <w:color w:val="000000"/>
          <w:sz w:val="24"/>
        </w:rPr>
        <w:t xml:space="preserve"> </w:t>
      </w:r>
      <w:r>
        <w:rPr>
          <w:rFonts w:ascii="Book Antiqua" w:eastAsia="AdvP4A213B" w:hAnsi="Book Antiqua"/>
          <w:bCs/>
          <w:color w:val="000000"/>
          <w:sz w:val="24"/>
        </w:rPr>
        <w:t xml:space="preserve">underwent </w:t>
      </w:r>
      <w:r>
        <w:rPr>
          <w:rFonts w:ascii="Book Antiqua" w:hAnsi="Book Antiqua"/>
          <w:bCs/>
          <w:color w:val="000000"/>
          <w:sz w:val="24"/>
        </w:rPr>
        <w:t>R0</w:t>
      </w:r>
      <w:r>
        <w:rPr>
          <w:rFonts w:ascii="Book Antiqua" w:eastAsia="AdvP4A213B" w:hAnsi="Book Antiqua"/>
          <w:bCs/>
          <w:color w:val="000000"/>
          <w:sz w:val="24"/>
        </w:rPr>
        <w:t xml:space="preserve"> resection for</w:t>
      </w:r>
      <w:r>
        <w:rPr>
          <w:rFonts w:ascii="Book Antiqua" w:hAnsi="Book Antiqua"/>
          <w:bCs/>
          <w:color w:val="000000"/>
          <w:sz w:val="24"/>
        </w:rPr>
        <w:t xml:space="preserve"> GC</w:t>
      </w:r>
      <w:r>
        <w:rPr>
          <w:rFonts w:ascii="Book Antiqua" w:eastAsia="AdvP4A213B" w:hAnsi="Book Antiqua"/>
          <w:bCs/>
          <w:color w:val="000000"/>
          <w:sz w:val="24"/>
        </w:rPr>
        <w:t xml:space="preserve"> at our institution between</w:t>
      </w:r>
      <w:r>
        <w:rPr>
          <w:rFonts w:ascii="Book Antiqua" w:hAnsi="Book Antiqua"/>
          <w:bCs/>
          <w:color w:val="000000"/>
          <w:sz w:val="24"/>
        </w:rPr>
        <w:t xml:space="preserve"> </w:t>
      </w:r>
      <w:r>
        <w:rPr>
          <w:rFonts w:ascii="Book Antiqua" w:eastAsia="AdvP4A213B" w:hAnsi="Book Antiqua"/>
          <w:bCs/>
          <w:color w:val="000000"/>
          <w:sz w:val="24"/>
        </w:rPr>
        <w:t xml:space="preserve">June 2009 and December 2016. </w:t>
      </w:r>
      <w:r>
        <w:rPr>
          <w:rFonts w:ascii="Book Antiqua" w:hAnsi="Book Antiqua"/>
          <w:color w:val="000000"/>
          <w:sz w:val="24"/>
        </w:rPr>
        <w:t>ANPLDS was</w:t>
      </w:r>
      <w:r>
        <w:rPr>
          <w:rFonts w:ascii="Book Antiqua" w:eastAsia="AdvP41153C" w:hAnsi="Book Antiqua"/>
          <w:color w:val="000000"/>
          <w:sz w:val="24"/>
        </w:rPr>
        <w:t xml:space="preserve"> routinely used for patients with </w:t>
      </w:r>
      <w:r>
        <w:rPr>
          <w:rFonts w:ascii="Book Antiqua" w:hAnsi="Book Antiqua"/>
          <w:color w:val="000000"/>
          <w:sz w:val="24"/>
        </w:rPr>
        <w:t xml:space="preserve">AL after </w:t>
      </w:r>
      <w:r>
        <w:rPr>
          <w:rFonts w:ascii="Book Antiqua" w:eastAsia="AdvP41153C" w:hAnsi="Book Antiqua"/>
          <w:color w:val="000000"/>
          <w:sz w:val="24"/>
        </w:rPr>
        <w:t>January 201</w:t>
      </w:r>
      <w:r>
        <w:rPr>
          <w:rFonts w:ascii="Book Antiqua" w:hAnsi="Book Antiqua"/>
          <w:color w:val="000000"/>
          <w:sz w:val="24"/>
        </w:rPr>
        <w:t xml:space="preserve">4. Characterization of patients </w:t>
      </w:r>
      <w:r>
        <w:rPr>
          <w:rFonts w:ascii="Book Antiqua" w:eastAsia="AdvP4A213B" w:hAnsi="Book Antiqua"/>
          <w:bCs/>
          <w:color w:val="000000"/>
          <w:sz w:val="24"/>
        </w:rPr>
        <w:t>who</w:t>
      </w:r>
      <w:r>
        <w:rPr>
          <w:rFonts w:ascii="Book Antiqua" w:hAnsi="Book Antiqua"/>
          <w:bCs/>
          <w:color w:val="000000"/>
          <w:sz w:val="24"/>
        </w:rPr>
        <w:t xml:space="preserve"> </w:t>
      </w:r>
      <w:r>
        <w:rPr>
          <w:rFonts w:ascii="Book Antiqua" w:eastAsia="AdvP4A213B" w:hAnsi="Book Antiqua"/>
          <w:bCs/>
          <w:color w:val="000000"/>
          <w:sz w:val="24"/>
        </w:rPr>
        <w:t xml:space="preserve">underwent </w:t>
      </w:r>
      <w:r>
        <w:rPr>
          <w:rFonts w:ascii="Book Antiqua" w:hAnsi="Book Antiqua"/>
          <w:bCs/>
          <w:color w:val="000000"/>
          <w:sz w:val="24"/>
        </w:rPr>
        <w:t>R0</w:t>
      </w:r>
      <w:r>
        <w:rPr>
          <w:rFonts w:ascii="Book Antiqua" w:eastAsia="AdvP4A213B" w:hAnsi="Book Antiqua"/>
          <w:bCs/>
          <w:color w:val="000000"/>
          <w:sz w:val="24"/>
        </w:rPr>
        <w:t xml:space="preserve"> resection</w:t>
      </w:r>
      <w:r>
        <w:rPr>
          <w:rFonts w:ascii="Book Antiqua" w:hAnsi="Book Antiqua"/>
          <w:bCs/>
          <w:color w:val="000000"/>
          <w:sz w:val="24"/>
        </w:rPr>
        <w:t xml:space="preserve"> </w:t>
      </w:r>
      <w:r>
        <w:rPr>
          <w:rFonts w:ascii="Book Antiqua" w:hAnsi="Book Antiqua"/>
          <w:color w:val="000000"/>
          <w:sz w:val="24"/>
        </w:rPr>
        <w:t xml:space="preserve">was compared between different study periods. AL rates and postoperative outcome among patients with AL were compared before and after the </w:t>
      </w:r>
      <w:bookmarkStart w:id="21" w:name="OLE_LINK35"/>
      <w:r>
        <w:rPr>
          <w:rFonts w:ascii="Book Antiqua" w:hAnsi="Book Antiqua"/>
          <w:color w:val="000000"/>
          <w:sz w:val="24"/>
        </w:rPr>
        <w:t xml:space="preserve">ANPLDS </w:t>
      </w:r>
      <w:bookmarkStart w:id="22" w:name="OLE_LINK17"/>
      <w:r>
        <w:rPr>
          <w:rFonts w:ascii="Book Antiqua" w:hAnsi="Book Antiqua"/>
          <w:color w:val="000000"/>
          <w:sz w:val="24"/>
        </w:rPr>
        <w:t>therapy</w:t>
      </w:r>
      <w:bookmarkEnd w:id="21"/>
      <w:bookmarkEnd w:id="22"/>
      <w:r>
        <w:rPr>
          <w:rFonts w:ascii="Book Antiqua" w:hAnsi="Book Antiqua"/>
          <w:color w:val="000000"/>
          <w:sz w:val="24"/>
        </w:rPr>
        <w:t xml:space="preserve">. We used multivariate analyses to evaluate clinicopathological and perioperative factors for associations with AL and </w:t>
      </w:r>
      <w:bookmarkStart w:id="23" w:name="OLE_LINK343"/>
      <w:bookmarkStart w:id="24" w:name="OLE_LINK344"/>
      <w:r>
        <w:rPr>
          <w:rFonts w:ascii="Book Antiqua" w:hAnsi="Book Antiqua"/>
          <w:color w:val="000000"/>
          <w:sz w:val="24"/>
        </w:rPr>
        <w:t>FTR</w:t>
      </w:r>
      <w:bookmarkEnd w:id="23"/>
      <w:bookmarkEnd w:id="24"/>
      <w:r>
        <w:rPr>
          <w:rFonts w:ascii="Book Antiqua" w:hAnsi="Book Antiqua"/>
          <w:color w:val="000000"/>
          <w:sz w:val="24"/>
        </w:rPr>
        <w:t xml:space="preserve"> after AL.</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eastAsia="AdvP4A213B" w:hAnsi="Book Antiqua"/>
          <w:b/>
          <w:bCs/>
          <w:i/>
          <w:color w:val="000000"/>
          <w:sz w:val="24"/>
        </w:rPr>
      </w:pPr>
      <w:r>
        <w:rPr>
          <w:rFonts w:ascii="Book Antiqua" w:eastAsia="AdvP4A213B" w:hAnsi="Book Antiqua"/>
          <w:b/>
          <w:bCs/>
          <w:i/>
          <w:color w:val="000000"/>
          <w:sz w:val="24"/>
        </w:rPr>
        <w:t>RESULTS</w:t>
      </w:r>
    </w:p>
    <w:p w:rsidR="00BB07B2" w:rsidRDefault="00BB07B2">
      <w:pPr>
        <w:adjustRightInd w:val="0"/>
        <w:snapToGrid w:val="0"/>
        <w:spacing w:after="0" w:line="360" w:lineRule="auto"/>
        <w:rPr>
          <w:rFonts w:ascii="Book Antiqua" w:hAnsi="Book Antiqua"/>
          <w:color w:val="000000"/>
          <w:sz w:val="24"/>
        </w:rPr>
      </w:pPr>
      <w:r>
        <w:rPr>
          <w:rFonts w:ascii="Book Antiqua" w:eastAsia="AdvP4A213B" w:hAnsi="Book Antiqua"/>
          <w:color w:val="000000"/>
          <w:sz w:val="24"/>
        </w:rPr>
        <w:t>AL</w:t>
      </w:r>
      <w:r>
        <w:rPr>
          <w:rFonts w:ascii="Book Antiqua" w:hAnsi="Book Antiqua"/>
          <w:color w:val="000000"/>
          <w:sz w:val="24"/>
        </w:rPr>
        <w:t xml:space="preserve"> occurred in 83 (83/4173, 2%) patients, leading to 7 deaths. The mean time of occurrence of AL was 5.6 days. T</w:t>
      </w:r>
      <w:r>
        <w:rPr>
          <w:rFonts w:ascii="Book Antiqua" w:eastAsia="AdvP4A213B" w:hAnsi="Book Antiqua"/>
          <w:color w:val="000000"/>
          <w:sz w:val="24"/>
        </w:rPr>
        <w:t xml:space="preserve">he </w:t>
      </w:r>
      <w:r>
        <w:rPr>
          <w:rFonts w:ascii="Book Antiqua" w:hAnsi="Book Antiqua"/>
          <w:color w:val="000000"/>
          <w:sz w:val="24"/>
        </w:rPr>
        <w:t>AL</w:t>
      </w:r>
      <w:r>
        <w:rPr>
          <w:rFonts w:ascii="Book Antiqua" w:eastAsia="AdvP4A213B" w:hAnsi="Book Antiqua"/>
          <w:color w:val="000000"/>
          <w:sz w:val="24"/>
        </w:rPr>
        <w:t xml:space="preserve"> rate was similar before</w:t>
      </w:r>
      <w:r>
        <w:rPr>
          <w:rFonts w:ascii="Book Antiqua" w:hAnsi="Book Antiqua"/>
          <w:color w:val="000000"/>
          <w:sz w:val="24"/>
        </w:rPr>
        <w:t xml:space="preserve"> (2009-2013, period 1)</w:t>
      </w:r>
      <w:r>
        <w:rPr>
          <w:rFonts w:ascii="Book Antiqua" w:eastAsia="AdvP4A213B" w:hAnsi="Book Antiqua"/>
          <w:color w:val="000000"/>
          <w:sz w:val="24"/>
        </w:rPr>
        <w:t xml:space="preserve"> and after </w:t>
      </w:r>
      <w:r>
        <w:rPr>
          <w:rFonts w:ascii="Book Antiqua" w:hAnsi="Book Antiqua"/>
          <w:color w:val="000000"/>
          <w:sz w:val="24"/>
        </w:rPr>
        <w:t>(2014-2016, period 2) the i</w:t>
      </w:r>
      <w:r>
        <w:rPr>
          <w:rFonts w:ascii="Book Antiqua" w:eastAsia="AdvP4A213B" w:hAnsi="Book Antiqua"/>
          <w:color w:val="000000"/>
          <w:sz w:val="24"/>
        </w:rPr>
        <w:t xml:space="preserve">mplementation of </w:t>
      </w:r>
      <w:r>
        <w:rPr>
          <w:rFonts w:ascii="Book Antiqua" w:hAnsi="Book Antiqua"/>
          <w:color w:val="000000"/>
          <w:sz w:val="24"/>
        </w:rPr>
        <w:t xml:space="preserve">the ANPLDS therapy </w:t>
      </w:r>
      <w:r>
        <w:rPr>
          <w:rFonts w:ascii="Book Antiqua" w:eastAsia="AdvP4A213B" w:hAnsi="Book Antiqua"/>
          <w:color w:val="000000"/>
          <w:sz w:val="24"/>
        </w:rPr>
        <w:t>(</w:t>
      </w:r>
      <w:r>
        <w:rPr>
          <w:rFonts w:ascii="Book Antiqua" w:hAnsi="Book Antiqua"/>
          <w:color w:val="000000"/>
          <w:sz w:val="24"/>
        </w:rPr>
        <w:t>1.7</w:t>
      </w:r>
      <w:r>
        <w:rPr>
          <w:rFonts w:ascii="Book Antiqua" w:eastAsia="AdvP4A213B" w:hAnsi="Book Antiqua"/>
          <w:color w:val="000000"/>
          <w:sz w:val="24"/>
        </w:rPr>
        <w:t xml:space="preserve">% </w:t>
      </w:r>
      <w:r>
        <w:rPr>
          <w:rFonts w:ascii="Book Antiqua" w:eastAsia="AdvP4A213B" w:hAnsi="Book Antiqua"/>
          <w:i/>
          <w:color w:val="000000"/>
          <w:sz w:val="24"/>
        </w:rPr>
        <w:t>vs</w:t>
      </w:r>
      <w:r>
        <w:rPr>
          <w:rFonts w:ascii="Book Antiqua" w:eastAsia="AdvP4A213B" w:hAnsi="Book Antiqua"/>
          <w:color w:val="000000"/>
          <w:sz w:val="24"/>
        </w:rPr>
        <w:t xml:space="preserve"> </w:t>
      </w:r>
      <w:r>
        <w:rPr>
          <w:rFonts w:ascii="Book Antiqua" w:hAnsi="Book Antiqua"/>
          <w:color w:val="000000"/>
          <w:sz w:val="24"/>
        </w:rPr>
        <w:t>2.3</w:t>
      </w:r>
      <w:r>
        <w:rPr>
          <w:rFonts w:ascii="Book Antiqua" w:eastAsia="AdvP4A213B" w:hAnsi="Book Antiqua"/>
          <w:color w:val="000000"/>
          <w:sz w:val="24"/>
        </w:rPr>
        <w:t>%,</w:t>
      </w:r>
      <w:r>
        <w:rPr>
          <w:rFonts w:ascii="Book Antiqua" w:hAnsi="Book Antiqua"/>
          <w:color w:val="000000"/>
          <w:sz w:val="24"/>
        </w:rPr>
        <w:t xml:space="preserve"> </w:t>
      </w:r>
      <w:r>
        <w:rPr>
          <w:rFonts w:ascii="Book Antiqua" w:hAnsi="Book Antiqua"/>
          <w:i/>
          <w:color w:val="000000"/>
          <w:sz w:val="24"/>
        </w:rPr>
        <w:t>P</w:t>
      </w:r>
      <w:r>
        <w:rPr>
          <w:rFonts w:ascii="Book Antiqua" w:hAnsi="Book Antiqua"/>
          <w:color w:val="000000"/>
          <w:sz w:val="24"/>
        </w:rPr>
        <w:t xml:space="preserve"> = </w:t>
      </w:r>
      <w:r>
        <w:rPr>
          <w:rFonts w:ascii="Book Antiqua" w:eastAsia="AdvP4A213B" w:hAnsi="Book Antiqua"/>
          <w:color w:val="000000"/>
          <w:sz w:val="24"/>
        </w:rPr>
        <w:t>0.1</w:t>
      </w:r>
      <w:r>
        <w:rPr>
          <w:rFonts w:ascii="Book Antiqua" w:hAnsi="Book Antiqua"/>
          <w:color w:val="000000"/>
          <w:sz w:val="24"/>
        </w:rPr>
        <w:t>21</w:t>
      </w:r>
      <w:r>
        <w:rPr>
          <w:rFonts w:ascii="Book Antiqua" w:eastAsia="AdvP4A213B" w:hAnsi="Book Antiqua"/>
          <w:color w:val="000000"/>
          <w:sz w:val="24"/>
        </w:rPr>
        <w:t>).</w:t>
      </w:r>
      <w:r>
        <w:rPr>
          <w:rFonts w:ascii="Book Antiqua" w:hAnsi="Book Antiqua"/>
          <w:color w:val="000000"/>
          <w:sz w:val="24"/>
        </w:rPr>
        <w:t xml:space="preserve"> Age and malnourishment were independently associated with AL. The FTR rate and abdominal bleeding rate after AL occurred were respectively 8.4% and 9.6% for the entire period; however, </w:t>
      </w:r>
      <w:bookmarkStart w:id="25" w:name="OLE_LINK36"/>
      <w:r>
        <w:rPr>
          <w:rFonts w:ascii="Book Antiqua" w:hAnsi="Book Antiqua"/>
          <w:color w:val="000000"/>
          <w:sz w:val="24"/>
        </w:rPr>
        <w:t xml:space="preserve">compared with period 1, </w:t>
      </w:r>
      <w:bookmarkEnd w:id="25"/>
      <w:r>
        <w:rPr>
          <w:rFonts w:ascii="Book Antiqua" w:hAnsi="Book Antiqua"/>
          <w:color w:val="000000"/>
          <w:sz w:val="24"/>
        </w:rPr>
        <w:t xml:space="preserve">this significantly decreased during period 2 (16.2% </w:t>
      </w:r>
      <w:r>
        <w:rPr>
          <w:rFonts w:ascii="Book Antiqua" w:hAnsi="Book Antiqua"/>
          <w:i/>
          <w:color w:val="000000"/>
          <w:sz w:val="24"/>
        </w:rPr>
        <w:t>vs</w:t>
      </w:r>
      <w:r>
        <w:rPr>
          <w:rFonts w:ascii="Book Antiqua" w:hAnsi="Book Antiqua"/>
          <w:color w:val="000000"/>
          <w:sz w:val="24"/>
        </w:rPr>
        <w:t xml:space="preserve"> 2.2%, </w:t>
      </w:r>
      <w:r>
        <w:rPr>
          <w:rFonts w:ascii="Book Antiqua" w:hAnsi="Book Antiqua"/>
          <w:i/>
          <w:color w:val="000000"/>
          <w:sz w:val="24"/>
        </w:rPr>
        <w:t xml:space="preserve">P </w:t>
      </w:r>
      <w:r>
        <w:rPr>
          <w:rFonts w:ascii="Book Antiqua" w:hAnsi="Book Antiqua"/>
          <w:color w:val="000000"/>
          <w:sz w:val="24"/>
        </w:rPr>
        <w:t xml:space="preserve">= 0.041; 18.9% </w:t>
      </w:r>
      <w:r>
        <w:rPr>
          <w:rFonts w:ascii="Book Antiqua" w:hAnsi="Book Antiqua"/>
          <w:i/>
          <w:color w:val="000000"/>
          <w:sz w:val="24"/>
        </w:rPr>
        <w:t>vs</w:t>
      </w:r>
      <w:r>
        <w:rPr>
          <w:rFonts w:ascii="Book Antiqua" w:hAnsi="Book Antiqua"/>
          <w:color w:val="000000"/>
          <w:sz w:val="24"/>
        </w:rPr>
        <w:t xml:space="preserve"> 2.2%, </w:t>
      </w:r>
      <w:r>
        <w:rPr>
          <w:rFonts w:ascii="Book Antiqua" w:hAnsi="Book Antiqua"/>
          <w:i/>
          <w:color w:val="000000"/>
          <w:sz w:val="24"/>
        </w:rPr>
        <w:t xml:space="preserve">P </w:t>
      </w:r>
      <w:r>
        <w:rPr>
          <w:rFonts w:ascii="Book Antiqua" w:hAnsi="Book Antiqua"/>
          <w:color w:val="000000"/>
          <w:sz w:val="24"/>
        </w:rPr>
        <w:t xml:space="preserve">= 0.020, respectively). Moreover, the reoperation rate was also reduced in period 2, although this result was not statistically significant (13.5% </w:t>
      </w:r>
      <w:r>
        <w:rPr>
          <w:rFonts w:ascii="Book Antiqua" w:hAnsi="Book Antiqua"/>
          <w:i/>
          <w:color w:val="000000"/>
          <w:sz w:val="24"/>
        </w:rPr>
        <w:t>vs</w:t>
      </w:r>
      <w:r>
        <w:rPr>
          <w:rFonts w:ascii="Book Antiqua" w:hAnsi="Book Antiqua"/>
          <w:color w:val="000000"/>
          <w:sz w:val="24"/>
        </w:rPr>
        <w:t xml:space="preserve"> 2.2%, </w:t>
      </w:r>
      <w:r>
        <w:rPr>
          <w:rFonts w:ascii="Book Antiqua" w:hAnsi="Book Antiqua"/>
          <w:i/>
          <w:color w:val="000000"/>
          <w:sz w:val="24"/>
        </w:rPr>
        <w:t xml:space="preserve">P </w:t>
      </w:r>
      <w:r>
        <w:rPr>
          <w:rFonts w:ascii="Book Antiqua" w:hAnsi="Book Antiqua"/>
          <w:color w:val="000000"/>
          <w:sz w:val="24"/>
        </w:rPr>
        <w:t>= 0.084). Additionally, only ANPLDS therapy was an independent protective factor for FTR after AL (</w:t>
      </w:r>
      <w:r>
        <w:rPr>
          <w:rFonts w:ascii="Book Antiqua" w:hAnsi="Book Antiqua"/>
          <w:i/>
          <w:color w:val="000000"/>
          <w:sz w:val="24"/>
        </w:rPr>
        <w:t xml:space="preserve">P </w:t>
      </w:r>
      <w:r>
        <w:rPr>
          <w:rFonts w:ascii="Book Antiqua" w:hAnsi="Book Antiqua"/>
          <w:color w:val="000000"/>
          <w:sz w:val="24"/>
        </w:rPr>
        <w:t>= 0.04).</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eastAsia="AdvP4A213B" w:hAnsi="Book Antiqua"/>
          <w:b/>
          <w:bCs/>
          <w:i/>
          <w:color w:val="000000"/>
          <w:sz w:val="24"/>
        </w:rPr>
      </w:pPr>
      <w:r>
        <w:rPr>
          <w:rFonts w:ascii="Book Antiqua" w:eastAsia="AdvP4A213B" w:hAnsi="Book Antiqua"/>
          <w:b/>
          <w:bCs/>
          <w:i/>
          <w:color w:val="000000"/>
          <w:sz w:val="24"/>
        </w:rPr>
        <w:t>CONCLUSION</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Our experience demonstrates that</w:t>
      </w:r>
      <w:r>
        <w:rPr>
          <w:rFonts w:ascii="Book Antiqua" w:eastAsia="AdvP41153C" w:hAnsi="Book Antiqua"/>
          <w:color w:val="000000"/>
          <w:sz w:val="24"/>
        </w:rPr>
        <w:t xml:space="preserve"> ANPLDS is </w:t>
      </w:r>
      <w:r>
        <w:rPr>
          <w:rFonts w:ascii="Book Antiqua" w:hAnsi="Book Antiqua"/>
          <w:color w:val="000000"/>
          <w:sz w:val="24"/>
        </w:rPr>
        <w:t>a feasible management</w:t>
      </w:r>
      <w:r>
        <w:rPr>
          <w:rFonts w:ascii="Book Antiqua" w:eastAsia="AdvP41153C" w:hAnsi="Book Antiqua"/>
          <w:color w:val="000000"/>
          <w:sz w:val="24"/>
        </w:rPr>
        <w:t xml:space="preserve"> for AL</w:t>
      </w:r>
      <w:r>
        <w:rPr>
          <w:rFonts w:ascii="Book Antiqua" w:hAnsi="Book Antiqua"/>
          <w:color w:val="000000"/>
          <w:sz w:val="24"/>
        </w:rPr>
        <w:t xml:space="preserve"> </w:t>
      </w:r>
      <w:r>
        <w:rPr>
          <w:rFonts w:ascii="Book Antiqua" w:eastAsia="AdvP41153C" w:hAnsi="Book Antiqua"/>
          <w:color w:val="000000"/>
          <w:sz w:val="24"/>
        </w:rPr>
        <w:t>after RG</w:t>
      </w:r>
      <w:r>
        <w:rPr>
          <w:rFonts w:ascii="Book Antiqua" w:hAnsi="Book Antiqua"/>
          <w:color w:val="000000"/>
          <w:sz w:val="24"/>
        </w:rPr>
        <w:t xml:space="preserve"> </w:t>
      </w:r>
      <w:r>
        <w:rPr>
          <w:rFonts w:ascii="Book Antiqua" w:eastAsia="AdvP41153C" w:hAnsi="Book Antiqua"/>
          <w:color w:val="000000"/>
          <w:sz w:val="24"/>
        </w:rPr>
        <w:t xml:space="preserve">for </w:t>
      </w:r>
      <w:r>
        <w:rPr>
          <w:rFonts w:ascii="Book Antiqua" w:hAnsi="Book Antiqua"/>
          <w:color w:val="000000"/>
          <w:sz w:val="24"/>
        </w:rPr>
        <w:t>GC.</w:t>
      </w:r>
    </w:p>
    <w:p w:rsidR="00BB07B2" w:rsidRDefault="00BB07B2">
      <w:pPr>
        <w:adjustRightInd w:val="0"/>
        <w:snapToGrid w:val="0"/>
        <w:spacing w:after="0" w:line="360" w:lineRule="auto"/>
        <w:rPr>
          <w:rFonts w:ascii="Book Antiqua" w:hAnsi="Book Antiqua"/>
          <w:color w:val="000000"/>
          <w:sz w:val="24"/>
        </w:rPr>
      </w:pPr>
    </w:p>
    <w:bookmarkEnd w:id="20"/>
    <w:p w:rsidR="00BB07B2" w:rsidRDefault="00BB07B2">
      <w:pPr>
        <w:adjustRightInd w:val="0"/>
        <w:snapToGrid w:val="0"/>
        <w:spacing w:after="0" w:line="360" w:lineRule="auto"/>
        <w:rPr>
          <w:rFonts w:ascii="Book Antiqua" w:hAnsi="Book Antiqua"/>
          <w:color w:val="000000"/>
          <w:sz w:val="24"/>
        </w:rPr>
      </w:pPr>
      <w:r>
        <w:rPr>
          <w:rFonts w:ascii="Book Antiqua" w:eastAsia="AdvP4A213B" w:hAnsi="Book Antiqua"/>
          <w:b/>
          <w:bCs/>
          <w:color w:val="000000"/>
          <w:sz w:val="24"/>
        </w:rPr>
        <w:t>Key</w:t>
      </w:r>
      <w:r>
        <w:rPr>
          <w:rFonts w:ascii="Book Antiqua" w:hAnsi="Book Antiqua"/>
          <w:b/>
          <w:bCs/>
          <w:color w:val="000000"/>
          <w:sz w:val="24"/>
        </w:rPr>
        <w:t xml:space="preserve"> </w:t>
      </w:r>
      <w:r>
        <w:rPr>
          <w:rFonts w:ascii="Book Antiqua" w:eastAsia="AdvP4A213B" w:hAnsi="Book Antiqua"/>
          <w:b/>
          <w:bCs/>
          <w:color w:val="000000"/>
          <w:sz w:val="24"/>
        </w:rPr>
        <w:t>words:</w:t>
      </w:r>
      <w:r>
        <w:rPr>
          <w:rFonts w:ascii="Book Antiqua" w:hAnsi="Book Antiqua"/>
          <w:color w:val="000000"/>
          <w:sz w:val="24"/>
        </w:rPr>
        <w:t xml:space="preserve"> Gastric cancer; A</w:t>
      </w:r>
      <w:r>
        <w:rPr>
          <w:rFonts w:ascii="Book Antiqua" w:eastAsia="AdvP4A213B" w:hAnsi="Book Antiqua"/>
          <w:color w:val="000000"/>
          <w:sz w:val="24"/>
        </w:rPr>
        <w:t xml:space="preserve">nastomotic </w:t>
      </w:r>
      <w:r>
        <w:rPr>
          <w:rFonts w:ascii="Book Antiqua" w:hAnsi="Book Antiqua"/>
          <w:color w:val="000000"/>
          <w:sz w:val="24"/>
        </w:rPr>
        <w:t>l</w:t>
      </w:r>
      <w:r>
        <w:rPr>
          <w:rFonts w:ascii="Book Antiqua" w:eastAsia="AdvP4A213B" w:hAnsi="Book Antiqua"/>
          <w:color w:val="000000"/>
          <w:sz w:val="24"/>
        </w:rPr>
        <w:t>eak</w:t>
      </w:r>
      <w:r>
        <w:rPr>
          <w:rFonts w:ascii="Book Antiqua" w:hAnsi="Book Antiqua"/>
          <w:color w:val="000000"/>
          <w:sz w:val="24"/>
        </w:rPr>
        <w:t>age; Drainage; Lavage; Failure-to-rescue</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hAnsi="Book Antiqua"/>
          <w:b/>
          <w:bCs/>
          <w:color w:val="000000"/>
          <w:sz w:val="24"/>
        </w:rPr>
        <w:t>© The Author(s) 201</w:t>
      </w:r>
      <w:r w:rsidR="00BD4667">
        <w:rPr>
          <w:rFonts w:ascii="Book Antiqua" w:hAnsi="Book Antiqua" w:hint="eastAsia"/>
          <w:b/>
          <w:bCs/>
          <w:color w:val="000000"/>
          <w:sz w:val="24"/>
        </w:rPr>
        <w:t>9</w:t>
      </w:r>
      <w:r>
        <w:rPr>
          <w:rFonts w:ascii="Book Antiqua" w:hAnsi="Book Antiqua"/>
          <w:b/>
          <w:bCs/>
          <w:color w:val="000000"/>
          <w:sz w:val="24"/>
        </w:rPr>
        <w:t xml:space="preserve">. </w:t>
      </w:r>
      <w:r>
        <w:rPr>
          <w:rFonts w:ascii="Book Antiqua" w:hAnsi="Book Antiqua"/>
          <w:color w:val="000000"/>
          <w:sz w:val="24"/>
        </w:rPr>
        <w:t>Published by Baishideng Publishing Group Inc. All rights reserved.</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hAnsi="Book Antiqua"/>
          <w:b/>
          <w:bCs/>
          <w:color w:val="000000"/>
          <w:sz w:val="24"/>
        </w:rPr>
        <w:t xml:space="preserve">Core tip: </w:t>
      </w:r>
      <w:r>
        <w:rPr>
          <w:rFonts w:ascii="Book Antiqua" w:hAnsi="Book Antiqua"/>
          <w:color w:val="000000"/>
          <w:sz w:val="24"/>
        </w:rPr>
        <w:t>A novel abdominal negative pressure lavage-drainage system (ANPLDS) can effectively reduce the failure-to-rescue and abdominal bleeding rate after anastomotic leakage (AL). Our experience demonstrates that ANPLDS is a feasible management for AL after radical gastrectomy for gastric cancer.</w:t>
      </w:r>
    </w:p>
    <w:p w:rsidR="00BB07B2" w:rsidRDefault="00BB07B2">
      <w:pPr>
        <w:adjustRightInd w:val="0"/>
        <w:snapToGrid w:val="0"/>
        <w:spacing w:after="0" w:line="360" w:lineRule="auto"/>
        <w:rPr>
          <w:rFonts w:ascii="Book Antiqua" w:hAnsi="Book Antiqua"/>
          <w:color w:val="000000"/>
          <w:sz w:val="24"/>
        </w:rPr>
      </w:pPr>
    </w:p>
    <w:p w:rsidR="00E95EDB" w:rsidRDefault="00E95EDB">
      <w:pPr>
        <w:adjustRightInd w:val="0"/>
        <w:snapToGrid w:val="0"/>
        <w:spacing w:after="0" w:line="360" w:lineRule="auto"/>
        <w:outlineLvl w:val="0"/>
        <w:rPr>
          <w:rFonts w:ascii="Book Antiqua" w:hAnsi="Book Antiqua" w:hint="eastAsia"/>
          <w:color w:val="000000"/>
          <w:sz w:val="24"/>
        </w:rPr>
      </w:pPr>
      <w:r w:rsidRPr="00E95EDB">
        <w:rPr>
          <w:rFonts w:ascii="Book Antiqua" w:hAnsi="Book Antiqua"/>
          <w:b/>
          <w:color w:val="000000"/>
          <w:sz w:val="24"/>
        </w:rPr>
        <w:t>Citation:</w:t>
      </w:r>
      <w:r>
        <w:rPr>
          <w:rFonts w:ascii="Book Antiqua" w:hAnsi="Book Antiqua" w:hint="eastAsia"/>
          <w:color w:val="000000"/>
          <w:sz w:val="24"/>
        </w:rPr>
        <w:t xml:space="preserve"> </w:t>
      </w:r>
      <w:r w:rsidRPr="00E95EDB">
        <w:rPr>
          <w:rFonts w:ascii="Book Antiqua" w:hAnsi="Book Antiqua"/>
          <w:color w:val="000000"/>
          <w:sz w:val="24"/>
        </w:rPr>
        <w:t xml:space="preserve">Zheng ZF, Lu J, Zhang PY, Xu BB, Zheng CH, Li P, Xie JW, Wang JB, Lin JX, Chen QY, Huang CM. Novel abdominal negative pressure lavage-drainage system for anastomotic leakage after R0 resection for gastric cancer. </w:t>
      </w:r>
      <w:r w:rsidRPr="00E95EDB">
        <w:rPr>
          <w:rFonts w:ascii="Book Antiqua" w:hAnsi="Book Antiqua"/>
          <w:i/>
          <w:color w:val="000000"/>
          <w:sz w:val="24"/>
        </w:rPr>
        <w:t>World J Gastroenterol</w:t>
      </w:r>
      <w:r w:rsidRPr="00E95EDB">
        <w:rPr>
          <w:rFonts w:ascii="Book Antiqua" w:hAnsi="Book Antiqua"/>
          <w:color w:val="000000"/>
          <w:sz w:val="24"/>
        </w:rPr>
        <w:t xml:space="preserve"> 2019; 25(2): 258-268   </w:t>
      </w:r>
    </w:p>
    <w:p w:rsidR="00E95EDB" w:rsidRDefault="00E95EDB">
      <w:pPr>
        <w:adjustRightInd w:val="0"/>
        <w:snapToGrid w:val="0"/>
        <w:spacing w:after="0" w:line="360" w:lineRule="auto"/>
        <w:outlineLvl w:val="0"/>
        <w:rPr>
          <w:rFonts w:ascii="Book Antiqua" w:hAnsi="Book Antiqua" w:hint="eastAsia"/>
          <w:color w:val="000000"/>
          <w:sz w:val="24"/>
        </w:rPr>
      </w:pPr>
      <w:r w:rsidRPr="00E95EDB">
        <w:rPr>
          <w:rFonts w:ascii="Book Antiqua" w:hAnsi="Book Antiqua"/>
          <w:b/>
          <w:color w:val="000000"/>
          <w:sz w:val="24"/>
        </w:rPr>
        <w:t>URL:</w:t>
      </w:r>
      <w:r w:rsidRPr="00E95EDB">
        <w:rPr>
          <w:rFonts w:ascii="Book Antiqua" w:hAnsi="Book Antiqua"/>
          <w:color w:val="000000"/>
          <w:sz w:val="24"/>
        </w:rPr>
        <w:t xml:space="preserve"> https://www.wjgnet.com/1007-9327/full/v25/i2/258.htm  </w:t>
      </w:r>
    </w:p>
    <w:p w:rsidR="00BB07B2" w:rsidRDefault="00E95EDB">
      <w:pPr>
        <w:adjustRightInd w:val="0"/>
        <w:snapToGrid w:val="0"/>
        <w:spacing w:after="0" w:line="360" w:lineRule="auto"/>
        <w:outlineLvl w:val="0"/>
        <w:rPr>
          <w:rFonts w:ascii="Book Antiqua" w:hAnsi="Book Antiqua"/>
          <w:b/>
          <w:bCs/>
          <w:color w:val="000000"/>
          <w:sz w:val="24"/>
        </w:rPr>
      </w:pPr>
      <w:r w:rsidRPr="00E95EDB">
        <w:rPr>
          <w:rFonts w:ascii="Book Antiqua" w:hAnsi="Book Antiqua"/>
          <w:b/>
          <w:color w:val="000000"/>
          <w:sz w:val="24"/>
        </w:rPr>
        <w:t>DOI:</w:t>
      </w:r>
      <w:r w:rsidRPr="00E95EDB">
        <w:rPr>
          <w:rFonts w:ascii="Book Antiqua" w:hAnsi="Book Antiqua"/>
          <w:color w:val="000000"/>
          <w:sz w:val="24"/>
        </w:rPr>
        <w:t xml:space="preserve"> https://dx.doi.org/10.3748/wjg.v25.i2.258</w:t>
      </w:r>
      <w:r w:rsidR="00BB07B2">
        <w:rPr>
          <w:rFonts w:ascii="Book Antiqua" w:hAnsi="Book Antiqua"/>
          <w:b/>
          <w:bCs/>
          <w:color w:val="000000"/>
          <w:sz w:val="24"/>
        </w:rPr>
        <w:br w:type="page"/>
        <w:t>INTRODUCTION</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Improvements in surgical techniques and perioperative management have resulted in reduced postoperative mortality after radical gastrectomy (RG) for gastric cancer (GC). However, anastomotic leakage (AL) remains relatively common and represents a major cause of postoperative morbidity after RG for GC. The reported incidence of AL varies between 0% and 15.0%</w:t>
      </w:r>
      <w:r>
        <w:rPr>
          <w:rFonts w:ascii="Book Antiqua" w:eastAsia="Times New Roman" w:hAnsi="Book Antiqua"/>
          <w:color w:val="000000"/>
          <w:sz w:val="24"/>
          <w:vertAlign w:val="superscript"/>
        </w:rPr>
        <w:t>[1]</w:t>
      </w:r>
      <w:r>
        <w:rPr>
          <w:rFonts w:ascii="Book Antiqua" w:hAnsi="Book Antiqua"/>
          <w:color w:val="000000"/>
          <w:sz w:val="24"/>
        </w:rPr>
        <w:t>, and AL is associated with high mortality</w:t>
      </w:r>
      <w:r>
        <w:rPr>
          <w:rFonts w:ascii="Book Antiqua" w:eastAsia="Times New Roman" w:hAnsi="Book Antiqua"/>
          <w:color w:val="000000"/>
          <w:sz w:val="24"/>
          <w:vertAlign w:val="superscript"/>
        </w:rPr>
        <w:t>[2-4]</w:t>
      </w:r>
      <w:bookmarkStart w:id="26" w:name="OLE_LINK23"/>
      <w:r>
        <w:rPr>
          <w:rFonts w:ascii="Book Antiqua" w:hAnsi="Book Antiqua"/>
          <w:color w:val="000000"/>
          <w:sz w:val="24"/>
        </w:rPr>
        <w:t>.</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  For several decades, routine prophylactic placement of abdominal drains has been the standard procedure in abdominal surgery. However, since the introduction of the enhanced recovery after surgery (ERAS) program, routine drain placement after gastrectomy is not warranted anymore, since drains do not reduce postoperative complications after gastrectomy and prolong hospital stay and postoperative recovery</w:t>
      </w:r>
      <w:r>
        <w:rPr>
          <w:rFonts w:ascii="Book Antiqua" w:eastAsia="Times New Roman" w:hAnsi="Book Antiqua"/>
          <w:color w:val="000000"/>
          <w:sz w:val="24"/>
          <w:vertAlign w:val="superscript"/>
        </w:rPr>
        <w:t>[5-7]</w:t>
      </w:r>
      <w:r>
        <w:rPr>
          <w:rFonts w:ascii="Book Antiqua" w:hAnsi="Book Antiqua"/>
          <w:color w:val="000000"/>
          <w:sz w:val="24"/>
        </w:rPr>
        <w:t>. Despite these recommendations, prophylactic drainage of the abdominal cavity is still widely performed, because drains are believed to remove intraperitoneal fluids, which can be a source of infection, and drainage fluid might serve as an early warning sign of early complications like AL</w:t>
      </w:r>
      <w:r>
        <w:rPr>
          <w:rFonts w:ascii="Book Antiqua" w:eastAsia="Times New Roman" w:hAnsi="Book Antiqua"/>
          <w:color w:val="000000"/>
          <w:sz w:val="24"/>
          <w:vertAlign w:val="superscript"/>
        </w:rPr>
        <w:t>[7-10]</w:t>
      </w:r>
      <w:r>
        <w:rPr>
          <w:rFonts w:ascii="Book Antiqua" w:hAnsi="Book Antiqua"/>
          <w:color w:val="000000"/>
          <w:sz w:val="24"/>
        </w:rPr>
        <w:t>.</w:t>
      </w:r>
    </w:p>
    <w:bookmarkEnd w:id="26"/>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  In January 2014, a novel abdominal negative pressure lavage-drainage system (ANPLDS) was routinely used for patients with AL at our institution</w:t>
      </w:r>
      <w:r>
        <w:rPr>
          <w:rFonts w:ascii="Book Antiqua" w:hAnsi="Book Antiqua"/>
          <w:color w:val="000000"/>
          <w:sz w:val="24"/>
          <w:shd w:val="clear" w:color="auto" w:fill="FFFFFF"/>
        </w:rPr>
        <w:t>. We found that ANPLDS can effectively reduce the failure-to-rescue (FTR) and abdominal bleeding rate after AL, and it is a feasible management for AL. Therefore, in this report, we present our utilization of and experiences with ANPLDS for AL after RG for GC.</w:t>
      </w:r>
    </w:p>
    <w:p w:rsidR="00BB07B2" w:rsidRDefault="00BB07B2">
      <w:pPr>
        <w:adjustRightInd w:val="0"/>
        <w:snapToGrid w:val="0"/>
        <w:spacing w:after="0" w:line="360" w:lineRule="auto"/>
        <w:rPr>
          <w:rFonts w:ascii="Book Antiqua" w:hAnsi="Book Antiqua"/>
          <w:b/>
          <w:bCs/>
          <w:color w:val="000000"/>
          <w:sz w:val="24"/>
        </w:rPr>
      </w:pPr>
    </w:p>
    <w:p w:rsidR="00BB07B2" w:rsidRDefault="00BB07B2">
      <w:pPr>
        <w:adjustRightInd w:val="0"/>
        <w:snapToGrid w:val="0"/>
        <w:spacing w:after="0" w:line="360" w:lineRule="auto"/>
        <w:outlineLvl w:val="0"/>
        <w:rPr>
          <w:rFonts w:ascii="Book Antiqua" w:hAnsi="Book Antiqua"/>
          <w:b/>
          <w:bCs/>
          <w:color w:val="000000"/>
          <w:sz w:val="24"/>
        </w:rPr>
      </w:pPr>
      <w:r>
        <w:rPr>
          <w:rFonts w:ascii="Book Antiqua" w:hAnsi="Book Antiqua"/>
          <w:b/>
          <w:bCs/>
          <w:color w:val="000000"/>
          <w:sz w:val="24"/>
        </w:rPr>
        <w:t>MATERIALS AND METHODS</w:t>
      </w:r>
    </w:p>
    <w:p w:rsidR="00BB07B2" w:rsidRDefault="00BB07B2">
      <w:pPr>
        <w:adjustRightInd w:val="0"/>
        <w:snapToGrid w:val="0"/>
        <w:spacing w:after="0" w:line="360" w:lineRule="auto"/>
        <w:outlineLvl w:val="0"/>
        <w:rPr>
          <w:rFonts w:ascii="Book Antiqua" w:hAnsi="Book Antiqua"/>
          <w:b/>
          <w:bCs/>
          <w:i/>
          <w:color w:val="000000"/>
          <w:sz w:val="24"/>
        </w:rPr>
      </w:pPr>
      <w:bookmarkStart w:id="27" w:name="OLE_LINK348"/>
      <w:r>
        <w:rPr>
          <w:rFonts w:ascii="Book Antiqua" w:hAnsi="Book Antiqua"/>
          <w:b/>
          <w:bCs/>
          <w:i/>
          <w:color w:val="000000"/>
          <w:sz w:val="24"/>
        </w:rPr>
        <w:t>Study population</w:t>
      </w:r>
      <w:bookmarkEnd w:id="27"/>
    </w:p>
    <w:p w:rsidR="00BB07B2" w:rsidRDefault="00BB07B2">
      <w:pPr>
        <w:adjustRightInd w:val="0"/>
        <w:snapToGrid w:val="0"/>
        <w:spacing w:after="0" w:line="360" w:lineRule="auto"/>
        <w:outlineLvl w:val="0"/>
        <w:rPr>
          <w:rFonts w:ascii="Book Antiqua" w:hAnsi="Book Antiqua"/>
          <w:color w:val="000000"/>
          <w:sz w:val="24"/>
        </w:rPr>
      </w:pPr>
      <w:r>
        <w:rPr>
          <w:rFonts w:ascii="Book Antiqua" w:hAnsi="Book Antiqua"/>
          <w:color w:val="000000"/>
          <w:sz w:val="24"/>
        </w:rPr>
        <w:t xml:space="preserve">From a prospective database, clinical data of patients who underwent RG for primary gastric adenocarcinoma at Fujian Medical University Union Hospital (FMUUH) between June 2009 and December 2016 were identified. The case exclusion criteria eliminated the following from the study: distant metastasis, neoadjuvant chemotherapy, thoracoabdominal incision, and incomplete clinical and pathologic data. Finally, 4173 patients were included in this study. Laboratory blood test data were collected within 1 wk before surgery, including preoperative </w:t>
      </w:r>
      <w:bookmarkStart w:id="28" w:name="OLE_LINK349"/>
      <w:bookmarkStart w:id="29" w:name="OLE_LINK350"/>
      <w:r>
        <w:rPr>
          <w:rFonts w:ascii="Book Antiqua" w:hAnsi="Book Antiqua"/>
          <w:color w:val="000000"/>
          <w:sz w:val="24"/>
        </w:rPr>
        <w:t>hemoglobin</w:t>
      </w:r>
      <w:bookmarkEnd w:id="28"/>
      <w:bookmarkEnd w:id="29"/>
      <w:r>
        <w:rPr>
          <w:rFonts w:ascii="Book Antiqua" w:hAnsi="Book Antiqua"/>
          <w:color w:val="000000"/>
          <w:sz w:val="24"/>
        </w:rPr>
        <w:t xml:space="preserve"> (HB) and albumin (ALB) levels. The type of surgical resection and the extent of lymph node dissection were selected according to the Japanese GC treatment guidelines</w:t>
      </w:r>
      <w:r>
        <w:rPr>
          <w:rFonts w:ascii="Book Antiqua" w:eastAsia="Times New Roman" w:hAnsi="Book Antiqua"/>
          <w:color w:val="000000"/>
          <w:sz w:val="24"/>
          <w:vertAlign w:val="superscript"/>
        </w:rPr>
        <w:t>[11]</w:t>
      </w:r>
      <w:r>
        <w:rPr>
          <w:rFonts w:ascii="Book Antiqua" w:hAnsi="Book Antiqua"/>
          <w:color w:val="000000"/>
          <w:sz w:val="24"/>
        </w:rPr>
        <w:t>. The 8</w:t>
      </w:r>
      <w:r>
        <w:rPr>
          <w:rFonts w:ascii="Book Antiqua" w:hAnsi="Book Antiqua"/>
          <w:color w:val="000000"/>
          <w:sz w:val="24"/>
          <w:vertAlign w:val="superscript"/>
        </w:rPr>
        <w:t>th</w:t>
      </w:r>
      <w:r>
        <w:rPr>
          <w:rFonts w:ascii="Book Antiqua" w:hAnsi="Book Antiqua"/>
          <w:color w:val="000000"/>
          <w:sz w:val="24"/>
        </w:rPr>
        <w:t xml:space="preserve"> edition of the American Joint Committee on Cancer (AJCC) Staging Manual was used to determine the disease stage</w:t>
      </w:r>
      <w:r>
        <w:rPr>
          <w:rFonts w:ascii="Book Antiqua" w:eastAsia="Times New Roman" w:hAnsi="Book Antiqua"/>
          <w:color w:val="000000"/>
          <w:sz w:val="24"/>
          <w:vertAlign w:val="superscript"/>
        </w:rPr>
        <w:t>[12]</w:t>
      </w:r>
      <w:r>
        <w:rPr>
          <w:rFonts w:ascii="Book Antiqua" w:hAnsi="Book Antiqua"/>
          <w:color w:val="000000"/>
          <w:sz w:val="24"/>
        </w:rPr>
        <w:t>. This study was approved by the relevant institutional review board.</w:t>
      </w:r>
    </w:p>
    <w:p w:rsidR="00BB07B2" w:rsidRDefault="00BB07B2">
      <w:pPr>
        <w:adjustRightInd w:val="0"/>
        <w:snapToGrid w:val="0"/>
        <w:spacing w:after="0" w:line="360" w:lineRule="auto"/>
        <w:outlineLvl w:val="0"/>
        <w:rPr>
          <w:rFonts w:ascii="Book Antiqua" w:hAnsi="Book Antiqua"/>
          <w:b/>
          <w:bCs/>
          <w:i/>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Management of AL</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AL was defined as a complete intestinal wall defect at the anastomotic suture line that was confirmed </w:t>
      </w:r>
      <w:r>
        <w:rPr>
          <w:rFonts w:ascii="Book Antiqua" w:hAnsi="Book Antiqua"/>
          <w:i/>
          <w:color w:val="000000"/>
          <w:sz w:val="24"/>
        </w:rPr>
        <w:t>via</w:t>
      </w:r>
      <w:r>
        <w:rPr>
          <w:rFonts w:ascii="Book Antiqua" w:hAnsi="Book Antiqua"/>
          <w:color w:val="000000"/>
          <w:sz w:val="24"/>
        </w:rPr>
        <w:t xml:space="preserve"> clinical findings, radiologic contrast medium assessment, abdominal computed tomography, a positive color test, or laparoscopic examination</w:t>
      </w:r>
      <w:r>
        <w:rPr>
          <w:rFonts w:ascii="Book Antiqua" w:eastAsia="Times New Roman" w:hAnsi="Book Antiqua"/>
          <w:color w:val="000000"/>
          <w:sz w:val="24"/>
          <w:vertAlign w:val="superscript"/>
        </w:rPr>
        <w:t>[13,14]</w:t>
      </w:r>
      <w:r>
        <w:rPr>
          <w:rFonts w:ascii="Book Antiqua" w:hAnsi="Book Antiqua"/>
          <w:color w:val="000000"/>
          <w:sz w:val="24"/>
        </w:rPr>
        <w:t xml:space="preserve">. AL patients underwent reoperation or interventional therapy if AL led to additional severe complications such as abdominal bleeding, whereas other </w:t>
      </w:r>
      <w:bookmarkStart w:id="30" w:name="_Hlk508754495"/>
      <w:r>
        <w:rPr>
          <w:rFonts w:ascii="Book Antiqua" w:hAnsi="Book Antiqua"/>
          <w:color w:val="000000"/>
          <w:sz w:val="24"/>
        </w:rPr>
        <w:t>patients with AL underwent</w:t>
      </w:r>
      <w:bookmarkEnd w:id="30"/>
      <w:r>
        <w:rPr>
          <w:rFonts w:ascii="Book Antiqua" w:hAnsi="Book Antiqua"/>
          <w:color w:val="000000"/>
          <w:sz w:val="24"/>
        </w:rPr>
        <w:t xml:space="preserve"> endoscopy or conservative treatment, including </w:t>
      </w:r>
      <w:bookmarkStart w:id="31" w:name="OLE_LINK24"/>
      <w:r>
        <w:rPr>
          <w:rFonts w:ascii="Book Antiqua" w:hAnsi="Book Antiqua"/>
          <w:color w:val="000000"/>
          <w:sz w:val="24"/>
        </w:rPr>
        <w:t>fasting</w:t>
      </w:r>
      <w:bookmarkEnd w:id="31"/>
      <w:r>
        <w:rPr>
          <w:rFonts w:ascii="Book Antiqua" w:hAnsi="Book Antiqua"/>
          <w:color w:val="000000"/>
          <w:sz w:val="24"/>
        </w:rPr>
        <w:t xml:space="preserve">, gastrointestinal decompression, drainage, anti-infection therapy, and nutritional support, among other therapeutic measures. During the entire study period, two #28 </w:t>
      </w:r>
      <w:bookmarkStart w:id="32" w:name="OLE_LINK1"/>
      <w:r>
        <w:rPr>
          <w:rFonts w:ascii="Book Antiqua" w:hAnsi="Book Antiqua"/>
          <w:color w:val="000000"/>
          <w:sz w:val="24"/>
        </w:rPr>
        <w:t>Penrose drain</w:t>
      </w:r>
      <w:bookmarkEnd w:id="32"/>
      <w:r>
        <w:rPr>
          <w:rFonts w:ascii="Book Antiqua" w:hAnsi="Book Antiqua"/>
          <w:color w:val="000000"/>
          <w:sz w:val="24"/>
        </w:rPr>
        <w:t xml:space="preserve">s (Mingchuang Health, Suzhou, Jiangsu Province, China) were routinely placed in the surgical resection bed in patients at the end of the procedure, one at the anastomotic site (tube A) and the other under the left diaphragm (tube B) </w:t>
      </w:r>
      <w:r>
        <w:rPr>
          <w:rFonts w:ascii="Book Antiqua" w:hAnsi="Book Antiqua"/>
          <w:bCs/>
          <w:color w:val="000000"/>
          <w:sz w:val="24"/>
        </w:rPr>
        <w:t>(Figure 1)</w:t>
      </w:r>
      <w:r>
        <w:rPr>
          <w:rFonts w:ascii="Book Antiqua" w:hAnsi="Book Antiqua"/>
          <w:color w:val="000000"/>
          <w:sz w:val="24"/>
        </w:rPr>
        <w:t xml:space="preserve">. </w:t>
      </w:r>
      <w:bookmarkStart w:id="33" w:name="_Hlk508754528"/>
      <w:bookmarkStart w:id="34" w:name="_Hlk508748693"/>
      <w:r>
        <w:rPr>
          <w:rFonts w:ascii="Book Antiqua" w:hAnsi="Book Antiqua"/>
          <w:color w:val="000000"/>
          <w:sz w:val="24"/>
        </w:rPr>
        <w:t>A radiological contrast study was performed at the 4</w:t>
      </w:r>
      <w:r>
        <w:rPr>
          <w:rFonts w:ascii="Book Antiqua" w:hAnsi="Book Antiqua"/>
          <w:color w:val="000000"/>
          <w:sz w:val="24"/>
          <w:vertAlign w:val="superscript"/>
        </w:rPr>
        <w:t>th</w:t>
      </w:r>
      <w:r>
        <w:rPr>
          <w:rFonts w:ascii="Book Antiqua" w:hAnsi="Book Antiqua"/>
          <w:color w:val="000000"/>
          <w:sz w:val="24"/>
        </w:rPr>
        <w:t xml:space="preserve"> or 5</w:t>
      </w:r>
      <w:r>
        <w:rPr>
          <w:rFonts w:ascii="Book Antiqua" w:hAnsi="Book Antiqua"/>
          <w:color w:val="000000"/>
          <w:sz w:val="24"/>
          <w:vertAlign w:val="superscript"/>
        </w:rPr>
        <w:t>th</w:t>
      </w:r>
      <w:r>
        <w:rPr>
          <w:rFonts w:ascii="Book Antiqua" w:hAnsi="Book Antiqua"/>
          <w:color w:val="000000"/>
          <w:sz w:val="24"/>
        </w:rPr>
        <w:t xml:space="preserve"> postoperative day to assess anastomotic integrity. The drains were subsequently removed 1 or 2 d after starting a soft blended diet. At our institution, ANPLDS</w:t>
      </w:r>
      <w:bookmarkStart w:id="35" w:name="OLE_LINK33"/>
      <w:r>
        <w:rPr>
          <w:rFonts w:ascii="Book Antiqua" w:hAnsi="Book Antiqua"/>
          <w:color w:val="000000"/>
          <w:sz w:val="24"/>
        </w:rPr>
        <w:t xml:space="preserve"> therapy </w:t>
      </w:r>
      <w:bookmarkEnd w:id="35"/>
      <w:r>
        <w:rPr>
          <w:rFonts w:ascii="Book Antiqua" w:hAnsi="Book Antiqua"/>
          <w:bCs/>
          <w:color w:val="000000"/>
          <w:sz w:val="24"/>
        </w:rPr>
        <w:t>(Figure 2)</w:t>
      </w:r>
      <w:r>
        <w:rPr>
          <w:rFonts w:ascii="Book Antiqua" w:hAnsi="Book Antiqua"/>
          <w:color w:val="000000"/>
          <w:sz w:val="24"/>
        </w:rPr>
        <w:t xml:space="preserve"> has been a supported first-line treatment for the management of these nonreoperation patients since January 2014</w:t>
      </w:r>
      <w:bookmarkEnd w:id="33"/>
      <w:r>
        <w:rPr>
          <w:rFonts w:ascii="Book Antiqua" w:hAnsi="Book Antiqua"/>
          <w:color w:val="000000"/>
          <w:sz w:val="24"/>
        </w:rPr>
        <w:t xml:space="preserve">. </w:t>
      </w:r>
      <w:bookmarkEnd w:id="34"/>
      <w:r>
        <w:rPr>
          <w:rFonts w:ascii="Book Antiqua" w:hAnsi="Book Antiqua"/>
          <w:color w:val="000000"/>
          <w:sz w:val="24"/>
        </w:rPr>
        <w:t>This therapy was started on the day when AL was confirmed and continued until healing of the leak had been confirmed. The healing of the leak was confirmed by the radiological contrast study. For patients with AL, a radiological contrast study was performed once a week.</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Design of ANPLDS</w:t>
      </w:r>
    </w:p>
    <w:p w:rsidR="00BB07B2" w:rsidRDefault="00BB07B2">
      <w:pPr>
        <w:adjustRightInd w:val="0"/>
        <w:snapToGrid w:val="0"/>
        <w:spacing w:after="0" w:line="360" w:lineRule="auto"/>
        <w:outlineLvl w:val="0"/>
        <w:rPr>
          <w:rFonts w:ascii="Book Antiqua" w:hAnsi="Book Antiqua"/>
          <w:color w:val="000000"/>
          <w:sz w:val="24"/>
        </w:rPr>
      </w:pPr>
      <w:r>
        <w:rPr>
          <w:rFonts w:ascii="Book Antiqua" w:hAnsi="Book Antiqua"/>
          <w:color w:val="000000"/>
          <w:sz w:val="24"/>
        </w:rPr>
        <w:t>In the ward, a #6 sputum suction tube (tube C) was placed next to</w:t>
      </w:r>
      <w:bookmarkStart w:id="36" w:name="OLE_LINK29"/>
      <w:r>
        <w:rPr>
          <w:rFonts w:ascii="Book Antiqua" w:hAnsi="Book Antiqua"/>
          <w:color w:val="000000"/>
          <w:sz w:val="24"/>
        </w:rPr>
        <w:t xml:space="preserve"> the anastomotic stoma</w:t>
      </w:r>
      <w:bookmarkEnd w:id="36"/>
      <w:r>
        <w:rPr>
          <w:rFonts w:ascii="Book Antiqua" w:hAnsi="Book Antiqua"/>
          <w:color w:val="000000"/>
          <w:sz w:val="24"/>
        </w:rPr>
        <w:t xml:space="preserve"> from the inside of tube A if AL occurred (</w:t>
      </w:r>
      <w:r>
        <w:rPr>
          <w:rFonts w:ascii="Book Antiqua" w:hAnsi="Book Antiqua"/>
          <w:bCs/>
          <w:color w:val="000000"/>
          <w:sz w:val="24"/>
        </w:rPr>
        <w:t>Figure 1</w:t>
      </w:r>
      <w:r>
        <w:rPr>
          <w:rFonts w:ascii="Book Antiqua" w:hAnsi="Book Antiqua"/>
          <w:color w:val="000000"/>
          <w:sz w:val="24"/>
        </w:rPr>
        <w:t>). The inner end of the sputum suction tube was exposed to 0.3-0.5 cm inside tube A (</w:t>
      </w:r>
      <w:r>
        <w:rPr>
          <w:rFonts w:ascii="Book Antiqua" w:hAnsi="Book Antiqua"/>
          <w:bCs/>
          <w:color w:val="000000"/>
          <w:sz w:val="24"/>
        </w:rPr>
        <w:t>Figure 1</w:t>
      </w:r>
      <w:r>
        <w:rPr>
          <w:rFonts w:ascii="Book Antiqua" w:hAnsi="Book Antiqua"/>
          <w:color w:val="000000"/>
          <w:sz w:val="24"/>
        </w:rPr>
        <w:t xml:space="preserve">), and saline was used for continuous irrigation (150-200 mL/h, 3000 mL/d). The position of tube C was confirmed </w:t>
      </w:r>
      <w:r>
        <w:rPr>
          <w:rFonts w:ascii="Book Antiqua" w:hAnsi="Book Antiqua"/>
          <w:i/>
          <w:color w:val="000000"/>
          <w:sz w:val="24"/>
        </w:rPr>
        <w:t>via</w:t>
      </w:r>
      <w:r>
        <w:rPr>
          <w:rFonts w:ascii="Book Antiqua" w:hAnsi="Book Antiqua"/>
          <w:color w:val="000000"/>
          <w:sz w:val="24"/>
        </w:rPr>
        <w:t xml:space="preserve"> X- ray if necessary.</w:t>
      </w:r>
      <w:r>
        <w:rPr>
          <w:rFonts w:ascii="Book Antiqua" w:hAnsi="Book Antiqua"/>
          <w:b/>
          <w:bCs/>
          <w:i/>
          <w:color w:val="000000"/>
          <w:sz w:val="24"/>
        </w:rPr>
        <w:t xml:space="preserve"> </w:t>
      </w:r>
      <w:r>
        <w:rPr>
          <w:rFonts w:ascii="Book Antiqua" w:hAnsi="Book Antiqua"/>
          <w:color w:val="000000"/>
          <w:sz w:val="24"/>
        </w:rPr>
        <w:t>Tube A was attached to the drainage bottle (hole a), and a needle was maintained on the outside end of tube A as a blowhole (</w:t>
      </w:r>
      <w:r>
        <w:rPr>
          <w:rFonts w:ascii="Book Antiqua" w:hAnsi="Book Antiqua"/>
          <w:bCs/>
          <w:color w:val="000000"/>
          <w:sz w:val="24"/>
        </w:rPr>
        <w:t>Figure 1</w:t>
      </w:r>
      <w:r>
        <w:rPr>
          <w:rFonts w:ascii="Book Antiqua" w:hAnsi="Book Antiqua"/>
          <w:color w:val="000000"/>
          <w:sz w:val="24"/>
        </w:rPr>
        <w:t>).</w:t>
      </w:r>
      <w:r>
        <w:rPr>
          <w:rFonts w:ascii="Book Antiqua" w:hAnsi="Book Antiqua"/>
          <w:b/>
          <w:bCs/>
          <w:i/>
          <w:color w:val="000000"/>
          <w:sz w:val="24"/>
        </w:rPr>
        <w:t xml:space="preserve"> </w:t>
      </w:r>
      <w:r>
        <w:rPr>
          <w:rFonts w:ascii="Book Antiqua" w:hAnsi="Book Antiqua"/>
          <w:color w:val="000000"/>
          <w:sz w:val="24"/>
        </w:rPr>
        <w:t xml:space="preserve">A </w:t>
      </w:r>
      <w:bookmarkStart w:id="37" w:name="OLE_LINK32"/>
      <w:r>
        <w:rPr>
          <w:rFonts w:ascii="Book Antiqua" w:hAnsi="Book Antiqua"/>
          <w:color w:val="000000"/>
          <w:sz w:val="24"/>
        </w:rPr>
        <w:t xml:space="preserve">suction drain with a negative pressure </w:t>
      </w:r>
      <w:bookmarkEnd w:id="37"/>
      <w:r>
        <w:rPr>
          <w:rFonts w:ascii="Book Antiqua" w:hAnsi="Book Antiqua"/>
          <w:color w:val="000000"/>
          <w:sz w:val="24"/>
        </w:rPr>
        <w:t xml:space="preserve">of 10-20 mmHg was attached to hole b of the </w:t>
      </w:r>
      <w:bookmarkStart w:id="38" w:name="OLE_LINK30"/>
      <w:r>
        <w:rPr>
          <w:rFonts w:ascii="Book Antiqua" w:hAnsi="Book Antiqua"/>
          <w:color w:val="000000"/>
          <w:sz w:val="24"/>
        </w:rPr>
        <w:t>drainage</w:t>
      </w:r>
      <w:bookmarkEnd w:id="38"/>
      <w:r>
        <w:rPr>
          <w:rFonts w:ascii="Book Antiqua" w:hAnsi="Book Antiqua"/>
          <w:color w:val="000000"/>
          <w:sz w:val="24"/>
        </w:rPr>
        <w:t xml:space="preserve"> bottle (</w:t>
      </w:r>
      <w:r>
        <w:rPr>
          <w:rFonts w:ascii="Book Antiqua" w:hAnsi="Book Antiqua"/>
          <w:bCs/>
          <w:color w:val="000000"/>
          <w:sz w:val="24"/>
        </w:rPr>
        <w:t>Figure 1</w:t>
      </w:r>
      <w:r>
        <w:rPr>
          <w:rFonts w:ascii="Book Antiqua" w:hAnsi="Book Antiqua"/>
          <w:color w:val="000000"/>
          <w:sz w:val="24"/>
        </w:rPr>
        <w:t>).</w:t>
      </w:r>
    </w:p>
    <w:p w:rsidR="00BB07B2" w:rsidRDefault="00BB07B2">
      <w:pPr>
        <w:adjustRightInd w:val="0"/>
        <w:snapToGrid w:val="0"/>
        <w:spacing w:after="0" w:line="360" w:lineRule="auto"/>
        <w:outlineLvl w:val="0"/>
        <w:rPr>
          <w:rFonts w:ascii="Book Antiqua" w:hAnsi="Book Antiqua"/>
          <w:b/>
          <w:bCs/>
          <w:i/>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Outcome measures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The primary outcome of interest was FTR after AL. FTR was defined as mortality after the complication of interest</w:t>
      </w:r>
      <w:r>
        <w:rPr>
          <w:rFonts w:ascii="Book Antiqua" w:eastAsia="Times New Roman" w:hAnsi="Book Antiqua"/>
          <w:color w:val="000000"/>
          <w:sz w:val="24"/>
          <w:vertAlign w:val="superscript"/>
        </w:rPr>
        <w:t>[15,16]</w:t>
      </w:r>
      <w:r>
        <w:rPr>
          <w:rFonts w:ascii="Book Antiqua" w:hAnsi="Book Antiqua"/>
          <w:color w:val="000000"/>
          <w:sz w:val="24"/>
        </w:rPr>
        <w:t>. Other postoperative outcomes included other complications, reoperation, and length of stay. The secondary outcomes of interest were clinicopathological and perioperative factors for associations with AL and FTR after AL. In this study, malnourishment was defined by the presence of at least one of the following criteria according to the Guidelines of the European Society for Clinical Nutrition and Metabolism (</w:t>
      </w:r>
      <w:bookmarkStart w:id="39" w:name="OLE_LINK37"/>
      <w:r>
        <w:rPr>
          <w:rFonts w:ascii="Book Antiqua" w:hAnsi="Book Antiqua"/>
          <w:color w:val="000000"/>
          <w:sz w:val="24"/>
        </w:rPr>
        <w:t>ESPEN</w:t>
      </w:r>
      <w:bookmarkEnd w:id="39"/>
      <w:r>
        <w:rPr>
          <w:rFonts w:ascii="Book Antiqua" w:hAnsi="Book Antiqua"/>
          <w:color w:val="000000"/>
          <w:sz w:val="24"/>
        </w:rPr>
        <w:t>)</w:t>
      </w:r>
      <w:r>
        <w:rPr>
          <w:rFonts w:ascii="Book Antiqua" w:eastAsia="Times New Roman" w:hAnsi="Book Antiqua"/>
          <w:color w:val="000000"/>
          <w:sz w:val="24"/>
          <w:vertAlign w:val="superscript"/>
        </w:rPr>
        <w:t>[17]</w:t>
      </w:r>
      <w:r>
        <w:rPr>
          <w:rFonts w:ascii="Book Antiqua" w:hAnsi="Book Antiqua"/>
          <w:color w:val="000000"/>
          <w:sz w:val="24"/>
        </w:rPr>
        <w:t>: weight loss 10%-15% within 6 mo, body mass index (BMI) &lt; 18.5 kg/m</w:t>
      </w:r>
      <w:r>
        <w:rPr>
          <w:rFonts w:ascii="Book Antiqua" w:hAnsi="Book Antiqua"/>
          <w:color w:val="000000"/>
          <w:sz w:val="24"/>
          <w:vertAlign w:val="superscript"/>
        </w:rPr>
        <w:t>2</w:t>
      </w:r>
      <w:r>
        <w:rPr>
          <w:rFonts w:ascii="Book Antiqua" w:hAnsi="Book Antiqua"/>
          <w:color w:val="000000"/>
          <w:sz w:val="24"/>
        </w:rPr>
        <w:t>, Subjective Global Assessment Grade C, or serum albumin &lt; 30 g/L. However, patients who only met the criterion of BMI &lt; 18.5 kg/m</w:t>
      </w:r>
      <w:r>
        <w:rPr>
          <w:rFonts w:ascii="Book Antiqua" w:hAnsi="Book Antiqua"/>
          <w:color w:val="000000"/>
          <w:sz w:val="24"/>
          <w:vertAlign w:val="superscript"/>
        </w:rPr>
        <w:t>2</w:t>
      </w:r>
      <w:r>
        <w:rPr>
          <w:rFonts w:ascii="Book Antiqua" w:hAnsi="Book Antiqua"/>
          <w:color w:val="000000"/>
          <w:sz w:val="24"/>
        </w:rPr>
        <w:t xml:space="preserve"> were considered lean but well-nourished</w:t>
      </w:r>
      <w:r>
        <w:rPr>
          <w:rFonts w:ascii="Book Antiqua" w:eastAsia="Times New Roman" w:hAnsi="Book Antiqua"/>
          <w:color w:val="000000"/>
          <w:sz w:val="24"/>
          <w:vertAlign w:val="superscript"/>
        </w:rPr>
        <w:t>[17,18]</w:t>
      </w:r>
      <w:r>
        <w:rPr>
          <w:rFonts w:ascii="Book Antiqua" w:hAnsi="Book Antiqua"/>
          <w:color w:val="000000"/>
          <w:sz w:val="24"/>
        </w:rPr>
        <w:t>.</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Statistical analysis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Continuous data are reported as the mean ± standard deviation, and categorical data are presented as the proportion percentage and were analyzed by the Chi square test or Fisher’s exact test. To identify factors that predicted AL and the FTR rate after AL, variables significant in the univariable analysis (</w:t>
      </w:r>
      <w:r>
        <w:rPr>
          <w:rFonts w:ascii="Book Antiqua" w:hAnsi="Book Antiqua"/>
          <w:i/>
          <w:color w:val="000000"/>
          <w:sz w:val="24"/>
        </w:rPr>
        <w:t>P</w:t>
      </w:r>
      <w:r>
        <w:rPr>
          <w:rFonts w:ascii="Book Antiqua" w:hAnsi="Book Antiqua"/>
          <w:color w:val="000000"/>
          <w:sz w:val="24"/>
        </w:rPr>
        <w:t xml:space="preserve"> &lt; 0.05) were included in a multivariate analysis. A binary logistic regression with the forward entry method for the covariates was used to perform a multivariate analysis. All tests were two-sided, and a </w:t>
      </w:r>
      <w:r>
        <w:rPr>
          <w:rFonts w:ascii="Book Antiqua" w:hAnsi="Book Antiqua"/>
          <w:i/>
          <w:color w:val="000000"/>
          <w:sz w:val="24"/>
        </w:rPr>
        <w:t>P</w:t>
      </w:r>
      <w:r>
        <w:rPr>
          <w:rFonts w:ascii="Book Antiqua" w:hAnsi="Book Antiqua"/>
          <w:color w:val="000000"/>
          <w:sz w:val="24"/>
        </w:rPr>
        <w:t>-value lower than 0.05 was used to define statistical significance. Statistical analyses were performed using SPSS version 18.0 (SPSS Inc., Chicago, IL, United States).</w:t>
      </w:r>
    </w:p>
    <w:p w:rsidR="00BB07B2" w:rsidRDefault="00BB07B2">
      <w:pPr>
        <w:adjustRightInd w:val="0"/>
        <w:snapToGrid w:val="0"/>
        <w:spacing w:after="0" w:line="360" w:lineRule="auto"/>
        <w:ind w:firstLineChars="200" w:firstLine="480"/>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color w:val="000000"/>
          <w:sz w:val="24"/>
        </w:rPr>
      </w:pPr>
      <w:r>
        <w:rPr>
          <w:rFonts w:ascii="Book Antiqua" w:hAnsi="Book Antiqua"/>
          <w:b/>
          <w:bCs/>
          <w:color w:val="000000"/>
          <w:sz w:val="24"/>
        </w:rPr>
        <w:t>RESULTS</w:t>
      </w: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Population</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Between June 2009 and December 2016, a total of 83 patients experienced AL among the 4173 identified patients. Data are compared between 2009 and 2013, which was the period before implementation of the ANPLDS therapy (period 1); as well as between 2014 and 2016, which was after the implementation (period 2). The incidence of AL before and after implementation of the ANPLDS therapy was similar [1.7% (37/2219) </w:t>
      </w:r>
      <w:bookmarkStart w:id="40" w:name="OLE_LINK351"/>
      <w:r>
        <w:rPr>
          <w:rFonts w:ascii="Book Antiqua" w:hAnsi="Book Antiqua"/>
          <w:i/>
          <w:color w:val="000000"/>
          <w:sz w:val="24"/>
        </w:rPr>
        <w:t>vs</w:t>
      </w:r>
      <w:bookmarkEnd w:id="40"/>
      <w:r>
        <w:rPr>
          <w:rFonts w:ascii="Book Antiqua" w:hAnsi="Book Antiqua"/>
          <w:color w:val="000000"/>
          <w:sz w:val="24"/>
        </w:rPr>
        <w:t xml:space="preserve"> 2.3% (46/1958), </w:t>
      </w:r>
      <w:r>
        <w:rPr>
          <w:rFonts w:ascii="Book Antiqua" w:hAnsi="Book Antiqua"/>
          <w:i/>
          <w:color w:val="000000"/>
          <w:sz w:val="24"/>
        </w:rPr>
        <w:t>P</w:t>
      </w:r>
      <w:r>
        <w:rPr>
          <w:rFonts w:ascii="Book Antiqua" w:hAnsi="Book Antiqua"/>
          <w:color w:val="000000"/>
          <w:sz w:val="24"/>
        </w:rPr>
        <w:t xml:space="preserve"> = 0.121]. Clinicopathological, preoperative, and operative data are reported in </w:t>
      </w:r>
      <w:r>
        <w:rPr>
          <w:rFonts w:ascii="Book Antiqua" w:hAnsi="Book Antiqua"/>
          <w:bCs/>
          <w:color w:val="000000"/>
          <w:sz w:val="24"/>
        </w:rPr>
        <w:t>Table 1</w:t>
      </w:r>
      <w:r>
        <w:rPr>
          <w:rFonts w:ascii="Book Antiqua" w:hAnsi="Book Antiqua"/>
          <w:color w:val="000000"/>
          <w:sz w:val="24"/>
        </w:rPr>
        <w:t>.</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Postoperative morbidity and mortality</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AL occurring in 83 patients resulted in 7 deaths. The mean time of occurrence of AL was 5.6 d. The mean length of postoperative stay was 30.2 d. These AL required no invasive treatment in 58 (69.9%) patients</w:t>
      </w:r>
      <w:r w:rsidR="003451D7">
        <w:rPr>
          <w:rFonts w:ascii="Book Antiqua" w:hAnsi="Book Antiqua"/>
          <w:color w:val="000000"/>
          <w:sz w:val="24"/>
        </w:rPr>
        <w:t>, CT</w:t>
      </w:r>
      <w:r>
        <w:rPr>
          <w:rFonts w:ascii="Book Antiqua" w:hAnsi="Book Antiqua"/>
          <w:color w:val="000000"/>
          <w:sz w:val="24"/>
        </w:rPr>
        <w:t xml:space="preserve">-guided puncture drainage in 16 (19.3%) patients, endoscopy in 3 (3.6%) patients, and reoperation in 6 (7.2%) patients. Postoperative morbidity, mortality, and treatment are summarized in </w:t>
      </w:r>
      <w:r>
        <w:rPr>
          <w:rFonts w:ascii="Book Antiqua" w:hAnsi="Book Antiqua"/>
          <w:bCs/>
          <w:color w:val="000000"/>
          <w:sz w:val="24"/>
        </w:rPr>
        <w:t>Table 2</w:t>
      </w:r>
      <w:r>
        <w:rPr>
          <w:rFonts w:ascii="Book Antiqua" w:hAnsi="Book Antiqua"/>
          <w:color w:val="000000"/>
          <w:sz w:val="24"/>
        </w:rPr>
        <w:t xml:space="preserve">. Compared with period 1, the rates significantly decreased for FTR (16.2% </w:t>
      </w:r>
      <w:bookmarkStart w:id="41" w:name="OLE_LINK352"/>
      <w:bookmarkStart w:id="42" w:name="OLE_LINK353"/>
      <w:r>
        <w:rPr>
          <w:rFonts w:ascii="Book Antiqua" w:hAnsi="Book Antiqua"/>
          <w:i/>
          <w:color w:val="000000"/>
          <w:sz w:val="24"/>
        </w:rPr>
        <w:t>vs</w:t>
      </w:r>
      <w:bookmarkEnd w:id="41"/>
      <w:bookmarkEnd w:id="42"/>
      <w:r>
        <w:rPr>
          <w:rFonts w:ascii="Book Antiqua" w:hAnsi="Book Antiqua"/>
          <w:color w:val="000000"/>
          <w:sz w:val="24"/>
        </w:rPr>
        <w:t xml:space="preserve"> 2.2%, </w:t>
      </w:r>
      <w:r>
        <w:rPr>
          <w:rFonts w:ascii="Book Antiqua" w:hAnsi="Book Antiqua"/>
          <w:i/>
          <w:color w:val="000000"/>
          <w:sz w:val="24"/>
        </w:rPr>
        <w:t xml:space="preserve">P </w:t>
      </w:r>
      <w:r>
        <w:rPr>
          <w:rFonts w:ascii="Book Antiqua" w:hAnsi="Book Antiqua"/>
          <w:color w:val="000000"/>
          <w:sz w:val="24"/>
        </w:rPr>
        <w:t>= 0.041) and abdominal bleeding (18.9%</w:t>
      </w:r>
      <w:r>
        <w:rPr>
          <w:rFonts w:ascii="Book Antiqua" w:hAnsi="Book Antiqua"/>
          <w:i/>
          <w:color w:val="000000"/>
          <w:sz w:val="24"/>
        </w:rPr>
        <w:t xml:space="preserve"> vs</w:t>
      </w:r>
      <w:r>
        <w:rPr>
          <w:rFonts w:ascii="Book Antiqua" w:hAnsi="Book Antiqua"/>
          <w:color w:val="000000"/>
          <w:sz w:val="24"/>
        </w:rPr>
        <w:t xml:space="preserve"> 2.2%, </w:t>
      </w:r>
      <w:r>
        <w:rPr>
          <w:rFonts w:ascii="Book Antiqua" w:hAnsi="Book Antiqua"/>
          <w:i/>
          <w:color w:val="000000"/>
          <w:sz w:val="24"/>
        </w:rPr>
        <w:t xml:space="preserve">P </w:t>
      </w:r>
      <w:r>
        <w:rPr>
          <w:rFonts w:ascii="Book Antiqua" w:hAnsi="Book Antiqua"/>
          <w:color w:val="000000"/>
          <w:sz w:val="24"/>
        </w:rPr>
        <w:t xml:space="preserve">= 0.020) in period 2, but the time of AL occurrence and postoperative hospital stay for patients with AL were similar for the two periods (5.4 d </w:t>
      </w:r>
      <w:r>
        <w:rPr>
          <w:rFonts w:ascii="Book Antiqua" w:hAnsi="Book Antiqua"/>
          <w:i/>
          <w:color w:val="000000"/>
          <w:sz w:val="24"/>
        </w:rPr>
        <w:t>vs</w:t>
      </w:r>
      <w:r>
        <w:rPr>
          <w:rFonts w:ascii="Book Antiqua" w:hAnsi="Book Antiqua"/>
          <w:color w:val="000000"/>
          <w:sz w:val="24"/>
        </w:rPr>
        <w:t xml:space="preserve"> 5.7 d, </w:t>
      </w:r>
      <w:r>
        <w:rPr>
          <w:rFonts w:ascii="Book Antiqua" w:hAnsi="Book Antiqua"/>
          <w:i/>
          <w:color w:val="000000"/>
          <w:sz w:val="24"/>
        </w:rPr>
        <w:t xml:space="preserve">P </w:t>
      </w:r>
      <w:r>
        <w:rPr>
          <w:rFonts w:ascii="Book Antiqua" w:hAnsi="Book Antiqua"/>
          <w:color w:val="000000"/>
          <w:sz w:val="24"/>
        </w:rPr>
        <w:t xml:space="preserve">= 0.738; 31.6 d </w:t>
      </w:r>
      <w:r>
        <w:rPr>
          <w:rFonts w:ascii="Book Antiqua" w:hAnsi="Book Antiqua"/>
          <w:i/>
          <w:color w:val="000000"/>
          <w:sz w:val="24"/>
        </w:rPr>
        <w:t xml:space="preserve">vs </w:t>
      </w:r>
      <w:r>
        <w:rPr>
          <w:rFonts w:ascii="Book Antiqua" w:hAnsi="Book Antiqua"/>
          <w:color w:val="000000"/>
          <w:sz w:val="24"/>
        </w:rPr>
        <w:t xml:space="preserve">28.4 d, </w:t>
      </w:r>
      <w:r>
        <w:rPr>
          <w:rFonts w:ascii="Book Antiqua" w:hAnsi="Book Antiqua"/>
          <w:i/>
          <w:color w:val="000000"/>
          <w:sz w:val="24"/>
        </w:rPr>
        <w:t>P</w:t>
      </w:r>
      <w:r>
        <w:rPr>
          <w:rFonts w:ascii="Book Antiqua" w:hAnsi="Book Antiqua"/>
          <w:color w:val="000000"/>
          <w:sz w:val="24"/>
        </w:rPr>
        <w:t xml:space="preserve"> = 0.458, respectively). Moreover, the reoperation rate was also reduced in period 2, although this result was not statistically significant (13.5%</w:t>
      </w:r>
      <w:r>
        <w:rPr>
          <w:rFonts w:ascii="Book Antiqua" w:hAnsi="Book Antiqua"/>
          <w:i/>
          <w:color w:val="000000"/>
          <w:sz w:val="24"/>
        </w:rPr>
        <w:t xml:space="preserve"> vs</w:t>
      </w:r>
      <w:r>
        <w:rPr>
          <w:rFonts w:ascii="Book Antiqua" w:hAnsi="Book Antiqua"/>
          <w:color w:val="000000"/>
          <w:sz w:val="24"/>
        </w:rPr>
        <w:t xml:space="preserve"> 2.2%, </w:t>
      </w:r>
      <w:r>
        <w:rPr>
          <w:rFonts w:ascii="Book Antiqua" w:hAnsi="Book Antiqua"/>
          <w:i/>
          <w:color w:val="000000"/>
          <w:sz w:val="24"/>
        </w:rPr>
        <w:t>P</w:t>
      </w:r>
      <w:r>
        <w:rPr>
          <w:rFonts w:ascii="Book Antiqua" w:hAnsi="Book Antiqua"/>
          <w:color w:val="000000"/>
          <w:sz w:val="24"/>
        </w:rPr>
        <w:t xml:space="preserve"> = 0.084). </w:t>
      </w:r>
    </w:p>
    <w:p w:rsidR="00BB07B2" w:rsidRDefault="00BB07B2">
      <w:pPr>
        <w:adjustRightInd w:val="0"/>
        <w:snapToGrid w:val="0"/>
        <w:spacing w:after="0" w:line="360" w:lineRule="auto"/>
        <w:ind w:firstLine="240"/>
        <w:rPr>
          <w:rFonts w:ascii="Book Antiqua" w:hAnsi="Book Antiqua"/>
          <w:color w:val="000000"/>
          <w:sz w:val="24"/>
        </w:rPr>
      </w:pPr>
      <w:r>
        <w:rPr>
          <w:rFonts w:ascii="Book Antiqua" w:hAnsi="Book Antiqua"/>
          <w:color w:val="000000"/>
          <w:sz w:val="24"/>
        </w:rPr>
        <w:t xml:space="preserve">The univariate analysis showed that AL were most significantly associated with </w:t>
      </w:r>
      <w:bookmarkStart w:id="43" w:name="OLE_LINK41"/>
      <w:r>
        <w:rPr>
          <w:rFonts w:ascii="Book Antiqua" w:hAnsi="Book Antiqua"/>
          <w:color w:val="000000"/>
          <w:sz w:val="24"/>
        </w:rPr>
        <w:t>age ≥ 65, malnourishment</w:t>
      </w:r>
      <w:bookmarkEnd w:id="43"/>
      <w:r>
        <w:rPr>
          <w:rFonts w:ascii="Book Antiqua" w:hAnsi="Book Antiqua"/>
          <w:color w:val="000000"/>
          <w:sz w:val="24"/>
        </w:rPr>
        <w:t xml:space="preserve">, comorbidities, HB &lt; 90 g/dL, and total gastrectomy </w:t>
      </w:r>
      <w:r>
        <w:rPr>
          <w:rFonts w:ascii="Book Antiqua" w:hAnsi="Book Antiqua"/>
          <w:bCs/>
          <w:color w:val="000000"/>
          <w:sz w:val="24"/>
        </w:rPr>
        <w:t>(Supplemental Table 1)</w:t>
      </w:r>
      <w:r>
        <w:rPr>
          <w:rFonts w:ascii="Book Antiqua" w:hAnsi="Book Antiqua"/>
          <w:color w:val="000000"/>
          <w:sz w:val="24"/>
        </w:rPr>
        <w:t xml:space="preserve">. The multivariate analysis showed that the two factors independently associated with major complications were age ≥ 65 and malnourishment </w:t>
      </w:r>
      <w:r>
        <w:rPr>
          <w:rFonts w:ascii="Book Antiqua" w:hAnsi="Book Antiqua"/>
          <w:bCs/>
          <w:color w:val="000000"/>
          <w:sz w:val="24"/>
        </w:rPr>
        <w:t>(Table 3)</w:t>
      </w:r>
      <w:r>
        <w:rPr>
          <w:rFonts w:ascii="Book Antiqua" w:hAnsi="Book Antiqua"/>
          <w:color w:val="000000"/>
          <w:sz w:val="24"/>
        </w:rPr>
        <w:t>.</w:t>
      </w:r>
    </w:p>
    <w:p w:rsidR="00BB07B2" w:rsidRDefault="00BB07B2">
      <w:pPr>
        <w:adjustRightInd w:val="0"/>
        <w:snapToGrid w:val="0"/>
        <w:spacing w:after="0" w:line="360" w:lineRule="auto"/>
        <w:ind w:firstLine="240"/>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FTR</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The FTR rate after AL was 8.4% (7/83) over the whole study period. The univariate analysis showed that the only factor independently associated with the risk of FTR rate after AL was ANPLDS therapy [odds ratio (OR) = 0.103, 95%CI: 0.012-0.898, </w:t>
      </w:r>
      <w:r>
        <w:rPr>
          <w:rFonts w:ascii="Book Antiqua" w:hAnsi="Book Antiqua"/>
          <w:i/>
          <w:color w:val="000000"/>
          <w:sz w:val="24"/>
        </w:rPr>
        <w:t>P</w:t>
      </w:r>
      <w:r>
        <w:rPr>
          <w:rFonts w:ascii="Book Antiqua" w:hAnsi="Book Antiqua"/>
          <w:color w:val="000000"/>
          <w:sz w:val="24"/>
        </w:rPr>
        <w:t xml:space="preserve"> = 0.040] </w:t>
      </w:r>
      <w:r>
        <w:rPr>
          <w:rFonts w:ascii="Book Antiqua" w:hAnsi="Book Antiqua"/>
          <w:bCs/>
          <w:color w:val="000000"/>
          <w:sz w:val="24"/>
        </w:rPr>
        <w:t>(Table 4)</w:t>
      </w:r>
      <w:r>
        <w:rPr>
          <w:rFonts w:ascii="Book Antiqua" w:hAnsi="Book Antiqua"/>
          <w:color w:val="000000"/>
          <w:sz w:val="24"/>
        </w:rPr>
        <w:t xml:space="preserve">. The detailed clinical characteristics of the deaths with AL are presented in </w:t>
      </w:r>
      <w:r>
        <w:rPr>
          <w:rFonts w:ascii="Book Antiqua" w:hAnsi="Book Antiqua"/>
          <w:bCs/>
          <w:color w:val="000000"/>
          <w:sz w:val="24"/>
        </w:rPr>
        <w:t>Supplemental Table 2</w:t>
      </w:r>
      <w:r>
        <w:rPr>
          <w:rFonts w:ascii="Book Antiqua" w:hAnsi="Book Antiqua"/>
          <w:color w:val="000000"/>
          <w:sz w:val="24"/>
        </w:rPr>
        <w:t>.</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color w:val="000000"/>
          <w:sz w:val="24"/>
        </w:rPr>
      </w:pPr>
      <w:bookmarkStart w:id="44" w:name="_Hlk508749973"/>
      <w:r>
        <w:rPr>
          <w:rFonts w:ascii="Book Antiqua" w:hAnsi="Book Antiqua"/>
          <w:b/>
          <w:bCs/>
          <w:color w:val="000000"/>
          <w:sz w:val="24"/>
        </w:rPr>
        <w:t>DISCUSSION</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AL is a common serious complication after gastrectomy in patients with GC. It is also the most important cause of postoperative abdominal infection, abscess, and abdominal bleeding. Improper management of AL may also increase the risk of death, prolong the length of stay, increase the cost of hospitalization, and even affect long-term survival</w:t>
      </w:r>
      <w:r>
        <w:rPr>
          <w:rFonts w:ascii="Book Antiqua" w:eastAsia="Times New Roman" w:hAnsi="Book Antiqua"/>
          <w:color w:val="000000"/>
          <w:sz w:val="24"/>
          <w:vertAlign w:val="superscript"/>
        </w:rPr>
        <w:t>[3,4]</w:t>
      </w:r>
      <w:r>
        <w:rPr>
          <w:rFonts w:ascii="Book Antiqua" w:hAnsi="Book Antiqua"/>
          <w:color w:val="000000"/>
          <w:sz w:val="24"/>
        </w:rPr>
        <w:t>. Therefore, it is essential to identify the risk factors for AL and to take effective treatment measures.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  Several risk factors have been reported to be associated with AL, such as age, sex, smoking, malnutrition, longer operative time, tumor location, and tumor stage</w:t>
      </w:r>
      <w:r>
        <w:rPr>
          <w:rFonts w:ascii="Book Antiqua" w:eastAsia="Times New Roman" w:hAnsi="Book Antiqua"/>
          <w:color w:val="000000"/>
          <w:sz w:val="24"/>
          <w:vertAlign w:val="superscript"/>
        </w:rPr>
        <w:t>[19-22]</w:t>
      </w:r>
      <w:r>
        <w:rPr>
          <w:rFonts w:ascii="Book Antiqua" w:hAnsi="Book Antiqua"/>
          <w:color w:val="000000"/>
          <w:sz w:val="24"/>
        </w:rPr>
        <w:t>. In this study, we found that age ≥ 65 and malnutrition were independent risk factors for AL after RG, which is consistent with previous studies by our center</w:t>
      </w:r>
      <w:r>
        <w:rPr>
          <w:rFonts w:ascii="Book Antiqua" w:eastAsia="Times New Roman" w:hAnsi="Book Antiqua"/>
          <w:color w:val="000000"/>
          <w:sz w:val="24"/>
          <w:vertAlign w:val="superscript"/>
        </w:rPr>
        <w:t>[23]</w:t>
      </w:r>
      <w:r>
        <w:rPr>
          <w:rFonts w:ascii="Book Antiqua" w:hAnsi="Book Antiqua"/>
          <w:color w:val="000000"/>
          <w:sz w:val="24"/>
        </w:rPr>
        <w:t>. Elderly or malnourished patients often suffer from poor body conditions and insufficient blood and energy supply in the anastomotic area, which increases the risk of anastomotic fistula. Therefore, clinicians need to pay more attention to these patients and take appropriate measures to prevent postoperative AL, such as preoperative correction of malnutrition, intraoperative protection of perianastomotic tissue, perioperative supplemental oxygen administration</w:t>
      </w:r>
      <w:r>
        <w:rPr>
          <w:rFonts w:ascii="Book Antiqua" w:eastAsia="Times New Roman" w:hAnsi="Book Antiqua"/>
          <w:color w:val="000000"/>
          <w:sz w:val="24"/>
          <w:vertAlign w:val="superscript"/>
        </w:rPr>
        <w:t>[22]</w:t>
      </w:r>
      <w:r>
        <w:rPr>
          <w:rFonts w:ascii="Book Antiqua" w:hAnsi="Book Antiqua"/>
          <w:color w:val="000000"/>
          <w:sz w:val="24"/>
        </w:rPr>
        <w:t>, and appropriate use of antibiotics. Even with this, AL cannot be completely avoided. Therefore, it is the goal of clinical attention to select reasonable treatment methods and reduce the FTR rate in a situation of AL. However, the choice of treatment measures after the onset of AL is rarely reported.</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  When AL occurs, the most important treatment </w:t>
      </w:r>
      <w:bookmarkEnd w:id="44"/>
      <w:r>
        <w:rPr>
          <w:rFonts w:ascii="Book Antiqua" w:hAnsi="Book Antiqua"/>
          <w:color w:val="000000"/>
          <w:sz w:val="24"/>
        </w:rPr>
        <w:t xml:space="preserve">is effective and unobstructed drainage. However, traditional drainage techniques to treat AL depend on gravity and pressure in the cavity with AL. In addition, viscous secretions greatly affect drainage and may even clog the drainage tube. Moreover, secretions that fail to discharge in a timely manner can cause abdominal infection or abscess and may also corrode vascular stumps in </w:t>
      </w:r>
      <w:bookmarkStart w:id="45" w:name="_Hlk508755074"/>
      <w:r>
        <w:rPr>
          <w:rFonts w:ascii="Book Antiqua" w:hAnsi="Book Antiqua"/>
          <w:color w:val="000000"/>
          <w:sz w:val="24"/>
        </w:rPr>
        <w:t>the local area</w:t>
      </w:r>
      <w:bookmarkEnd w:id="45"/>
      <w:r>
        <w:rPr>
          <w:rFonts w:ascii="Book Antiqua" w:hAnsi="Book Antiqua"/>
          <w:color w:val="000000"/>
          <w:sz w:val="24"/>
        </w:rPr>
        <w:t>, resulting in anastomotic or abdominal bleeding.</w:t>
      </w:r>
    </w:p>
    <w:p w:rsidR="00BB07B2" w:rsidRDefault="00BB07B2">
      <w:pPr>
        <w:pStyle w:val="1"/>
        <w:widowControl/>
        <w:shd w:val="clear" w:color="auto" w:fill="FFFFFF"/>
        <w:adjustRightInd w:val="0"/>
        <w:snapToGrid w:val="0"/>
        <w:spacing w:beforeAutospacing="0" w:after="0" w:afterAutospacing="0" w:line="360" w:lineRule="auto"/>
        <w:jc w:val="both"/>
        <w:rPr>
          <w:rFonts w:ascii="Book Antiqua" w:hAnsi="Book Antiqua" w:hint="default"/>
          <w:b w:val="0"/>
          <w:color w:val="000000"/>
          <w:kern w:val="2"/>
          <w:sz w:val="24"/>
          <w:szCs w:val="24"/>
        </w:rPr>
      </w:pPr>
      <w:r>
        <w:rPr>
          <w:rFonts w:ascii="Book Antiqua" w:hAnsi="Book Antiqua" w:hint="default"/>
          <w:b w:val="0"/>
          <w:color w:val="000000"/>
          <w:kern w:val="2"/>
          <w:sz w:val="24"/>
          <w:szCs w:val="24"/>
        </w:rPr>
        <w:t xml:space="preserve">  For better drainage, negative pressure-flush is often used clinically. Lin </w:t>
      </w:r>
      <w:r>
        <w:rPr>
          <w:rFonts w:ascii="Book Antiqua" w:hAnsi="Book Antiqua" w:hint="default"/>
          <w:b w:val="0"/>
          <w:i/>
          <w:color w:val="000000"/>
          <w:kern w:val="2"/>
          <w:sz w:val="24"/>
          <w:szCs w:val="24"/>
        </w:rPr>
        <w:t>et al</w:t>
      </w:r>
      <w:r>
        <w:rPr>
          <w:rFonts w:ascii="Book Antiqua" w:eastAsia="Times New Roman" w:hAnsi="Book Antiqua" w:hint="default"/>
          <w:b w:val="0"/>
          <w:color w:val="000000"/>
          <w:sz w:val="24"/>
          <w:szCs w:val="24"/>
          <w:vertAlign w:val="superscript"/>
        </w:rPr>
        <w:t>[24]</w:t>
      </w:r>
      <w:r>
        <w:rPr>
          <w:rFonts w:ascii="Book Antiqua" w:hAnsi="Book Antiqua" w:hint="default"/>
          <w:b w:val="0"/>
          <w:color w:val="000000"/>
          <w:kern w:val="2"/>
          <w:sz w:val="24"/>
          <w:szCs w:val="24"/>
        </w:rPr>
        <w:t xml:space="preserve"> found that continuous negative pressure-flush through an extraperitoneal dual tube can increase the successful rate of conservative therapy, decrease the reoperation rate, and improve the quality of life when combined with the use of an intra-rectal dual tube. Jiang </w:t>
      </w:r>
      <w:r>
        <w:rPr>
          <w:rFonts w:ascii="Book Antiqua" w:hAnsi="Book Antiqua" w:hint="default"/>
          <w:b w:val="0"/>
          <w:i/>
          <w:color w:val="000000"/>
          <w:kern w:val="2"/>
          <w:sz w:val="24"/>
          <w:szCs w:val="24"/>
        </w:rPr>
        <w:t>et al</w:t>
      </w:r>
      <w:r>
        <w:rPr>
          <w:rFonts w:ascii="Book Antiqua" w:eastAsia="Times New Roman" w:hAnsi="Book Antiqua" w:hint="default"/>
          <w:b w:val="0"/>
          <w:color w:val="000000"/>
          <w:sz w:val="24"/>
          <w:szCs w:val="24"/>
          <w:vertAlign w:val="superscript"/>
        </w:rPr>
        <w:t>[25]</w:t>
      </w:r>
      <w:r>
        <w:rPr>
          <w:rFonts w:ascii="Book Antiqua" w:hAnsi="Book Antiqua" w:hint="default"/>
          <w:b w:val="0"/>
          <w:color w:val="000000"/>
          <w:kern w:val="2"/>
          <w:sz w:val="24"/>
          <w:szCs w:val="24"/>
        </w:rPr>
        <w:t xml:space="preserve"> achieved an early intervention for severe bile leakage and pancreatic fistula after pancreaticoduodenectomy using an enclosed passive infraversion lavage-drainage system (EPILDS). However, the application of negative pressure flush in the treatment of GC gastrointestinal fistula has not been reported. Therefore, we present our utilization of and experiences with ANPLDS for AL after RG for GC in this study. We believe that the key reasons for </w:t>
      </w:r>
      <w:bookmarkStart w:id="46" w:name="_Hlk508755245"/>
      <w:r>
        <w:rPr>
          <w:rFonts w:ascii="Book Antiqua" w:hAnsi="Book Antiqua" w:hint="default"/>
          <w:b w:val="0"/>
          <w:color w:val="000000"/>
          <w:kern w:val="2"/>
          <w:sz w:val="24"/>
          <w:szCs w:val="24"/>
        </w:rPr>
        <w:t xml:space="preserve">our success with ANPLDS therapy </w:t>
      </w:r>
      <w:bookmarkEnd w:id="46"/>
      <w:r>
        <w:rPr>
          <w:rFonts w:ascii="Book Antiqua" w:hAnsi="Book Antiqua" w:hint="default"/>
          <w:b w:val="0"/>
          <w:color w:val="000000"/>
          <w:kern w:val="2"/>
          <w:sz w:val="24"/>
          <w:szCs w:val="24"/>
        </w:rPr>
        <w:t xml:space="preserve">were the use of local continuous irrigation and negative pressure drainage. First, continuous irrigation dilutes secretions, which is beneficial for the discharge of secretions </w:t>
      </w:r>
      <w:r>
        <w:rPr>
          <w:rFonts w:ascii="Book Antiqua" w:hAnsi="Book Antiqua" w:hint="default"/>
          <w:b w:val="0"/>
          <w:i/>
          <w:color w:val="000000"/>
          <w:kern w:val="2"/>
          <w:sz w:val="24"/>
          <w:szCs w:val="24"/>
        </w:rPr>
        <w:t>via</w:t>
      </w:r>
      <w:r>
        <w:rPr>
          <w:rFonts w:ascii="Book Antiqua" w:hAnsi="Book Antiqua" w:hint="default"/>
          <w:b w:val="0"/>
          <w:color w:val="000000"/>
          <w:kern w:val="2"/>
          <w:sz w:val="24"/>
          <w:szCs w:val="24"/>
        </w:rPr>
        <w:t xml:space="preserve"> the drainage tube. Second, liquid is actively drawn off using negative pressure. The sustained air flow in the tubes makes the pressure in the tube lower than that in the area to be rinsed. Thus, secretions and necrotic tissue can be removed in a timely manner. Therefore, ANPLDS reduces local </w:t>
      </w:r>
      <w:bookmarkStart w:id="47" w:name="OLE_LINK28"/>
      <w:r>
        <w:rPr>
          <w:rFonts w:ascii="Book Antiqua" w:hAnsi="Book Antiqua" w:hint="default"/>
          <w:b w:val="0"/>
          <w:color w:val="000000"/>
          <w:kern w:val="2"/>
          <w:sz w:val="24"/>
          <w:szCs w:val="24"/>
        </w:rPr>
        <w:t>inflammation</w:t>
      </w:r>
      <w:bookmarkEnd w:id="47"/>
      <w:r>
        <w:rPr>
          <w:rFonts w:ascii="Book Antiqua" w:hAnsi="Book Antiqua" w:hint="default"/>
          <w:b w:val="0"/>
          <w:color w:val="000000"/>
          <w:kern w:val="2"/>
          <w:sz w:val="24"/>
          <w:szCs w:val="24"/>
        </w:rPr>
        <w:t xml:space="preserve"> and provides a good </w:t>
      </w:r>
      <w:bookmarkStart w:id="48" w:name="OLE_LINK27"/>
      <w:r>
        <w:rPr>
          <w:rFonts w:ascii="Book Antiqua" w:hAnsi="Book Antiqua" w:hint="default"/>
          <w:b w:val="0"/>
          <w:color w:val="000000"/>
          <w:kern w:val="2"/>
          <w:sz w:val="24"/>
          <w:szCs w:val="24"/>
        </w:rPr>
        <w:t>environment</w:t>
      </w:r>
      <w:bookmarkEnd w:id="48"/>
      <w:r>
        <w:rPr>
          <w:rFonts w:ascii="Book Antiqua" w:hAnsi="Book Antiqua" w:hint="default"/>
          <w:b w:val="0"/>
          <w:color w:val="000000"/>
          <w:kern w:val="2"/>
          <w:sz w:val="24"/>
          <w:szCs w:val="24"/>
        </w:rPr>
        <w:t xml:space="preserve"> for the closing and healing of an AL-inducing rupture.</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  FTR or death after major complications has gained acceptance as an interesting metric evaluation of quality after surgery</w:t>
      </w:r>
      <w:r>
        <w:rPr>
          <w:rFonts w:ascii="Book Antiqua" w:eastAsia="Times New Roman" w:hAnsi="Book Antiqua"/>
          <w:color w:val="000000"/>
          <w:sz w:val="24"/>
          <w:vertAlign w:val="superscript"/>
        </w:rPr>
        <w:t>[26,27]</w:t>
      </w:r>
      <w:r>
        <w:rPr>
          <w:rFonts w:ascii="Book Antiqua" w:hAnsi="Book Antiqua"/>
          <w:color w:val="000000"/>
          <w:sz w:val="24"/>
        </w:rPr>
        <w:t xml:space="preserve">. Although the definition of FTR varies widely in the previous literature, surgeons and researchers agree that the ability to rescue patients from severe postoperative complications, thus preventing mortality, is key to improve the quality and safety of surgery. We found that </w:t>
      </w:r>
      <w:bookmarkStart w:id="49" w:name="OLE_LINK44"/>
      <w:r>
        <w:rPr>
          <w:rFonts w:ascii="Book Antiqua" w:hAnsi="Book Antiqua"/>
          <w:color w:val="000000"/>
          <w:sz w:val="24"/>
        </w:rPr>
        <w:t>ANPLDS</w:t>
      </w:r>
      <w:bookmarkEnd w:id="49"/>
      <w:r>
        <w:rPr>
          <w:rFonts w:ascii="Book Antiqua" w:hAnsi="Book Antiqua"/>
          <w:color w:val="000000"/>
          <w:sz w:val="24"/>
        </w:rPr>
        <w:t xml:space="preserve"> therapy was the only independent protective factor associated with FTR after AL. Our simple ANPLDS reduced the FTR, primarily due to decreases in reoperation and in the occurrence of severe complications such as abdominal bleeding. It is reasonable to believe that the decline in FTR is a direct external effect of this new treatment, because the FTR rate decreased suddenly after the implementation of ANPLDS. Additionally, our surgical team had performed more than 1000 cases and had sufficiently mastered the RG procedure for GC before the study period. Therefore, the impact of increasing experience on mortality that is expected to be progressive can be ignored. Of course, other factors that cannot be specifically measured in this study, such as the improvement of ICU care or postoperative care practices, may have an impact on FTR, but it does not seem likely to significantly reduce mortality in the short term. Therefore, we believe that this system is a potentially advantageous alternative to the treatment of AL.</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  This study had several limitations. First, it is a single-center retrospective study that needs to be verified by a multi-center, large sample prospective trial. Second, due to the limited number of AL cases, we analyzed all reconstruction methods instead of focusing solely on one type of anastomosis, which may increase the heterogeneity of the patient’s material. However, we first reported the feasible management of AL and the successful implementation of this system at our institution may serve as a model for treating AL at other centers.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 xml:space="preserve">  In conclusion, ANPLDS can effectively reduce the FTR and abdominal bleeding rates after AL. Our experience demonstrates that ANPLDS is a feasible management for AL after RG for GC.</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color w:val="000000"/>
          <w:sz w:val="24"/>
        </w:rPr>
      </w:pPr>
      <w:r>
        <w:rPr>
          <w:rFonts w:ascii="Book Antiqua" w:hAnsi="Book Antiqua"/>
          <w:b/>
          <w:bCs/>
          <w:color w:val="000000"/>
          <w:sz w:val="24"/>
        </w:rPr>
        <w:t xml:space="preserve">ARTICLE HIGHLIGHTS </w:t>
      </w: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Research background</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Anastomotic leakage (AL) remains relatively common and represents a major cause of postoperative morbidity after radical gastrectomy (RG) for gastric cancer (GC). AL is associated with high mortality.</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Research motivation</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Prophylactic drainage of the abdominal cavity is widely performed. The optimal creation of drainage in AL patients after RG remains controversial.</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Research objectives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The novel abdominal negative pressure lavage-drainage system (ANPLDS) is a feasible management for AL. Therefore, we present our utilization of and experiences with ANPLDS for AL after RG for GC.</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Research methods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In January 2014, a novel ANPLDS was routinely used for patients with AL at our institution. AL rates and postoperative outcome were compared before and after the ANPLDS therapy.</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Research results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The novel ANPLDS can effectively reduce the failure-to-rescue and abdominal bleeding rates after AL.</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Research conclusions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Our experience demonstrates that the novel ANPLDS is a feasible management for AL after RG for GC.</w:t>
      </w:r>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outlineLvl w:val="0"/>
        <w:rPr>
          <w:rFonts w:ascii="Book Antiqua" w:hAnsi="Book Antiqua"/>
          <w:b/>
          <w:bCs/>
          <w:i/>
          <w:color w:val="000000"/>
          <w:sz w:val="24"/>
        </w:rPr>
      </w:pPr>
      <w:r>
        <w:rPr>
          <w:rFonts w:ascii="Book Antiqua" w:hAnsi="Book Antiqua"/>
          <w:b/>
          <w:bCs/>
          <w:i/>
          <w:color w:val="000000"/>
          <w:sz w:val="24"/>
        </w:rPr>
        <w:t>Research perspectives</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The successful implementation of the novel ANPLDS at our institution may serve as a model for treating AL after RG for GC at other centers.</w:t>
      </w:r>
    </w:p>
    <w:p w:rsidR="00BB07B2" w:rsidRDefault="00BB07B2">
      <w:pPr>
        <w:adjustRightInd w:val="0"/>
        <w:snapToGrid w:val="0"/>
        <w:spacing w:after="0" w:line="360" w:lineRule="auto"/>
        <w:outlineLvl w:val="0"/>
        <w:rPr>
          <w:rFonts w:ascii="Book Antiqua" w:hAnsi="Book Antiqua"/>
          <w:color w:val="000000"/>
          <w:sz w:val="24"/>
        </w:rPr>
      </w:pPr>
      <w:r>
        <w:rPr>
          <w:rFonts w:ascii="Book Antiqua" w:hAnsi="Book Antiqua"/>
          <w:color w:val="000000"/>
          <w:sz w:val="24"/>
        </w:rPr>
        <w:br w:type="page"/>
      </w:r>
      <w:r>
        <w:rPr>
          <w:rFonts w:ascii="Book Antiqua" w:eastAsia="Times New Roman" w:hAnsi="Book Antiqua"/>
          <w:b/>
          <w:color w:val="000000"/>
          <w:sz w:val="24"/>
        </w:rPr>
        <w:t>REFERENCES</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1 </w:t>
      </w:r>
      <w:r>
        <w:rPr>
          <w:rFonts w:ascii="Book Antiqua" w:eastAsia="Times New Roman" w:hAnsi="Book Antiqua"/>
          <w:b/>
          <w:bCs/>
          <w:color w:val="000000"/>
          <w:sz w:val="24"/>
        </w:rPr>
        <w:t>Inokuchi M</w:t>
      </w:r>
      <w:r>
        <w:rPr>
          <w:rFonts w:ascii="Book Antiqua" w:eastAsia="Times New Roman" w:hAnsi="Book Antiqua"/>
          <w:color w:val="000000"/>
          <w:sz w:val="24"/>
        </w:rPr>
        <w:t>, Otsuki S, Fujimori Y, Sato Y, Nakagawa M, Kojima K. Systematic review of anastomotic complications of esophagojejunostomy after laparoscopic total gastrectomy. </w:t>
      </w:r>
      <w:r>
        <w:rPr>
          <w:rFonts w:ascii="Book Antiqua" w:eastAsia="Times New Roman" w:hAnsi="Book Antiqua"/>
          <w:i/>
          <w:iCs/>
          <w:color w:val="000000"/>
          <w:sz w:val="24"/>
        </w:rPr>
        <w:t>World J Gastroenterol</w:t>
      </w:r>
      <w:r>
        <w:rPr>
          <w:rFonts w:ascii="Book Antiqua" w:eastAsia="Times New Roman" w:hAnsi="Book Antiqua"/>
          <w:color w:val="000000"/>
          <w:sz w:val="24"/>
        </w:rPr>
        <w:t> 2015; </w:t>
      </w:r>
      <w:r>
        <w:rPr>
          <w:rFonts w:ascii="Book Antiqua" w:eastAsia="Times New Roman" w:hAnsi="Book Antiqua"/>
          <w:b/>
          <w:bCs/>
          <w:color w:val="000000"/>
          <w:sz w:val="24"/>
        </w:rPr>
        <w:t>21</w:t>
      </w:r>
      <w:r>
        <w:rPr>
          <w:rFonts w:ascii="Book Antiqua" w:eastAsia="Times New Roman" w:hAnsi="Book Antiqua"/>
          <w:color w:val="000000"/>
          <w:sz w:val="24"/>
        </w:rPr>
        <w:t>: 9656-9665 [PMID: 26327774 DOI: 10.3748/wjg.v21.i32.9656]</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2 </w:t>
      </w:r>
      <w:r>
        <w:rPr>
          <w:rFonts w:ascii="Book Antiqua" w:eastAsia="Times New Roman" w:hAnsi="Book Antiqua"/>
          <w:b/>
          <w:bCs/>
          <w:color w:val="000000"/>
          <w:sz w:val="24"/>
        </w:rPr>
        <w:t>Meyer L</w:t>
      </w:r>
      <w:r>
        <w:rPr>
          <w:rFonts w:ascii="Book Antiqua" w:eastAsia="Times New Roman" w:hAnsi="Book Antiqua"/>
          <w:color w:val="000000"/>
          <w:sz w:val="24"/>
        </w:rPr>
        <w:t>, Meyer F, Dralle H, Ernst M, Lippert H, Gastinger I; East German Study Group for Quality Control in Operative Medicine and Regional Development in Surgery. Insufficiency risk of esophagojejunal anastomosis after total abdominal gastrectomy for gastric carcinoma. </w:t>
      </w:r>
      <w:r>
        <w:rPr>
          <w:rFonts w:ascii="Book Antiqua" w:eastAsia="Times New Roman" w:hAnsi="Book Antiqua"/>
          <w:i/>
          <w:iCs/>
          <w:color w:val="000000"/>
          <w:sz w:val="24"/>
        </w:rPr>
        <w:t>Langenbecks Arch Surg</w:t>
      </w:r>
      <w:r>
        <w:rPr>
          <w:rFonts w:ascii="Book Antiqua" w:eastAsia="Times New Roman" w:hAnsi="Book Antiqua"/>
          <w:color w:val="000000"/>
          <w:sz w:val="24"/>
        </w:rPr>
        <w:t> 2005; </w:t>
      </w:r>
      <w:r>
        <w:rPr>
          <w:rFonts w:ascii="Book Antiqua" w:eastAsia="Times New Roman" w:hAnsi="Book Antiqua"/>
          <w:b/>
          <w:bCs/>
          <w:color w:val="000000"/>
          <w:sz w:val="24"/>
        </w:rPr>
        <w:t>390</w:t>
      </w:r>
      <w:r>
        <w:rPr>
          <w:rFonts w:ascii="Book Antiqua" w:eastAsia="Times New Roman" w:hAnsi="Book Antiqua"/>
          <w:color w:val="000000"/>
          <w:sz w:val="24"/>
        </w:rPr>
        <w:t>: 510-516 [PMID: 16086189 DOI: 10.1007/s00423-005-0575-2]</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3 </w:t>
      </w:r>
      <w:r>
        <w:rPr>
          <w:rFonts w:ascii="Book Antiqua" w:eastAsia="Times New Roman" w:hAnsi="Book Antiqua"/>
          <w:b/>
          <w:bCs/>
          <w:color w:val="000000"/>
          <w:sz w:val="24"/>
        </w:rPr>
        <w:t>Ichikawa D</w:t>
      </w:r>
      <w:r>
        <w:rPr>
          <w:rFonts w:ascii="Book Antiqua" w:eastAsia="Times New Roman" w:hAnsi="Book Antiqua"/>
          <w:color w:val="000000"/>
          <w:sz w:val="24"/>
        </w:rPr>
        <w:t>, Kurioka H, Yamaguchi T, Koike H, Okamoto K, Otsuji E, Shirono K, Shioaki Y, Ikeda E, Mutoh F, Yamagishi H. Postoperative complications following gastrectomy for gastric cancer during the last decade. </w:t>
      </w:r>
      <w:r>
        <w:rPr>
          <w:rFonts w:ascii="Book Antiqua" w:eastAsia="Times New Roman" w:hAnsi="Book Antiqua"/>
          <w:i/>
          <w:iCs/>
          <w:color w:val="000000"/>
          <w:sz w:val="24"/>
        </w:rPr>
        <w:t>Hepatogastroenterology</w:t>
      </w:r>
      <w:r>
        <w:rPr>
          <w:rFonts w:ascii="Book Antiqua" w:eastAsia="Times New Roman" w:hAnsi="Book Antiqua"/>
          <w:color w:val="000000"/>
          <w:sz w:val="24"/>
        </w:rPr>
        <w:t> 2004; </w:t>
      </w:r>
      <w:r>
        <w:rPr>
          <w:rFonts w:ascii="Book Antiqua" w:eastAsia="Times New Roman" w:hAnsi="Book Antiqua"/>
          <w:b/>
          <w:bCs/>
          <w:color w:val="000000"/>
          <w:sz w:val="24"/>
        </w:rPr>
        <w:t>51</w:t>
      </w:r>
      <w:r>
        <w:rPr>
          <w:rFonts w:ascii="Book Antiqua" w:eastAsia="Times New Roman" w:hAnsi="Book Antiqua"/>
          <w:color w:val="000000"/>
          <w:sz w:val="24"/>
        </w:rPr>
        <w:t>: 613-617 [PMID: 15086217]</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4 </w:t>
      </w:r>
      <w:r>
        <w:rPr>
          <w:rFonts w:ascii="Book Antiqua" w:eastAsia="Times New Roman" w:hAnsi="Book Antiqua"/>
          <w:b/>
          <w:bCs/>
          <w:color w:val="000000"/>
          <w:sz w:val="24"/>
        </w:rPr>
        <w:t>Lang H</w:t>
      </w:r>
      <w:r>
        <w:rPr>
          <w:rFonts w:ascii="Book Antiqua" w:eastAsia="Times New Roman" w:hAnsi="Book Antiqua"/>
          <w:color w:val="000000"/>
          <w:sz w:val="24"/>
        </w:rPr>
        <w:t>, Piso P, Stukenborg C, Raab R, Jähne J. Management and results of proximal anastomotic leaks in a series of 1114 total gastrectomies for gastric carcinoma. </w:t>
      </w:r>
      <w:r>
        <w:rPr>
          <w:rFonts w:ascii="Book Antiqua" w:eastAsia="Times New Roman" w:hAnsi="Book Antiqua"/>
          <w:i/>
          <w:iCs/>
          <w:color w:val="000000"/>
          <w:sz w:val="24"/>
        </w:rPr>
        <w:t>Eur J Surg Oncol</w:t>
      </w:r>
      <w:r>
        <w:rPr>
          <w:rFonts w:ascii="Book Antiqua" w:eastAsia="Times New Roman" w:hAnsi="Book Antiqua"/>
          <w:color w:val="000000"/>
          <w:sz w:val="24"/>
        </w:rPr>
        <w:t> 2000; </w:t>
      </w:r>
      <w:r>
        <w:rPr>
          <w:rFonts w:ascii="Book Antiqua" w:eastAsia="Times New Roman" w:hAnsi="Book Antiqua"/>
          <w:b/>
          <w:bCs/>
          <w:color w:val="000000"/>
          <w:sz w:val="24"/>
        </w:rPr>
        <w:t>26</w:t>
      </w:r>
      <w:r>
        <w:rPr>
          <w:rFonts w:ascii="Book Antiqua" w:eastAsia="Times New Roman" w:hAnsi="Book Antiqua"/>
          <w:color w:val="000000"/>
          <w:sz w:val="24"/>
        </w:rPr>
        <w:t>: 168-171 [PMID: 10744938 DOI: 10.1053/ejso.1999.0764]</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5 </w:t>
      </w:r>
      <w:r>
        <w:rPr>
          <w:rFonts w:ascii="Book Antiqua" w:eastAsia="Times New Roman" w:hAnsi="Book Antiqua"/>
          <w:b/>
          <w:bCs/>
          <w:color w:val="000000"/>
          <w:sz w:val="24"/>
        </w:rPr>
        <w:t>Wang Z</w:t>
      </w:r>
      <w:r>
        <w:rPr>
          <w:rFonts w:ascii="Book Antiqua" w:eastAsia="Times New Roman" w:hAnsi="Book Antiqua"/>
          <w:color w:val="000000"/>
          <w:sz w:val="24"/>
        </w:rPr>
        <w:t>, Chen J, Su K, Dong Z. Abdominal drainage versus no drainage post-gastrectomy for gastric cancer. </w:t>
      </w:r>
      <w:r>
        <w:rPr>
          <w:rFonts w:ascii="Book Antiqua" w:eastAsia="Times New Roman" w:hAnsi="Book Antiqua"/>
          <w:i/>
          <w:iCs/>
          <w:color w:val="000000"/>
          <w:sz w:val="24"/>
        </w:rPr>
        <w:t>Cochrane Database Syst Rev</w:t>
      </w:r>
      <w:r>
        <w:rPr>
          <w:rFonts w:ascii="Book Antiqua" w:eastAsia="Times New Roman" w:hAnsi="Book Antiqua"/>
          <w:color w:val="000000"/>
          <w:sz w:val="24"/>
        </w:rPr>
        <w:t> 2015; : CD008788 [PMID: 25961741 DOI: 10.1002/14651858.CD008788.pub3]</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6 </w:t>
      </w:r>
      <w:r>
        <w:rPr>
          <w:rFonts w:ascii="Book Antiqua" w:eastAsia="Times New Roman" w:hAnsi="Book Antiqua"/>
          <w:b/>
          <w:bCs/>
          <w:color w:val="000000"/>
          <w:sz w:val="24"/>
        </w:rPr>
        <w:t>Kim J</w:t>
      </w:r>
      <w:r>
        <w:rPr>
          <w:rFonts w:ascii="Book Antiqua" w:eastAsia="Times New Roman" w:hAnsi="Book Antiqua"/>
          <w:color w:val="000000"/>
          <w:sz w:val="24"/>
        </w:rPr>
        <w:t>, Lee J, Hyung WJ, Cheong JH, Chen J, Choi SH, Noh SH. Gastric cancer surgery without drains: a prospective randomized trial. </w:t>
      </w:r>
      <w:r>
        <w:rPr>
          <w:rFonts w:ascii="Book Antiqua" w:eastAsia="Times New Roman" w:hAnsi="Book Antiqua"/>
          <w:i/>
          <w:iCs/>
          <w:color w:val="000000"/>
          <w:sz w:val="24"/>
        </w:rPr>
        <w:t>J Gastrointest Surg</w:t>
      </w:r>
      <w:r>
        <w:rPr>
          <w:rFonts w:ascii="Book Antiqua" w:eastAsia="Times New Roman" w:hAnsi="Book Antiqua"/>
          <w:color w:val="000000"/>
          <w:sz w:val="24"/>
        </w:rPr>
        <w:t> 2004; </w:t>
      </w:r>
      <w:r>
        <w:rPr>
          <w:rFonts w:ascii="Book Antiqua" w:eastAsia="Times New Roman" w:hAnsi="Book Antiqua"/>
          <w:b/>
          <w:bCs/>
          <w:color w:val="000000"/>
          <w:sz w:val="24"/>
        </w:rPr>
        <w:t>8</w:t>
      </w:r>
      <w:r>
        <w:rPr>
          <w:rFonts w:ascii="Book Antiqua" w:eastAsia="Times New Roman" w:hAnsi="Book Antiqua"/>
          <w:color w:val="000000"/>
          <w:sz w:val="24"/>
        </w:rPr>
        <w:t>: 727-732 [PMID: 15358335 DOI: 10.1016/j.gassur.2004.05.018]</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7 </w:t>
      </w:r>
      <w:r>
        <w:rPr>
          <w:rFonts w:ascii="Book Antiqua" w:eastAsia="Times New Roman" w:hAnsi="Book Antiqua"/>
          <w:b/>
          <w:bCs/>
          <w:color w:val="000000"/>
          <w:sz w:val="24"/>
        </w:rPr>
        <w:t>Lee J</w:t>
      </w:r>
      <w:r>
        <w:rPr>
          <w:rFonts w:ascii="Book Antiqua" w:eastAsia="Times New Roman" w:hAnsi="Book Antiqua"/>
          <w:color w:val="000000"/>
          <w:sz w:val="24"/>
        </w:rPr>
        <w:t>, Choi YY, An JY, Seo SH, Kim DW, Seo YB, Nakagawa M, Li S, Cheong JH, Hyung WJ, Noh SH. Do All Patients Require Prophylactic Drainage After Gastrectomy for Gastric Cancer? The Experience of a High-Volume Center. </w:t>
      </w:r>
      <w:r>
        <w:rPr>
          <w:rFonts w:ascii="Book Antiqua" w:eastAsia="Times New Roman" w:hAnsi="Book Antiqua"/>
          <w:i/>
          <w:iCs/>
          <w:color w:val="000000"/>
          <w:sz w:val="24"/>
        </w:rPr>
        <w:t>Ann Surg Oncol</w:t>
      </w:r>
      <w:r>
        <w:rPr>
          <w:rFonts w:ascii="Book Antiqua" w:eastAsia="Times New Roman" w:hAnsi="Book Antiqua"/>
          <w:color w:val="000000"/>
          <w:sz w:val="24"/>
        </w:rPr>
        <w:t> 2015; </w:t>
      </w:r>
      <w:r>
        <w:rPr>
          <w:rFonts w:ascii="Book Antiqua" w:eastAsia="Times New Roman" w:hAnsi="Book Antiqua"/>
          <w:b/>
          <w:bCs/>
          <w:color w:val="000000"/>
          <w:sz w:val="24"/>
        </w:rPr>
        <w:t>22</w:t>
      </w:r>
      <w:r>
        <w:rPr>
          <w:rFonts w:ascii="Book Antiqua" w:eastAsia="Times New Roman" w:hAnsi="Book Antiqua"/>
          <w:color w:val="000000"/>
          <w:sz w:val="24"/>
        </w:rPr>
        <w:t>: 3929-3937 [PMID: 25845430 DOI: 10.1245/s10434-015-4521-4]</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8 </w:t>
      </w:r>
      <w:r>
        <w:rPr>
          <w:rFonts w:ascii="Book Antiqua" w:eastAsia="Times New Roman" w:hAnsi="Book Antiqua"/>
          <w:b/>
          <w:bCs/>
          <w:color w:val="000000"/>
          <w:sz w:val="24"/>
        </w:rPr>
        <w:t>Shrikhande SV</w:t>
      </w:r>
      <w:r>
        <w:rPr>
          <w:rFonts w:ascii="Book Antiqua" w:eastAsia="Times New Roman" w:hAnsi="Book Antiqua"/>
          <w:color w:val="000000"/>
          <w:sz w:val="24"/>
        </w:rPr>
        <w:t>, Barreto SG, Shetty G, Suradkar K, Bodhankar YD, Shah SB, Goel M. Post-operative abdominal drainage following major upper gastrointestinal surgery: single drain versus two drains. </w:t>
      </w:r>
      <w:r>
        <w:rPr>
          <w:rFonts w:ascii="Book Antiqua" w:eastAsia="Times New Roman" w:hAnsi="Book Antiqua"/>
          <w:i/>
          <w:iCs/>
          <w:color w:val="000000"/>
          <w:sz w:val="24"/>
        </w:rPr>
        <w:t>J Cancer Res Ther</w:t>
      </w:r>
      <w:r>
        <w:rPr>
          <w:rFonts w:ascii="Book Antiqua" w:eastAsia="Times New Roman" w:hAnsi="Book Antiqua"/>
          <w:color w:val="000000"/>
          <w:sz w:val="24"/>
        </w:rPr>
        <w:t> 2013; </w:t>
      </w:r>
      <w:r>
        <w:rPr>
          <w:rFonts w:ascii="Book Antiqua" w:eastAsia="Times New Roman" w:hAnsi="Book Antiqua"/>
          <w:b/>
          <w:bCs/>
          <w:color w:val="000000"/>
          <w:sz w:val="24"/>
        </w:rPr>
        <w:t>9</w:t>
      </w:r>
      <w:r>
        <w:rPr>
          <w:rFonts w:ascii="Book Antiqua" w:eastAsia="Times New Roman" w:hAnsi="Book Antiqua"/>
          <w:color w:val="000000"/>
          <w:sz w:val="24"/>
        </w:rPr>
        <w:t>: 267-271 [PMID: 23771371 DOI: 10.4103/0973-1482.113380]</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9 </w:t>
      </w:r>
      <w:r>
        <w:rPr>
          <w:rFonts w:ascii="Book Antiqua" w:eastAsia="Times New Roman" w:hAnsi="Book Antiqua"/>
          <w:b/>
          <w:bCs/>
          <w:color w:val="000000"/>
          <w:sz w:val="24"/>
        </w:rPr>
        <w:t>Liu HP</w:t>
      </w:r>
      <w:r>
        <w:rPr>
          <w:rFonts w:ascii="Book Antiqua" w:eastAsia="Times New Roman" w:hAnsi="Book Antiqua"/>
          <w:color w:val="000000"/>
          <w:sz w:val="24"/>
        </w:rPr>
        <w:t>, Zhang YC, Zhang YL, Yin LN, Wang J. Drain versus no-drain after gastrectomy for patients with advanced gastric cancer: systematic review and meta-analysis. </w:t>
      </w:r>
      <w:r>
        <w:rPr>
          <w:rFonts w:ascii="Book Antiqua" w:eastAsia="Times New Roman" w:hAnsi="Book Antiqua"/>
          <w:i/>
          <w:iCs/>
          <w:color w:val="000000"/>
          <w:sz w:val="24"/>
        </w:rPr>
        <w:t>Dig Surg</w:t>
      </w:r>
      <w:r>
        <w:rPr>
          <w:rFonts w:ascii="Book Antiqua" w:eastAsia="Times New Roman" w:hAnsi="Book Antiqua"/>
          <w:color w:val="000000"/>
          <w:sz w:val="24"/>
        </w:rPr>
        <w:t> 2011; </w:t>
      </w:r>
      <w:r>
        <w:rPr>
          <w:rFonts w:ascii="Book Antiqua" w:eastAsia="Times New Roman" w:hAnsi="Book Antiqua"/>
          <w:b/>
          <w:bCs/>
          <w:color w:val="000000"/>
          <w:sz w:val="24"/>
        </w:rPr>
        <w:t>28</w:t>
      </w:r>
      <w:r>
        <w:rPr>
          <w:rFonts w:ascii="Book Antiqua" w:eastAsia="Times New Roman" w:hAnsi="Book Antiqua"/>
          <w:color w:val="000000"/>
          <w:sz w:val="24"/>
        </w:rPr>
        <w:t>: 178-189 [PMID: 21540606 DOI: 10.1159/000323954]</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10 </w:t>
      </w:r>
      <w:r>
        <w:rPr>
          <w:rFonts w:ascii="Book Antiqua" w:eastAsia="Times New Roman" w:hAnsi="Book Antiqua"/>
          <w:b/>
          <w:bCs/>
          <w:color w:val="000000"/>
          <w:sz w:val="24"/>
        </w:rPr>
        <w:t>Petrowsky H</w:t>
      </w:r>
      <w:r>
        <w:rPr>
          <w:rFonts w:ascii="Book Antiqua" w:eastAsia="Times New Roman" w:hAnsi="Book Antiqua"/>
          <w:color w:val="000000"/>
          <w:sz w:val="24"/>
        </w:rPr>
        <w:t>, Demartines N, Rousson V, Clavien PA. Evidence-based value of prophylactic drainage in gastrointestinal surgery: a systematic review and meta-analyses. </w:t>
      </w:r>
      <w:r>
        <w:rPr>
          <w:rFonts w:ascii="Book Antiqua" w:eastAsia="Times New Roman" w:hAnsi="Book Antiqua"/>
          <w:i/>
          <w:iCs/>
          <w:color w:val="000000"/>
          <w:sz w:val="24"/>
        </w:rPr>
        <w:t>Ann Surg</w:t>
      </w:r>
      <w:r>
        <w:rPr>
          <w:rFonts w:ascii="Book Antiqua" w:eastAsia="Times New Roman" w:hAnsi="Book Antiqua"/>
          <w:color w:val="000000"/>
          <w:sz w:val="24"/>
        </w:rPr>
        <w:t> 2004; </w:t>
      </w:r>
      <w:r>
        <w:rPr>
          <w:rFonts w:ascii="Book Antiqua" w:eastAsia="Times New Roman" w:hAnsi="Book Antiqua"/>
          <w:b/>
          <w:bCs/>
          <w:color w:val="000000"/>
          <w:sz w:val="24"/>
        </w:rPr>
        <w:t>240</w:t>
      </w:r>
      <w:r>
        <w:rPr>
          <w:rFonts w:ascii="Book Antiqua" w:eastAsia="Times New Roman" w:hAnsi="Book Antiqua"/>
          <w:color w:val="000000"/>
          <w:sz w:val="24"/>
        </w:rPr>
        <w:t>: 1074-84; discussion 1084-5 [PMID: 15570212]</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11 </w:t>
      </w:r>
      <w:r>
        <w:rPr>
          <w:rFonts w:ascii="Book Antiqua" w:eastAsia="Times New Roman" w:hAnsi="Book Antiqua"/>
          <w:b/>
          <w:bCs/>
          <w:color w:val="000000"/>
          <w:sz w:val="24"/>
        </w:rPr>
        <w:t>Japanese Gastric Cancer Association</w:t>
      </w:r>
      <w:r>
        <w:rPr>
          <w:rFonts w:ascii="Book Antiqua" w:eastAsia="Times New Roman" w:hAnsi="Book Antiqua"/>
          <w:color w:val="000000"/>
          <w:sz w:val="24"/>
        </w:rPr>
        <w:t>. Japanese gastric cancer treatment guidelines 2010 (ver. 3). </w:t>
      </w:r>
      <w:r>
        <w:rPr>
          <w:rFonts w:ascii="Book Antiqua" w:eastAsia="Times New Roman" w:hAnsi="Book Antiqua"/>
          <w:i/>
          <w:iCs/>
          <w:color w:val="000000"/>
          <w:sz w:val="24"/>
        </w:rPr>
        <w:t>Gastric Cancer</w:t>
      </w:r>
      <w:r>
        <w:rPr>
          <w:rFonts w:ascii="Book Antiqua" w:eastAsia="Times New Roman" w:hAnsi="Book Antiqua"/>
          <w:color w:val="000000"/>
          <w:sz w:val="24"/>
        </w:rPr>
        <w:t> 2011; </w:t>
      </w:r>
      <w:r>
        <w:rPr>
          <w:rFonts w:ascii="Book Antiqua" w:eastAsia="Times New Roman" w:hAnsi="Book Antiqua"/>
          <w:b/>
          <w:bCs/>
          <w:color w:val="000000"/>
          <w:sz w:val="24"/>
        </w:rPr>
        <w:t>14</w:t>
      </w:r>
      <w:r>
        <w:rPr>
          <w:rFonts w:ascii="Book Antiqua" w:eastAsia="Times New Roman" w:hAnsi="Book Antiqua"/>
          <w:color w:val="000000"/>
          <w:sz w:val="24"/>
        </w:rPr>
        <w:t>: 113-123 [PMID: 21573742 DOI: 10.1007/s10120-011-0042-4]</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12 </w:t>
      </w:r>
      <w:r>
        <w:rPr>
          <w:rFonts w:ascii="Book Antiqua" w:eastAsia="Times New Roman" w:hAnsi="Book Antiqua"/>
          <w:b/>
          <w:bCs/>
          <w:color w:val="000000"/>
          <w:sz w:val="24"/>
        </w:rPr>
        <w:t>Amin MB</w:t>
      </w:r>
      <w:r>
        <w:rPr>
          <w:rFonts w:ascii="Book Antiqua" w:eastAsia="Times New Roman" w:hAnsi="Book Antiqua"/>
          <w:bCs/>
          <w:color w:val="000000"/>
          <w:sz w:val="24"/>
        </w:rPr>
        <w:t>,</w:t>
      </w:r>
      <w:r>
        <w:rPr>
          <w:rFonts w:ascii="Book Antiqua" w:eastAsia="Times New Roman" w:hAnsi="Book Antiqua"/>
          <w:color w:val="000000"/>
          <w:sz w:val="24"/>
        </w:rPr>
        <w:t> Edge S, Greene F, Byrd DR, Brookland RK, Washington MK, Gershenwald JE, Compton CC, Hess KR, Sullivan DC, Jessup JM, Brierley JD, Gaspar LE, Schilsky RL, Balch CM, Winchester DP, Asare EA, Madera M, Gress DM, Meyer LR. AJCC Cancer Staging Manual. 8th ed. New York: Springer, 2017</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13 </w:t>
      </w:r>
      <w:r>
        <w:rPr>
          <w:rFonts w:ascii="Book Antiqua" w:eastAsia="Times New Roman" w:hAnsi="Book Antiqua"/>
          <w:b/>
          <w:bCs/>
          <w:color w:val="000000"/>
          <w:sz w:val="24"/>
        </w:rPr>
        <w:t>Schardey HM</w:t>
      </w:r>
      <w:r>
        <w:rPr>
          <w:rFonts w:ascii="Book Antiqua" w:eastAsia="Times New Roman" w:hAnsi="Book Antiqua"/>
          <w:color w:val="000000"/>
          <w:sz w:val="24"/>
        </w:rPr>
        <w:t>, Joosten U, Finke U, Staubach KH, Schauer R, Heiss A, Kooistra A, Rau HG, Nibler R, Lüdeling S, Unertl K, Ruckdeschel G, Exner H, Schildberg FW. The prevention of anastomotic leakage after total gastrectomy with local decontamination. A prospective, randomized, double-blind, placebo-controlled multicenter trial. </w:t>
      </w:r>
      <w:r>
        <w:rPr>
          <w:rFonts w:ascii="Book Antiqua" w:eastAsia="Times New Roman" w:hAnsi="Book Antiqua"/>
          <w:i/>
          <w:iCs/>
          <w:color w:val="000000"/>
          <w:sz w:val="24"/>
        </w:rPr>
        <w:t>Ann Surg</w:t>
      </w:r>
      <w:r>
        <w:rPr>
          <w:rFonts w:ascii="Book Antiqua" w:eastAsia="Times New Roman" w:hAnsi="Book Antiqua"/>
          <w:color w:val="000000"/>
          <w:sz w:val="24"/>
        </w:rPr>
        <w:t> 1997; </w:t>
      </w:r>
      <w:r>
        <w:rPr>
          <w:rFonts w:ascii="Book Antiqua" w:eastAsia="Times New Roman" w:hAnsi="Book Antiqua"/>
          <w:b/>
          <w:bCs/>
          <w:color w:val="000000"/>
          <w:sz w:val="24"/>
        </w:rPr>
        <w:t>225</w:t>
      </w:r>
      <w:r>
        <w:rPr>
          <w:rFonts w:ascii="Book Antiqua" w:eastAsia="Times New Roman" w:hAnsi="Book Antiqua"/>
          <w:color w:val="000000"/>
          <w:sz w:val="24"/>
        </w:rPr>
        <w:t>: 172-180 [PMID: 9065294]</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14 </w:t>
      </w:r>
      <w:r>
        <w:rPr>
          <w:rFonts w:ascii="Book Antiqua" w:eastAsia="Times New Roman" w:hAnsi="Book Antiqua"/>
          <w:b/>
          <w:bCs/>
          <w:color w:val="000000"/>
          <w:sz w:val="24"/>
        </w:rPr>
        <w:t>Park JS</w:t>
      </w:r>
      <w:r>
        <w:rPr>
          <w:rFonts w:ascii="Book Antiqua" w:eastAsia="Times New Roman" w:hAnsi="Book Antiqua"/>
          <w:color w:val="000000"/>
          <w:sz w:val="24"/>
        </w:rPr>
        <w:t>, Choi GS, Kim SH, Kim HR, Kim NK, Lee KY, Kang SB, Kim JY, Lee KY, Kim BC, Bae BN, Son GM, Lee SI, Kang H. Multicenter analysis of risk factors for anastomotic leakage after laparoscopic rectal cancer excision: the Korean laparoscopic colorectal surgery study group. </w:t>
      </w:r>
      <w:r>
        <w:rPr>
          <w:rFonts w:ascii="Book Antiqua" w:eastAsia="Times New Roman" w:hAnsi="Book Antiqua"/>
          <w:i/>
          <w:iCs/>
          <w:color w:val="000000"/>
          <w:sz w:val="24"/>
        </w:rPr>
        <w:t>Ann Surg</w:t>
      </w:r>
      <w:r>
        <w:rPr>
          <w:rFonts w:ascii="Book Antiqua" w:eastAsia="Times New Roman" w:hAnsi="Book Antiqua"/>
          <w:color w:val="000000"/>
          <w:sz w:val="24"/>
        </w:rPr>
        <w:t> 2013; </w:t>
      </w:r>
      <w:r>
        <w:rPr>
          <w:rFonts w:ascii="Book Antiqua" w:eastAsia="Times New Roman" w:hAnsi="Book Antiqua"/>
          <w:b/>
          <w:bCs/>
          <w:color w:val="000000"/>
          <w:sz w:val="24"/>
        </w:rPr>
        <w:t>257</w:t>
      </w:r>
      <w:r>
        <w:rPr>
          <w:rFonts w:ascii="Book Antiqua" w:eastAsia="Times New Roman" w:hAnsi="Book Antiqua"/>
          <w:color w:val="000000"/>
          <w:sz w:val="24"/>
        </w:rPr>
        <w:t>: 665-671 [PMID: 23333881 DOI: 10.1097/SLA.0b013e31827b8ed9]</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15 </w:t>
      </w:r>
      <w:r>
        <w:rPr>
          <w:rFonts w:ascii="Book Antiqua" w:eastAsia="Times New Roman" w:hAnsi="Book Antiqua"/>
          <w:b/>
          <w:bCs/>
          <w:color w:val="000000"/>
          <w:sz w:val="24"/>
        </w:rPr>
        <w:t>Tevis SE</w:t>
      </w:r>
      <w:r>
        <w:rPr>
          <w:rFonts w:ascii="Book Antiqua" w:eastAsia="Times New Roman" w:hAnsi="Book Antiqua"/>
          <w:color w:val="000000"/>
          <w:sz w:val="24"/>
        </w:rPr>
        <w:t>, Carchman EH, Foley EF, Heise CP, Harms BA, Kennedy GD. Does Anastomotic Leak Contribute to High Failure-to-rescue Rates? </w:t>
      </w:r>
      <w:r>
        <w:rPr>
          <w:rFonts w:ascii="Book Antiqua" w:eastAsia="Times New Roman" w:hAnsi="Book Antiqua"/>
          <w:i/>
          <w:iCs/>
          <w:color w:val="000000"/>
          <w:sz w:val="24"/>
        </w:rPr>
        <w:t>Ann Surg</w:t>
      </w:r>
      <w:r>
        <w:rPr>
          <w:rFonts w:ascii="Book Antiqua" w:eastAsia="Times New Roman" w:hAnsi="Book Antiqua"/>
          <w:color w:val="000000"/>
          <w:sz w:val="24"/>
        </w:rPr>
        <w:t> 2016; </w:t>
      </w:r>
      <w:r>
        <w:rPr>
          <w:rFonts w:ascii="Book Antiqua" w:eastAsia="Times New Roman" w:hAnsi="Book Antiqua"/>
          <w:b/>
          <w:bCs/>
          <w:color w:val="000000"/>
          <w:sz w:val="24"/>
        </w:rPr>
        <w:t>263</w:t>
      </w:r>
      <w:r>
        <w:rPr>
          <w:rFonts w:ascii="Book Antiqua" w:eastAsia="Times New Roman" w:hAnsi="Book Antiqua"/>
          <w:color w:val="000000"/>
          <w:sz w:val="24"/>
        </w:rPr>
        <w:t>: 1148-1151 [PMID: 26587851 DOI: 10.1097/SLA.0000000000001409]</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16 </w:t>
      </w:r>
      <w:r>
        <w:rPr>
          <w:rFonts w:ascii="Book Antiqua" w:eastAsia="Times New Roman" w:hAnsi="Book Antiqua"/>
          <w:b/>
          <w:bCs/>
          <w:color w:val="000000"/>
          <w:sz w:val="24"/>
        </w:rPr>
        <w:t>Passot G</w:t>
      </w:r>
      <w:r>
        <w:rPr>
          <w:rFonts w:ascii="Book Antiqua" w:eastAsia="Times New Roman" w:hAnsi="Book Antiqua"/>
          <w:color w:val="000000"/>
          <w:sz w:val="24"/>
        </w:rPr>
        <w:t>, Vaudoyer D, Villeneuve L, Wallet F, Beaujard AC, Boschetti G, Rousset P, Bakrin N, Cotte E, Glehen O. A Perioperative Clinical Pathway Can Dramatically Reduce Failure-to-rescue Rates After Cytoreductive Surgery for Peritoneal Carcinomatosis: A Retrospective Study of 666 Consecutive Cytoreductions. </w:t>
      </w:r>
      <w:r>
        <w:rPr>
          <w:rFonts w:ascii="Book Antiqua" w:eastAsia="Times New Roman" w:hAnsi="Book Antiqua"/>
          <w:i/>
          <w:iCs/>
          <w:color w:val="000000"/>
          <w:sz w:val="24"/>
        </w:rPr>
        <w:t>Ann Surg</w:t>
      </w:r>
      <w:r>
        <w:rPr>
          <w:rFonts w:ascii="Book Antiqua" w:eastAsia="Times New Roman" w:hAnsi="Book Antiqua"/>
          <w:color w:val="000000"/>
          <w:sz w:val="24"/>
        </w:rPr>
        <w:t> 2017; </w:t>
      </w:r>
      <w:r>
        <w:rPr>
          <w:rFonts w:ascii="Book Antiqua" w:eastAsia="Times New Roman" w:hAnsi="Book Antiqua"/>
          <w:b/>
          <w:bCs/>
          <w:color w:val="000000"/>
          <w:sz w:val="24"/>
        </w:rPr>
        <w:t>265</w:t>
      </w:r>
      <w:r>
        <w:rPr>
          <w:rFonts w:ascii="Book Antiqua" w:eastAsia="Times New Roman" w:hAnsi="Book Antiqua"/>
          <w:color w:val="000000"/>
          <w:sz w:val="24"/>
        </w:rPr>
        <w:t>: 806-813 [PMID: 27775553 DOI: 10.1097/SLA.0000000000001723]</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17 </w:t>
      </w:r>
      <w:r>
        <w:rPr>
          <w:rFonts w:ascii="Book Antiqua" w:eastAsia="Times New Roman" w:hAnsi="Book Antiqua"/>
          <w:b/>
          <w:bCs/>
          <w:color w:val="000000"/>
          <w:sz w:val="24"/>
        </w:rPr>
        <w:t>Weimann A</w:t>
      </w:r>
      <w:r>
        <w:rPr>
          <w:rFonts w:ascii="Book Antiqua" w:eastAsia="Times New Roman" w:hAnsi="Book Antiqua"/>
          <w:color w:val="000000"/>
          <w:sz w:val="24"/>
        </w:rPr>
        <w:t>, Braga M, Harsanyi L, Laviano A, Ljungqvist O, Soeters P; DGEM (German Society for Nutritional Medicine), Jauch KW, Kemen M, Hiesmayr JM, Horbach T, Kuse ER, Vestweber KH; ESPEN (European Society for Parenteral and Enteral Nutrition). ESPEN Guidelines on Enteral Nutrition: Surgery including organ transplantation. </w:t>
      </w:r>
      <w:r>
        <w:rPr>
          <w:rFonts w:ascii="Book Antiqua" w:eastAsia="Times New Roman" w:hAnsi="Book Antiqua"/>
          <w:i/>
          <w:iCs/>
          <w:color w:val="000000"/>
          <w:sz w:val="24"/>
        </w:rPr>
        <w:t>Clin Nutr</w:t>
      </w:r>
      <w:r>
        <w:rPr>
          <w:rFonts w:ascii="Book Antiqua" w:eastAsia="Times New Roman" w:hAnsi="Book Antiqua"/>
          <w:color w:val="000000"/>
          <w:sz w:val="24"/>
        </w:rPr>
        <w:t> 2006; </w:t>
      </w:r>
      <w:r>
        <w:rPr>
          <w:rFonts w:ascii="Book Antiqua" w:eastAsia="Times New Roman" w:hAnsi="Book Antiqua"/>
          <w:b/>
          <w:bCs/>
          <w:color w:val="000000"/>
          <w:sz w:val="24"/>
        </w:rPr>
        <w:t>25</w:t>
      </w:r>
      <w:r>
        <w:rPr>
          <w:rFonts w:ascii="Book Antiqua" w:eastAsia="Times New Roman" w:hAnsi="Book Antiqua"/>
          <w:color w:val="000000"/>
          <w:sz w:val="24"/>
        </w:rPr>
        <w:t>: 224-244 [PMID: 16698152 DOI: 10.1016/j.clnu.2006.01.015]</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18 </w:t>
      </w:r>
      <w:r>
        <w:rPr>
          <w:rFonts w:ascii="Book Antiqua" w:eastAsia="Times New Roman" w:hAnsi="Book Antiqua"/>
          <w:b/>
          <w:bCs/>
          <w:color w:val="000000"/>
          <w:sz w:val="24"/>
        </w:rPr>
        <w:t>Fukuda Y</w:t>
      </w:r>
      <w:r>
        <w:rPr>
          <w:rFonts w:ascii="Book Antiqua" w:eastAsia="Times New Roman" w:hAnsi="Book Antiqua"/>
          <w:color w:val="000000"/>
          <w:sz w:val="24"/>
        </w:rPr>
        <w:t>, Yamamoto K, Hirao M, Nishikawa K, Maeda S, Haraguchi N, Miyake M, Hama N, Miyamoto A, Ikeda M, Nakamori S, Sekimoto M, Fujitani K, Tsujinaka T. Prevalence of Malnutrition Among Gastric Cancer Patients Undergoing Gastrectomy and Optimal Preoperative Nutritional Support for Preventing Surgical Site Infections. </w:t>
      </w:r>
      <w:r>
        <w:rPr>
          <w:rFonts w:ascii="Book Antiqua" w:eastAsia="Times New Roman" w:hAnsi="Book Antiqua"/>
          <w:i/>
          <w:iCs/>
          <w:color w:val="000000"/>
          <w:sz w:val="24"/>
        </w:rPr>
        <w:t>Ann Surg Oncol</w:t>
      </w:r>
      <w:r>
        <w:rPr>
          <w:rFonts w:ascii="Book Antiqua" w:eastAsia="Times New Roman" w:hAnsi="Book Antiqua"/>
          <w:color w:val="000000"/>
          <w:sz w:val="24"/>
        </w:rPr>
        <w:t> 2015; </w:t>
      </w:r>
      <w:r>
        <w:rPr>
          <w:rFonts w:ascii="Book Antiqua" w:eastAsia="Times New Roman" w:hAnsi="Book Antiqua"/>
          <w:b/>
          <w:bCs/>
          <w:color w:val="000000"/>
          <w:sz w:val="24"/>
        </w:rPr>
        <w:t xml:space="preserve">22 </w:t>
      </w:r>
      <w:r>
        <w:rPr>
          <w:rFonts w:ascii="Book Antiqua" w:eastAsia="Times New Roman" w:hAnsi="Book Antiqua"/>
          <w:bCs/>
          <w:color w:val="000000"/>
          <w:sz w:val="24"/>
        </w:rPr>
        <w:t>Suppl 3</w:t>
      </w:r>
      <w:r>
        <w:rPr>
          <w:rFonts w:ascii="Book Antiqua" w:eastAsia="Times New Roman" w:hAnsi="Book Antiqua"/>
          <w:color w:val="000000"/>
          <w:sz w:val="24"/>
        </w:rPr>
        <w:t>: S778-S785 [PMID: 26286199 DOI: 10.1245/s10434-015-4820-9]</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19 </w:t>
      </w:r>
      <w:r>
        <w:rPr>
          <w:rFonts w:ascii="Book Antiqua" w:eastAsia="Times New Roman" w:hAnsi="Book Antiqua"/>
          <w:b/>
          <w:bCs/>
          <w:color w:val="000000"/>
          <w:sz w:val="24"/>
        </w:rPr>
        <w:t>Deguchi Y</w:t>
      </w:r>
      <w:r>
        <w:rPr>
          <w:rFonts w:ascii="Book Antiqua" w:eastAsia="Times New Roman" w:hAnsi="Book Antiqua"/>
          <w:color w:val="000000"/>
          <w:sz w:val="24"/>
        </w:rPr>
        <w:t>, Fukagawa T, Morita S, Ohashi M, Saka M, Katai H. Identification of risk factors for esophagojejunal anastomotic leakage after gastric surgery. </w:t>
      </w:r>
      <w:r>
        <w:rPr>
          <w:rFonts w:ascii="Book Antiqua" w:eastAsia="Times New Roman" w:hAnsi="Book Antiqua"/>
          <w:i/>
          <w:iCs/>
          <w:color w:val="000000"/>
          <w:sz w:val="24"/>
        </w:rPr>
        <w:t>World J Surg</w:t>
      </w:r>
      <w:r>
        <w:rPr>
          <w:rFonts w:ascii="Book Antiqua" w:eastAsia="Times New Roman" w:hAnsi="Book Antiqua"/>
          <w:color w:val="000000"/>
          <w:sz w:val="24"/>
        </w:rPr>
        <w:t> 2012; </w:t>
      </w:r>
      <w:r>
        <w:rPr>
          <w:rFonts w:ascii="Book Antiqua" w:eastAsia="Times New Roman" w:hAnsi="Book Antiqua"/>
          <w:b/>
          <w:bCs/>
          <w:color w:val="000000"/>
          <w:sz w:val="24"/>
        </w:rPr>
        <w:t>36</w:t>
      </w:r>
      <w:r>
        <w:rPr>
          <w:rFonts w:ascii="Book Antiqua" w:eastAsia="Times New Roman" w:hAnsi="Book Antiqua"/>
          <w:color w:val="000000"/>
          <w:sz w:val="24"/>
        </w:rPr>
        <w:t>: 1617-1622 [PMID: 22415758 DOI: 10.1007/s00268-012-1559-3]</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20 </w:t>
      </w:r>
      <w:r>
        <w:rPr>
          <w:rFonts w:ascii="Book Antiqua" w:eastAsia="Times New Roman" w:hAnsi="Book Antiqua"/>
          <w:b/>
          <w:bCs/>
          <w:color w:val="000000"/>
          <w:sz w:val="24"/>
        </w:rPr>
        <w:t>Kim CW</w:t>
      </w:r>
      <w:r>
        <w:rPr>
          <w:rFonts w:ascii="Book Antiqua" w:eastAsia="Times New Roman" w:hAnsi="Book Antiqua"/>
          <w:color w:val="000000"/>
          <w:sz w:val="24"/>
        </w:rPr>
        <w:t>, Baek SJ, Hur H, Min BS, Baik SH, Kim NK. Anastomotic Leakage After Low Anterior Resection for Rectal Cancer Is Different Between Minimally Invasive Surgery and Open Surgery. </w:t>
      </w:r>
      <w:r>
        <w:rPr>
          <w:rFonts w:ascii="Book Antiqua" w:eastAsia="Times New Roman" w:hAnsi="Book Antiqua"/>
          <w:i/>
          <w:iCs/>
          <w:color w:val="000000"/>
          <w:sz w:val="24"/>
        </w:rPr>
        <w:t>Ann Surg</w:t>
      </w:r>
      <w:r>
        <w:rPr>
          <w:rFonts w:ascii="Book Antiqua" w:eastAsia="Times New Roman" w:hAnsi="Book Antiqua"/>
          <w:color w:val="000000"/>
          <w:sz w:val="24"/>
        </w:rPr>
        <w:t> 2016; </w:t>
      </w:r>
      <w:r>
        <w:rPr>
          <w:rFonts w:ascii="Book Antiqua" w:eastAsia="Times New Roman" w:hAnsi="Book Antiqua"/>
          <w:b/>
          <w:bCs/>
          <w:color w:val="000000"/>
          <w:sz w:val="24"/>
        </w:rPr>
        <w:t>263</w:t>
      </w:r>
      <w:r>
        <w:rPr>
          <w:rFonts w:ascii="Book Antiqua" w:eastAsia="Times New Roman" w:hAnsi="Book Antiqua"/>
          <w:color w:val="000000"/>
          <w:sz w:val="24"/>
        </w:rPr>
        <w:t>: 130-137 [PMID: 25692355 DOI: 10.1097/SLA.0000000000001157]</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21 </w:t>
      </w:r>
      <w:r>
        <w:rPr>
          <w:rFonts w:ascii="Book Antiqua" w:eastAsia="Times New Roman" w:hAnsi="Book Antiqua"/>
          <w:b/>
          <w:bCs/>
          <w:color w:val="000000"/>
          <w:sz w:val="24"/>
        </w:rPr>
        <w:t>Migita K</w:t>
      </w:r>
      <w:r>
        <w:rPr>
          <w:rFonts w:ascii="Book Antiqua" w:eastAsia="Times New Roman" w:hAnsi="Book Antiqua"/>
          <w:color w:val="000000"/>
          <w:sz w:val="24"/>
        </w:rPr>
        <w:t>, Takayama T, Matsumoto S, Wakatsuki K, Enomoto K, Tanaka T, Ito M, Nakajima Y. Risk factors for esophagojejunal anastomotic leakage after elective gastrectomy for gastric cancer. </w:t>
      </w:r>
      <w:r>
        <w:rPr>
          <w:rFonts w:ascii="Book Antiqua" w:eastAsia="Times New Roman" w:hAnsi="Book Antiqua"/>
          <w:i/>
          <w:iCs/>
          <w:color w:val="000000"/>
          <w:sz w:val="24"/>
        </w:rPr>
        <w:t>J Gastrointest Surg</w:t>
      </w:r>
      <w:r>
        <w:rPr>
          <w:rFonts w:ascii="Book Antiqua" w:eastAsia="Times New Roman" w:hAnsi="Book Antiqua"/>
          <w:color w:val="000000"/>
          <w:sz w:val="24"/>
        </w:rPr>
        <w:t> 2012; </w:t>
      </w:r>
      <w:r>
        <w:rPr>
          <w:rFonts w:ascii="Book Antiqua" w:eastAsia="Times New Roman" w:hAnsi="Book Antiqua"/>
          <w:b/>
          <w:bCs/>
          <w:color w:val="000000"/>
          <w:sz w:val="24"/>
        </w:rPr>
        <w:t>16</w:t>
      </w:r>
      <w:r>
        <w:rPr>
          <w:rFonts w:ascii="Book Antiqua" w:eastAsia="Times New Roman" w:hAnsi="Book Antiqua"/>
          <w:color w:val="000000"/>
          <w:sz w:val="24"/>
        </w:rPr>
        <w:t>: 1659-1665 [PMID: 22688419 DOI: 10.1007/s11605-012-1932-4]</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22 </w:t>
      </w:r>
      <w:r>
        <w:rPr>
          <w:rFonts w:ascii="Book Antiqua" w:eastAsia="Times New Roman" w:hAnsi="Book Antiqua"/>
          <w:b/>
          <w:bCs/>
          <w:color w:val="000000"/>
          <w:sz w:val="24"/>
        </w:rPr>
        <w:t>Schietroma M</w:t>
      </w:r>
      <w:r>
        <w:rPr>
          <w:rFonts w:ascii="Book Antiqua" w:eastAsia="Times New Roman" w:hAnsi="Book Antiqua"/>
          <w:color w:val="000000"/>
          <w:sz w:val="24"/>
        </w:rPr>
        <w:t>, Cecilia EM, Carlei F, Sista F, De Santis G, Piccione F, Amicucci G. Prevention of anastomotic leakage after total gastrectomy with perioperative supplemental oxygen administration: a prospective randomized, double-blind, controlled, single-center trial. </w:t>
      </w:r>
      <w:r>
        <w:rPr>
          <w:rFonts w:ascii="Book Antiqua" w:eastAsia="Times New Roman" w:hAnsi="Book Antiqua"/>
          <w:i/>
          <w:iCs/>
          <w:color w:val="000000"/>
          <w:sz w:val="24"/>
        </w:rPr>
        <w:t>Ann Surg Oncol</w:t>
      </w:r>
      <w:r>
        <w:rPr>
          <w:rFonts w:ascii="Book Antiqua" w:eastAsia="Times New Roman" w:hAnsi="Book Antiqua"/>
          <w:color w:val="000000"/>
          <w:sz w:val="24"/>
        </w:rPr>
        <w:t> 2013; </w:t>
      </w:r>
      <w:r>
        <w:rPr>
          <w:rFonts w:ascii="Book Antiqua" w:eastAsia="Times New Roman" w:hAnsi="Book Antiqua"/>
          <w:b/>
          <w:bCs/>
          <w:color w:val="000000"/>
          <w:sz w:val="24"/>
        </w:rPr>
        <w:t>20</w:t>
      </w:r>
      <w:r>
        <w:rPr>
          <w:rFonts w:ascii="Book Antiqua" w:eastAsia="Times New Roman" w:hAnsi="Book Antiqua"/>
          <w:color w:val="000000"/>
          <w:sz w:val="24"/>
        </w:rPr>
        <w:t>: 1584-1590 [PMID: 23099730 DOI: 10.1245/s10434-012-2714-7]</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23 </w:t>
      </w:r>
      <w:r>
        <w:rPr>
          <w:rFonts w:ascii="Book Antiqua" w:eastAsia="Times New Roman" w:hAnsi="Book Antiqua"/>
          <w:b/>
          <w:bCs/>
          <w:color w:val="000000"/>
          <w:sz w:val="24"/>
        </w:rPr>
        <w:t>Tu RH</w:t>
      </w:r>
      <w:r>
        <w:rPr>
          <w:rFonts w:ascii="Book Antiqua" w:eastAsia="Times New Roman" w:hAnsi="Book Antiqua"/>
          <w:color w:val="000000"/>
          <w:sz w:val="24"/>
        </w:rPr>
        <w:t>, Lin JX, Zheng CH, Li P, Xie JW, Wang JB, Lu J, Chen QY, Cao LL, Lin M, Huang CM. Development of a nomogram for predicting the risk of anastomotic leakage after a gastrectomy for gastric cancer. </w:t>
      </w:r>
      <w:r>
        <w:rPr>
          <w:rFonts w:ascii="Book Antiqua" w:eastAsia="Times New Roman" w:hAnsi="Book Antiqua"/>
          <w:i/>
          <w:iCs/>
          <w:color w:val="000000"/>
          <w:sz w:val="24"/>
        </w:rPr>
        <w:t>Eur J Surg Oncol</w:t>
      </w:r>
      <w:r>
        <w:rPr>
          <w:rFonts w:ascii="Book Antiqua" w:eastAsia="Times New Roman" w:hAnsi="Book Antiqua"/>
          <w:color w:val="000000"/>
          <w:sz w:val="24"/>
        </w:rPr>
        <w:t> 2017; </w:t>
      </w:r>
      <w:r>
        <w:rPr>
          <w:rFonts w:ascii="Book Antiqua" w:eastAsia="Times New Roman" w:hAnsi="Book Antiqua"/>
          <w:b/>
          <w:bCs/>
          <w:color w:val="000000"/>
          <w:sz w:val="24"/>
        </w:rPr>
        <w:t>43</w:t>
      </w:r>
      <w:r>
        <w:rPr>
          <w:rFonts w:ascii="Book Antiqua" w:eastAsia="Times New Roman" w:hAnsi="Book Antiqua"/>
          <w:color w:val="000000"/>
          <w:sz w:val="24"/>
        </w:rPr>
        <w:t>: 485-492 [PMID: 28041649 DOI: 10.1016/j.ejso.2016.11.022]</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24 </w:t>
      </w:r>
      <w:r>
        <w:rPr>
          <w:rFonts w:ascii="Book Antiqua" w:eastAsia="Times New Roman" w:hAnsi="Book Antiqua"/>
          <w:b/>
          <w:bCs/>
          <w:color w:val="000000"/>
          <w:sz w:val="24"/>
        </w:rPr>
        <w:t>Lin C</w:t>
      </w:r>
      <w:r>
        <w:rPr>
          <w:rFonts w:ascii="Book Antiqua" w:eastAsia="Times New Roman" w:hAnsi="Book Antiqua"/>
          <w:color w:val="000000"/>
          <w:sz w:val="24"/>
        </w:rPr>
        <w:t>, Zhang Z, Wang Y, Huang S, Wang L, Wang B. [Continuous negative pressure-flush through extraperitoneal dual tube in the treatment and prevention for rectal cancer patients with anastomotic leakage after low anterior resection]. </w:t>
      </w:r>
      <w:r>
        <w:rPr>
          <w:rFonts w:ascii="Book Antiqua" w:eastAsia="Times New Roman" w:hAnsi="Book Antiqua"/>
          <w:i/>
          <w:iCs/>
          <w:color w:val="000000"/>
          <w:sz w:val="24"/>
        </w:rPr>
        <w:t>Zhonghua Wei Chang Wai Ke Za Zhi</w:t>
      </w:r>
      <w:r>
        <w:rPr>
          <w:rFonts w:ascii="Book Antiqua" w:eastAsia="Times New Roman" w:hAnsi="Book Antiqua"/>
          <w:color w:val="000000"/>
          <w:sz w:val="24"/>
        </w:rPr>
        <w:t> 2014; </w:t>
      </w:r>
      <w:r>
        <w:rPr>
          <w:rFonts w:ascii="Book Antiqua" w:eastAsia="Times New Roman" w:hAnsi="Book Antiqua"/>
          <w:b/>
          <w:bCs/>
          <w:color w:val="000000"/>
          <w:sz w:val="24"/>
        </w:rPr>
        <w:t>17</w:t>
      </w:r>
      <w:r>
        <w:rPr>
          <w:rFonts w:ascii="Book Antiqua" w:eastAsia="Times New Roman" w:hAnsi="Book Antiqua"/>
          <w:color w:val="000000"/>
          <w:sz w:val="24"/>
        </w:rPr>
        <w:t>: 469-472 [PMID: 24859957]</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25 </w:t>
      </w:r>
      <w:r>
        <w:rPr>
          <w:rFonts w:ascii="Book Antiqua" w:eastAsia="Times New Roman" w:hAnsi="Book Antiqua"/>
          <w:b/>
          <w:bCs/>
          <w:color w:val="000000"/>
          <w:sz w:val="24"/>
        </w:rPr>
        <w:t>Jiang K</w:t>
      </w:r>
      <w:r>
        <w:rPr>
          <w:rFonts w:ascii="Book Antiqua" w:eastAsia="Times New Roman" w:hAnsi="Book Antiqua"/>
          <w:color w:val="000000"/>
          <w:sz w:val="24"/>
        </w:rPr>
        <w:t>, Zhang W, Feng Y, Su M, Dong J, Huang Z. Enclosed passive infraversion lavage-drainage system (EPILDS): a novel safe technique for local management of early stage bile leakage and pancreatic fistula Post Pancreatoduodenectomy. </w:t>
      </w:r>
      <w:r>
        <w:rPr>
          <w:rFonts w:ascii="Book Antiqua" w:eastAsia="Times New Roman" w:hAnsi="Book Antiqua"/>
          <w:i/>
          <w:iCs/>
          <w:color w:val="000000"/>
          <w:sz w:val="24"/>
        </w:rPr>
        <w:t>Cell Biochem Biophys</w:t>
      </w:r>
      <w:r>
        <w:rPr>
          <w:rFonts w:ascii="Book Antiqua" w:eastAsia="Times New Roman" w:hAnsi="Book Antiqua"/>
          <w:color w:val="000000"/>
          <w:sz w:val="24"/>
        </w:rPr>
        <w:t> 2014; </w:t>
      </w:r>
      <w:r>
        <w:rPr>
          <w:rFonts w:ascii="Book Antiqua" w:eastAsia="Times New Roman" w:hAnsi="Book Antiqua"/>
          <w:b/>
          <w:bCs/>
          <w:color w:val="000000"/>
          <w:sz w:val="24"/>
        </w:rPr>
        <w:t>68</w:t>
      </w:r>
      <w:r>
        <w:rPr>
          <w:rFonts w:ascii="Book Antiqua" w:eastAsia="Times New Roman" w:hAnsi="Book Antiqua"/>
          <w:color w:val="000000"/>
          <w:sz w:val="24"/>
        </w:rPr>
        <w:t>: 541-546 [PMID: 24006154 DOI: 10.1007/s12013-013-9735-0]</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26 </w:t>
      </w:r>
      <w:r>
        <w:rPr>
          <w:rFonts w:ascii="Book Antiqua" w:eastAsia="Times New Roman" w:hAnsi="Book Antiqua"/>
          <w:b/>
          <w:bCs/>
          <w:color w:val="000000"/>
          <w:sz w:val="24"/>
        </w:rPr>
        <w:t>Glance LG</w:t>
      </w:r>
      <w:r>
        <w:rPr>
          <w:rFonts w:ascii="Book Antiqua" w:eastAsia="Times New Roman" w:hAnsi="Book Antiqua"/>
          <w:color w:val="000000"/>
          <w:sz w:val="24"/>
        </w:rPr>
        <w:t>, Dick AW, Meredith JW, Mukamel DB. Variation in hospital complication rates and failure-to-rescue for trauma patients. </w:t>
      </w:r>
      <w:r>
        <w:rPr>
          <w:rFonts w:ascii="Book Antiqua" w:eastAsia="Times New Roman" w:hAnsi="Book Antiqua"/>
          <w:i/>
          <w:iCs/>
          <w:color w:val="000000"/>
          <w:sz w:val="24"/>
        </w:rPr>
        <w:t>Ann Surg</w:t>
      </w:r>
      <w:r>
        <w:rPr>
          <w:rFonts w:ascii="Book Antiqua" w:eastAsia="Times New Roman" w:hAnsi="Book Antiqua"/>
          <w:color w:val="000000"/>
          <w:sz w:val="24"/>
        </w:rPr>
        <w:t> 2011; </w:t>
      </w:r>
      <w:r>
        <w:rPr>
          <w:rFonts w:ascii="Book Antiqua" w:eastAsia="Times New Roman" w:hAnsi="Book Antiqua"/>
          <w:b/>
          <w:bCs/>
          <w:color w:val="000000"/>
          <w:sz w:val="24"/>
        </w:rPr>
        <w:t>253</w:t>
      </w:r>
      <w:r>
        <w:rPr>
          <w:rFonts w:ascii="Book Antiqua" w:eastAsia="Times New Roman" w:hAnsi="Book Antiqua"/>
          <w:color w:val="000000"/>
          <w:sz w:val="24"/>
        </w:rPr>
        <w:t>: 811-816 [PMID: 21475024 DOI: 10.1097/SLA.0b013e318211d872]</w:t>
      </w:r>
    </w:p>
    <w:p w:rsidR="00BB07B2" w:rsidRDefault="00BB07B2">
      <w:pPr>
        <w:adjustRightInd w:val="0"/>
        <w:snapToGrid w:val="0"/>
        <w:spacing w:after="0" w:line="360" w:lineRule="auto"/>
        <w:rPr>
          <w:rFonts w:ascii="Book Antiqua" w:eastAsia="Times New Roman" w:hAnsi="Book Antiqua"/>
          <w:color w:val="000000"/>
          <w:sz w:val="24"/>
        </w:rPr>
      </w:pPr>
      <w:r>
        <w:rPr>
          <w:rFonts w:ascii="Book Antiqua" w:eastAsia="Times New Roman" w:hAnsi="Book Antiqua"/>
          <w:color w:val="000000"/>
          <w:sz w:val="24"/>
        </w:rPr>
        <w:t>27 </w:t>
      </w:r>
      <w:r>
        <w:rPr>
          <w:rFonts w:ascii="Book Antiqua" w:eastAsia="Times New Roman" w:hAnsi="Book Antiqua"/>
          <w:b/>
          <w:bCs/>
          <w:color w:val="000000"/>
          <w:sz w:val="24"/>
        </w:rPr>
        <w:t>Sheetz KH</w:t>
      </w:r>
      <w:r>
        <w:rPr>
          <w:rFonts w:ascii="Book Antiqua" w:eastAsia="Times New Roman" w:hAnsi="Book Antiqua"/>
          <w:color w:val="000000"/>
          <w:sz w:val="24"/>
        </w:rPr>
        <w:t>, Dimick JB, Ghaferi AA. Impact of Hospital Characteristics on Failure to Rescue Following Major Surgery. </w:t>
      </w:r>
      <w:r>
        <w:rPr>
          <w:rFonts w:ascii="Book Antiqua" w:eastAsia="Times New Roman" w:hAnsi="Book Antiqua"/>
          <w:i/>
          <w:iCs/>
          <w:color w:val="000000"/>
          <w:sz w:val="24"/>
        </w:rPr>
        <w:t>Ann Surg</w:t>
      </w:r>
      <w:r>
        <w:rPr>
          <w:rFonts w:ascii="Book Antiqua" w:eastAsia="Times New Roman" w:hAnsi="Book Antiqua"/>
          <w:color w:val="000000"/>
          <w:sz w:val="24"/>
        </w:rPr>
        <w:t> 2016; </w:t>
      </w:r>
      <w:r>
        <w:rPr>
          <w:rFonts w:ascii="Book Antiqua" w:eastAsia="Times New Roman" w:hAnsi="Book Antiqua"/>
          <w:b/>
          <w:bCs/>
          <w:color w:val="000000"/>
          <w:sz w:val="24"/>
        </w:rPr>
        <w:t>263</w:t>
      </w:r>
      <w:r>
        <w:rPr>
          <w:rFonts w:ascii="Book Antiqua" w:eastAsia="Times New Roman" w:hAnsi="Book Antiqua"/>
          <w:color w:val="000000"/>
          <w:sz w:val="24"/>
        </w:rPr>
        <w:t>: 692-697 [PMID: 26501706 DOI: 10.1097/SLA.0000000000001414]</w:t>
      </w:r>
    </w:p>
    <w:p w:rsidR="00BB07B2" w:rsidRDefault="00BB07B2">
      <w:pPr>
        <w:adjustRightInd w:val="0"/>
        <w:snapToGrid w:val="0"/>
        <w:spacing w:after="0" w:line="360" w:lineRule="auto"/>
        <w:rPr>
          <w:rFonts w:ascii="Book Antiqua" w:hAnsi="Book Antiqua"/>
          <w:color w:val="000000"/>
          <w:sz w:val="24"/>
        </w:rPr>
      </w:pPr>
    </w:p>
    <w:p w:rsidR="00BB07B2" w:rsidRDefault="00BB07B2">
      <w:pPr>
        <w:wordWrap w:val="0"/>
        <w:adjustRightInd w:val="0"/>
        <w:snapToGrid w:val="0"/>
        <w:spacing w:after="0" w:line="360" w:lineRule="auto"/>
        <w:jc w:val="right"/>
        <w:rPr>
          <w:rFonts w:ascii="Book Antiqua" w:hAnsi="Book Antiqua"/>
          <w:b/>
          <w:bCs/>
          <w:sz w:val="24"/>
        </w:rPr>
      </w:pPr>
      <w:bookmarkStart w:id="50" w:name="OLE_LINK148"/>
      <w:bookmarkStart w:id="51" w:name="OLE_LINK320"/>
      <w:bookmarkStart w:id="52" w:name="OLE_LINK387"/>
      <w:bookmarkStart w:id="53" w:name="OLE_LINK254"/>
      <w:bookmarkStart w:id="54" w:name="OLE_LINK149"/>
      <w:bookmarkStart w:id="55" w:name="OLE_LINK225"/>
      <w:bookmarkStart w:id="56" w:name="OLE_LINK207"/>
      <w:bookmarkStart w:id="57" w:name="OLE_LINK226"/>
      <w:bookmarkStart w:id="58" w:name="OLE_LINK212"/>
      <w:bookmarkStart w:id="59" w:name="OLE_LINK250"/>
      <w:bookmarkStart w:id="60" w:name="OLE_LINK281"/>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57"/>
      <w:bookmarkStart w:id="72" w:name="OLE_LINK288"/>
      <w:bookmarkStart w:id="73" w:name="OLE_LINK384"/>
      <w:bookmarkStart w:id="74" w:name="OLE_LINK379"/>
      <w:bookmarkStart w:id="75" w:name="OLE_LINK303"/>
      <w:bookmarkStart w:id="76" w:name="OLE_LINK450"/>
      <w:bookmarkStart w:id="77" w:name="OLE_LINK489"/>
      <w:bookmarkStart w:id="78" w:name="OLE_LINK535"/>
      <w:bookmarkStart w:id="79" w:name="OLE_LINK648"/>
      <w:bookmarkStart w:id="80" w:name="OLE_LINK686"/>
      <w:bookmarkStart w:id="81" w:name="OLE_LINK471"/>
      <w:bookmarkStart w:id="82" w:name="OLE_LINK462"/>
      <w:bookmarkStart w:id="83" w:name="OLE_LINK519"/>
      <w:bookmarkStart w:id="84" w:name="OLE_LINK575"/>
      <w:bookmarkStart w:id="85" w:name="OLE_LINK491"/>
      <w:bookmarkStart w:id="86" w:name="OLE_LINK532"/>
      <w:bookmarkStart w:id="87" w:name="OLE_LINK572"/>
      <w:bookmarkStart w:id="88" w:name="OLE_LINK574"/>
      <w:bookmarkStart w:id="89" w:name="OLE_LINK480"/>
      <w:bookmarkStart w:id="90" w:name="OLE_LINK567"/>
      <w:bookmarkStart w:id="91" w:name="OLE_LINK2700"/>
      <w:bookmarkStart w:id="92" w:name="OLE_LINK581"/>
      <w:bookmarkStart w:id="93" w:name="OLE_LINK639"/>
      <w:bookmarkStart w:id="94" w:name="OLE_LINK688"/>
      <w:bookmarkStart w:id="95" w:name="OLE_LINK722"/>
      <w:bookmarkStart w:id="96" w:name="OLE_LINK542"/>
      <w:bookmarkStart w:id="97" w:name="OLE_LINK589"/>
      <w:bookmarkStart w:id="98" w:name="OLE_LINK582"/>
      <w:bookmarkStart w:id="99" w:name="OLE_LINK640"/>
      <w:bookmarkStart w:id="100" w:name="OLE_LINK714"/>
      <w:bookmarkStart w:id="101" w:name="OLE_LINK593"/>
      <w:bookmarkStart w:id="102" w:name="OLE_LINK716"/>
      <w:bookmarkStart w:id="103" w:name="OLE_LINK770"/>
      <w:bookmarkStart w:id="104" w:name="OLE_LINK801"/>
      <w:bookmarkStart w:id="105" w:name="OLE_LINK660"/>
      <w:bookmarkStart w:id="106" w:name="OLE_LINK781"/>
      <w:bookmarkStart w:id="107" w:name="OLE_LINK833"/>
      <w:bookmarkStart w:id="108" w:name="OLE_LINK642"/>
      <w:bookmarkStart w:id="109" w:name="OLE_LINK700"/>
      <w:bookmarkStart w:id="110" w:name="OLE_LINK792"/>
      <w:bookmarkStart w:id="111" w:name="OLE_LINK2882"/>
      <w:bookmarkStart w:id="112" w:name="OLE_LINK836"/>
      <w:bookmarkStart w:id="113" w:name="OLE_LINK889"/>
      <w:bookmarkStart w:id="114" w:name="OLE_LINK782"/>
      <w:bookmarkStart w:id="115" w:name="OLE_LINK826"/>
      <w:bookmarkStart w:id="116" w:name="OLE_LINK865"/>
      <w:bookmarkStart w:id="117" w:name="OLE_LINK856"/>
      <w:bookmarkStart w:id="118" w:name="OLE_LINK908"/>
      <w:bookmarkStart w:id="119" w:name="OLE_LINK980"/>
      <w:bookmarkStart w:id="120" w:name="OLE_LINK1018"/>
      <w:bookmarkStart w:id="121" w:name="OLE_LINK1049"/>
      <w:bookmarkStart w:id="122" w:name="OLE_LINK1076"/>
      <w:bookmarkStart w:id="123" w:name="OLE_LINK1106"/>
      <w:bookmarkStart w:id="124" w:name="OLE_LINK891"/>
      <w:bookmarkStart w:id="125" w:name="OLE_LINK943"/>
      <w:bookmarkStart w:id="126" w:name="OLE_LINK981"/>
      <w:bookmarkStart w:id="127" w:name="OLE_LINK1030"/>
      <w:bookmarkStart w:id="128" w:name="OLE_LINK847"/>
      <w:bookmarkStart w:id="129" w:name="OLE_LINK909"/>
      <w:bookmarkStart w:id="130" w:name="OLE_LINK906"/>
      <w:bookmarkStart w:id="131" w:name="OLE_LINK992"/>
      <w:bookmarkStart w:id="132" w:name="OLE_LINK993"/>
      <w:bookmarkStart w:id="133" w:name="OLE_LINK1052"/>
      <w:bookmarkStart w:id="134" w:name="OLE_LINK946"/>
      <w:bookmarkStart w:id="135" w:name="OLE_LINK911"/>
      <w:bookmarkStart w:id="136" w:name="OLE_LINK930"/>
      <w:bookmarkStart w:id="137" w:name="OLE_LINK1059"/>
      <w:bookmarkStart w:id="138" w:name="OLE_LINK1174"/>
      <w:bookmarkStart w:id="139" w:name="OLE_LINK1137"/>
      <w:bookmarkStart w:id="140" w:name="OLE_LINK1167"/>
      <w:bookmarkStart w:id="141" w:name="OLE_LINK1200"/>
      <w:bookmarkStart w:id="142" w:name="OLE_LINK1241"/>
      <w:bookmarkStart w:id="143" w:name="OLE_LINK1288"/>
      <w:bookmarkStart w:id="144" w:name="OLE_LINK1056"/>
      <w:bookmarkStart w:id="145" w:name="OLE_LINK1158"/>
      <w:bookmarkStart w:id="146" w:name="OLE_LINK1175"/>
      <w:bookmarkStart w:id="147" w:name="OLE_LINK1074"/>
      <w:bookmarkStart w:id="148" w:name="OLE_LINK1169"/>
      <w:bookmarkStart w:id="149" w:name="OLE_LINK386"/>
      <w:r>
        <w:rPr>
          <w:rFonts w:ascii="Book Antiqua" w:hAnsi="Book Antiqua"/>
          <w:b/>
          <w:bCs/>
          <w:sz w:val="24"/>
        </w:rPr>
        <w:t>P-Reviewer:</w:t>
      </w:r>
      <w:r>
        <w:rPr>
          <w:rFonts w:ascii="Book Antiqua" w:hAnsi="Book Antiqua" w:hint="eastAsia"/>
          <w:b/>
          <w:bCs/>
          <w:sz w:val="24"/>
        </w:rPr>
        <w:t xml:space="preserve"> </w:t>
      </w:r>
      <w:r>
        <w:rPr>
          <w:rFonts w:ascii="Book Antiqua" w:hAnsi="Book Antiqua"/>
          <w:bCs/>
          <w:sz w:val="24"/>
        </w:rPr>
        <w:t>Sikiric P</w:t>
      </w:r>
    </w:p>
    <w:p w:rsidR="00BB07B2" w:rsidRPr="00E95EDB" w:rsidRDefault="00BB07B2">
      <w:pPr>
        <w:wordWrap w:val="0"/>
        <w:adjustRightInd w:val="0"/>
        <w:snapToGrid w:val="0"/>
        <w:spacing w:after="0" w:line="360" w:lineRule="auto"/>
        <w:jc w:val="right"/>
        <w:rPr>
          <w:rFonts w:ascii="Book Antiqua" w:hAnsi="Book Antiqua"/>
          <w:sz w:val="24"/>
        </w:rPr>
      </w:pPr>
      <w:r>
        <w:rPr>
          <w:rFonts w:ascii="Book Antiqua" w:hAnsi="Book Antiqua"/>
          <w:b/>
          <w:bCs/>
          <w:sz w:val="24"/>
        </w:rPr>
        <w:t>S-Editor:</w:t>
      </w:r>
      <w:r>
        <w:rPr>
          <w:rFonts w:ascii="Book Antiqua" w:hAnsi="Book Antiqua" w:hint="eastAsia"/>
          <w:sz w:val="24"/>
        </w:rPr>
        <w:t xml:space="preserve"> </w:t>
      </w:r>
      <w:r>
        <w:rPr>
          <w:rFonts w:ascii="Book Antiqua" w:hAnsi="Book Antiqua"/>
          <w:sz w:val="24"/>
        </w:rPr>
        <w:t>Ma</w:t>
      </w:r>
      <w:r>
        <w:rPr>
          <w:rFonts w:ascii="Book Antiqua" w:hAnsi="Book Antiqua" w:hint="eastAsia"/>
          <w:sz w:val="24"/>
        </w:rPr>
        <w:t xml:space="preserve"> </w:t>
      </w:r>
      <w:r>
        <w:rPr>
          <w:rFonts w:ascii="Book Antiqua" w:hAnsi="Book Antiqua"/>
          <w:sz w:val="24"/>
        </w:rPr>
        <w:t>RY</w:t>
      </w:r>
      <w:r>
        <w:rPr>
          <w:rFonts w:ascii="Book Antiqua" w:hAnsi="Book Antiqua" w:hint="eastAsia"/>
          <w:sz w:val="24"/>
        </w:rPr>
        <w:t xml:space="preserve"> </w:t>
      </w:r>
      <w:r>
        <w:rPr>
          <w:rFonts w:ascii="Book Antiqua" w:hAnsi="Book Antiqua"/>
          <w:b/>
          <w:bCs/>
          <w:sz w:val="24"/>
        </w:rPr>
        <w:t>L-Editor:</w:t>
      </w:r>
      <w:r>
        <w:rPr>
          <w:rFonts w:ascii="Book Antiqua" w:hAnsi="Book Antiqua"/>
          <w:sz w:val="24"/>
        </w:rPr>
        <w:t xml:space="preserve"> Wang TQ </w:t>
      </w:r>
      <w:r>
        <w:rPr>
          <w:rFonts w:ascii="Book Antiqua" w:hAnsi="Book Antiqua"/>
          <w:b/>
          <w:bCs/>
          <w:sz w:val="24"/>
        </w:rPr>
        <w:t>E-Editor:</w:t>
      </w:r>
      <w:r w:rsidR="00E95EDB">
        <w:rPr>
          <w:rFonts w:ascii="Book Antiqua" w:hAnsi="Book Antiqua" w:hint="eastAsia"/>
          <w:b/>
          <w:bCs/>
          <w:sz w:val="24"/>
        </w:rPr>
        <w:t xml:space="preserve"> </w:t>
      </w:r>
      <w:r w:rsidR="00E95EDB" w:rsidRPr="00E95EDB">
        <w:rPr>
          <w:rFonts w:ascii="Book Antiqua" w:hAnsi="Book Antiqua" w:hint="eastAsia"/>
          <w:bCs/>
          <w:sz w:val="24"/>
        </w:rPr>
        <w:t>Yin SY</w:t>
      </w:r>
    </w:p>
    <w:p w:rsidR="00BB07B2" w:rsidRDefault="00BB07B2">
      <w:pPr>
        <w:shd w:val="clear" w:color="auto" w:fill="FFFFFF"/>
        <w:adjustRightInd w:val="0"/>
        <w:snapToGrid w:val="0"/>
        <w:spacing w:after="0" w:line="360" w:lineRule="auto"/>
        <w:rPr>
          <w:rFonts w:ascii="Book Antiqua" w:hAnsi="Book Antiqua" w:cs="Helvetica"/>
          <w:b/>
          <w:sz w:val="24"/>
        </w:rPr>
      </w:pPr>
      <w:bookmarkStart w:id="150" w:name="OLE_LINK880"/>
      <w:bookmarkStart w:id="151" w:name="OLE_LINK88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rFonts w:ascii="Book Antiqua" w:hAnsi="Book Antiqua" w:cs="Helvetica"/>
          <w:b/>
          <w:sz w:val="24"/>
        </w:rPr>
        <w:t xml:space="preserve">Specialty type: </w:t>
      </w:r>
      <w:r>
        <w:rPr>
          <w:rFonts w:ascii="Book Antiqua" w:hAnsi="Book Antiqua" w:cs="Helvetica"/>
          <w:sz w:val="24"/>
        </w:rPr>
        <w:t>Gastroenterology and</w:t>
      </w:r>
      <w:r>
        <w:rPr>
          <w:rFonts w:ascii="Book Antiqua" w:hAnsi="Book Antiqua" w:cs="Helvetica" w:hint="eastAsia"/>
          <w:sz w:val="24"/>
        </w:rPr>
        <w:t xml:space="preserve"> </w:t>
      </w:r>
      <w:r>
        <w:rPr>
          <w:rFonts w:ascii="Book Antiqua" w:hAnsi="Book Antiqua" w:cs="Helvetica"/>
          <w:sz w:val="24"/>
        </w:rPr>
        <w:t>hepatology</w:t>
      </w:r>
    </w:p>
    <w:p w:rsidR="00BB07B2" w:rsidRDefault="00BB07B2">
      <w:pPr>
        <w:shd w:val="clear" w:color="auto" w:fill="FFFFFF"/>
        <w:adjustRightInd w:val="0"/>
        <w:snapToGrid w:val="0"/>
        <w:spacing w:after="0"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lang w:val="en-CA"/>
        </w:rPr>
        <w:t>China</w:t>
      </w:r>
    </w:p>
    <w:p w:rsidR="00BB07B2" w:rsidRDefault="00BB07B2">
      <w:pPr>
        <w:shd w:val="clear" w:color="auto" w:fill="FFFFFF"/>
        <w:adjustRightInd w:val="0"/>
        <w:snapToGrid w:val="0"/>
        <w:spacing w:after="0" w:line="360" w:lineRule="auto"/>
        <w:rPr>
          <w:rFonts w:ascii="Book Antiqua" w:hAnsi="Book Antiqua" w:cs="Helvetica"/>
          <w:b/>
          <w:sz w:val="24"/>
        </w:rPr>
      </w:pPr>
      <w:r>
        <w:rPr>
          <w:rFonts w:ascii="Book Antiqua" w:hAnsi="Book Antiqua" w:cs="Helvetica"/>
          <w:b/>
          <w:sz w:val="24"/>
        </w:rPr>
        <w:t>Peer-review report classification</w:t>
      </w:r>
    </w:p>
    <w:p w:rsidR="00BB07B2" w:rsidRDefault="00BB07B2">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A (Excellent): </w:t>
      </w:r>
      <w:r>
        <w:rPr>
          <w:rFonts w:ascii="Book Antiqua" w:hAnsi="Book Antiqua" w:cs="Helvetica" w:hint="eastAsia"/>
          <w:sz w:val="24"/>
        </w:rPr>
        <w:t>A</w:t>
      </w:r>
    </w:p>
    <w:p w:rsidR="00BB07B2" w:rsidRDefault="00BB07B2">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B (Very good): </w:t>
      </w:r>
      <w:r>
        <w:rPr>
          <w:rFonts w:ascii="Book Antiqua" w:hAnsi="Book Antiqua" w:cs="Helvetica" w:hint="eastAsia"/>
          <w:sz w:val="24"/>
        </w:rPr>
        <w:t>0</w:t>
      </w:r>
    </w:p>
    <w:p w:rsidR="00BB07B2" w:rsidRDefault="00BB07B2">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C (Good): </w:t>
      </w:r>
      <w:r>
        <w:rPr>
          <w:rFonts w:ascii="Book Antiqua" w:hAnsi="Book Antiqua" w:cs="Helvetica" w:hint="eastAsia"/>
          <w:sz w:val="24"/>
        </w:rPr>
        <w:t>0</w:t>
      </w:r>
    </w:p>
    <w:p w:rsidR="00BB07B2" w:rsidRDefault="00BB07B2">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D (Fair): </w:t>
      </w:r>
      <w:r>
        <w:rPr>
          <w:rFonts w:ascii="Book Antiqua" w:hAnsi="Book Antiqua" w:cs="Helvetica" w:hint="eastAsia"/>
          <w:sz w:val="24"/>
        </w:rPr>
        <w:t>0</w:t>
      </w:r>
    </w:p>
    <w:p w:rsidR="00BB07B2" w:rsidRDefault="00BB07B2">
      <w:pPr>
        <w:adjustRightInd w:val="0"/>
        <w:snapToGrid w:val="0"/>
        <w:spacing w:after="0" w:line="360" w:lineRule="auto"/>
        <w:rPr>
          <w:rFonts w:ascii="Book Antiqua" w:hAnsi="Book Antiqua"/>
          <w:b/>
          <w:iCs/>
          <w:sz w:val="24"/>
        </w:rPr>
      </w:pPr>
      <w:r>
        <w:rPr>
          <w:rFonts w:ascii="Book Antiqua" w:hAnsi="Book Antiqua" w:cs="Helvetica"/>
          <w:sz w:val="24"/>
        </w:rPr>
        <w:t xml:space="preserve">Grade E (Poor): </w:t>
      </w:r>
      <w:r>
        <w:rPr>
          <w:rFonts w:ascii="Book Antiqua" w:hAnsi="Book Antiqua" w:cs="Helvetica" w:hint="eastAsia"/>
          <w:sz w:val="24"/>
        </w:rPr>
        <w:t>0</w:t>
      </w:r>
      <w:bookmarkEnd w:id="149"/>
      <w:bookmarkEnd w:id="150"/>
      <w:bookmarkEnd w:id="151"/>
    </w:p>
    <w:p w:rsidR="00BB07B2" w:rsidRDefault="00BB07B2">
      <w:pPr>
        <w:adjustRightInd w:val="0"/>
        <w:snapToGrid w:val="0"/>
        <w:spacing w:after="0" w:line="360" w:lineRule="auto"/>
        <w:rPr>
          <w:rFonts w:ascii="Book Antiqua" w:hAnsi="Book Antiqua"/>
          <w:color w:val="000000"/>
          <w:sz w:val="24"/>
        </w:rPr>
      </w:pP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br w:type="page"/>
      </w:r>
      <w:r w:rsidR="00877B17">
        <w:rPr>
          <w:rFonts w:ascii="Book Antiqua" w:hAnsi="Book Antiqua"/>
          <w:noProof/>
          <w:color w:val="000000"/>
          <w:sz w:val="24"/>
        </w:rPr>
        <w:drawing>
          <wp:inline distT="0" distB="0" distL="0" distR="0">
            <wp:extent cx="5274310" cy="37280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728085"/>
                    </a:xfrm>
                    <a:prstGeom prst="rect">
                      <a:avLst/>
                    </a:prstGeom>
                    <a:noFill/>
                    <a:ln>
                      <a:noFill/>
                    </a:ln>
                  </pic:spPr>
                </pic:pic>
              </a:graphicData>
            </a:graphic>
          </wp:inline>
        </w:drawing>
      </w:r>
    </w:p>
    <w:p w:rsidR="00BB07B2" w:rsidRDefault="00BB07B2">
      <w:pPr>
        <w:adjustRightInd w:val="0"/>
        <w:snapToGrid w:val="0"/>
        <w:spacing w:after="0" w:line="360" w:lineRule="auto"/>
        <w:outlineLvl w:val="0"/>
        <w:rPr>
          <w:rFonts w:ascii="Book Antiqua" w:hAnsi="Book Antiqua"/>
          <w:color w:val="000000"/>
          <w:sz w:val="24"/>
        </w:rPr>
      </w:pPr>
      <w:r>
        <w:rPr>
          <w:rFonts w:ascii="Book Antiqua" w:hAnsi="Book Antiqua"/>
          <w:b/>
          <w:bCs/>
          <w:color w:val="000000"/>
          <w:sz w:val="24"/>
        </w:rPr>
        <w:t xml:space="preserve">Figure 1 </w:t>
      </w:r>
      <w:r>
        <w:rPr>
          <w:rFonts w:ascii="Book Antiqua" w:hAnsi="Book Antiqua"/>
          <w:b/>
          <w:color w:val="000000"/>
          <w:sz w:val="24"/>
        </w:rPr>
        <w:t xml:space="preserve">Schematic diagram of the novel abdominal negative pressure lavage-drainage system. </w:t>
      </w:r>
      <w:r>
        <w:rPr>
          <w:rFonts w:ascii="Book Antiqua" w:hAnsi="Book Antiqua"/>
          <w:color w:val="000000"/>
          <w:sz w:val="24"/>
        </w:rPr>
        <w:t>During the entire study period, two #28 Penrose drains were routinely placed in the surgical resection bed in patients at the end of the procedure, one at the anastomotic site (tube A) and the other under the left diaphragm (tube B). In the ward, a #6 sputum suction tube (tube C) was placed next to the anastomotic stoma from the inside of tube A if anastomotic leakage occurred. ANPLDS: Abdominal negative pressure lavage-drainage system; AL: Anastomotic leakage.</w:t>
      </w:r>
    </w:p>
    <w:p w:rsidR="00BB07B2" w:rsidRDefault="00BB07B2">
      <w:pPr>
        <w:adjustRightInd w:val="0"/>
        <w:snapToGrid w:val="0"/>
        <w:spacing w:after="0" w:line="360" w:lineRule="auto"/>
        <w:outlineLvl w:val="0"/>
        <w:rPr>
          <w:rFonts w:ascii="Book Antiqua" w:hAnsi="Book Antiqua"/>
          <w:b/>
          <w:bCs/>
          <w:color w:val="000000"/>
          <w:sz w:val="24"/>
        </w:rPr>
      </w:pPr>
      <w:r>
        <w:rPr>
          <w:rFonts w:ascii="Book Antiqua" w:hAnsi="Book Antiqua"/>
          <w:color w:val="000000"/>
          <w:sz w:val="24"/>
        </w:rPr>
        <w:br w:type="page"/>
      </w:r>
      <w:r w:rsidR="00877B17">
        <w:rPr>
          <w:rFonts w:ascii="Book Antiqua" w:hAnsi="Book Antiqua"/>
          <w:noProof/>
          <w:color w:val="000000"/>
          <w:sz w:val="24"/>
        </w:rPr>
        <w:drawing>
          <wp:inline distT="0" distB="0" distL="0" distR="0">
            <wp:extent cx="5280025" cy="34512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0025" cy="3451225"/>
                    </a:xfrm>
                    <a:prstGeom prst="rect">
                      <a:avLst/>
                    </a:prstGeom>
                    <a:noFill/>
                    <a:ln>
                      <a:noFill/>
                    </a:ln>
                  </pic:spPr>
                </pic:pic>
              </a:graphicData>
            </a:graphic>
          </wp:inline>
        </w:drawing>
      </w:r>
    </w:p>
    <w:p w:rsidR="00BB07B2" w:rsidRDefault="00BB07B2">
      <w:pPr>
        <w:adjustRightInd w:val="0"/>
        <w:snapToGrid w:val="0"/>
        <w:spacing w:after="0" w:line="360" w:lineRule="auto"/>
        <w:rPr>
          <w:rFonts w:ascii="Book Antiqua" w:hAnsi="Book Antiqua"/>
          <w:b/>
          <w:bCs/>
          <w:color w:val="000000"/>
          <w:sz w:val="24"/>
        </w:rPr>
      </w:pPr>
      <w:r>
        <w:rPr>
          <w:rFonts w:ascii="Book Antiqua" w:hAnsi="Book Antiqua"/>
          <w:b/>
          <w:bCs/>
          <w:color w:val="000000"/>
          <w:sz w:val="24"/>
        </w:rPr>
        <w:t>Figure 2</w:t>
      </w:r>
      <w:r>
        <w:rPr>
          <w:rFonts w:ascii="Book Antiqua" w:hAnsi="Book Antiqua"/>
          <w:color w:val="000000"/>
          <w:sz w:val="24"/>
        </w:rPr>
        <w:t xml:space="preserve"> </w:t>
      </w:r>
      <w:r>
        <w:rPr>
          <w:rFonts w:ascii="Book Antiqua" w:hAnsi="Book Antiqua"/>
          <w:b/>
          <w:color w:val="000000"/>
          <w:sz w:val="24"/>
        </w:rPr>
        <w:t xml:space="preserve">The abdominal negative pressure lavage-drainage system therapy for anastomotic leakage after radical gastrectomy. </w:t>
      </w:r>
    </w:p>
    <w:p w:rsidR="00BB07B2" w:rsidRDefault="00BB07B2">
      <w:pPr>
        <w:adjustRightInd w:val="0"/>
        <w:snapToGrid w:val="0"/>
        <w:spacing w:after="0" w:line="360" w:lineRule="auto"/>
        <w:rPr>
          <w:rFonts w:ascii="Book Antiqua" w:hAnsi="Book Antiqua"/>
          <w:b/>
          <w:color w:val="000000"/>
          <w:sz w:val="24"/>
        </w:rPr>
      </w:pPr>
      <w:r>
        <w:rPr>
          <w:rFonts w:ascii="Book Antiqua" w:hAnsi="Book Antiqua"/>
          <w:b/>
          <w:color w:val="000000"/>
          <w:sz w:val="24"/>
        </w:rPr>
        <w:br w:type="page"/>
      </w:r>
      <w:r>
        <w:rPr>
          <w:rFonts w:ascii="Book Antiqua" w:hAnsi="Book Antiqua"/>
          <w:b/>
          <w:bCs/>
          <w:color w:val="000000"/>
          <w:sz w:val="24"/>
        </w:rPr>
        <w:t xml:space="preserve">Table 1 </w:t>
      </w:r>
      <w:r>
        <w:rPr>
          <w:rFonts w:ascii="Book Antiqua" w:hAnsi="Book Antiqua"/>
          <w:b/>
          <w:color w:val="000000"/>
          <w:sz w:val="24"/>
        </w:rPr>
        <w:t xml:space="preserve">Characteristics of patients who underwent R0 resection for gastric cancer </w:t>
      </w:r>
      <w:r>
        <w:rPr>
          <w:rFonts w:ascii="Book Antiqua" w:hAnsi="Book Antiqua"/>
          <w:b/>
          <w:i/>
          <w:color w:val="000000"/>
          <w:sz w:val="24"/>
        </w:rPr>
        <w:t>n</w:t>
      </w:r>
      <w:r>
        <w:rPr>
          <w:rFonts w:ascii="Book Antiqua" w:hAnsi="Book Antiqua"/>
          <w:b/>
          <w:color w:val="000000"/>
          <w:sz w:val="24"/>
        </w:rPr>
        <w:t xml:space="preserve"> (%)</w:t>
      </w:r>
    </w:p>
    <w:tbl>
      <w:tblPr>
        <w:tblW w:w="0" w:type="auto"/>
        <w:tblInd w:w="0" w:type="dxa"/>
        <w:tblLayout w:type="fixed"/>
        <w:tblCellMar>
          <w:left w:w="0" w:type="dxa"/>
          <w:right w:w="0" w:type="dxa"/>
        </w:tblCellMar>
        <w:tblLook w:val="0000" w:firstRow="0" w:lastRow="0" w:firstColumn="0" w:lastColumn="0" w:noHBand="0" w:noVBand="0"/>
      </w:tblPr>
      <w:tblGrid>
        <w:gridCol w:w="3324"/>
        <w:gridCol w:w="1378"/>
        <w:gridCol w:w="1459"/>
        <w:gridCol w:w="1254"/>
        <w:gridCol w:w="887"/>
      </w:tblGrid>
      <w:tr w:rsidR="00BB07B2">
        <w:trPr>
          <w:trHeight w:val="607"/>
        </w:trPr>
        <w:tc>
          <w:tcPr>
            <w:tcW w:w="3324" w:type="dxa"/>
            <w:tcBorders>
              <w:top w:val="single" w:sz="12" w:space="0" w:color="auto"/>
              <w:left w:val="nil"/>
              <w:bottom w:val="single" w:sz="12" w:space="0" w:color="auto"/>
              <w:right w:val="nil"/>
            </w:tcBorders>
            <w:tcMar>
              <w:top w:w="10" w:type="dxa"/>
              <w:left w:w="10" w:type="dxa"/>
              <w:bottom w:w="0" w:type="dxa"/>
              <w:right w:w="10" w:type="dxa"/>
            </w:tcMar>
            <w:vAlign w:val="center"/>
          </w:tcPr>
          <w:p w:rsidR="00BB07B2" w:rsidRDefault="00BB07B2">
            <w:pPr>
              <w:adjustRightInd w:val="0"/>
              <w:snapToGrid w:val="0"/>
              <w:spacing w:after="0" w:line="360" w:lineRule="auto"/>
              <w:rPr>
                <w:rFonts w:ascii="Book Antiqua" w:hAnsi="Book Antiqua"/>
                <w:b/>
                <w:bCs/>
                <w:color w:val="000000"/>
                <w:sz w:val="24"/>
              </w:rPr>
            </w:pPr>
            <w:bookmarkStart w:id="152" w:name="OLE_LINK7" w:colFirst="1" w:colLast="4"/>
            <w:r>
              <w:rPr>
                <w:rFonts w:ascii="Book Antiqua" w:hAnsi="Book Antiqua"/>
                <w:b/>
                <w:bCs/>
                <w:color w:val="000000"/>
                <w:sz w:val="24"/>
              </w:rPr>
              <w:t>Characteristic</w:t>
            </w:r>
          </w:p>
        </w:tc>
        <w:tc>
          <w:tcPr>
            <w:tcW w:w="1378" w:type="dxa"/>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All patients</w:t>
            </w:r>
          </w:p>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w:t>
            </w:r>
            <w:r>
              <w:rPr>
                <w:rFonts w:ascii="Book Antiqua" w:hAnsi="Book Antiqua"/>
                <w:b/>
                <w:bCs/>
                <w:i/>
                <w:color w:val="000000"/>
                <w:sz w:val="24"/>
              </w:rPr>
              <w:t xml:space="preserve">n </w:t>
            </w:r>
            <w:r>
              <w:rPr>
                <w:rFonts w:ascii="Book Antiqua" w:hAnsi="Book Antiqua"/>
                <w:b/>
                <w:bCs/>
                <w:color w:val="000000"/>
                <w:sz w:val="24"/>
              </w:rPr>
              <w:t>= 4173)</w:t>
            </w:r>
          </w:p>
        </w:tc>
        <w:tc>
          <w:tcPr>
            <w:tcW w:w="1459" w:type="dxa"/>
            <w:tcBorders>
              <w:top w:val="single" w:sz="12" w:space="0" w:color="auto"/>
              <w:left w:val="nil"/>
              <w:bottom w:val="single" w:sz="12" w:space="0" w:color="auto"/>
              <w:right w:val="nil"/>
            </w:tcBorders>
            <w:tcMar>
              <w:top w:w="10" w:type="dxa"/>
              <w:left w:w="10" w:type="dxa"/>
              <w:bottom w:w="0" w:type="dxa"/>
              <w:right w:w="10" w:type="dxa"/>
            </w:tcMar>
            <w:vAlign w:val="center"/>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2009-2013</w:t>
            </w:r>
          </w:p>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w:t>
            </w:r>
            <w:r>
              <w:rPr>
                <w:rFonts w:ascii="Book Antiqua" w:hAnsi="Book Antiqua"/>
                <w:b/>
                <w:bCs/>
                <w:i/>
                <w:color w:val="000000"/>
                <w:sz w:val="24"/>
              </w:rPr>
              <w:t>n</w:t>
            </w:r>
            <w:r>
              <w:rPr>
                <w:rFonts w:ascii="Book Antiqua" w:hAnsi="Book Antiqua"/>
                <w:b/>
                <w:bCs/>
                <w:color w:val="000000"/>
                <w:sz w:val="24"/>
              </w:rPr>
              <w:t xml:space="preserve"> = 2219)</w:t>
            </w:r>
          </w:p>
        </w:tc>
        <w:tc>
          <w:tcPr>
            <w:tcW w:w="1254" w:type="dxa"/>
            <w:tcBorders>
              <w:top w:val="single" w:sz="12" w:space="0" w:color="auto"/>
              <w:left w:val="nil"/>
              <w:bottom w:val="single" w:sz="12" w:space="0" w:color="auto"/>
              <w:right w:val="nil"/>
            </w:tcBorders>
            <w:tcMar>
              <w:top w:w="10" w:type="dxa"/>
              <w:left w:w="10" w:type="dxa"/>
              <w:bottom w:w="0" w:type="dxa"/>
              <w:right w:w="10" w:type="dxa"/>
            </w:tcMar>
            <w:vAlign w:val="center"/>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2014-2016</w:t>
            </w:r>
          </w:p>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w:t>
            </w:r>
            <w:r>
              <w:rPr>
                <w:rFonts w:ascii="Book Antiqua" w:hAnsi="Book Antiqua"/>
                <w:b/>
                <w:bCs/>
                <w:i/>
                <w:color w:val="000000"/>
                <w:sz w:val="24"/>
              </w:rPr>
              <w:t>n</w:t>
            </w:r>
            <w:r>
              <w:rPr>
                <w:rFonts w:ascii="Book Antiqua" w:hAnsi="Book Antiqua"/>
                <w:b/>
                <w:bCs/>
                <w:color w:val="000000"/>
                <w:sz w:val="24"/>
              </w:rPr>
              <w:t xml:space="preserve"> = 1954)</w:t>
            </w:r>
          </w:p>
        </w:tc>
        <w:tc>
          <w:tcPr>
            <w:tcW w:w="887" w:type="dxa"/>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i/>
                <w:color w:val="000000"/>
                <w:sz w:val="24"/>
              </w:rPr>
              <w:t>P</w:t>
            </w:r>
            <w:r>
              <w:rPr>
                <w:rFonts w:ascii="Book Antiqua" w:hAnsi="Book Antiqua"/>
                <w:b/>
                <w:bCs/>
                <w:color w:val="000000"/>
                <w:sz w:val="24"/>
              </w:rPr>
              <w:t>-value</w:t>
            </w:r>
          </w:p>
        </w:tc>
      </w:tr>
      <w:bookmarkEnd w:id="152"/>
      <w:tr w:rsidR="00BB07B2">
        <w:trPr>
          <w:trHeight w:hRule="exact" w:val="340"/>
        </w:trPr>
        <w:tc>
          <w:tcPr>
            <w:tcW w:w="3324" w:type="dxa"/>
            <w:tcBorders>
              <w:top w:val="single" w:sz="12" w:space="0" w:color="auto"/>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Mean age, yr</w:t>
            </w:r>
          </w:p>
        </w:tc>
        <w:tc>
          <w:tcPr>
            <w:tcW w:w="1378"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p>
        </w:tc>
        <w:tc>
          <w:tcPr>
            <w:tcW w:w="1459"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p>
        </w:tc>
        <w:tc>
          <w:tcPr>
            <w:tcW w:w="1254"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p>
        </w:tc>
        <w:tc>
          <w:tcPr>
            <w:tcW w:w="887"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color w:val="000000"/>
                <w:sz w:val="24"/>
              </w:rPr>
              <w:t>0.148</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&lt;65</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2701 (64.7)</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1414 (63.7)</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1287 (65.9)</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≥65</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1472 (35.3)</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805 (36.3)</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667 (34.1)</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Sex </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0.002</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Male</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3083 (73.9)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1683 (75.8)</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1400 (71.6)</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Female</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1090 (26.1)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536 (24.2)</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554 (28.4)</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Mean BMI, kg/m</w:t>
            </w:r>
            <w:r>
              <w:rPr>
                <w:rFonts w:ascii="Book Antiqua" w:hAnsi="Book Antiqua"/>
                <w:bCs/>
                <w:color w:val="000000"/>
                <w:sz w:val="24"/>
                <w:vertAlign w:val="superscript"/>
              </w:rPr>
              <w:t>2</w:t>
            </w:r>
            <w:r>
              <w:rPr>
                <w:rFonts w:ascii="Book Antiqua" w:hAnsi="Book Antiqua"/>
                <w:bCs/>
                <w:color w:val="000000"/>
                <w:sz w:val="24"/>
              </w:rPr>
              <w:t xml:space="preserve"> (SD)</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22.3 (5.2)</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22.0 (3.1)</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22.6 (3.7)</w:t>
            </w:r>
          </w:p>
        </w:tc>
        <w:tc>
          <w:tcPr>
            <w:tcW w:w="887" w:type="dxa"/>
            <w:tcBorders>
              <w:top w:val="nil"/>
              <w:left w:val="nil"/>
              <w:bottom w:val="nil"/>
              <w:right w:val="nil"/>
            </w:tcBorders>
            <w:tcMar>
              <w:top w:w="10" w:type="dxa"/>
              <w:left w:w="10" w:type="dxa"/>
              <w:bottom w:w="0" w:type="dxa"/>
              <w:right w:w="10" w:type="dxa"/>
            </w:tcMar>
            <w:vAlign w:val="bottom"/>
          </w:tcPr>
          <w:p w:rsidR="00BB07B2" w:rsidRDefault="003451D7">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w:t>
            </w:r>
            <w:r w:rsidR="00BB07B2">
              <w:rPr>
                <w:rFonts w:ascii="Book Antiqua" w:hAnsi="Book Antiqua"/>
                <w:color w:val="000000"/>
                <w:sz w:val="24"/>
              </w:rPr>
              <w:t>0.001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History of abdominal surgery</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0.436</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3543 (84.9)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1875 (84.5)</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1668 (85.4)</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630 (15.1)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344 (15.5)</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286 (14.6)</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Tumor site</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&lt;0.001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Upper</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1136 (27.2)</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590 (26.6)</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546 (27.9)</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eastAsia="Times New Roman" w:hAnsi="Book Antiqua"/>
                <w:bCs/>
                <w:color w:val="000000"/>
                <w:sz w:val="24"/>
              </w:rPr>
              <w:t xml:space="preserve"> Middle</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892 (21.4)</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383 (17.3)</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509 (26.0)</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eastAsia="Times New Roman" w:hAnsi="Book Antiqua"/>
                <w:bCs/>
                <w:color w:val="000000"/>
                <w:sz w:val="24"/>
              </w:rPr>
              <w:t xml:space="preserve"> Lower</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1654 (39.6)</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958 (43.2)</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696 (35.6)</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≥2 </w:t>
            </w:r>
            <w:r>
              <w:rPr>
                <w:rFonts w:ascii="Book Antiqua" w:eastAsia="Times New Roman" w:hAnsi="Book Antiqua"/>
                <w:bCs/>
                <w:color w:val="000000"/>
                <w:sz w:val="24"/>
              </w:rPr>
              <w:t>areas</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491 (11.8)</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288 (13.0)</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203 (10.4)</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bookmarkStart w:id="153" w:name="OLE_LINK45"/>
            <w:r>
              <w:rPr>
                <w:rFonts w:ascii="Book Antiqua" w:eastAsia="Times New Roman" w:hAnsi="Book Antiqua"/>
                <w:bCs/>
                <w:color w:val="000000"/>
                <w:sz w:val="24"/>
              </w:rPr>
              <w:t>Malnourished</w:t>
            </w:r>
            <w:bookmarkEnd w:id="153"/>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0.277</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3730 (89.4)</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1919 (88.9)</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1811 (89.9))</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443 (10.6)</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240 (11.1)</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203 (10.1)</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Mean tumor size, cm (SD)</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4.4 (2.6)</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4.6 (2.6)</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4.0 (2.7)</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&lt;0.001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AJCC-TNM stage, </w:t>
            </w:r>
            <w:r>
              <w:rPr>
                <w:rFonts w:ascii="Book Antiqua" w:eastAsia="AdvP41153C" w:hAnsi="Book Antiqua"/>
                <w:bCs/>
                <w:color w:val="000000"/>
                <w:sz w:val="24"/>
              </w:rPr>
              <w:t>8</w:t>
            </w:r>
            <w:r>
              <w:rPr>
                <w:rFonts w:ascii="Book Antiqua" w:eastAsia="AdvP41153C" w:hAnsi="Book Antiqua"/>
                <w:bCs/>
                <w:color w:val="000000"/>
                <w:sz w:val="24"/>
                <w:vertAlign w:val="superscript"/>
              </w:rPr>
              <w:t>th</w:t>
            </w:r>
            <w:r>
              <w:rPr>
                <w:rFonts w:ascii="Book Antiqua" w:eastAsia="AdvP41153C" w:hAnsi="Book Antiqua"/>
                <w:bCs/>
                <w:color w:val="000000"/>
                <w:sz w:val="24"/>
              </w:rPr>
              <w:t xml:space="preserve"> edition</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&lt;0.001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1158 (27.7)</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598 (26.9)</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560 (28.7)</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1052 (25.2)</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487 (21.9)</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565 (28.9)</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III</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1963 (47.0)</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1134 (51.1)</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829 (42.4)</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Comorbidities</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0.112</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2876 (68.9)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1553 (70.0)</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1323 (67.7)</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1297 (31.1)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666 (30.0)</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631 (32.3)</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HB, g/dL</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0.317</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≥90</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3718 (89.1)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1967 (88.6)</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1751 (89.6)</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&lt;90</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455 (10.9)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252 (11.4)</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203 (10.4)</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ASA</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0.641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I-II</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4000 (95.9)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2130 (96.0)</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1870 (95.7)</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III-IV</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173 (4.1)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89 (4.0)</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84 (4.3)</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Operation method</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&lt;0.001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Open</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670 (16.1)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469 (21.1)</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201 (10.3)</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Laparoscopic</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3503 (83.9)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1750 (78.9)</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1753 (89.7)</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Type of resection</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0.235</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Subtotal gastrectomy</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1873 (44.9)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1015 (45.7)</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858 (43.9)</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Total gastrectomy</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2300 (55.1)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1204 (54.3)</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1096 (56.1)</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Type of reconstruction</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&lt;0.001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Billroth I</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1100 (26.4)</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782 (35.2)</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318 (16.3)</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Billroth II</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540 (12.9)</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160 (7.2)</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380 (19.4)</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Roux-en-Y</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2468 (59.1)</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1225 (55.2)</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1243 (63.6)</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Other</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65 (1.6)</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52 (2.3)</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 (0.7)</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Mean surgical duration, min (SD)</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184.7 (67.6)</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191.3 (67.8)</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177.1 (66.7)</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&lt;0.001</w:t>
            </w:r>
          </w:p>
        </w:tc>
      </w:tr>
      <w:tr w:rsidR="00BB07B2">
        <w:trPr>
          <w:trHeight w:hRule="exact" w:val="82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Mean intraoperative blood loss, mL (SD)</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94.7 (256.8)</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115.0 (335.3)</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71.5 (108.6)</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&lt;0.001</w:t>
            </w:r>
          </w:p>
        </w:tc>
      </w:tr>
      <w:tr w:rsidR="00BB07B2">
        <w:trPr>
          <w:trHeight w:hRule="exact" w:val="340"/>
        </w:trPr>
        <w:tc>
          <w:tcPr>
            <w:tcW w:w="3324"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Mean length of stay, d (SD)</w:t>
            </w:r>
          </w:p>
        </w:tc>
        <w:tc>
          <w:tcPr>
            <w:tcW w:w="137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13.5 (7.8)</w:t>
            </w:r>
          </w:p>
        </w:tc>
        <w:tc>
          <w:tcPr>
            <w:tcW w:w="1459"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13.5 (7.4)</w:t>
            </w:r>
          </w:p>
        </w:tc>
        <w:tc>
          <w:tcPr>
            <w:tcW w:w="1254"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13.4 (8.2)</w:t>
            </w:r>
          </w:p>
        </w:tc>
        <w:tc>
          <w:tcPr>
            <w:tcW w:w="887"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0.296</w:t>
            </w:r>
          </w:p>
        </w:tc>
      </w:tr>
      <w:tr w:rsidR="00BB07B2">
        <w:trPr>
          <w:trHeight w:hRule="exact" w:val="340"/>
        </w:trPr>
        <w:tc>
          <w:tcPr>
            <w:tcW w:w="3324" w:type="dxa"/>
            <w:tcBorders>
              <w:top w:val="nil"/>
              <w:left w:val="nil"/>
              <w:bottom w:val="single" w:sz="12" w:space="0" w:color="auto"/>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AL</w:t>
            </w:r>
          </w:p>
        </w:tc>
        <w:tc>
          <w:tcPr>
            <w:tcW w:w="1378"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83 (2.0)</w:t>
            </w:r>
          </w:p>
        </w:tc>
        <w:tc>
          <w:tcPr>
            <w:tcW w:w="1459"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37 (1.7)</w:t>
            </w:r>
          </w:p>
        </w:tc>
        <w:tc>
          <w:tcPr>
            <w:tcW w:w="1254"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46 (2.4)</w:t>
            </w:r>
          </w:p>
        </w:tc>
        <w:tc>
          <w:tcPr>
            <w:tcW w:w="887"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0.113</w:t>
            </w:r>
          </w:p>
        </w:tc>
      </w:tr>
    </w:tbl>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Values represent the number of patients (percentages), unless otherwise indicated. BMI: Body mass index; HB: Hemoglobin; ASA: American Society of Anesthesiologists; AL: Anastomotic leakage.</w:t>
      </w:r>
    </w:p>
    <w:p w:rsidR="00BB07B2" w:rsidRDefault="00BB07B2">
      <w:pPr>
        <w:adjustRightInd w:val="0"/>
        <w:snapToGrid w:val="0"/>
        <w:spacing w:after="0" w:line="360" w:lineRule="auto"/>
        <w:rPr>
          <w:rFonts w:ascii="Book Antiqua" w:hAnsi="Book Antiqua"/>
          <w:color w:val="000000"/>
          <w:sz w:val="24"/>
        </w:rPr>
      </w:pPr>
      <w:bookmarkStart w:id="154" w:name="OLE_LINK10"/>
      <w:r>
        <w:rPr>
          <w:rFonts w:ascii="Book Antiqua" w:hAnsi="Book Antiqua"/>
          <w:color w:val="000000"/>
          <w:sz w:val="24"/>
        </w:rPr>
        <w:br w:type="page"/>
      </w:r>
      <w:r>
        <w:rPr>
          <w:rFonts w:ascii="Book Antiqua" w:hAnsi="Book Antiqua"/>
          <w:b/>
          <w:bCs/>
          <w:color w:val="000000"/>
          <w:sz w:val="24"/>
        </w:rPr>
        <w:t xml:space="preserve">Table </w:t>
      </w:r>
      <w:bookmarkEnd w:id="154"/>
      <w:r>
        <w:rPr>
          <w:rFonts w:ascii="Book Antiqua" w:hAnsi="Book Antiqua"/>
          <w:b/>
          <w:bCs/>
          <w:color w:val="000000"/>
          <w:sz w:val="24"/>
        </w:rPr>
        <w:t xml:space="preserve">2 </w:t>
      </w:r>
      <w:bookmarkStart w:id="155" w:name="OLE_LINK25"/>
      <w:r>
        <w:rPr>
          <w:rFonts w:ascii="Book Antiqua" w:hAnsi="Book Antiqua"/>
          <w:b/>
          <w:color w:val="000000"/>
          <w:sz w:val="24"/>
        </w:rPr>
        <w:t>Postoperative</w:t>
      </w:r>
      <w:bookmarkEnd w:id="155"/>
      <w:r>
        <w:rPr>
          <w:rFonts w:ascii="Book Antiqua" w:hAnsi="Book Antiqua"/>
          <w:b/>
          <w:color w:val="000000"/>
          <w:sz w:val="24"/>
        </w:rPr>
        <w:t xml:space="preserve"> mortality, morbidity, and treatment modality among patients with </w:t>
      </w:r>
      <w:bookmarkStart w:id="156" w:name="OLE_LINK5"/>
      <w:r>
        <w:rPr>
          <w:rFonts w:ascii="Book Antiqua" w:hAnsi="Book Antiqua"/>
          <w:b/>
          <w:color w:val="000000"/>
          <w:sz w:val="24"/>
        </w:rPr>
        <w:t>anastomotic leakage after radical gastrectomy</w:t>
      </w:r>
      <w:bookmarkEnd w:id="156"/>
      <w:r>
        <w:rPr>
          <w:rFonts w:ascii="Book Antiqua" w:hAnsi="Book Antiqua"/>
          <w:b/>
          <w:color w:val="000000"/>
          <w:sz w:val="24"/>
        </w:rPr>
        <w:t xml:space="preserve"> before (2009-2013) and after (2014-2016) implementation of the </w:t>
      </w:r>
      <w:bookmarkStart w:id="157" w:name="OLE_LINK2"/>
      <w:bookmarkStart w:id="158" w:name="OLE_LINK3"/>
      <w:r>
        <w:rPr>
          <w:rFonts w:ascii="Book Antiqua" w:hAnsi="Book Antiqua"/>
          <w:b/>
          <w:color w:val="000000"/>
          <w:sz w:val="24"/>
        </w:rPr>
        <w:t xml:space="preserve">abdominal </w:t>
      </w:r>
      <w:bookmarkStart w:id="159" w:name="OLE_LINK4"/>
      <w:r>
        <w:rPr>
          <w:rFonts w:ascii="Book Antiqua" w:hAnsi="Book Antiqua"/>
          <w:b/>
          <w:color w:val="000000"/>
          <w:sz w:val="24"/>
        </w:rPr>
        <w:t>n</w:t>
      </w:r>
      <w:r>
        <w:rPr>
          <w:rFonts w:ascii="Book Antiqua" w:eastAsia="AdvP41153C" w:hAnsi="Book Antiqua"/>
          <w:b/>
          <w:color w:val="000000"/>
          <w:sz w:val="24"/>
        </w:rPr>
        <w:t xml:space="preserve">egative </w:t>
      </w:r>
      <w:r>
        <w:rPr>
          <w:rFonts w:ascii="Book Antiqua" w:hAnsi="Book Antiqua"/>
          <w:b/>
          <w:color w:val="000000"/>
          <w:sz w:val="24"/>
        </w:rPr>
        <w:t>p</w:t>
      </w:r>
      <w:r>
        <w:rPr>
          <w:rFonts w:ascii="Book Antiqua" w:eastAsia="AdvP41153C" w:hAnsi="Book Antiqua"/>
          <w:b/>
          <w:color w:val="000000"/>
          <w:sz w:val="24"/>
        </w:rPr>
        <w:t>ressure</w:t>
      </w:r>
      <w:r>
        <w:rPr>
          <w:rFonts w:ascii="Book Antiqua" w:hAnsi="Book Antiqua"/>
          <w:b/>
          <w:color w:val="000000"/>
          <w:sz w:val="24"/>
        </w:rPr>
        <w:t xml:space="preserve"> lavage</w:t>
      </w:r>
      <w:bookmarkEnd w:id="159"/>
      <w:r>
        <w:rPr>
          <w:rFonts w:ascii="Book Antiqua" w:hAnsi="Book Antiqua"/>
          <w:b/>
          <w:color w:val="000000"/>
          <w:sz w:val="24"/>
        </w:rPr>
        <w:t>-drainage system</w:t>
      </w:r>
      <w:bookmarkEnd w:id="157"/>
      <w:bookmarkEnd w:id="158"/>
      <w:r>
        <w:rPr>
          <w:rFonts w:ascii="Book Antiqua" w:hAnsi="Book Antiqua"/>
          <w:b/>
          <w:color w:val="000000"/>
          <w:sz w:val="24"/>
        </w:rPr>
        <w:t xml:space="preserve"> </w:t>
      </w:r>
      <w:bookmarkStart w:id="160" w:name="OLE_LINK356"/>
      <w:r>
        <w:rPr>
          <w:rFonts w:ascii="Book Antiqua" w:hAnsi="Book Antiqua"/>
          <w:b/>
          <w:bCs/>
          <w:i/>
          <w:color w:val="000000"/>
          <w:sz w:val="24"/>
        </w:rPr>
        <w:t>n</w:t>
      </w:r>
      <w:bookmarkEnd w:id="160"/>
      <w:r>
        <w:rPr>
          <w:rFonts w:ascii="Book Antiqua" w:hAnsi="Book Antiqua"/>
          <w:b/>
          <w:bCs/>
          <w:color w:val="000000"/>
          <w:sz w:val="24"/>
        </w:rPr>
        <w:t xml:space="preserve"> (%)</w:t>
      </w:r>
    </w:p>
    <w:tbl>
      <w:tblPr>
        <w:tblW w:w="0" w:type="auto"/>
        <w:tblInd w:w="0" w:type="dxa"/>
        <w:tblLayout w:type="fixed"/>
        <w:tblCellMar>
          <w:top w:w="15" w:type="dxa"/>
          <w:left w:w="15" w:type="dxa"/>
          <w:bottom w:w="15" w:type="dxa"/>
          <w:right w:w="15" w:type="dxa"/>
        </w:tblCellMar>
        <w:tblLook w:val="0000" w:firstRow="0" w:lastRow="0" w:firstColumn="0" w:lastColumn="0" w:noHBand="0" w:noVBand="0"/>
      </w:tblPr>
      <w:tblGrid>
        <w:gridCol w:w="3976"/>
        <w:gridCol w:w="1061"/>
        <w:gridCol w:w="1213"/>
        <w:gridCol w:w="1151"/>
        <w:gridCol w:w="919"/>
      </w:tblGrid>
      <w:tr w:rsidR="00BB07B2">
        <w:trPr>
          <w:trHeight w:val="634"/>
        </w:trPr>
        <w:tc>
          <w:tcPr>
            <w:tcW w:w="3976" w:type="dxa"/>
            <w:tcBorders>
              <w:top w:val="single" w:sz="18" w:space="0" w:color="000000"/>
              <w:bottom w:val="single" w:sz="18" w:space="0" w:color="000000"/>
            </w:tcBorders>
            <w:vAlign w:val="center"/>
          </w:tcPr>
          <w:p w:rsidR="00BB07B2" w:rsidRDefault="00BB07B2">
            <w:pPr>
              <w:adjustRightInd w:val="0"/>
              <w:snapToGrid w:val="0"/>
              <w:spacing w:after="0" w:line="360" w:lineRule="auto"/>
              <w:rPr>
                <w:rFonts w:ascii="Book Antiqua" w:hAnsi="Book Antiqua"/>
                <w:b/>
                <w:bCs/>
                <w:color w:val="000000"/>
                <w:sz w:val="24"/>
              </w:rPr>
            </w:pPr>
            <w:r>
              <w:rPr>
                <w:rFonts w:ascii="Book Antiqua" w:hAnsi="Book Antiqua"/>
                <w:b/>
                <w:bCs/>
                <w:color w:val="000000"/>
                <w:sz w:val="24"/>
              </w:rPr>
              <w:t>Postoperative condition</w:t>
            </w:r>
          </w:p>
        </w:tc>
        <w:tc>
          <w:tcPr>
            <w:tcW w:w="1061" w:type="dxa"/>
            <w:tcBorders>
              <w:top w:val="single" w:sz="18" w:space="0" w:color="000000"/>
              <w:bottom w:val="single" w:sz="18" w:space="0" w:color="000000"/>
            </w:tcBorders>
            <w:vAlign w:val="center"/>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All patients</w:t>
            </w:r>
          </w:p>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i/>
                <w:color w:val="000000"/>
                <w:sz w:val="24"/>
              </w:rPr>
              <w:t>n</w:t>
            </w:r>
            <w:r>
              <w:rPr>
                <w:rFonts w:ascii="Book Antiqua" w:hAnsi="Book Antiqua"/>
                <w:b/>
                <w:bCs/>
                <w:color w:val="000000"/>
                <w:sz w:val="24"/>
              </w:rPr>
              <w:t xml:space="preserve"> = 83</w:t>
            </w:r>
          </w:p>
        </w:tc>
        <w:tc>
          <w:tcPr>
            <w:tcW w:w="1213" w:type="dxa"/>
            <w:tcBorders>
              <w:top w:val="single" w:sz="18" w:space="0" w:color="000000"/>
              <w:bottom w:val="single" w:sz="18" w:space="0" w:color="000000"/>
            </w:tcBorders>
            <w:vAlign w:val="center"/>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2009-2013</w:t>
            </w:r>
          </w:p>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i/>
                <w:color w:val="000000"/>
                <w:sz w:val="24"/>
              </w:rPr>
              <w:t>n</w:t>
            </w:r>
            <w:r>
              <w:rPr>
                <w:rFonts w:ascii="Book Antiqua" w:hAnsi="Book Antiqua"/>
                <w:b/>
                <w:bCs/>
                <w:color w:val="000000"/>
                <w:sz w:val="24"/>
              </w:rPr>
              <w:t xml:space="preserve"> = 37</w:t>
            </w:r>
          </w:p>
        </w:tc>
        <w:tc>
          <w:tcPr>
            <w:tcW w:w="1151" w:type="dxa"/>
            <w:tcBorders>
              <w:top w:val="single" w:sz="18" w:space="0" w:color="000000"/>
              <w:bottom w:val="single" w:sz="18" w:space="0" w:color="000000"/>
            </w:tcBorders>
            <w:vAlign w:val="center"/>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2014-2016</w:t>
            </w:r>
          </w:p>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i/>
                <w:color w:val="000000"/>
                <w:sz w:val="24"/>
              </w:rPr>
              <w:t>n</w:t>
            </w:r>
            <w:r>
              <w:rPr>
                <w:rFonts w:ascii="Book Antiqua" w:hAnsi="Book Antiqua"/>
                <w:b/>
                <w:bCs/>
                <w:color w:val="000000"/>
                <w:sz w:val="24"/>
              </w:rPr>
              <w:t xml:space="preserve"> = 46</w:t>
            </w:r>
          </w:p>
        </w:tc>
        <w:tc>
          <w:tcPr>
            <w:tcW w:w="919" w:type="dxa"/>
            <w:tcBorders>
              <w:top w:val="single" w:sz="18" w:space="0" w:color="000000"/>
              <w:bottom w:val="single" w:sz="18" w:space="0" w:color="000000"/>
            </w:tcBorders>
            <w:vAlign w:val="center"/>
          </w:tcPr>
          <w:p w:rsidR="00BB07B2" w:rsidRDefault="00BB07B2">
            <w:pPr>
              <w:adjustRightInd w:val="0"/>
              <w:snapToGrid w:val="0"/>
              <w:spacing w:after="0" w:line="360" w:lineRule="auto"/>
              <w:jc w:val="center"/>
              <w:rPr>
                <w:rFonts w:ascii="Book Antiqua" w:hAnsi="Book Antiqua"/>
                <w:b/>
                <w:bCs/>
                <w:color w:val="000000"/>
                <w:sz w:val="24"/>
              </w:rPr>
            </w:pPr>
            <w:bookmarkStart w:id="161" w:name="OLE_LINK39"/>
            <w:r>
              <w:rPr>
                <w:rFonts w:ascii="Book Antiqua" w:hAnsi="Book Antiqua"/>
                <w:b/>
                <w:bCs/>
                <w:i/>
                <w:color w:val="000000"/>
                <w:sz w:val="24"/>
              </w:rPr>
              <w:t>P</w:t>
            </w:r>
            <w:r>
              <w:rPr>
                <w:rFonts w:ascii="Book Antiqua" w:hAnsi="Book Antiqua"/>
                <w:b/>
                <w:bCs/>
                <w:color w:val="000000"/>
                <w:sz w:val="24"/>
              </w:rPr>
              <w:t>-value</w:t>
            </w:r>
            <w:bookmarkEnd w:id="161"/>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kern w:val="0"/>
                <w:sz w:val="24"/>
                <w:lang w:bidi="ar"/>
              </w:rPr>
              <w:t>Death</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7 (8.4)</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6 (16.2)</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1 (2.2)</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0.041</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bookmarkStart w:id="162" w:name="OLE_LINK40"/>
            <w:r>
              <w:rPr>
                <w:rFonts w:ascii="Book Antiqua" w:hAnsi="Book Antiqua"/>
                <w:bCs/>
                <w:color w:val="000000"/>
                <w:kern w:val="0"/>
                <w:sz w:val="24"/>
                <w:lang w:bidi="ar"/>
              </w:rPr>
              <w:t xml:space="preserve">Time of occurrence of AL, d </w:t>
            </w:r>
            <w:bookmarkEnd w:id="162"/>
            <w:r>
              <w:rPr>
                <w:rFonts w:ascii="Book Antiqua" w:hAnsi="Book Antiqua"/>
                <w:bCs/>
                <w:color w:val="000000"/>
                <w:kern w:val="0"/>
                <w:sz w:val="24"/>
                <w:lang w:bidi="ar"/>
              </w:rPr>
              <w:t>(mean)</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5.6</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5.4</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5.7</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0.738</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kern w:val="0"/>
                <w:sz w:val="24"/>
                <w:lang w:bidi="ar"/>
              </w:rPr>
            </w:pPr>
            <w:r>
              <w:rPr>
                <w:rFonts w:ascii="Book Antiqua" w:eastAsia="Times New Roman" w:hAnsi="Book Antiqua"/>
                <w:bCs/>
                <w:color w:val="000000"/>
                <w:sz w:val="24"/>
              </w:rPr>
              <w:t>Other complication</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Times New Roman" w:hAnsi="Book Antiqua"/>
                <w:bCs/>
                <w:color w:val="000000"/>
                <w:sz w:val="24"/>
              </w:rPr>
              <w:t>Pneumoni</w:t>
            </w:r>
            <w:r>
              <w:rPr>
                <w:rFonts w:ascii="Book Antiqua" w:hAnsi="Book Antiqua"/>
                <w:bCs/>
                <w:color w:val="000000"/>
                <w:sz w:val="24"/>
              </w:rPr>
              <w:t>a</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41 (49.3)</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16 (43.2)</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25 (54.3)</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0.315</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Times New Roman" w:hAnsi="Book Antiqua"/>
                <w:bCs/>
                <w:color w:val="000000"/>
                <w:sz w:val="24"/>
              </w:rPr>
              <w:t>Abdominal bleeding</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8 (9.6)</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7 (18.9)</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1 (2.2)</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0.020</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Times New Roman" w:hAnsi="Book Antiqua"/>
                <w:bCs/>
                <w:color w:val="000000"/>
                <w:sz w:val="24"/>
              </w:rPr>
              <w:t>Pancreatic fistula</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3 (3.6)</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3 (8.1)</w:t>
            </w:r>
          </w:p>
        </w:tc>
        <w:tc>
          <w:tcPr>
            <w:tcW w:w="1151" w:type="dxa"/>
            <w:vAlign w:val="center"/>
          </w:tcPr>
          <w:p w:rsidR="00BB07B2" w:rsidRDefault="00BB07B2">
            <w:pPr>
              <w:widowControl/>
              <w:tabs>
                <w:tab w:val="left" w:pos="423"/>
              </w:tabs>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0 (0)</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bookmarkStart w:id="163" w:name="OLE_LINK14"/>
            <w:r>
              <w:rPr>
                <w:rFonts w:ascii="Book Antiqua" w:hAnsi="Book Antiqua"/>
                <w:color w:val="000000"/>
                <w:sz w:val="24"/>
              </w:rPr>
              <w:t>0.085</w:t>
            </w:r>
            <w:bookmarkEnd w:id="163"/>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Segoe UI" w:hAnsi="Book Antiqua"/>
                <w:bCs/>
                <w:color w:val="000000"/>
                <w:sz w:val="24"/>
              </w:rPr>
              <w:t>Chylous leak</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4 (4.8)</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3 (8.1)</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1 (2.2)</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0.319</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Times New Roman" w:hAnsi="Book Antiqua"/>
                <w:bCs/>
                <w:color w:val="000000"/>
                <w:sz w:val="24"/>
              </w:rPr>
              <w:t>Anastomotic bleeding</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(2.4)</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(5.4)</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0 (0)</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bookmarkStart w:id="164" w:name="OLE_LINK13"/>
            <w:r>
              <w:rPr>
                <w:rFonts w:ascii="Book Antiqua" w:hAnsi="Book Antiqua"/>
                <w:color w:val="000000"/>
                <w:sz w:val="24"/>
              </w:rPr>
              <w:t>0.196</w:t>
            </w:r>
            <w:bookmarkEnd w:id="164"/>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Wound infection</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4 (4.8)</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(5.4)</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(4.3)</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&gt;0.999</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Times New Roman" w:hAnsi="Book Antiqua"/>
                <w:bCs/>
                <w:color w:val="000000"/>
                <w:sz w:val="24"/>
              </w:rPr>
              <w:t>ARF&amp;RI</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(2.4)</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(5.4)</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0 (0)</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0.196</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Times New Roman" w:hAnsi="Book Antiqua"/>
                <w:bCs/>
                <w:color w:val="000000"/>
                <w:sz w:val="24"/>
              </w:rPr>
              <w:t>Cardiac event</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(2.4)</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1 (2.7)</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1 (2.2)</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&gt;0.999</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sz w:val="24"/>
              </w:rPr>
              <w:t xml:space="preserve">  </w:t>
            </w:r>
            <w:r>
              <w:rPr>
                <w:rFonts w:ascii="Book Antiqua" w:eastAsia="Times New Roman" w:hAnsi="Book Antiqua"/>
                <w:bCs/>
                <w:color w:val="000000"/>
                <w:sz w:val="24"/>
              </w:rPr>
              <w:t>HF and hypohepatia</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2 (2.4)</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1 (2.7)</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1 (2.2)</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sz w:val="24"/>
              </w:rPr>
              <w:t>&gt;0.999</w:t>
            </w:r>
          </w:p>
        </w:tc>
      </w:tr>
      <w:tr w:rsidR="00BB07B2">
        <w:trPr>
          <w:trHeight w:hRule="exact" w:val="341"/>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kern w:val="0"/>
                <w:sz w:val="24"/>
                <w:lang w:bidi="ar"/>
              </w:rPr>
            </w:pPr>
            <w:r>
              <w:rPr>
                <w:rFonts w:ascii="Book Antiqua" w:hAnsi="Book Antiqua"/>
                <w:bCs/>
                <w:color w:val="000000"/>
                <w:kern w:val="0"/>
                <w:sz w:val="24"/>
                <w:lang w:bidi="ar"/>
              </w:rPr>
              <w:t>Treatment</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kern w:val="0"/>
                <w:sz w:val="24"/>
                <w:lang w:bidi="ar"/>
              </w:rPr>
            </w:pPr>
            <w:r>
              <w:rPr>
                <w:rFonts w:ascii="Book Antiqua" w:hAnsi="Book Antiqua"/>
                <w:bCs/>
                <w:color w:val="000000"/>
                <w:kern w:val="0"/>
                <w:sz w:val="24"/>
                <w:lang w:bidi="ar"/>
              </w:rPr>
              <w:t xml:space="preserve">  </w:t>
            </w:r>
            <w:r>
              <w:rPr>
                <w:rFonts w:ascii="Book Antiqua" w:eastAsia="Times New Roman" w:hAnsi="Book Antiqua"/>
                <w:bCs/>
                <w:color w:val="000000"/>
                <w:sz w:val="24"/>
              </w:rPr>
              <w:t>No invasive</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58 (69.9)</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18 (48.6)</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40 (87.0)</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&lt;0.001</w:t>
            </w:r>
          </w:p>
        </w:tc>
      </w:tr>
      <w:tr w:rsidR="00BB07B2">
        <w:trPr>
          <w:trHeight w:hRule="exact" w:val="340"/>
        </w:trPr>
        <w:tc>
          <w:tcPr>
            <w:tcW w:w="3976" w:type="dxa"/>
            <w:vAlign w:val="center"/>
          </w:tcPr>
          <w:p w:rsidR="00BB07B2" w:rsidRDefault="00BB07B2" w:rsidP="003451D7">
            <w:pPr>
              <w:widowControl/>
              <w:adjustRightInd w:val="0"/>
              <w:snapToGrid w:val="0"/>
              <w:spacing w:after="0" w:line="360" w:lineRule="auto"/>
              <w:textAlignment w:val="center"/>
              <w:rPr>
                <w:rFonts w:ascii="Book Antiqua" w:hAnsi="Book Antiqua"/>
                <w:bCs/>
                <w:color w:val="000000"/>
                <w:kern w:val="0"/>
                <w:sz w:val="24"/>
                <w:lang w:bidi="ar"/>
              </w:rPr>
            </w:pPr>
            <w:r>
              <w:rPr>
                <w:rFonts w:ascii="Book Antiqua" w:hAnsi="Book Antiqua"/>
                <w:bCs/>
                <w:color w:val="000000"/>
                <w:kern w:val="0"/>
                <w:sz w:val="24"/>
                <w:lang w:bidi="ar"/>
              </w:rPr>
              <w:t xml:space="preserve">  </w:t>
            </w:r>
            <w:r>
              <w:rPr>
                <w:rFonts w:ascii="Book Antiqua" w:eastAsia="Times New Roman" w:hAnsi="Book Antiqua"/>
                <w:bCs/>
                <w:color w:val="000000"/>
                <w:sz w:val="24"/>
              </w:rPr>
              <w:t>CT-guided</w:t>
            </w:r>
            <w:r>
              <w:rPr>
                <w:rFonts w:ascii="Book Antiqua" w:hAnsi="Book Antiqua"/>
                <w:bCs/>
                <w:color w:val="000000"/>
                <w:sz w:val="24"/>
              </w:rPr>
              <w:t xml:space="preserve"> puncture drainage</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16 (19.3)</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11 (29.7)</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5 (10.9)</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0.030</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kern w:val="0"/>
                <w:sz w:val="24"/>
                <w:lang w:bidi="ar"/>
              </w:rPr>
            </w:pPr>
            <w:r>
              <w:rPr>
                <w:rFonts w:ascii="Book Antiqua" w:hAnsi="Book Antiqua"/>
                <w:bCs/>
                <w:color w:val="000000"/>
                <w:kern w:val="0"/>
                <w:sz w:val="24"/>
                <w:lang w:bidi="ar"/>
              </w:rPr>
              <w:t xml:space="preserve">  </w:t>
            </w:r>
            <w:r>
              <w:rPr>
                <w:rFonts w:ascii="Book Antiqua" w:eastAsia="Times New Roman" w:hAnsi="Book Antiqua"/>
                <w:bCs/>
                <w:color w:val="000000"/>
                <w:sz w:val="24"/>
              </w:rPr>
              <w:t>endoscopy</w:t>
            </w:r>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3</w:t>
            </w:r>
            <w:r>
              <w:rPr>
                <w:rFonts w:ascii="Book Antiqua" w:hAnsi="Book Antiqua"/>
                <w:color w:val="000000"/>
                <w:sz w:val="24"/>
              </w:rPr>
              <w:t xml:space="preserve"> (3.6)</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3</w:t>
            </w:r>
            <w:r>
              <w:rPr>
                <w:rFonts w:ascii="Book Antiqua" w:hAnsi="Book Antiqua"/>
                <w:color w:val="000000"/>
                <w:sz w:val="24"/>
              </w:rPr>
              <w:t xml:space="preserve"> (8.1)</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0</w:t>
            </w:r>
            <w:r>
              <w:rPr>
                <w:rFonts w:ascii="Book Antiqua" w:hAnsi="Book Antiqua"/>
                <w:color w:val="000000"/>
                <w:sz w:val="24"/>
              </w:rPr>
              <w:t xml:space="preserve"> (0)</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sz w:val="24"/>
              </w:rPr>
              <w:t>0.085</w:t>
            </w:r>
          </w:p>
        </w:tc>
      </w:tr>
      <w:tr w:rsidR="00BB07B2">
        <w:trPr>
          <w:trHeight w:hRule="exact" w:val="340"/>
        </w:trPr>
        <w:tc>
          <w:tcPr>
            <w:tcW w:w="3976" w:type="dxa"/>
            <w:vAlign w:val="center"/>
          </w:tcPr>
          <w:p w:rsidR="00BB07B2" w:rsidRDefault="00BB07B2">
            <w:pPr>
              <w:widowControl/>
              <w:adjustRightInd w:val="0"/>
              <w:snapToGrid w:val="0"/>
              <w:spacing w:after="0" w:line="360" w:lineRule="auto"/>
              <w:textAlignment w:val="center"/>
              <w:rPr>
                <w:rFonts w:ascii="Book Antiqua" w:hAnsi="Book Antiqua"/>
                <w:bCs/>
                <w:color w:val="000000"/>
                <w:kern w:val="0"/>
                <w:sz w:val="24"/>
                <w:lang w:bidi="ar"/>
              </w:rPr>
            </w:pPr>
            <w:r>
              <w:rPr>
                <w:rFonts w:ascii="Book Antiqua" w:hAnsi="Book Antiqua"/>
                <w:bCs/>
                <w:color w:val="000000"/>
                <w:kern w:val="0"/>
                <w:sz w:val="24"/>
                <w:lang w:bidi="ar"/>
              </w:rPr>
              <w:t xml:space="preserve">  </w:t>
            </w:r>
            <w:bookmarkStart w:id="165" w:name="OLE_LINK16"/>
            <w:r>
              <w:rPr>
                <w:rFonts w:ascii="Book Antiqua" w:hAnsi="Book Antiqua"/>
                <w:bCs/>
                <w:color w:val="000000"/>
                <w:kern w:val="0"/>
                <w:sz w:val="24"/>
                <w:lang w:bidi="ar"/>
              </w:rPr>
              <w:t>Reoperation</w:t>
            </w:r>
            <w:bookmarkEnd w:id="165"/>
          </w:p>
        </w:tc>
        <w:tc>
          <w:tcPr>
            <w:tcW w:w="106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6 (7.2)</w:t>
            </w:r>
          </w:p>
        </w:tc>
        <w:tc>
          <w:tcPr>
            <w:tcW w:w="1213"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5 (13.5)</w:t>
            </w:r>
          </w:p>
        </w:tc>
        <w:tc>
          <w:tcPr>
            <w:tcW w:w="1151"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1 (2.2)</w:t>
            </w:r>
          </w:p>
        </w:tc>
        <w:tc>
          <w:tcPr>
            <w:tcW w:w="919" w:type="dxa"/>
            <w:vAlign w:val="center"/>
          </w:tcPr>
          <w:p w:rsidR="00BB07B2" w:rsidRDefault="00BB07B2">
            <w:pPr>
              <w:widowControl/>
              <w:adjustRightInd w:val="0"/>
              <w:snapToGrid w:val="0"/>
              <w:spacing w:after="0" w:line="360" w:lineRule="auto"/>
              <w:jc w:val="center"/>
              <w:textAlignment w:val="center"/>
              <w:rPr>
                <w:rFonts w:ascii="Book Antiqua" w:hAnsi="Book Antiqua"/>
                <w:color w:val="000000"/>
                <w:kern w:val="0"/>
                <w:sz w:val="24"/>
                <w:lang w:bidi="ar"/>
              </w:rPr>
            </w:pPr>
            <w:r>
              <w:rPr>
                <w:rFonts w:ascii="Book Antiqua" w:hAnsi="Book Antiqua"/>
                <w:color w:val="000000"/>
                <w:kern w:val="0"/>
                <w:sz w:val="24"/>
                <w:lang w:bidi="ar"/>
              </w:rPr>
              <w:t>0.084</w:t>
            </w:r>
          </w:p>
        </w:tc>
      </w:tr>
      <w:tr w:rsidR="00BB07B2">
        <w:trPr>
          <w:trHeight w:hRule="exact" w:val="340"/>
        </w:trPr>
        <w:tc>
          <w:tcPr>
            <w:tcW w:w="3976" w:type="dxa"/>
            <w:tcBorders>
              <w:bottom w:val="single" w:sz="18" w:space="0" w:color="000000"/>
            </w:tcBorders>
            <w:vAlign w:val="center"/>
          </w:tcPr>
          <w:p w:rsidR="00BB07B2" w:rsidRDefault="00BB07B2">
            <w:pPr>
              <w:widowControl/>
              <w:adjustRightInd w:val="0"/>
              <w:snapToGrid w:val="0"/>
              <w:spacing w:after="0" w:line="360" w:lineRule="auto"/>
              <w:textAlignment w:val="center"/>
              <w:rPr>
                <w:rFonts w:ascii="Book Antiqua" w:hAnsi="Book Antiqua"/>
                <w:bCs/>
                <w:color w:val="000000"/>
                <w:sz w:val="24"/>
              </w:rPr>
            </w:pPr>
            <w:r>
              <w:rPr>
                <w:rFonts w:ascii="Book Antiqua" w:hAnsi="Book Antiqua"/>
                <w:bCs/>
                <w:color w:val="000000"/>
                <w:kern w:val="0"/>
                <w:sz w:val="24"/>
                <w:lang w:bidi="ar"/>
              </w:rPr>
              <w:t>Length of stay, d (mean)</w:t>
            </w:r>
          </w:p>
        </w:tc>
        <w:tc>
          <w:tcPr>
            <w:tcW w:w="1061" w:type="dxa"/>
            <w:tcBorders>
              <w:bottom w:val="single" w:sz="18" w:space="0" w:color="000000"/>
            </w:tcBorders>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30.2</w:t>
            </w:r>
          </w:p>
        </w:tc>
        <w:tc>
          <w:tcPr>
            <w:tcW w:w="1213" w:type="dxa"/>
            <w:tcBorders>
              <w:bottom w:val="single" w:sz="18" w:space="0" w:color="000000"/>
            </w:tcBorders>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31.6</w:t>
            </w:r>
          </w:p>
        </w:tc>
        <w:tc>
          <w:tcPr>
            <w:tcW w:w="1151" w:type="dxa"/>
            <w:tcBorders>
              <w:bottom w:val="single" w:sz="18" w:space="0" w:color="000000"/>
            </w:tcBorders>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28.4</w:t>
            </w:r>
          </w:p>
        </w:tc>
        <w:tc>
          <w:tcPr>
            <w:tcW w:w="919" w:type="dxa"/>
            <w:tcBorders>
              <w:bottom w:val="single" w:sz="18" w:space="0" w:color="000000"/>
            </w:tcBorders>
            <w:vAlign w:val="center"/>
          </w:tcPr>
          <w:p w:rsidR="00BB07B2" w:rsidRDefault="00BB07B2">
            <w:pPr>
              <w:widowControl/>
              <w:adjustRightInd w:val="0"/>
              <w:snapToGrid w:val="0"/>
              <w:spacing w:after="0" w:line="360" w:lineRule="auto"/>
              <w:jc w:val="center"/>
              <w:textAlignment w:val="center"/>
              <w:rPr>
                <w:rFonts w:ascii="Book Antiqua" w:hAnsi="Book Antiqua"/>
                <w:color w:val="000000"/>
                <w:sz w:val="24"/>
              </w:rPr>
            </w:pPr>
            <w:r>
              <w:rPr>
                <w:rFonts w:ascii="Book Antiqua" w:hAnsi="Book Antiqua"/>
                <w:color w:val="000000"/>
                <w:kern w:val="0"/>
                <w:sz w:val="24"/>
                <w:lang w:bidi="ar"/>
              </w:rPr>
              <w:t>0.458</w:t>
            </w:r>
          </w:p>
        </w:tc>
      </w:tr>
    </w:tbl>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AL: Anastomotic leakage; ARF&amp;RI: Acute renal failure and renal insufficiency; CT: Computed tomography.</w:t>
      </w:r>
    </w:p>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br w:type="page"/>
      </w:r>
      <w:r>
        <w:rPr>
          <w:rFonts w:ascii="Book Antiqua" w:hAnsi="Book Antiqua"/>
          <w:b/>
          <w:bCs/>
          <w:color w:val="000000"/>
          <w:sz w:val="24"/>
        </w:rPr>
        <w:t xml:space="preserve">Table 3 </w:t>
      </w:r>
      <w:r>
        <w:rPr>
          <w:rFonts w:ascii="Book Antiqua" w:hAnsi="Book Antiqua"/>
          <w:b/>
          <w:color w:val="000000"/>
          <w:sz w:val="24"/>
        </w:rPr>
        <w:t>Risk factors predictive of anastomotic leakage after radical gastrectomy</w:t>
      </w:r>
    </w:p>
    <w:tbl>
      <w:tblPr>
        <w:tblW w:w="0" w:type="auto"/>
        <w:tblInd w:w="0" w:type="dxa"/>
        <w:tblLayout w:type="fixed"/>
        <w:tblCellMar>
          <w:left w:w="0" w:type="dxa"/>
          <w:right w:w="0" w:type="dxa"/>
        </w:tblCellMar>
        <w:tblLook w:val="0000" w:firstRow="0" w:lastRow="0" w:firstColumn="0" w:lastColumn="0" w:noHBand="0" w:noVBand="0"/>
      </w:tblPr>
      <w:tblGrid>
        <w:gridCol w:w="3049"/>
        <w:gridCol w:w="2593"/>
        <w:gridCol w:w="1350"/>
      </w:tblGrid>
      <w:tr w:rsidR="00BB07B2">
        <w:trPr>
          <w:trHeight w:val="379"/>
        </w:trPr>
        <w:tc>
          <w:tcPr>
            <w:tcW w:w="3049" w:type="dxa"/>
            <w:vMerge w:val="restart"/>
            <w:tcBorders>
              <w:top w:val="single" w:sz="12" w:space="0" w:color="auto"/>
              <w:left w:val="nil"/>
              <w:right w:val="nil"/>
            </w:tcBorders>
            <w:tcMar>
              <w:top w:w="10" w:type="dxa"/>
              <w:left w:w="10" w:type="dxa"/>
              <w:bottom w:w="0" w:type="dxa"/>
              <w:right w:w="10" w:type="dxa"/>
            </w:tcMar>
            <w:vAlign w:val="center"/>
          </w:tcPr>
          <w:p w:rsidR="00BB07B2" w:rsidRDefault="00BB07B2">
            <w:pPr>
              <w:adjustRightInd w:val="0"/>
              <w:snapToGrid w:val="0"/>
              <w:spacing w:after="0" w:line="360" w:lineRule="auto"/>
              <w:rPr>
                <w:rFonts w:ascii="Book Antiqua" w:hAnsi="Book Antiqua"/>
                <w:b/>
                <w:bCs/>
                <w:color w:val="000000"/>
                <w:sz w:val="24"/>
              </w:rPr>
            </w:pPr>
            <w:bookmarkStart w:id="166" w:name="OLE_LINK9"/>
            <w:r>
              <w:rPr>
                <w:rFonts w:ascii="Book Antiqua" w:hAnsi="Book Antiqua"/>
                <w:b/>
                <w:bCs/>
                <w:color w:val="000000"/>
                <w:sz w:val="24"/>
              </w:rPr>
              <w:t>Factor</w:t>
            </w:r>
          </w:p>
        </w:tc>
        <w:tc>
          <w:tcPr>
            <w:tcW w:w="3943" w:type="dxa"/>
            <w:gridSpan w:val="2"/>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kern w:val="0"/>
                <w:sz w:val="24"/>
                <w:lang w:bidi="ar"/>
              </w:rPr>
              <w:t>Multivariate analysis results</w:t>
            </w:r>
          </w:p>
        </w:tc>
      </w:tr>
      <w:tr w:rsidR="00BB07B2">
        <w:trPr>
          <w:trHeight w:val="378"/>
        </w:trPr>
        <w:tc>
          <w:tcPr>
            <w:tcW w:w="3049" w:type="dxa"/>
            <w:vMerge/>
            <w:tcBorders>
              <w:left w:val="nil"/>
              <w:bottom w:val="single" w:sz="12" w:space="0" w:color="auto"/>
              <w:right w:val="nil"/>
            </w:tcBorders>
            <w:tcMar>
              <w:top w:w="10" w:type="dxa"/>
              <w:left w:w="10" w:type="dxa"/>
              <w:bottom w:w="0" w:type="dxa"/>
              <w:right w:w="10" w:type="dxa"/>
            </w:tcMar>
            <w:vAlign w:val="center"/>
          </w:tcPr>
          <w:p w:rsidR="00BB07B2" w:rsidRDefault="00BB07B2">
            <w:pPr>
              <w:adjustRightInd w:val="0"/>
              <w:snapToGrid w:val="0"/>
              <w:spacing w:after="0" w:line="360" w:lineRule="auto"/>
              <w:rPr>
                <w:rFonts w:ascii="Book Antiqua" w:hAnsi="Book Antiqua"/>
                <w:b/>
                <w:bCs/>
                <w:color w:val="000000"/>
                <w:sz w:val="24"/>
              </w:rPr>
            </w:pPr>
          </w:p>
        </w:tc>
        <w:tc>
          <w:tcPr>
            <w:tcW w:w="2593" w:type="dxa"/>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OR (95%CI)</w:t>
            </w:r>
          </w:p>
        </w:tc>
        <w:tc>
          <w:tcPr>
            <w:tcW w:w="1350" w:type="dxa"/>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i/>
                <w:color w:val="000000"/>
                <w:sz w:val="24"/>
              </w:rPr>
              <w:t>P</w:t>
            </w:r>
            <w:r>
              <w:rPr>
                <w:rFonts w:ascii="Book Antiqua" w:hAnsi="Book Antiqua"/>
                <w:b/>
                <w:bCs/>
                <w:color w:val="000000"/>
                <w:sz w:val="24"/>
              </w:rPr>
              <w:t>-value</w:t>
            </w:r>
          </w:p>
        </w:tc>
      </w:tr>
      <w:tr w:rsidR="00BB07B2">
        <w:trPr>
          <w:trHeight w:hRule="exact" w:val="340"/>
        </w:trPr>
        <w:tc>
          <w:tcPr>
            <w:tcW w:w="3049" w:type="dxa"/>
            <w:tcBorders>
              <w:top w:val="single" w:sz="12" w:space="0" w:color="auto"/>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bookmarkStart w:id="167" w:name="OLE_LINK8" w:colFirst="1" w:colLast="2"/>
            <w:r>
              <w:rPr>
                <w:rFonts w:ascii="Book Antiqua" w:hAnsi="Book Antiqua"/>
                <w:bCs/>
                <w:color w:val="000000"/>
                <w:sz w:val="24"/>
              </w:rPr>
              <w:t>Age, yr</w:t>
            </w:r>
          </w:p>
        </w:tc>
        <w:tc>
          <w:tcPr>
            <w:tcW w:w="2593"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p>
        </w:tc>
        <w:tc>
          <w:tcPr>
            <w:tcW w:w="1350"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bookmarkStart w:id="168" w:name="OLE_LINK6" w:colFirst="0" w:colLast="0"/>
            <w:bookmarkEnd w:id="167"/>
            <w:r>
              <w:rPr>
                <w:rFonts w:ascii="Book Antiqua" w:hAnsi="Book Antiqua"/>
                <w:bCs/>
                <w:color w:val="000000"/>
                <w:sz w:val="24"/>
              </w:rPr>
              <w:t xml:space="preserve"> &lt;65</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bookmarkStart w:id="169" w:name="OLE_LINK12"/>
            <w:r>
              <w:rPr>
                <w:rFonts w:ascii="Book Antiqua" w:hAnsi="Book Antiqua"/>
                <w:color w:val="000000"/>
                <w:kern w:val="0"/>
                <w:sz w:val="24"/>
                <w:lang w:bidi="ar"/>
              </w:rPr>
              <w:t>Reference</w:t>
            </w:r>
            <w:bookmarkEnd w:id="169"/>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0.006</w:t>
            </w: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≥65</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1.886 (1.195-2.975)</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bookmarkStart w:id="170" w:name="OLE_LINK34"/>
            <w:r>
              <w:rPr>
                <w:rFonts w:ascii="Book Antiqua" w:eastAsia="Times New Roman" w:hAnsi="Book Antiqua"/>
                <w:bCs/>
                <w:color w:val="000000"/>
                <w:sz w:val="24"/>
              </w:rPr>
              <w:t>Malnourished</w:t>
            </w:r>
            <w:bookmarkEnd w:id="170"/>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bookmarkEnd w:id="168"/>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0.005</w:t>
            </w: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2.194 (1.267-3.797)</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Comorbidities</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0.171</w:t>
            </w: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1.377 (0.871-2.178)</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HB, g/dL</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≥90</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0.221</w:t>
            </w: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&lt;90</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1.441 (0.803-2.586)</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Type of resection</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40"/>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Subtotal gastrectomy</w:t>
            </w:r>
          </w:p>
        </w:tc>
        <w:tc>
          <w:tcPr>
            <w:tcW w:w="2593"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5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0.069</w:t>
            </w:r>
          </w:p>
        </w:tc>
      </w:tr>
      <w:tr w:rsidR="00BB07B2">
        <w:trPr>
          <w:trHeight w:hRule="exact" w:val="340"/>
        </w:trPr>
        <w:tc>
          <w:tcPr>
            <w:tcW w:w="3049" w:type="dxa"/>
            <w:tcBorders>
              <w:top w:val="nil"/>
              <w:left w:val="nil"/>
              <w:bottom w:val="single" w:sz="12" w:space="0" w:color="auto"/>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Total gastrectomy</w:t>
            </w:r>
          </w:p>
        </w:tc>
        <w:tc>
          <w:tcPr>
            <w:tcW w:w="2593"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1.534 (0.967-2.434)</w:t>
            </w:r>
          </w:p>
        </w:tc>
        <w:tc>
          <w:tcPr>
            <w:tcW w:w="1350"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bl>
    <w:bookmarkEnd w:id="166"/>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HB: Hemoglobin.</w:t>
      </w:r>
    </w:p>
    <w:p w:rsidR="00BB07B2" w:rsidRDefault="00BB07B2">
      <w:pPr>
        <w:adjustRightInd w:val="0"/>
        <w:snapToGrid w:val="0"/>
        <w:spacing w:after="0" w:line="360" w:lineRule="auto"/>
        <w:rPr>
          <w:rFonts w:ascii="Book Antiqua" w:hAnsi="Book Antiqua"/>
          <w:color w:val="000000"/>
          <w:sz w:val="24"/>
        </w:rPr>
      </w:pPr>
      <w:bookmarkStart w:id="171" w:name="OLE_LINK11"/>
      <w:r>
        <w:rPr>
          <w:rFonts w:ascii="Book Antiqua" w:hAnsi="Book Antiqua"/>
          <w:color w:val="000000"/>
          <w:sz w:val="24"/>
        </w:rPr>
        <w:br w:type="page"/>
      </w:r>
      <w:r>
        <w:rPr>
          <w:rFonts w:ascii="Book Antiqua" w:hAnsi="Book Antiqua"/>
          <w:b/>
          <w:bCs/>
          <w:color w:val="000000"/>
          <w:sz w:val="24"/>
        </w:rPr>
        <w:t>Table</w:t>
      </w:r>
      <w:bookmarkEnd w:id="171"/>
      <w:r>
        <w:rPr>
          <w:rFonts w:ascii="Book Antiqua" w:hAnsi="Book Antiqua"/>
          <w:b/>
          <w:bCs/>
          <w:color w:val="000000"/>
          <w:sz w:val="24"/>
        </w:rPr>
        <w:t xml:space="preserve"> 4 </w:t>
      </w:r>
      <w:r>
        <w:rPr>
          <w:rFonts w:ascii="Book Antiqua" w:hAnsi="Book Antiqua"/>
          <w:b/>
          <w:color w:val="000000"/>
          <w:sz w:val="24"/>
        </w:rPr>
        <w:t>Risk factors predictive of failure-to-rescue after anastomotic leakage with radical gastrectomy for gastric cancer</w:t>
      </w:r>
    </w:p>
    <w:tbl>
      <w:tblPr>
        <w:tblW w:w="0" w:type="auto"/>
        <w:tblInd w:w="0" w:type="dxa"/>
        <w:tblLayout w:type="fixed"/>
        <w:tblCellMar>
          <w:left w:w="0" w:type="dxa"/>
          <w:right w:w="0" w:type="dxa"/>
        </w:tblCellMar>
        <w:tblLook w:val="0000" w:firstRow="0" w:lastRow="0" w:firstColumn="0" w:lastColumn="0" w:noHBand="0" w:noVBand="0"/>
      </w:tblPr>
      <w:tblGrid>
        <w:gridCol w:w="3049"/>
        <w:gridCol w:w="2268"/>
        <w:gridCol w:w="1310"/>
      </w:tblGrid>
      <w:tr w:rsidR="00BB07B2">
        <w:trPr>
          <w:trHeight w:val="379"/>
        </w:trPr>
        <w:tc>
          <w:tcPr>
            <w:tcW w:w="3049" w:type="dxa"/>
            <w:vMerge w:val="restart"/>
            <w:tcBorders>
              <w:top w:val="single" w:sz="12" w:space="0" w:color="auto"/>
              <w:left w:val="nil"/>
              <w:right w:val="nil"/>
            </w:tcBorders>
            <w:tcMar>
              <w:top w:w="10" w:type="dxa"/>
              <w:left w:w="10" w:type="dxa"/>
              <w:bottom w:w="0" w:type="dxa"/>
              <w:right w:w="10" w:type="dxa"/>
            </w:tcMar>
            <w:vAlign w:val="center"/>
          </w:tcPr>
          <w:p w:rsidR="00BB07B2" w:rsidRDefault="00BB07B2">
            <w:pPr>
              <w:adjustRightInd w:val="0"/>
              <w:snapToGrid w:val="0"/>
              <w:spacing w:after="0" w:line="360" w:lineRule="auto"/>
              <w:rPr>
                <w:rFonts w:ascii="Book Antiqua" w:hAnsi="Book Antiqua"/>
                <w:b/>
                <w:bCs/>
                <w:color w:val="000000"/>
                <w:sz w:val="24"/>
              </w:rPr>
            </w:pPr>
            <w:r>
              <w:rPr>
                <w:rFonts w:ascii="Book Antiqua" w:hAnsi="Book Antiqua"/>
                <w:b/>
                <w:bCs/>
                <w:color w:val="000000"/>
                <w:sz w:val="24"/>
              </w:rPr>
              <w:t>Factor</w:t>
            </w:r>
          </w:p>
        </w:tc>
        <w:tc>
          <w:tcPr>
            <w:tcW w:w="3578" w:type="dxa"/>
            <w:gridSpan w:val="2"/>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kern w:val="0"/>
                <w:sz w:val="24"/>
                <w:lang w:bidi="ar"/>
              </w:rPr>
              <w:t>Univariate analysis</w:t>
            </w:r>
          </w:p>
        </w:tc>
      </w:tr>
      <w:tr w:rsidR="00BB07B2">
        <w:trPr>
          <w:trHeight w:val="378"/>
        </w:trPr>
        <w:tc>
          <w:tcPr>
            <w:tcW w:w="3049" w:type="dxa"/>
            <w:vMerge/>
            <w:tcBorders>
              <w:left w:val="nil"/>
              <w:bottom w:val="single" w:sz="12" w:space="0" w:color="auto"/>
              <w:right w:val="nil"/>
            </w:tcBorders>
            <w:tcMar>
              <w:top w:w="10" w:type="dxa"/>
              <w:left w:w="10" w:type="dxa"/>
              <w:bottom w:w="0" w:type="dxa"/>
              <w:right w:w="10" w:type="dxa"/>
            </w:tcMar>
            <w:vAlign w:val="center"/>
          </w:tcPr>
          <w:p w:rsidR="00BB07B2" w:rsidRDefault="00BB07B2">
            <w:pPr>
              <w:adjustRightInd w:val="0"/>
              <w:snapToGrid w:val="0"/>
              <w:spacing w:after="0" w:line="360" w:lineRule="auto"/>
              <w:rPr>
                <w:rFonts w:ascii="Book Antiqua" w:hAnsi="Book Antiqua"/>
                <w:b/>
                <w:bCs/>
                <w:color w:val="000000"/>
                <w:sz w:val="24"/>
              </w:rPr>
            </w:pPr>
          </w:p>
        </w:tc>
        <w:tc>
          <w:tcPr>
            <w:tcW w:w="2268" w:type="dxa"/>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color w:val="000000"/>
                <w:sz w:val="24"/>
              </w:rPr>
              <w:t>OR (95%CI)</w:t>
            </w:r>
          </w:p>
        </w:tc>
        <w:tc>
          <w:tcPr>
            <w:tcW w:w="1310" w:type="dxa"/>
            <w:tcBorders>
              <w:top w:val="single" w:sz="12" w:space="0" w:color="auto"/>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r>
              <w:rPr>
                <w:rFonts w:ascii="Book Antiqua" w:hAnsi="Book Antiqua"/>
                <w:b/>
                <w:bCs/>
                <w:i/>
                <w:color w:val="000000"/>
                <w:sz w:val="24"/>
              </w:rPr>
              <w:t>P</w:t>
            </w:r>
            <w:r>
              <w:rPr>
                <w:rFonts w:ascii="Book Antiqua" w:hAnsi="Book Antiqua"/>
                <w:b/>
                <w:bCs/>
                <w:color w:val="000000"/>
                <w:sz w:val="24"/>
              </w:rPr>
              <w:t>-value</w:t>
            </w:r>
          </w:p>
        </w:tc>
      </w:tr>
      <w:tr w:rsidR="00BB07B2">
        <w:trPr>
          <w:trHeight w:hRule="exact" w:val="312"/>
        </w:trPr>
        <w:tc>
          <w:tcPr>
            <w:tcW w:w="3049" w:type="dxa"/>
            <w:tcBorders>
              <w:top w:val="single" w:sz="12" w:space="0" w:color="auto"/>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bookmarkStart w:id="172" w:name="OLE_LINK43"/>
            <w:r>
              <w:rPr>
                <w:rFonts w:ascii="Book Antiqua" w:hAnsi="Book Antiqua"/>
                <w:bCs/>
                <w:color w:val="000000"/>
                <w:sz w:val="24"/>
              </w:rPr>
              <w:t>ANPLDS therapy</w:t>
            </w:r>
            <w:bookmarkEnd w:id="172"/>
          </w:p>
        </w:tc>
        <w:tc>
          <w:tcPr>
            <w:tcW w:w="2268"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p>
        </w:tc>
        <w:tc>
          <w:tcPr>
            <w:tcW w:w="1310" w:type="dxa"/>
            <w:tcBorders>
              <w:top w:val="single" w:sz="12" w:space="0" w:color="auto"/>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b/>
                <w:bCs/>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0.040</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0.103 (0.012-0.898)</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Age, yr</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&lt;65</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0.532</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≥65</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0.607 (0.127-2.900)</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Sex </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Female</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0.998</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Male</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BMI, kg/m</w:t>
            </w:r>
            <w:r>
              <w:rPr>
                <w:rFonts w:ascii="Book Antiqua" w:hAnsi="Book Antiqua"/>
                <w:bCs/>
                <w:color w:val="000000"/>
                <w:sz w:val="24"/>
                <w:vertAlign w:val="superscript"/>
              </w:rPr>
              <w:t>2</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&lt;25</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0.773</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≥25</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1.289 (0.230-7.219)</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History of abdominal surgery</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0.849</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0.808 (0.090-7.286)</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Tumor site</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Upper</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0.935</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eastAsia="Times New Roman" w:hAnsi="Book Antiqua"/>
                <w:bCs/>
                <w:color w:val="000000"/>
                <w:sz w:val="24"/>
              </w:rPr>
              <w:t xml:space="preserve"> Middle</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0.998</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eastAsia="Times New Roman" w:hAnsi="Book Antiqua"/>
                <w:bCs/>
                <w:color w:val="000000"/>
                <w:sz w:val="24"/>
              </w:rPr>
              <w:t xml:space="preserve"> Lower</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0.697 (0.106-4.578)</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0.707</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≥2 </w:t>
            </w:r>
            <w:r>
              <w:rPr>
                <w:rFonts w:ascii="Book Antiqua" w:eastAsia="Times New Roman" w:hAnsi="Book Antiqua"/>
                <w:bCs/>
                <w:color w:val="000000"/>
                <w:sz w:val="24"/>
              </w:rPr>
              <w:t>areas</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1.394 (0.203-9.585)</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0.736</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eastAsia="Times New Roman" w:hAnsi="Book Antiqua"/>
                <w:bCs/>
                <w:color w:val="000000"/>
                <w:sz w:val="24"/>
              </w:rPr>
              <w:t>Malnourished</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0.710</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1.388 (0.247-7.802)</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Tumor size, cm</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≤5</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0.700</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&gt;5</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1.361 (0.283-6.535)</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AJCC-TNM stage, </w:t>
            </w:r>
            <w:r>
              <w:rPr>
                <w:rFonts w:ascii="Book Antiqua" w:eastAsia="AdvP41153C" w:hAnsi="Book Antiqua"/>
                <w:bCs/>
                <w:color w:val="000000"/>
                <w:sz w:val="24"/>
              </w:rPr>
              <w:t>8th edition</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I-II</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0.115</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III</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5.692 (0.654-49.570)</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Comorbidities</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No</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0.448</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Yes</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1.833 (0.383-8.765)</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HB, g/dL</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≥90</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0.728</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&lt;90</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0.678 (0.076-6.063)</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ASA</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I-II</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0.567</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III-IV</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1.944 (0.200-18.920)</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Operation method</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Open</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0.073</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Laparoscopic</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0.226 (0.044-1.149)</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Type of resection</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Subtotal gastrectomy</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0.763</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Total gastrectomy</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1.300 (0.236-7.166)</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Type of reconstruction</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Billroth I</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0.997</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Billroth II</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0.817 (0.148-4.520)</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0.817</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Roux-en-Y</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bookmarkStart w:id="173" w:name="OLE_LINK21"/>
            <w:r>
              <w:rPr>
                <w:rFonts w:ascii="Book Antiqua" w:hAnsi="Book Antiqua"/>
                <w:color w:val="000000"/>
                <w:sz w:val="24"/>
              </w:rPr>
              <w:t>&gt;0.999</w:t>
            </w:r>
            <w:bookmarkEnd w:id="173"/>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Other</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0.999</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Surgical duration, min (SD)</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&gt;180</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0.138</w:t>
            </w: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≤180</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3.629 (0.661-19.914)</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Intraoperative blood loss, ml</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r w:rsidR="00BB07B2">
        <w:trPr>
          <w:trHeight w:hRule="exact" w:val="312"/>
        </w:trPr>
        <w:tc>
          <w:tcPr>
            <w:tcW w:w="3049" w:type="dxa"/>
            <w:tcBorders>
              <w:top w:val="nil"/>
              <w:left w:val="nil"/>
              <w:bottom w:val="nil"/>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&gt;50</w:t>
            </w:r>
          </w:p>
        </w:tc>
        <w:tc>
          <w:tcPr>
            <w:tcW w:w="2268"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kern w:val="0"/>
                <w:sz w:val="24"/>
                <w:lang w:bidi="ar"/>
              </w:rPr>
              <w:t>Reference</w:t>
            </w:r>
          </w:p>
        </w:tc>
        <w:tc>
          <w:tcPr>
            <w:tcW w:w="1310" w:type="dxa"/>
            <w:tcBorders>
              <w:top w:val="nil"/>
              <w:left w:val="nil"/>
              <w:bottom w:val="nil"/>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0.997</w:t>
            </w:r>
          </w:p>
        </w:tc>
      </w:tr>
      <w:tr w:rsidR="00BB07B2">
        <w:trPr>
          <w:trHeight w:hRule="exact" w:val="312"/>
        </w:trPr>
        <w:tc>
          <w:tcPr>
            <w:tcW w:w="3049" w:type="dxa"/>
            <w:tcBorders>
              <w:top w:val="nil"/>
              <w:left w:val="nil"/>
              <w:bottom w:val="single" w:sz="12" w:space="0" w:color="auto"/>
              <w:right w:val="nil"/>
            </w:tcBorders>
            <w:tcMar>
              <w:top w:w="10" w:type="dxa"/>
              <w:left w:w="10" w:type="dxa"/>
              <w:bottom w:w="0" w:type="dxa"/>
              <w:right w:w="10" w:type="dxa"/>
            </w:tcMar>
          </w:tcPr>
          <w:p w:rsidR="00BB07B2" w:rsidRDefault="00BB07B2">
            <w:pPr>
              <w:adjustRightInd w:val="0"/>
              <w:snapToGrid w:val="0"/>
              <w:spacing w:after="0" w:line="360" w:lineRule="auto"/>
              <w:rPr>
                <w:rFonts w:ascii="Book Antiqua" w:hAnsi="Book Antiqua"/>
                <w:bCs/>
                <w:color w:val="000000"/>
                <w:sz w:val="24"/>
              </w:rPr>
            </w:pPr>
            <w:r>
              <w:rPr>
                <w:rFonts w:ascii="Book Antiqua" w:hAnsi="Book Antiqua"/>
                <w:bCs/>
                <w:color w:val="000000"/>
                <w:sz w:val="24"/>
              </w:rPr>
              <w:t xml:space="preserve"> ≤50</w:t>
            </w:r>
          </w:p>
        </w:tc>
        <w:tc>
          <w:tcPr>
            <w:tcW w:w="2268"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r>
              <w:rPr>
                <w:rFonts w:ascii="Book Antiqua" w:hAnsi="Book Antiqua"/>
                <w:color w:val="000000"/>
                <w:sz w:val="24"/>
              </w:rPr>
              <w:t>/</w:t>
            </w:r>
          </w:p>
        </w:tc>
        <w:tc>
          <w:tcPr>
            <w:tcW w:w="1310" w:type="dxa"/>
            <w:tcBorders>
              <w:top w:val="nil"/>
              <w:left w:val="nil"/>
              <w:bottom w:val="single" w:sz="12" w:space="0" w:color="auto"/>
              <w:right w:val="nil"/>
            </w:tcBorders>
            <w:tcMar>
              <w:top w:w="10" w:type="dxa"/>
              <w:left w:w="10" w:type="dxa"/>
              <w:bottom w:w="0" w:type="dxa"/>
              <w:right w:w="10" w:type="dxa"/>
            </w:tcMar>
            <w:vAlign w:val="bottom"/>
          </w:tcPr>
          <w:p w:rsidR="00BB07B2" w:rsidRDefault="00BB07B2">
            <w:pPr>
              <w:adjustRightInd w:val="0"/>
              <w:snapToGrid w:val="0"/>
              <w:spacing w:after="0" w:line="360" w:lineRule="auto"/>
              <w:jc w:val="center"/>
              <w:rPr>
                <w:rFonts w:ascii="Book Antiqua" w:hAnsi="Book Antiqua"/>
                <w:color w:val="000000"/>
                <w:sz w:val="24"/>
              </w:rPr>
            </w:pPr>
          </w:p>
        </w:tc>
      </w:tr>
    </w:tbl>
    <w:p w:rsidR="00BB07B2" w:rsidRDefault="00BB07B2">
      <w:pPr>
        <w:adjustRightInd w:val="0"/>
        <w:snapToGrid w:val="0"/>
        <w:spacing w:after="0" w:line="360" w:lineRule="auto"/>
        <w:rPr>
          <w:rFonts w:ascii="Book Antiqua" w:hAnsi="Book Antiqua"/>
          <w:color w:val="000000"/>
          <w:sz w:val="24"/>
        </w:rPr>
      </w:pPr>
      <w:r>
        <w:rPr>
          <w:rFonts w:ascii="Book Antiqua" w:hAnsi="Book Antiqua"/>
          <w:color w:val="000000"/>
          <w:sz w:val="24"/>
        </w:rPr>
        <w:t>ANPLDS: Abdominal negative pressure lavage-drainage system; BMI: Body mass index; HB: Hemoglobin; ASA: American Society of Anesthesiologists.</w:t>
      </w:r>
    </w:p>
    <w:sectPr w:rsidR="00BB07B2">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vP4A213B">
    <w:altName w:val="Segoe Print"/>
    <w:charset w:val="00"/>
    <w:family w:val="roman"/>
    <w:pitch w:val="default"/>
    <w:sig w:usb0="00000000"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AdvP41153C">
    <w:altName w:val="Segoe Print"/>
    <w:charset w:val="00"/>
    <w:family w:val="roman"/>
    <w:pitch w:val="default"/>
    <w:sig w:usb0="00000000"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02FF" w:usb1="4000E47F" w:usb2="0000002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6054CA8-58F6-4D6B-AE9B-E8B4ECF68ED5}" w:val=" ADDIN NE.Ref.{06054CA8-58F6-4D6B-AE9B-E8B4ECF68ED5}&lt;Citation&gt;&lt;Group&gt;&lt;References&gt;&lt;Item&gt;&lt;ID&gt;252&lt;/ID&gt;&lt;UID&gt;{6BF23F05-70AD-4550-9FB6-B4387507801E}&lt;/UID&gt;&lt;Title&gt;Variation in hospital complication rates and failure-to-rescue for trauma patients&lt;/Title&gt;&lt;Template&gt;Journal Article&lt;/Template&gt;&lt;Star&gt;0&lt;/Star&gt;&lt;Tag&gt;0&lt;/Tag&gt;&lt;Author&gt;Glance, L G; Dick, A W; Meredith, J W; Mukamel, D B&lt;/Author&gt;&lt;Year&gt;2011&lt;/Year&gt;&lt;Details&gt;&lt;_accession_num&gt;21475024&lt;/_accession_num&gt;&lt;_author_adr&gt;University of Rochester School of Medicine, NY, USA. Laurent_Glance@urmc.rochester.edu&lt;/_author_adr&gt;&lt;_collection_scope&gt;SCI;SCIE;&lt;/_collection_scope&gt;&lt;_created&gt;62314233&lt;/_created&gt;&lt;_date&gt;2011-04-01&lt;/_date&gt;&lt;_date_display&gt;2011 Apr&lt;/_date_display&gt;&lt;_doi&gt;10.1097/SLA.0b013e318211d872&lt;/_doi&gt;&lt;_impact_factor&gt;   9.203&lt;/_impact_factor&gt;&lt;_isbn&gt;1528-1140 (Electronic); 0003-4932 (Linking)&lt;/_isbn&gt;&lt;_issue&gt;4&lt;/_issue&gt;&lt;_journal&gt;Ann Surg&lt;/_journal&gt;&lt;_keywords&gt;Adolescent; Adult; Age Distribution; Analysis of Variance; Bayes Theorem; *Cause of Death; Cohort Studies; Confidence Intervals; Databases, Factual; Female; Hospital Mortality/*trends; Hospitals/*standards/trends; Humans; Incidence; Injury Severity Score; Male; Middle Aged; Multiple Trauma/diagnosis/mortality/surgery; Odds Ratio; Postoperative Complications/mortality; Quality Control; Quality Improvement; Retrospective Studies; Sex Distribution; Survival Analysis; Treatment Failure; United States; Wounds and Injuries/diagnosis/*mortality/*surgery; Young Adult&lt;/_keywords&gt;&lt;_language&gt;eng&lt;/_language&gt;&lt;_modified&gt;62314254&lt;/_modified&gt;&lt;_pages&gt;811-6&lt;/_pages&gt;&lt;_tertiary_title&gt;Annals of surgery&lt;/_tertiary_title&gt;&lt;_type_work&gt;Comparative Study; Journal Article; Research Support, U.S. Gov&amp;apos;t, P.H.S.&lt;/_type_work&gt;&lt;_url&gt;http://www.ncbi.nlm.nih.gov/entrez/query.fcgi?cmd=Retrieve&amp;amp;db=pubmed&amp;amp;dopt=Abstract&amp;amp;list_uids=21475024&amp;amp;query_hl=1&lt;/_url&gt;&lt;_volume&gt;253&lt;/_volume&gt;&lt;/Details&gt;&lt;Extra&gt;&lt;DBUID&gt;{B538FB44-5F0A-4660-AE5D-888A8FDEFC3D}&lt;/DBUID&gt;&lt;/Extra&gt;&lt;/Item&gt;&lt;/References&gt;&lt;/Group&gt;&lt;Group&gt;&lt;References&gt;&lt;Item&gt;&lt;ID&gt;253&lt;/ID&gt;&lt;UID&gt;{7F244FFD-527C-4C00-9BB8-20B6B531BDAE}&lt;/UID&gt;&lt;Title&gt;Impact of Hospital Characteristics on Failure to Rescue Following Major Surgery&lt;/Title&gt;&lt;Template&gt;Journal Article&lt;/Template&gt;&lt;Star&gt;0&lt;/Star&gt;&lt;Tag&gt;0&lt;/Tag&gt;&lt;Author&gt;Sheetz, K H; Dimick, J B; Ghaferi, A A&lt;/Author&gt;&lt;Year&gt;2016&lt;/Year&gt;&lt;Details&gt;&lt;_accession_num&gt;26501706&lt;/_accession_num&gt;&lt;_author_adr&gt;Department of Surgery, Center for Healthcare Outcomes and Policy, University of Michigan, Ann Arbor, MI.&lt;/_author_adr&gt;&lt;_collection_scope&gt;SCI;SCIE;&lt;/_collection_scope&gt;&lt;_created&gt;62314233&lt;/_created&gt;&lt;_date&gt;2016-04-01&lt;/_date&gt;&lt;_date_display&gt;2016 Apr&lt;/_date_display&gt;&lt;_doi&gt;10.1097/SLA.0000000000001414&lt;/_doi&gt;&lt;_impact_factor&gt;   9.203&lt;/_impact_factor&gt;&lt;_isbn&gt;1528-1140 (Electronic); 0003-4932 (Linking)&lt;/_isbn&gt;&lt;_issue&gt;4&lt;/_issue&gt;&lt;_journal&gt;Ann Surg&lt;/_journal&gt;&lt;_keywords&gt;Aged; Aged, 80 and over; Digestive System Surgical Procedures/mortality; Female; Healthcare Disparities/*statistics &amp;amp; numerical data; *Hospital Mortality; Hospitals/*statistics &amp;amp; numerical data; Humans; Logistic Models; Male; Medicare; Postoperative Complications/*mortality/therapy; Treatment Failure; United States; Vascular Surgical Procedures/mortality&lt;/_keywords&gt;&lt;_language&gt;eng&lt;/_language&gt;&lt;_modified&gt;62314257&lt;/_modified&gt;&lt;_pages&gt;692-7&lt;/_pages&gt;&lt;_tertiary_title&gt;Annals of surgery&lt;/_tertiary_title&gt;&lt;_type_work&gt;Journal Article; Research Support, N.I.H., Extramural&lt;/_type_work&gt;&lt;_url&gt;http://www.ncbi.nlm.nih.gov/entrez/query.fcgi?cmd=Retrieve&amp;amp;db=pubmed&amp;amp;dopt=Abstract&amp;amp;list_uids=26501706&amp;amp;query_hl=1&lt;/_url&gt;&lt;_volume&gt;263&lt;/_volume&gt;&lt;/Details&gt;&lt;Extra&gt;&lt;DBUID&gt;{B538FB44-5F0A-4660-AE5D-888A8FDEFC3D}&lt;/DBUID&gt;&lt;/Extra&gt;&lt;/Item&gt;&lt;/References&gt;&lt;/Group&gt;&lt;/Citation&gt;_x000a_"/>
    <w:docVar w:name="NE.Ref{0A080357-A1C8-457C-9F83-1F050E44388E}" w:val=" ADDIN NE.Ref.{0A080357-A1C8-457C-9F83-1F050E44388E}&lt;Citation&gt;&lt;Group&gt;&lt;References&gt;&lt;Item&gt;&lt;ID&gt;242&lt;/ID&gt;&lt;UID&gt;{53A2559F-C746-4DC6-B83C-8FE0FE07C7C1}&lt;/UID&gt;&lt;Title&gt;AJCC Cancer Staging Manual. 8th ed&lt;/Title&gt;&lt;Template&gt;Book&lt;/Template&gt;&lt;Star&gt;0&lt;/Star&gt;&lt;Tag&gt;0&lt;/Tag&gt;&lt;Author&gt;Amin, M B; Edge, S; Greene, F; Byrd, D R; Brookland, R K; Washington, M K; Gershenwald, J E; Compton, C C; Hess, K R; Sullivan, D C; Jessup, J M; Brierley, J D; Gaspar, L E; Schilsky, R L; Balch, C M; Winchester, D P; Asare, E A; Madera, M; Gress, D M; Meyer, L R&lt;/Author&gt;&lt;Year&gt;2017&lt;/Year&gt;&lt;Details&gt;&lt;_accessed&gt;62314231&lt;/_accessed&gt;&lt;_created&gt;62314231&lt;/_created&gt;&lt;_modified&gt;62314231&lt;/_modified&gt;&lt;_publisher&gt;New York: Springer&lt;/_publisher&gt;&lt;/Details&gt;&lt;Extra&gt;&lt;DBUID&gt;{B538FB44-5F0A-4660-AE5D-888A8FDEFC3D}&lt;/DBUID&gt;&lt;/Extra&gt;&lt;/Item&gt;&lt;/References&gt;&lt;/Group&gt;&lt;/Citation&gt;_x000a_"/>
    <w:docVar w:name="NE.Ref{0EDB1A01-DEDE-47AD-9D59-BC7B34E0AE3D}" w:val=" ADDIN NE.Ref.{0EDB1A01-DEDE-47AD-9D59-BC7B34E0AE3D}&lt;Citation&gt;&lt;Group&gt;&lt;References&gt;&lt;Item&gt;&lt;ID&gt;251&lt;/ID&gt;&lt;UID&gt;{FEB3FE86-3273-43C2-A596-C4A8F66FE438}&lt;/UID&gt;&lt;Title&gt;Development of a nomogram for predicting the risk of anastomotic leakage after a  gastrectomy for gastric cancer&lt;/Title&gt;&lt;Template&gt;Journal Article&lt;/Template&gt;&lt;Star&gt;0&lt;/Star&gt;&lt;Tag&gt;0&lt;/Tag&gt;&lt;Author&gt;Tu, R H; Lin, J X; Zheng, C H; Li, P; Xie, J W; Wang, J B; Lu, J; Chen, Q Y; Cao, L L; Lin, M; Huang, C M&lt;/Author&gt;&lt;Year&gt;2017&lt;/Year&gt;&lt;Details&gt;&lt;_accession_num&gt;28041649&lt;/_accession_num&gt;&lt;_author_adr&gt;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Department of Gastric Surgery, Fujian Medical University Union Hospital, No.29 Xinquan Road, Fuzhou, 350001, Fujian Province, China. Electronic address: hcmlr2002@163.com.&lt;/_author_adr&gt;&lt;_created&gt;62314233&lt;/_created&gt;&lt;_date&gt;2017-02-01&lt;/_date&gt;&lt;_date_display&gt;2017 Feb&lt;/_date_display&gt;&lt;_doi&gt;10.1016/j.ejso.2016.11.022&lt;/_doi&gt;&lt;_impact_factor&gt;   3.688&lt;/_impact_factor&gt;&lt;_isbn&gt;1532-2157 (Electronic); 0748-7983 (Linking)&lt;/_isbn&gt;&lt;_issue&gt;2&lt;/_issue&gt;&lt;_journal&gt;Eur J Surg Oncol&lt;/_journal&gt;&lt;_keywords&gt;Adult; Aged; Anastomotic Leak/*etiology; Female; *Gastrectomy; Humans; Laparoscopy; Male; Middle Aged; *Nomograms; Predictive Value of Tests; Retrospective Studies; Risk Factors; Stomach Neoplasms/*surgery; Survival RateAnastomotic leakage; Gastrectomy; Nomogram; Risk factor; Stomach cancer&lt;/_keywords&gt;&lt;_language&gt;eng&lt;/_language&gt;&lt;_modified&gt;62314253&lt;/_modified&gt;&lt;_ori_publication&gt;Copyright (c) 2016 Elsevier Ltd, BASO ~ The Association for Cancer Surgery, and_x000d__x000a_      the European Society of Surgical Oncology. All rights reserved.&lt;/_ori_publication&gt;&lt;_pages&gt;485-492&lt;/_pages&gt;&lt;_tertiary_title&gt;European journal of surgical oncology : the journal of the European Society of_x000d__x000a_      Surgical Oncology and the British Association of Surgical Oncology&lt;/_tertiary_title&gt;&lt;_type_work&gt;Journal Article&lt;/_type_work&gt;&lt;_url&gt;http://www.ncbi.nlm.nih.gov/entrez/query.fcgi?cmd=Retrieve&amp;amp;db=pubmed&amp;amp;dopt=Abstract&amp;amp;list_uids=28041649&amp;amp;query_hl=1&lt;/_url&gt;&lt;_volume&gt;43&lt;/_volume&gt;&lt;/Details&gt;&lt;Extra&gt;&lt;DBUID&gt;{B538FB44-5F0A-4660-AE5D-888A8FDEFC3D}&lt;/DBUID&gt;&lt;/Extra&gt;&lt;/Item&gt;&lt;/References&gt;&lt;/Group&gt;&lt;/Citation&gt;_x000a_"/>
    <w:docVar w:name="NE.Ref{1522BAE3-42DC-456D-B814-B77E194BD213}" w:val=" ADDIN NE.Ref.{1522BAE3-42DC-456D-B814-B77E194BD213}&lt;Citation&gt;&lt;Group&gt;&lt;References&gt;&lt;Item&gt;&lt;ID&gt;243&lt;/ID&gt;&lt;UID&gt;{6407BE03-03FF-4224-8F0B-58E00CA3DE1B}&lt;/UID&gt;&lt;Title&gt;The prevention of anastomotic leakage after total gastrectomy with local decontamination. A prospective, randomized, double-blind, placebo-controlled multicenter trial&lt;/Title&gt;&lt;Template&gt;Journal Article&lt;/Template&gt;&lt;Star&gt;0&lt;/Star&gt;&lt;Tag&gt;0&lt;/Tag&gt;&lt;Author&gt;Schardey, H M; Joosten, U; Finke, U; Staubach, K H; Schauer, R; Heiss, A; Kooistra, A; Rau, H G; Nibler, R; Ludeling, S; Unertl, K; Ruckdeschel, G; Exner, H; Schildberg, F W&lt;/Author&gt;&lt;Year&gt;1997&lt;/Year&gt;&lt;Details&gt;&lt;_accession_num&gt;9065294&lt;/_accession_num&gt;&lt;_author_adr&gt;Department of Surgery, Klinikum Grosshadern, Ludwig-Maximilians-University, Munich, Germany.&lt;/_author_adr&gt;&lt;_collection_scope&gt;SCI;SCIE;&lt;/_collection_scope&gt;&lt;_created&gt;62314231&lt;/_created&gt;&lt;_date&gt;1997-02-01&lt;/_date&gt;&lt;_date_display&gt;1997 Feb&lt;/_date_display&gt;&lt;_impact_factor&gt;   9.203&lt;/_impact_factor&gt;&lt;_isbn&gt;0003-4932 (Print); 0003-4932 (Linking)&lt;/_isbn&gt;&lt;_issue&gt;2&lt;/_issue&gt;&lt;_journal&gt;Ann Surg&lt;/_journal&gt;&lt;_keywords&gt;Aged; Amphotericin B/therapeutic use; Anastomosis, Surgical; Anti-Bacterial Agents/therapeutic use; *Antibiotic Prophylaxis; *Decontamination; Double-Blind Method; Female; *Gastrectomy; Humans; Male; Middle Aged; Polymyxins/therapeutic use; Postoperative Complications/*prevention &amp;amp; control; Prospective Studies; Tobramycin/therapeutic use; Vancomycin/therapeutic use&lt;/_keywords&gt;&lt;_language&gt;eng&lt;/_language&gt;&lt;_modified&gt;62314249&lt;/_modified&gt;&lt;_pages&gt;172-80&lt;/_pages&gt;&lt;_tertiary_title&gt;Annals of surgery&lt;/_tertiary_title&gt;&lt;_type_work&gt;Clinical Trial; Journal Article; Multicenter Study; Randomized Controlled Trial; Research Support, Non-U.S. Gov&amp;apos;t&lt;/_type_work&gt;&lt;_url&gt;http://www.ncbi.nlm.nih.gov/entrez/query.fcgi?cmd=Retrieve&amp;amp;db=pubmed&amp;amp;dopt=Abstract&amp;amp;list_uids=9065294&amp;amp;query_hl=1&lt;/_url&gt;&lt;_volume&gt;225&lt;/_volume&gt;&lt;/Details&gt;&lt;Extra&gt;&lt;DBUID&gt;{B538FB44-5F0A-4660-AE5D-888A8FDEFC3D}&lt;/DBUID&gt;&lt;/Extra&gt;&lt;/Item&gt;&lt;/References&gt;&lt;/Group&gt;&lt;Group&gt;&lt;References&gt;&lt;Item&gt;&lt;ID&gt;244&lt;/ID&gt;&lt;UID&gt;{3F324BE0-D8AF-459F-B48A-43EA317E32DB}&lt;/UID&gt;&lt;Title&gt;Multicenter analysis of risk factors for anastomotic leakage after laparoscopic rectal cancer excision: the Korean laparoscopic colorectal surgery study group&lt;/Title&gt;&lt;Template&gt;Journal Article&lt;/Template&gt;&lt;Star&gt;0&lt;/Star&gt;&lt;Tag&gt;0&lt;/Tag&gt;&lt;Author&gt;Park, J S; Choi, G S; Kim, S H; Kim, H R; Kim, N K; Lee, K Y; Kang, S B; Kim, J Y; Lee, K Y; Kim, B C; Bae, B N; Son, G M; Lee, S I; Kang, H&lt;/Author&gt;&lt;Year&gt;2013&lt;/Year&gt;&lt;Details&gt;&lt;_accession_num&gt;23333881&lt;/_accession_num&gt;&lt;_author_adr&gt;Colorectal Cancer Center, Kyungpook National University Medical Center, School of Medicine, Kyungpook National University, Daegu, Korea. kyuschoi@mail.knu.ac.kr&lt;/_author_adr&gt;&lt;_collection_scope&gt;SCI;SCIE;&lt;/_collection_scope&gt;&lt;_created&gt;62314232&lt;/_created&gt;&lt;_date&gt;2013-04-01&lt;/_date&gt;&lt;_date_display&gt;2013 Apr&lt;/_date_display&gt;&lt;_doi&gt;10.1097/SLA.0b013e31827b8ed9&lt;/_doi&gt;&lt;_impact_factor&gt;   9.203&lt;/_impact_factor&gt;&lt;_isbn&gt;1528-1140 (Electronic); 0003-4932 (Linking)&lt;/_isbn&gt;&lt;_issue&gt;4&lt;/_issue&gt;&lt;_journal&gt;Ann Surg&lt;/_journal&gt;&lt;_keywords&gt;Aged; Anastomotic Leak/*etiology; Female; Humans; Ileostomy; Laparoscopy/*adverse effects; Male; Rectal Neoplasms/*surgery; Rectum/*surgery; Risk Factors&lt;/_keywords&gt;&lt;_language&gt;eng&lt;/_language&gt;&lt;_modified&gt;62415109&lt;/_modified&gt;&lt;_pages&gt;665-71&lt;/_pages&gt;&lt;_tertiary_title&gt;Annals of surgery&lt;/_tertiary_title&gt;&lt;_type_work&gt;Journal Article; Multicenter Study&lt;/_type_work&gt;&lt;_url&gt;http://www.ncbi.nlm.nih.gov/entrez/query.fcgi?cmd=Retrieve&amp;amp;db=pubmed&amp;amp;dopt=Abstract&amp;amp;list_uids=23333881&amp;amp;query_hl=1&lt;/_url&gt;&lt;_volume&gt;257&lt;/_volume&gt;&lt;/Details&gt;&lt;Extra&gt;&lt;DBUID&gt;{B538FB44-5F0A-4660-AE5D-888A8FDEFC3D}&lt;/DBUID&gt;&lt;/Extra&gt;&lt;/Item&gt;&lt;/References&gt;&lt;/Group&gt;&lt;/Citation&gt;_x000a_"/>
    <w:docVar w:name="NE.Ref{1BCDBB1E-39A3-4346-B91E-3DEA42071A5C}" w:val=" ADDIN NE.Ref.{1BCDBB1E-39A3-4346-B91E-3DEA42071A5C}&lt;Citation&gt;&lt;Group&gt;&lt;References&gt;&lt;Item&gt;&lt;ID&gt;241&lt;/ID&gt;&lt;UID&gt;{62CC80AC-BFB7-4A5B-8B99-F1AD40189260}&lt;/UID&gt;&lt;Title&gt;Japanese gastric cancer treatment guidelines 2010 (ver. 3)&lt;/Title&gt;&lt;Template&gt;Journal Article&lt;/Template&gt;&lt;Star&gt;0&lt;/Star&gt;&lt;Tag&gt;0&lt;/Tag&gt;&lt;Author/&gt;&lt;Year&gt;2011&lt;/Year&gt;&lt;Details&gt;&lt;_accession_num&gt;21573742&lt;/_accession_num&gt;&lt;_collection_scope&gt;SCIE;&lt;/_collection_scope&gt;&lt;_created&gt;62314227&lt;/_created&gt;&lt;_date&gt;2011-06-01&lt;/_date&gt;&lt;_date_display&gt;2011 Jun&lt;/_date_display&gt;&lt;_doi&gt;10.1007/s10120-011-0042-4&lt;/_doi&gt;&lt;_impact_factor&gt;   5.045&lt;/_impact_factor&gt;&lt;_isbn&gt;1436-3305 (Electronic); 1436-3291 (Linking)&lt;/_isbn&gt;&lt;_issue&gt;2&lt;/_issue&gt;&lt;_journal&gt;Gastric Cancer&lt;/_journal&gt;&lt;_keywords&gt;*Algorithms; Antineoplastic Agents/therapeutic use; Clinical Trials as Topic; Combined Modality Therapy; Gastrectomy/methods; Humans; Japan; Radiotherapy/methods; Stomach Neoplasms/*therapy&lt;/_keywords&gt;&lt;_language&gt;eng&lt;/_language&gt;&lt;_modified&gt;62314248&lt;/_modified&gt;&lt;_pages&gt;113-23&lt;/_pages&gt;&lt;_tertiary_title&gt;Gastric cancer : official journal of the International Gastric Cancer Association_x000d__x000a_      and the Japanese Gastric Cancer Association&lt;/_tertiary_title&gt;&lt;_type_work&gt;Journal Article; Practice Guideline&lt;/_type_work&gt;&lt;_url&gt;http://www.ncbi.nlm.nih.gov/entrez/query.fcgi?cmd=Retrieve&amp;amp;db=pubmed&amp;amp;dopt=Abstract&amp;amp;list_uids=21573742&amp;amp;query_hl=1&lt;/_url&gt;&lt;_volume&gt;14&lt;/_volume&gt;&lt;/Details&gt;&lt;Extra&gt;&lt;DBUID&gt;{B538FB44-5F0A-4660-AE5D-888A8FDEFC3D}&lt;/DBUID&gt;&lt;/Extra&gt;&lt;/Item&gt;&lt;/References&gt;&lt;/Group&gt;&lt;/Citation&gt;_x000a_"/>
    <w:docVar w:name="NE.Ref{24F560CE-81F1-4B20-AEF7-69C4CC17903F}" w:val=" ADDIN NE.Ref.{24F560CE-81F1-4B20-AEF7-69C4CC17903F}&lt;Citation&gt;&lt;Group&gt;&lt;References&gt;&lt;Item&gt;&lt;ID&gt;245&lt;/ID&gt;&lt;UID&gt;{E9B911E8-2C01-454C-A1E8-B4050098E9EE}&lt;/UID&gt;&lt;Title&gt;ESPEN Guidelines on Enteral Nutrition: Surgery including organ transplantation&lt;/Title&gt;&lt;Template&gt;Journal Article&lt;/Template&gt;&lt;Star&gt;0&lt;/Star&gt;&lt;Tag&gt;0&lt;/Tag&gt;&lt;Author&gt;Weimann, A; Braga, M; Harsanyi, L; Laviano, A; Ljungqvist, O; Soeters, P; Jauch, K W; Kemen, M; Hiesmayr, J M; Horbach, T; Kuse, E R; Vestweber, K H&lt;/Author&gt;&lt;Year&gt;2006&lt;/Year&gt;&lt;Details&gt;&lt;_accession_num&gt;16698152&lt;/_accession_num&gt;&lt;_author_adr&gt;Klinik f. Allgemein- und Visceralchirurgie, Klinikum &amp;quot;St. Georg&amp;quot;, Leipzig, Germany. arved.weimann@sanktgeorg.de&lt;/_author_adr&gt;&lt;_collection_scope&gt;SCIE;&lt;/_collection_scope&gt;&lt;_created&gt;62314232&lt;/_created&gt;&lt;_date&gt;2006-04-01&lt;/_date&gt;&lt;_date_display&gt;2006 Apr&lt;/_date_display&gt;&lt;_doi&gt;10.1016/j.clnu.2006.01.015&lt;/_doi&gt;&lt;_impact_factor&gt;   5.496&lt;/_impact_factor&gt;&lt;_isbn&gt;0261-5614 (Print); 0261-5614 (Linking)&lt;/_isbn&gt;&lt;_issue&gt;2&lt;/_issue&gt;&lt;_journal&gt;Clin Nutr&lt;/_journal&gt;&lt;_keywords&gt;Enteral Nutrition/methods/*standards; Europe; General Surgery/*standards; Humans; *Organ Transplantation; Perioperative Care/standards; Practice Patterns, Physicians&amp;apos;/*standards&lt;/_keywords&gt;&lt;_language&gt;eng&lt;/_language&gt;&lt;_modified&gt;62314251&lt;/_modified&gt;&lt;_pages&gt;224-44&lt;/_pages&gt;&lt;_tertiary_title&gt;Clinical nutrition (Edinburgh, Scotland)&lt;/_tertiary_title&gt;&lt;_type_work&gt;Consensus Development Conference; Journal Article; Practice Guideline&lt;/_type_work&gt;&lt;_url&gt;http://www.ncbi.nlm.nih.gov/entrez/query.fcgi?cmd=Retrieve&amp;amp;db=pubmed&amp;amp;dopt=Abstract&amp;amp;list_uids=16698152&amp;amp;query_hl=1&lt;/_url&gt;&lt;_volume&gt;25&lt;/_volume&gt;&lt;/Details&gt;&lt;Extra&gt;&lt;DBUID&gt;{B538FB44-5F0A-4660-AE5D-888A8FDEFC3D}&lt;/DBUID&gt;&lt;/Extra&gt;&lt;/Item&gt;&lt;/References&gt;&lt;/Group&gt;&lt;Group&gt;&lt;References&gt;&lt;Item&gt;&lt;ID&gt;246&lt;/ID&gt;&lt;UID&gt;{4F333744-8776-480D-9D9E-9D2219CA724C}&lt;/UID&gt;&lt;Title&gt;Prevalence of Malnutrition Among Gastric Cancer Patients Undergoing Gastrectomy and Optimal Preoperative Nutritional Support for Preventing Surgical Site Infections&lt;/Title&gt;&lt;Template&gt;Journal Article&lt;/Template&gt;&lt;Star&gt;0&lt;/Star&gt;&lt;Tag&gt;0&lt;/Tag&gt;&lt;Author&gt;Fukuda, Y; Yamamoto, K; Hirao, M; Nishikawa, K; Maeda, S; Haraguchi, N; Miyake, M; Hama, N; Miyamoto, A; Ikeda, M; Nakamori, S; Sekimoto, M; Fujitani, K; Tsujinaka, T&lt;/Author&gt;&lt;Year&gt;2015&lt;/Year&gt;&lt;Details&gt;&lt;_accession_num&gt;26286199&lt;/_accession_num&gt;&lt;_author_adr&gt;Department of Surgery, National Hospital Organization Osaka National Hospital, Osaka, Japan.; Department of Surgery, National Hospital Organization Osaka National Hospital, Osaka, Japan. kazuy@onh.go.jp.;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National Hospital Organization Osaka National Hospital, Osaka, Japan.; Department of Surgery, Osaka General Medical Center, Osaka, Japan.; Department of Surgery, Kaizuka City Hospital, Osaka, Japan.&lt;/_author_adr&gt;&lt;_collection_scope&gt;SCI;SCIE;&lt;/_collection_scope&gt;&lt;_created&gt;62314232&lt;/_created&gt;&lt;_date&gt;2015-12-01&lt;/_date&gt;&lt;_date_display&gt;2015 Dec&lt;/_date_display&gt;&lt;_doi&gt;10.1245/s10434-015-4820-9&lt;/_doi&gt;&lt;_impact_factor&gt;   3.857&lt;/_impact_factor&gt;&lt;_isbn&gt;1534-4681 (Electronic); 1068-9265 (Linking)&lt;/_isbn&gt;&lt;_journal&gt;Ann Surg Oncol&lt;/_journal&gt;&lt;_keywords&gt;Adult; Aged; Aged, 80 and over; Body Mass Index; Female; Follow-Up Studies; Gastrectomy/*adverse effects; Humans; Japan/epidemiology; Male; Malnutrition/*epidemiology/etiology/prevention &amp;amp; control; Middle Aged; Neoplasm Staging; *Nutritional Support; *Postoperative Complications; Prevalence; Prognosis; Risk Factors; Stomach Neoplasms/complications/pathology/*surgery; Surgical Wound Infection/epidemiology/etiology/*prevention &amp;amp; control&lt;/_keywords&gt;&lt;_language&gt;eng&lt;/_language&gt;&lt;_modified&gt;62314251&lt;/_modified&gt;&lt;_pages&gt;S778-85&lt;/_pages&gt;&lt;_tertiary_title&gt;Annals of surgical oncology&lt;/_tertiary_title&gt;&lt;_type_work&gt;Journal Article&lt;/_type_work&gt;&lt;_url&gt;http://www.ncbi.nlm.nih.gov/entrez/query.fcgi?cmd=Retrieve&amp;amp;db=pubmed&amp;amp;dopt=Abstract&amp;amp;list_uids=26286199&amp;amp;query_hl=1&lt;/_url&gt;&lt;_volume&gt;22 Suppl 3&lt;/_volume&gt;&lt;/Details&gt;&lt;Extra&gt;&lt;DBUID&gt;{B538FB44-5F0A-4660-AE5D-888A8FDEFC3D}&lt;/DBUID&gt;&lt;/Extra&gt;&lt;/Item&gt;&lt;/References&gt;&lt;/Group&gt;&lt;/Citation&gt;_x000a_"/>
    <w:docVar w:name="NE.Ref{261A6FA2-2A97-4B84-BE70-4C20F964F8CA}" w:val=" ADDIN NE.Ref.{261A6FA2-2A97-4B84-BE70-4C20F964F8CA}&lt;Citation&gt;&lt;Group&gt;&lt;References&gt;&lt;Item&gt;&lt;ID&gt;292&lt;/ID&gt;&lt;UID&gt;{B5EBEC1D-0249-4043-968A-374FC5E62864}&lt;/UID&gt;&lt;Title&gt;Do All Patients Require Prophylactic Drainage After Gastrectomy for Gastric Cancer? The Experience of a High-Volume Center&lt;/Title&gt;&lt;Template&gt;Journal Article&lt;/Template&gt;&lt;Star&gt;0&lt;/Star&gt;&lt;Tag&gt;0&lt;/Tag&gt;&lt;Author&gt;Lee, J; Choi, Y Y; An, J Y; Seo, S H; Kim, D W; Seo, Y B; Nakagawa, M; Li, S; Cheong, J H; Hyung, W J; Noh, S H&lt;/Author&gt;&lt;Year&gt;2015&lt;/Year&gt;&lt;Details&gt;&lt;_accession_num&gt;25845430&lt;/_accession_num&gt;&lt;_author_adr&gt;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JAR319@yuhs.ac.; Department of Surgery, Yonsei University Health System, Yonsei University College of Medicine, Seoul, Republic of Korea.; Biostatistics Collaboration Unit, Yonsei University Health System, Yonsei University College of Medicine, Seoul, Republic of Korea.; Division of Infectious Diseases, Department of Internal Medicine, Hallym University College of Medicine, Chuncheon, Republic of Korea.; 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Brain Korea 21 PLUS Project for Medical Science, Yonsei University Health System, Yonsei University College of Medicine, Seoul, Republic of Korea.&lt;/_author_adr&gt;&lt;_collection_scope&gt;SCI;SCIE;&lt;/_collection_scope&gt;&lt;_created&gt;62415114&lt;/_created&gt;&lt;_date&gt;2015-11-01&lt;/_date&gt;&lt;_date_display&gt;2015 Nov&lt;/_date_display&gt;&lt;_doi&gt;10.1245/s10434-015-4521-4&lt;/_doi&gt;&lt;_impact_factor&gt;   3.857&lt;/_impact_factor&gt;&lt;_isbn&gt;1534-4681 (Electronic); 1068-9265 (Linking)&lt;/_isbn&gt;&lt;_issue&gt;12&lt;/_issue&gt;&lt;_journal&gt;Ann Surg Oncol&lt;/_journal&gt;&lt;_keywords&gt;Adult; Age Factors; Aged; Aged, 80 and over; Ascitic Fluid/microbiology; Drainage/*statistics &amp;amp; numerical data; Female; Gastrectomy/*adverse effects/methods; Hospitals, High-Volume; Humans; Male; Middle Aged; Operative Time; Postoperative Care/*methods; Postoperative Complications/prevention &amp;amp; control; Risk Factors; Sex Factors; Stomach Neoplasms/*surgery; Young Adult&lt;/_keywords&gt;&lt;_language&gt;eng&lt;/_language&gt;&lt;_modified&gt;62415114&lt;/_modified&gt;&lt;_pages&gt;3929-37&lt;/_pages&gt;&lt;_tertiary_title&gt;Annals of surgical oncology&lt;/_tertiary_title&gt;&lt;_type_work&gt;Journal Article; Research Support, Non-U.S. Gov&amp;apos;t&lt;/_type_work&gt;&lt;_url&gt;http://www.ncbi.nlm.nih.gov/entrez/query.fcgi?cmd=Retrieve&amp;amp;db=pubmed&amp;amp;dopt=Abstract&amp;amp;list_uids=25845430&amp;amp;query_hl=1&lt;/_url&gt;&lt;_volume&gt;22&lt;/_volume&gt;&lt;/Details&gt;&lt;Extra&gt;&lt;DBUID&gt;{B538FB44-5F0A-4660-AE5D-888A8FDEFC3D}&lt;/DBUID&gt;&lt;/Extra&gt;&lt;/Item&gt;&lt;/References&gt;&lt;/Group&gt;&lt;Group&gt;&lt;References&gt;&lt;Item&gt;&lt;ID&gt;293&lt;/ID&gt;&lt;UID&gt;{12DC7F6C-ECF9-4675-BF7C-7487AD1F2260}&lt;/UID&gt;&lt;Title&gt;Post-operative abdominal drainage following major upper gastrointestinal surgery: single drain versus two drains&lt;/Title&gt;&lt;Template&gt;Journal Article&lt;/Template&gt;&lt;Star&gt;0&lt;/Star&gt;&lt;Tag&gt;0&lt;/Tag&gt;&lt;Author&gt;Shrikhande, S V; Barreto, S G; Shetty, G; Suradkar, K; Bodhankar, Y D; Shah, S B; Goel, M&lt;/Author&gt;&lt;Year&gt;2013&lt;/Year&gt;&lt;Details&gt;&lt;_accession_num&gt;23771371&lt;/_accession_num&gt;&lt;_author_adr&gt;Department of Hepato-Pancreato-Biliary Surgical Oncology, Tata Memorial Hospital, Mumbai, Maharashtra, India.&lt;/_author_adr&gt;&lt;_collection_scope&gt;SCIE;&lt;/_collection_scope&gt;&lt;_created&gt;62415115&lt;/_created&gt;&lt;_date&gt;2013-04-01&lt;/_date&gt;&lt;_date_display&gt;2013 Apr-Jun&lt;/_date_display&gt;&lt;_doi&gt;10.4103/0973-1482.113380&lt;/_doi&gt;&lt;_isbn&gt;1998-4138 (Electronic); 1998-4138 (Linking)&lt;/_isbn&gt;&lt;_issue&gt;2&lt;/_issue&gt;&lt;_journal&gt;J Cancer Res Ther&lt;/_journal&gt;&lt;_keywords&gt;Abdomen/*surgery; Adolescent; Adult; Aged; Aged, 80 and over; Digestive System Surgical Procedures/*methods; Drainage/*methods; Female; Humans; Length of Stay; Male; Middle Aged; Pancreatic Neoplasms/*surgery; Postoperative Complications/prevention &amp;amp; control; Prospective Studies; Retrospective Studies; Stomach Neoplasms/*surgery; Young Adult&lt;/_keywords&gt;&lt;_language&gt;eng&lt;/_language&gt;&lt;_modified&gt;62415115&lt;/_modified&gt;&lt;_pages&gt;267-71&lt;/_pages&gt;&lt;_tertiary_title&gt;Journal of cancer research and therapeutics&lt;/_tertiary_title&gt;&lt;_type_work&gt;Comparative Study; Journal Article&lt;/_type_work&gt;&lt;_url&gt;http://www.ncbi.nlm.nih.gov/entrez/query.fcgi?cmd=Retrieve&amp;amp;db=pubmed&amp;amp;dopt=Abstract&amp;amp;list_uids=23771371&amp;amp;query_hl=1&lt;/_url&gt;&lt;_volume&gt;9&lt;/_volume&gt;&lt;/Details&gt;&lt;Extra&gt;&lt;DBUID&gt;{B538FB44-5F0A-4660-AE5D-888A8FDEFC3D}&lt;/DBUID&gt;&lt;/Extra&gt;&lt;/Item&gt;&lt;/References&gt;&lt;/Group&gt;&lt;Group&gt;&lt;References&gt;&lt;Item&gt;&lt;ID&gt;294&lt;/ID&gt;&lt;UID&gt;{3A5ABB47-CE8B-4F9C-AF39-209868987D40}&lt;/UID&gt;&lt;Title&gt;Drain versus no-drain after gastrectomy for patients with advanced gastric cancer: systematic review and meta-analysis&lt;/Title&gt;&lt;Template&gt;Journal Article&lt;/Template&gt;&lt;Star&gt;0&lt;/Star&gt;&lt;Tag&gt;0&lt;/Tag&gt;&lt;Author&gt;Liu, H P; Zhang, Y C; Zhang, Y L; Yin, L N; Wang, J&lt;/Author&gt;&lt;Year&gt;2011&lt;/Year&gt;&lt;Details&gt;&lt;_accession_num&gt;21540606&lt;/_accession_num&gt;&lt;_author_adr&gt;Department of General Surgery, Lanzhou University Second Hospital, Lanzhou, PR China.&lt;/_author_adr&gt;&lt;_created&gt;62415115&lt;/_created&gt;&lt;_date&gt;2011-01-20&lt;/_date&gt;&lt;_date_display&gt;2011&lt;/_date_display&gt;&lt;_doi&gt;10.1159/000323954&lt;/_doi&gt;&lt;_impact_factor&gt;   2.031&lt;/_impact_factor&gt;&lt;_isbn&gt;1421-9883 (Electronic); 0253-4886 (Linking)&lt;/_isbn&gt;&lt;_issue&gt;3&lt;/_issue&gt;&lt;_journal&gt;Dig Surg&lt;/_journal&gt;&lt;_keywords&gt;*Drainage/adverse effects; *Gastrectomy; Humans; Length of Stay/statistics &amp;amp; numerical data; Postoperative Care/*methods; Postoperative Complications/epidemiology; Recovery of Function; Stomach Neoplasms/*surgery&lt;/_keywords&gt;&lt;_language&gt;eng&lt;/_language&gt;&lt;_modified&gt;62415115&lt;/_modified&gt;&lt;_ori_publication&gt;Copyright (c) 2011 S. Karger AG, Basel.&lt;/_ori_publication&gt;&lt;_pages&gt;178-89&lt;/_pages&gt;&lt;_tertiary_title&gt;Digestive surgery&lt;/_tertiary_title&gt;&lt;_type_work&gt;Journal Article; Meta-Analysis; Review&lt;/_type_work&gt;&lt;_url&gt;http://www.ncbi.nlm.nih.gov/entrez/query.fcgi?cmd=Retrieve&amp;amp;db=pubmed&amp;amp;dopt=Abstract&amp;amp;list_uids=21540606&amp;amp;query_hl=1&lt;/_url&gt;&lt;_volume&gt;28&lt;/_volume&gt;&lt;/Details&gt;&lt;Extra&gt;&lt;DBUID&gt;{B538FB44-5F0A-4660-AE5D-888A8FDEFC3D}&lt;/DBUID&gt;&lt;/Extra&gt;&lt;/Item&gt;&lt;/References&gt;&lt;/Group&gt;&lt;Group&gt;&lt;References&gt;&lt;Item&gt;&lt;ID&gt;295&lt;/ID&gt;&lt;UID&gt;{9E0EDF52-A741-4872-9A49-C97D653AD283}&lt;/UID&gt;&lt;Title&gt;Evidence-based value of prophylactic drainage in gastrointestinal surgery: a systematic review and meta-analyses&lt;/Title&gt;&lt;Template&gt;Journal Article&lt;/Template&gt;&lt;Star&gt;0&lt;/Star&gt;&lt;Tag&gt;0&lt;/Tag&gt;&lt;Author&gt;Petrowsky, H; Demartines, N; Rousson, V; Clavien, P A&lt;/Author&gt;&lt;Year&gt;2004&lt;/Year&gt;&lt;Details&gt;&lt;_accession_num&gt;15570212&lt;/_accession_num&gt;&lt;_author_adr&gt;Department of Visceral and Transplant Surgery, University Hospital, Raemistrasse  100, CH-8091 Zurich, Switzerland.&lt;/_author_adr&gt;&lt;_collection_scope&gt;SCI;SCIE;&lt;/_collection_scope&gt;&lt;_created&gt;62415115&lt;/_created&gt;&lt;_date&gt;2004-12-01&lt;/_date&gt;&lt;_date_display&gt;2004 Dec&lt;/_date_display&gt;&lt;_impact_factor&gt;   9.203&lt;/_impact_factor&gt;&lt;_isbn&gt;0003-4932 (Print); 0003-4932 (Linking)&lt;/_isbn&gt;&lt;_issue&gt;6&lt;/_issue&gt;&lt;_journal&gt;Ann Surg&lt;/_journal&gt;&lt;_keywords&gt;Appendectomy; Cholecystectomy; Colon/surgery; Digestive System Surgical Procedures; *Drainage/instrumentation/utilization; *Evidence-Based Medicine; Gastrointestinal Diseases/*surgery; Hepatectomy; Humans; Pancreatectomy; Rectum/surgery&lt;/_keywords&gt;&lt;_language&gt;eng&lt;/_language&gt;&lt;_modified&gt;62415115&lt;/_modified&gt;&lt;_pages&gt;1074-84; discussion 1084-5&lt;/_pages&gt;&lt;_tertiary_title&gt;Annals of surgery&lt;/_tertiary_title&gt;&lt;_type_work&gt;Journal Article; Meta-Analysis&lt;/_type_work&gt;&lt;_url&gt;http://www.ncbi.nlm.nih.gov/entrez/query.fcgi?cmd=Retrieve&amp;amp;db=pubmed&amp;amp;dopt=Abstract&amp;amp;list_uids=15570212&amp;amp;query_hl=1&lt;/_url&gt;&lt;_volume&gt;240&lt;/_volume&gt;&lt;/Details&gt;&lt;Extra&gt;&lt;DBUID&gt;{B538FB44-5F0A-4660-AE5D-888A8FDEFC3D}&lt;/DBUID&gt;&lt;/Extra&gt;&lt;/Item&gt;&lt;/References&gt;&lt;/Group&gt;&lt;/Citation&gt;_x000a_"/>
    <w:docVar w:name="NE.Ref{2CE60391-4BF7-4EC3-9F3E-5D894D0C0D6D}" w:val=" ADDIN NE.Ref.{2CE60391-4BF7-4EC3-9F3E-5D894D0C0D6D}&lt;Citation&gt;&lt;Group&gt;&lt;References&gt;&lt;Item&gt;&lt;ID&gt;234&lt;/ID&gt;&lt;UID&gt;{C62150E2-42B8-4D81-BC2B-FCBE885F6CB2}&lt;/UID&gt;&lt;Title&gt;Insufficiency risk of esophagojejunal anastomosis after total abdominal gastrectomy for gastric carcinoma&lt;/Title&gt;&lt;Template&gt;Journal Article&lt;/Template&gt;&lt;Star&gt;0&lt;/Star&gt;&lt;Tag&gt;0&lt;/Tag&gt;&lt;Author&gt;Meyer, L; Meyer, F; Dralle, H; Ernst, M; Lippert, H; Gastinger, I&lt;/Author&gt;&lt;Year&gt;2005&lt;/Year&gt;&lt;Details&gt;&lt;_accession_num&gt;16086189&lt;/_accession_num&gt;&lt;_author_adr&gt;Institute for Quality Control in Operative Medicine, University Hospital, Otto-von-Guericke University, Magdeburg, Germany. L.Meyer@ctk.de&lt;/_author_adr&gt;&lt;_created&gt;62314226&lt;/_created&gt;&lt;_date&gt;2005-11-01&lt;/_date&gt;&lt;_date_display&gt;2005 Nov&lt;/_date_display&gt;&lt;_doi&gt;10.1007/s00423-005-0575-2&lt;/_doi&gt;&lt;_impact_factor&gt;   2.296&lt;/_impact_factor&gt;&lt;_isbn&gt;1435-2443 (Print); 1435-2443 (Linking)&lt;/_isbn&gt;&lt;_issue&gt;6&lt;/_issue&gt;&lt;_journal&gt;Langenbecks Arch Surg&lt;/_journal&gt;&lt;_keywords&gt;Adolescent; Adult; Aged; Aged, 80 and over; Anastomosis, Surgical/*methods; Carcinoma/*surgery; Esophageal Neoplasms/surgery; Esophagogastric Junction/surgery; Female; *Gastrectomy; Humans; Jejunum/surgery; Logistic Models; Male; Middle Aged; Prospective Studies; Stomach Neoplasms/*surgery; Treatment Outcome&lt;/_keywords&gt;&lt;_language&gt;eng&lt;/_language&gt;&lt;_modified&gt;62406452&lt;/_modified&gt;&lt;_pages&gt;510-6&lt;/_pages&gt;&lt;_tertiary_title&gt;Langenbeck&amp;apos;s archives of surgery&lt;/_tertiary_title&gt;&lt;_type_work&gt;Journal Article; Multicenter Study&lt;/_type_work&gt;&lt;_url&gt;http://www.ncbi.nlm.nih.gov/entrez/query.fcgi?cmd=Retrieve&amp;amp;db=pubmed&amp;amp;dopt=Abstract&amp;amp;list_uids=16086189&amp;amp;query_hl=1&lt;/_url&gt;&lt;_volume&gt;390&lt;/_volume&gt;&lt;/Details&gt;&lt;Extra&gt;&lt;DBUID&gt;{B538FB44-5F0A-4660-AE5D-888A8FDEFC3D}&lt;/DBUID&gt;&lt;/Extra&gt;&lt;/Item&gt;&lt;/References&gt;&lt;/Group&gt;&lt;Group&gt;&lt;References&gt;&lt;Item&gt;&lt;ID&gt;235&lt;/ID&gt;&lt;UID&gt;{0BA8FD5F-CE91-47A4-9EF0-B0D29ABAF770}&lt;/UID&gt;&lt;Title&gt;Postoperative complications following gastrectomy for gastric cancer during the last decade&lt;/Title&gt;&lt;Template&gt;Journal Article&lt;/Template&gt;&lt;Star&gt;0&lt;/Star&gt;&lt;Tag&gt;0&lt;/Tag&gt;&lt;Author&gt;Ichikawa, D; Kurioka, H; Yamaguchi, T; Koike, H; Okamoto, K; Otsuji, E; Shirono, K; Shioaki, Y; Ikeda, E; Mutoh, F; Yamagishi, H&lt;/Author&gt;&lt;Year&gt;2004&lt;/Year&gt;&lt;Details&gt;&lt;_accession_num&gt;15086217&lt;/_accession_num&gt;&lt;_author_adr&gt;Department of Digestive Surgery, Kyoto Prefectural University of Medicine, Kyoto, Japan. ichikawa@koto.kpu-m.ac.jp&lt;/_author_adr&gt;&lt;_created&gt;62314226&lt;/_created&gt;&lt;_date&gt;2004-03-01&lt;/_date&gt;&lt;_date_display&gt;2004 Mar-Apr&lt;/_date_display&gt;&lt;_impact_factor&gt;   0.907&lt;/_impact_factor&gt;&lt;_isbn&gt;0172-6390 (Print); 0172-6390 (Linking)&lt;/_isbn&gt;&lt;_issue&gt;56&lt;/_issue&gt;&lt;_journal&gt;Hepatogastroenterology&lt;/_journal&gt;&lt;_keywords&gt;Anastomosis, Surgical; Female; Gastrectomy/*adverse effects; Humans; Lymph Node Excision; Male; Middle Aged; Multivariate Analysis; Pancreatic Fistula/etiology; Retrospective Studies; Risk Factors; Stomach Neoplasms/*surgery; Surgical Wound Infection/epidemiology&lt;/_keywords&gt;&lt;_language&gt;eng&lt;/_language&gt;&lt;_modified&gt;62314252&lt;/_modified&gt;&lt;_pages&gt;613-7&lt;/_pages&gt;&lt;_tertiary_title&gt;Hepato-gastroenterology&lt;/_tertiary_title&gt;&lt;_type_work&gt;Journal Article&lt;/_type_work&gt;&lt;_url&gt;http://www.ncbi.nlm.nih.gov/entrez/query.fcgi?cmd=Retrieve&amp;amp;db=pubmed&amp;amp;dopt=Abstract&amp;amp;list_uids=15086217&amp;amp;query_hl=1&lt;/_url&gt;&lt;_volume&gt;51&lt;/_volume&gt;&lt;/Details&gt;&lt;Extra&gt;&lt;DBUID&gt;{B538FB44-5F0A-4660-AE5D-888A8FDEFC3D}&lt;/DBUID&gt;&lt;/Extra&gt;&lt;/Item&gt;&lt;/References&gt;&lt;/Group&gt;&lt;Group&gt;&lt;References&gt;&lt;Item&gt;&lt;ID&gt;236&lt;/ID&gt;&lt;UID&gt;{3963D8CF-4AF9-47D6-B244-B3740D042046}&lt;/UID&gt;&lt;Title&gt;Management and results of proximal anastomotic leaks in a series of 1114 total gastrectomies for gastric carcinoma&lt;/Title&gt;&lt;Template&gt;Journal Article&lt;/Template&gt;&lt;Star&gt;0&lt;/Star&gt;&lt;Tag&gt;0&lt;/Tag&gt;&lt;Author&gt;Lang, H; Piso, P; Stukenborg, C; Raab, R; Jahne, J&lt;/Author&gt;&lt;Year&gt;2000&lt;/Year&gt;&lt;Details&gt;&lt;_accession_num&gt;10744938&lt;/_accession_num&gt;&lt;_author_adr&gt;Klinik fur Abdominal- und Transplantationschirurgie, Medizinische Hochschule Hannover, Hannover, Germany.&lt;/_author_adr&gt;&lt;_created&gt;62314226&lt;/_created&gt;&lt;_date&gt;2000-03-01&lt;/_date&gt;&lt;_date_display&gt;2000 Mar&lt;/_date_display&gt;&lt;_doi&gt;10.1053/ejso.1999.0764&lt;/_doi&gt;&lt;_impact_factor&gt;   3.688&lt;/_impact_factor&gt;&lt;_isbn&gt;0748-7983 (Print); 0748-7983 (Linking)&lt;/_isbn&gt;&lt;_issue&gt;2&lt;/_issue&gt;&lt;_journal&gt;Eur J Surg Oncol&lt;/_journal&gt;&lt;_keywords&gt;Aged; Anastomosis, Surgical/adverse effects; Carcinoma/*surgery; Digestive System Surgical Procedures; Esophagus/*surgery; Female; Gastrectomy/*adverse effects/mortality; Humans; Jejunum/*surgery; Male; Prognosis; Reoperation; Retrospective Studies; Stomach Neoplasms/*surgery; Survival Rate&lt;/_keywords&gt;&lt;_language&gt;eng&lt;/_language&gt;&lt;_modified&gt;62314226&lt;/_modified&gt;&lt;_ori_publication&gt;Copyright 2000 Harcourt Publishers Ltd.&lt;/_ori_publication&gt;&lt;_pages&gt;168-71&lt;/_pages&gt;&lt;_tertiary_title&gt;European journal of surgical oncology : the journal of the European Society of_x000d__x000a_      Surgical Oncology and the British Association of Surgical Oncology&lt;/_tertiary_title&gt;&lt;_type_work&gt;Journal Article&lt;/_type_work&gt;&lt;_url&gt;http://www.ncbi.nlm.nih.gov/entrez/query.fcgi?cmd=Retrieve&amp;amp;db=pubmed&amp;amp;dopt=Abstract&amp;amp;list_uids=10744938&amp;amp;query_hl=1&lt;/_url&gt;&lt;_volume&gt;26&lt;/_volume&gt;&lt;/Details&gt;&lt;Extra&gt;&lt;DBUID&gt;{B538FB44-5F0A-4660-AE5D-888A8FDEFC3D}&lt;/DBUID&gt;&lt;/Extra&gt;&lt;/Item&gt;&lt;/References&gt;&lt;/Group&gt;&lt;/Citation&gt;_x000a_"/>
    <w:docVar w:name="NE.Ref{3F0C04F7-8055-42EA-978F-2EA7909EE805}" w:val=" ADDIN NE.Ref.{3F0C04F7-8055-42EA-978F-2EA7909EE805}&lt;Citation&gt;&lt;Group&gt;&lt;References&gt;&lt;Item&gt;&lt;ID&gt;245&lt;/ID&gt;&lt;UID&gt;{E9B911E8-2C01-454C-A1E8-B4050098E9EE}&lt;/UID&gt;&lt;Title&gt;ESPEN Guidelines on Enteral Nutrition: Surgery including organ transplantation&lt;/Title&gt;&lt;Template&gt;Journal Article&lt;/Template&gt;&lt;Star&gt;0&lt;/Star&gt;&lt;Tag&gt;0&lt;/Tag&gt;&lt;Author&gt;Weimann, A; Braga, M; Harsanyi, L; Laviano, A; Ljungqvist, O; Soeters, P; Jauch, K W; Kemen, M; Hiesmayr, J M; Horbach, T; Kuse, E R; Vestweber, K H&lt;/Author&gt;&lt;Year&gt;2006&lt;/Year&gt;&lt;Details&gt;&lt;_accession_num&gt;16698152&lt;/_accession_num&gt;&lt;_author_adr&gt;Klinik f. Allgemein- und Visceralchirurgie, Klinikum &amp;quot;St. Georg&amp;quot;, Leipzig, Germany. arved.weimann@sanktgeorg.de&lt;/_author_adr&gt;&lt;_collection_scope&gt;SCIE;&lt;/_collection_scope&gt;&lt;_created&gt;62314232&lt;/_created&gt;&lt;_date&gt;2006-04-01&lt;/_date&gt;&lt;_date_display&gt;2006 Apr&lt;/_date_display&gt;&lt;_doi&gt;10.1016/j.clnu.2006.01.015&lt;/_doi&gt;&lt;_impact_factor&gt;   5.496&lt;/_impact_factor&gt;&lt;_isbn&gt;0261-5614 (Print); 0261-5614 (Linking)&lt;/_isbn&gt;&lt;_issue&gt;2&lt;/_issue&gt;&lt;_journal&gt;Clin Nutr&lt;/_journal&gt;&lt;_keywords&gt;Enteral Nutrition/methods/*standards; Europe; General Surgery/*standards; Humans; *Organ Transplantation; Perioperative Care/standards; Practice Patterns, Physicians&amp;apos;/*standards&lt;/_keywords&gt;&lt;_language&gt;eng&lt;/_language&gt;&lt;_modified&gt;62314251&lt;/_modified&gt;&lt;_pages&gt;224-44&lt;/_pages&gt;&lt;_tertiary_title&gt;Clinical nutrition (Edinburgh, Scotland)&lt;/_tertiary_title&gt;&lt;_type_work&gt;Consensus Development Conference; Journal Article; Practice Guideline&lt;/_type_work&gt;&lt;_url&gt;http://www.ncbi.nlm.nih.gov/entrez/query.fcgi?cmd=Retrieve&amp;amp;db=pubmed&amp;amp;dopt=Abstract&amp;amp;list_uids=16698152&amp;amp;query_hl=1&lt;/_url&gt;&lt;_volume&gt;25&lt;/_volume&gt;&lt;/Details&gt;&lt;Extra&gt;&lt;DBUID&gt;{B538FB44-5F0A-4660-AE5D-888A8FDEFC3D}&lt;/DBUID&gt;&lt;/Extra&gt;&lt;/Item&gt;&lt;/References&gt;&lt;/Group&gt;&lt;/Citation&gt;_x000a_"/>
    <w:docVar w:name="NE.Ref{40D10D8D-08B9-45DB-B981-56B303A4C48B}" w:val=" ADDIN NE.Ref.{40D10D8D-08B9-45DB-B981-56B303A4C48B}&lt;Citation&gt;&lt;Group&gt;&lt;References&gt;&lt;Item&gt;&lt;ID&gt;255&lt;/ID&gt;&lt;UID&gt;{B6CE9B2E-B4E4-49C0-97D7-AE63E58F15A1}&lt;/UID&gt;&lt;Title&gt;[Continuous negative pressure-flush through extraperitoneal dual tube in the treatment and prevention for rectal cancer patients with anastomotic leakage after low anterior resection]&lt;/Title&gt;&lt;Template&gt;Journal Article&lt;/Template&gt;&lt;Star&gt;0&lt;/Star&gt;&lt;Tag&gt;0&lt;/Tag&gt;&lt;Author&gt;Lin, C; Zhang, Z; Wang, Y; Huang, S; Wang, L; Wang, B&lt;/Author&gt;&lt;Year&gt;2014&lt;/Year&gt;&lt;Details&gt;&lt;_accession_num&gt;24859957&lt;/_accession_num&gt;&lt;_author_adr&gt;Department of General Surgery, Fuzhou General Hospital of Nanjing Military Command, Fuzhou 350025, China. fzptwk@163.com.&lt;/_author_adr&gt;&lt;_created&gt;62314233&lt;/_created&gt;&lt;_date&gt;2014-05-01&lt;/_date&gt;&lt;_date_display&gt;2014 May&lt;/_date_display&gt;&lt;_isbn&gt;1671-0274 (Print); 1671-0274 (Linking)&lt;/_isbn&gt;&lt;_issue&gt;5&lt;/_issue&gt;&lt;_journal&gt;Zhonghua Wei Chang Wai Ke Za Zhi&lt;/_journal&gt;&lt;_keywords&gt;Aged; Anastomotic Leak/etiology/*prevention &amp;amp; control; Humans; Middle Aged; *Postoperative Complications/prevention &amp;amp; control; Rectal Neoplasms/*surgery; Retrospective Studies; Therapeutic Irrigation/*methods; Treatment Outcome&lt;/_keywords&gt;&lt;_language&gt;chi&lt;/_language&gt;&lt;_modified&gt;62314234&lt;/_modified&gt;&lt;_pages&gt;469-72&lt;/_pages&gt;&lt;_tertiary_title&gt;Zhonghua wei chang wai ke za zhi = Chinese journal of gastrointestinal surgery&lt;/_tertiary_title&gt;&lt;_type_work&gt;Comparative Study; English Abstract; Journal Article; Research Support, Non-U.S. Gov&amp;apos;t&lt;/_type_work&gt;&lt;_url&gt;http://www.ncbi.nlm.nih.gov/entrez/query.fcgi?cmd=Retrieve&amp;amp;db=pubmed&amp;amp;dopt=Abstract&amp;amp;list_uids=24859957&amp;amp;query_hl=1&lt;/_url&gt;&lt;_volume&gt;17&lt;/_volume&gt;&lt;/Details&gt;&lt;Extra&gt;&lt;DBUID&gt;{B538FB44-5F0A-4660-AE5D-888A8FDEFC3D}&lt;/DBUID&gt;&lt;/Extra&gt;&lt;/Item&gt;&lt;/References&gt;&lt;/Group&gt;&lt;/Citation&gt;_x000a_"/>
    <w:docVar w:name="NE.Ref{6823C760-7F1A-4024-9828-D1AAE607CE96}" w:val=" ADDIN NE.Ref.{6823C760-7F1A-4024-9828-D1AAE607CE96}&lt;Citation&gt;&lt;Group&gt;&lt;References&gt;&lt;Item&gt;&lt;ID&gt;247&lt;/ID&gt;&lt;UID&gt;{902F346B-E79B-4EA3-8B29-BADC263DF72D}&lt;/UID&gt;&lt;Title&gt;Identification of risk factors for esophagojejunal anastomotic leakage after gastric surgery&lt;/Title&gt;&lt;Template&gt;Journal Article&lt;/Template&gt;&lt;Star&gt;0&lt;/Star&gt;&lt;Tag&gt;0&lt;/Tag&gt;&lt;Author&gt;Deguchi, Y; Fukagawa, T; Morita, S; Ohashi, M; Saka, M; Katai, H&lt;/Author&gt;&lt;Year&gt;2012&lt;/Year&gt;&lt;Details&gt;&lt;_accession_num&gt;22415758&lt;/_accession_num&gt;&lt;_author_adr&gt;Gastric Surgery Division, National Cancer Center Hospital, 5-1-1 Tsukiji, Chuo-ku, Tokyo, 104-0045, Japan.&lt;/_author_adr&gt;&lt;_collection_scope&gt;SCI;SCIE;&lt;/_collection_scope&gt;&lt;_created&gt;62314232&lt;/_created&gt;&lt;_date&gt;2012-07-01&lt;/_date&gt;&lt;_date_display&gt;2012 Jul&lt;/_date_display&gt;&lt;_doi&gt;10.1007/s00268-012-1559-3&lt;/_doi&gt;&lt;_impact_factor&gt;   2.766&lt;/_impact_factor&gt;&lt;_isbn&gt;1432-2323 (Electronic); 0364-2313 (Linking)&lt;/_isbn&gt;&lt;_issue&gt;7&lt;/_issue&gt;&lt;_journal&gt;World J Surg&lt;/_journal&gt;&lt;_keywords&gt;Aged; Analysis of Variance; Anastomosis, Surgical/adverse effects; *Anastomotic Leak; Body Mass Index; Esophagus/*surgery; Gastrectomy/*adverse effects/methods; Humans; Jejunum/*surgery; Lymph Node Excision; Middle Aged; Neoplasms/surgery; Retrospective Studies; Risk Factors; Stomach Neoplasms/surgery; Time Factors&lt;/_keywords&gt;&lt;_language&gt;eng&lt;/_language&gt;&lt;_modified&gt;62314252&lt;/_modified&gt;&lt;_pages&gt;1617-22&lt;/_pages&gt;&lt;_tertiary_title&gt;World journal of surgery&lt;/_tertiary_title&gt;&lt;_type_work&gt;Journal Article&lt;/_type_work&gt;&lt;_url&gt;http://www.ncbi.nlm.nih.gov/entrez/query.fcgi?cmd=Retrieve&amp;amp;db=pubmed&amp;amp;dopt=Abstract&amp;amp;list_uids=22415758&amp;amp;query_hl=1&lt;/_url&gt;&lt;_volume&gt;36&lt;/_volume&gt;&lt;/Details&gt;&lt;Extra&gt;&lt;DBUID&gt;{B538FB44-5F0A-4660-AE5D-888A8FDEFC3D}&lt;/DBUID&gt;&lt;/Extra&gt;&lt;/Item&gt;&lt;/References&gt;&lt;/Group&gt;&lt;Group&gt;&lt;References&gt;&lt;Item&gt;&lt;ID&gt;248&lt;/ID&gt;&lt;UID&gt;{B49E3868-0CC0-4FFE-9ABE-0B927E548F69}&lt;/UID&gt;&lt;Title&gt;Anastomotic Leakage After Low Anterior Resection for Rectal Cancer Is Different Between Minimally Invasive Surgery and Open Surgery&lt;/Title&gt;&lt;Template&gt;Journal Article&lt;/Template&gt;&lt;Star&gt;0&lt;/Star&gt;&lt;Tag&gt;0&lt;/Tag&gt;&lt;Author&gt;Kim, C W; Baek, S J; Hur, H; Min, B S; Baik, S H; Kim, N K&lt;/Author&gt;&lt;Year&gt;2016&lt;/Year&gt;&lt;Details&gt;&lt;_accession_num&gt;25692355&lt;/_accession_num&gt;&lt;_author_adr&gt;Department of Surgery, Yonsei University College of Medicine, Seoul, Republic of  Republic of Korea.&lt;/_author_adr&gt;&lt;_collection_scope&gt;SCI;SCIE;&lt;/_collection_scope&gt;&lt;_created&gt;62314232&lt;/_created&gt;&lt;_date&gt;2016-01-01&lt;/_date&gt;&lt;_date_display&gt;2016 Jan&lt;/_date_display&gt;&lt;_doi&gt;10.1097/SLA.0000000000001157&lt;/_doi&gt;&lt;_impact_factor&gt;   9.203&lt;/_impact_factor&gt;&lt;_isbn&gt;1528-1140 (Electronic); 0003-4932 (Linking)&lt;/_isbn&gt;&lt;_issue&gt;1&lt;/_issue&gt;&lt;_journal&gt;Ann Surg&lt;/_journal&gt;&lt;_keywords&gt;Anastomotic Leak/*diagnosis/*epidemiology/surgery; Decision Trees; Digestive System Surgical Procedures/methods; Female; Humans; Male; Middle Aged; Minimally Invasive Surgical Procedures; Rectal Neoplasms/*surgery; Retrospective Studies; Risk Factors&lt;/_keywords&gt;&lt;_language&gt;eng&lt;/_language&gt;&lt;_modified&gt;62314232&lt;/_modified&gt;&lt;_pages&gt;130-7&lt;/_pages&gt;&lt;_tertiary_title&gt;Annals of surgery&lt;/_tertiary_title&gt;&lt;_type_work&gt;Clinical Study; Comparative Study; Journal Article&lt;/_type_work&gt;&lt;_url&gt;http://www.ncbi.nlm.nih.gov/entrez/query.fcgi?cmd=Retrieve&amp;amp;db=pubmed&amp;amp;dopt=Abstract&amp;amp;list_uids=25692355&amp;amp;query_hl=1&lt;/_url&gt;&lt;_volume&gt;263&lt;/_volume&gt;&lt;/Details&gt;&lt;Extra&gt;&lt;DBUID&gt;{B538FB44-5F0A-4660-AE5D-888A8FDEFC3D}&lt;/DBUID&gt;&lt;/Extra&gt;&lt;/Item&gt;&lt;/References&gt;&lt;/Group&gt;&lt;Group&gt;&lt;References&gt;&lt;Item&gt;&lt;ID&gt;249&lt;/ID&gt;&lt;UID&gt;{85A1BACD-6E32-4406-9863-AB11E10F2ABF}&lt;/UID&gt;&lt;Title&gt;Risk factors for esophagojejunal anastomotic leakage after elective gastrectomy for gastric cancer&lt;/Title&gt;&lt;Template&gt;Journal Article&lt;/Template&gt;&lt;Star&gt;0&lt;/Star&gt;&lt;Tag&gt;0&lt;/Tag&gt;&lt;Author&gt;Migita, K; Takayama, T; Matsumoto, S; Wakatsuki, K; Enomoto, K; Tanaka, T; Ito, M; Nakajima, Y&lt;/Author&gt;&lt;Year&gt;2012&lt;/Year&gt;&lt;Details&gt;&lt;_accession_num&gt;22688419&lt;/_accession_num&gt;&lt;_author_adr&gt;Department of Surgery, Nara Medical University, 840 Shijo-Cho, Kashihara, Nara 634-8522, Japan. kmigita@naramed-u.ac.jp&lt;/_author_adr&gt;&lt;_collection_scope&gt;SCIE;&lt;/_collection_scope&gt;&lt;_created&gt;62314232&lt;/_created&gt;&lt;_date&gt;2012-09-01&lt;/_date&gt;&lt;_date_display&gt;2012 Sep&lt;/_date_display&gt;&lt;_doi&gt;10.1007/s11605-012-1932-4&lt;/_doi&gt;&lt;_impact_factor&gt;   2.813&lt;/_impact_factor&gt;&lt;_isbn&gt;1873-4626 (Electronic); 1091-255X (Linking)&lt;/_isbn&gt;&lt;_issue&gt;9&lt;/_issue&gt;&lt;_journal&gt;J Gastrointest Surg&lt;/_journal&gt;&lt;_keywords&gt;Adult; Aged; Aged, 80 and over; Anastomosis, Surgical/adverse effects; *Anastomotic Leak/diagnosis/etiology; Elective Surgical Procedures; Esophagus/*surgery; Female; Gastrectomy/*adverse effects; Humans; Jejunum/*surgery; Male; Middle Aged; Reoperation; Retrospective Studies; Risk Factors; Stomach Neoplasms/surgery; Surgical Stapling/adverse effects&lt;/_keywords&gt;&lt;_language&gt;eng&lt;/_language&gt;&lt;_modified&gt;62314232&lt;/_modified&gt;&lt;_pages&gt;1659-65&lt;/_pages&gt;&lt;_tertiary_title&gt;Journal of gastrointestinal surgery : official journal of the Society for Surgery_x000d__x000a_      of the Alimentary Tract&lt;/_tertiary_title&gt;&lt;_type_work&gt;Journal Article&lt;/_type_work&gt;&lt;_url&gt;http://www.ncbi.nlm.nih.gov/entrez/query.fcgi?cmd=Retrieve&amp;amp;db=pubmed&amp;amp;dopt=Abstract&amp;amp;list_uids=22688419&amp;amp;query_hl=1&lt;/_url&gt;&lt;_volume&gt;16&lt;/_volume&gt;&lt;/Details&gt;&lt;Extra&gt;&lt;DBUID&gt;{B538FB44-5F0A-4660-AE5D-888A8FDEFC3D}&lt;/DBUID&gt;&lt;/Extra&gt;&lt;/Item&gt;&lt;/References&gt;&lt;/Group&gt;&lt;Group&gt;&lt;References&gt;&lt;Item&gt;&lt;ID&gt;250&lt;/ID&gt;&lt;UID&gt;{BDA6A557-EDF6-44B5-A364-FA39EF734C18}&lt;/UID&gt;&lt;Title&gt;Prevention of anastomotic leakage after total gastrectomy with perioperative supplemental oxygen administration: a prospective randomized, double-blind, controlled, single-center trial&lt;/Title&gt;&lt;Template&gt;Journal Article&lt;/Template&gt;&lt;Star&gt;0&lt;/Star&gt;&lt;Tag&gt;0&lt;/Tag&gt;&lt;Author&gt;Schietroma, M; Cecilia, E M; Carlei, F; Sista, F; De Santis, G; Piccione, F; Amicucci, G&lt;/Author&gt;&lt;Year&gt;2013&lt;/Year&gt;&lt;Details&gt;&lt;_accession_num&gt;23099730&lt;/_accession_num&gt;&lt;_author_adr&gt;Department of Surgery, University of L&amp;apos;Aquila, L&amp;apos;Aquila, Italy.&lt;/_author_adr&gt;&lt;_collection_scope&gt;SCI;SCIE;&lt;/_collection_scope&gt;&lt;_created&gt;62314233&lt;/_created&gt;&lt;_date&gt;2013-05-01&lt;/_date&gt;&lt;_date_display&gt;2013 May&lt;/_date_display&gt;&lt;_doi&gt;10.1245/s10434-012-2714-7&lt;/_doi&gt;&lt;_impact_factor&gt;   3.857&lt;/_impact_factor&gt;&lt;_isbn&gt;1534-4681 (Electronic); 1068-9265 (Linking)&lt;/_isbn&gt;&lt;_issue&gt;5&lt;/_issue&gt;&lt;_journal&gt;Ann Surg Oncol&lt;/_journal&gt;&lt;_keywords&gt;Aged; Aged, 80 and over; Anastomosis, Surgical/adverse effects; Anastomotic Leak/etiology/*prevention &amp;amp; control; Double-Blind Method; Esophagus/*surgery; Female; Gastrectomy/*adverse effects; Humans; Jejunum/*surgery; Length of Stay; Male; Middle Aged; Operative Time; Oximetry; *Oxygen Inhalation Therapy; Perioperative Care; Reoperation; Respiratory Tract Diseases/complications; Stomach Neoplasms/complications/*surgery&lt;/_keywords&gt;&lt;_language&gt;eng&lt;/_language&gt;&lt;_modified&gt;62314253&lt;/_modified&gt;&lt;_pages&gt;1584-90&lt;/_pages&gt;&lt;_tertiary_title&gt;Annals of surgical oncology&lt;/_tertiary_title&gt;&lt;_type_work&gt;Journal Article; Randomized Controlled Trial&lt;/_type_work&gt;&lt;_url&gt;http://www.ncbi.nlm.nih.gov/entrez/query.fcgi?cmd=Retrieve&amp;amp;db=pubmed&amp;amp;dopt=Abstract&amp;amp;list_uids=23099730&amp;amp;query_hl=1&lt;/_url&gt;&lt;_volume&gt;20&lt;/_volume&gt;&lt;/Details&gt;&lt;Extra&gt;&lt;DBUID&gt;{B538FB44-5F0A-4660-AE5D-888A8FDEFC3D}&lt;/DBUID&gt;&lt;/Extra&gt;&lt;/Item&gt;&lt;/References&gt;&lt;/Group&gt;&lt;/Citation&gt;_x000a_"/>
    <w:docVar w:name="NE.Ref{A389628E-3EB6-4A3C-A837-96E1600FEB84}" w:val=" ADDIN NE.Ref.{A389628E-3EB6-4A3C-A837-96E1600FEB84}&lt;Citation&gt;&lt;Group&gt;&lt;References&gt;&lt;Item&gt;&lt;ID&gt;256&lt;/ID&gt;&lt;UID&gt;{B92A59FF-9817-4FE9-AB72-02EA98319D4C}&lt;/UID&gt;&lt;Title&gt;Enclosed passive infraversion lavage-drainage system (EPILDS): a novel safe technique for local management of early stage bile leakage and pancreatic fistula Post Pancreatoduodenectomy&lt;/Title&gt;&lt;Template&gt;Journal Article&lt;/Template&gt;&lt;Star&gt;0&lt;/Star&gt;&lt;Tag&gt;0&lt;/Tag&gt;&lt;Author&gt;Jiang, K; Zhang, W; Feng, Y; Su, M; Dong, J; Huang, Z&lt;/Author&gt;&lt;Year&gt;2014&lt;/Year&gt;&lt;Details&gt;&lt;_accession_num&gt;24006154&lt;/_accession_num&gt;&lt;_author_adr&gt;Institute and Hospital of Hepatobiliary Surgery, Key Laboratory of Digital Hepatobiliary Surgery of Chinese PLA, Chinese PLA Medical School, Chinese PLA General Hospital, 28 Fuxing Road, Beijing, 100853, China, jiangk301@126.com.&lt;/_author_adr&gt;&lt;_collection_scope&gt;SCIE;&lt;/_collection_scope&gt;&lt;_created&gt;62314234&lt;/_created&gt;&lt;_date&gt;2014-04-01&lt;/_date&gt;&lt;_date_display&gt;2014 Apr&lt;/_date_display&gt;&lt;_doi&gt;10.1007/s12013-013-9735-0&lt;/_doi&gt;&lt;_impact_factor&gt;   1.455&lt;/_impact_factor&gt;&lt;_isbn&gt;1559-0283 (Electronic); 1085-9195 (Linking)&lt;/_isbn&gt;&lt;_issue&gt;3&lt;/_issue&gt;&lt;_journal&gt;Cell Biochem Biophys&lt;/_journal&gt;&lt;_keywords&gt;*Bile; Drainage/adverse effects/instrumentation/*methods; Humans; Male; Middle Aged; Pancreatic Fistula/etiology/*therapy; Pancreaticoduodenectomy/*adverse effects; Postoperative Complications/*therapy; *Safety&lt;/_keywords&gt;&lt;_language&gt;eng&lt;/_language&gt;&lt;_modified&gt;62314234&lt;/_modified&gt;&lt;_pages&gt;541-6&lt;/_pages&gt;&lt;_tertiary_title&gt;Cell biochemistry and biophysics&lt;/_tertiary_title&gt;&lt;_type_work&gt;Journal Article&lt;/_type_work&gt;&lt;_url&gt;http://www.ncbi.nlm.nih.gov/entrez/query.fcgi?cmd=Retrieve&amp;amp;db=pubmed&amp;amp;dopt=Abstract&amp;amp;list_uids=24006154&amp;amp;query_hl=1&lt;/_url&gt;&lt;_volume&gt;68&lt;/_volume&gt;&lt;/Details&gt;&lt;Extra&gt;&lt;DBUID&gt;{B538FB44-5F0A-4660-AE5D-888A8FDEFC3D}&lt;/DBUID&gt;&lt;/Extra&gt;&lt;/Item&gt;&lt;/References&gt;&lt;/Group&gt;&lt;/Citation&gt;_x000a_"/>
    <w:docVar w:name="NE.Ref{A932EEF0-7292-450D-93DE-B1BD91EA58B8}" w:val=" ADDIN NE.Ref.{A932EEF0-7292-450D-93DE-B1BD91EA58B8}&lt;Citation&gt;&lt;Group&gt;&lt;References&gt;&lt;Item&gt;&lt;ID&gt;239&lt;/ID&gt;&lt;UID&gt;{115B117D-6B10-4142-B7B6-0639D75A30A1}&lt;/UID&gt;&lt;Title&gt;Does Anastomotic Leak Contribute to High Failure-to-rescue Rates?&lt;/Title&gt;&lt;Template&gt;Journal Article&lt;/Template&gt;&lt;Star&gt;0&lt;/Star&gt;&lt;Tag&gt;0&lt;/Tag&gt;&lt;Author&gt;Tevis, S E; Carchman, E H; Foley, E F; Heise, C P; Harms, B A; Kennedy, G D&lt;/Author&gt;&lt;Year&gt;2016&lt;/Year&gt;&lt;Details&gt;&lt;_accession_num&gt;26587851&lt;/_accession_num&gt;&lt;_author_adr&gt;Department of Surgery, University of Wisconsin, Madison, WI.&lt;/_author_adr&gt;&lt;_collection_scope&gt;SCI;SCIE;&lt;/_collection_scope&gt;&lt;_created&gt;62314226&lt;/_created&gt;&lt;_date&gt;2016-06-01&lt;/_date&gt;&lt;_date_display&gt;2016 Jun&lt;/_date_display&gt;&lt;_doi&gt;10.1097/SLA.0000000000001409&lt;/_doi&gt;&lt;_impact_factor&gt;   9.203&lt;/_impact_factor&gt;&lt;_isbn&gt;1528-1140 (Electronic); 0003-4932 (Linking)&lt;/_isbn&gt;&lt;_issue&gt;6&lt;/_issue&gt;&lt;_journal&gt;Ann Surg&lt;/_journal&gt;&lt;_keywords&gt;Aged; Anastomotic Leak/*mortality; *Colectomy; Female; Hospital Mortality; Humans; Male; Middle Aged; Postoperative Complications/*mortality; Risk Factors; United States/epidemiology&lt;/_keywords&gt;&lt;_language&gt;eng&lt;/_language&gt;&lt;_modified&gt;62314226&lt;/_modified&gt;&lt;_pages&gt;1148-51&lt;/_pages&gt;&lt;_tertiary_title&gt;Annals of surgery&lt;/_tertiary_title&gt;&lt;_type_work&gt;Journal Article&lt;/_type_work&gt;&lt;_url&gt;http://www.ncbi.nlm.nih.gov/entrez/query.fcgi?cmd=Retrieve&amp;amp;db=pubmed&amp;amp;dopt=Abstract&amp;amp;list_uids=26587851&amp;amp;query_hl=1&lt;/_url&gt;&lt;_volume&gt;263&lt;/_volume&gt;&lt;/Details&gt;&lt;Extra&gt;&lt;DBUID&gt;{B538FB44-5F0A-4660-AE5D-888A8FDEFC3D}&lt;/DBUID&gt;&lt;/Extra&gt;&lt;/Item&gt;&lt;/References&gt;&lt;/Group&gt;&lt;Group&gt;&lt;References&gt;&lt;Item&gt;&lt;ID&gt;240&lt;/ID&gt;&lt;UID&gt;{DC702E12-CD28-4AC5-A56D-F2281348945B}&lt;/UID&gt;&lt;Title&gt;A Perioperative Clinical Pathway Can Dramatically Reduce Failure-to-rescue Rates  After Cytoreductive Surgery for Peritoneal Carcinomatosis: A Retrospective Study  of 666 Consecutive Cytoreductions&lt;/Title&gt;&lt;Template&gt;Journal Article&lt;/Template&gt;&lt;Star&gt;0&lt;/Star&gt;&lt;Tag&gt;0&lt;/Tag&gt;&lt;Author&gt;Passot, G; Vaudoyer, D; Villeneuve, L; Wallet, F; Beaujard, A C; Boschetti, G; Rousset, P; Bakrin, N; Cotte, E; Glehen, O&lt;/Author&gt;&lt;Year&gt;2017&lt;/Year&gt;&lt;Details&gt;&lt;_accession_num&gt;27775553&lt;/_accession_num&gt;&lt;_author_adr&gt;*Department of Surgical Oncology, CHU Lyon Sud, Hospices Civils de Lyon, University of Lyon, Pierre Benite, France daggerDepartment of EMR 37-38, Lyon 1 University, Lyon, France double daggerDepartment of Pole IMER, CHU Lyon Sud, Hospices Civils de Lyon, University of Lyon, Pierre Benite, France section signDepartment of Critical Care and Anesthesiology, CHU Lyon Sud, Hospices Civils de Lyon, University of Lyon, Pierre Benite, France paragraph signDepartment of Gastroenterology, CHU Lyon Sud, Hospices Civils de Lyon, University of Lyon, Pierre Benite, France ||Department of Radiology, CHU Lyon Sud, Hospices Civils de Lyon, University of Lyon, Pierre Benite, France.&lt;/_author_adr&gt;&lt;_collection_scope&gt;SCI;SCIE;&lt;/_collection_scope&gt;&lt;_created&gt;62314227&lt;/_created&gt;&lt;_date&gt;2017-04-01&lt;/_date&gt;&lt;_date_display&gt;2017 Apr&lt;/_date_display&gt;&lt;_doi&gt;10.1097/SLA.0000000000001723&lt;/_doi&gt;&lt;_impact_factor&gt;   9.203&lt;/_impact_factor&gt;&lt;_isbn&gt;1528-1140 (Electronic); 0003-4932 (Linking)&lt;/_isbn&gt;&lt;_issue&gt;4&lt;/_issue&gt;&lt;_journal&gt;Ann Surg&lt;/_journal&gt;&lt;_language&gt;eng&lt;/_language&gt;&lt;_modified&gt;62314250&lt;/_modified&gt;&lt;_pages&gt;806-813&lt;/_pages&gt;&lt;_tertiary_title&gt;Annals of surgery&lt;/_tertiary_title&gt;&lt;_type_work&gt;Journal Article&lt;/_type_work&gt;&lt;_url&gt;http://www.ncbi.nlm.nih.gov/entrez/query.fcgi?cmd=Retrieve&amp;amp;db=pubmed&amp;amp;dopt=Abstract&amp;amp;list_uids=27775553&amp;amp;query_hl=1&lt;/_url&gt;&lt;_volume&gt;265&lt;/_volume&gt;&lt;/Details&gt;&lt;Extra&gt;&lt;DBUID&gt;{B538FB44-5F0A-4660-AE5D-888A8FDEFC3D}&lt;/DBUID&gt;&lt;/Extra&gt;&lt;/Item&gt;&lt;/References&gt;&lt;/Group&gt;&lt;/Citation&gt;_x000a_"/>
    <w:docVar w:name="NE.Ref{CA90B485-A1DF-4BC5-B64C-53465790BA24}" w:val=" ADDIN NE.Ref.{CA90B485-A1DF-4BC5-B64C-53465790BA24}&lt;Citation&gt;&lt;Group&gt;&lt;References&gt;&lt;Item&gt;&lt;ID&gt;257&lt;/ID&gt;&lt;UID&gt;{2AC675FE-0297-4688-9AB1-DBCD60282E8F}&lt;/UID&gt;&lt;Title&gt;Systematic review of anastomotic complications of esophagojejunostomy after laparoscopic total gastrectomy&lt;/Title&gt;&lt;Template&gt;Journal Article&lt;/Template&gt;&lt;Star&gt;0&lt;/Star&gt;&lt;Tag&gt;0&lt;/Tag&gt;&lt;Author&gt;Inokuchi, M; Otsuki, S; Fujimori, Y; Sato, Y; Nakagawa, M; Kojima, K&lt;/Author&gt;&lt;Year&gt;2015&lt;/Year&gt;&lt;Details&gt;&lt;_accession_num&gt;26327774&lt;/_accession_num&gt;&lt;_author_adr&gt;Mikito Inokuchi, Sho Otuski, Yoshitaka Fujimori, Yuya Sato, Masatoshi Nakagawa, Department of Surgical Oncology, Tokyo Medical and Dental University, Tokyo 113-8519, Japan.; Mikito Inokuchi, Sho Otuski, Yoshitaka Fujimori, Yuya Sato, Masatoshi Nakagawa, Department of Surgical Oncology, Tokyo Medical and Dental University, Tokyo 113-8519, Japan.; Mikito Inokuchi, Sho Otuski, Yoshitaka Fujimori, Yuya Sato, Masatoshi Nakagawa, Department of Surgical Oncology, Tokyo Medical and Dental University, Tokyo 113-8519, Japan.; Mikito Inokuchi, Sho Otuski, Yoshitaka Fujimori, Yuya Sato, Masatoshi Nakagawa, Department of Surgical Oncology, Tokyo Medical and Dental University, Tokyo 113-8519, Japan.; Mikito Inokuchi, Sho Otuski, Yoshitaka Fujimori, Yuya Sato, Masatoshi Nakagawa, Department of Surgical Oncology, Tokyo Medical and Dental University, Tokyo 113-8519, Japan.; Mikito Inokuchi, Sho Otuski, Yoshitaka Fujimori, Yuya Sato, Masatoshi Nakagawa, Department of Surgical Oncology, Tokyo Medical and Dental University, Tokyo 113-8519, Japan.&lt;/_author_adr&gt;&lt;_created&gt;62314234&lt;/_created&gt;&lt;_date&gt;2015-08-28&lt;/_date&gt;&lt;_date_display&gt;2015 Aug 28&lt;/_date_display&gt;&lt;_doi&gt;10.3748/wjg.v21.i32.9656&lt;/_doi&gt;&lt;_impact_factor&gt;   3.300&lt;/_impact_factor&gt;&lt;_isbn&gt;2219-2840 (Electronic); 1007-9327 (Linking)&lt;/_isbn&gt;&lt;_issue&gt;32&lt;/_issue&gt;&lt;_journal&gt;World J Gastroenterol&lt;/_journal&gt;&lt;_keywords&gt;Anastomotic Leak/diagnosis/*epidemiology; Chi-Square Distribution; Constriction, Pathologic; Esophagostomy/*adverse effects/instrumentation; Gastrectomy/adverse effects/*methods; Humans; Incidence; Jejunostomy/*adverse effects/instrumentation; *Laparoscopy/adverse effects; Odds Ratio; Risk Factors; Stomach Neoplasms/*surgery; Treatment OutcomeAnastomosis; Complication; Gastrectomy; Gastric cancer; Laparoscopic&lt;/_keywords&gt;&lt;_language&gt;eng&lt;/_language&gt;&lt;_modified&gt;62415109&lt;/_modified&gt;&lt;_pages&gt;9656-65&lt;/_pages&gt;&lt;_tertiary_title&gt;World journal of gastroenterology&lt;/_tertiary_title&gt;&lt;_type_work&gt;Journal Article; Meta-Analysis; Review&lt;/_type_work&gt;&lt;_url&gt;http://www.ncbi.nlm.nih.gov/entrez/query.fcgi?cmd=Retrieve&amp;amp;db=pubmed&amp;amp;dopt=Abstract&amp;amp;list_uids=26327774&amp;amp;query_hl=1&lt;/_url&gt;&lt;_volume&gt;21&lt;/_volume&gt;&lt;/Details&gt;&lt;Extra&gt;&lt;DBUID&gt;{B538FB44-5F0A-4660-AE5D-888A8FDEFC3D}&lt;/DBUID&gt;&lt;/Extra&gt;&lt;/Item&gt;&lt;/References&gt;&lt;/Group&gt;&lt;/Citation&gt;_x000a_"/>
    <w:docVar w:name="NE.Ref{CADF6075-3005-4F56-9DBD-E4446EC6A4F5}" w:val=" ADDIN NE.Ref.{CADF6075-3005-4F56-9DBD-E4446EC6A4F5}&lt;Citation&gt;&lt;Group&gt;&lt;References&gt;&lt;Item&gt;&lt;ID&gt;254&lt;/ID&gt;&lt;UID&gt;{2666FBB0-CB26-463C-8392-35E32B6EB4D3}&lt;/UID&gt;&lt;Title&gt;Cytoreductive surgery with a hyperthermic intraperitoneal chemotherapy program: Safe after 40 cases, but only controlled after 140 cases&lt;/Title&gt;&lt;Template&gt;Journal Article&lt;/Template&gt;&lt;Star&gt;0&lt;/Star&gt;&lt;Tag&gt;0&lt;/Tag&gt;&lt;Author&gt;Voron, T; Eveno, C; Jouvin, I; Beaugerie, A; Lo, Dico R; Dagois, S; Soyer, P; Pocard, M&lt;/Author&gt;&lt;Year&gt;2015&lt;/Year&gt;&lt;Details&gt;&lt;_accession_num&gt;26461254&lt;/_accession_num&gt;&lt;_author_adr&gt;Surgical Oncologic &amp;amp; Digestive Unit, Hopital Lariboisiere-AP-HP, 2 rue Ambroise Pare, 75475 Paris Cedex 10, France; Universite Paris Diderot, Sorbonne Paris Cite, CART, INSERM U965, F-74575 Paris, France.; Surgical Oncologic &amp;amp; Digestive Unit, Hopital Lariboisiere-AP-HP, 2 rue Ambroise Pare, 75475 Paris Cedex 10, France; Universite Paris Diderot, Sorbonne Paris Cite, CART, INSERM U965, F-74575 Paris, France. Electronic address: clarisse.eveno@gmail.com.; Surgical Oncologic &amp;amp; Digestive Unit, Hopital Lariboisiere-AP-HP, 2 rue Ambroise Pare, 75475 Paris Cedex 10, France; Universite Paris Diderot, Sorbonne Paris Cite, CART, INSERM U965, F-74575 Paris, France.; Surgical Oncologic &amp;amp; Digestive Unit, Hopital Lariboisiere-AP-HP, 2 rue Ambroise Pare, 75475 Paris Cedex 10, France; Universite Paris Diderot, Sorbonne Paris Cite, CART, INSERM U965, F-74575 Paris, France.; Surgical Oncologic &amp;amp; Digestive Unit, Hopital Lariboisiere-AP-HP, 2 rue Ambroise Pare, 75475 Paris Cedex 10, France; Universite Paris Diderot, Sorbonne Paris Cite, CART, INSERM U965, F-74575 Paris, France.; Universite Paris Diderot, Sorbonne Paris Cite, CART, INSERM U965, F-74575 Paris,  France; Department of Anesthesiology, Hopital Lariboisiere-AP-HP, 2 rue Ambroise  Pare, 75475 Paris Cedex 10, France.; Universite Paris Diderot, Sorbonne Paris Cite, CART, INSERM U965, F-74575 Paris,  France; Department of Abdominal Imaging, Hopital Lariboisiere-AP-HP, 2 rue Ambroise Pare, 75475 Paris Cedex 10, France.; Surgical Oncologic &amp;amp; Digestive Unit, Hopital Lariboisiere-AP-HP, 2 rue Ambroise Pare, 75475 Paris Cedex 10, France; Universite Paris Diderot, Sorbonne Paris Cite, CART, INSERM U965, F-74575 Paris, France.&lt;/_author_adr&gt;&lt;_created&gt;62314233&lt;/_created&gt;&lt;_date&gt;2015-12-01&lt;/_date&gt;&lt;_date_display&gt;2015 Dec&lt;/_date_display&gt;&lt;_doi&gt;10.1016/j.ejso.2015.09.005&lt;/_doi&gt;&lt;_impact_factor&gt;   3.688&lt;/_impact_factor&gt;&lt;_isbn&gt;1532-2157 (Electronic); 0748-7983 (Linking)&lt;/_isbn&gt;&lt;_issue&gt;12&lt;/_issue&gt;&lt;_journal&gt;Eur J Surg Oncol&lt;/_journal&gt;&lt;_keywords&gt;Antineoplastic Agents/*administration &amp;amp; dosage; Combined Modality Therapy; Cytoreduction Surgical Procedures/*methods; Female; Follow-Up Studies; France/epidemiology; Humans; Hyperthermia, Induced/*methods; Injections, Intraperitoneal; Male; Middle Aged; Peritoneal Neoplasms/mortality/*therapy; Retrospective Studies; Survival Rate/trendsCytoreductive surgery; Hyperthermic intraperitoneal chemotherapy; Learning curve; Peritoneal surface malignancies&lt;/_keywords&gt;&lt;_language&gt;eng&lt;/_language&gt;&lt;_modified&gt;62314234&lt;/_modified&gt;&lt;_ori_publication&gt;Copyright (c) 2015 Elsevier Ltd. All rights reserved.&lt;/_ori_publication&gt;&lt;_pages&gt;1671-7&lt;/_pages&gt;&lt;_tertiary_title&gt;European journal of surgical oncology : the journal of the European Society of_x000d__x000a_      Surgical Oncology and the British Association of Surgical Oncology&lt;/_tertiary_title&gt;&lt;_type_work&gt;Journal Article&lt;/_type_work&gt;&lt;_url&gt;http://www.ncbi.nlm.nih.gov/entrez/query.fcgi?cmd=Retrieve&amp;amp;db=pubmed&amp;amp;dopt=Abstract&amp;amp;list_uids=26461254&amp;amp;query_hl=1&lt;/_url&gt;&lt;_volume&gt;41&lt;/_volume&gt;&lt;/Details&gt;&lt;Extra&gt;&lt;DBUID&gt;{B538FB44-5F0A-4660-AE5D-888A8FDEFC3D}&lt;/DBUID&gt;&lt;/Extra&gt;&lt;/Item&gt;&lt;/References&gt;&lt;/Group&gt;&lt;/Citation&gt;_x000a_"/>
    <w:docVar w:name="NE.Ref{D78D4130-38D4-4B4E-A5E5-13F13EB846B0}" w:val=" ADDIN NE.Ref.{D78D4130-38D4-4B4E-A5E5-13F13EB846B0}&lt;Citation&gt;&lt;Group&gt;&lt;References&gt;&lt;Item&gt;&lt;ID&gt;235&lt;/ID&gt;&lt;UID&gt;{0BA8FD5F-CE91-47A4-9EF0-B0D29ABAF770}&lt;/UID&gt;&lt;Title&gt;Postoperative complications following gastrectomy for gastric cancer during the last decade&lt;/Title&gt;&lt;Template&gt;Journal Article&lt;/Template&gt;&lt;Star&gt;0&lt;/Star&gt;&lt;Tag&gt;0&lt;/Tag&gt;&lt;Author&gt;Ichikawa, D; Kurioka, H; Yamaguchi, T; Koike, H; Okamoto, K; Otsuji, E; Shirono, K; Shioaki, Y; Ikeda, E; Mutoh, F; Yamagishi, H&lt;/Author&gt;&lt;Year&gt;2004&lt;/Year&gt;&lt;Details&gt;&lt;_accession_num&gt;15086217&lt;/_accession_num&gt;&lt;_author_adr&gt;Department of Digestive Surgery, Kyoto Prefectural University of Medicine, Kyoto, Japan. ichikawa@koto.kpu-m.ac.jp&lt;/_author_adr&gt;&lt;_created&gt;62314226&lt;/_created&gt;&lt;_date&gt;2004-03-01&lt;/_date&gt;&lt;_date_display&gt;2004 Mar-Apr&lt;/_date_display&gt;&lt;_impact_factor&gt;   0.907&lt;/_impact_factor&gt;&lt;_isbn&gt;0172-6390 (Print); 0172-6390 (Linking)&lt;/_isbn&gt;&lt;_issue&gt;56&lt;/_issue&gt;&lt;_journal&gt;Hepatogastroenterology&lt;/_journal&gt;&lt;_keywords&gt;Anastomosis, Surgical; Female; Gastrectomy/*adverse effects; Humans; Lymph Node Excision; Male; Middle Aged; Multivariate Analysis; Pancreatic Fistula/etiology; Retrospective Studies; Risk Factors; Stomach Neoplasms/*surgery; Surgical Wound Infection/epidemiology&lt;/_keywords&gt;&lt;_language&gt;eng&lt;/_language&gt;&lt;_modified&gt;62314252&lt;/_modified&gt;&lt;_pages&gt;613-7&lt;/_pages&gt;&lt;_tertiary_title&gt;Hepato-gastroenterology&lt;/_tertiary_title&gt;&lt;_type_work&gt;Journal Article&lt;/_type_work&gt;&lt;_url&gt;http://www.ncbi.nlm.nih.gov/entrez/query.fcgi?cmd=Retrieve&amp;amp;db=pubmed&amp;amp;dopt=Abstract&amp;amp;list_uids=15086217&amp;amp;query_hl=1&lt;/_url&gt;&lt;_volume&gt;51&lt;/_volume&gt;&lt;/Details&gt;&lt;Extra&gt;&lt;DBUID&gt;{B538FB44-5F0A-4660-AE5D-888A8FDEFC3D}&lt;/DBUID&gt;&lt;/Extra&gt;&lt;/Item&gt;&lt;/References&gt;&lt;/Group&gt;&lt;Group&gt;&lt;References&gt;&lt;Item&gt;&lt;ID&gt;236&lt;/ID&gt;&lt;UID&gt;{3963D8CF-4AF9-47D6-B244-B3740D042046}&lt;/UID&gt;&lt;Title&gt;Management and results of proximal anastomotic leaks in a series of 1114 total gastrectomies for gastric carcinoma&lt;/Title&gt;&lt;Template&gt;Journal Article&lt;/Template&gt;&lt;Star&gt;0&lt;/Star&gt;&lt;Tag&gt;0&lt;/Tag&gt;&lt;Author&gt;Lang, H; Piso, P; Stukenborg, C; Raab, R; Jahne, J&lt;/Author&gt;&lt;Year&gt;2000&lt;/Year&gt;&lt;Details&gt;&lt;_accession_num&gt;10744938&lt;/_accession_num&gt;&lt;_author_adr&gt;Klinik fur Abdominal- und Transplantationschirurgie, Medizinische Hochschule Hannover, Hannover, Germany.&lt;/_author_adr&gt;&lt;_created&gt;62314226&lt;/_created&gt;&lt;_date&gt;2000-03-01&lt;/_date&gt;&lt;_date_display&gt;2000 Mar&lt;/_date_display&gt;&lt;_doi&gt;10.1053/ejso.1999.0764&lt;/_doi&gt;&lt;_impact_factor&gt;   3.688&lt;/_impact_factor&gt;&lt;_isbn&gt;0748-7983 (Print); 0748-7983 (Linking)&lt;/_isbn&gt;&lt;_issue&gt;2&lt;/_issue&gt;&lt;_journal&gt;Eur J Surg Oncol&lt;/_journal&gt;&lt;_keywords&gt;Aged; Anastomosis, Surgical/adverse effects; Carcinoma/*surgery; Digestive System Surgical Procedures; Esophagus/*surgery; Female; Gastrectomy/*adverse effects/mortality; Humans; Jejunum/*surgery; Male; Prognosis; Reoperation; Retrospective Studies; Stomach Neoplasms/*surgery; Survival Rate&lt;/_keywords&gt;&lt;_language&gt;eng&lt;/_language&gt;&lt;_modified&gt;62314226&lt;/_modified&gt;&lt;_ori_publication&gt;Copyright 2000 Harcourt Publishers Ltd.&lt;/_ori_publication&gt;&lt;_pages&gt;168-71&lt;/_pages&gt;&lt;_tertiary_title&gt;European journal of surgical oncology : the journal of the European Society of_x000d__x000a_      Surgical Oncology and the British Association of Surgical Oncology&lt;/_tertiary_title&gt;&lt;_type_work&gt;Journal Article&lt;/_type_work&gt;&lt;_url&gt;http://www.ncbi.nlm.nih.gov/entrez/query.fcgi?cmd=Retrieve&amp;amp;db=pubmed&amp;amp;dopt=Abstract&amp;amp;list_uids=10744938&amp;amp;query_hl=1&lt;/_url&gt;&lt;_volume&gt;26&lt;/_volume&gt;&lt;/Details&gt;&lt;Extra&gt;&lt;DBUID&gt;{B538FB44-5F0A-4660-AE5D-888A8FDEFC3D}&lt;/DBUID&gt;&lt;/Extra&gt;&lt;/Item&gt;&lt;/References&gt;&lt;/Group&gt;&lt;/Citation&gt;_x000a_"/>
    <w:docVar w:name="NE.Ref{E0676CF9-E1CF-4610-9A1D-1A60C092C597}" w:val=" ADDIN NE.Ref.{E0676CF9-E1CF-4610-9A1D-1A60C092C597}&lt;Citation&gt;&lt;Group&gt;&lt;References&gt;&lt;Item&gt;&lt;ID&gt;250&lt;/ID&gt;&lt;UID&gt;{BDA6A557-EDF6-44B5-A364-FA39EF734C18}&lt;/UID&gt;&lt;Title&gt;Prevention of anastomotic leakage after total gastrectomy with perioperative supplemental oxygen administration: a prospective randomized, double-blind, controlled, single-center trial&lt;/Title&gt;&lt;Template&gt;Journal Article&lt;/Template&gt;&lt;Star&gt;0&lt;/Star&gt;&lt;Tag&gt;0&lt;/Tag&gt;&lt;Author&gt;Schietroma, M; Cecilia, E M; Carlei, F; Sista, F; De Santis, G; Piccione, F; Amicucci, G&lt;/Author&gt;&lt;Year&gt;2013&lt;/Year&gt;&lt;Details&gt;&lt;_accession_num&gt;23099730&lt;/_accession_num&gt;&lt;_author_adr&gt;Department of Surgery, University of L&amp;apos;Aquila, L&amp;apos;Aquila, Italy.&lt;/_author_adr&gt;&lt;_collection_scope&gt;SCI;SCIE;&lt;/_collection_scope&gt;&lt;_created&gt;62314233&lt;/_created&gt;&lt;_date&gt;2013-05-01&lt;/_date&gt;&lt;_date_display&gt;2013 May&lt;/_date_display&gt;&lt;_doi&gt;10.1245/s10434-012-2714-7&lt;/_doi&gt;&lt;_impact_factor&gt;   3.857&lt;/_impact_factor&gt;&lt;_isbn&gt;1534-4681 (Electronic); 1068-9265 (Linking)&lt;/_isbn&gt;&lt;_issue&gt;5&lt;/_issue&gt;&lt;_journal&gt;Ann Surg Oncol&lt;/_journal&gt;&lt;_keywords&gt;Aged; Aged, 80 and over; Anastomosis, Surgical/adverse effects; Anastomotic Leak/etiology/*prevention &amp;amp; control; Double-Blind Method; Esophagus/*surgery; Female; Gastrectomy/*adverse effects; Humans; Jejunum/*surgery; Length of Stay; Male; Middle Aged; Operative Time; Oximetry; *Oxygen Inhalation Therapy; Perioperative Care; Reoperation; Respiratory Tract Diseases/complications; Stomach Neoplasms/complications/*surgery&lt;/_keywords&gt;&lt;_language&gt;eng&lt;/_language&gt;&lt;_modified&gt;62314253&lt;/_modified&gt;&lt;_pages&gt;1584-90&lt;/_pages&gt;&lt;_tertiary_title&gt;Annals of surgical oncology&lt;/_tertiary_title&gt;&lt;_type_work&gt;Journal Article; Randomized Controlled Trial&lt;/_type_work&gt;&lt;_url&gt;http://www.ncbi.nlm.nih.gov/entrez/query.fcgi?cmd=Retrieve&amp;amp;db=pubmed&amp;amp;dopt=Abstract&amp;amp;list_uids=23099730&amp;amp;query_hl=1&lt;/_url&gt;&lt;_volume&gt;20&lt;/_volume&gt;&lt;/Details&gt;&lt;Extra&gt;&lt;DBUID&gt;{B538FB44-5F0A-4660-AE5D-888A8FDEFC3D}&lt;/DBUID&gt;&lt;/Extra&gt;&lt;/Item&gt;&lt;/References&gt;&lt;/Group&gt;&lt;/Citation&gt;_x000a_"/>
    <w:docVar w:name="NE.Ref{E3759C46-7ECE-492E-9CC7-D0329A29F881}" w:val=" ADDIN NE.Ref.{E3759C46-7ECE-492E-9CC7-D0329A29F881}&lt;Citation&gt;&lt;Group&gt;&lt;References&gt;&lt;Item&gt;&lt;ID&gt;290&lt;/ID&gt;&lt;UID&gt;{E6D93D76-6885-4094-A9E6-6ED8738AA029}&lt;/UID&gt;&lt;Title&gt;Abdominal drainage versus no drainage post-gastrectomy for gastric cancer&lt;/Title&gt;&lt;Template&gt;Journal Article&lt;/Template&gt;&lt;Star&gt;0&lt;/Star&gt;&lt;Tag&gt;0&lt;/Tag&gt;&lt;Author&gt;Wang, Z; Chen, J; Su, K; Dong, Z&lt;/Author&gt;&lt;Year&gt;2015&lt;/Year&gt;&lt;Details&gt;&lt;_accession_num&gt;25961741&lt;/_accession_num&gt;&lt;_author_adr&gt;Department of Gastrointestinal Surgery, The First Affiliated Hospital of Guangxi  Medical University, No.6, Shuang Yong Road, Nanning, Guangxi, China, 530021.&lt;/_author_adr&gt;&lt;_created&gt;62415114&lt;/_created&gt;&lt;_date&gt;2015-05-11&lt;/_date&gt;&lt;_date_display&gt;2015 May 11&lt;/_date_display&gt;&lt;_doi&gt;10.1002/14651858.CD008788.pub3&lt;/_doi&gt;&lt;_impact_factor&gt;   6.754&lt;/_impact_factor&gt;&lt;_isbn&gt;1469-493X (Electronic); 1361-6137 (Linking)&lt;/_isbn&gt;&lt;_issue&gt;5&lt;/_issue&gt;&lt;_journal&gt;Cochrane Database Syst Rev&lt;/_journal&gt;&lt;_keywords&gt;Drainage/*adverse effects/*mortality; Gastrectomy/*mortality; Humans; Length of Stay; Operative Time; Postoperative Complications/*prevention &amp;amp; control; Randomized Controlled Trials as Topic; Reoperation/statistics &amp;amp; numerical data; Stomach Neoplasms/mortality/*surgery; Time Factors&lt;/_keywords&gt;&lt;_language&gt;eng&lt;/_language&gt;&lt;_modified&gt;62415125&lt;/_modified&gt;&lt;_pages&gt;CD008788&lt;/_pages&gt;&lt;_tertiary_title&gt;The Cochrane database of systematic reviews&lt;/_tertiary_title&gt;&lt;_type_work&gt;Journal Article; Meta-Analysis; Research Support, Non-U.S. Gov&amp;apos;t; Review&lt;/_type_work&gt;&lt;_url&gt;http://www.ncbi.nlm.nih.gov/entrez/query.fcgi?cmd=Retrieve&amp;amp;db=pubmed&amp;amp;dopt=Abstract&amp;amp;list_uids=25961741&amp;amp;query_hl=1&lt;/_url&gt;&lt;/Details&gt;&lt;Extra&gt;&lt;DBUID&gt;{B538FB44-5F0A-4660-AE5D-888A8FDEFC3D}&lt;/DBUID&gt;&lt;/Extra&gt;&lt;/Item&gt;&lt;/References&gt;&lt;/Group&gt;&lt;Group&gt;&lt;References&gt;&lt;Item&gt;&lt;ID&gt;291&lt;/ID&gt;&lt;UID&gt;{11F66034-087B-427E-B356-B7F8753CFBBE}&lt;/UID&gt;&lt;Title&gt;Gastric cancer surgery without drains: a prospective randomized trial&lt;/Title&gt;&lt;Template&gt;Journal Article&lt;/Template&gt;&lt;Star&gt;0&lt;/Star&gt;&lt;Tag&gt;0&lt;/Tag&gt;&lt;Author&gt;Kim, J; Lee, J; Hyung, W J; Cheong, J H; Chen, J; Choi, S H; Noh, S H&lt;/Author&gt;&lt;Year&gt;2004&lt;/Year&gt;&lt;Details&gt;&lt;_accession_num&gt;15358335&lt;/_accession_num&gt;&lt;_author_adr&gt;Department of Surgery, Yonsei University College of Medicine, Seoul, Korea.&lt;/_author_adr&gt;&lt;_collection_scope&gt;SCIE;&lt;/_collection_scope&gt;&lt;_created&gt;62415114&lt;/_created&gt;&lt;_date&gt;2004-09-01&lt;/_date&gt;&lt;_date_display&gt;2004 Sep-Oct&lt;/_date_display&gt;&lt;_doi&gt;10.1016/j.gassur.2004.05.018&lt;/_doi&gt;&lt;_impact_factor&gt;   2.813&lt;/_impact_factor&gt;&lt;_isbn&gt;1091-255X (Print); 1091-255X (Linking)&lt;/_isbn&gt;&lt;_issue&gt;6&lt;/_issue&gt;&lt;_journal&gt;J Gastrointest Surg&lt;/_journal&gt;&lt;_keywords&gt;Chi-Square Distribution; *Drainage; Female; Humans; Male; Middle Aged; Pain, Postoperative/prevention &amp;amp; control; Postoperative Complications/prevention &amp;amp; control; Prospective Studies; Stomach Neoplasms/*surgery; Treatment Outcome&lt;/_keywords&gt;&lt;_language&gt;eng&lt;/_language&gt;&lt;_modified&gt;62415114&lt;/_modified&gt;&lt;_pages&gt;727-32&lt;/_pages&gt;&lt;_tertiary_title&gt;Journal of gastrointestinal surgery : official journal of the Society for Surgery_x000d__x000a_      of the Alimentary Tract&lt;/_tertiary_title&gt;&lt;_type_work&gt;Clinical Trial; Journal Article; Randomized Controlled Trial&lt;/_type_work&gt;&lt;_url&gt;http://www.ncbi.nlm.nih.gov/entrez/query.fcgi?cmd=Retrieve&amp;amp;db=pubmed&amp;amp;dopt=Abstract&amp;amp;list_uids=15358335&amp;amp;query_hl=1&lt;/_url&gt;&lt;_volume&gt;8&lt;/_volume&gt;&lt;/Details&gt;&lt;Extra&gt;&lt;DBUID&gt;{B538FB44-5F0A-4660-AE5D-888A8FDEFC3D}&lt;/DBUID&gt;&lt;/Extra&gt;&lt;/Item&gt;&lt;/References&gt;&lt;/Group&gt;&lt;Group&gt;&lt;References&gt;&lt;Item&gt;&lt;ID&gt;292&lt;/ID&gt;&lt;UID&gt;{B5EBEC1D-0249-4043-968A-374FC5E62864}&lt;/UID&gt;&lt;Title&gt;Do All Patients Require Prophylactic Drainage After Gastrectomy for Gastric Cancer? The Experience of a High-Volume Center&lt;/Title&gt;&lt;Template&gt;Journal Article&lt;/Template&gt;&lt;Star&gt;0&lt;/Star&gt;&lt;Tag&gt;0&lt;/Tag&gt;&lt;Author&gt;Lee, J; Choi, Y Y; An, J Y; Seo, S H; Kim, D W; Seo, Y B; Nakagawa, M; Li, S; Cheong, J H; Hyung, W J; Noh, S H&lt;/Author&gt;&lt;Year&gt;2015&lt;/Year&gt;&lt;Details&gt;&lt;_accession_num&gt;25845430&lt;/_accession_num&gt;&lt;_author_adr&gt;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JAR319@yuhs.ac.; Department of Surgery, Yonsei University Health System, Yonsei University College of Medicine, Seoul, Republic of Korea.; Biostatistics Collaboration Unit, Yonsei University Health System, Yonsei University College of Medicine, Seoul, Republic of Korea.; Division of Infectious Diseases, Department of Internal Medicine, Hallym University College of Medicine, Chuncheon, Republic of Korea.; 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Department of Surgery, Yonsei University Health System, Yonsei University College of Medicine, Seoul, Republic of Korea.; Brain Korea 21 PLUS Project for Medical Science, Yonsei University Health System, Yonsei University College of Medicine, Seoul, Republic of Korea.&lt;/_author_adr&gt;&lt;_collection_scope&gt;SCI;SCIE;&lt;/_collection_scope&gt;&lt;_created&gt;62415114&lt;/_created&gt;&lt;_date&gt;2015-11-01&lt;/_date&gt;&lt;_date_display&gt;2015 Nov&lt;/_date_display&gt;&lt;_doi&gt;10.1245/s10434-015-4521-4&lt;/_doi&gt;&lt;_impact_factor&gt;   3.857&lt;/_impact_factor&gt;&lt;_isbn&gt;1534-4681 (Electronic); 1068-9265 (Linking)&lt;/_isbn&gt;&lt;_issue&gt;12&lt;/_issue&gt;&lt;_journal&gt;Ann Surg Oncol&lt;/_journal&gt;&lt;_keywords&gt;Adult; Age Factors; Aged; Aged, 80 and over; Ascitic Fluid/microbiology; Drainage/*statistics &amp;amp; numerical data; Female; Gastrectomy/*adverse effects/methods; Hospitals, High-Volume; Humans; Male; Middle Aged; Operative Time; Postoperative Care/*methods; Postoperative Complications/prevention &amp;amp; control; Risk Factors; Sex Factors; Stomach Neoplasms/*surgery; Young Adult&lt;/_keywords&gt;&lt;_language&gt;eng&lt;/_language&gt;&lt;_modified&gt;62415114&lt;/_modified&gt;&lt;_pages&gt;3929-37&lt;/_pages&gt;&lt;_tertiary_title&gt;Annals of surgical oncology&lt;/_tertiary_title&gt;&lt;_type_work&gt;Journal Article; Research Support, Non-U.S. Gov&amp;apos;t&lt;/_type_work&gt;&lt;_url&gt;http://www.ncbi.nlm.nih.gov/entrez/query.fcgi?cmd=Retrieve&amp;amp;db=pubmed&amp;amp;dopt=Abstract&amp;amp;list_uids=25845430&amp;amp;query_hl=1&lt;/_url&gt;&lt;_volume&gt;22&lt;/_volume&gt;&lt;/Details&gt;&lt;Extra&gt;&lt;DBUID&gt;{B538FB44-5F0A-4660-AE5D-888A8FDEFC3D}&lt;/DBUID&gt;&lt;/Extra&gt;&lt;/Item&gt;&lt;/References&gt;&lt;/Group&gt;&lt;/Citation&gt;_x000a_"/>
    <w:docVar w:name="ne_docsoft" w:val="MSWord"/>
    <w:docVar w:name="ne_docversion" w:val="NoteExpress 2.0"/>
    <w:docVar w:name="ne_stylename" w:val="World J Gastroenterology"/>
  </w:docVars>
  <w:rsids>
    <w:rsidRoot w:val="00172A27"/>
    <w:rsid w:val="00006403"/>
    <w:rsid w:val="00026EA2"/>
    <w:rsid w:val="0014652C"/>
    <w:rsid w:val="00173BA9"/>
    <w:rsid w:val="001E4E07"/>
    <w:rsid w:val="002640A6"/>
    <w:rsid w:val="003425EA"/>
    <w:rsid w:val="003451D7"/>
    <w:rsid w:val="00353F6A"/>
    <w:rsid w:val="003A477F"/>
    <w:rsid w:val="003D70AE"/>
    <w:rsid w:val="003E11C8"/>
    <w:rsid w:val="00494964"/>
    <w:rsid w:val="004F5E5F"/>
    <w:rsid w:val="00571363"/>
    <w:rsid w:val="005B26A7"/>
    <w:rsid w:val="00663389"/>
    <w:rsid w:val="00780625"/>
    <w:rsid w:val="008536C7"/>
    <w:rsid w:val="00877B17"/>
    <w:rsid w:val="008F032C"/>
    <w:rsid w:val="008F3D7E"/>
    <w:rsid w:val="00913D89"/>
    <w:rsid w:val="009D0E2F"/>
    <w:rsid w:val="00A644F4"/>
    <w:rsid w:val="00A76FE1"/>
    <w:rsid w:val="00A87EAD"/>
    <w:rsid w:val="00A90ADE"/>
    <w:rsid w:val="00AF245E"/>
    <w:rsid w:val="00B336BE"/>
    <w:rsid w:val="00BB07B2"/>
    <w:rsid w:val="00BD4667"/>
    <w:rsid w:val="00BD6C75"/>
    <w:rsid w:val="00CE1554"/>
    <w:rsid w:val="00E24A32"/>
    <w:rsid w:val="00E95EDB"/>
    <w:rsid w:val="00EE184C"/>
    <w:rsid w:val="00EE686E"/>
    <w:rsid w:val="00F11B67"/>
    <w:rsid w:val="01512786"/>
    <w:rsid w:val="022217F2"/>
    <w:rsid w:val="03465D6C"/>
    <w:rsid w:val="03C345A8"/>
    <w:rsid w:val="03F04AA6"/>
    <w:rsid w:val="04221620"/>
    <w:rsid w:val="07F74FCD"/>
    <w:rsid w:val="08327332"/>
    <w:rsid w:val="0A7F2579"/>
    <w:rsid w:val="0B636FD5"/>
    <w:rsid w:val="0D62242C"/>
    <w:rsid w:val="0F4F39FD"/>
    <w:rsid w:val="12C76A28"/>
    <w:rsid w:val="13803D9D"/>
    <w:rsid w:val="16A47E98"/>
    <w:rsid w:val="1DBE1E92"/>
    <w:rsid w:val="1DC7581D"/>
    <w:rsid w:val="1DCF2822"/>
    <w:rsid w:val="1E1C230A"/>
    <w:rsid w:val="21293E99"/>
    <w:rsid w:val="2139214D"/>
    <w:rsid w:val="232C5E7B"/>
    <w:rsid w:val="274210E4"/>
    <w:rsid w:val="29754681"/>
    <w:rsid w:val="297917A3"/>
    <w:rsid w:val="2AD23879"/>
    <w:rsid w:val="2C4A398B"/>
    <w:rsid w:val="2F656486"/>
    <w:rsid w:val="30EA7AB8"/>
    <w:rsid w:val="32BA5B73"/>
    <w:rsid w:val="32D42D85"/>
    <w:rsid w:val="341A4770"/>
    <w:rsid w:val="35395050"/>
    <w:rsid w:val="37660EE5"/>
    <w:rsid w:val="37791B1D"/>
    <w:rsid w:val="37EB7763"/>
    <w:rsid w:val="38D70264"/>
    <w:rsid w:val="3FF4040D"/>
    <w:rsid w:val="429C1444"/>
    <w:rsid w:val="435F1B38"/>
    <w:rsid w:val="45F2239A"/>
    <w:rsid w:val="47441B4C"/>
    <w:rsid w:val="49780960"/>
    <w:rsid w:val="4AB063E2"/>
    <w:rsid w:val="4B586346"/>
    <w:rsid w:val="4CEA1AC7"/>
    <w:rsid w:val="5210590C"/>
    <w:rsid w:val="52EF5712"/>
    <w:rsid w:val="54873E83"/>
    <w:rsid w:val="56AF0B03"/>
    <w:rsid w:val="5787265F"/>
    <w:rsid w:val="5BE6565E"/>
    <w:rsid w:val="5D703E85"/>
    <w:rsid w:val="60BD7221"/>
    <w:rsid w:val="62902A9C"/>
    <w:rsid w:val="62CF53AA"/>
    <w:rsid w:val="636353E4"/>
    <w:rsid w:val="63B1699A"/>
    <w:rsid w:val="65A2316D"/>
    <w:rsid w:val="678C08FA"/>
    <w:rsid w:val="6A1F35B4"/>
    <w:rsid w:val="6B7923C4"/>
    <w:rsid w:val="6E422DA6"/>
    <w:rsid w:val="6EA136D0"/>
    <w:rsid w:val="6F3578DE"/>
    <w:rsid w:val="6FA70735"/>
    <w:rsid w:val="71937162"/>
    <w:rsid w:val="71A230DB"/>
    <w:rsid w:val="726B779B"/>
    <w:rsid w:val="738F75CE"/>
    <w:rsid w:val="73BB7B61"/>
    <w:rsid w:val="752D45CA"/>
    <w:rsid w:val="75BB5469"/>
    <w:rsid w:val="77FD60B5"/>
    <w:rsid w:val="780C08C4"/>
    <w:rsid w:val="79115332"/>
    <w:rsid w:val="79D54BF7"/>
    <w:rsid w:val="7E316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unhideWhenUsed="1"/>
    <w:lsdException w:name="Colorful List Accent 1" w:uiPriority="99"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200" w:line="276" w:lineRule="auto"/>
      <w:jc w:val="both"/>
    </w:pPr>
    <w:rPr>
      <w:kern w:val="2"/>
      <w:sz w:val="21"/>
      <w:szCs w:val="24"/>
    </w:rPr>
  </w:style>
  <w:style w:type="paragraph" w:styleId="1">
    <w:name w:val="heading 1"/>
    <w:basedOn w:val="a"/>
    <w:next w:val="a"/>
    <w:qFormat/>
    <w:pPr>
      <w:spacing w:beforeAutospacing="1" w:after="100" w:afterAutospacing="1"/>
      <w:jc w:val="left"/>
      <w:outlineLvl w:val="0"/>
    </w:pPr>
    <w:rPr>
      <w:rFonts w:ascii="宋体" w:hAnsi="宋体" w:hint="eastAsia"/>
      <w:b/>
      <w:kern w:val="44"/>
      <w:sz w:val="48"/>
      <w:szCs w:val="48"/>
    </w:rPr>
  </w:style>
  <w:style w:type="character" w:default="1" w:styleId="a0">
    <w:name w:val="Default Paragraph Font"/>
    <w:semiHidden/>
    <w:qFormat/>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Pr>
      <w:sz w:val="21"/>
      <w:szCs w:val="21"/>
    </w:rPr>
  </w:style>
  <w:style w:type="character" w:styleId="a4">
    <w:name w:val="Hyperlink"/>
    <w:rPr>
      <w:color w:val="0000FF"/>
      <w:u w:val="single"/>
    </w:rPr>
  </w:style>
  <w:style w:type="paragraph" w:styleId="a5">
    <w:name w:val="Normal (Web)"/>
    <w:basedOn w:val="a"/>
    <w:rPr>
      <w:sz w:val="24"/>
    </w:rPr>
  </w:style>
  <w:style w:type="paragraph" w:customStyle="1" w:styleId="-11">
    <w:name w:val="彩色列表 - 着色 11"/>
    <w:basedOn w:val="a"/>
    <w:uiPriority w:val="34"/>
    <w:qFormat/>
    <w:pPr>
      <w:spacing w:after="0" w:line="240" w:lineRule="auto"/>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unhideWhenUsed="1"/>
    <w:lsdException w:name="Colorful List Accent 1" w:uiPriority="99"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200" w:line="276" w:lineRule="auto"/>
      <w:jc w:val="both"/>
    </w:pPr>
    <w:rPr>
      <w:kern w:val="2"/>
      <w:sz w:val="21"/>
      <w:szCs w:val="24"/>
    </w:rPr>
  </w:style>
  <w:style w:type="paragraph" w:styleId="1">
    <w:name w:val="heading 1"/>
    <w:basedOn w:val="a"/>
    <w:next w:val="a"/>
    <w:qFormat/>
    <w:pPr>
      <w:spacing w:beforeAutospacing="1" w:after="100" w:afterAutospacing="1"/>
      <w:jc w:val="left"/>
      <w:outlineLvl w:val="0"/>
    </w:pPr>
    <w:rPr>
      <w:rFonts w:ascii="宋体" w:hAnsi="宋体" w:hint="eastAsia"/>
      <w:b/>
      <w:kern w:val="44"/>
      <w:sz w:val="48"/>
      <w:szCs w:val="48"/>
    </w:rPr>
  </w:style>
  <w:style w:type="character" w:default="1" w:styleId="a0">
    <w:name w:val="Default Paragraph Font"/>
    <w:semiHidden/>
    <w:qFormat/>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Pr>
      <w:sz w:val="21"/>
      <w:szCs w:val="21"/>
    </w:rPr>
  </w:style>
  <w:style w:type="character" w:styleId="a4">
    <w:name w:val="Hyperlink"/>
    <w:rPr>
      <w:color w:val="0000FF"/>
      <w:u w:val="single"/>
    </w:rPr>
  </w:style>
  <w:style w:type="paragraph" w:styleId="a5">
    <w:name w:val="Normal (Web)"/>
    <w:basedOn w:val="a"/>
    <w:rPr>
      <w:sz w:val="24"/>
    </w:rPr>
  </w:style>
  <w:style w:type="paragraph" w:customStyle="1" w:styleId="-11">
    <w:name w:val="彩色列表 - 着色 11"/>
    <w:basedOn w:val="a"/>
    <w:uiPriority w:val="34"/>
    <w:qFormat/>
    <w:pPr>
      <w:spacing w:after="0" w:line="240" w:lineRule="auto"/>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creativecommons.org/licenses/by-nc/4.0/"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5466</Words>
  <Characters>31161</Characters>
  <Application>Microsoft Office Word</Application>
  <DocSecurity>0</DocSecurity>
  <Lines>259</Lines>
  <Paragraphs>73</Paragraphs>
  <ScaleCrop>false</ScaleCrop>
  <Company>Microsoft</Company>
  <LinksUpToDate>false</LinksUpToDate>
  <CharactersWithSpaces>36554</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2019-01-14T08:22:00Z</dcterms:created>
  <dcterms:modified xsi:type="dcterms:W3CDTF">2019-01-14T08:22:00Z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