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6C6" w:rsidRPr="00D244A8" w:rsidRDefault="000906C6" w:rsidP="00ED39E4">
      <w:pPr>
        <w:spacing w:line="360" w:lineRule="auto"/>
        <w:rPr>
          <w:rFonts w:ascii="Book Antiqua" w:hAnsi="Book Antiqua" w:cs="Tahoma"/>
          <w:b/>
          <w:color w:val="000000"/>
          <w:sz w:val="24"/>
        </w:rPr>
      </w:pPr>
      <w:bookmarkStart w:id="0" w:name="OLE_LINK169"/>
      <w:bookmarkStart w:id="1" w:name="OLE_LINK170"/>
      <w:bookmarkStart w:id="2" w:name="OLE_LINK193"/>
      <w:r w:rsidRPr="00D244A8">
        <w:rPr>
          <w:rFonts w:ascii="Book Antiqua" w:hAnsi="Book Antiqua" w:cs="Tahoma"/>
          <w:b/>
          <w:color w:val="0000FF"/>
          <w:sz w:val="24"/>
        </w:rPr>
        <w:t xml:space="preserve">Name of journal: </w:t>
      </w:r>
      <w:r w:rsidRPr="00D244A8">
        <w:rPr>
          <w:rFonts w:ascii="Book Antiqua" w:hAnsi="Book Antiqua" w:cs="Tahoma"/>
          <w:b/>
          <w:color w:val="000000"/>
          <w:sz w:val="24"/>
        </w:rPr>
        <w:t>World Journal of Gastroenterology</w:t>
      </w:r>
    </w:p>
    <w:p w:rsidR="000906C6" w:rsidRPr="00D244A8" w:rsidRDefault="000906C6" w:rsidP="00ED39E4">
      <w:pPr>
        <w:spacing w:line="360" w:lineRule="auto"/>
        <w:rPr>
          <w:rFonts w:ascii="Book Antiqua" w:hAnsi="Book Antiqua" w:cs="Tahoma"/>
          <w:b/>
          <w:color w:val="0000FF"/>
          <w:sz w:val="24"/>
        </w:rPr>
      </w:pPr>
      <w:r w:rsidRPr="00D244A8">
        <w:rPr>
          <w:rFonts w:ascii="Book Antiqua" w:hAnsi="Book Antiqua" w:cs="Tahoma"/>
          <w:b/>
          <w:color w:val="0000FF"/>
          <w:sz w:val="24"/>
        </w:rPr>
        <w:t>ESPS Manuscript NO: 4314</w:t>
      </w:r>
    </w:p>
    <w:p w:rsidR="000906C6" w:rsidRPr="00D244A8" w:rsidRDefault="000906C6" w:rsidP="00ED39E4">
      <w:pPr>
        <w:spacing w:line="360" w:lineRule="auto"/>
        <w:rPr>
          <w:rFonts w:ascii="Book Antiqua" w:hAnsi="Book Antiqua" w:cs="Tahoma"/>
          <w:b/>
          <w:color w:val="0000FF"/>
          <w:sz w:val="24"/>
        </w:rPr>
      </w:pPr>
      <w:r w:rsidRPr="00D244A8">
        <w:rPr>
          <w:rFonts w:ascii="Book Antiqua" w:hAnsi="Book Antiqua" w:cs="Tahoma"/>
          <w:b/>
          <w:color w:val="0000FF"/>
          <w:sz w:val="24"/>
        </w:rPr>
        <w:t xml:space="preserve">Columns: </w:t>
      </w:r>
      <w:r w:rsidRPr="00D244A8">
        <w:rPr>
          <w:rFonts w:ascii="Book Antiqua" w:hAnsi="Book Antiqua" w:cs="Tahoma"/>
          <w:b/>
          <w:color w:val="000000"/>
          <w:sz w:val="24"/>
        </w:rPr>
        <w:t>TOPIC HIGHLIGHT</w:t>
      </w:r>
    </w:p>
    <w:bookmarkEnd w:id="0"/>
    <w:bookmarkEnd w:id="1"/>
    <w:bookmarkEnd w:id="2"/>
    <w:p w:rsidR="007B743C" w:rsidRDefault="007B743C" w:rsidP="007B743C">
      <w:pPr>
        <w:spacing w:line="360" w:lineRule="auto"/>
        <w:rPr>
          <w:rFonts w:ascii="Book Antiqua" w:hAnsi="Book Antiqua"/>
          <w:b/>
          <w:lang w:val="en-GB"/>
        </w:rPr>
      </w:pPr>
    </w:p>
    <w:p w:rsidR="007B743C" w:rsidRPr="007B743C" w:rsidRDefault="007B743C" w:rsidP="007B743C">
      <w:pPr>
        <w:spacing w:line="360" w:lineRule="auto"/>
        <w:rPr>
          <w:rFonts w:ascii="Book Antiqua" w:hAnsi="Book Antiqua"/>
          <w:b/>
          <w:i/>
          <w:sz w:val="24"/>
          <w:lang w:val="en-GB"/>
        </w:rPr>
      </w:pPr>
      <w:r w:rsidRPr="007B743C">
        <w:rPr>
          <w:rFonts w:ascii="Book Antiqua" w:hAnsi="Book Antiqua"/>
          <w:b/>
          <w:sz w:val="24"/>
          <w:lang w:val="en-GB"/>
        </w:rPr>
        <w:t xml:space="preserve">Michele Cicala, MD, </w:t>
      </w:r>
      <w:r w:rsidR="00482EC1" w:rsidRPr="007B743C">
        <w:rPr>
          <w:rFonts w:ascii="Book Antiqua" w:hAnsi="Book Antiqua"/>
          <w:b/>
          <w:sz w:val="24"/>
          <w:lang w:val="en-GB"/>
        </w:rPr>
        <w:t>Professor,</w:t>
      </w:r>
      <w:r w:rsidR="00482EC1">
        <w:rPr>
          <w:rFonts w:ascii="Book Antiqua" w:hAnsi="Book Antiqua" w:hint="eastAsia"/>
          <w:b/>
          <w:sz w:val="24"/>
          <w:lang w:val="en-GB"/>
        </w:rPr>
        <w:t xml:space="preserve"> </w:t>
      </w:r>
      <w:r w:rsidRPr="007B743C">
        <w:rPr>
          <w:rFonts w:ascii="Book Antiqua" w:hAnsi="Book Antiqua"/>
          <w:b/>
          <w:i/>
          <w:sz w:val="24"/>
          <w:lang w:val="en-GB"/>
        </w:rPr>
        <w:t>Series Editor</w:t>
      </w:r>
    </w:p>
    <w:p w:rsidR="000906C6" w:rsidRPr="007B743C" w:rsidRDefault="000906C6" w:rsidP="00ED39E4">
      <w:pPr>
        <w:spacing w:line="360" w:lineRule="auto"/>
        <w:rPr>
          <w:rFonts w:ascii="Book Antiqua" w:hAnsi="Book Antiqua"/>
          <w:b/>
          <w:sz w:val="24"/>
          <w:lang w:val="en-GB"/>
        </w:rPr>
      </w:pPr>
    </w:p>
    <w:p w:rsidR="000906C6" w:rsidRPr="00D244A8" w:rsidRDefault="000906C6" w:rsidP="00ED39E4">
      <w:pPr>
        <w:spacing w:line="360" w:lineRule="auto"/>
        <w:rPr>
          <w:rFonts w:ascii="Book Antiqua" w:hAnsi="Book Antiqua"/>
          <w:b/>
          <w:sz w:val="24"/>
        </w:rPr>
      </w:pPr>
      <w:r w:rsidRPr="00D244A8">
        <w:rPr>
          <w:rFonts w:ascii="Book Antiqua" w:hAnsi="Book Antiqua"/>
          <w:b/>
          <w:sz w:val="24"/>
        </w:rPr>
        <w:t>Gastro-esophageal reflux disease and Obesity, where is the link?</w:t>
      </w:r>
    </w:p>
    <w:p w:rsidR="000906C6" w:rsidRPr="00D244A8" w:rsidRDefault="000906C6" w:rsidP="00ED39E4">
      <w:pPr>
        <w:spacing w:line="360" w:lineRule="auto"/>
        <w:rPr>
          <w:rFonts w:ascii="Book Antiqua" w:hAnsi="Book Antiqua"/>
          <w:b/>
          <w:sz w:val="24"/>
        </w:rPr>
      </w:pPr>
    </w:p>
    <w:p w:rsidR="000906C6" w:rsidRPr="00482EC1" w:rsidRDefault="000906C6" w:rsidP="00ED39E4">
      <w:pPr>
        <w:spacing w:line="360" w:lineRule="auto"/>
        <w:rPr>
          <w:rFonts w:ascii="Book Antiqua" w:hAnsi="Book Antiqua"/>
          <w:sz w:val="24"/>
          <w:lang w:val="it-IT"/>
        </w:rPr>
      </w:pPr>
      <w:r w:rsidRPr="00482EC1">
        <w:rPr>
          <w:rFonts w:ascii="Book Antiqua" w:hAnsi="Book Antiqua"/>
          <w:sz w:val="24"/>
          <w:lang w:val="it-IT"/>
        </w:rPr>
        <w:t>Emerenziani S</w:t>
      </w:r>
      <w:r w:rsidR="00A054D9" w:rsidRPr="00482EC1">
        <w:rPr>
          <w:rFonts w:ascii="Book Antiqua" w:hAnsi="Book Antiqua"/>
          <w:sz w:val="24"/>
          <w:lang w:val="it-IT"/>
        </w:rPr>
        <w:t xml:space="preserve"> </w:t>
      </w:r>
      <w:r w:rsidR="00A054D9" w:rsidRPr="00482EC1">
        <w:rPr>
          <w:rFonts w:ascii="Book Antiqua" w:hAnsi="Book Antiqua"/>
          <w:i/>
          <w:sz w:val="24"/>
          <w:lang w:val="it-IT"/>
        </w:rPr>
        <w:t>et al</w:t>
      </w:r>
      <w:r w:rsidRPr="00482EC1">
        <w:rPr>
          <w:rFonts w:ascii="Book Antiqua" w:hAnsi="Book Antiqua"/>
          <w:sz w:val="24"/>
          <w:lang w:val="it-IT"/>
        </w:rPr>
        <w:t xml:space="preserve">. Obesity and Gastroesophageal reflux </w:t>
      </w:r>
    </w:p>
    <w:p w:rsidR="000906C6" w:rsidRPr="00D244A8" w:rsidRDefault="000906C6" w:rsidP="00ED39E4">
      <w:pPr>
        <w:spacing w:line="360" w:lineRule="auto"/>
        <w:rPr>
          <w:rFonts w:ascii="Book Antiqua" w:hAnsi="Book Antiqua"/>
          <w:sz w:val="24"/>
          <w:lang w:val="it-IT"/>
        </w:rPr>
      </w:pPr>
    </w:p>
    <w:p w:rsidR="00CB4B6D" w:rsidRPr="00D244A8" w:rsidRDefault="00CB4B6D" w:rsidP="00ED39E4">
      <w:pPr>
        <w:spacing w:line="360" w:lineRule="auto"/>
        <w:rPr>
          <w:rFonts w:ascii="Book Antiqua" w:hAnsi="Book Antiqua" w:cs="Tahoma"/>
          <w:b/>
          <w:bCs/>
          <w:spacing w:val="-5"/>
          <w:sz w:val="24"/>
          <w:lang w:val="it-IT"/>
        </w:rPr>
      </w:pPr>
      <w:r w:rsidRPr="00D244A8">
        <w:rPr>
          <w:rFonts w:ascii="Book Antiqua" w:hAnsi="Book Antiqua" w:cs="Tahoma"/>
          <w:b/>
          <w:bCs/>
          <w:spacing w:val="-5"/>
          <w:sz w:val="24"/>
          <w:lang w:val="it-IT"/>
        </w:rPr>
        <w:t>Sara Emerenziani, Maria Paola Rescio, Michele Pier Luca Guarino, Michele Cicala</w:t>
      </w:r>
    </w:p>
    <w:p w:rsidR="00CB4B6D" w:rsidRPr="00D244A8" w:rsidRDefault="00A6208E" w:rsidP="00ED39E4">
      <w:pPr>
        <w:spacing w:line="360" w:lineRule="auto"/>
        <w:rPr>
          <w:rFonts w:ascii="Book Antiqua" w:hAnsi="Book Antiqua" w:cs="Tahoma"/>
          <w:b/>
          <w:bCs/>
          <w:spacing w:val="-5"/>
          <w:sz w:val="24"/>
          <w:lang w:val="it-IT"/>
        </w:rPr>
      </w:pPr>
      <w:r>
        <w:rPr>
          <w:rFonts w:ascii="Book Antiqua" w:hAnsi="Book Antiqua"/>
          <w:noProof/>
          <w:sz w:val="24"/>
        </w:rPr>
        <mc:AlternateContent>
          <mc:Choice Requires="wps">
            <w:drawing>
              <wp:anchor distT="0" distB="0" distL="114300" distR="114300" simplePos="0" relativeHeight="251657728" behindDoc="0" locked="0" layoutInCell="1" allowOverlap="1">
                <wp:simplePos x="0" y="0"/>
                <wp:positionH relativeFrom="column">
                  <wp:posOffset>-103505</wp:posOffset>
                </wp:positionH>
                <wp:positionV relativeFrom="paragraph">
                  <wp:posOffset>74295</wp:posOffset>
                </wp:positionV>
                <wp:extent cx="5755005" cy="0"/>
                <wp:effectExtent l="20320" t="26670" r="25400" b="209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5.85pt" to="4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" strokecolor="gray" strokeweight="3pt"/>
            </w:pict>
          </mc:Fallback>
        </mc:AlternateContent>
      </w:r>
    </w:p>
    <w:p w:rsidR="000906C6" w:rsidRPr="00D244A8" w:rsidRDefault="000906C6" w:rsidP="00ED39E4">
      <w:pPr>
        <w:spacing w:line="360" w:lineRule="auto"/>
        <w:rPr>
          <w:rFonts w:ascii="Book Antiqua" w:hAnsi="Book Antiqua"/>
          <w:sz w:val="24"/>
          <w:lang w:val="en-GB"/>
        </w:rPr>
      </w:pPr>
      <w:r w:rsidRPr="00D244A8">
        <w:rPr>
          <w:rFonts w:ascii="Book Antiqua" w:hAnsi="Book Antiqua" w:cs="Tahoma"/>
          <w:b/>
          <w:bCs/>
          <w:spacing w:val="-5"/>
          <w:sz w:val="24"/>
          <w:lang w:val="it-IT"/>
        </w:rPr>
        <w:t>Sara Emerenziani, Maria Paola Rescio, Michele Pier Luca Guarino, Michele Cicala</w:t>
      </w:r>
      <w:r w:rsidR="00CB4B6D" w:rsidRPr="00D244A8">
        <w:rPr>
          <w:rFonts w:ascii="Book Antiqua" w:hAnsi="Book Antiqua" w:hint="eastAsia"/>
          <w:sz w:val="24"/>
          <w:lang w:val="en-GB"/>
        </w:rPr>
        <w:t xml:space="preserve">, </w:t>
      </w:r>
      <w:r w:rsidRPr="00D244A8">
        <w:rPr>
          <w:rFonts w:ascii="Book Antiqua" w:hAnsi="Book Antiqua"/>
          <w:sz w:val="24"/>
          <w:lang w:val="en-GB"/>
        </w:rPr>
        <w:t>Unit of Digestive Disease, Campus Bio Medico University of Rome, 00128 Rome, Italy</w:t>
      </w:r>
    </w:p>
    <w:p w:rsidR="00CB4B6D" w:rsidRPr="00D244A8" w:rsidRDefault="00CB4B6D" w:rsidP="00ED39E4">
      <w:pPr>
        <w:spacing w:line="360" w:lineRule="auto"/>
        <w:rPr>
          <w:rFonts w:ascii="Book Antiqua" w:hAnsi="Book Antiqua"/>
          <w:b/>
          <w:sz w:val="24"/>
          <w:lang w:val="it-IT"/>
        </w:rPr>
      </w:pPr>
    </w:p>
    <w:p w:rsidR="000906C6" w:rsidRPr="00D244A8" w:rsidRDefault="000906C6" w:rsidP="00ED39E4">
      <w:pPr>
        <w:spacing w:line="360" w:lineRule="auto"/>
        <w:rPr>
          <w:rFonts w:ascii="Book Antiqua" w:hAnsi="Book Antiqua"/>
          <w:sz w:val="24"/>
          <w:lang w:val="en-GB"/>
        </w:rPr>
      </w:pPr>
      <w:r w:rsidRPr="00D244A8">
        <w:rPr>
          <w:rFonts w:ascii="Book Antiqua" w:hAnsi="Book Antiqua"/>
          <w:b/>
          <w:sz w:val="24"/>
          <w:lang w:val="en-GB"/>
        </w:rPr>
        <w:t xml:space="preserve">Author contributions: </w:t>
      </w:r>
      <w:r w:rsidRPr="00D244A8">
        <w:rPr>
          <w:rFonts w:ascii="Book Antiqua" w:hAnsi="Book Antiqua"/>
          <w:sz w:val="24"/>
          <w:lang w:val="en-GB"/>
        </w:rPr>
        <w:t>All the authors contributed equally to the manuscript</w:t>
      </w:r>
      <w:r w:rsidR="00C00F16" w:rsidRPr="00D244A8">
        <w:rPr>
          <w:rFonts w:ascii="Book Antiqua" w:hAnsi="Book Antiqua" w:hint="eastAsia"/>
          <w:sz w:val="24"/>
          <w:lang w:val="en-GB"/>
        </w:rPr>
        <w:t>,</w:t>
      </w:r>
      <w:r w:rsidRPr="00D244A8">
        <w:rPr>
          <w:rFonts w:ascii="Book Antiqua" w:hAnsi="Book Antiqua"/>
          <w:sz w:val="24"/>
          <w:lang w:val="en-GB"/>
        </w:rPr>
        <w:t xml:space="preserve"> drafting the article and revising it critically for important intellectual content</w:t>
      </w:r>
      <w:r w:rsidR="00C00F16" w:rsidRPr="00D244A8">
        <w:rPr>
          <w:rFonts w:ascii="Book Antiqua" w:hAnsi="Book Antiqua" w:hint="eastAsia"/>
          <w:sz w:val="24"/>
          <w:lang w:val="en-GB"/>
        </w:rPr>
        <w:t>;</w:t>
      </w:r>
      <w:r w:rsidR="00D76BC6" w:rsidRPr="00D244A8">
        <w:rPr>
          <w:rFonts w:ascii="Book Antiqua" w:hAnsi="Book Antiqua" w:hint="eastAsia"/>
          <w:sz w:val="24"/>
          <w:lang w:val="en-GB"/>
        </w:rPr>
        <w:t xml:space="preserve"> </w:t>
      </w:r>
      <w:r w:rsidR="00020C4C" w:rsidRPr="00D244A8">
        <w:rPr>
          <w:rFonts w:ascii="Book Antiqua" w:hAnsi="Book Antiqua"/>
          <w:sz w:val="24"/>
          <w:lang w:val="en-GB"/>
        </w:rPr>
        <w:t>a</w:t>
      </w:r>
      <w:r w:rsidRPr="00D244A8">
        <w:rPr>
          <w:rFonts w:ascii="Book Antiqua" w:hAnsi="Book Antiqua"/>
          <w:sz w:val="24"/>
          <w:lang w:val="en-GB"/>
        </w:rPr>
        <w:t>ll approved the final version for publication.</w:t>
      </w:r>
    </w:p>
    <w:p w:rsidR="000906C6" w:rsidRPr="00D244A8" w:rsidRDefault="000906C6" w:rsidP="00ED39E4">
      <w:pPr>
        <w:spacing w:line="360" w:lineRule="auto"/>
        <w:rPr>
          <w:rFonts w:ascii="Book Antiqua" w:hAnsi="Book Antiqua"/>
          <w:b/>
          <w:sz w:val="24"/>
          <w:lang w:val="en-GB"/>
        </w:rPr>
      </w:pPr>
    </w:p>
    <w:p w:rsidR="000906C6" w:rsidRPr="00D244A8" w:rsidRDefault="000906C6" w:rsidP="00ED39E4">
      <w:pPr>
        <w:spacing w:line="360" w:lineRule="auto"/>
        <w:rPr>
          <w:rFonts w:ascii="Book Antiqua" w:hAnsi="Book Antiqua"/>
          <w:bCs/>
          <w:sz w:val="24"/>
          <w:lang w:val="en-GB"/>
        </w:rPr>
      </w:pPr>
      <w:r w:rsidRPr="00D244A8">
        <w:rPr>
          <w:rFonts w:ascii="Book Antiqua" w:hAnsi="Book Antiqua"/>
          <w:b/>
          <w:bCs/>
          <w:sz w:val="24"/>
          <w:lang w:val="en-GB"/>
        </w:rPr>
        <w:t>Correspondence to:</w:t>
      </w:r>
      <w:r w:rsidRPr="00D244A8">
        <w:rPr>
          <w:rFonts w:ascii="Book Antiqua" w:hAnsi="Book Antiqua"/>
          <w:bCs/>
          <w:sz w:val="24"/>
          <w:lang w:val="en-GB"/>
        </w:rPr>
        <w:t xml:space="preserve"> </w:t>
      </w:r>
      <w:r w:rsidRPr="00D244A8">
        <w:rPr>
          <w:rFonts w:ascii="Book Antiqua" w:hAnsi="Book Antiqua"/>
          <w:b/>
          <w:bCs/>
          <w:sz w:val="24"/>
          <w:lang w:val="en-GB"/>
        </w:rPr>
        <w:t xml:space="preserve">Michele Cicala, MD, </w:t>
      </w:r>
      <w:r w:rsidR="00C265D6">
        <w:rPr>
          <w:rFonts w:ascii="Book Antiqua" w:hAnsi="Book Antiqua" w:hint="eastAsia"/>
          <w:b/>
          <w:bCs/>
          <w:sz w:val="24"/>
          <w:lang w:val="en-GB"/>
        </w:rPr>
        <w:t xml:space="preserve">Professor, </w:t>
      </w:r>
      <w:r w:rsidRPr="00D244A8">
        <w:rPr>
          <w:rFonts w:ascii="Book Antiqua" w:hAnsi="Book Antiqua"/>
          <w:bCs/>
          <w:sz w:val="24"/>
          <w:lang w:val="en-GB"/>
        </w:rPr>
        <w:t>Unit of Digestive Disease, Campus Bio Medico University of Rome, Via Alvaro del Portillo 200, 00128 Rome, Italy. m.cicala@unicampus.it</w:t>
      </w:r>
    </w:p>
    <w:p w:rsidR="000906C6" w:rsidRPr="00D244A8" w:rsidRDefault="000906C6" w:rsidP="00ED39E4">
      <w:pPr>
        <w:spacing w:line="360" w:lineRule="auto"/>
        <w:rPr>
          <w:rFonts w:ascii="Book Antiqua" w:hAnsi="Book Antiqua"/>
          <w:bCs/>
          <w:sz w:val="24"/>
          <w:lang w:val="en-GB"/>
        </w:rPr>
      </w:pPr>
      <w:r w:rsidRPr="00D244A8">
        <w:rPr>
          <w:rFonts w:ascii="Book Antiqua" w:hAnsi="Book Antiqua"/>
          <w:b/>
          <w:bCs/>
          <w:sz w:val="24"/>
          <w:lang w:val="en-GB"/>
        </w:rPr>
        <w:t>Telephone</w:t>
      </w:r>
      <w:r w:rsidR="00F011D6" w:rsidRPr="00D244A8">
        <w:rPr>
          <w:rFonts w:ascii="Book Antiqua" w:hAnsi="Book Antiqua" w:hint="eastAsia"/>
          <w:b/>
          <w:bCs/>
          <w:sz w:val="24"/>
          <w:lang w:val="en-GB"/>
        </w:rPr>
        <w:t>:</w:t>
      </w:r>
      <w:r w:rsidR="00F011D6" w:rsidRPr="00D244A8">
        <w:rPr>
          <w:rFonts w:ascii="Book Antiqua" w:hAnsi="Book Antiqua" w:hint="eastAsia"/>
          <w:bCs/>
          <w:sz w:val="24"/>
          <w:lang w:val="en-GB"/>
        </w:rPr>
        <w:t xml:space="preserve"> </w:t>
      </w:r>
      <w:r w:rsidRPr="00D244A8">
        <w:rPr>
          <w:rFonts w:ascii="Book Antiqua" w:hAnsi="Book Antiqua"/>
          <w:bCs/>
          <w:sz w:val="24"/>
          <w:lang w:val="en-GB"/>
        </w:rPr>
        <w:t>+39</w:t>
      </w:r>
      <w:r w:rsidR="00F011D6" w:rsidRPr="00D244A8">
        <w:rPr>
          <w:rFonts w:ascii="Book Antiqua" w:hAnsi="Book Antiqua" w:hint="eastAsia"/>
          <w:bCs/>
          <w:sz w:val="24"/>
          <w:lang w:val="en-GB"/>
        </w:rPr>
        <w:t>-</w:t>
      </w:r>
      <w:r w:rsidRPr="00D244A8">
        <w:rPr>
          <w:rFonts w:ascii="Book Antiqua" w:hAnsi="Book Antiqua"/>
          <w:bCs/>
          <w:sz w:val="24"/>
          <w:lang w:val="en-GB"/>
        </w:rPr>
        <w:t>6</w:t>
      </w:r>
      <w:r w:rsidR="00F011D6" w:rsidRPr="00D244A8">
        <w:rPr>
          <w:rFonts w:ascii="Book Antiqua" w:hAnsi="Book Antiqua" w:hint="eastAsia"/>
          <w:bCs/>
          <w:sz w:val="24"/>
          <w:lang w:val="en-GB"/>
        </w:rPr>
        <w:t>-</w:t>
      </w:r>
      <w:r w:rsidR="00F011D6" w:rsidRPr="00D244A8">
        <w:rPr>
          <w:rFonts w:ascii="Book Antiqua" w:hAnsi="Book Antiqua"/>
          <w:bCs/>
          <w:sz w:val="24"/>
          <w:lang w:val="en-GB"/>
        </w:rPr>
        <w:t>22541</w:t>
      </w:r>
      <w:r w:rsidRPr="00D244A8">
        <w:rPr>
          <w:rFonts w:ascii="Book Antiqua" w:hAnsi="Book Antiqua"/>
          <w:bCs/>
          <w:sz w:val="24"/>
          <w:lang w:val="en-GB"/>
        </w:rPr>
        <w:t>560</w:t>
      </w:r>
      <w:r w:rsidRPr="00D244A8">
        <w:rPr>
          <w:rFonts w:ascii="Book Antiqua" w:hAnsi="Book Antiqua"/>
          <w:bCs/>
          <w:sz w:val="24"/>
          <w:lang w:val="en-GB"/>
        </w:rPr>
        <w:tab/>
      </w:r>
      <w:r w:rsidRPr="00D244A8">
        <w:rPr>
          <w:rFonts w:ascii="Book Antiqua" w:hAnsi="Book Antiqua"/>
          <w:bCs/>
          <w:sz w:val="24"/>
          <w:lang w:val="en-GB"/>
        </w:rPr>
        <w:tab/>
      </w:r>
      <w:r w:rsidRPr="00D244A8">
        <w:rPr>
          <w:rFonts w:ascii="Book Antiqua" w:hAnsi="Book Antiqua"/>
          <w:b/>
          <w:bCs/>
          <w:sz w:val="24"/>
          <w:lang w:val="en-GB"/>
        </w:rPr>
        <w:t>Fax</w:t>
      </w:r>
      <w:r w:rsidR="00F011D6" w:rsidRPr="00D244A8">
        <w:rPr>
          <w:rFonts w:ascii="Book Antiqua" w:hAnsi="Book Antiqua" w:hint="eastAsia"/>
          <w:b/>
          <w:bCs/>
          <w:sz w:val="24"/>
          <w:lang w:val="en-GB"/>
        </w:rPr>
        <w:t>:</w:t>
      </w:r>
      <w:r w:rsidRPr="00D244A8">
        <w:rPr>
          <w:rFonts w:ascii="Book Antiqua" w:hAnsi="Book Antiqua"/>
          <w:b/>
          <w:bCs/>
          <w:sz w:val="24"/>
          <w:lang w:val="en-GB"/>
        </w:rPr>
        <w:t xml:space="preserve"> </w:t>
      </w:r>
      <w:r w:rsidRPr="00D244A8">
        <w:rPr>
          <w:rFonts w:ascii="Book Antiqua" w:hAnsi="Book Antiqua"/>
          <w:bCs/>
          <w:sz w:val="24"/>
          <w:lang w:val="en-GB"/>
        </w:rPr>
        <w:t>+39</w:t>
      </w:r>
      <w:r w:rsidR="00F011D6" w:rsidRPr="00D244A8">
        <w:rPr>
          <w:rFonts w:ascii="Book Antiqua" w:hAnsi="Book Antiqua" w:hint="eastAsia"/>
          <w:bCs/>
          <w:sz w:val="24"/>
          <w:lang w:val="en-GB"/>
        </w:rPr>
        <w:t>-</w:t>
      </w:r>
      <w:r w:rsidRPr="00D244A8">
        <w:rPr>
          <w:rFonts w:ascii="Book Antiqua" w:hAnsi="Book Antiqua"/>
          <w:bCs/>
          <w:sz w:val="24"/>
          <w:lang w:val="en-GB"/>
        </w:rPr>
        <w:t>6</w:t>
      </w:r>
      <w:r w:rsidR="00F011D6" w:rsidRPr="00D244A8">
        <w:rPr>
          <w:rFonts w:ascii="Book Antiqua" w:hAnsi="Book Antiqua" w:hint="eastAsia"/>
          <w:bCs/>
          <w:sz w:val="24"/>
          <w:lang w:val="en-GB"/>
        </w:rPr>
        <w:t>-</w:t>
      </w:r>
      <w:r w:rsidR="00F011D6" w:rsidRPr="00D244A8">
        <w:rPr>
          <w:rFonts w:ascii="Book Antiqua" w:hAnsi="Book Antiqua"/>
          <w:bCs/>
          <w:sz w:val="24"/>
          <w:lang w:val="en-GB"/>
        </w:rPr>
        <w:t>22541</w:t>
      </w:r>
      <w:r w:rsidRPr="00D244A8">
        <w:rPr>
          <w:rFonts w:ascii="Book Antiqua" w:hAnsi="Book Antiqua"/>
          <w:bCs/>
          <w:sz w:val="24"/>
          <w:lang w:val="en-GB"/>
        </w:rPr>
        <w:t>520</w:t>
      </w:r>
    </w:p>
    <w:p w:rsidR="00F011D6" w:rsidRPr="00D244A8" w:rsidRDefault="00F011D6" w:rsidP="00ED39E4">
      <w:pPr>
        <w:spacing w:line="360" w:lineRule="auto"/>
        <w:rPr>
          <w:rFonts w:ascii="Book Antiqua" w:hAnsi="Book Antiqua"/>
          <w:b/>
          <w:color w:val="000000"/>
          <w:sz w:val="24"/>
        </w:rPr>
      </w:pPr>
    </w:p>
    <w:p w:rsidR="00F011D6" w:rsidRPr="00D244A8" w:rsidRDefault="00F011D6" w:rsidP="00ED39E4">
      <w:pPr>
        <w:spacing w:line="360" w:lineRule="auto"/>
        <w:rPr>
          <w:rFonts w:ascii="Book Antiqua" w:hAnsi="Book Antiqua"/>
          <w:b/>
          <w:color w:val="000000"/>
          <w:sz w:val="24"/>
        </w:rPr>
      </w:pPr>
      <w:r w:rsidRPr="00D244A8">
        <w:rPr>
          <w:rFonts w:ascii="Book Antiqua" w:hAnsi="Book Antiqua"/>
          <w:b/>
          <w:color w:val="000000"/>
          <w:sz w:val="24"/>
        </w:rPr>
        <w:t>Received:</w:t>
      </w:r>
      <w:bookmarkStart w:id="3" w:name="OLE_LINK4"/>
      <w:bookmarkStart w:id="4" w:name="OLE_LINK5"/>
      <w:r w:rsidR="00AB768E" w:rsidRPr="00AB768E">
        <w:rPr>
          <w:rFonts w:ascii="Book Antiqua" w:hAnsi="Book Antiqua"/>
          <w:sz w:val="24"/>
        </w:rPr>
        <w:t xml:space="preserve"> </w:t>
      </w:r>
      <w:r w:rsidR="00AB768E" w:rsidRPr="00421E83">
        <w:rPr>
          <w:rFonts w:ascii="Book Antiqua" w:hAnsi="Book Antiqua"/>
          <w:sz w:val="24"/>
        </w:rPr>
        <w:t>June</w:t>
      </w:r>
      <w:bookmarkEnd w:id="3"/>
      <w:bookmarkEnd w:id="4"/>
      <w:r w:rsidR="00AB768E">
        <w:rPr>
          <w:rFonts w:ascii="Book Antiqua" w:hAnsi="Book Antiqua" w:hint="eastAsia"/>
          <w:sz w:val="24"/>
        </w:rPr>
        <w:t xml:space="preserve"> 26, 2013    </w:t>
      </w:r>
      <w:r w:rsidR="007D6736">
        <w:rPr>
          <w:rFonts w:ascii="Book Antiqua" w:hAnsi="Book Antiqua"/>
          <w:b/>
          <w:color w:val="000000"/>
          <w:sz w:val="24"/>
        </w:rPr>
        <w:t xml:space="preserve"> </w:t>
      </w:r>
      <w:r w:rsidR="007D6736">
        <w:rPr>
          <w:rFonts w:ascii="Book Antiqua" w:hAnsi="Book Antiqua" w:hint="eastAsia"/>
          <w:color w:val="000000"/>
          <w:sz w:val="24"/>
        </w:rPr>
        <w:t xml:space="preserve">  </w:t>
      </w:r>
      <w:r w:rsidRPr="00D244A8">
        <w:rPr>
          <w:rFonts w:ascii="Book Antiqua" w:hAnsi="Book Antiqua"/>
          <w:b/>
          <w:color w:val="000000"/>
          <w:sz w:val="24"/>
        </w:rPr>
        <w:t xml:space="preserve">Revised: </w:t>
      </w:r>
      <w:bookmarkStart w:id="5" w:name="OLE_LINK25"/>
      <w:bookmarkStart w:id="6" w:name="OLE_LINK26"/>
      <w:bookmarkStart w:id="7" w:name="OLE_LINK182"/>
      <w:bookmarkStart w:id="8" w:name="OLE_LINK185"/>
      <w:r w:rsidR="00AB768E" w:rsidRPr="00421E83">
        <w:rPr>
          <w:rFonts w:ascii="Book Antiqua" w:hAnsi="Book Antiqua"/>
          <w:sz w:val="24"/>
        </w:rPr>
        <w:t>July</w:t>
      </w:r>
      <w:bookmarkEnd w:id="5"/>
      <w:bookmarkEnd w:id="6"/>
      <w:bookmarkEnd w:id="7"/>
      <w:bookmarkEnd w:id="8"/>
      <w:r w:rsidR="00AB768E">
        <w:rPr>
          <w:rFonts w:ascii="Book Antiqua" w:hAnsi="Book Antiqua" w:hint="eastAsia"/>
          <w:sz w:val="24"/>
        </w:rPr>
        <w:t xml:space="preserve"> 29, 2013</w:t>
      </w:r>
    </w:p>
    <w:p w:rsidR="004472FB" w:rsidRPr="00C732A0" w:rsidRDefault="00F011D6" w:rsidP="004472FB">
      <w:pPr>
        <w:rPr>
          <w:rFonts w:ascii="Book Antiqua" w:hAnsi="Book Antiqua"/>
          <w:sz w:val="24"/>
        </w:rPr>
      </w:pPr>
      <w:r w:rsidRPr="00D244A8">
        <w:rPr>
          <w:rFonts w:ascii="Book Antiqua" w:hAnsi="Book Antiqua"/>
          <w:b/>
          <w:color w:val="000000"/>
          <w:sz w:val="24"/>
        </w:rPr>
        <w:t xml:space="preserve">Accepted: </w:t>
      </w:r>
      <w:bookmarkStart w:id="9" w:name="OLE_LINK1"/>
      <w:bookmarkStart w:id="10" w:name="OLE_LINK6"/>
      <w:r w:rsidR="004472FB" w:rsidRPr="00C732A0">
        <w:rPr>
          <w:rFonts w:ascii="Book Antiqua" w:hAnsi="Book Antiqua"/>
          <w:sz w:val="24"/>
        </w:rPr>
        <w:t>September 16, 2013</w:t>
      </w:r>
      <w:bookmarkEnd w:id="9"/>
      <w:bookmarkEnd w:id="10"/>
    </w:p>
    <w:p w:rsidR="00F011D6" w:rsidRPr="00D244A8" w:rsidRDefault="00F011D6" w:rsidP="00ED39E4">
      <w:pPr>
        <w:spacing w:line="360" w:lineRule="auto"/>
        <w:rPr>
          <w:rFonts w:ascii="Book Antiqua" w:hAnsi="Book Antiqua"/>
          <w:b/>
          <w:color w:val="000000"/>
          <w:sz w:val="24"/>
        </w:rPr>
      </w:pPr>
      <w:bookmarkStart w:id="11" w:name="_GoBack"/>
      <w:bookmarkEnd w:id="11"/>
    </w:p>
    <w:p w:rsidR="00F011D6" w:rsidRPr="00D244A8" w:rsidRDefault="00F011D6" w:rsidP="00ED39E4">
      <w:pPr>
        <w:spacing w:line="360" w:lineRule="auto"/>
        <w:rPr>
          <w:rFonts w:ascii="Book Antiqua" w:hAnsi="Book Antiqua"/>
          <w:color w:val="000000"/>
          <w:sz w:val="24"/>
        </w:rPr>
      </w:pPr>
      <w:r w:rsidRPr="00D244A8">
        <w:rPr>
          <w:rFonts w:ascii="Book Antiqua" w:hAnsi="Book Antiqua"/>
          <w:b/>
          <w:color w:val="000000"/>
          <w:sz w:val="24"/>
        </w:rPr>
        <w:t xml:space="preserve">Published online: </w:t>
      </w:r>
    </w:p>
    <w:p w:rsidR="000906C6" w:rsidRPr="00D244A8" w:rsidRDefault="000906C6" w:rsidP="00ED39E4">
      <w:pPr>
        <w:spacing w:line="360" w:lineRule="auto"/>
        <w:ind w:left="-180"/>
        <w:rPr>
          <w:rFonts w:ascii="Book Antiqua" w:hAnsi="Book Antiqua"/>
          <w:b/>
          <w:sz w:val="24"/>
        </w:rPr>
      </w:pPr>
      <w:r w:rsidRPr="00D244A8">
        <w:rPr>
          <w:rFonts w:ascii="Book Antiqua" w:hAnsi="Book Antiqua" w:cs="宋体"/>
          <w:bCs/>
          <w:color w:val="000000"/>
          <w:kern w:val="0"/>
          <w:sz w:val="24"/>
        </w:rPr>
        <w:br w:type="page"/>
      </w:r>
      <w:r w:rsidRPr="00D244A8">
        <w:rPr>
          <w:rFonts w:ascii="Book Antiqua" w:hAnsi="Book Antiqua"/>
          <w:b/>
          <w:sz w:val="24"/>
        </w:rPr>
        <w:lastRenderedPageBreak/>
        <w:t>Abstract</w:t>
      </w:r>
    </w:p>
    <w:p w:rsidR="00770C47" w:rsidRDefault="000906C6" w:rsidP="00770C47">
      <w:pPr>
        <w:autoSpaceDE w:val="0"/>
        <w:autoSpaceDN w:val="0"/>
        <w:adjustRightInd w:val="0"/>
        <w:spacing w:line="360" w:lineRule="auto"/>
        <w:ind w:left="-180" w:right="-148"/>
        <w:rPr>
          <w:rFonts w:ascii="Book Antiqua" w:hAnsi="Book Antiqua"/>
          <w:sz w:val="24"/>
        </w:rPr>
      </w:pPr>
      <w:r w:rsidRPr="00D244A8">
        <w:rPr>
          <w:rFonts w:ascii="Book Antiqua" w:hAnsi="Book Antiqua"/>
          <w:sz w:val="24"/>
        </w:rPr>
        <w:t>The confluence between the increased prevalence of gastro-esophageal reflux disease (GERD) and of obesity has generated great interest in the association between these two conditions. Several studies have addressed the potential relationship between GERD and obesity, but the exact mechanism by which obesity causes reflux disease still remains to be clearly defined. A commonly suggested pathogenetic pathway is the increased abdominal pressure which relaxes the lower esophageal sphincter (LES), thus exposing the esophageal mucosal to gastric content. Apart from the mechanical pressure, visceral fat is metabolically active and it has been strongly associated with serum levels of adipo-cytokines including interleukin-6 and tumor necrosis factor α, which may play a role in GERD or consequent carcinogenesis. This summary is aimed to explore the potential mechanisms responsible for the association between GERD and obesity, and to better understand the possible role of weight loss as a therapeutic approach for GERD.</w:t>
      </w:r>
      <w:r w:rsidR="007D6736">
        <w:rPr>
          <w:rFonts w:ascii="Book Antiqua" w:hAnsi="Book Antiqua"/>
          <w:sz w:val="24"/>
        </w:rPr>
        <w:t xml:space="preserve"> </w:t>
      </w:r>
    </w:p>
    <w:p w:rsidR="00770C47" w:rsidRDefault="00770C47" w:rsidP="00770C47">
      <w:pPr>
        <w:autoSpaceDE w:val="0"/>
        <w:autoSpaceDN w:val="0"/>
        <w:adjustRightInd w:val="0"/>
        <w:spacing w:line="360" w:lineRule="auto"/>
        <w:ind w:left="-180" w:right="-148"/>
        <w:rPr>
          <w:rFonts w:ascii="Book Antiqua" w:hAnsi="Book Antiqua"/>
          <w:sz w:val="24"/>
        </w:rPr>
      </w:pPr>
    </w:p>
    <w:p w:rsidR="00770C47" w:rsidRPr="00770C47" w:rsidRDefault="00770C47" w:rsidP="00770C47">
      <w:pPr>
        <w:autoSpaceDE w:val="0"/>
        <w:autoSpaceDN w:val="0"/>
        <w:adjustRightInd w:val="0"/>
        <w:spacing w:line="360" w:lineRule="auto"/>
        <w:ind w:left="-180" w:right="-148"/>
        <w:rPr>
          <w:rFonts w:ascii="Book Antiqua" w:hAnsi="Book Antiqua"/>
          <w:sz w:val="24"/>
        </w:rPr>
      </w:pPr>
      <w:r w:rsidRPr="005C6A5F">
        <w:rPr>
          <w:rFonts w:ascii="Book Antiqua" w:hAnsi="Book Antiqua"/>
          <w:sz w:val="24"/>
        </w:rPr>
        <w:t>© 201</w:t>
      </w:r>
      <w:r>
        <w:rPr>
          <w:rFonts w:ascii="Book Antiqua" w:hAnsi="Book Antiqua" w:hint="eastAsia"/>
          <w:sz w:val="24"/>
        </w:rPr>
        <w:t xml:space="preserve">3 </w:t>
      </w:r>
      <w:r w:rsidRPr="005C6A5F">
        <w:rPr>
          <w:rFonts w:ascii="Book Antiqua" w:hAnsi="Book Antiqua"/>
          <w:sz w:val="24"/>
        </w:rPr>
        <w:t>Baishideng. All rights reserved.</w:t>
      </w:r>
    </w:p>
    <w:p w:rsidR="00770C47" w:rsidRPr="00D244A8" w:rsidRDefault="00770C47" w:rsidP="00ED39E4">
      <w:pPr>
        <w:spacing w:line="360" w:lineRule="auto"/>
        <w:rPr>
          <w:rFonts w:ascii="Book Antiqua" w:hAnsi="Book Antiqua"/>
          <w:sz w:val="24"/>
        </w:rPr>
      </w:pPr>
    </w:p>
    <w:p w:rsidR="000906C6" w:rsidRPr="00D244A8" w:rsidRDefault="000906C6" w:rsidP="00ED39E4">
      <w:pPr>
        <w:spacing w:line="360" w:lineRule="auto"/>
        <w:ind w:left="-180"/>
        <w:rPr>
          <w:rFonts w:ascii="Book Antiqua" w:hAnsi="Book Antiqua"/>
          <w:sz w:val="24"/>
        </w:rPr>
      </w:pPr>
      <w:r w:rsidRPr="00D244A8">
        <w:rPr>
          <w:rFonts w:ascii="Book Antiqua" w:hAnsi="Book Antiqua"/>
          <w:b/>
          <w:sz w:val="24"/>
        </w:rPr>
        <w:t>Key words</w:t>
      </w:r>
      <w:r w:rsidRPr="00D244A8">
        <w:rPr>
          <w:rFonts w:ascii="Book Antiqua" w:hAnsi="Book Antiqua"/>
          <w:sz w:val="24"/>
        </w:rPr>
        <w:t>: Body mass Index</w:t>
      </w:r>
      <w:r w:rsidR="00E4695C">
        <w:rPr>
          <w:rFonts w:ascii="Book Antiqua" w:hAnsi="Book Antiqua" w:hint="eastAsia"/>
          <w:sz w:val="24"/>
        </w:rPr>
        <w:t>;</w:t>
      </w:r>
      <w:r w:rsidRPr="00D244A8">
        <w:rPr>
          <w:rFonts w:ascii="Book Antiqua" w:hAnsi="Book Antiqua"/>
          <w:sz w:val="24"/>
        </w:rPr>
        <w:t xml:space="preserve"> Visceral Obesity</w:t>
      </w:r>
      <w:r w:rsidR="00E4695C">
        <w:rPr>
          <w:rFonts w:ascii="Book Antiqua" w:hAnsi="Book Antiqua" w:hint="eastAsia"/>
          <w:sz w:val="24"/>
        </w:rPr>
        <w:t>;</w:t>
      </w:r>
      <w:r w:rsidRPr="00D244A8">
        <w:rPr>
          <w:rFonts w:ascii="Book Antiqua" w:hAnsi="Book Antiqua"/>
          <w:sz w:val="24"/>
        </w:rPr>
        <w:t xml:space="preserve"> Gastro-esophageal reflux</w:t>
      </w:r>
      <w:r w:rsidR="00E4695C">
        <w:rPr>
          <w:rFonts w:ascii="Book Antiqua" w:hAnsi="Book Antiqua" w:hint="eastAsia"/>
          <w:sz w:val="24"/>
        </w:rPr>
        <w:t>;</w:t>
      </w:r>
      <w:r w:rsidRPr="00D244A8">
        <w:rPr>
          <w:rFonts w:ascii="Book Antiqua" w:hAnsi="Book Antiqua"/>
          <w:sz w:val="24"/>
        </w:rPr>
        <w:t xml:space="preserve"> </w:t>
      </w:r>
      <w:r w:rsidR="00E4695C" w:rsidRPr="00E4695C">
        <w:rPr>
          <w:rFonts w:ascii="Book Antiqua" w:hAnsi="Book Antiqua"/>
          <w:sz w:val="24"/>
        </w:rPr>
        <w:t>Gastro-esophageal reflux disease</w:t>
      </w:r>
      <w:r w:rsidR="00E4695C">
        <w:rPr>
          <w:rFonts w:ascii="Book Antiqua" w:hAnsi="Book Antiqua"/>
          <w:sz w:val="24"/>
        </w:rPr>
        <w:t xml:space="preserve"> complication</w:t>
      </w:r>
    </w:p>
    <w:p w:rsidR="000906C6" w:rsidRPr="00D244A8" w:rsidRDefault="000906C6" w:rsidP="00ED39E4">
      <w:pPr>
        <w:spacing w:line="360" w:lineRule="auto"/>
        <w:rPr>
          <w:rFonts w:ascii="Book Antiqua" w:hAnsi="Book Antiqua"/>
          <w:sz w:val="24"/>
        </w:rPr>
      </w:pPr>
    </w:p>
    <w:p w:rsidR="000906C6" w:rsidRPr="00D244A8" w:rsidRDefault="000906C6" w:rsidP="00ED39E4">
      <w:pPr>
        <w:autoSpaceDE w:val="0"/>
        <w:autoSpaceDN w:val="0"/>
        <w:adjustRightInd w:val="0"/>
        <w:spacing w:line="360" w:lineRule="auto"/>
        <w:ind w:left="-180" w:right="-148"/>
        <w:rPr>
          <w:rFonts w:ascii="Book Antiqua" w:hAnsi="Book Antiqua"/>
          <w:sz w:val="24"/>
        </w:rPr>
      </w:pPr>
      <w:r w:rsidRPr="00D244A8">
        <w:rPr>
          <w:rFonts w:ascii="Book Antiqua" w:hAnsi="Book Antiqua"/>
          <w:b/>
          <w:sz w:val="24"/>
        </w:rPr>
        <w:t>Core tip</w:t>
      </w:r>
      <w:r w:rsidRPr="00D244A8">
        <w:rPr>
          <w:rFonts w:ascii="Book Antiqua" w:hAnsi="Book Antiqua"/>
          <w:sz w:val="24"/>
        </w:rPr>
        <w:t xml:space="preserve">: This topic is aimed to explore the potential mechanisms responsible for the association between </w:t>
      </w:r>
      <w:r w:rsidR="00E4695C" w:rsidRPr="00D244A8">
        <w:rPr>
          <w:rFonts w:ascii="Book Antiqua" w:hAnsi="Book Antiqua"/>
          <w:sz w:val="24"/>
        </w:rPr>
        <w:t>gastro-esophageal reflux disease (GERD)</w:t>
      </w:r>
      <w:r w:rsidRPr="00D244A8">
        <w:rPr>
          <w:rFonts w:ascii="Book Antiqua" w:hAnsi="Book Antiqua"/>
          <w:sz w:val="24"/>
        </w:rPr>
        <w:t xml:space="preserve"> and obesity, that remain to be fully elucidated. Despite numerous evidence that show an increased risk of GERD symptom and/or complication in obese patients, the interplay between GERD and obesity is not clear. Based on the literature we have tried to summarize the evidence concerning the role of obesity in the GERD pathogenesis to better understand the possible role of weight loss as a therapeutic approach for this disease.</w:t>
      </w:r>
      <w:r w:rsidR="007D6736">
        <w:rPr>
          <w:rFonts w:ascii="Book Antiqua" w:hAnsi="Book Antiqua"/>
          <w:sz w:val="24"/>
        </w:rPr>
        <w:t xml:space="preserve"> </w:t>
      </w:r>
    </w:p>
    <w:p w:rsidR="00CB4B6D" w:rsidRPr="00D244A8" w:rsidRDefault="00CB4B6D" w:rsidP="00ED39E4">
      <w:pPr>
        <w:autoSpaceDE w:val="0"/>
        <w:autoSpaceDN w:val="0"/>
        <w:adjustRightInd w:val="0"/>
        <w:spacing w:line="360" w:lineRule="auto"/>
        <w:ind w:left="-180" w:right="-148"/>
        <w:rPr>
          <w:rFonts w:ascii="Book Antiqua" w:hAnsi="Book Antiqua"/>
          <w:sz w:val="24"/>
        </w:rPr>
      </w:pPr>
    </w:p>
    <w:p w:rsidR="00CB4B6D" w:rsidRPr="00D244A8" w:rsidRDefault="00CB4B6D" w:rsidP="00ED39E4">
      <w:pPr>
        <w:spacing w:line="360" w:lineRule="auto"/>
        <w:rPr>
          <w:rFonts w:ascii="Book Antiqua" w:hAnsi="Book Antiqua"/>
          <w:sz w:val="24"/>
        </w:rPr>
      </w:pPr>
      <w:r w:rsidRPr="00D244A8">
        <w:rPr>
          <w:rFonts w:ascii="Book Antiqua" w:hAnsi="Book Antiqua"/>
          <w:sz w:val="24"/>
          <w:lang w:val="it-IT"/>
        </w:rPr>
        <w:lastRenderedPageBreak/>
        <w:t xml:space="preserve">Emerenziani S, Rescio MP, Guarino MP, Cicala M. </w:t>
      </w:r>
      <w:r w:rsidRPr="00D244A8">
        <w:rPr>
          <w:rFonts w:ascii="Book Antiqua" w:hAnsi="Book Antiqua"/>
          <w:sz w:val="24"/>
        </w:rPr>
        <w:t>Gastro-esophageal reflux disease and Obesity, where is the link?</w:t>
      </w:r>
    </w:p>
    <w:p w:rsidR="00CB4B6D" w:rsidRPr="00D244A8" w:rsidRDefault="00CB4B6D" w:rsidP="00ED39E4">
      <w:pPr>
        <w:spacing w:line="360" w:lineRule="auto"/>
        <w:rPr>
          <w:rFonts w:ascii="Book Antiqua" w:hAnsi="Book Antiqua"/>
          <w:b/>
          <w:sz w:val="24"/>
        </w:rPr>
      </w:pPr>
    </w:p>
    <w:p w:rsidR="00CB4B6D" w:rsidRPr="00D244A8" w:rsidRDefault="00CB4B6D" w:rsidP="00ED39E4">
      <w:pPr>
        <w:spacing w:line="360" w:lineRule="auto"/>
        <w:rPr>
          <w:rFonts w:ascii="Book Antiqua" w:hAnsi="Book Antiqua"/>
          <w:b/>
          <w:sz w:val="24"/>
        </w:rPr>
      </w:pPr>
      <w:bookmarkStart w:id="12" w:name="OLE_LINK46"/>
      <w:bookmarkStart w:id="13" w:name="OLE_LINK47"/>
      <w:bookmarkStart w:id="14" w:name="OLE_LINK61"/>
      <w:bookmarkStart w:id="15" w:name="OLE_LINK84"/>
      <w:bookmarkStart w:id="16" w:name="OLE_LINK90"/>
      <w:bookmarkStart w:id="17" w:name="OLE_LINK104"/>
      <w:r w:rsidRPr="00D244A8">
        <w:rPr>
          <w:rFonts w:ascii="Book Antiqua" w:hAnsi="Book Antiqua"/>
          <w:b/>
          <w:sz w:val="24"/>
        </w:rPr>
        <w:t xml:space="preserve">Available from: URL: </w:t>
      </w:r>
    </w:p>
    <w:p w:rsidR="00CB4B6D" w:rsidRPr="00D244A8" w:rsidRDefault="00CB4B6D" w:rsidP="00ED39E4">
      <w:pPr>
        <w:spacing w:line="360" w:lineRule="auto"/>
        <w:rPr>
          <w:rFonts w:ascii="Book Antiqua" w:hAnsi="Book Antiqua"/>
          <w:b/>
          <w:sz w:val="24"/>
        </w:rPr>
      </w:pPr>
      <w:r w:rsidRPr="00D244A8">
        <w:rPr>
          <w:rFonts w:ascii="Book Antiqua" w:hAnsi="Book Antiqua"/>
          <w:b/>
          <w:sz w:val="24"/>
        </w:rPr>
        <w:t>DOI:</w:t>
      </w:r>
    </w:p>
    <w:bookmarkEnd w:id="12"/>
    <w:bookmarkEnd w:id="13"/>
    <w:bookmarkEnd w:id="14"/>
    <w:bookmarkEnd w:id="15"/>
    <w:bookmarkEnd w:id="16"/>
    <w:bookmarkEnd w:id="17"/>
    <w:p w:rsidR="00CB4B6D" w:rsidRPr="00D244A8" w:rsidRDefault="00CB4B6D" w:rsidP="00ED39E4">
      <w:pPr>
        <w:spacing w:line="360" w:lineRule="auto"/>
        <w:rPr>
          <w:rFonts w:ascii="Book Antiqua" w:hAnsi="Book Antiqua"/>
          <w:b/>
          <w:sz w:val="24"/>
        </w:rPr>
      </w:pPr>
    </w:p>
    <w:p w:rsidR="00CB4B6D" w:rsidRPr="00D244A8" w:rsidRDefault="00CB4B6D" w:rsidP="00ED39E4">
      <w:pPr>
        <w:autoSpaceDE w:val="0"/>
        <w:autoSpaceDN w:val="0"/>
        <w:adjustRightInd w:val="0"/>
        <w:spacing w:line="360" w:lineRule="auto"/>
        <w:ind w:left="-180" w:right="-148"/>
        <w:rPr>
          <w:rFonts w:ascii="Book Antiqua" w:hAnsi="Book Antiqua"/>
          <w:sz w:val="24"/>
        </w:rPr>
      </w:pPr>
    </w:p>
    <w:p w:rsidR="000906C6" w:rsidRPr="00D244A8" w:rsidRDefault="000906C6" w:rsidP="00ED39E4">
      <w:pPr>
        <w:spacing w:line="360" w:lineRule="auto"/>
        <w:ind w:left="-180"/>
        <w:rPr>
          <w:rFonts w:ascii="Book Antiqua" w:hAnsi="Book Antiqua"/>
          <w:b/>
          <w:sz w:val="24"/>
          <w:lang w:val="en-GB"/>
        </w:rPr>
      </w:pPr>
      <w:r w:rsidRPr="00D244A8">
        <w:rPr>
          <w:rFonts w:ascii="Book Antiqua" w:hAnsi="Book Antiqua"/>
          <w:sz w:val="24"/>
        </w:rPr>
        <w:br w:type="page"/>
      </w:r>
      <w:r w:rsidRPr="00D244A8">
        <w:rPr>
          <w:rFonts w:ascii="Book Antiqua" w:hAnsi="Book Antiqua"/>
          <w:b/>
          <w:sz w:val="24"/>
          <w:lang w:val="en-GB"/>
        </w:rPr>
        <w:lastRenderedPageBreak/>
        <w:t>INTRODUCTION</w:t>
      </w:r>
    </w:p>
    <w:p w:rsidR="000906C6" w:rsidRPr="00D244A8" w:rsidRDefault="000906C6" w:rsidP="00ED39E4">
      <w:pPr>
        <w:autoSpaceDE w:val="0"/>
        <w:autoSpaceDN w:val="0"/>
        <w:adjustRightInd w:val="0"/>
        <w:spacing w:line="360" w:lineRule="auto"/>
        <w:ind w:left="-187" w:right="-144"/>
        <w:rPr>
          <w:rFonts w:ascii="Book Antiqua" w:hAnsi="Book Antiqua"/>
          <w:sz w:val="24"/>
        </w:rPr>
      </w:pPr>
      <w:r w:rsidRPr="00D244A8">
        <w:rPr>
          <w:rFonts w:ascii="Book Antiqua" w:hAnsi="Book Antiqua"/>
          <w:sz w:val="24"/>
        </w:rPr>
        <w:t>Gastro-esophageal reflux disease (GERD), with symptoms demonstrated to impair quality of life (QoL), appears to show important variation in its prevalence. When defined as at least weekly heartburn and/or acid regurgitation, the prevalence in the Western world generally ranges between 10% and 20% whereas in Asia the prevalence is reported to be less than 5%</w:t>
      </w:r>
      <w:r w:rsidR="008B7714" w:rsidRPr="008B7714">
        <w:rPr>
          <w:rFonts w:ascii="Book Antiqua" w:hAnsi="Book Antiqua"/>
          <w:sz w:val="24"/>
          <w:vertAlign w:val="superscript"/>
        </w:rPr>
        <w:t>[</w:t>
      </w:r>
      <w:r w:rsidRPr="00D244A8">
        <w:rPr>
          <w:rFonts w:ascii="Book Antiqua" w:hAnsi="Book Antiqua"/>
          <w:sz w:val="24"/>
          <w:vertAlign w:val="superscript"/>
        </w:rPr>
        <w:t>1]</w:t>
      </w:r>
      <w:r w:rsidRPr="00D244A8">
        <w:rPr>
          <w:rFonts w:ascii="Book Antiqua" w:hAnsi="Book Antiqua"/>
          <w:sz w:val="24"/>
        </w:rPr>
        <w:t>. Longitudinal studies have addressed several risk factors for GERD, and indeed obesity is indicated as a potential risk factor</w:t>
      </w:r>
      <w:r w:rsidR="008B7714" w:rsidRPr="008B7714">
        <w:rPr>
          <w:rFonts w:ascii="Book Antiqua" w:hAnsi="Book Antiqua"/>
          <w:sz w:val="24"/>
          <w:vertAlign w:val="superscript"/>
        </w:rPr>
        <w:t>[</w:t>
      </w:r>
      <w:r w:rsidRPr="00D244A8">
        <w:rPr>
          <w:rFonts w:ascii="Book Antiqua" w:hAnsi="Book Antiqua"/>
          <w:sz w:val="24"/>
          <w:vertAlign w:val="superscript"/>
        </w:rPr>
        <w:t xml:space="preserve">2] </w:t>
      </w:r>
      <w:r w:rsidRPr="00D244A8">
        <w:rPr>
          <w:rFonts w:ascii="Book Antiqua" w:hAnsi="Book Antiqua"/>
          <w:sz w:val="24"/>
        </w:rPr>
        <w:t>.</w:t>
      </w:r>
      <w:r w:rsidR="007D6736">
        <w:rPr>
          <w:rFonts w:ascii="Book Antiqua" w:hAnsi="Book Antiqua"/>
          <w:sz w:val="24"/>
        </w:rPr>
        <w:t xml:space="preserve"> </w:t>
      </w:r>
      <w:r w:rsidRPr="00D244A8">
        <w:rPr>
          <w:rFonts w:ascii="Book Antiqua" w:hAnsi="Book Antiqua"/>
          <w:sz w:val="24"/>
        </w:rPr>
        <w:t>Interestingly, obesity, typically defined as a body mass index (BMI) of &gt; 30, has risen to epidemic levels in several regions of North America, Europe and Asia</w:t>
      </w:r>
      <w:r w:rsidR="008B7714" w:rsidRPr="008B7714">
        <w:rPr>
          <w:rFonts w:ascii="Book Antiqua" w:hAnsi="Book Antiqua"/>
          <w:sz w:val="24"/>
          <w:vertAlign w:val="superscript"/>
        </w:rPr>
        <w:t>[</w:t>
      </w:r>
      <w:r w:rsidRPr="00D244A8">
        <w:rPr>
          <w:rFonts w:ascii="Book Antiqua" w:hAnsi="Book Antiqua"/>
          <w:sz w:val="24"/>
          <w:vertAlign w:val="superscript"/>
        </w:rPr>
        <w:t>3]</w:t>
      </w:r>
      <w:r w:rsidRPr="00D244A8">
        <w:rPr>
          <w:rFonts w:ascii="Book Antiqua" w:hAnsi="Book Antiqua"/>
          <w:sz w:val="24"/>
        </w:rPr>
        <w:t>.</w:t>
      </w:r>
      <w:r w:rsidR="007D6736">
        <w:rPr>
          <w:rFonts w:ascii="Book Antiqua" w:hAnsi="Book Antiqua"/>
          <w:sz w:val="24"/>
        </w:rPr>
        <w:t xml:space="preserve"> </w:t>
      </w:r>
      <w:r w:rsidRPr="00D244A8">
        <w:rPr>
          <w:rFonts w:ascii="Book Antiqua" w:hAnsi="Book Antiqua"/>
          <w:sz w:val="24"/>
        </w:rPr>
        <w:t xml:space="preserve">The confluence between the increased prevalence of GERD, in terms of symptoms, erosive esophagitis, Barrett’s esophagus (BE), esophageal adenocarcinoma and of obesity has generated great interest in the association between these two conditions and the potential mechanisms responsible for this association. </w:t>
      </w:r>
    </w:p>
    <w:p w:rsidR="000906C6" w:rsidRPr="00D244A8" w:rsidRDefault="000906C6" w:rsidP="005A028B">
      <w:pPr>
        <w:autoSpaceDE w:val="0"/>
        <w:autoSpaceDN w:val="0"/>
        <w:adjustRightInd w:val="0"/>
        <w:spacing w:line="360" w:lineRule="auto"/>
        <w:ind w:left="-180" w:right="-148" w:firstLineChars="200" w:firstLine="480"/>
        <w:rPr>
          <w:rFonts w:ascii="Book Antiqua" w:hAnsi="Book Antiqua"/>
          <w:color w:val="FF0000"/>
          <w:sz w:val="24"/>
        </w:rPr>
      </w:pPr>
      <w:r w:rsidRPr="00D244A8">
        <w:rPr>
          <w:rFonts w:ascii="Book Antiqua" w:hAnsi="Book Antiqua"/>
          <w:sz w:val="24"/>
        </w:rPr>
        <w:t xml:space="preserve">Several studies have focused on the potential relationship between GERD and obesity and results emerging from those investigations have shown that obesity is associated with an increased risk of both GERD symptoms and complication </w:t>
      </w:r>
      <w:r w:rsidRPr="00D244A8">
        <w:rPr>
          <w:rFonts w:ascii="Book Antiqua" w:hAnsi="Book Antiqua"/>
          <w:i/>
          <w:sz w:val="24"/>
        </w:rPr>
        <w:t>i.e.</w:t>
      </w:r>
      <w:r w:rsidR="00223457">
        <w:rPr>
          <w:rFonts w:ascii="Book Antiqua" w:hAnsi="Book Antiqua" w:hint="eastAsia"/>
          <w:i/>
          <w:sz w:val="24"/>
        </w:rPr>
        <w:t>,</w:t>
      </w:r>
      <w:r w:rsidRPr="00D244A8">
        <w:rPr>
          <w:rFonts w:ascii="Book Antiqua" w:hAnsi="Book Antiqua"/>
          <w:i/>
          <w:sz w:val="24"/>
        </w:rPr>
        <w:t xml:space="preserve"> </w:t>
      </w:r>
      <w:r w:rsidRPr="00D244A8">
        <w:rPr>
          <w:rFonts w:ascii="Book Antiqua" w:hAnsi="Book Antiqua"/>
          <w:sz w:val="24"/>
        </w:rPr>
        <w:t>erosive esophagitis, BE and esophageal adenocarcinoma as compared to individuals with a normal BMI</w:t>
      </w:r>
      <w:r w:rsidR="008B7714" w:rsidRPr="008B7714">
        <w:rPr>
          <w:rFonts w:ascii="Book Antiqua" w:hAnsi="Book Antiqua"/>
          <w:sz w:val="24"/>
          <w:vertAlign w:val="superscript"/>
          <w:lang w:eastAsia="it-IT"/>
        </w:rPr>
        <w:t>[</w:t>
      </w:r>
      <w:r w:rsidRPr="00D244A8">
        <w:rPr>
          <w:rFonts w:ascii="Book Antiqua" w:hAnsi="Book Antiqua"/>
          <w:sz w:val="24"/>
          <w:vertAlign w:val="superscript"/>
        </w:rPr>
        <w:t>4]</w:t>
      </w:r>
      <w:r w:rsidRPr="00405D46">
        <w:rPr>
          <w:rFonts w:ascii="Book Antiqua" w:hAnsi="Book Antiqua"/>
          <w:sz w:val="24"/>
        </w:rPr>
        <w:t xml:space="preserve">. </w:t>
      </w:r>
      <w:r w:rsidRPr="00D244A8">
        <w:rPr>
          <w:rFonts w:ascii="Book Antiqua" w:hAnsi="Book Antiqua"/>
          <w:sz w:val="24"/>
        </w:rPr>
        <w:t>There was also some degree of a dose-dependent relationship between BMI and these GERD-related disorders and, moreover, a recent large cohort focusing on adult females reported a possible dose-response increase in the risk of GERD with a higher BMI even if within the normal range</w:t>
      </w:r>
      <w:r w:rsidR="008B7714" w:rsidRPr="008B7714">
        <w:rPr>
          <w:rFonts w:ascii="Book Antiqua" w:hAnsi="Book Antiqua"/>
          <w:sz w:val="24"/>
          <w:vertAlign w:val="superscript"/>
        </w:rPr>
        <w:t>[</w:t>
      </w:r>
      <w:r w:rsidRPr="00D244A8">
        <w:rPr>
          <w:rFonts w:ascii="Book Antiqua" w:hAnsi="Book Antiqua"/>
          <w:sz w:val="24"/>
          <w:vertAlign w:val="superscript"/>
        </w:rPr>
        <w:t>5]</w:t>
      </w:r>
      <w:r w:rsidRPr="00405D46">
        <w:rPr>
          <w:rFonts w:ascii="Book Antiqua" w:hAnsi="Book Antiqua"/>
          <w:strike/>
          <w:sz w:val="24"/>
          <w:vertAlign w:val="subscript"/>
        </w:rPr>
        <w:t>.</w:t>
      </w:r>
    </w:p>
    <w:p w:rsidR="000906C6" w:rsidRPr="00D244A8" w:rsidRDefault="000906C6" w:rsidP="00ED39E4">
      <w:pPr>
        <w:autoSpaceDE w:val="0"/>
        <w:autoSpaceDN w:val="0"/>
        <w:adjustRightInd w:val="0"/>
        <w:spacing w:line="360" w:lineRule="auto"/>
        <w:ind w:left="360" w:right="458"/>
        <w:rPr>
          <w:rFonts w:ascii="Book Antiqua" w:hAnsi="Book Antiqua"/>
          <w:color w:val="FF0000"/>
          <w:sz w:val="24"/>
        </w:rPr>
      </w:pPr>
    </w:p>
    <w:p w:rsidR="000906C6" w:rsidRPr="00DF2EB6" w:rsidRDefault="00DF2EB6" w:rsidP="00ED39E4">
      <w:pPr>
        <w:autoSpaceDE w:val="0"/>
        <w:autoSpaceDN w:val="0"/>
        <w:adjustRightInd w:val="0"/>
        <w:spacing w:line="360" w:lineRule="auto"/>
        <w:ind w:left="-180" w:right="-148"/>
        <w:rPr>
          <w:rFonts w:ascii="Book Antiqua" w:hAnsi="Book Antiqua"/>
          <w:b/>
          <w:sz w:val="24"/>
        </w:rPr>
      </w:pPr>
      <w:r w:rsidRPr="00DF2EB6">
        <w:rPr>
          <w:rFonts w:ascii="Book Antiqua" w:hAnsi="Book Antiqua"/>
          <w:b/>
          <w:sz w:val="24"/>
        </w:rPr>
        <w:t>PATHOGENESIS</w:t>
      </w:r>
    </w:p>
    <w:p w:rsidR="000906C6" w:rsidRPr="00D244A8" w:rsidRDefault="000906C6" w:rsidP="00ED39E4">
      <w:pPr>
        <w:autoSpaceDE w:val="0"/>
        <w:autoSpaceDN w:val="0"/>
        <w:adjustRightInd w:val="0"/>
        <w:spacing w:line="360" w:lineRule="auto"/>
        <w:ind w:left="-180" w:right="-148"/>
        <w:rPr>
          <w:rFonts w:ascii="Book Antiqua" w:hAnsi="Book Antiqua"/>
          <w:sz w:val="24"/>
        </w:rPr>
      </w:pPr>
      <w:r w:rsidRPr="00D244A8">
        <w:rPr>
          <w:rFonts w:ascii="Book Antiqua" w:hAnsi="Book Antiqua"/>
          <w:sz w:val="24"/>
        </w:rPr>
        <w:t>Even if several mechanisms by which obesity causes reflux disease have been proposed (</w:t>
      </w:r>
      <w:r w:rsidR="001F6EEF" w:rsidRPr="00D244A8">
        <w:rPr>
          <w:rFonts w:ascii="Book Antiqua" w:hAnsi="Book Antiqua"/>
          <w:sz w:val="24"/>
        </w:rPr>
        <w:t>T</w:t>
      </w:r>
      <w:r w:rsidRPr="00D244A8">
        <w:rPr>
          <w:rFonts w:ascii="Book Antiqua" w:hAnsi="Book Antiqua"/>
          <w:sz w:val="24"/>
        </w:rPr>
        <w:t>able 1). The pathogenetic pathway commonly suggested is the increased abdominal pressure which relaxes the lower esophageal sphincter (LES), thus exposing the esophageal mucosal to the gastric content</w:t>
      </w:r>
      <w:r w:rsidR="008B7714" w:rsidRPr="008B7714">
        <w:rPr>
          <w:rFonts w:ascii="Book Antiqua" w:hAnsi="Book Antiqua"/>
          <w:sz w:val="24"/>
          <w:vertAlign w:val="superscript"/>
        </w:rPr>
        <w:t>[</w:t>
      </w:r>
      <w:r w:rsidRPr="00D244A8">
        <w:rPr>
          <w:rFonts w:ascii="Book Antiqua" w:hAnsi="Book Antiqua"/>
          <w:sz w:val="24"/>
          <w:vertAlign w:val="superscript"/>
        </w:rPr>
        <w:t>6, 7]</w:t>
      </w:r>
      <w:r w:rsidRPr="00405D46">
        <w:rPr>
          <w:rFonts w:ascii="Book Antiqua" w:hAnsi="Book Antiqua"/>
          <w:sz w:val="24"/>
        </w:rPr>
        <w:t>.</w:t>
      </w:r>
      <w:r w:rsidRPr="00D244A8">
        <w:rPr>
          <w:rFonts w:ascii="Book Antiqua" w:hAnsi="Book Antiqua"/>
          <w:sz w:val="24"/>
          <w:vertAlign w:val="subscript"/>
        </w:rPr>
        <w:t xml:space="preserve"> </w:t>
      </w:r>
      <w:r w:rsidRPr="00D244A8">
        <w:rPr>
          <w:rFonts w:ascii="Book Antiqua" w:hAnsi="Book Antiqua"/>
          <w:sz w:val="24"/>
        </w:rPr>
        <w:t xml:space="preserve">Results of 24-hour pH-monitoring studies have shown that obesity is associated with a significant increase in the number of reflux episodes, as well as long-lasting reflux episodes </w:t>
      </w:r>
      <w:r w:rsidRPr="00D244A8">
        <w:rPr>
          <w:rFonts w:ascii="Book Antiqua" w:hAnsi="Book Antiqua"/>
          <w:sz w:val="24"/>
        </w:rPr>
        <w:lastRenderedPageBreak/>
        <w:t>and the time with pH</w:t>
      </w:r>
      <w:r w:rsidR="000E280D">
        <w:rPr>
          <w:rFonts w:ascii="Book Antiqua" w:hAnsi="Book Antiqua" w:hint="eastAsia"/>
          <w:sz w:val="24"/>
        </w:rPr>
        <w:t xml:space="preserve"> </w:t>
      </w:r>
      <w:r w:rsidRPr="00D244A8">
        <w:rPr>
          <w:rFonts w:ascii="Book Antiqua" w:hAnsi="Book Antiqua"/>
          <w:sz w:val="24"/>
        </w:rPr>
        <w:t>&lt;</w:t>
      </w:r>
      <w:r w:rsidR="000E280D">
        <w:rPr>
          <w:rFonts w:ascii="Book Antiqua" w:hAnsi="Book Antiqua" w:hint="eastAsia"/>
          <w:sz w:val="24"/>
        </w:rPr>
        <w:t xml:space="preserve"> </w:t>
      </w:r>
      <w:r w:rsidRPr="00D244A8">
        <w:rPr>
          <w:rFonts w:ascii="Book Antiqua" w:hAnsi="Book Antiqua"/>
          <w:sz w:val="24"/>
        </w:rPr>
        <w:t>4, especially in the post-prandial period</w:t>
      </w:r>
      <w:r w:rsidR="008B7714" w:rsidRPr="008B7714">
        <w:rPr>
          <w:rFonts w:ascii="Book Antiqua" w:hAnsi="Book Antiqua"/>
          <w:sz w:val="24"/>
          <w:vertAlign w:val="superscript"/>
        </w:rPr>
        <w:t>[</w:t>
      </w:r>
      <w:r w:rsidRPr="00D244A8">
        <w:rPr>
          <w:rFonts w:ascii="Book Antiqua" w:hAnsi="Book Antiqua"/>
          <w:sz w:val="24"/>
          <w:vertAlign w:val="superscript"/>
        </w:rPr>
        <w:t>8]</w:t>
      </w:r>
      <w:r w:rsidRPr="000E280D">
        <w:rPr>
          <w:rFonts w:ascii="Book Antiqua" w:hAnsi="Book Antiqua"/>
          <w:sz w:val="24"/>
        </w:rPr>
        <w:t>.</w:t>
      </w:r>
      <w:r w:rsidRPr="00D244A8">
        <w:rPr>
          <w:rFonts w:ascii="Book Antiqua" w:hAnsi="Book Antiqua"/>
          <w:sz w:val="24"/>
          <w:vertAlign w:val="subscript"/>
        </w:rPr>
        <w:t xml:space="preserve"> </w:t>
      </w:r>
      <w:r w:rsidRPr="00D244A8">
        <w:rPr>
          <w:rFonts w:ascii="Book Antiqua" w:hAnsi="Book Antiqua"/>
          <w:sz w:val="24"/>
        </w:rPr>
        <w:t>This finding has been confirmed, in a more recent study, also by means of pH-impedance monitoring: not only the acid reflux but also the number of non acid reflux episodes increased significantly as BMI increased</w:t>
      </w:r>
      <w:r w:rsidR="008B7714" w:rsidRPr="008B7714">
        <w:rPr>
          <w:rFonts w:ascii="Book Antiqua" w:hAnsi="Book Antiqua"/>
          <w:sz w:val="24"/>
          <w:vertAlign w:val="superscript"/>
        </w:rPr>
        <w:t>[</w:t>
      </w:r>
      <w:r w:rsidRPr="00D244A8">
        <w:rPr>
          <w:rFonts w:ascii="Book Antiqua" w:hAnsi="Book Antiqua"/>
          <w:sz w:val="24"/>
          <w:vertAlign w:val="superscript"/>
        </w:rPr>
        <w:t>9]</w:t>
      </w:r>
      <w:r w:rsidRPr="000E280D">
        <w:rPr>
          <w:rFonts w:ascii="Book Antiqua" w:hAnsi="Book Antiqua"/>
          <w:sz w:val="24"/>
        </w:rPr>
        <w:t xml:space="preserve">. </w:t>
      </w:r>
      <w:r w:rsidRPr="00D244A8">
        <w:rPr>
          <w:rFonts w:ascii="Book Antiqua" w:hAnsi="Book Antiqua"/>
          <w:sz w:val="24"/>
        </w:rPr>
        <w:t>A recent study aimed to assess the pressure morphology and function of the esophago-gastric junction, by using the high resolution manometry methodology, reported that due to obesity the gastro-esophageal pressure gradients are altered in a way that would promote the retrograde flow of gastric content into the esophagus. Both the intra-gastric pressure and the gastro-esophageal pressure gradient were clearly correlated with both the BMI and waist circumference but, when these were simultaneously analysed in a regression model, the waist circumference was found to be independently associated with the different pressure gradients, whereas the relationship between BMI and pressure became non-significant or considerably reduced. In addition to abnormal pressure gradients, high-resolution manometry also revealed that obesity was associated with hiatus hernia (HH). There was a significant correlation between BMI, waist circumference and axial separation of the intrinsic LES and crural diaphragm, and it was postulated that this was a manifestation of pressure stress due to the increased intra-gastric pressure</w:t>
      </w:r>
      <w:r w:rsidR="008B7714" w:rsidRPr="008B7714">
        <w:rPr>
          <w:rFonts w:ascii="Book Antiqua" w:hAnsi="Book Antiqua"/>
          <w:sz w:val="24"/>
          <w:vertAlign w:val="superscript"/>
        </w:rPr>
        <w:t>[</w:t>
      </w:r>
      <w:r w:rsidRPr="00D244A8">
        <w:rPr>
          <w:rFonts w:ascii="Book Antiqua" w:hAnsi="Book Antiqua"/>
          <w:sz w:val="24"/>
          <w:vertAlign w:val="superscript"/>
        </w:rPr>
        <w:t>10]</w:t>
      </w:r>
      <w:r w:rsidRPr="000E280D">
        <w:rPr>
          <w:rFonts w:ascii="Book Antiqua" w:hAnsi="Book Antiqua"/>
          <w:sz w:val="24"/>
        </w:rPr>
        <w:t xml:space="preserve">. </w:t>
      </w:r>
      <w:r w:rsidRPr="00D244A8">
        <w:rPr>
          <w:rFonts w:ascii="Book Antiqua" w:hAnsi="Book Antiqua"/>
          <w:sz w:val="24"/>
        </w:rPr>
        <w:t>In agreement with this finding, in a retrospective case-control study assessing BMI in relation to esophagitis and HH, it was found that obesity is strongly associated with the combined occurrence of esophagitis and HH</w:t>
      </w:r>
      <w:r w:rsidR="008B7714" w:rsidRPr="008B7714">
        <w:rPr>
          <w:rFonts w:ascii="Book Antiqua" w:hAnsi="Book Antiqua"/>
          <w:sz w:val="24"/>
          <w:vertAlign w:val="superscript"/>
        </w:rPr>
        <w:t>[</w:t>
      </w:r>
      <w:r w:rsidRPr="00D244A8">
        <w:rPr>
          <w:rFonts w:ascii="Book Antiqua" w:hAnsi="Book Antiqua"/>
          <w:sz w:val="24"/>
          <w:vertAlign w:val="superscript"/>
        </w:rPr>
        <w:t>11]</w:t>
      </w:r>
      <w:r w:rsidRPr="000E280D">
        <w:rPr>
          <w:rFonts w:ascii="Book Antiqua" w:hAnsi="Book Antiqua"/>
          <w:sz w:val="24"/>
        </w:rPr>
        <w:t>.</w:t>
      </w:r>
      <w:r w:rsidRPr="00D244A8">
        <w:rPr>
          <w:rFonts w:ascii="Book Antiqua" w:hAnsi="Book Antiqua"/>
          <w:sz w:val="24"/>
          <w:vertAlign w:val="subscript"/>
        </w:rPr>
        <w:t xml:space="preserve"> </w:t>
      </w:r>
      <w:r w:rsidRPr="00D244A8">
        <w:rPr>
          <w:rFonts w:ascii="Book Antiqua" w:hAnsi="Book Antiqua"/>
          <w:sz w:val="24"/>
        </w:rPr>
        <w:t>It is widely recognized that HH has several pathophysiological implications in the pathogenesis of GERD: increased incidence of strain-induced reflux, reduced LES pressure, impaired esophageal acid clearance and increased sensitivity to distension-induced transient lower esophageal sphincter relaxation (TLESR)</w:t>
      </w:r>
      <w:r w:rsidR="008B7714" w:rsidRPr="008B7714">
        <w:rPr>
          <w:rFonts w:ascii="Book Antiqua" w:hAnsi="Book Antiqua"/>
          <w:sz w:val="24"/>
          <w:vertAlign w:val="superscript"/>
        </w:rPr>
        <w:t>[</w:t>
      </w:r>
      <w:r w:rsidRPr="00D244A8">
        <w:rPr>
          <w:rFonts w:ascii="Book Antiqua" w:hAnsi="Book Antiqua"/>
          <w:sz w:val="24"/>
          <w:vertAlign w:val="superscript"/>
        </w:rPr>
        <w:t>12]</w:t>
      </w:r>
      <w:r w:rsidRPr="000E280D">
        <w:rPr>
          <w:rFonts w:ascii="Book Antiqua" w:hAnsi="Book Antiqua"/>
          <w:sz w:val="24"/>
        </w:rPr>
        <w:t xml:space="preserve">. </w:t>
      </w:r>
      <w:r w:rsidRPr="00D244A8">
        <w:rPr>
          <w:rFonts w:ascii="Book Antiqua" w:hAnsi="Book Antiqua"/>
          <w:sz w:val="24"/>
        </w:rPr>
        <w:t>Among mechanisms responsible of reflux TLESR seems to play the most important role</w:t>
      </w:r>
      <w:r w:rsidR="008B7714" w:rsidRPr="008B7714">
        <w:rPr>
          <w:rFonts w:ascii="Book Antiqua" w:hAnsi="Book Antiqua"/>
          <w:sz w:val="24"/>
          <w:vertAlign w:val="superscript"/>
        </w:rPr>
        <w:t>[</w:t>
      </w:r>
      <w:r w:rsidRPr="00D244A8">
        <w:rPr>
          <w:rFonts w:ascii="Book Antiqua" w:hAnsi="Book Antiqua"/>
          <w:sz w:val="24"/>
          <w:vertAlign w:val="superscript"/>
        </w:rPr>
        <w:t>13]</w:t>
      </w:r>
      <w:r w:rsidRPr="000E280D">
        <w:rPr>
          <w:rFonts w:ascii="Book Antiqua" w:hAnsi="Book Antiqua"/>
          <w:sz w:val="24"/>
        </w:rPr>
        <w:t xml:space="preserve">. </w:t>
      </w:r>
      <w:r w:rsidRPr="00D244A8">
        <w:rPr>
          <w:rFonts w:ascii="Book Antiqua" w:hAnsi="Book Antiqua"/>
          <w:sz w:val="24"/>
        </w:rPr>
        <w:t>The reflux pattern after a standard meal, has been recently evaluated in obese and overweight p</w:t>
      </w:r>
      <w:r w:rsidR="000E280D">
        <w:rPr>
          <w:rFonts w:ascii="Book Antiqua" w:hAnsi="Book Antiqua"/>
          <w:sz w:val="24"/>
        </w:rPr>
        <w:t>atients by using a combined 2 h</w:t>
      </w:r>
      <w:r w:rsidRPr="00D244A8">
        <w:rPr>
          <w:rFonts w:ascii="Book Antiqua" w:hAnsi="Book Antiqua"/>
          <w:sz w:val="24"/>
        </w:rPr>
        <w:t xml:space="preserve"> post-prandial esophageal manometry and pH monitoring</w:t>
      </w:r>
      <w:r w:rsidR="008B7714" w:rsidRPr="008B7714">
        <w:rPr>
          <w:rFonts w:ascii="Book Antiqua" w:hAnsi="Book Antiqua"/>
          <w:sz w:val="24"/>
          <w:vertAlign w:val="superscript"/>
        </w:rPr>
        <w:t>[</w:t>
      </w:r>
      <w:r w:rsidRPr="00D244A8">
        <w:rPr>
          <w:rFonts w:ascii="Book Antiqua" w:hAnsi="Book Antiqua"/>
          <w:sz w:val="24"/>
          <w:vertAlign w:val="superscript"/>
        </w:rPr>
        <w:t>14]</w:t>
      </w:r>
      <w:r w:rsidRPr="000E280D">
        <w:rPr>
          <w:rFonts w:ascii="Book Antiqua" w:hAnsi="Book Antiqua"/>
          <w:sz w:val="24"/>
        </w:rPr>
        <w:t xml:space="preserve">. </w:t>
      </w:r>
      <w:r w:rsidRPr="00D244A8">
        <w:rPr>
          <w:rFonts w:ascii="Book Antiqua" w:hAnsi="Book Antiqua"/>
          <w:sz w:val="24"/>
        </w:rPr>
        <w:t xml:space="preserve">The results of this study have shown that, during the post-prandial period, both the obese and overweight patients presented a substantial increase in </w:t>
      </w:r>
      <w:r w:rsidRPr="00D244A8">
        <w:rPr>
          <w:rFonts w:ascii="Book Antiqua" w:hAnsi="Book Antiqua"/>
          <w:sz w:val="24"/>
        </w:rPr>
        <w:lastRenderedPageBreak/>
        <w:t>the rate of TLESRs and in the proportion of TLESRs with acid reflux as compared to individuals with a normal BMI. Both BMI and waist circumference showed a significant positive correlation with TLESRs and there was a dose-effect relationship. Therefore, it would appear that a higher post-prandial intra-gastric pressure causes a more intense stimulation both on the stretch and tension mechanoreceptors in the proximal stomach, which leads to more postprandial TLESRs.</w:t>
      </w:r>
    </w:p>
    <w:p w:rsidR="000906C6" w:rsidRPr="00D244A8" w:rsidRDefault="000906C6" w:rsidP="00ED39E4">
      <w:pPr>
        <w:autoSpaceDE w:val="0"/>
        <w:autoSpaceDN w:val="0"/>
        <w:adjustRightInd w:val="0"/>
        <w:spacing w:line="360" w:lineRule="auto"/>
        <w:ind w:left="-180" w:right="-148"/>
        <w:rPr>
          <w:rFonts w:ascii="Book Antiqua" w:hAnsi="Book Antiqua"/>
          <w:sz w:val="24"/>
        </w:rPr>
      </w:pPr>
    </w:p>
    <w:p w:rsidR="000906C6" w:rsidRPr="00DF2EB6" w:rsidRDefault="00DF2EB6" w:rsidP="00ED39E4">
      <w:pPr>
        <w:autoSpaceDE w:val="0"/>
        <w:autoSpaceDN w:val="0"/>
        <w:adjustRightInd w:val="0"/>
        <w:spacing w:line="360" w:lineRule="auto"/>
        <w:ind w:left="-180" w:right="-148"/>
        <w:rPr>
          <w:rFonts w:ascii="Book Antiqua" w:hAnsi="Book Antiqua"/>
          <w:b/>
          <w:sz w:val="24"/>
        </w:rPr>
      </w:pPr>
      <w:r w:rsidRPr="00DF2EB6">
        <w:rPr>
          <w:rFonts w:ascii="Book Antiqua" w:hAnsi="Book Antiqua"/>
          <w:b/>
          <w:sz w:val="24"/>
        </w:rPr>
        <w:t>ABDOMINAL OBESITY</w:t>
      </w:r>
    </w:p>
    <w:p w:rsidR="000906C6" w:rsidRPr="00D244A8" w:rsidRDefault="000906C6" w:rsidP="00ED39E4">
      <w:pPr>
        <w:autoSpaceDE w:val="0"/>
        <w:autoSpaceDN w:val="0"/>
        <w:adjustRightInd w:val="0"/>
        <w:spacing w:line="360" w:lineRule="auto"/>
        <w:ind w:left="-180" w:right="-148"/>
        <w:rPr>
          <w:rFonts w:ascii="Book Antiqua" w:hAnsi="Book Antiqua"/>
          <w:sz w:val="24"/>
        </w:rPr>
      </w:pPr>
      <w:r w:rsidRPr="00D244A8">
        <w:rPr>
          <w:rFonts w:ascii="Book Antiqua" w:hAnsi="Book Antiqua"/>
          <w:sz w:val="24"/>
        </w:rPr>
        <w:t>Abdominal or visceral fat (VAT) is strongly different in respect to peripheral or subcutaneous fat (SCAT). For example, VAT is more metabolically active, is characterized by a higher number of immune and inflammatory cells, and is more insulin-resistent thus leading to an higher overall mortality in respect to SCAT</w:t>
      </w:r>
      <w:r w:rsidR="008B7714" w:rsidRPr="008B7714">
        <w:rPr>
          <w:rFonts w:ascii="Book Antiqua" w:hAnsi="Book Antiqua"/>
          <w:sz w:val="24"/>
          <w:vertAlign w:val="superscript"/>
        </w:rPr>
        <w:t>[</w:t>
      </w:r>
      <w:r w:rsidRPr="00D244A8">
        <w:rPr>
          <w:rFonts w:ascii="Book Antiqua" w:hAnsi="Book Antiqua"/>
          <w:sz w:val="24"/>
          <w:vertAlign w:val="superscript"/>
        </w:rPr>
        <w:t>15]</w:t>
      </w:r>
      <w:r w:rsidRPr="000E280D">
        <w:rPr>
          <w:rFonts w:ascii="Book Antiqua" w:hAnsi="Book Antiqua"/>
          <w:sz w:val="24"/>
        </w:rPr>
        <w:t>.</w:t>
      </w:r>
    </w:p>
    <w:p w:rsidR="000906C6" w:rsidRPr="00D244A8" w:rsidRDefault="000906C6" w:rsidP="000E280D">
      <w:pPr>
        <w:autoSpaceDE w:val="0"/>
        <w:autoSpaceDN w:val="0"/>
        <w:adjustRightInd w:val="0"/>
        <w:spacing w:line="360" w:lineRule="auto"/>
        <w:ind w:left="-180" w:right="-148" w:firstLineChars="200" w:firstLine="480"/>
        <w:rPr>
          <w:rFonts w:ascii="Book Antiqua" w:hAnsi="Book Antiqua"/>
          <w:sz w:val="24"/>
        </w:rPr>
      </w:pPr>
      <w:r w:rsidRPr="00D244A8">
        <w:rPr>
          <w:rFonts w:ascii="Book Antiqua" w:hAnsi="Book Antiqua"/>
          <w:sz w:val="24"/>
        </w:rPr>
        <w:t>Abdominal obesity can better explain some of the epidemiological features of BE and esophageal adenocarcinoma. The distribution of body fat tends to be more visceral than truncal in high-risk groups for BE</w:t>
      </w:r>
      <w:r w:rsidR="008B7714" w:rsidRPr="008B7714">
        <w:rPr>
          <w:rFonts w:ascii="Book Antiqua" w:hAnsi="Book Antiqua"/>
          <w:sz w:val="24"/>
          <w:vertAlign w:val="superscript"/>
        </w:rPr>
        <w:t>[</w:t>
      </w:r>
      <w:r w:rsidRPr="00D244A8">
        <w:rPr>
          <w:rFonts w:ascii="Book Antiqua" w:hAnsi="Book Antiqua"/>
          <w:sz w:val="24"/>
          <w:vertAlign w:val="superscript"/>
        </w:rPr>
        <w:t>16]</w:t>
      </w:r>
      <w:r w:rsidRPr="000E280D">
        <w:rPr>
          <w:rFonts w:ascii="Book Antiqua" w:hAnsi="Book Antiqua"/>
          <w:sz w:val="24"/>
        </w:rPr>
        <w:t xml:space="preserve">. </w:t>
      </w:r>
      <w:r w:rsidRPr="00D244A8">
        <w:rPr>
          <w:rFonts w:ascii="Book Antiqua" w:hAnsi="Book Antiqua"/>
          <w:sz w:val="24"/>
        </w:rPr>
        <w:t>A recent study has shown that the abdominal diameter measured as the waist circumference is a risk factor for BE independently of BMI, while the association between BMI and BE disappeared after adjustment of the abdominal diameter</w:t>
      </w:r>
      <w:r w:rsidR="008B7714" w:rsidRPr="008B7714">
        <w:rPr>
          <w:rFonts w:ascii="Book Antiqua" w:hAnsi="Book Antiqua"/>
          <w:sz w:val="24"/>
          <w:vertAlign w:val="superscript"/>
        </w:rPr>
        <w:t>[</w:t>
      </w:r>
      <w:r w:rsidRPr="00D244A8">
        <w:rPr>
          <w:rFonts w:ascii="Book Antiqua" w:hAnsi="Book Antiqua"/>
          <w:sz w:val="24"/>
          <w:vertAlign w:val="superscript"/>
        </w:rPr>
        <w:t>17]</w:t>
      </w:r>
      <w:r w:rsidRPr="000E280D">
        <w:rPr>
          <w:rFonts w:ascii="Book Antiqua" w:hAnsi="Book Antiqua"/>
          <w:sz w:val="24"/>
        </w:rPr>
        <w:t xml:space="preserve">. </w:t>
      </w:r>
      <w:r w:rsidRPr="00D244A8">
        <w:rPr>
          <w:rFonts w:ascii="Book Antiqua" w:hAnsi="Book Antiqua"/>
          <w:sz w:val="24"/>
        </w:rPr>
        <w:t>These studies indicate that abdominal fat is the key factor linking obesity and BE. Apart from the mechanical pressure, visceral fat is metabolically active, and has been clearly associated with serum levels of adipo-cytokines including interleukin 6 and tumor necrosis factor α, which may play a role in GERD and/or consequent carcinogenesis</w:t>
      </w:r>
      <w:r w:rsidR="008B7714" w:rsidRPr="008B7714">
        <w:rPr>
          <w:rFonts w:ascii="Book Antiqua" w:hAnsi="Book Antiqua"/>
          <w:sz w:val="24"/>
          <w:vertAlign w:val="superscript"/>
        </w:rPr>
        <w:t>[</w:t>
      </w:r>
      <w:r w:rsidRPr="00D244A8">
        <w:rPr>
          <w:rFonts w:ascii="Book Antiqua" w:hAnsi="Book Antiqua"/>
          <w:sz w:val="24"/>
          <w:vertAlign w:val="superscript"/>
        </w:rPr>
        <w:t>18]</w:t>
      </w:r>
      <w:r w:rsidRPr="000E280D">
        <w:rPr>
          <w:rFonts w:ascii="Book Antiqua" w:hAnsi="Book Antiqua"/>
          <w:sz w:val="24"/>
        </w:rPr>
        <w:t xml:space="preserve">. </w:t>
      </w:r>
      <w:r w:rsidRPr="00D244A8">
        <w:rPr>
          <w:rFonts w:ascii="Book Antiqua" w:hAnsi="Book Antiqua"/>
          <w:sz w:val="24"/>
        </w:rPr>
        <w:t>In fact, in a very recent study, a large amount of visceral abdominal fat in respect to subcutaneous fat was found to be associated with a significant increase in the risk of BE</w:t>
      </w:r>
      <w:r w:rsidR="008B7714" w:rsidRPr="008B7714">
        <w:rPr>
          <w:rFonts w:ascii="Book Antiqua" w:hAnsi="Book Antiqua"/>
          <w:sz w:val="24"/>
          <w:vertAlign w:val="superscript"/>
        </w:rPr>
        <w:t>[</w:t>
      </w:r>
      <w:r w:rsidRPr="00D244A8">
        <w:rPr>
          <w:rFonts w:ascii="Book Antiqua" w:hAnsi="Book Antiqua"/>
          <w:sz w:val="24"/>
          <w:vertAlign w:val="superscript"/>
        </w:rPr>
        <w:t>19]</w:t>
      </w:r>
      <w:r w:rsidRPr="000E280D">
        <w:rPr>
          <w:rFonts w:ascii="Book Antiqua" w:hAnsi="Book Antiqua"/>
          <w:sz w:val="24"/>
        </w:rPr>
        <w:t>.</w:t>
      </w:r>
    </w:p>
    <w:p w:rsidR="000906C6" w:rsidRPr="00D244A8" w:rsidRDefault="000906C6" w:rsidP="00ED39E4">
      <w:pPr>
        <w:autoSpaceDE w:val="0"/>
        <w:autoSpaceDN w:val="0"/>
        <w:adjustRightInd w:val="0"/>
        <w:spacing w:line="360" w:lineRule="auto"/>
        <w:ind w:left="-180" w:right="-148"/>
        <w:rPr>
          <w:rFonts w:ascii="Book Antiqua" w:hAnsi="Book Antiqua"/>
          <w:sz w:val="24"/>
        </w:rPr>
      </w:pPr>
    </w:p>
    <w:p w:rsidR="000906C6" w:rsidRPr="00DF2EB6" w:rsidRDefault="00DF2EB6" w:rsidP="00ED39E4">
      <w:pPr>
        <w:autoSpaceDE w:val="0"/>
        <w:autoSpaceDN w:val="0"/>
        <w:adjustRightInd w:val="0"/>
        <w:spacing w:line="360" w:lineRule="auto"/>
        <w:ind w:left="-180" w:right="-148"/>
        <w:rPr>
          <w:rFonts w:ascii="Book Antiqua" w:hAnsi="Book Antiqua"/>
          <w:b/>
          <w:sz w:val="24"/>
        </w:rPr>
      </w:pPr>
      <w:r w:rsidRPr="00DF2EB6">
        <w:rPr>
          <w:rFonts w:ascii="Book Antiqua" w:hAnsi="Book Antiqua"/>
          <w:b/>
          <w:sz w:val="24"/>
        </w:rPr>
        <w:t>OUTCOME</w:t>
      </w:r>
    </w:p>
    <w:p w:rsidR="000906C6" w:rsidRPr="00D244A8" w:rsidRDefault="000906C6" w:rsidP="00ED39E4">
      <w:pPr>
        <w:autoSpaceDE w:val="0"/>
        <w:autoSpaceDN w:val="0"/>
        <w:adjustRightInd w:val="0"/>
        <w:spacing w:line="360" w:lineRule="auto"/>
        <w:ind w:left="-180" w:right="-148"/>
        <w:rPr>
          <w:rFonts w:ascii="Book Antiqua" w:hAnsi="Book Antiqua"/>
          <w:sz w:val="24"/>
        </w:rPr>
      </w:pPr>
      <w:r w:rsidRPr="00D244A8">
        <w:rPr>
          <w:rFonts w:ascii="Book Antiqua" w:hAnsi="Book Antiqua"/>
          <w:sz w:val="24"/>
        </w:rPr>
        <w:t xml:space="preserve">Considering the dose-response relationship between obesity and occurrence of GERD and/or the resulting complications, an inverse relationship between weight </w:t>
      </w:r>
      <w:r w:rsidRPr="00D244A8">
        <w:rPr>
          <w:rFonts w:ascii="Book Antiqua" w:hAnsi="Book Antiqua"/>
          <w:sz w:val="24"/>
        </w:rPr>
        <w:lastRenderedPageBreak/>
        <w:t>loss and GERD symptoms would be expected. The prevalence of GERD symptoms in overweight and obese subjects as well as impact of weight loss on GERD symptoms has been assessed in a recent prospective study</w:t>
      </w:r>
      <w:r w:rsidR="008B7714" w:rsidRPr="008B7714">
        <w:rPr>
          <w:rFonts w:ascii="Book Antiqua" w:hAnsi="Book Antiqua"/>
          <w:sz w:val="24"/>
          <w:vertAlign w:val="superscript"/>
        </w:rPr>
        <w:t>[</w:t>
      </w:r>
      <w:r w:rsidRPr="00D244A8">
        <w:rPr>
          <w:rFonts w:ascii="Book Antiqua" w:hAnsi="Book Antiqua"/>
          <w:sz w:val="24"/>
          <w:vertAlign w:val="superscript"/>
        </w:rPr>
        <w:t>20]</w:t>
      </w:r>
      <w:r w:rsidRPr="000E280D">
        <w:rPr>
          <w:rFonts w:ascii="Book Antiqua" w:hAnsi="Book Antiqua"/>
          <w:sz w:val="24"/>
        </w:rPr>
        <w:t xml:space="preserve">. </w:t>
      </w:r>
      <w:r w:rsidRPr="00D244A8">
        <w:rPr>
          <w:rFonts w:ascii="Book Antiqua" w:hAnsi="Book Antiqua"/>
          <w:sz w:val="24"/>
        </w:rPr>
        <w:t>Weight loss strategies included dietary modifications, increased physical activity as well as behavioral changes. The results coming from the study showed that weight loss led to a significant improvement in GERD symptoms, thus establishing weight loss as an important modification of life style in the treatment of GERD. Moreover, weight loss over a 6-month period, was associated with a reduction in GERD symptoms in 81% of the patients and with complete resolution in 65% of the patients. This finding provides support for recommending weight-loss in the primary treatment of overweight reflux patients, however this clinically important finding has unfortunately not been described so far. Further investigations on the long-term effect of weight loss on reflux occurrence and on the reduction in reflux symptoms are needed before any definitive conclusions can be drawn regarding eventual beneficial effects of weight loss.</w:t>
      </w:r>
    </w:p>
    <w:p w:rsidR="000906C6" w:rsidRPr="00D244A8" w:rsidRDefault="000906C6" w:rsidP="00ED39E4">
      <w:pPr>
        <w:autoSpaceDE w:val="0"/>
        <w:autoSpaceDN w:val="0"/>
        <w:adjustRightInd w:val="0"/>
        <w:spacing w:line="360" w:lineRule="auto"/>
        <w:ind w:left="-180" w:right="-148"/>
        <w:rPr>
          <w:rFonts w:ascii="Book Antiqua" w:hAnsi="Book Antiqua"/>
          <w:sz w:val="24"/>
        </w:rPr>
      </w:pPr>
    </w:p>
    <w:p w:rsidR="000906C6" w:rsidRPr="00D244A8" w:rsidRDefault="00DF2EB6" w:rsidP="00ED39E4">
      <w:pPr>
        <w:autoSpaceDE w:val="0"/>
        <w:autoSpaceDN w:val="0"/>
        <w:adjustRightInd w:val="0"/>
        <w:spacing w:line="360" w:lineRule="auto"/>
        <w:ind w:left="-180" w:right="-148"/>
        <w:rPr>
          <w:rFonts w:ascii="Book Antiqua" w:hAnsi="Book Antiqua"/>
          <w:sz w:val="24"/>
        </w:rPr>
      </w:pPr>
      <w:r w:rsidRPr="00D244A8">
        <w:rPr>
          <w:rFonts w:ascii="Book Antiqua" w:hAnsi="Book Antiqua"/>
          <w:b/>
          <w:sz w:val="24"/>
        </w:rPr>
        <w:t>CONCLUSION</w:t>
      </w:r>
    </w:p>
    <w:p w:rsidR="000906C6" w:rsidRPr="00D244A8" w:rsidRDefault="000906C6" w:rsidP="00ED39E4">
      <w:pPr>
        <w:autoSpaceDE w:val="0"/>
        <w:autoSpaceDN w:val="0"/>
        <w:adjustRightInd w:val="0"/>
        <w:spacing w:line="360" w:lineRule="auto"/>
        <w:ind w:left="-180" w:right="-148"/>
        <w:rPr>
          <w:rFonts w:ascii="Book Antiqua" w:hAnsi="Book Antiqua"/>
          <w:sz w:val="24"/>
        </w:rPr>
      </w:pPr>
      <w:r w:rsidRPr="00D244A8">
        <w:rPr>
          <w:rFonts w:ascii="Book Antiqua" w:hAnsi="Book Antiqua"/>
          <w:sz w:val="24"/>
        </w:rPr>
        <w:t xml:space="preserve">Obesity appears to be involved not only in the development of GERD symptoms but, also in the occurrence of GERD complication such as erosive esophagitis, Barrett’s esophagus and esophageal adenocarcinoma. </w:t>
      </w:r>
    </w:p>
    <w:p w:rsidR="00AD5DB9" w:rsidRDefault="000906C6" w:rsidP="00AD5DB9">
      <w:pPr>
        <w:autoSpaceDE w:val="0"/>
        <w:autoSpaceDN w:val="0"/>
        <w:adjustRightInd w:val="0"/>
        <w:spacing w:line="360" w:lineRule="auto"/>
        <w:ind w:left="-180" w:right="-148" w:firstLineChars="250" w:firstLine="600"/>
        <w:rPr>
          <w:rFonts w:ascii="Book Antiqua" w:hAnsi="Book Antiqua"/>
          <w:sz w:val="24"/>
        </w:rPr>
      </w:pPr>
      <w:r w:rsidRPr="00D244A8">
        <w:rPr>
          <w:rFonts w:ascii="Book Antiqua" w:hAnsi="Book Antiqua"/>
          <w:sz w:val="24"/>
        </w:rPr>
        <w:t>Despite considerable evidence confirming the important role of increased esophago-gastric pressure gradient, and of production of inflammatory mediators by abdominal adipose tissue in the pathogenesis of GERD, the interplay between obesity and GERD is still not clear. Moreover, weight loss seems to reduce GERD symptoms but further studies are warranted to better understand the exact mechanism by which obesity causes reflux disease in order to identify and establish new therapeutic approaches.</w:t>
      </w:r>
    </w:p>
    <w:p w:rsidR="00AD5DB9" w:rsidRDefault="00AD5DB9" w:rsidP="00AD5DB9">
      <w:pPr>
        <w:autoSpaceDE w:val="0"/>
        <w:autoSpaceDN w:val="0"/>
        <w:adjustRightInd w:val="0"/>
        <w:spacing w:line="360" w:lineRule="auto"/>
        <w:rPr>
          <w:rFonts w:ascii="Book Antiqua" w:hAnsi="Book Antiqua"/>
          <w:b/>
          <w:sz w:val="24"/>
          <w:lang w:val="en-GB"/>
        </w:rPr>
      </w:pPr>
    </w:p>
    <w:p w:rsidR="000E280D" w:rsidRPr="00AD5DB9" w:rsidRDefault="000E280D" w:rsidP="00AD5DB9">
      <w:pPr>
        <w:autoSpaceDE w:val="0"/>
        <w:autoSpaceDN w:val="0"/>
        <w:adjustRightInd w:val="0"/>
        <w:spacing w:line="360" w:lineRule="auto"/>
        <w:rPr>
          <w:rFonts w:ascii="Book Antiqua" w:hAnsi="Book Antiqua"/>
          <w:sz w:val="24"/>
        </w:rPr>
      </w:pPr>
      <w:r w:rsidRPr="00D244A8">
        <w:rPr>
          <w:rFonts w:ascii="Book Antiqua" w:hAnsi="Book Antiqua"/>
          <w:b/>
          <w:sz w:val="24"/>
          <w:lang w:val="en-GB"/>
        </w:rPr>
        <w:t>ACKNOWLEDGMENTS</w:t>
      </w:r>
    </w:p>
    <w:p w:rsidR="000906C6" w:rsidRPr="00D244A8" w:rsidRDefault="000E280D" w:rsidP="00AD5DB9">
      <w:pPr>
        <w:spacing w:line="360" w:lineRule="auto"/>
        <w:rPr>
          <w:rFonts w:ascii="Book Antiqua" w:hAnsi="Book Antiqua"/>
          <w:b/>
          <w:sz w:val="24"/>
        </w:rPr>
      </w:pPr>
      <w:r w:rsidRPr="00D244A8">
        <w:rPr>
          <w:rFonts w:ascii="Book Antiqua" w:hAnsi="Book Antiqua"/>
          <w:sz w:val="24"/>
          <w:lang w:val="en-GB"/>
        </w:rPr>
        <w:t>Authors are grateful to Mrs. Marian Shields for help with the English style.</w:t>
      </w:r>
      <w:r w:rsidR="000906C6" w:rsidRPr="00D244A8">
        <w:rPr>
          <w:rFonts w:ascii="Book Antiqua" w:hAnsi="Book Antiqua"/>
          <w:sz w:val="24"/>
        </w:rPr>
        <w:br w:type="page"/>
      </w:r>
      <w:r w:rsidR="000906C6" w:rsidRPr="00D244A8">
        <w:rPr>
          <w:rFonts w:ascii="Book Antiqua" w:hAnsi="Book Antiqua"/>
          <w:b/>
          <w:sz w:val="24"/>
        </w:rPr>
        <w:lastRenderedPageBreak/>
        <w:t>REFERENCES</w:t>
      </w:r>
      <w:r w:rsidR="007D6736">
        <w:rPr>
          <w:rFonts w:ascii="Book Antiqua" w:hAnsi="Book Antiqua"/>
          <w:b/>
          <w:sz w:val="24"/>
        </w:rPr>
        <w:t xml:space="preserve">  </w:t>
      </w:r>
      <w:r w:rsidR="000906C6" w:rsidRPr="00D244A8">
        <w:rPr>
          <w:rFonts w:ascii="Book Antiqua" w:hAnsi="Book Antiqua"/>
          <w:b/>
          <w:sz w:val="24"/>
        </w:rPr>
        <w:t xml:space="preserve"> </w:t>
      </w:r>
    </w:p>
    <w:p w:rsidR="003D651B" w:rsidRPr="00FD4F96" w:rsidRDefault="003D651B" w:rsidP="003D651B">
      <w:pPr>
        <w:widowControl/>
        <w:spacing w:line="360" w:lineRule="auto"/>
        <w:rPr>
          <w:rFonts w:ascii="Book Antiqua" w:hAnsi="Book Antiqua" w:cs="宋体"/>
          <w:kern w:val="0"/>
          <w:sz w:val="24"/>
        </w:rPr>
      </w:pPr>
      <w:r w:rsidRPr="00FD4F96">
        <w:rPr>
          <w:rFonts w:ascii="Book Antiqua" w:hAnsi="Book Antiqua" w:cs="宋体"/>
          <w:kern w:val="0"/>
          <w:sz w:val="24"/>
        </w:rPr>
        <w:t>1 </w:t>
      </w:r>
      <w:r w:rsidRPr="00FD4F96">
        <w:rPr>
          <w:rFonts w:ascii="Book Antiqua" w:hAnsi="Book Antiqua" w:cs="宋体"/>
          <w:b/>
          <w:bCs/>
          <w:kern w:val="0"/>
          <w:sz w:val="24"/>
        </w:rPr>
        <w:t>Dent J</w:t>
      </w:r>
      <w:r w:rsidRPr="00FD4F96">
        <w:rPr>
          <w:rFonts w:ascii="Book Antiqua" w:hAnsi="Book Antiqua" w:cs="宋体"/>
          <w:kern w:val="0"/>
          <w:sz w:val="24"/>
        </w:rPr>
        <w:t>, El-Serag HB, Wallander MA, Johansson S. Epidemiology of gastro-oesophageal reflux disease: a systematic review. </w:t>
      </w:r>
      <w:r w:rsidRPr="00FD4F96">
        <w:rPr>
          <w:rFonts w:ascii="Book Antiqua" w:hAnsi="Book Antiqua" w:cs="宋体"/>
          <w:i/>
          <w:iCs/>
          <w:kern w:val="0"/>
          <w:sz w:val="24"/>
        </w:rPr>
        <w:t>Gut</w:t>
      </w:r>
      <w:r w:rsidRPr="00FD4F96">
        <w:rPr>
          <w:rFonts w:ascii="Book Antiqua" w:hAnsi="Book Antiqua" w:cs="宋体"/>
          <w:kern w:val="0"/>
          <w:sz w:val="24"/>
        </w:rPr>
        <w:t> 2005; </w:t>
      </w:r>
      <w:r w:rsidRPr="00FD4F96">
        <w:rPr>
          <w:rFonts w:ascii="Book Antiqua" w:hAnsi="Book Antiqua" w:cs="宋体"/>
          <w:b/>
          <w:bCs/>
          <w:kern w:val="0"/>
          <w:sz w:val="24"/>
        </w:rPr>
        <w:t>54</w:t>
      </w:r>
      <w:r w:rsidRPr="00FD4F96">
        <w:rPr>
          <w:rFonts w:ascii="Book Antiqua" w:hAnsi="Book Antiqua" w:cs="宋体"/>
          <w:kern w:val="0"/>
          <w:sz w:val="24"/>
        </w:rPr>
        <w:t>: 710-717 [PMID: 15831922 DOI: 10.1136/gut.2004.051821]</w:t>
      </w:r>
    </w:p>
    <w:p w:rsidR="003D651B" w:rsidRPr="00FD4F96" w:rsidRDefault="003D651B" w:rsidP="003D651B">
      <w:pPr>
        <w:widowControl/>
        <w:spacing w:line="360" w:lineRule="auto"/>
        <w:rPr>
          <w:rFonts w:ascii="Book Antiqua" w:hAnsi="Book Antiqua" w:cs="宋体"/>
          <w:kern w:val="0"/>
          <w:sz w:val="24"/>
        </w:rPr>
      </w:pPr>
      <w:r w:rsidRPr="00FD4F96">
        <w:rPr>
          <w:rFonts w:ascii="Book Antiqua" w:hAnsi="Book Antiqua" w:cs="宋体"/>
          <w:kern w:val="0"/>
          <w:sz w:val="24"/>
        </w:rPr>
        <w:t>2 </w:t>
      </w:r>
      <w:r w:rsidRPr="00FD4F96">
        <w:rPr>
          <w:rFonts w:ascii="Book Antiqua" w:hAnsi="Book Antiqua" w:cs="宋体"/>
          <w:b/>
          <w:bCs/>
          <w:kern w:val="0"/>
          <w:sz w:val="24"/>
        </w:rPr>
        <w:t>Corley DA</w:t>
      </w:r>
      <w:r w:rsidRPr="00FD4F96">
        <w:rPr>
          <w:rFonts w:ascii="Book Antiqua" w:hAnsi="Book Antiqua" w:cs="宋体"/>
          <w:kern w:val="0"/>
          <w:sz w:val="24"/>
        </w:rPr>
        <w:t>, Kubo A. Body mass index and gastroesophageal reflux disease: a systematic review and meta-analysis. </w:t>
      </w:r>
      <w:r w:rsidRPr="00FD4F96">
        <w:rPr>
          <w:rFonts w:ascii="Book Antiqua" w:hAnsi="Book Antiqua" w:cs="宋体"/>
          <w:i/>
          <w:iCs/>
          <w:kern w:val="0"/>
          <w:sz w:val="24"/>
        </w:rPr>
        <w:t>Am J Gastroenterol</w:t>
      </w:r>
      <w:r w:rsidRPr="00FD4F96">
        <w:rPr>
          <w:rFonts w:ascii="Book Antiqua" w:hAnsi="Book Antiqua" w:cs="宋体"/>
          <w:kern w:val="0"/>
          <w:sz w:val="24"/>
        </w:rPr>
        <w:t> 2006; </w:t>
      </w:r>
      <w:r w:rsidRPr="00FD4F96">
        <w:rPr>
          <w:rFonts w:ascii="Book Antiqua" w:hAnsi="Book Antiqua" w:cs="宋体"/>
          <w:b/>
          <w:bCs/>
          <w:kern w:val="0"/>
          <w:sz w:val="24"/>
        </w:rPr>
        <w:t>101</w:t>
      </w:r>
      <w:r w:rsidRPr="00FD4F96">
        <w:rPr>
          <w:rFonts w:ascii="Book Antiqua" w:hAnsi="Book Antiqua" w:cs="宋体"/>
          <w:kern w:val="0"/>
          <w:sz w:val="24"/>
        </w:rPr>
        <w:t>: 2619-2628 [PMID: 16952280 DOI: 10.1111/j.1572-0241.2006.00849]</w:t>
      </w:r>
    </w:p>
    <w:p w:rsidR="003D651B" w:rsidRPr="00FD4F96" w:rsidRDefault="003D651B" w:rsidP="003D651B">
      <w:pPr>
        <w:widowControl/>
        <w:spacing w:line="360" w:lineRule="auto"/>
        <w:rPr>
          <w:rFonts w:ascii="Book Antiqua" w:hAnsi="Book Antiqua" w:cs="宋体"/>
          <w:kern w:val="0"/>
          <w:sz w:val="24"/>
        </w:rPr>
      </w:pPr>
      <w:r w:rsidRPr="00FD4F96">
        <w:rPr>
          <w:rFonts w:ascii="Book Antiqua" w:hAnsi="Book Antiqua" w:cs="宋体"/>
          <w:kern w:val="0"/>
          <w:sz w:val="24"/>
        </w:rPr>
        <w:t>3 </w:t>
      </w:r>
      <w:r w:rsidRPr="00FD4F96">
        <w:rPr>
          <w:rFonts w:ascii="Book Antiqua" w:hAnsi="Book Antiqua" w:cs="宋体"/>
          <w:b/>
          <w:bCs/>
          <w:kern w:val="0"/>
          <w:sz w:val="24"/>
        </w:rPr>
        <w:t>Ogden CL</w:t>
      </w:r>
      <w:r w:rsidRPr="00FD4F96">
        <w:rPr>
          <w:rFonts w:ascii="Book Antiqua" w:hAnsi="Book Antiqua" w:cs="宋体"/>
          <w:kern w:val="0"/>
          <w:sz w:val="24"/>
        </w:rPr>
        <w:t>, Carroll MD, Curtin LR, McDowell MA, Tabak CJ, Flegal KM. Prevalence of overweight and obesity in the United States, 1999-2004. </w:t>
      </w:r>
      <w:r w:rsidRPr="00FD4F96">
        <w:rPr>
          <w:rFonts w:ascii="Book Antiqua" w:hAnsi="Book Antiqua" w:cs="宋体"/>
          <w:i/>
          <w:iCs/>
          <w:kern w:val="0"/>
          <w:sz w:val="24"/>
        </w:rPr>
        <w:t>JAMA</w:t>
      </w:r>
      <w:r w:rsidRPr="00FD4F96">
        <w:rPr>
          <w:rFonts w:ascii="Book Antiqua" w:hAnsi="Book Antiqua" w:cs="宋体"/>
          <w:kern w:val="0"/>
          <w:sz w:val="24"/>
        </w:rPr>
        <w:t> 2006; </w:t>
      </w:r>
      <w:r w:rsidRPr="00FD4F96">
        <w:rPr>
          <w:rFonts w:ascii="Book Antiqua" w:hAnsi="Book Antiqua" w:cs="宋体"/>
          <w:b/>
          <w:bCs/>
          <w:kern w:val="0"/>
          <w:sz w:val="24"/>
        </w:rPr>
        <w:t>295</w:t>
      </w:r>
      <w:r w:rsidRPr="00FD4F96">
        <w:rPr>
          <w:rFonts w:ascii="Book Antiqua" w:hAnsi="Book Antiqua" w:cs="宋体"/>
          <w:kern w:val="0"/>
          <w:sz w:val="24"/>
        </w:rPr>
        <w:t>: 1549-1555 [PMID: 16595758 DOI: 10.1001/jama.295.13.1549]</w:t>
      </w:r>
    </w:p>
    <w:p w:rsidR="003D651B" w:rsidRPr="00FD4F96" w:rsidRDefault="003D651B" w:rsidP="003D651B">
      <w:pPr>
        <w:widowControl/>
        <w:spacing w:line="360" w:lineRule="auto"/>
        <w:rPr>
          <w:rFonts w:ascii="Book Antiqua" w:hAnsi="Book Antiqua" w:cs="宋体"/>
          <w:kern w:val="0"/>
          <w:sz w:val="24"/>
        </w:rPr>
      </w:pPr>
      <w:r w:rsidRPr="00FD4F96">
        <w:rPr>
          <w:rFonts w:ascii="Book Antiqua" w:hAnsi="Book Antiqua" w:cs="宋体"/>
          <w:kern w:val="0"/>
          <w:sz w:val="24"/>
        </w:rPr>
        <w:t>4 </w:t>
      </w:r>
      <w:r w:rsidRPr="00FD4F96">
        <w:rPr>
          <w:rFonts w:ascii="Book Antiqua" w:hAnsi="Book Antiqua" w:cs="宋体"/>
          <w:b/>
          <w:bCs/>
          <w:kern w:val="0"/>
          <w:sz w:val="24"/>
        </w:rPr>
        <w:t>Hampel H</w:t>
      </w:r>
      <w:r w:rsidRPr="00FD4F96">
        <w:rPr>
          <w:rFonts w:ascii="Book Antiqua" w:hAnsi="Book Antiqua" w:cs="宋体"/>
          <w:kern w:val="0"/>
          <w:sz w:val="24"/>
        </w:rPr>
        <w:t>, Abraham NS, El-Serag HB. Meta-analysis: obesity and the risk for gastroesophageal reflux disease and its complications. </w:t>
      </w:r>
      <w:r w:rsidRPr="00FD4F96">
        <w:rPr>
          <w:rFonts w:ascii="Book Antiqua" w:hAnsi="Book Antiqua" w:cs="宋体"/>
          <w:i/>
          <w:iCs/>
          <w:kern w:val="0"/>
          <w:sz w:val="24"/>
        </w:rPr>
        <w:t>Ann Intern Med</w:t>
      </w:r>
      <w:r w:rsidRPr="00FD4F96">
        <w:rPr>
          <w:rFonts w:ascii="Book Antiqua" w:hAnsi="Book Antiqua" w:cs="宋体"/>
          <w:kern w:val="0"/>
          <w:sz w:val="24"/>
        </w:rPr>
        <w:t> 2005; </w:t>
      </w:r>
      <w:r w:rsidRPr="00FD4F96">
        <w:rPr>
          <w:rFonts w:ascii="Book Antiqua" w:hAnsi="Book Antiqua" w:cs="宋体"/>
          <w:b/>
          <w:bCs/>
          <w:kern w:val="0"/>
          <w:sz w:val="24"/>
        </w:rPr>
        <w:t>143</w:t>
      </w:r>
      <w:r w:rsidRPr="00FD4F96">
        <w:rPr>
          <w:rFonts w:ascii="Book Antiqua" w:hAnsi="Book Antiqua" w:cs="宋体"/>
          <w:kern w:val="0"/>
          <w:sz w:val="24"/>
        </w:rPr>
        <w:t>: 199-211 [PMID: 16061918 DOI: 10.7326/0003-4819-143-3-200508020-00006]</w:t>
      </w:r>
    </w:p>
    <w:p w:rsidR="003D651B" w:rsidRPr="00FD4F96" w:rsidRDefault="003D651B" w:rsidP="003D651B">
      <w:pPr>
        <w:widowControl/>
        <w:spacing w:line="360" w:lineRule="auto"/>
        <w:rPr>
          <w:rFonts w:ascii="Book Antiqua" w:hAnsi="Book Antiqua" w:cs="宋体"/>
          <w:kern w:val="0"/>
          <w:sz w:val="24"/>
        </w:rPr>
      </w:pPr>
      <w:r w:rsidRPr="00FD4F96">
        <w:rPr>
          <w:rFonts w:ascii="Book Antiqua" w:hAnsi="Book Antiqua" w:cs="宋体"/>
          <w:kern w:val="0"/>
          <w:sz w:val="24"/>
        </w:rPr>
        <w:t>5 </w:t>
      </w:r>
      <w:r w:rsidRPr="00FD4F96">
        <w:rPr>
          <w:rFonts w:ascii="Book Antiqua" w:hAnsi="Book Antiqua" w:cs="宋体"/>
          <w:b/>
          <w:bCs/>
          <w:kern w:val="0"/>
          <w:sz w:val="24"/>
        </w:rPr>
        <w:t>Jacobson BC</w:t>
      </w:r>
      <w:r w:rsidRPr="00FD4F96">
        <w:rPr>
          <w:rFonts w:ascii="Book Antiqua" w:hAnsi="Book Antiqua" w:cs="宋体"/>
          <w:kern w:val="0"/>
          <w:sz w:val="24"/>
        </w:rPr>
        <w:t>, Somers SC, Fuchs CS, Kelly CP, Camargo CA. Body-mass index and symptoms of gastroesophageal reflux in women. </w:t>
      </w:r>
      <w:r w:rsidRPr="00FD4F96">
        <w:rPr>
          <w:rFonts w:ascii="Book Antiqua" w:hAnsi="Book Antiqua" w:cs="宋体"/>
          <w:i/>
          <w:iCs/>
          <w:kern w:val="0"/>
          <w:sz w:val="24"/>
        </w:rPr>
        <w:t>N Engl J Med</w:t>
      </w:r>
      <w:r w:rsidRPr="00FD4F96">
        <w:rPr>
          <w:rFonts w:ascii="Book Antiqua" w:hAnsi="Book Antiqua" w:cs="宋体"/>
          <w:kern w:val="0"/>
          <w:sz w:val="24"/>
        </w:rPr>
        <w:t> 2006; </w:t>
      </w:r>
      <w:r w:rsidRPr="00FD4F96">
        <w:rPr>
          <w:rFonts w:ascii="Book Antiqua" w:hAnsi="Book Antiqua" w:cs="宋体"/>
          <w:b/>
          <w:bCs/>
          <w:kern w:val="0"/>
          <w:sz w:val="24"/>
        </w:rPr>
        <w:t>354</w:t>
      </w:r>
      <w:r w:rsidRPr="00FD4F96">
        <w:rPr>
          <w:rFonts w:ascii="Book Antiqua" w:hAnsi="Book Antiqua" w:cs="宋体"/>
          <w:kern w:val="0"/>
          <w:sz w:val="24"/>
        </w:rPr>
        <w:t>: 2340-2348 [PMID: 16738270 DOI: 10.1056/NEJMoa054391]</w:t>
      </w:r>
    </w:p>
    <w:p w:rsidR="003D651B" w:rsidRPr="00FD4F96" w:rsidRDefault="003D651B" w:rsidP="003D651B">
      <w:pPr>
        <w:widowControl/>
        <w:spacing w:line="360" w:lineRule="auto"/>
        <w:rPr>
          <w:rFonts w:ascii="Book Antiqua" w:hAnsi="Book Antiqua" w:cs="宋体"/>
          <w:kern w:val="0"/>
          <w:sz w:val="24"/>
        </w:rPr>
      </w:pPr>
      <w:r w:rsidRPr="00FD4F96">
        <w:rPr>
          <w:rFonts w:ascii="Book Antiqua" w:hAnsi="Book Antiqua" w:cs="宋体"/>
          <w:kern w:val="0"/>
          <w:sz w:val="24"/>
        </w:rPr>
        <w:t>6 </w:t>
      </w:r>
      <w:r w:rsidRPr="00FD4F96">
        <w:rPr>
          <w:rFonts w:ascii="Book Antiqua" w:hAnsi="Book Antiqua" w:cs="宋体"/>
          <w:b/>
          <w:bCs/>
          <w:kern w:val="0"/>
          <w:sz w:val="24"/>
        </w:rPr>
        <w:t>El-Serag HB</w:t>
      </w:r>
      <w:r w:rsidRPr="00FD4F96">
        <w:rPr>
          <w:rFonts w:ascii="Book Antiqua" w:hAnsi="Book Antiqua" w:cs="宋体"/>
          <w:kern w:val="0"/>
          <w:sz w:val="24"/>
        </w:rPr>
        <w:t>, Tran T, Richardson P, Ergun G. Anthropometric correlates of intragastric pressure. </w:t>
      </w:r>
      <w:r w:rsidRPr="00FD4F96">
        <w:rPr>
          <w:rFonts w:ascii="Book Antiqua" w:hAnsi="Book Antiqua" w:cs="宋体"/>
          <w:i/>
          <w:iCs/>
          <w:kern w:val="0"/>
          <w:sz w:val="24"/>
        </w:rPr>
        <w:t>Scand J Gastroenterol</w:t>
      </w:r>
      <w:r w:rsidRPr="00FD4F96">
        <w:rPr>
          <w:rFonts w:ascii="Book Antiqua" w:hAnsi="Book Antiqua" w:cs="宋体"/>
          <w:kern w:val="0"/>
          <w:sz w:val="24"/>
        </w:rPr>
        <w:t> 2006; </w:t>
      </w:r>
      <w:r w:rsidRPr="00FD4F96">
        <w:rPr>
          <w:rFonts w:ascii="Book Antiqua" w:hAnsi="Book Antiqua" w:cs="宋体"/>
          <w:b/>
          <w:bCs/>
          <w:kern w:val="0"/>
          <w:sz w:val="24"/>
        </w:rPr>
        <w:t>41</w:t>
      </w:r>
      <w:r w:rsidRPr="00FD4F96">
        <w:rPr>
          <w:rFonts w:ascii="Book Antiqua" w:hAnsi="Book Antiqua" w:cs="宋体"/>
          <w:kern w:val="0"/>
          <w:sz w:val="24"/>
        </w:rPr>
        <w:t>: 887-891 [PMID: 16803686 DOI: 10.1080/00365520500535402]</w:t>
      </w:r>
    </w:p>
    <w:p w:rsidR="003D651B" w:rsidRPr="00FD4F96" w:rsidRDefault="003D651B" w:rsidP="003D651B">
      <w:pPr>
        <w:widowControl/>
        <w:spacing w:line="360" w:lineRule="auto"/>
        <w:rPr>
          <w:rFonts w:ascii="Book Antiqua" w:hAnsi="Book Antiqua" w:cs="宋体"/>
          <w:kern w:val="0"/>
          <w:sz w:val="24"/>
        </w:rPr>
      </w:pPr>
      <w:r w:rsidRPr="00FD4F96">
        <w:rPr>
          <w:rFonts w:ascii="Book Antiqua" w:hAnsi="Book Antiqua" w:cs="宋体"/>
          <w:kern w:val="0"/>
          <w:sz w:val="24"/>
        </w:rPr>
        <w:t>7 </w:t>
      </w:r>
      <w:r w:rsidRPr="00FD4F96">
        <w:rPr>
          <w:rFonts w:ascii="Book Antiqua" w:hAnsi="Book Antiqua" w:cs="宋体"/>
          <w:b/>
          <w:bCs/>
          <w:kern w:val="0"/>
          <w:sz w:val="24"/>
        </w:rPr>
        <w:t>Pandolfino JE</w:t>
      </w:r>
      <w:r w:rsidRPr="00FD4F96">
        <w:rPr>
          <w:rFonts w:ascii="Book Antiqua" w:hAnsi="Book Antiqua" w:cs="宋体"/>
          <w:kern w:val="0"/>
          <w:sz w:val="24"/>
        </w:rPr>
        <w:t>, El-Serag HB, Zhang Q, Shah N, Ghosh SK, Kahrilas PJ. Obesity: a challenge to esophagogastric junction integrity. </w:t>
      </w:r>
      <w:r w:rsidRPr="00FD4F96">
        <w:rPr>
          <w:rFonts w:ascii="Book Antiqua" w:hAnsi="Book Antiqua" w:cs="宋体"/>
          <w:i/>
          <w:iCs/>
          <w:kern w:val="0"/>
          <w:sz w:val="24"/>
        </w:rPr>
        <w:t>Gastroenterology</w:t>
      </w:r>
      <w:r w:rsidRPr="00FD4F96">
        <w:rPr>
          <w:rFonts w:ascii="Book Antiqua" w:hAnsi="Book Antiqua" w:cs="宋体"/>
          <w:kern w:val="0"/>
          <w:sz w:val="24"/>
        </w:rPr>
        <w:t> 2006; </w:t>
      </w:r>
      <w:r w:rsidRPr="00FD4F96">
        <w:rPr>
          <w:rFonts w:ascii="Book Antiqua" w:hAnsi="Book Antiqua" w:cs="宋体"/>
          <w:b/>
          <w:bCs/>
          <w:kern w:val="0"/>
          <w:sz w:val="24"/>
        </w:rPr>
        <w:t>130</w:t>
      </w:r>
      <w:r w:rsidRPr="00FD4F96">
        <w:rPr>
          <w:rFonts w:ascii="Book Antiqua" w:hAnsi="Book Antiqua" w:cs="宋体"/>
          <w:kern w:val="0"/>
          <w:sz w:val="24"/>
        </w:rPr>
        <w:t>: 639-649 [PMID: 16530504 DOI: 10.1053/j.gastro.2005.12.016]</w:t>
      </w:r>
    </w:p>
    <w:p w:rsidR="003D651B" w:rsidRPr="00FD4F96" w:rsidRDefault="003D651B" w:rsidP="003D651B">
      <w:pPr>
        <w:widowControl/>
        <w:spacing w:line="360" w:lineRule="auto"/>
        <w:rPr>
          <w:rFonts w:ascii="Book Antiqua" w:hAnsi="Book Antiqua" w:cs="宋体"/>
          <w:kern w:val="0"/>
          <w:sz w:val="24"/>
        </w:rPr>
      </w:pPr>
      <w:r w:rsidRPr="00FD4F96">
        <w:rPr>
          <w:rFonts w:ascii="Book Antiqua" w:hAnsi="Book Antiqua" w:cs="宋体"/>
          <w:kern w:val="0"/>
          <w:sz w:val="24"/>
        </w:rPr>
        <w:t>8 </w:t>
      </w:r>
      <w:r w:rsidRPr="00FD4F96">
        <w:rPr>
          <w:rFonts w:ascii="Book Antiqua" w:hAnsi="Book Antiqua" w:cs="宋体"/>
          <w:b/>
          <w:bCs/>
          <w:kern w:val="0"/>
          <w:sz w:val="24"/>
        </w:rPr>
        <w:t>El-Serag HB</w:t>
      </w:r>
      <w:r w:rsidRPr="00FD4F96">
        <w:rPr>
          <w:rFonts w:ascii="Book Antiqua" w:hAnsi="Book Antiqua" w:cs="宋体"/>
          <w:kern w:val="0"/>
          <w:sz w:val="24"/>
        </w:rPr>
        <w:t>, Ergun GA, Pandolfino J, Fitzgerald S, Tran T, Kramer JR. Obesity increases oesophageal acid exposure. </w:t>
      </w:r>
      <w:r w:rsidRPr="00FD4F96">
        <w:rPr>
          <w:rFonts w:ascii="Book Antiqua" w:hAnsi="Book Antiqua" w:cs="宋体"/>
          <w:i/>
          <w:iCs/>
          <w:kern w:val="0"/>
          <w:sz w:val="24"/>
        </w:rPr>
        <w:t>Gut</w:t>
      </w:r>
      <w:r w:rsidRPr="00FD4F96">
        <w:rPr>
          <w:rFonts w:ascii="Book Antiqua" w:hAnsi="Book Antiqua" w:cs="宋体"/>
          <w:kern w:val="0"/>
          <w:sz w:val="24"/>
        </w:rPr>
        <w:t> 2007; </w:t>
      </w:r>
      <w:r w:rsidRPr="00FD4F96">
        <w:rPr>
          <w:rFonts w:ascii="Book Antiqua" w:hAnsi="Book Antiqua" w:cs="宋体"/>
          <w:b/>
          <w:bCs/>
          <w:kern w:val="0"/>
          <w:sz w:val="24"/>
        </w:rPr>
        <w:t>56</w:t>
      </w:r>
      <w:r w:rsidRPr="00FD4F96">
        <w:rPr>
          <w:rFonts w:ascii="Book Antiqua" w:hAnsi="Book Antiqua" w:cs="宋体"/>
          <w:kern w:val="0"/>
          <w:sz w:val="24"/>
        </w:rPr>
        <w:t>: 749-755 [PMID: 17127706 DOI: 10.1136/gut.2006.100263]</w:t>
      </w:r>
    </w:p>
    <w:p w:rsidR="003D651B" w:rsidRPr="00FD4F96" w:rsidRDefault="003D651B" w:rsidP="003D651B">
      <w:pPr>
        <w:widowControl/>
        <w:spacing w:line="360" w:lineRule="auto"/>
        <w:rPr>
          <w:rFonts w:ascii="Book Antiqua" w:hAnsi="Book Antiqua" w:cs="宋体"/>
          <w:kern w:val="0"/>
          <w:sz w:val="24"/>
        </w:rPr>
      </w:pPr>
      <w:r w:rsidRPr="00FD4F96">
        <w:rPr>
          <w:rFonts w:ascii="Book Antiqua" w:hAnsi="Book Antiqua" w:cs="宋体"/>
          <w:kern w:val="0"/>
          <w:sz w:val="24"/>
        </w:rPr>
        <w:t>9 </w:t>
      </w:r>
      <w:r w:rsidRPr="00FD4F96">
        <w:rPr>
          <w:rFonts w:ascii="Book Antiqua" w:hAnsi="Book Antiqua" w:cs="宋体"/>
          <w:b/>
          <w:bCs/>
          <w:kern w:val="0"/>
          <w:sz w:val="24"/>
        </w:rPr>
        <w:t>Hajar N</w:t>
      </w:r>
      <w:r w:rsidRPr="00FD4F96">
        <w:rPr>
          <w:rFonts w:ascii="Book Antiqua" w:hAnsi="Book Antiqua" w:cs="宋体"/>
          <w:kern w:val="0"/>
          <w:sz w:val="24"/>
        </w:rPr>
        <w:t>, Castell DO, Ghomrawi H, Rackett R, Hila A. Impedance pH confirms the relationship between GERD and BMI. </w:t>
      </w:r>
      <w:r w:rsidRPr="00FD4F96">
        <w:rPr>
          <w:rFonts w:ascii="Book Antiqua" w:hAnsi="Book Antiqua" w:cs="宋体"/>
          <w:i/>
          <w:iCs/>
          <w:kern w:val="0"/>
          <w:sz w:val="24"/>
        </w:rPr>
        <w:t>Dig Dis Sci</w:t>
      </w:r>
      <w:r w:rsidRPr="00FD4F96">
        <w:rPr>
          <w:rFonts w:ascii="Book Antiqua" w:hAnsi="Book Antiqua" w:cs="宋体"/>
          <w:kern w:val="0"/>
          <w:sz w:val="24"/>
        </w:rPr>
        <w:t> 2012; </w:t>
      </w:r>
      <w:r w:rsidRPr="00FD4F96">
        <w:rPr>
          <w:rFonts w:ascii="Book Antiqua" w:hAnsi="Book Antiqua" w:cs="宋体"/>
          <w:b/>
          <w:bCs/>
          <w:kern w:val="0"/>
          <w:sz w:val="24"/>
        </w:rPr>
        <w:t>57</w:t>
      </w:r>
      <w:r w:rsidRPr="00FD4F96">
        <w:rPr>
          <w:rFonts w:ascii="Book Antiqua" w:hAnsi="Book Antiqua" w:cs="宋体"/>
          <w:kern w:val="0"/>
          <w:sz w:val="24"/>
        </w:rPr>
        <w:t>: 1875-1879 [PMID: 22451118 DOI: 10.1007/s10620-012-2131-6]</w:t>
      </w:r>
    </w:p>
    <w:p w:rsidR="003D651B" w:rsidRPr="00FD4F96" w:rsidRDefault="003D651B" w:rsidP="003D651B">
      <w:pPr>
        <w:widowControl/>
        <w:spacing w:line="360" w:lineRule="auto"/>
        <w:rPr>
          <w:rFonts w:ascii="Book Antiqua" w:hAnsi="Book Antiqua" w:cs="宋体"/>
          <w:kern w:val="0"/>
          <w:sz w:val="24"/>
        </w:rPr>
      </w:pPr>
      <w:r w:rsidRPr="00FD4F96">
        <w:rPr>
          <w:rFonts w:ascii="Book Antiqua" w:hAnsi="Book Antiqua" w:cs="宋体"/>
          <w:kern w:val="0"/>
          <w:sz w:val="24"/>
        </w:rPr>
        <w:lastRenderedPageBreak/>
        <w:t>10 </w:t>
      </w:r>
      <w:r w:rsidRPr="00FD4F96">
        <w:rPr>
          <w:rFonts w:ascii="Book Antiqua" w:hAnsi="Book Antiqua" w:cs="宋体"/>
          <w:b/>
          <w:bCs/>
          <w:kern w:val="0"/>
          <w:sz w:val="24"/>
        </w:rPr>
        <w:t>Pandolfino JE</w:t>
      </w:r>
      <w:r w:rsidRPr="00FD4F96">
        <w:rPr>
          <w:rFonts w:ascii="Book Antiqua" w:hAnsi="Book Antiqua" w:cs="宋体"/>
          <w:kern w:val="0"/>
          <w:sz w:val="24"/>
        </w:rPr>
        <w:t>, Kim H, Ghosh SK, Clarke JO, Zhang Q, Kahrilas PJ. High-resolution manometry of the EGJ: an analysis of crural diaphragm function in GERD. </w:t>
      </w:r>
      <w:r w:rsidRPr="00FD4F96">
        <w:rPr>
          <w:rFonts w:ascii="Book Antiqua" w:hAnsi="Book Antiqua" w:cs="宋体"/>
          <w:i/>
          <w:iCs/>
          <w:kern w:val="0"/>
          <w:sz w:val="24"/>
        </w:rPr>
        <w:t>Am J Gastroenterol</w:t>
      </w:r>
      <w:r w:rsidRPr="00FD4F96">
        <w:rPr>
          <w:rFonts w:ascii="Book Antiqua" w:hAnsi="Book Antiqua" w:cs="宋体"/>
          <w:kern w:val="0"/>
          <w:sz w:val="24"/>
        </w:rPr>
        <w:t> 2007; </w:t>
      </w:r>
      <w:r w:rsidRPr="00FD4F96">
        <w:rPr>
          <w:rFonts w:ascii="Book Antiqua" w:hAnsi="Book Antiqua" w:cs="宋体"/>
          <w:b/>
          <w:bCs/>
          <w:kern w:val="0"/>
          <w:sz w:val="24"/>
        </w:rPr>
        <w:t>102</w:t>
      </w:r>
      <w:r w:rsidRPr="00FD4F96">
        <w:rPr>
          <w:rFonts w:ascii="Book Antiqua" w:hAnsi="Book Antiqua" w:cs="宋体"/>
          <w:kern w:val="0"/>
          <w:sz w:val="24"/>
        </w:rPr>
        <w:t>: 1056-1063 [PMID: 17319930 DOI: 10.1111/j.1572-0241.2007.01138]</w:t>
      </w:r>
    </w:p>
    <w:p w:rsidR="003D651B" w:rsidRPr="00FD4F96" w:rsidRDefault="003D651B" w:rsidP="003D651B">
      <w:pPr>
        <w:widowControl/>
        <w:spacing w:line="360" w:lineRule="auto"/>
        <w:rPr>
          <w:rFonts w:ascii="Book Antiqua" w:hAnsi="Book Antiqua" w:cs="宋体"/>
          <w:kern w:val="0"/>
          <w:sz w:val="24"/>
        </w:rPr>
      </w:pPr>
      <w:r w:rsidRPr="00FD4F96">
        <w:rPr>
          <w:rFonts w:ascii="Book Antiqua" w:hAnsi="Book Antiqua" w:cs="宋体"/>
          <w:kern w:val="0"/>
          <w:sz w:val="24"/>
        </w:rPr>
        <w:t>11 </w:t>
      </w:r>
      <w:r w:rsidRPr="00FD4F96">
        <w:rPr>
          <w:rFonts w:ascii="Book Antiqua" w:hAnsi="Book Antiqua" w:cs="宋体"/>
          <w:b/>
          <w:bCs/>
          <w:kern w:val="0"/>
          <w:sz w:val="24"/>
        </w:rPr>
        <w:t>Wilson LJ</w:t>
      </w:r>
      <w:r w:rsidRPr="00FD4F96">
        <w:rPr>
          <w:rFonts w:ascii="Book Antiqua" w:hAnsi="Book Antiqua" w:cs="宋体"/>
          <w:kern w:val="0"/>
          <w:sz w:val="24"/>
        </w:rPr>
        <w:t>, Ma W, Hirschowitz BI. Association of obesity with hiatal hernia and esophagitis. </w:t>
      </w:r>
      <w:r w:rsidRPr="00FD4F96">
        <w:rPr>
          <w:rFonts w:ascii="Book Antiqua" w:hAnsi="Book Antiqua" w:cs="宋体"/>
          <w:i/>
          <w:iCs/>
          <w:kern w:val="0"/>
          <w:sz w:val="24"/>
        </w:rPr>
        <w:t>Am J Gastroenterol</w:t>
      </w:r>
      <w:r w:rsidRPr="00FD4F96">
        <w:rPr>
          <w:rFonts w:ascii="Book Antiqua" w:hAnsi="Book Antiqua" w:cs="宋体"/>
          <w:kern w:val="0"/>
          <w:sz w:val="24"/>
        </w:rPr>
        <w:t> 1999; </w:t>
      </w:r>
      <w:r w:rsidRPr="00FD4F96">
        <w:rPr>
          <w:rFonts w:ascii="Book Antiqua" w:hAnsi="Book Antiqua" w:cs="宋体"/>
          <w:b/>
          <w:bCs/>
          <w:kern w:val="0"/>
          <w:sz w:val="24"/>
        </w:rPr>
        <w:t>94</w:t>
      </w:r>
      <w:r w:rsidRPr="00FD4F96">
        <w:rPr>
          <w:rFonts w:ascii="Book Antiqua" w:hAnsi="Book Antiqua" w:cs="宋体"/>
          <w:kern w:val="0"/>
          <w:sz w:val="24"/>
        </w:rPr>
        <w:t>: 2840-2844 [PMID: 10520831 DOI: 10.1016/S0002-9270(99)00482-7]</w:t>
      </w:r>
    </w:p>
    <w:p w:rsidR="003D651B" w:rsidRPr="00FD4F96" w:rsidRDefault="003D651B" w:rsidP="003D651B">
      <w:pPr>
        <w:widowControl/>
        <w:spacing w:line="360" w:lineRule="auto"/>
        <w:rPr>
          <w:rFonts w:ascii="Book Antiqua" w:hAnsi="Book Antiqua" w:cs="宋体"/>
          <w:kern w:val="0"/>
          <w:sz w:val="24"/>
        </w:rPr>
      </w:pPr>
      <w:r w:rsidRPr="00FD4F96">
        <w:rPr>
          <w:rFonts w:ascii="Book Antiqua" w:hAnsi="Book Antiqua" w:cs="宋体"/>
          <w:kern w:val="0"/>
          <w:sz w:val="24"/>
        </w:rPr>
        <w:t>12 </w:t>
      </w:r>
      <w:r w:rsidRPr="00FD4F96">
        <w:rPr>
          <w:rFonts w:ascii="Book Antiqua" w:hAnsi="Book Antiqua" w:cs="宋体"/>
          <w:b/>
          <w:bCs/>
          <w:kern w:val="0"/>
          <w:sz w:val="24"/>
        </w:rPr>
        <w:t>Herbella FA</w:t>
      </w:r>
      <w:r w:rsidRPr="00FD4F96">
        <w:rPr>
          <w:rFonts w:ascii="Book Antiqua" w:hAnsi="Book Antiqua" w:cs="宋体"/>
          <w:kern w:val="0"/>
          <w:sz w:val="24"/>
        </w:rPr>
        <w:t>, Patti MG. Gastroesophageal reflux disease: From pathophysiology to treatment. </w:t>
      </w:r>
      <w:r w:rsidRPr="00FD4F96">
        <w:rPr>
          <w:rFonts w:ascii="Book Antiqua" w:hAnsi="Book Antiqua" w:cs="宋体"/>
          <w:i/>
          <w:iCs/>
          <w:kern w:val="0"/>
          <w:sz w:val="24"/>
        </w:rPr>
        <w:t>World J Gastroenterol</w:t>
      </w:r>
      <w:r w:rsidRPr="00FD4F96">
        <w:rPr>
          <w:rFonts w:ascii="Book Antiqua" w:hAnsi="Book Antiqua" w:cs="宋体"/>
          <w:kern w:val="0"/>
          <w:sz w:val="24"/>
        </w:rPr>
        <w:t> 2010; </w:t>
      </w:r>
      <w:r w:rsidRPr="00FD4F96">
        <w:rPr>
          <w:rFonts w:ascii="Book Antiqua" w:hAnsi="Book Antiqua" w:cs="宋体"/>
          <w:b/>
          <w:bCs/>
          <w:kern w:val="0"/>
          <w:sz w:val="24"/>
        </w:rPr>
        <w:t>16</w:t>
      </w:r>
      <w:r w:rsidRPr="00FD4F96">
        <w:rPr>
          <w:rFonts w:ascii="Book Antiqua" w:hAnsi="Book Antiqua" w:cs="宋体"/>
          <w:kern w:val="0"/>
          <w:sz w:val="24"/>
        </w:rPr>
        <w:t>: 3745-3749 [PMID: 20698035 DOI: 10.3748/wjg.v16.i30.3745]</w:t>
      </w:r>
    </w:p>
    <w:p w:rsidR="003D651B" w:rsidRPr="00FD4F96" w:rsidRDefault="003D651B" w:rsidP="003D651B">
      <w:pPr>
        <w:widowControl/>
        <w:spacing w:line="360" w:lineRule="auto"/>
        <w:rPr>
          <w:rFonts w:ascii="Book Antiqua" w:hAnsi="Book Antiqua" w:cs="宋体"/>
          <w:kern w:val="0"/>
          <w:sz w:val="24"/>
        </w:rPr>
      </w:pPr>
      <w:r w:rsidRPr="00FD4F96">
        <w:rPr>
          <w:rFonts w:ascii="Book Antiqua" w:hAnsi="Book Antiqua" w:cs="宋体"/>
          <w:kern w:val="0"/>
          <w:sz w:val="24"/>
        </w:rPr>
        <w:t>13 </w:t>
      </w:r>
      <w:r w:rsidRPr="00FD4F96">
        <w:rPr>
          <w:rFonts w:ascii="Book Antiqua" w:hAnsi="Book Antiqua" w:cs="宋体"/>
          <w:b/>
          <w:bCs/>
          <w:kern w:val="0"/>
          <w:sz w:val="24"/>
        </w:rPr>
        <w:t>Sifrim D</w:t>
      </w:r>
      <w:r w:rsidRPr="00FD4F96">
        <w:rPr>
          <w:rFonts w:ascii="Book Antiqua" w:hAnsi="Book Antiqua" w:cs="宋体"/>
          <w:kern w:val="0"/>
          <w:sz w:val="24"/>
        </w:rPr>
        <w:t>, Holloway R. Transient lower esophageal sphincter relaxations: how many or how harmful? </w:t>
      </w:r>
      <w:r w:rsidRPr="00FD4F96">
        <w:rPr>
          <w:rFonts w:ascii="Book Antiqua" w:hAnsi="Book Antiqua" w:cs="宋体"/>
          <w:i/>
          <w:iCs/>
          <w:kern w:val="0"/>
          <w:sz w:val="24"/>
        </w:rPr>
        <w:t>Am J Gastroenterol</w:t>
      </w:r>
      <w:r w:rsidRPr="00FD4F96">
        <w:rPr>
          <w:rFonts w:ascii="Book Antiqua" w:hAnsi="Book Antiqua" w:cs="宋体"/>
          <w:kern w:val="0"/>
          <w:sz w:val="24"/>
        </w:rPr>
        <w:t> 2001; </w:t>
      </w:r>
      <w:r w:rsidRPr="00FD4F96">
        <w:rPr>
          <w:rFonts w:ascii="Book Antiqua" w:hAnsi="Book Antiqua" w:cs="宋体"/>
          <w:b/>
          <w:bCs/>
          <w:kern w:val="0"/>
          <w:sz w:val="24"/>
        </w:rPr>
        <w:t>96</w:t>
      </w:r>
      <w:r w:rsidRPr="00FD4F96">
        <w:rPr>
          <w:rFonts w:ascii="Book Antiqua" w:hAnsi="Book Antiqua" w:cs="宋体"/>
          <w:kern w:val="0"/>
          <w:sz w:val="24"/>
        </w:rPr>
        <w:t>: 2529-2532 [PMID: 11569671 DOI: 10.1111/j.1572-0241.2001.04095]</w:t>
      </w:r>
    </w:p>
    <w:p w:rsidR="003D651B" w:rsidRPr="00FD4F96" w:rsidRDefault="003D651B" w:rsidP="003D651B">
      <w:pPr>
        <w:widowControl/>
        <w:spacing w:line="360" w:lineRule="auto"/>
        <w:rPr>
          <w:rFonts w:ascii="Book Antiqua" w:hAnsi="Book Antiqua" w:cs="宋体"/>
          <w:kern w:val="0"/>
          <w:sz w:val="24"/>
        </w:rPr>
      </w:pPr>
      <w:r w:rsidRPr="00FD4F96">
        <w:rPr>
          <w:rFonts w:ascii="Book Antiqua" w:hAnsi="Book Antiqua" w:cs="宋体"/>
          <w:kern w:val="0"/>
          <w:sz w:val="24"/>
        </w:rPr>
        <w:t>14 </w:t>
      </w:r>
      <w:r w:rsidRPr="00FD4F96">
        <w:rPr>
          <w:rFonts w:ascii="Book Antiqua" w:hAnsi="Book Antiqua" w:cs="宋体"/>
          <w:b/>
          <w:bCs/>
          <w:kern w:val="0"/>
          <w:sz w:val="24"/>
        </w:rPr>
        <w:t>Wu JC</w:t>
      </w:r>
      <w:r w:rsidRPr="00FD4F96">
        <w:rPr>
          <w:rFonts w:ascii="Book Antiqua" w:hAnsi="Book Antiqua" w:cs="宋体"/>
          <w:kern w:val="0"/>
          <w:sz w:val="24"/>
        </w:rPr>
        <w:t>, Mui LM, Cheung CM, Chan Y, Sung JJ. Obesity is associated with increased transient lower esophageal sphincter relaxation. </w:t>
      </w:r>
      <w:r w:rsidRPr="00FD4F96">
        <w:rPr>
          <w:rFonts w:ascii="Book Antiqua" w:hAnsi="Book Antiqua" w:cs="宋体"/>
          <w:i/>
          <w:iCs/>
          <w:kern w:val="0"/>
          <w:sz w:val="24"/>
        </w:rPr>
        <w:t>Gastroenterology</w:t>
      </w:r>
      <w:r w:rsidRPr="00FD4F96">
        <w:rPr>
          <w:rFonts w:ascii="Book Antiqua" w:hAnsi="Book Antiqua" w:cs="宋体"/>
          <w:kern w:val="0"/>
          <w:sz w:val="24"/>
        </w:rPr>
        <w:t> 2007; </w:t>
      </w:r>
      <w:r w:rsidRPr="00FD4F96">
        <w:rPr>
          <w:rFonts w:ascii="Book Antiqua" w:hAnsi="Book Antiqua" w:cs="宋体"/>
          <w:b/>
          <w:bCs/>
          <w:kern w:val="0"/>
          <w:sz w:val="24"/>
        </w:rPr>
        <w:t>132</w:t>
      </w:r>
      <w:r w:rsidRPr="00FD4F96">
        <w:rPr>
          <w:rFonts w:ascii="Book Antiqua" w:hAnsi="Book Antiqua" w:cs="宋体"/>
          <w:kern w:val="0"/>
          <w:sz w:val="24"/>
        </w:rPr>
        <w:t>: 883-889 [PMID: 17324403 DOI: 10.1053/j.gastro.2006.12.032]</w:t>
      </w:r>
    </w:p>
    <w:p w:rsidR="003D651B" w:rsidRPr="00FD4F96" w:rsidRDefault="003D651B" w:rsidP="003D651B">
      <w:pPr>
        <w:widowControl/>
        <w:spacing w:line="360" w:lineRule="auto"/>
        <w:rPr>
          <w:rFonts w:ascii="Book Antiqua" w:hAnsi="Book Antiqua" w:cs="宋体"/>
          <w:kern w:val="0"/>
          <w:sz w:val="24"/>
        </w:rPr>
      </w:pPr>
      <w:r w:rsidRPr="00FD4F96">
        <w:rPr>
          <w:rFonts w:ascii="Book Antiqua" w:hAnsi="Book Antiqua" w:cs="宋体"/>
          <w:kern w:val="0"/>
          <w:sz w:val="24"/>
        </w:rPr>
        <w:t>15 </w:t>
      </w:r>
      <w:r w:rsidRPr="00FD4F96">
        <w:rPr>
          <w:rFonts w:ascii="Book Antiqua" w:hAnsi="Book Antiqua" w:cs="宋体"/>
          <w:b/>
          <w:bCs/>
          <w:kern w:val="0"/>
          <w:sz w:val="24"/>
        </w:rPr>
        <w:t>Ibrahim MM</w:t>
      </w:r>
      <w:r w:rsidRPr="00FD4F96">
        <w:rPr>
          <w:rFonts w:ascii="Book Antiqua" w:hAnsi="Book Antiqua" w:cs="宋体"/>
          <w:kern w:val="0"/>
          <w:sz w:val="24"/>
        </w:rPr>
        <w:t>. Subcutaneous and visceral adipose tissue: structural and functional differences. </w:t>
      </w:r>
      <w:r w:rsidRPr="00FD4F96">
        <w:rPr>
          <w:rFonts w:ascii="Book Antiqua" w:hAnsi="Book Antiqua" w:cs="宋体"/>
          <w:i/>
          <w:iCs/>
          <w:kern w:val="0"/>
          <w:sz w:val="24"/>
        </w:rPr>
        <w:t>Obes Rev</w:t>
      </w:r>
      <w:r w:rsidRPr="00FD4F96">
        <w:rPr>
          <w:rFonts w:ascii="Book Antiqua" w:hAnsi="Book Antiqua" w:cs="宋体"/>
          <w:kern w:val="0"/>
          <w:sz w:val="24"/>
        </w:rPr>
        <w:t> 2010; </w:t>
      </w:r>
      <w:r w:rsidRPr="00FD4F96">
        <w:rPr>
          <w:rFonts w:ascii="Book Antiqua" w:hAnsi="Book Antiqua" w:cs="宋体"/>
          <w:b/>
          <w:bCs/>
          <w:kern w:val="0"/>
          <w:sz w:val="24"/>
        </w:rPr>
        <w:t>11</w:t>
      </w:r>
      <w:r w:rsidRPr="00FD4F96">
        <w:rPr>
          <w:rFonts w:ascii="Book Antiqua" w:hAnsi="Book Antiqua" w:cs="宋体"/>
          <w:kern w:val="0"/>
          <w:sz w:val="24"/>
        </w:rPr>
        <w:t>: 11-18 [PMID: 19656312 DOI: 10.1111/j.1467-789X.2009.00623]</w:t>
      </w:r>
    </w:p>
    <w:p w:rsidR="003D651B" w:rsidRPr="00FD4F96" w:rsidRDefault="003D651B" w:rsidP="003D651B">
      <w:pPr>
        <w:widowControl/>
        <w:spacing w:line="360" w:lineRule="auto"/>
        <w:rPr>
          <w:rFonts w:ascii="Book Antiqua" w:hAnsi="Book Antiqua" w:cs="宋体"/>
          <w:kern w:val="0"/>
          <w:sz w:val="24"/>
        </w:rPr>
      </w:pPr>
      <w:r w:rsidRPr="00FD4F96">
        <w:rPr>
          <w:rFonts w:ascii="Book Antiqua" w:hAnsi="Book Antiqua" w:cs="宋体"/>
          <w:kern w:val="0"/>
          <w:sz w:val="24"/>
        </w:rPr>
        <w:t>16 </w:t>
      </w:r>
      <w:r w:rsidRPr="00FD4F96">
        <w:rPr>
          <w:rFonts w:ascii="Book Antiqua" w:hAnsi="Book Antiqua" w:cs="宋体"/>
          <w:b/>
          <w:bCs/>
          <w:kern w:val="0"/>
          <w:sz w:val="24"/>
        </w:rPr>
        <w:t>Rubenstein JH</w:t>
      </w:r>
      <w:r w:rsidRPr="00FD4F96">
        <w:rPr>
          <w:rFonts w:ascii="Book Antiqua" w:hAnsi="Book Antiqua" w:cs="宋体"/>
          <w:kern w:val="0"/>
          <w:sz w:val="24"/>
        </w:rPr>
        <w:t>, Morgenstern H, Appelman H, Scheiman J, Schoenfeld P, McMahon LF, Metko V, Near E, Kellenberg J, Kalish T, Inadomi JM. Prediction of Barrett's esophagus among men. </w:t>
      </w:r>
      <w:r w:rsidRPr="00FD4F96">
        <w:rPr>
          <w:rFonts w:ascii="Book Antiqua" w:hAnsi="Book Antiqua" w:cs="宋体"/>
          <w:i/>
          <w:iCs/>
          <w:kern w:val="0"/>
          <w:sz w:val="24"/>
        </w:rPr>
        <w:t>Am J Gastroenterol</w:t>
      </w:r>
      <w:r w:rsidRPr="00FD4F96">
        <w:rPr>
          <w:rFonts w:ascii="Book Antiqua" w:hAnsi="Book Antiqua" w:cs="宋体"/>
          <w:kern w:val="0"/>
          <w:sz w:val="24"/>
        </w:rPr>
        <w:t> 2013; </w:t>
      </w:r>
      <w:r w:rsidRPr="00FD4F96">
        <w:rPr>
          <w:rFonts w:ascii="Book Antiqua" w:hAnsi="Book Antiqua" w:cs="宋体"/>
          <w:b/>
          <w:bCs/>
          <w:kern w:val="0"/>
          <w:sz w:val="24"/>
        </w:rPr>
        <w:t>108</w:t>
      </w:r>
      <w:r w:rsidRPr="00FD4F96">
        <w:rPr>
          <w:rFonts w:ascii="Book Antiqua" w:hAnsi="Book Antiqua" w:cs="宋体"/>
          <w:kern w:val="0"/>
          <w:sz w:val="24"/>
        </w:rPr>
        <w:t>: 353-362 [PMID: 23318485 DOI: 10.1038/ajg.2012.446]</w:t>
      </w:r>
    </w:p>
    <w:p w:rsidR="003D651B" w:rsidRPr="00FD4F96" w:rsidRDefault="003D651B" w:rsidP="003D651B">
      <w:pPr>
        <w:widowControl/>
        <w:spacing w:line="360" w:lineRule="auto"/>
        <w:rPr>
          <w:rFonts w:ascii="Book Antiqua" w:hAnsi="Book Antiqua" w:cs="宋体"/>
          <w:kern w:val="0"/>
          <w:sz w:val="24"/>
        </w:rPr>
      </w:pPr>
      <w:r w:rsidRPr="00FD4F96">
        <w:rPr>
          <w:rFonts w:ascii="Book Antiqua" w:hAnsi="Book Antiqua" w:cs="宋体"/>
          <w:kern w:val="0"/>
          <w:sz w:val="24"/>
        </w:rPr>
        <w:t>17 </w:t>
      </w:r>
      <w:r w:rsidRPr="00FD4F96">
        <w:rPr>
          <w:rFonts w:ascii="Book Antiqua" w:hAnsi="Book Antiqua" w:cs="宋体"/>
          <w:b/>
          <w:bCs/>
          <w:kern w:val="0"/>
          <w:sz w:val="24"/>
        </w:rPr>
        <w:t>Kramer JR</w:t>
      </w:r>
      <w:r w:rsidRPr="00FD4F96">
        <w:rPr>
          <w:rFonts w:ascii="Book Antiqua" w:hAnsi="Book Antiqua" w:cs="宋体"/>
          <w:kern w:val="0"/>
          <w:sz w:val="24"/>
        </w:rPr>
        <w:t>, Fischbach LA, Richardson P, Alsarraj A, Fitzgerald S, Shaib Y, Abraham NS, Velez M, Cole R, Anand B, Verstovsek G, Rugge M, Parente P, Graham DY, El-Serag HB. Waist-to-hip ratio, but not body mass index, is associated with an increased risk of Barrett's esophagus in white men. </w:t>
      </w:r>
      <w:r w:rsidRPr="00FD4F96">
        <w:rPr>
          <w:rFonts w:ascii="Book Antiqua" w:hAnsi="Book Antiqua" w:cs="宋体"/>
          <w:i/>
          <w:iCs/>
          <w:kern w:val="0"/>
          <w:sz w:val="24"/>
        </w:rPr>
        <w:t>Clin Gastroenterol Hepatol</w:t>
      </w:r>
      <w:r w:rsidRPr="00FD4F96">
        <w:rPr>
          <w:rFonts w:ascii="Book Antiqua" w:hAnsi="Book Antiqua" w:cs="宋体"/>
          <w:kern w:val="0"/>
          <w:sz w:val="24"/>
        </w:rPr>
        <w:t> 2013; </w:t>
      </w:r>
      <w:r w:rsidRPr="00FD4F96">
        <w:rPr>
          <w:rFonts w:ascii="Book Antiqua" w:hAnsi="Book Antiqua" w:cs="宋体"/>
          <w:b/>
          <w:bCs/>
          <w:kern w:val="0"/>
          <w:sz w:val="24"/>
        </w:rPr>
        <w:t>11</w:t>
      </w:r>
      <w:r w:rsidRPr="00FD4F96">
        <w:rPr>
          <w:rFonts w:ascii="Book Antiqua" w:hAnsi="Book Antiqua" w:cs="宋体"/>
          <w:kern w:val="0"/>
          <w:sz w:val="24"/>
        </w:rPr>
        <w:t>: 373-381.e1 [PMID: 23220167 DOI: 10.1016/j.cgh.2012.11.028]</w:t>
      </w:r>
    </w:p>
    <w:p w:rsidR="003D651B" w:rsidRPr="00FD4F96" w:rsidRDefault="003D651B" w:rsidP="003D651B">
      <w:pPr>
        <w:widowControl/>
        <w:spacing w:line="360" w:lineRule="auto"/>
        <w:rPr>
          <w:rFonts w:ascii="Book Antiqua" w:hAnsi="Book Antiqua" w:cs="宋体"/>
          <w:kern w:val="0"/>
          <w:sz w:val="24"/>
        </w:rPr>
      </w:pPr>
      <w:r w:rsidRPr="00FD4F96">
        <w:rPr>
          <w:rFonts w:ascii="Book Antiqua" w:hAnsi="Book Antiqua" w:cs="宋体"/>
          <w:kern w:val="0"/>
          <w:sz w:val="24"/>
        </w:rPr>
        <w:lastRenderedPageBreak/>
        <w:t>18 </w:t>
      </w:r>
      <w:r w:rsidRPr="00FD4F96">
        <w:rPr>
          <w:rFonts w:ascii="Book Antiqua" w:hAnsi="Book Antiqua" w:cs="宋体"/>
          <w:b/>
          <w:bCs/>
          <w:kern w:val="0"/>
          <w:sz w:val="24"/>
        </w:rPr>
        <w:t>Oda E</w:t>
      </w:r>
      <w:r w:rsidRPr="00FD4F96">
        <w:rPr>
          <w:rFonts w:ascii="Book Antiqua" w:hAnsi="Book Antiqua" w:cs="宋体"/>
          <w:kern w:val="0"/>
          <w:sz w:val="24"/>
        </w:rPr>
        <w:t>. The metabolic syndrome as a concept of adipose tissue disease. </w:t>
      </w:r>
      <w:r w:rsidRPr="00FD4F96">
        <w:rPr>
          <w:rFonts w:ascii="Book Antiqua" w:hAnsi="Book Antiqua" w:cs="宋体"/>
          <w:i/>
          <w:iCs/>
          <w:kern w:val="0"/>
          <w:sz w:val="24"/>
        </w:rPr>
        <w:t>Hypertens Res</w:t>
      </w:r>
      <w:r w:rsidRPr="00FD4F96">
        <w:rPr>
          <w:rFonts w:ascii="Book Antiqua" w:hAnsi="Book Antiqua" w:cs="宋体"/>
          <w:kern w:val="0"/>
          <w:sz w:val="24"/>
        </w:rPr>
        <w:t> 2008; </w:t>
      </w:r>
      <w:r w:rsidRPr="00FD4F96">
        <w:rPr>
          <w:rFonts w:ascii="Book Antiqua" w:hAnsi="Book Antiqua" w:cs="宋体"/>
          <w:b/>
          <w:bCs/>
          <w:kern w:val="0"/>
          <w:sz w:val="24"/>
        </w:rPr>
        <w:t>31</w:t>
      </w:r>
      <w:r w:rsidRPr="00FD4F96">
        <w:rPr>
          <w:rFonts w:ascii="Book Antiqua" w:hAnsi="Book Antiqua" w:cs="宋体"/>
          <w:kern w:val="0"/>
          <w:sz w:val="24"/>
        </w:rPr>
        <w:t>: 1283-1291 [PMID: 18957797 DOI: 10.1291/hypres.31.1283]</w:t>
      </w:r>
    </w:p>
    <w:p w:rsidR="003D651B" w:rsidRPr="00FD4F96" w:rsidRDefault="003D651B" w:rsidP="003D651B">
      <w:pPr>
        <w:widowControl/>
        <w:spacing w:line="360" w:lineRule="auto"/>
        <w:rPr>
          <w:rFonts w:ascii="Book Antiqua" w:hAnsi="Book Antiqua" w:cs="宋体"/>
          <w:kern w:val="0"/>
          <w:sz w:val="24"/>
        </w:rPr>
      </w:pPr>
      <w:r w:rsidRPr="00FD4F96">
        <w:rPr>
          <w:rFonts w:ascii="Book Antiqua" w:hAnsi="Book Antiqua" w:cs="宋体"/>
          <w:kern w:val="0"/>
          <w:sz w:val="24"/>
        </w:rPr>
        <w:t>19 . Visceral abdominal obesity measured by CT scan is associated with an increased risk of Barrett's oesophagus: a case-control study. </w:t>
      </w:r>
      <w:r w:rsidRPr="00FD4F96">
        <w:rPr>
          <w:rFonts w:ascii="Book Antiqua" w:hAnsi="Book Antiqua" w:cs="宋体"/>
          <w:i/>
          <w:iCs/>
          <w:kern w:val="0"/>
          <w:sz w:val="24"/>
        </w:rPr>
        <w:t>Gut</w:t>
      </w:r>
      <w:r w:rsidRPr="00FD4F96">
        <w:rPr>
          <w:rFonts w:ascii="Book Antiqua" w:hAnsi="Book Antiqua" w:cs="宋体"/>
          <w:kern w:val="0"/>
          <w:sz w:val="24"/>
        </w:rPr>
        <w:t> 2013; [PMID: 23408348 DOI: 10.1136/gutjnl-2012-304189]</w:t>
      </w:r>
    </w:p>
    <w:p w:rsidR="003D651B" w:rsidRPr="00FD4F96" w:rsidRDefault="003D651B" w:rsidP="003D651B">
      <w:pPr>
        <w:widowControl/>
        <w:spacing w:line="360" w:lineRule="auto"/>
        <w:rPr>
          <w:rFonts w:ascii="Book Antiqua" w:hAnsi="Book Antiqua" w:cs="宋体"/>
          <w:kern w:val="0"/>
          <w:sz w:val="24"/>
        </w:rPr>
      </w:pPr>
      <w:r w:rsidRPr="00FD4F96">
        <w:rPr>
          <w:rFonts w:ascii="Book Antiqua" w:hAnsi="Book Antiqua" w:cs="宋体"/>
          <w:kern w:val="0"/>
          <w:sz w:val="24"/>
        </w:rPr>
        <w:t>20 </w:t>
      </w:r>
      <w:r w:rsidRPr="00FD4F96">
        <w:rPr>
          <w:rFonts w:ascii="Book Antiqua" w:hAnsi="Book Antiqua" w:cs="宋体"/>
          <w:b/>
          <w:bCs/>
          <w:kern w:val="0"/>
          <w:sz w:val="24"/>
        </w:rPr>
        <w:t>Singh M</w:t>
      </w:r>
      <w:r w:rsidRPr="00FD4F96">
        <w:rPr>
          <w:rFonts w:ascii="Book Antiqua" w:hAnsi="Book Antiqua" w:cs="宋体"/>
          <w:kern w:val="0"/>
          <w:sz w:val="24"/>
        </w:rPr>
        <w:t>, Lee J, Gupta N, Gaddam S, Smith BK, Wani SB, Sullivan DK, Rastogi A, Bansal A, Donnelly JE, Sharma P. Weight loss can lead to resolution of gastroesophageal reflux disease symptoms: a prospective intervention trial. </w:t>
      </w:r>
      <w:r w:rsidRPr="00FD4F96">
        <w:rPr>
          <w:rFonts w:ascii="Book Antiqua" w:hAnsi="Book Antiqua" w:cs="宋体"/>
          <w:i/>
          <w:iCs/>
          <w:kern w:val="0"/>
          <w:sz w:val="24"/>
        </w:rPr>
        <w:t>Obesity (Silver Spring)</w:t>
      </w:r>
      <w:r w:rsidRPr="00FD4F96">
        <w:rPr>
          <w:rFonts w:ascii="Book Antiqua" w:hAnsi="Book Antiqua" w:cs="宋体"/>
          <w:kern w:val="0"/>
          <w:sz w:val="24"/>
        </w:rPr>
        <w:t> 2013; </w:t>
      </w:r>
      <w:r w:rsidRPr="00FD4F96">
        <w:rPr>
          <w:rFonts w:ascii="Book Antiqua" w:hAnsi="Book Antiqua" w:cs="宋体"/>
          <w:b/>
          <w:bCs/>
          <w:kern w:val="0"/>
          <w:sz w:val="24"/>
        </w:rPr>
        <w:t>21</w:t>
      </w:r>
      <w:r w:rsidRPr="00FD4F96">
        <w:rPr>
          <w:rFonts w:ascii="Book Antiqua" w:hAnsi="Book Antiqua" w:cs="宋体"/>
          <w:kern w:val="0"/>
          <w:sz w:val="24"/>
        </w:rPr>
        <w:t>: 284-290 [PMID: 23532991 DOI: 10.1002/oby.20279]</w:t>
      </w:r>
    </w:p>
    <w:p w:rsidR="003D651B" w:rsidRPr="00FD4F96" w:rsidRDefault="003D651B" w:rsidP="003D651B">
      <w:pPr>
        <w:spacing w:line="360" w:lineRule="auto"/>
        <w:rPr>
          <w:rFonts w:ascii="Book Antiqua" w:hAnsi="Book Antiqua"/>
        </w:rPr>
      </w:pPr>
    </w:p>
    <w:p w:rsidR="00AE7C98" w:rsidRPr="00CE4867" w:rsidRDefault="00AE7C98" w:rsidP="00AE7C98">
      <w:pPr>
        <w:spacing w:line="360" w:lineRule="auto"/>
        <w:rPr>
          <w:rFonts w:ascii="Book Antiqua" w:hAnsi="Book Antiqua"/>
          <w:b/>
          <w:bCs/>
          <w:color w:val="000000"/>
          <w:sz w:val="24"/>
        </w:rPr>
      </w:pPr>
      <w:bookmarkStart w:id="18" w:name="OLE_LINK11"/>
      <w:bookmarkStart w:id="19" w:name="OLE_LINK12"/>
      <w:bookmarkStart w:id="20" w:name="OLE_LINK36"/>
      <w:bookmarkStart w:id="21" w:name="OLE_LINK37"/>
      <w:bookmarkStart w:id="22" w:name="OLE_LINK20"/>
      <w:bookmarkStart w:id="23" w:name="OLE_LINK80"/>
      <w:bookmarkStart w:id="24" w:name="OLE_LINK85"/>
      <w:bookmarkStart w:id="25" w:name="OLE_LINK194"/>
      <w:bookmarkStart w:id="26" w:name="OLE_LINK118"/>
      <w:bookmarkStart w:id="27" w:name="OLE_LINK149"/>
      <w:bookmarkStart w:id="28" w:name="OLE_LINK163"/>
      <w:r w:rsidRPr="00CE4867">
        <w:rPr>
          <w:rStyle w:val="a7"/>
          <w:rFonts w:ascii="Book Antiqua" w:hAnsi="Book Antiqua"/>
          <w:noProof/>
          <w:color w:val="000000"/>
          <w:sz w:val="24"/>
        </w:rPr>
        <w:t>P-Reviewer</w:t>
      </w:r>
      <w:bookmarkEnd w:id="18"/>
      <w:bookmarkEnd w:id="19"/>
      <w:r>
        <w:rPr>
          <w:rStyle w:val="a7"/>
          <w:rFonts w:ascii="Book Antiqua" w:hAnsi="Book Antiqua" w:hint="eastAsia"/>
          <w:noProof/>
          <w:color w:val="000000"/>
          <w:sz w:val="24"/>
        </w:rPr>
        <w:t>s</w:t>
      </w:r>
      <w:r w:rsidRPr="004E09FE">
        <w:t xml:space="preserve"> </w:t>
      </w:r>
      <w:r w:rsidRPr="008D2806">
        <w:rPr>
          <w:rFonts w:ascii="Book Antiqua" w:hAnsi="Book Antiqua"/>
          <w:bCs/>
          <w:sz w:val="24"/>
        </w:rPr>
        <w:t>Calabrese C,</w:t>
      </w:r>
      <w:r w:rsidRPr="008D2806">
        <w:rPr>
          <w:rFonts w:ascii="Book Antiqua" w:hAnsi="Book Antiqua"/>
          <w:bCs/>
          <w:color w:val="000000"/>
          <w:sz w:val="24"/>
        </w:rPr>
        <w:t xml:space="preserve"> Farmer AD, Nakajima A  </w:t>
      </w:r>
      <w:r w:rsidRPr="00CE4867">
        <w:rPr>
          <w:rFonts w:ascii="Book Antiqua" w:hAnsi="Book Antiqua"/>
          <w:b/>
          <w:bCs/>
          <w:color w:val="000000"/>
          <w:sz w:val="24"/>
        </w:rPr>
        <w:t xml:space="preserve">        S-Editor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 xml:space="preserve">L-Editor                </w:t>
      </w:r>
      <w:r w:rsidRPr="00CE4867">
        <w:rPr>
          <w:rFonts w:ascii="Book Antiqua" w:hAnsi="Book Antiqua"/>
          <w:color w:val="000000"/>
          <w:sz w:val="24"/>
        </w:rPr>
        <w:t xml:space="preserve">  </w:t>
      </w:r>
      <w:r w:rsidRPr="00CE4867">
        <w:rPr>
          <w:rFonts w:ascii="Book Antiqua" w:hAnsi="Book Antiqua"/>
          <w:b/>
          <w:bCs/>
          <w:color w:val="000000"/>
          <w:sz w:val="24"/>
        </w:rPr>
        <w:t>E-Editor</w:t>
      </w:r>
    </w:p>
    <w:bookmarkEnd w:id="20"/>
    <w:bookmarkEnd w:id="21"/>
    <w:bookmarkEnd w:id="22"/>
    <w:bookmarkEnd w:id="23"/>
    <w:bookmarkEnd w:id="24"/>
    <w:bookmarkEnd w:id="25"/>
    <w:bookmarkEnd w:id="26"/>
    <w:bookmarkEnd w:id="27"/>
    <w:bookmarkEnd w:id="28"/>
    <w:p w:rsidR="000906C6" w:rsidRPr="00AE7C98" w:rsidRDefault="000906C6" w:rsidP="00ED39E4">
      <w:pPr>
        <w:spacing w:line="360" w:lineRule="auto"/>
        <w:rPr>
          <w:rFonts w:ascii="Book Antiqua" w:hAnsi="Book Antiqua"/>
          <w:sz w:val="24"/>
        </w:rPr>
      </w:pPr>
    </w:p>
    <w:p w:rsidR="000906C6" w:rsidRDefault="000906C6" w:rsidP="00ED39E4">
      <w:pPr>
        <w:pStyle w:val="a3"/>
        <w:spacing w:line="360" w:lineRule="auto"/>
        <w:ind w:right="420"/>
        <w:rPr>
          <w:rFonts w:ascii="Book Antiqua" w:hAnsi="Book Antiqua"/>
          <w:sz w:val="24"/>
          <w:szCs w:val="24"/>
        </w:rPr>
      </w:pPr>
    </w:p>
    <w:p w:rsidR="00102C49" w:rsidRDefault="00102C49" w:rsidP="00ED39E4">
      <w:pPr>
        <w:pStyle w:val="a3"/>
        <w:spacing w:line="360" w:lineRule="auto"/>
        <w:ind w:right="420"/>
        <w:rPr>
          <w:rFonts w:ascii="Book Antiqua" w:hAnsi="Book Antiqua"/>
          <w:sz w:val="24"/>
          <w:szCs w:val="24"/>
        </w:rPr>
      </w:pPr>
    </w:p>
    <w:p w:rsidR="00102C49" w:rsidRDefault="00102C49" w:rsidP="00ED39E4">
      <w:pPr>
        <w:pStyle w:val="a3"/>
        <w:spacing w:line="360" w:lineRule="auto"/>
        <w:ind w:right="420"/>
        <w:rPr>
          <w:rFonts w:ascii="Book Antiqua" w:hAnsi="Book Antiqua"/>
          <w:sz w:val="24"/>
          <w:szCs w:val="24"/>
        </w:rPr>
      </w:pPr>
    </w:p>
    <w:p w:rsidR="00102C49" w:rsidRDefault="00102C49" w:rsidP="00ED39E4">
      <w:pPr>
        <w:pStyle w:val="a3"/>
        <w:spacing w:line="360" w:lineRule="auto"/>
        <w:ind w:right="420"/>
        <w:rPr>
          <w:rFonts w:ascii="Book Antiqua" w:hAnsi="Book Antiqua"/>
          <w:sz w:val="24"/>
          <w:szCs w:val="24"/>
        </w:rPr>
      </w:pPr>
    </w:p>
    <w:p w:rsidR="00102C49" w:rsidRDefault="00102C49" w:rsidP="00ED39E4">
      <w:pPr>
        <w:pStyle w:val="a3"/>
        <w:spacing w:line="360" w:lineRule="auto"/>
        <w:ind w:right="420"/>
        <w:rPr>
          <w:rFonts w:ascii="Book Antiqua" w:hAnsi="Book Antiqua"/>
          <w:sz w:val="24"/>
          <w:szCs w:val="24"/>
        </w:rPr>
      </w:pPr>
    </w:p>
    <w:p w:rsidR="00102C49" w:rsidRDefault="00102C49" w:rsidP="00ED39E4">
      <w:pPr>
        <w:pStyle w:val="a3"/>
        <w:spacing w:line="360" w:lineRule="auto"/>
        <w:ind w:right="420"/>
        <w:rPr>
          <w:rFonts w:ascii="Book Antiqua" w:hAnsi="Book Antiqua"/>
          <w:sz w:val="24"/>
          <w:szCs w:val="24"/>
        </w:rPr>
      </w:pPr>
    </w:p>
    <w:p w:rsidR="00102C49" w:rsidRDefault="00102C49" w:rsidP="00ED39E4">
      <w:pPr>
        <w:pStyle w:val="a3"/>
        <w:spacing w:line="360" w:lineRule="auto"/>
        <w:ind w:right="420"/>
        <w:rPr>
          <w:rFonts w:ascii="Book Antiqua" w:hAnsi="Book Antiqua"/>
          <w:sz w:val="24"/>
          <w:szCs w:val="24"/>
        </w:rPr>
      </w:pPr>
    </w:p>
    <w:p w:rsidR="00102C49" w:rsidRDefault="00102C49" w:rsidP="00ED39E4">
      <w:pPr>
        <w:pStyle w:val="a3"/>
        <w:spacing w:line="360" w:lineRule="auto"/>
        <w:ind w:right="420"/>
        <w:rPr>
          <w:rFonts w:ascii="Book Antiqua" w:hAnsi="Book Antiqua"/>
          <w:sz w:val="24"/>
          <w:szCs w:val="24"/>
        </w:rPr>
      </w:pPr>
    </w:p>
    <w:p w:rsidR="00102C49" w:rsidRDefault="00102C49" w:rsidP="00ED39E4">
      <w:pPr>
        <w:pStyle w:val="a3"/>
        <w:spacing w:line="360" w:lineRule="auto"/>
        <w:ind w:right="420"/>
        <w:rPr>
          <w:rFonts w:ascii="Book Antiqua" w:hAnsi="Book Antiqua"/>
          <w:sz w:val="24"/>
          <w:szCs w:val="24"/>
        </w:rPr>
      </w:pPr>
    </w:p>
    <w:p w:rsidR="00102C49" w:rsidRDefault="00102C49" w:rsidP="00ED39E4">
      <w:pPr>
        <w:pStyle w:val="a3"/>
        <w:spacing w:line="360" w:lineRule="auto"/>
        <w:ind w:right="420"/>
        <w:rPr>
          <w:rFonts w:ascii="Book Antiqua" w:hAnsi="Book Antiqua"/>
          <w:sz w:val="24"/>
          <w:szCs w:val="24"/>
        </w:rPr>
      </w:pPr>
    </w:p>
    <w:p w:rsidR="00102C49" w:rsidRDefault="00102C49" w:rsidP="00ED39E4">
      <w:pPr>
        <w:pStyle w:val="a3"/>
        <w:spacing w:line="360" w:lineRule="auto"/>
        <w:ind w:right="420"/>
        <w:rPr>
          <w:rFonts w:ascii="Book Antiqua" w:hAnsi="Book Antiqua"/>
          <w:sz w:val="24"/>
          <w:szCs w:val="24"/>
        </w:rPr>
      </w:pPr>
    </w:p>
    <w:p w:rsidR="00102C49" w:rsidRDefault="00102C49" w:rsidP="00ED39E4">
      <w:pPr>
        <w:pStyle w:val="a3"/>
        <w:spacing w:line="360" w:lineRule="auto"/>
        <w:ind w:right="420"/>
        <w:rPr>
          <w:rFonts w:ascii="Book Antiqua" w:hAnsi="Book Antiqua"/>
          <w:sz w:val="24"/>
          <w:szCs w:val="24"/>
        </w:rPr>
      </w:pPr>
    </w:p>
    <w:p w:rsidR="00102C49" w:rsidRDefault="00102C49" w:rsidP="00ED39E4">
      <w:pPr>
        <w:pStyle w:val="a3"/>
        <w:spacing w:line="360" w:lineRule="auto"/>
        <w:ind w:right="420"/>
        <w:rPr>
          <w:rFonts w:ascii="Book Antiqua" w:hAnsi="Book Antiqua"/>
          <w:sz w:val="24"/>
          <w:szCs w:val="24"/>
        </w:rPr>
      </w:pPr>
    </w:p>
    <w:p w:rsidR="00102C49" w:rsidRDefault="00102C49" w:rsidP="00ED39E4">
      <w:pPr>
        <w:pStyle w:val="a3"/>
        <w:spacing w:line="360" w:lineRule="auto"/>
        <w:ind w:right="420"/>
        <w:rPr>
          <w:rFonts w:ascii="Book Antiqua" w:hAnsi="Book Antiqua"/>
          <w:sz w:val="24"/>
          <w:szCs w:val="24"/>
        </w:rPr>
      </w:pPr>
    </w:p>
    <w:p w:rsidR="00102C49" w:rsidRDefault="00102C49" w:rsidP="00ED39E4">
      <w:pPr>
        <w:pStyle w:val="a3"/>
        <w:spacing w:line="360" w:lineRule="auto"/>
        <w:ind w:right="420"/>
        <w:rPr>
          <w:rFonts w:ascii="Book Antiqua" w:hAnsi="Book Antiqua"/>
          <w:sz w:val="24"/>
          <w:szCs w:val="24"/>
        </w:rPr>
      </w:pPr>
    </w:p>
    <w:p w:rsidR="00102C49" w:rsidRPr="00B849D6" w:rsidRDefault="00B849D6" w:rsidP="00ED39E4">
      <w:pPr>
        <w:pStyle w:val="a3"/>
        <w:spacing w:line="360" w:lineRule="auto"/>
        <w:ind w:right="420"/>
        <w:rPr>
          <w:rFonts w:ascii="Book Antiqua" w:hAnsi="Book Antiqua"/>
          <w:b/>
          <w:sz w:val="24"/>
          <w:szCs w:val="24"/>
        </w:rPr>
      </w:pPr>
      <w:r w:rsidRPr="00B849D6">
        <w:rPr>
          <w:rFonts w:ascii="Book Antiqua" w:hAnsi="Book Antiqua"/>
          <w:b/>
          <w:sz w:val="24"/>
          <w:szCs w:val="24"/>
        </w:rPr>
        <w:lastRenderedPageBreak/>
        <w:t>Table 1 Proposed mechanisms by which abdominal obesity causes reflux</w:t>
      </w:r>
    </w:p>
    <w:tbl>
      <w:tblPr>
        <w:tblW w:w="9925" w:type="dxa"/>
        <w:tblInd w:w="93" w:type="dxa"/>
        <w:tblBorders>
          <w:top w:val="single" w:sz="4" w:space="0" w:color="auto"/>
          <w:bottom w:val="single" w:sz="4" w:space="0" w:color="auto"/>
        </w:tblBorders>
        <w:tblLook w:val="04A0" w:firstRow="1" w:lastRow="0" w:firstColumn="1" w:lastColumn="0" w:noHBand="0" w:noVBand="1"/>
      </w:tblPr>
      <w:tblGrid>
        <w:gridCol w:w="2740"/>
        <w:gridCol w:w="7185"/>
      </w:tblGrid>
      <w:tr w:rsidR="00B849D6" w:rsidRPr="00B849D6" w:rsidTr="00B849D6">
        <w:trPr>
          <w:trHeight w:val="270"/>
        </w:trPr>
        <w:tc>
          <w:tcPr>
            <w:tcW w:w="2740" w:type="dxa"/>
            <w:shd w:val="clear" w:color="auto" w:fill="auto"/>
            <w:noWrap/>
            <w:hideMark/>
          </w:tcPr>
          <w:p w:rsidR="00B849D6" w:rsidRPr="00B849D6" w:rsidRDefault="00B849D6" w:rsidP="00B849D6">
            <w:pPr>
              <w:widowControl/>
              <w:jc w:val="left"/>
              <w:rPr>
                <w:rFonts w:ascii="Book Antiqua" w:hAnsi="Book Antiqua" w:cs="Arial"/>
                <w:color w:val="000000"/>
                <w:kern w:val="0"/>
                <w:sz w:val="24"/>
              </w:rPr>
            </w:pPr>
            <w:r w:rsidRPr="00B849D6">
              <w:rPr>
                <w:rFonts w:ascii="Book Antiqua" w:hAnsi="Book Antiqua" w:cs="Arial"/>
                <w:color w:val="000000"/>
                <w:kern w:val="0"/>
                <w:sz w:val="24"/>
              </w:rPr>
              <w:t>Mechanical factors</w:t>
            </w:r>
          </w:p>
        </w:tc>
        <w:tc>
          <w:tcPr>
            <w:tcW w:w="7185" w:type="dxa"/>
            <w:shd w:val="clear" w:color="auto" w:fill="auto"/>
            <w:noWrap/>
            <w:vAlign w:val="center"/>
            <w:hideMark/>
          </w:tcPr>
          <w:p w:rsidR="00B849D6" w:rsidRPr="00B849D6" w:rsidRDefault="00B849D6" w:rsidP="00B849D6">
            <w:pPr>
              <w:widowControl/>
              <w:rPr>
                <w:rFonts w:ascii="Book Antiqua" w:hAnsi="Book Antiqua" w:cs="Arial"/>
                <w:color w:val="000000"/>
                <w:kern w:val="0"/>
                <w:sz w:val="24"/>
              </w:rPr>
            </w:pPr>
            <w:r w:rsidRPr="00B849D6">
              <w:rPr>
                <w:rFonts w:ascii="Book Antiqua" w:hAnsi="Book Antiqua" w:cs="Arial"/>
                <w:color w:val="000000"/>
                <w:kern w:val="0"/>
                <w:sz w:val="24"/>
              </w:rPr>
              <w:t>Increased intra-gastric and gastro-esophageal pressure gradient</w:t>
            </w:r>
          </w:p>
        </w:tc>
      </w:tr>
      <w:tr w:rsidR="00B849D6" w:rsidRPr="00B849D6" w:rsidTr="00B849D6">
        <w:trPr>
          <w:trHeight w:val="270"/>
        </w:trPr>
        <w:tc>
          <w:tcPr>
            <w:tcW w:w="2740" w:type="dxa"/>
            <w:shd w:val="clear" w:color="auto" w:fill="auto"/>
            <w:noWrap/>
            <w:vAlign w:val="bottom"/>
            <w:hideMark/>
          </w:tcPr>
          <w:p w:rsidR="00B849D6" w:rsidRPr="00B849D6" w:rsidRDefault="00B849D6" w:rsidP="00B849D6">
            <w:pPr>
              <w:widowControl/>
              <w:jc w:val="left"/>
              <w:rPr>
                <w:rFonts w:ascii="Book Antiqua" w:hAnsi="Book Antiqua" w:cs="宋体"/>
                <w:color w:val="000000"/>
                <w:kern w:val="0"/>
                <w:sz w:val="24"/>
              </w:rPr>
            </w:pPr>
          </w:p>
        </w:tc>
        <w:tc>
          <w:tcPr>
            <w:tcW w:w="7185" w:type="dxa"/>
            <w:shd w:val="clear" w:color="auto" w:fill="auto"/>
            <w:noWrap/>
            <w:vAlign w:val="center"/>
            <w:hideMark/>
          </w:tcPr>
          <w:p w:rsidR="00B849D6" w:rsidRPr="00B849D6" w:rsidRDefault="00B849D6" w:rsidP="00B849D6">
            <w:pPr>
              <w:widowControl/>
              <w:rPr>
                <w:rFonts w:ascii="Book Antiqua" w:hAnsi="Book Antiqua" w:cs="Arial"/>
                <w:color w:val="000000"/>
                <w:kern w:val="0"/>
                <w:sz w:val="24"/>
              </w:rPr>
            </w:pPr>
            <w:r w:rsidRPr="00B849D6">
              <w:rPr>
                <w:rFonts w:ascii="Book Antiqua" w:hAnsi="Book Antiqua" w:cs="Arial"/>
                <w:color w:val="000000"/>
                <w:kern w:val="0"/>
                <w:sz w:val="24"/>
              </w:rPr>
              <w:t>Increased risk of Hiatal Hernia</w:t>
            </w:r>
          </w:p>
        </w:tc>
      </w:tr>
      <w:tr w:rsidR="00B849D6" w:rsidRPr="00B849D6" w:rsidTr="00B849D6">
        <w:trPr>
          <w:trHeight w:val="510"/>
        </w:trPr>
        <w:tc>
          <w:tcPr>
            <w:tcW w:w="2740" w:type="dxa"/>
            <w:shd w:val="clear" w:color="auto" w:fill="auto"/>
            <w:noWrap/>
            <w:vAlign w:val="bottom"/>
            <w:hideMark/>
          </w:tcPr>
          <w:p w:rsidR="00B849D6" w:rsidRPr="00B849D6" w:rsidRDefault="00B849D6" w:rsidP="00B849D6">
            <w:pPr>
              <w:widowControl/>
              <w:jc w:val="left"/>
              <w:rPr>
                <w:rFonts w:ascii="Book Antiqua" w:hAnsi="Book Antiqua" w:cs="宋体"/>
                <w:color w:val="000000"/>
                <w:kern w:val="0"/>
                <w:sz w:val="24"/>
              </w:rPr>
            </w:pPr>
          </w:p>
        </w:tc>
        <w:tc>
          <w:tcPr>
            <w:tcW w:w="7185" w:type="dxa"/>
            <w:shd w:val="clear" w:color="auto" w:fill="auto"/>
            <w:noWrap/>
            <w:vAlign w:val="center"/>
            <w:hideMark/>
          </w:tcPr>
          <w:p w:rsidR="00B849D6" w:rsidRPr="00B849D6" w:rsidRDefault="00B849D6" w:rsidP="00B849D6">
            <w:pPr>
              <w:widowControl/>
              <w:rPr>
                <w:rFonts w:ascii="Book Antiqua" w:hAnsi="Book Antiqua" w:cs="Arial"/>
                <w:color w:val="000000"/>
                <w:kern w:val="0"/>
                <w:sz w:val="24"/>
              </w:rPr>
            </w:pPr>
            <w:r w:rsidRPr="00B849D6">
              <w:rPr>
                <w:rFonts w:ascii="Book Antiqua" w:hAnsi="Book Antiqua" w:cs="Arial"/>
                <w:color w:val="000000"/>
                <w:kern w:val="0"/>
                <w:sz w:val="24"/>
              </w:rPr>
              <w:t>Increased sensitivity to distension-induced TLESR</w:t>
            </w:r>
          </w:p>
        </w:tc>
      </w:tr>
      <w:tr w:rsidR="00B849D6" w:rsidRPr="00B849D6" w:rsidTr="00B849D6">
        <w:trPr>
          <w:trHeight w:val="270"/>
        </w:trPr>
        <w:tc>
          <w:tcPr>
            <w:tcW w:w="2740" w:type="dxa"/>
            <w:shd w:val="clear" w:color="auto" w:fill="auto"/>
            <w:noWrap/>
            <w:vAlign w:val="bottom"/>
            <w:hideMark/>
          </w:tcPr>
          <w:p w:rsidR="00B849D6" w:rsidRPr="00B849D6" w:rsidRDefault="00B849D6" w:rsidP="00B849D6">
            <w:pPr>
              <w:widowControl/>
              <w:jc w:val="left"/>
              <w:rPr>
                <w:rFonts w:ascii="Book Antiqua" w:hAnsi="Book Antiqua" w:cs="宋体"/>
                <w:color w:val="000000"/>
                <w:kern w:val="0"/>
                <w:sz w:val="24"/>
              </w:rPr>
            </w:pPr>
          </w:p>
        </w:tc>
        <w:tc>
          <w:tcPr>
            <w:tcW w:w="7185" w:type="dxa"/>
            <w:shd w:val="clear" w:color="auto" w:fill="auto"/>
            <w:noWrap/>
            <w:vAlign w:val="center"/>
            <w:hideMark/>
          </w:tcPr>
          <w:p w:rsidR="00B849D6" w:rsidRPr="00B849D6" w:rsidRDefault="00B849D6" w:rsidP="00B849D6">
            <w:pPr>
              <w:widowControl/>
              <w:rPr>
                <w:rFonts w:ascii="Book Antiqua" w:hAnsi="Book Antiqua" w:cs="Arial"/>
                <w:color w:val="000000"/>
                <w:kern w:val="0"/>
                <w:sz w:val="24"/>
              </w:rPr>
            </w:pPr>
            <w:r w:rsidRPr="00B849D6">
              <w:rPr>
                <w:rFonts w:ascii="Book Antiqua" w:hAnsi="Book Antiqua" w:cs="Arial"/>
                <w:color w:val="000000"/>
                <w:kern w:val="0"/>
                <w:sz w:val="24"/>
              </w:rPr>
              <w:t>Decreased lower esophageal sphincter pressure</w:t>
            </w:r>
          </w:p>
        </w:tc>
      </w:tr>
      <w:tr w:rsidR="00B849D6" w:rsidRPr="00B849D6" w:rsidTr="00B849D6">
        <w:trPr>
          <w:trHeight w:val="510"/>
        </w:trPr>
        <w:tc>
          <w:tcPr>
            <w:tcW w:w="2740" w:type="dxa"/>
            <w:shd w:val="clear" w:color="auto" w:fill="auto"/>
            <w:noWrap/>
            <w:hideMark/>
          </w:tcPr>
          <w:p w:rsidR="00B849D6" w:rsidRPr="00B849D6" w:rsidRDefault="00B849D6" w:rsidP="00B849D6">
            <w:pPr>
              <w:widowControl/>
              <w:jc w:val="left"/>
              <w:rPr>
                <w:rFonts w:ascii="Book Antiqua" w:hAnsi="Book Antiqua" w:cs="Arial"/>
                <w:color w:val="000000"/>
                <w:kern w:val="0"/>
                <w:sz w:val="24"/>
              </w:rPr>
            </w:pPr>
            <w:r w:rsidRPr="00B849D6">
              <w:rPr>
                <w:rFonts w:ascii="Book Antiqua" w:hAnsi="Book Antiqua" w:cs="Arial"/>
                <w:color w:val="000000"/>
                <w:kern w:val="0"/>
                <w:sz w:val="24"/>
              </w:rPr>
              <w:t>Humoral Factors</w:t>
            </w:r>
          </w:p>
        </w:tc>
        <w:tc>
          <w:tcPr>
            <w:tcW w:w="7185" w:type="dxa"/>
            <w:shd w:val="clear" w:color="auto" w:fill="auto"/>
            <w:noWrap/>
            <w:vAlign w:val="center"/>
            <w:hideMark/>
          </w:tcPr>
          <w:p w:rsidR="00B849D6" w:rsidRPr="00B849D6" w:rsidRDefault="00B849D6" w:rsidP="00472C09">
            <w:pPr>
              <w:widowControl/>
              <w:rPr>
                <w:rFonts w:ascii="Book Antiqua" w:hAnsi="Book Antiqua" w:cs="Arial"/>
                <w:color w:val="000000"/>
                <w:kern w:val="0"/>
                <w:sz w:val="24"/>
              </w:rPr>
            </w:pPr>
            <w:r w:rsidRPr="00B849D6">
              <w:rPr>
                <w:rFonts w:ascii="Book Antiqua" w:hAnsi="Book Antiqua" w:cs="Arial"/>
                <w:color w:val="000000"/>
                <w:kern w:val="0"/>
                <w:sz w:val="24"/>
              </w:rPr>
              <w:t xml:space="preserve">Increased level of adipo-cytokines including interleukin 6 and tumor necrosis factor α  </w:t>
            </w:r>
          </w:p>
        </w:tc>
      </w:tr>
      <w:tr w:rsidR="00B849D6" w:rsidRPr="00B849D6" w:rsidTr="00B849D6">
        <w:trPr>
          <w:trHeight w:val="270"/>
        </w:trPr>
        <w:tc>
          <w:tcPr>
            <w:tcW w:w="2740" w:type="dxa"/>
            <w:shd w:val="clear" w:color="auto" w:fill="auto"/>
            <w:noWrap/>
            <w:hideMark/>
          </w:tcPr>
          <w:p w:rsidR="00B849D6" w:rsidRPr="00B849D6" w:rsidRDefault="00B849D6" w:rsidP="00B849D6">
            <w:pPr>
              <w:widowControl/>
              <w:jc w:val="left"/>
              <w:rPr>
                <w:rFonts w:ascii="Book Antiqua" w:hAnsi="Book Antiqua" w:cs="Arial"/>
                <w:color w:val="000000"/>
                <w:kern w:val="0"/>
                <w:sz w:val="24"/>
              </w:rPr>
            </w:pPr>
            <w:r w:rsidRPr="00B849D6">
              <w:rPr>
                <w:rFonts w:ascii="Book Antiqua" w:hAnsi="Book Antiqua" w:cs="Arial"/>
                <w:color w:val="000000"/>
                <w:kern w:val="0"/>
                <w:sz w:val="24"/>
              </w:rPr>
              <w:t>Motility disorders</w:t>
            </w:r>
          </w:p>
        </w:tc>
        <w:tc>
          <w:tcPr>
            <w:tcW w:w="7185" w:type="dxa"/>
            <w:shd w:val="clear" w:color="auto" w:fill="auto"/>
            <w:noWrap/>
            <w:vAlign w:val="center"/>
            <w:hideMark/>
          </w:tcPr>
          <w:p w:rsidR="00B849D6" w:rsidRPr="00B849D6" w:rsidRDefault="00B849D6" w:rsidP="00B849D6">
            <w:pPr>
              <w:widowControl/>
              <w:rPr>
                <w:rFonts w:ascii="Book Antiqua" w:hAnsi="Book Antiqua" w:cs="Arial"/>
                <w:color w:val="000000"/>
                <w:kern w:val="0"/>
                <w:sz w:val="24"/>
              </w:rPr>
            </w:pPr>
            <w:r w:rsidRPr="00B849D6">
              <w:rPr>
                <w:rFonts w:ascii="Book Antiqua" w:hAnsi="Book Antiqua" w:cs="Arial"/>
                <w:color w:val="000000"/>
                <w:kern w:val="0"/>
                <w:sz w:val="24"/>
              </w:rPr>
              <w:t>Delayed gastric empting rate and delayed esophageal clearing  time</w:t>
            </w:r>
          </w:p>
        </w:tc>
      </w:tr>
    </w:tbl>
    <w:p w:rsidR="00B849D6" w:rsidRPr="00B849D6" w:rsidRDefault="00B849D6" w:rsidP="00ED39E4">
      <w:pPr>
        <w:pStyle w:val="a3"/>
        <w:spacing w:line="360" w:lineRule="auto"/>
        <w:ind w:right="420"/>
        <w:rPr>
          <w:rFonts w:ascii="Book Antiqua" w:hAnsi="Book Antiqua"/>
          <w:sz w:val="24"/>
          <w:szCs w:val="24"/>
        </w:rPr>
      </w:pPr>
    </w:p>
    <w:p w:rsidR="00B849D6" w:rsidRDefault="00B849D6" w:rsidP="00ED39E4">
      <w:pPr>
        <w:pStyle w:val="a3"/>
        <w:spacing w:line="360" w:lineRule="auto"/>
        <w:ind w:right="420"/>
        <w:rPr>
          <w:rFonts w:ascii="Book Antiqua" w:hAnsi="Book Antiqua"/>
          <w:sz w:val="24"/>
          <w:szCs w:val="24"/>
        </w:rPr>
      </w:pPr>
      <w:r w:rsidRPr="00B849D6">
        <w:rPr>
          <w:rFonts w:ascii="Book Antiqua" w:hAnsi="Book Antiqua"/>
          <w:sz w:val="24"/>
          <w:szCs w:val="24"/>
        </w:rPr>
        <w:t>TLSER: Transient lower esophageal sphincter relaxation</w:t>
      </w:r>
      <w:r>
        <w:rPr>
          <w:rFonts w:ascii="Book Antiqua" w:hAnsi="Book Antiqua" w:hint="eastAsia"/>
          <w:sz w:val="24"/>
          <w:szCs w:val="24"/>
        </w:rPr>
        <w:t>.</w:t>
      </w:r>
    </w:p>
    <w:p w:rsidR="00B849D6" w:rsidRDefault="00B849D6" w:rsidP="00ED39E4">
      <w:pPr>
        <w:pStyle w:val="a3"/>
        <w:spacing w:line="360" w:lineRule="auto"/>
        <w:ind w:right="420"/>
        <w:rPr>
          <w:rFonts w:ascii="Book Antiqua" w:hAnsi="Book Antiqua"/>
          <w:sz w:val="24"/>
          <w:szCs w:val="24"/>
        </w:rPr>
      </w:pPr>
    </w:p>
    <w:p w:rsidR="00B849D6" w:rsidRDefault="00B849D6" w:rsidP="00ED39E4">
      <w:pPr>
        <w:pStyle w:val="a3"/>
        <w:spacing w:line="360" w:lineRule="auto"/>
        <w:ind w:right="420"/>
        <w:rPr>
          <w:rFonts w:ascii="Book Antiqua" w:hAnsi="Book Antiqua"/>
          <w:sz w:val="24"/>
          <w:szCs w:val="24"/>
        </w:rPr>
      </w:pPr>
    </w:p>
    <w:p w:rsidR="00B849D6" w:rsidRDefault="00B849D6" w:rsidP="00ED39E4">
      <w:pPr>
        <w:pStyle w:val="a3"/>
        <w:spacing w:line="360" w:lineRule="auto"/>
        <w:ind w:right="420"/>
        <w:rPr>
          <w:rFonts w:ascii="Book Antiqua" w:hAnsi="Book Antiqua"/>
          <w:sz w:val="24"/>
          <w:szCs w:val="24"/>
        </w:rPr>
      </w:pPr>
    </w:p>
    <w:p w:rsidR="00B849D6" w:rsidRDefault="00B849D6" w:rsidP="00ED39E4">
      <w:pPr>
        <w:pStyle w:val="a3"/>
        <w:spacing w:line="360" w:lineRule="auto"/>
        <w:ind w:right="420"/>
        <w:rPr>
          <w:rFonts w:ascii="Book Antiqua" w:hAnsi="Book Antiqua"/>
          <w:sz w:val="24"/>
          <w:szCs w:val="24"/>
        </w:rPr>
      </w:pPr>
    </w:p>
    <w:p w:rsidR="00102C49" w:rsidRPr="00B849D6" w:rsidRDefault="00102C49" w:rsidP="00ED39E4">
      <w:pPr>
        <w:pStyle w:val="a3"/>
        <w:spacing w:line="360" w:lineRule="auto"/>
        <w:ind w:right="420"/>
        <w:rPr>
          <w:rFonts w:ascii="Book Antiqua" w:hAnsi="Book Antiqua"/>
          <w:sz w:val="24"/>
          <w:szCs w:val="24"/>
        </w:rPr>
      </w:pPr>
    </w:p>
    <w:p w:rsidR="000906C6" w:rsidRPr="00CB4B6D" w:rsidRDefault="000906C6" w:rsidP="00ED39E4">
      <w:pPr>
        <w:spacing w:line="360" w:lineRule="auto"/>
        <w:rPr>
          <w:rFonts w:ascii="Book Antiqua" w:hAnsi="Book Antiqua"/>
          <w:sz w:val="24"/>
        </w:rPr>
      </w:pPr>
    </w:p>
    <w:sectPr w:rsidR="000906C6" w:rsidRPr="00CB4B6D" w:rsidSect="009D1A80">
      <w:footerReference w:type="even" r:id="rId8"/>
      <w:footerReference w:type="default" r:id="rId9"/>
      <w:pgSz w:w="11906" w:h="16838"/>
      <w:pgMar w:top="1440" w:right="1797" w:bottom="1440" w:left="16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774" w:rsidRDefault="00136774">
      <w:r>
        <w:separator/>
      </w:r>
    </w:p>
  </w:endnote>
  <w:endnote w:type="continuationSeparator" w:id="0">
    <w:p w:rsidR="00136774" w:rsidRDefault="00136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6C6" w:rsidRDefault="000906C6" w:rsidP="00A7385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906C6" w:rsidRDefault="000906C6" w:rsidP="00512E1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6C6" w:rsidRDefault="000906C6" w:rsidP="00A7385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4472FB">
      <w:rPr>
        <w:rStyle w:val="a6"/>
        <w:noProof/>
      </w:rPr>
      <w:t>11</w:t>
    </w:r>
    <w:r>
      <w:rPr>
        <w:rStyle w:val="a6"/>
      </w:rPr>
      <w:fldChar w:fldCharType="end"/>
    </w:r>
  </w:p>
  <w:p w:rsidR="000906C6" w:rsidRDefault="000906C6" w:rsidP="00512E1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774" w:rsidRDefault="00136774">
      <w:r>
        <w:separator/>
      </w:r>
    </w:p>
  </w:footnote>
  <w:footnote w:type="continuationSeparator" w:id="0">
    <w:p w:rsidR="00136774" w:rsidRDefault="001367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63F25"/>
    <w:multiLevelType w:val="hybridMultilevel"/>
    <w:tmpl w:val="7CA40E36"/>
    <w:lvl w:ilvl="0" w:tplc="0409000F">
      <w:start w:val="1"/>
      <w:numFmt w:val="decimal"/>
      <w:lvlText w:val="%1."/>
      <w:lvlJc w:val="left"/>
      <w:pPr>
        <w:ind w:left="607" w:hanging="420"/>
      </w:pPr>
    </w:lvl>
    <w:lvl w:ilvl="1" w:tplc="04090019" w:tentative="1">
      <w:start w:val="1"/>
      <w:numFmt w:val="lowerLetter"/>
      <w:lvlText w:val="%2)"/>
      <w:lvlJc w:val="left"/>
      <w:pPr>
        <w:ind w:left="1027" w:hanging="420"/>
      </w:pPr>
    </w:lvl>
    <w:lvl w:ilvl="2" w:tplc="0409001B" w:tentative="1">
      <w:start w:val="1"/>
      <w:numFmt w:val="lowerRoman"/>
      <w:lvlText w:val="%3."/>
      <w:lvlJc w:val="right"/>
      <w:pPr>
        <w:ind w:left="1447" w:hanging="420"/>
      </w:pPr>
    </w:lvl>
    <w:lvl w:ilvl="3" w:tplc="0409000F" w:tentative="1">
      <w:start w:val="1"/>
      <w:numFmt w:val="decimal"/>
      <w:lvlText w:val="%4."/>
      <w:lvlJc w:val="left"/>
      <w:pPr>
        <w:ind w:left="1867" w:hanging="420"/>
      </w:pPr>
    </w:lvl>
    <w:lvl w:ilvl="4" w:tplc="04090019" w:tentative="1">
      <w:start w:val="1"/>
      <w:numFmt w:val="lowerLetter"/>
      <w:lvlText w:val="%5)"/>
      <w:lvlJc w:val="left"/>
      <w:pPr>
        <w:ind w:left="2287" w:hanging="420"/>
      </w:pPr>
    </w:lvl>
    <w:lvl w:ilvl="5" w:tplc="0409001B" w:tentative="1">
      <w:start w:val="1"/>
      <w:numFmt w:val="lowerRoman"/>
      <w:lvlText w:val="%6."/>
      <w:lvlJc w:val="right"/>
      <w:pPr>
        <w:ind w:left="2707" w:hanging="420"/>
      </w:pPr>
    </w:lvl>
    <w:lvl w:ilvl="6" w:tplc="0409000F" w:tentative="1">
      <w:start w:val="1"/>
      <w:numFmt w:val="decimal"/>
      <w:lvlText w:val="%7."/>
      <w:lvlJc w:val="left"/>
      <w:pPr>
        <w:ind w:left="3127" w:hanging="420"/>
      </w:pPr>
    </w:lvl>
    <w:lvl w:ilvl="7" w:tplc="04090019" w:tentative="1">
      <w:start w:val="1"/>
      <w:numFmt w:val="lowerLetter"/>
      <w:lvlText w:val="%8)"/>
      <w:lvlJc w:val="left"/>
      <w:pPr>
        <w:ind w:left="3547" w:hanging="420"/>
      </w:pPr>
    </w:lvl>
    <w:lvl w:ilvl="8" w:tplc="0409001B" w:tentative="1">
      <w:start w:val="1"/>
      <w:numFmt w:val="lowerRoman"/>
      <w:lvlText w:val="%9."/>
      <w:lvlJc w:val="right"/>
      <w:pPr>
        <w:ind w:left="3967" w:hanging="420"/>
      </w:pPr>
    </w:lvl>
  </w:abstractNum>
  <w:abstractNum w:abstractNumId="1">
    <w:nsid w:val="641D6E88"/>
    <w:multiLevelType w:val="hybridMultilevel"/>
    <w:tmpl w:val="E5D010DC"/>
    <w:lvl w:ilvl="0" w:tplc="27B6D31E">
      <w:start w:val="1"/>
      <w:numFmt w:val="decimal"/>
      <w:lvlText w:val="%1."/>
      <w:lvlJc w:val="left"/>
      <w:pPr>
        <w:tabs>
          <w:tab w:val="num" w:pos="1065"/>
        </w:tabs>
        <w:ind w:left="1065" w:hanging="70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7C546FF0"/>
    <w:multiLevelType w:val="hybridMultilevel"/>
    <w:tmpl w:val="4F7CDE1E"/>
    <w:lvl w:ilvl="0" w:tplc="04100011">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283"/>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6D"/>
    <w:rsid w:val="0001262C"/>
    <w:rsid w:val="00013B5D"/>
    <w:rsid w:val="00020C4C"/>
    <w:rsid w:val="00052C91"/>
    <w:rsid w:val="000560C6"/>
    <w:rsid w:val="0007404E"/>
    <w:rsid w:val="000779EE"/>
    <w:rsid w:val="00084DF6"/>
    <w:rsid w:val="000906C6"/>
    <w:rsid w:val="000B3030"/>
    <w:rsid w:val="000B562D"/>
    <w:rsid w:val="000E280D"/>
    <w:rsid w:val="00101485"/>
    <w:rsid w:val="001016C1"/>
    <w:rsid w:val="00102C49"/>
    <w:rsid w:val="001209B3"/>
    <w:rsid w:val="00136774"/>
    <w:rsid w:val="00145E35"/>
    <w:rsid w:val="00182B0F"/>
    <w:rsid w:val="001A131B"/>
    <w:rsid w:val="001C4C5D"/>
    <w:rsid w:val="001E2145"/>
    <w:rsid w:val="001F6EEF"/>
    <w:rsid w:val="00206EDE"/>
    <w:rsid w:val="00207A3D"/>
    <w:rsid w:val="00211716"/>
    <w:rsid w:val="002179E4"/>
    <w:rsid w:val="00223457"/>
    <w:rsid w:val="00230BBD"/>
    <w:rsid w:val="00235422"/>
    <w:rsid w:val="00261151"/>
    <w:rsid w:val="002706E7"/>
    <w:rsid w:val="002A0C83"/>
    <w:rsid w:val="002A6F89"/>
    <w:rsid w:val="002B2E1D"/>
    <w:rsid w:val="002E37FD"/>
    <w:rsid w:val="002F0BE5"/>
    <w:rsid w:val="002F50C3"/>
    <w:rsid w:val="002F65B0"/>
    <w:rsid w:val="00307B23"/>
    <w:rsid w:val="003220DC"/>
    <w:rsid w:val="00327CDB"/>
    <w:rsid w:val="00354968"/>
    <w:rsid w:val="00365889"/>
    <w:rsid w:val="00366EE5"/>
    <w:rsid w:val="00372929"/>
    <w:rsid w:val="00375B5F"/>
    <w:rsid w:val="0038409D"/>
    <w:rsid w:val="003A1FD1"/>
    <w:rsid w:val="003A2134"/>
    <w:rsid w:val="003A4B03"/>
    <w:rsid w:val="003B1A27"/>
    <w:rsid w:val="003C1266"/>
    <w:rsid w:val="003D651B"/>
    <w:rsid w:val="00405D46"/>
    <w:rsid w:val="0041785A"/>
    <w:rsid w:val="00432A55"/>
    <w:rsid w:val="00440C0E"/>
    <w:rsid w:val="004472FB"/>
    <w:rsid w:val="00452305"/>
    <w:rsid w:val="00452E48"/>
    <w:rsid w:val="004533C2"/>
    <w:rsid w:val="00472C09"/>
    <w:rsid w:val="00476BD4"/>
    <w:rsid w:val="00482EC1"/>
    <w:rsid w:val="0049012E"/>
    <w:rsid w:val="00491BDD"/>
    <w:rsid w:val="004B73B7"/>
    <w:rsid w:val="004D48B3"/>
    <w:rsid w:val="004D5F83"/>
    <w:rsid w:val="004E09FE"/>
    <w:rsid w:val="004E30E5"/>
    <w:rsid w:val="004F539D"/>
    <w:rsid w:val="00506048"/>
    <w:rsid w:val="005115E3"/>
    <w:rsid w:val="00512E19"/>
    <w:rsid w:val="0051387C"/>
    <w:rsid w:val="0052329A"/>
    <w:rsid w:val="00542740"/>
    <w:rsid w:val="005511A4"/>
    <w:rsid w:val="00566D25"/>
    <w:rsid w:val="005923D9"/>
    <w:rsid w:val="005931D9"/>
    <w:rsid w:val="00596237"/>
    <w:rsid w:val="005A028B"/>
    <w:rsid w:val="005A17D5"/>
    <w:rsid w:val="005B3041"/>
    <w:rsid w:val="005C6935"/>
    <w:rsid w:val="005D0447"/>
    <w:rsid w:val="00600C20"/>
    <w:rsid w:val="006126BE"/>
    <w:rsid w:val="00635F35"/>
    <w:rsid w:val="00644EBE"/>
    <w:rsid w:val="00654FA4"/>
    <w:rsid w:val="0065527F"/>
    <w:rsid w:val="00676E1E"/>
    <w:rsid w:val="006822AC"/>
    <w:rsid w:val="006849B5"/>
    <w:rsid w:val="006A06A3"/>
    <w:rsid w:val="006B2CC3"/>
    <w:rsid w:val="006B30D1"/>
    <w:rsid w:val="006B3802"/>
    <w:rsid w:val="006C2F19"/>
    <w:rsid w:val="006C43EA"/>
    <w:rsid w:val="006C63F4"/>
    <w:rsid w:val="006E0F90"/>
    <w:rsid w:val="00706342"/>
    <w:rsid w:val="00727661"/>
    <w:rsid w:val="0073019A"/>
    <w:rsid w:val="0074617A"/>
    <w:rsid w:val="00770C47"/>
    <w:rsid w:val="00772E19"/>
    <w:rsid w:val="007768C1"/>
    <w:rsid w:val="007901E1"/>
    <w:rsid w:val="0079782B"/>
    <w:rsid w:val="007A050A"/>
    <w:rsid w:val="007A463B"/>
    <w:rsid w:val="007B46C8"/>
    <w:rsid w:val="007B651C"/>
    <w:rsid w:val="007B743C"/>
    <w:rsid w:val="007D6736"/>
    <w:rsid w:val="007D6A93"/>
    <w:rsid w:val="007E7E70"/>
    <w:rsid w:val="007F751F"/>
    <w:rsid w:val="008078C0"/>
    <w:rsid w:val="00813EF4"/>
    <w:rsid w:val="0082345F"/>
    <w:rsid w:val="00824A91"/>
    <w:rsid w:val="0084773C"/>
    <w:rsid w:val="00856F3E"/>
    <w:rsid w:val="00890DFB"/>
    <w:rsid w:val="008A1380"/>
    <w:rsid w:val="008A344B"/>
    <w:rsid w:val="008B672B"/>
    <w:rsid w:val="008B7714"/>
    <w:rsid w:val="008C2122"/>
    <w:rsid w:val="008D12B7"/>
    <w:rsid w:val="008D2806"/>
    <w:rsid w:val="008D7817"/>
    <w:rsid w:val="00905DA1"/>
    <w:rsid w:val="00916301"/>
    <w:rsid w:val="00916509"/>
    <w:rsid w:val="00923EB5"/>
    <w:rsid w:val="00942091"/>
    <w:rsid w:val="009424C7"/>
    <w:rsid w:val="00972F56"/>
    <w:rsid w:val="00975DA1"/>
    <w:rsid w:val="00977254"/>
    <w:rsid w:val="00980160"/>
    <w:rsid w:val="0099373F"/>
    <w:rsid w:val="009B4F85"/>
    <w:rsid w:val="009B7483"/>
    <w:rsid w:val="009D1A80"/>
    <w:rsid w:val="009E0CDD"/>
    <w:rsid w:val="009F4BE5"/>
    <w:rsid w:val="009F5DEA"/>
    <w:rsid w:val="00A05322"/>
    <w:rsid w:val="00A054D9"/>
    <w:rsid w:val="00A16BED"/>
    <w:rsid w:val="00A35B9E"/>
    <w:rsid w:val="00A44F8C"/>
    <w:rsid w:val="00A6208E"/>
    <w:rsid w:val="00A7385E"/>
    <w:rsid w:val="00A76A5A"/>
    <w:rsid w:val="00A8027A"/>
    <w:rsid w:val="00A93340"/>
    <w:rsid w:val="00A9765C"/>
    <w:rsid w:val="00AB5640"/>
    <w:rsid w:val="00AB768E"/>
    <w:rsid w:val="00AC0170"/>
    <w:rsid w:val="00AC2FC2"/>
    <w:rsid w:val="00AC4FF9"/>
    <w:rsid w:val="00AD5DB9"/>
    <w:rsid w:val="00AE19F7"/>
    <w:rsid w:val="00AE7C98"/>
    <w:rsid w:val="00AF79F8"/>
    <w:rsid w:val="00B0685E"/>
    <w:rsid w:val="00B06A1F"/>
    <w:rsid w:val="00B26FB3"/>
    <w:rsid w:val="00B27C3E"/>
    <w:rsid w:val="00B34FD6"/>
    <w:rsid w:val="00B4226C"/>
    <w:rsid w:val="00B54EA3"/>
    <w:rsid w:val="00B64398"/>
    <w:rsid w:val="00B70ECF"/>
    <w:rsid w:val="00B81A51"/>
    <w:rsid w:val="00B8278C"/>
    <w:rsid w:val="00B83C3D"/>
    <w:rsid w:val="00B83C6D"/>
    <w:rsid w:val="00B849D6"/>
    <w:rsid w:val="00B873B5"/>
    <w:rsid w:val="00BA33B5"/>
    <w:rsid w:val="00BB432C"/>
    <w:rsid w:val="00BC3E1D"/>
    <w:rsid w:val="00C00F16"/>
    <w:rsid w:val="00C13B2A"/>
    <w:rsid w:val="00C265D6"/>
    <w:rsid w:val="00C4127A"/>
    <w:rsid w:val="00C42D01"/>
    <w:rsid w:val="00C45053"/>
    <w:rsid w:val="00C64E91"/>
    <w:rsid w:val="00C724C9"/>
    <w:rsid w:val="00C76D11"/>
    <w:rsid w:val="00C81CD6"/>
    <w:rsid w:val="00C855E7"/>
    <w:rsid w:val="00C9559E"/>
    <w:rsid w:val="00C96FED"/>
    <w:rsid w:val="00CA0DC2"/>
    <w:rsid w:val="00CA1774"/>
    <w:rsid w:val="00CB4B6D"/>
    <w:rsid w:val="00CE4867"/>
    <w:rsid w:val="00CE6336"/>
    <w:rsid w:val="00CE6EFE"/>
    <w:rsid w:val="00D02351"/>
    <w:rsid w:val="00D16A02"/>
    <w:rsid w:val="00D244A8"/>
    <w:rsid w:val="00D36FA7"/>
    <w:rsid w:val="00D6041F"/>
    <w:rsid w:val="00D733AC"/>
    <w:rsid w:val="00D76BC6"/>
    <w:rsid w:val="00D876AA"/>
    <w:rsid w:val="00D9080F"/>
    <w:rsid w:val="00D9118E"/>
    <w:rsid w:val="00DA76A4"/>
    <w:rsid w:val="00DB0E49"/>
    <w:rsid w:val="00DB1FBF"/>
    <w:rsid w:val="00DC212F"/>
    <w:rsid w:val="00DC3957"/>
    <w:rsid w:val="00DC7049"/>
    <w:rsid w:val="00DD15D8"/>
    <w:rsid w:val="00DD22C3"/>
    <w:rsid w:val="00DF2EB6"/>
    <w:rsid w:val="00DF649E"/>
    <w:rsid w:val="00E11424"/>
    <w:rsid w:val="00E2254B"/>
    <w:rsid w:val="00E24053"/>
    <w:rsid w:val="00E32BE7"/>
    <w:rsid w:val="00E45C3D"/>
    <w:rsid w:val="00E4695C"/>
    <w:rsid w:val="00E636C4"/>
    <w:rsid w:val="00E65FB1"/>
    <w:rsid w:val="00E67817"/>
    <w:rsid w:val="00E7046F"/>
    <w:rsid w:val="00E816D4"/>
    <w:rsid w:val="00E85100"/>
    <w:rsid w:val="00EA4B33"/>
    <w:rsid w:val="00EB3A24"/>
    <w:rsid w:val="00EB7FEE"/>
    <w:rsid w:val="00ED39E4"/>
    <w:rsid w:val="00EE4E32"/>
    <w:rsid w:val="00EE7183"/>
    <w:rsid w:val="00F011D6"/>
    <w:rsid w:val="00F140F6"/>
    <w:rsid w:val="00F17D5B"/>
    <w:rsid w:val="00F51AB0"/>
    <w:rsid w:val="00F53988"/>
    <w:rsid w:val="00F67C89"/>
    <w:rsid w:val="00F87850"/>
    <w:rsid w:val="00F91EC8"/>
    <w:rsid w:val="00FA661E"/>
    <w:rsid w:val="00FB03B4"/>
    <w:rsid w:val="00FB055F"/>
    <w:rsid w:val="00FB5D74"/>
    <w:rsid w:val="00FB6422"/>
    <w:rsid w:val="00FD6FD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B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B83C6D"/>
    <w:rPr>
      <w:rFonts w:ascii="Courier New" w:hAnsi="Courier New"/>
      <w:sz w:val="20"/>
      <w:szCs w:val="20"/>
    </w:rPr>
  </w:style>
  <w:style w:type="character" w:customStyle="1" w:styleId="Char">
    <w:name w:val="纯文本 Char"/>
    <w:link w:val="a3"/>
    <w:uiPriority w:val="99"/>
    <w:semiHidden/>
    <w:locked/>
    <w:rsid w:val="00084DF6"/>
    <w:rPr>
      <w:rFonts w:ascii="Courier New" w:hAnsi="Courier New" w:cs="Times New Roman"/>
      <w:kern w:val="2"/>
      <w:sz w:val="20"/>
      <w:lang w:val="en-US" w:eastAsia="zh-CN"/>
    </w:rPr>
  </w:style>
  <w:style w:type="character" w:styleId="a4">
    <w:name w:val="Hyperlink"/>
    <w:uiPriority w:val="99"/>
    <w:rsid w:val="00DF649E"/>
    <w:rPr>
      <w:rFonts w:cs="Times New Roman"/>
      <w:color w:val="0000FF"/>
      <w:u w:val="single"/>
    </w:rPr>
  </w:style>
  <w:style w:type="paragraph" w:styleId="a5">
    <w:name w:val="footer"/>
    <w:basedOn w:val="a"/>
    <w:link w:val="Char0"/>
    <w:uiPriority w:val="99"/>
    <w:rsid w:val="00512E19"/>
    <w:pPr>
      <w:tabs>
        <w:tab w:val="center" w:pos="4153"/>
        <w:tab w:val="right" w:pos="8306"/>
      </w:tabs>
      <w:snapToGrid w:val="0"/>
      <w:jc w:val="left"/>
    </w:pPr>
    <w:rPr>
      <w:sz w:val="24"/>
    </w:rPr>
  </w:style>
  <w:style w:type="character" w:customStyle="1" w:styleId="Char0">
    <w:name w:val="页脚 Char"/>
    <w:link w:val="a5"/>
    <w:uiPriority w:val="99"/>
    <w:semiHidden/>
    <w:locked/>
    <w:rsid w:val="00084DF6"/>
    <w:rPr>
      <w:rFonts w:cs="Times New Roman"/>
      <w:kern w:val="2"/>
      <w:sz w:val="24"/>
      <w:lang w:val="en-US" w:eastAsia="zh-CN"/>
    </w:rPr>
  </w:style>
  <w:style w:type="character" w:styleId="a6">
    <w:name w:val="page number"/>
    <w:uiPriority w:val="99"/>
    <w:rsid w:val="00512E19"/>
    <w:rPr>
      <w:rFonts w:cs="Times New Roman"/>
    </w:rPr>
  </w:style>
  <w:style w:type="character" w:styleId="a7">
    <w:name w:val="Strong"/>
    <w:uiPriority w:val="22"/>
    <w:qFormat/>
    <w:rsid w:val="009424C7"/>
    <w:rPr>
      <w:rFonts w:cs="Times New Roman"/>
      <w:b/>
    </w:rPr>
  </w:style>
  <w:style w:type="paragraph" w:customStyle="1" w:styleId="ListParagraph1">
    <w:name w:val="List Paragraph1"/>
    <w:basedOn w:val="a"/>
    <w:uiPriority w:val="99"/>
    <w:rsid w:val="0079782B"/>
    <w:pPr>
      <w:widowControl/>
      <w:spacing w:after="200" w:line="276" w:lineRule="auto"/>
      <w:ind w:left="720"/>
      <w:contextualSpacing/>
      <w:jc w:val="left"/>
    </w:pPr>
    <w:rPr>
      <w:rFonts w:ascii="Calibri" w:hAnsi="Calibri"/>
      <w:kern w:val="0"/>
      <w:sz w:val="22"/>
      <w:szCs w:val="22"/>
      <w:lang w:val="it-IT" w:eastAsia="en-US"/>
    </w:rPr>
  </w:style>
  <w:style w:type="character" w:customStyle="1" w:styleId="label2">
    <w:name w:val="label2"/>
    <w:uiPriority w:val="99"/>
    <w:rsid w:val="00101485"/>
  </w:style>
  <w:style w:type="character" w:customStyle="1" w:styleId="databold1">
    <w:name w:val="data_bold1"/>
    <w:uiPriority w:val="99"/>
    <w:rsid w:val="00101485"/>
    <w:rPr>
      <w:b/>
    </w:rPr>
  </w:style>
  <w:style w:type="character" w:styleId="a8">
    <w:name w:val="annotation reference"/>
    <w:uiPriority w:val="99"/>
    <w:semiHidden/>
    <w:rsid w:val="005B3041"/>
    <w:rPr>
      <w:rFonts w:cs="Times New Roman"/>
      <w:sz w:val="21"/>
    </w:rPr>
  </w:style>
  <w:style w:type="paragraph" w:styleId="a9">
    <w:name w:val="annotation text"/>
    <w:basedOn w:val="a"/>
    <w:link w:val="Char1"/>
    <w:uiPriority w:val="99"/>
    <w:semiHidden/>
    <w:rsid w:val="005B3041"/>
    <w:pPr>
      <w:jc w:val="left"/>
    </w:pPr>
  </w:style>
  <w:style w:type="character" w:customStyle="1" w:styleId="Char1">
    <w:name w:val="批注文字 Char"/>
    <w:link w:val="a9"/>
    <w:uiPriority w:val="99"/>
    <w:semiHidden/>
    <w:locked/>
    <w:rsid w:val="005B3041"/>
    <w:rPr>
      <w:rFonts w:cs="Times New Roman"/>
      <w:kern w:val="2"/>
      <w:sz w:val="24"/>
      <w:lang w:val="en-US" w:eastAsia="zh-CN"/>
    </w:rPr>
  </w:style>
  <w:style w:type="paragraph" w:styleId="aa">
    <w:name w:val="annotation subject"/>
    <w:basedOn w:val="a9"/>
    <w:next w:val="a9"/>
    <w:link w:val="Char2"/>
    <w:uiPriority w:val="99"/>
    <w:semiHidden/>
    <w:rsid w:val="005B3041"/>
    <w:rPr>
      <w:b/>
      <w:bCs/>
    </w:rPr>
  </w:style>
  <w:style w:type="character" w:customStyle="1" w:styleId="Char2">
    <w:name w:val="批注主题 Char"/>
    <w:link w:val="aa"/>
    <w:uiPriority w:val="99"/>
    <w:semiHidden/>
    <w:locked/>
    <w:rsid w:val="005B3041"/>
    <w:rPr>
      <w:rFonts w:cs="Times New Roman"/>
      <w:b/>
      <w:kern w:val="2"/>
      <w:sz w:val="24"/>
      <w:lang w:val="en-US" w:eastAsia="zh-CN"/>
    </w:rPr>
  </w:style>
  <w:style w:type="paragraph" w:styleId="ab">
    <w:name w:val="Balloon Text"/>
    <w:basedOn w:val="a"/>
    <w:link w:val="Char3"/>
    <w:uiPriority w:val="99"/>
    <w:semiHidden/>
    <w:rsid w:val="005B3041"/>
    <w:rPr>
      <w:sz w:val="18"/>
      <w:szCs w:val="18"/>
    </w:rPr>
  </w:style>
  <w:style w:type="character" w:customStyle="1" w:styleId="Char3">
    <w:name w:val="批注框文本 Char"/>
    <w:link w:val="ab"/>
    <w:uiPriority w:val="99"/>
    <w:semiHidden/>
    <w:locked/>
    <w:rsid w:val="005B3041"/>
    <w:rPr>
      <w:rFonts w:cs="Times New Roman"/>
      <w:kern w:val="2"/>
      <w:sz w:val="18"/>
      <w:lang w:val="en-US" w:eastAsia="zh-CN"/>
    </w:rPr>
  </w:style>
  <w:style w:type="paragraph" w:styleId="ac">
    <w:name w:val="header"/>
    <w:basedOn w:val="a"/>
    <w:link w:val="Char4"/>
    <w:uiPriority w:val="99"/>
    <w:unhideWhenUsed/>
    <w:rsid w:val="00482EC1"/>
    <w:pPr>
      <w:pBdr>
        <w:bottom w:val="single" w:sz="6" w:space="1" w:color="auto"/>
      </w:pBdr>
      <w:tabs>
        <w:tab w:val="center" w:pos="4153"/>
        <w:tab w:val="right" w:pos="8306"/>
      </w:tabs>
      <w:snapToGrid w:val="0"/>
      <w:jc w:val="center"/>
    </w:pPr>
    <w:rPr>
      <w:sz w:val="18"/>
      <w:szCs w:val="18"/>
    </w:rPr>
  </w:style>
  <w:style w:type="character" w:customStyle="1" w:styleId="Char4">
    <w:name w:val="页眉 Char"/>
    <w:link w:val="ac"/>
    <w:uiPriority w:val="99"/>
    <w:rsid w:val="00482EC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B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B83C6D"/>
    <w:rPr>
      <w:rFonts w:ascii="Courier New" w:hAnsi="Courier New"/>
      <w:sz w:val="20"/>
      <w:szCs w:val="20"/>
    </w:rPr>
  </w:style>
  <w:style w:type="character" w:customStyle="1" w:styleId="Char">
    <w:name w:val="纯文本 Char"/>
    <w:link w:val="a3"/>
    <w:uiPriority w:val="99"/>
    <w:semiHidden/>
    <w:locked/>
    <w:rsid w:val="00084DF6"/>
    <w:rPr>
      <w:rFonts w:ascii="Courier New" w:hAnsi="Courier New" w:cs="Times New Roman"/>
      <w:kern w:val="2"/>
      <w:sz w:val="20"/>
      <w:lang w:val="en-US" w:eastAsia="zh-CN"/>
    </w:rPr>
  </w:style>
  <w:style w:type="character" w:styleId="a4">
    <w:name w:val="Hyperlink"/>
    <w:uiPriority w:val="99"/>
    <w:rsid w:val="00DF649E"/>
    <w:rPr>
      <w:rFonts w:cs="Times New Roman"/>
      <w:color w:val="0000FF"/>
      <w:u w:val="single"/>
    </w:rPr>
  </w:style>
  <w:style w:type="paragraph" w:styleId="a5">
    <w:name w:val="footer"/>
    <w:basedOn w:val="a"/>
    <w:link w:val="Char0"/>
    <w:uiPriority w:val="99"/>
    <w:rsid w:val="00512E19"/>
    <w:pPr>
      <w:tabs>
        <w:tab w:val="center" w:pos="4153"/>
        <w:tab w:val="right" w:pos="8306"/>
      </w:tabs>
      <w:snapToGrid w:val="0"/>
      <w:jc w:val="left"/>
    </w:pPr>
    <w:rPr>
      <w:sz w:val="24"/>
    </w:rPr>
  </w:style>
  <w:style w:type="character" w:customStyle="1" w:styleId="Char0">
    <w:name w:val="页脚 Char"/>
    <w:link w:val="a5"/>
    <w:uiPriority w:val="99"/>
    <w:semiHidden/>
    <w:locked/>
    <w:rsid w:val="00084DF6"/>
    <w:rPr>
      <w:rFonts w:cs="Times New Roman"/>
      <w:kern w:val="2"/>
      <w:sz w:val="24"/>
      <w:lang w:val="en-US" w:eastAsia="zh-CN"/>
    </w:rPr>
  </w:style>
  <w:style w:type="character" w:styleId="a6">
    <w:name w:val="page number"/>
    <w:uiPriority w:val="99"/>
    <w:rsid w:val="00512E19"/>
    <w:rPr>
      <w:rFonts w:cs="Times New Roman"/>
    </w:rPr>
  </w:style>
  <w:style w:type="character" w:styleId="a7">
    <w:name w:val="Strong"/>
    <w:uiPriority w:val="22"/>
    <w:qFormat/>
    <w:rsid w:val="009424C7"/>
    <w:rPr>
      <w:rFonts w:cs="Times New Roman"/>
      <w:b/>
    </w:rPr>
  </w:style>
  <w:style w:type="paragraph" w:customStyle="1" w:styleId="ListParagraph1">
    <w:name w:val="List Paragraph1"/>
    <w:basedOn w:val="a"/>
    <w:uiPriority w:val="99"/>
    <w:rsid w:val="0079782B"/>
    <w:pPr>
      <w:widowControl/>
      <w:spacing w:after="200" w:line="276" w:lineRule="auto"/>
      <w:ind w:left="720"/>
      <w:contextualSpacing/>
      <w:jc w:val="left"/>
    </w:pPr>
    <w:rPr>
      <w:rFonts w:ascii="Calibri" w:hAnsi="Calibri"/>
      <w:kern w:val="0"/>
      <w:sz w:val="22"/>
      <w:szCs w:val="22"/>
      <w:lang w:val="it-IT" w:eastAsia="en-US"/>
    </w:rPr>
  </w:style>
  <w:style w:type="character" w:customStyle="1" w:styleId="label2">
    <w:name w:val="label2"/>
    <w:uiPriority w:val="99"/>
    <w:rsid w:val="00101485"/>
  </w:style>
  <w:style w:type="character" w:customStyle="1" w:styleId="databold1">
    <w:name w:val="data_bold1"/>
    <w:uiPriority w:val="99"/>
    <w:rsid w:val="00101485"/>
    <w:rPr>
      <w:b/>
    </w:rPr>
  </w:style>
  <w:style w:type="character" w:styleId="a8">
    <w:name w:val="annotation reference"/>
    <w:uiPriority w:val="99"/>
    <w:semiHidden/>
    <w:rsid w:val="005B3041"/>
    <w:rPr>
      <w:rFonts w:cs="Times New Roman"/>
      <w:sz w:val="21"/>
    </w:rPr>
  </w:style>
  <w:style w:type="paragraph" w:styleId="a9">
    <w:name w:val="annotation text"/>
    <w:basedOn w:val="a"/>
    <w:link w:val="Char1"/>
    <w:uiPriority w:val="99"/>
    <w:semiHidden/>
    <w:rsid w:val="005B3041"/>
    <w:pPr>
      <w:jc w:val="left"/>
    </w:pPr>
  </w:style>
  <w:style w:type="character" w:customStyle="1" w:styleId="Char1">
    <w:name w:val="批注文字 Char"/>
    <w:link w:val="a9"/>
    <w:uiPriority w:val="99"/>
    <w:semiHidden/>
    <w:locked/>
    <w:rsid w:val="005B3041"/>
    <w:rPr>
      <w:rFonts w:cs="Times New Roman"/>
      <w:kern w:val="2"/>
      <w:sz w:val="24"/>
      <w:lang w:val="en-US" w:eastAsia="zh-CN"/>
    </w:rPr>
  </w:style>
  <w:style w:type="paragraph" w:styleId="aa">
    <w:name w:val="annotation subject"/>
    <w:basedOn w:val="a9"/>
    <w:next w:val="a9"/>
    <w:link w:val="Char2"/>
    <w:uiPriority w:val="99"/>
    <w:semiHidden/>
    <w:rsid w:val="005B3041"/>
    <w:rPr>
      <w:b/>
      <w:bCs/>
    </w:rPr>
  </w:style>
  <w:style w:type="character" w:customStyle="1" w:styleId="Char2">
    <w:name w:val="批注主题 Char"/>
    <w:link w:val="aa"/>
    <w:uiPriority w:val="99"/>
    <w:semiHidden/>
    <w:locked/>
    <w:rsid w:val="005B3041"/>
    <w:rPr>
      <w:rFonts w:cs="Times New Roman"/>
      <w:b/>
      <w:kern w:val="2"/>
      <w:sz w:val="24"/>
      <w:lang w:val="en-US" w:eastAsia="zh-CN"/>
    </w:rPr>
  </w:style>
  <w:style w:type="paragraph" w:styleId="ab">
    <w:name w:val="Balloon Text"/>
    <w:basedOn w:val="a"/>
    <w:link w:val="Char3"/>
    <w:uiPriority w:val="99"/>
    <w:semiHidden/>
    <w:rsid w:val="005B3041"/>
    <w:rPr>
      <w:sz w:val="18"/>
      <w:szCs w:val="18"/>
    </w:rPr>
  </w:style>
  <w:style w:type="character" w:customStyle="1" w:styleId="Char3">
    <w:name w:val="批注框文本 Char"/>
    <w:link w:val="ab"/>
    <w:uiPriority w:val="99"/>
    <w:semiHidden/>
    <w:locked/>
    <w:rsid w:val="005B3041"/>
    <w:rPr>
      <w:rFonts w:cs="Times New Roman"/>
      <w:kern w:val="2"/>
      <w:sz w:val="18"/>
      <w:lang w:val="en-US" w:eastAsia="zh-CN"/>
    </w:rPr>
  </w:style>
  <w:style w:type="paragraph" w:styleId="ac">
    <w:name w:val="header"/>
    <w:basedOn w:val="a"/>
    <w:link w:val="Char4"/>
    <w:uiPriority w:val="99"/>
    <w:unhideWhenUsed/>
    <w:rsid w:val="00482EC1"/>
    <w:pPr>
      <w:pBdr>
        <w:bottom w:val="single" w:sz="6" w:space="1" w:color="auto"/>
      </w:pBdr>
      <w:tabs>
        <w:tab w:val="center" w:pos="4153"/>
        <w:tab w:val="right" w:pos="8306"/>
      </w:tabs>
      <w:snapToGrid w:val="0"/>
      <w:jc w:val="center"/>
    </w:pPr>
    <w:rPr>
      <w:sz w:val="18"/>
      <w:szCs w:val="18"/>
    </w:rPr>
  </w:style>
  <w:style w:type="character" w:customStyle="1" w:styleId="Char4">
    <w:name w:val="页眉 Char"/>
    <w:link w:val="ac"/>
    <w:uiPriority w:val="99"/>
    <w:rsid w:val="00482EC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2103">
      <w:marLeft w:val="0"/>
      <w:marRight w:val="0"/>
      <w:marTop w:val="0"/>
      <w:marBottom w:val="0"/>
      <w:divBdr>
        <w:top w:val="none" w:sz="0" w:space="0" w:color="auto"/>
        <w:left w:val="none" w:sz="0" w:space="0" w:color="auto"/>
        <w:bottom w:val="none" w:sz="0" w:space="0" w:color="auto"/>
        <w:right w:val="none" w:sz="0" w:space="0" w:color="auto"/>
      </w:divBdr>
      <w:divsChild>
        <w:div w:id="208612139">
          <w:marLeft w:val="0"/>
          <w:marRight w:val="0"/>
          <w:marTop w:val="0"/>
          <w:marBottom w:val="0"/>
          <w:divBdr>
            <w:top w:val="none" w:sz="0" w:space="0" w:color="auto"/>
            <w:left w:val="none" w:sz="0" w:space="0" w:color="auto"/>
            <w:bottom w:val="none" w:sz="0" w:space="0" w:color="auto"/>
            <w:right w:val="none" w:sz="0" w:space="0" w:color="auto"/>
          </w:divBdr>
          <w:divsChild>
            <w:div w:id="208612190">
              <w:marLeft w:val="0"/>
              <w:marRight w:val="0"/>
              <w:marTop w:val="0"/>
              <w:marBottom w:val="0"/>
              <w:divBdr>
                <w:top w:val="none" w:sz="0" w:space="0" w:color="auto"/>
                <w:left w:val="none" w:sz="0" w:space="0" w:color="auto"/>
                <w:bottom w:val="none" w:sz="0" w:space="0" w:color="auto"/>
                <w:right w:val="none" w:sz="0" w:space="0" w:color="auto"/>
              </w:divBdr>
              <w:divsChild>
                <w:div w:id="208612125">
                  <w:marLeft w:val="0"/>
                  <w:marRight w:val="0"/>
                  <w:marTop w:val="0"/>
                  <w:marBottom w:val="0"/>
                  <w:divBdr>
                    <w:top w:val="none" w:sz="0" w:space="0" w:color="auto"/>
                    <w:left w:val="none" w:sz="0" w:space="0" w:color="auto"/>
                    <w:bottom w:val="none" w:sz="0" w:space="0" w:color="auto"/>
                    <w:right w:val="none" w:sz="0" w:space="0" w:color="auto"/>
                  </w:divBdr>
                  <w:divsChild>
                    <w:div w:id="208612130">
                      <w:marLeft w:val="0"/>
                      <w:marRight w:val="0"/>
                      <w:marTop w:val="0"/>
                      <w:marBottom w:val="0"/>
                      <w:divBdr>
                        <w:top w:val="none" w:sz="0" w:space="0" w:color="auto"/>
                        <w:left w:val="none" w:sz="0" w:space="0" w:color="auto"/>
                        <w:bottom w:val="none" w:sz="0" w:space="0" w:color="auto"/>
                        <w:right w:val="none" w:sz="0" w:space="0" w:color="auto"/>
                      </w:divBdr>
                      <w:divsChild>
                        <w:div w:id="208612186">
                          <w:marLeft w:val="0"/>
                          <w:marRight w:val="0"/>
                          <w:marTop w:val="0"/>
                          <w:marBottom w:val="0"/>
                          <w:divBdr>
                            <w:top w:val="none" w:sz="0" w:space="0" w:color="auto"/>
                            <w:left w:val="none" w:sz="0" w:space="0" w:color="auto"/>
                            <w:bottom w:val="none" w:sz="0" w:space="0" w:color="auto"/>
                            <w:right w:val="none" w:sz="0" w:space="0" w:color="auto"/>
                          </w:divBdr>
                          <w:divsChild>
                            <w:div w:id="208612121">
                              <w:marLeft w:val="0"/>
                              <w:marRight w:val="0"/>
                              <w:marTop w:val="0"/>
                              <w:marBottom w:val="0"/>
                              <w:divBdr>
                                <w:top w:val="none" w:sz="0" w:space="0" w:color="auto"/>
                                <w:left w:val="none" w:sz="0" w:space="0" w:color="auto"/>
                                <w:bottom w:val="none" w:sz="0" w:space="0" w:color="auto"/>
                                <w:right w:val="none" w:sz="0" w:space="0" w:color="auto"/>
                              </w:divBdr>
                              <w:divsChild>
                                <w:div w:id="20861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12105">
      <w:marLeft w:val="0"/>
      <w:marRight w:val="0"/>
      <w:marTop w:val="0"/>
      <w:marBottom w:val="0"/>
      <w:divBdr>
        <w:top w:val="none" w:sz="0" w:space="0" w:color="auto"/>
        <w:left w:val="none" w:sz="0" w:space="0" w:color="auto"/>
        <w:bottom w:val="none" w:sz="0" w:space="0" w:color="auto"/>
        <w:right w:val="none" w:sz="0" w:space="0" w:color="auto"/>
      </w:divBdr>
      <w:divsChild>
        <w:div w:id="208612106">
          <w:marLeft w:val="0"/>
          <w:marRight w:val="0"/>
          <w:marTop w:val="0"/>
          <w:marBottom w:val="0"/>
          <w:divBdr>
            <w:top w:val="none" w:sz="0" w:space="0" w:color="auto"/>
            <w:left w:val="none" w:sz="0" w:space="0" w:color="auto"/>
            <w:bottom w:val="none" w:sz="0" w:space="0" w:color="auto"/>
            <w:right w:val="none" w:sz="0" w:space="0" w:color="auto"/>
          </w:divBdr>
          <w:divsChild>
            <w:div w:id="208612144">
              <w:marLeft w:val="0"/>
              <w:marRight w:val="0"/>
              <w:marTop w:val="0"/>
              <w:marBottom w:val="0"/>
              <w:divBdr>
                <w:top w:val="none" w:sz="0" w:space="0" w:color="auto"/>
                <w:left w:val="none" w:sz="0" w:space="0" w:color="auto"/>
                <w:bottom w:val="none" w:sz="0" w:space="0" w:color="auto"/>
                <w:right w:val="none" w:sz="0" w:space="0" w:color="auto"/>
              </w:divBdr>
              <w:divsChild>
                <w:div w:id="208612203">
                  <w:marLeft w:val="0"/>
                  <w:marRight w:val="0"/>
                  <w:marTop w:val="0"/>
                  <w:marBottom w:val="0"/>
                  <w:divBdr>
                    <w:top w:val="none" w:sz="0" w:space="0" w:color="auto"/>
                    <w:left w:val="none" w:sz="0" w:space="0" w:color="auto"/>
                    <w:bottom w:val="none" w:sz="0" w:space="0" w:color="auto"/>
                    <w:right w:val="none" w:sz="0" w:space="0" w:color="auto"/>
                  </w:divBdr>
                  <w:divsChild>
                    <w:div w:id="208612142">
                      <w:marLeft w:val="0"/>
                      <w:marRight w:val="0"/>
                      <w:marTop w:val="0"/>
                      <w:marBottom w:val="0"/>
                      <w:divBdr>
                        <w:top w:val="none" w:sz="0" w:space="0" w:color="auto"/>
                        <w:left w:val="none" w:sz="0" w:space="0" w:color="auto"/>
                        <w:bottom w:val="none" w:sz="0" w:space="0" w:color="auto"/>
                        <w:right w:val="none" w:sz="0" w:space="0" w:color="auto"/>
                      </w:divBdr>
                      <w:divsChild>
                        <w:div w:id="208612167">
                          <w:marLeft w:val="0"/>
                          <w:marRight w:val="0"/>
                          <w:marTop w:val="0"/>
                          <w:marBottom w:val="0"/>
                          <w:divBdr>
                            <w:top w:val="none" w:sz="0" w:space="0" w:color="auto"/>
                            <w:left w:val="none" w:sz="0" w:space="0" w:color="auto"/>
                            <w:bottom w:val="none" w:sz="0" w:space="0" w:color="auto"/>
                            <w:right w:val="none" w:sz="0" w:space="0" w:color="auto"/>
                          </w:divBdr>
                          <w:divsChild>
                            <w:div w:id="208612166">
                              <w:marLeft w:val="0"/>
                              <w:marRight w:val="0"/>
                              <w:marTop w:val="0"/>
                              <w:marBottom w:val="0"/>
                              <w:divBdr>
                                <w:top w:val="none" w:sz="0" w:space="0" w:color="auto"/>
                                <w:left w:val="none" w:sz="0" w:space="0" w:color="auto"/>
                                <w:bottom w:val="none" w:sz="0" w:space="0" w:color="auto"/>
                                <w:right w:val="none" w:sz="0" w:space="0" w:color="auto"/>
                              </w:divBdr>
                              <w:divsChild>
                                <w:div w:id="208612170">
                                  <w:marLeft w:val="0"/>
                                  <w:marRight w:val="0"/>
                                  <w:marTop w:val="0"/>
                                  <w:marBottom w:val="0"/>
                                  <w:divBdr>
                                    <w:top w:val="none" w:sz="0" w:space="0" w:color="auto"/>
                                    <w:left w:val="none" w:sz="0" w:space="0" w:color="auto"/>
                                    <w:bottom w:val="none" w:sz="0" w:space="0" w:color="auto"/>
                                    <w:right w:val="none" w:sz="0" w:space="0" w:color="auto"/>
                                  </w:divBdr>
                                  <w:divsChild>
                                    <w:div w:id="20861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612120">
      <w:marLeft w:val="0"/>
      <w:marRight w:val="0"/>
      <w:marTop w:val="0"/>
      <w:marBottom w:val="0"/>
      <w:divBdr>
        <w:top w:val="none" w:sz="0" w:space="0" w:color="auto"/>
        <w:left w:val="none" w:sz="0" w:space="0" w:color="auto"/>
        <w:bottom w:val="none" w:sz="0" w:space="0" w:color="auto"/>
        <w:right w:val="none" w:sz="0" w:space="0" w:color="auto"/>
      </w:divBdr>
      <w:divsChild>
        <w:div w:id="208612111">
          <w:marLeft w:val="0"/>
          <w:marRight w:val="0"/>
          <w:marTop w:val="0"/>
          <w:marBottom w:val="0"/>
          <w:divBdr>
            <w:top w:val="none" w:sz="0" w:space="0" w:color="auto"/>
            <w:left w:val="none" w:sz="0" w:space="0" w:color="auto"/>
            <w:bottom w:val="none" w:sz="0" w:space="0" w:color="auto"/>
            <w:right w:val="none" w:sz="0" w:space="0" w:color="auto"/>
          </w:divBdr>
          <w:divsChild>
            <w:div w:id="208612117">
              <w:marLeft w:val="0"/>
              <w:marRight w:val="0"/>
              <w:marTop w:val="0"/>
              <w:marBottom w:val="0"/>
              <w:divBdr>
                <w:top w:val="none" w:sz="0" w:space="0" w:color="auto"/>
                <w:left w:val="none" w:sz="0" w:space="0" w:color="auto"/>
                <w:bottom w:val="none" w:sz="0" w:space="0" w:color="auto"/>
                <w:right w:val="none" w:sz="0" w:space="0" w:color="auto"/>
              </w:divBdr>
              <w:divsChild>
                <w:div w:id="208612208">
                  <w:marLeft w:val="0"/>
                  <w:marRight w:val="0"/>
                  <w:marTop w:val="0"/>
                  <w:marBottom w:val="0"/>
                  <w:divBdr>
                    <w:top w:val="none" w:sz="0" w:space="0" w:color="auto"/>
                    <w:left w:val="none" w:sz="0" w:space="0" w:color="auto"/>
                    <w:bottom w:val="none" w:sz="0" w:space="0" w:color="auto"/>
                    <w:right w:val="none" w:sz="0" w:space="0" w:color="auto"/>
                  </w:divBdr>
                  <w:divsChild>
                    <w:div w:id="208612114">
                      <w:marLeft w:val="0"/>
                      <w:marRight w:val="0"/>
                      <w:marTop w:val="0"/>
                      <w:marBottom w:val="0"/>
                      <w:divBdr>
                        <w:top w:val="none" w:sz="0" w:space="0" w:color="auto"/>
                        <w:left w:val="none" w:sz="0" w:space="0" w:color="auto"/>
                        <w:bottom w:val="none" w:sz="0" w:space="0" w:color="auto"/>
                        <w:right w:val="none" w:sz="0" w:space="0" w:color="auto"/>
                      </w:divBdr>
                      <w:divsChild>
                        <w:div w:id="208612195">
                          <w:marLeft w:val="0"/>
                          <w:marRight w:val="0"/>
                          <w:marTop w:val="0"/>
                          <w:marBottom w:val="0"/>
                          <w:divBdr>
                            <w:top w:val="none" w:sz="0" w:space="0" w:color="auto"/>
                            <w:left w:val="none" w:sz="0" w:space="0" w:color="auto"/>
                            <w:bottom w:val="none" w:sz="0" w:space="0" w:color="auto"/>
                            <w:right w:val="none" w:sz="0" w:space="0" w:color="auto"/>
                          </w:divBdr>
                          <w:divsChild>
                            <w:div w:id="208612194">
                              <w:marLeft w:val="0"/>
                              <w:marRight w:val="0"/>
                              <w:marTop w:val="0"/>
                              <w:marBottom w:val="0"/>
                              <w:divBdr>
                                <w:top w:val="none" w:sz="0" w:space="0" w:color="auto"/>
                                <w:left w:val="none" w:sz="0" w:space="0" w:color="auto"/>
                                <w:bottom w:val="none" w:sz="0" w:space="0" w:color="auto"/>
                                <w:right w:val="none" w:sz="0" w:space="0" w:color="auto"/>
                              </w:divBdr>
                              <w:divsChild>
                                <w:div w:id="20861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12122">
      <w:marLeft w:val="0"/>
      <w:marRight w:val="0"/>
      <w:marTop w:val="0"/>
      <w:marBottom w:val="0"/>
      <w:divBdr>
        <w:top w:val="none" w:sz="0" w:space="0" w:color="auto"/>
        <w:left w:val="none" w:sz="0" w:space="0" w:color="auto"/>
        <w:bottom w:val="none" w:sz="0" w:space="0" w:color="auto"/>
        <w:right w:val="none" w:sz="0" w:space="0" w:color="auto"/>
      </w:divBdr>
      <w:divsChild>
        <w:div w:id="208612132">
          <w:marLeft w:val="0"/>
          <w:marRight w:val="0"/>
          <w:marTop w:val="0"/>
          <w:marBottom w:val="0"/>
          <w:divBdr>
            <w:top w:val="none" w:sz="0" w:space="0" w:color="auto"/>
            <w:left w:val="none" w:sz="0" w:space="0" w:color="auto"/>
            <w:bottom w:val="none" w:sz="0" w:space="0" w:color="auto"/>
            <w:right w:val="none" w:sz="0" w:space="0" w:color="auto"/>
          </w:divBdr>
          <w:divsChild>
            <w:div w:id="208612158">
              <w:marLeft w:val="0"/>
              <w:marRight w:val="0"/>
              <w:marTop w:val="0"/>
              <w:marBottom w:val="0"/>
              <w:divBdr>
                <w:top w:val="none" w:sz="0" w:space="0" w:color="auto"/>
                <w:left w:val="none" w:sz="0" w:space="0" w:color="auto"/>
                <w:bottom w:val="none" w:sz="0" w:space="0" w:color="auto"/>
                <w:right w:val="none" w:sz="0" w:space="0" w:color="auto"/>
              </w:divBdr>
              <w:divsChild>
                <w:div w:id="208612146">
                  <w:marLeft w:val="0"/>
                  <w:marRight w:val="0"/>
                  <w:marTop w:val="0"/>
                  <w:marBottom w:val="0"/>
                  <w:divBdr>
                    <w:top w:val="none" w:sz="0" w:space="0" w:color="auto"/>
                    <w:left w:val="none" w:sz="0" w:space="0" w:color="auto"/>
                    <w:bottom w:val="none" w:sz="0" w:space="0" w:color="auto"/>
                    <w:right w:val="none" w:sz="0" w:space="0" w:color="auto"/>
                  </w:divBdr>
                  <w:divsChild>
                    <w:div w:id="208612155">
                      <w:marLeft w:val="0"/>
                      <w:marRight w:val="0"/>
                      <w:marTop w:val="0"/>
                      <w:marBottom w:val="0"/>
                      <w:divBdr>
                        <w:top w:val="none" w:sz="0" w:space="0" w:color="auto"/>
                        <w:left w:val="none" w:sz="0" w:space="0" w:color="auto"/>
                        <w:bottom w:val="none" w:sz="0" w:space="0" w:color="auto"/>
                        <w:right w:val="none" w:sz="0" w:space="0" w:color="auto"/>
                      </w:divBdr>
                      <w:divsChild>
                        <w:div w:id="208612176">
                          <w:marLeft w:val="0"/>
                          <w:marRight w:val="0"/>
                          <w:marTop w:val="0"/>
                          <w:marBottom w:val="0"/>
                          <w:divBdr>
                            <w:top w:val="none" w:sz="0" w:space="0" w:color="auto"/>
                            <w:left w:val="none" w:sz="0" w:space="0" w:color="auto"/>
                            <w:bottom w:val="none" w:sz="0" w:space="0" w:color="auto"/>
                            <w:right w:val="none" w:sz="0" w:space="0" w:color="auto"/>
                          </w:divBdr>
                          <w:divsChild>
                            <w:div w:id="208612151">
                              <w:marLeft w:val="0"/>
                              <w:marRight w:val="0"/>
                              <w:marTop w:val="0"/>
                              <w:marBottom w:val="0"/>
                              <w:divBdr>
                                <w:top w:val="none" w:sz="0" w:space="0" w:color="auto"/>
                                <w:left w:val="none" w:sz="0" w:space="0" w:color="auto"/>
                                <w:bottom w:val="none" w:sz="0" w:space="0" w:color="auto"/>
                                <w:right w:val="none" w:sz="0" w:space="0" w:color="auto"/>
                              </w:divBdr>
                              <w:divsChild>
                                <w:div w:id="208612110">
                                  <w:marLeft w:val="0"/>
                                  <w:marRight w:val="0"/>
                                  <w:marTop w:val="0"/>
                                  <w:marBottom w:val="0"/>
                                  <w:divBdr>
                                    <w:top w:val="none" w:sz="0" w:space="0" w:color="auto"/>
                                    <w:left w:val="none" w:sz="0" w:space="0" w:color="auto"/>
                                    <w:bottom w:val="none" w:sz="0" w:space="0" w:color="auto"/>
                                    <w:right w:val="none" w:sz="0" w:space="0" w:color="auto"/>
                                  </w:divBdr>
                                  <w:divsChild>
                                    <w:div w:id="20861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612129">
      <w:marLeft w:val="0"/>
      <w:marRight w:val="0"/>
      <w:marTop w:val="0"/>
      <w:marBottom w:val="0"/>
      <w:divBdr>
        <w:top w:val="none" w:sz="0" w:space="0" w:color="auto"/>
        <w:left w:val="none" w:sz="0" w:space="0" w:color="auto"/>
        <w:bottom w:val="none" w:sz="0" w:space="0" w:color="auto"/>
        <w:right w:val="none" w:sz="0" w:space="0" w:color="auto"/>
      </w:divBdr>
      <w:divsChild>
        <w:div w:id="208612185">
          <w:marLeft w:val="0"/>
          <w:marRight w:val="0"/>
          <w:marTop w:val="0"/>
          <w:marBottom w:val="0"/>
          <w:divBdr>
            <w:top w:val="none" w:sz="0" w:space="0" w:color="auto"/>
            <w:left w:val="none" w:sz="0" w:space="0" w:color="auto"/>
            <w:bottom w:val="none" w:sz="0" w:space="0" w:color="auto"/>
            <w:right w:val="none" w:sz="0" w:space="0" w:color="auto"/>
          </w:divBdr>
          <w:divsChild>
            <w:div w:id="208612148">
              <w:marLeft w:val="0"/>
              <w:marRight w:val="0"/>
              <w:marTop w:val="0"/>
              <w:marBottom w:val="0"/>
              <w:divBdr>
                <w:top w:val="none" w:sz="0" w:space="0" w:color="auto"/>
                <w:left w:val="none" w:sz="0" w:space="0" w:color="auto"/>
                <w:bottom w:val="none" w:sz="0" w:space="0" w:color="auto"/>
                <w:right w:val="none" w:sz="0" w:space="0" w:color="auto"/>
              </w:divBdr>
              <w:divsChild>
                <w:div w:id="208612192">
                  <w:marLeft w:val="0"/>
                  <w:marRight w:val="0"/>
                  <w:marTop w:val="0"/>
                  <w:marBottom w:val="0"/>
                  <w:divBdr>
                    <w:top w:val="none" w:sz="0" w:space="0" w:color="auto"/>
                    <w:left w:val="none" w:sz="0" w:space="0" w:color="auto"/>
                    <w:bottom w:val="none" w:sz="0" w:space="0" w:color="auto"/>
                    <w:right w:val="none" w:sz="0" w:space="0" w:color="auto"/>
                  </w:divBdr>
                  <w:divsChild>
                    <w:div w:id="208612102">
                      <w:marLeft w:val="0"/>
                      <w:marRight w:val="0"/>
                      <w:marTop w:val="0"/>
                      <w:marBottom w:val="0"/>
                      <w:divBdr>
                        <w:top w:val="none" w:sz="0" w:space="0" w:color="auto"/>
                        <w:left w:val="none" w:sz="0" w:space="0" w:color="auto"/>
                        <w:bottom w:val="none" w:sz="0" w:space="0" w:color="auto"/>
                        <w:right w:val="none" w:sz="0" w:space="0" w:color="auto"/>
                      </w:divBdr>
                      <w:divsChild>
                        <w:div w:id="208612137">
                          <w:marLeft w:val="0"/>
                          <w:marRight w:val="0"/>
                          <w:marTop w:val="0"/>
                          <w:marBottom w:val="0"/>
                          <w:divBdr>
                            <w:top w:val="none" w:sz="0" w:space="0" w:color="auto"/>
                            <w:left w:val="none" w:sz="0" w:space="0" w:color="auto"/>
                            <w:bottom w:val="none" w:sz="0" w:space="0" w:color="auto"/>
                            <w:right w:val="none" w:sz="0" w:space="0" w:color="auto"/>
                          </w:divBdr>
                          <w:divsChild>
                            <w:div w:id="208612206">
                              <w:marLeft w:val="0"/>
                              <w:marRight w:val="0"/>
                              <w:marTop w:val="120"/>
                              <w:marBottom w:val="360"/>
                              <w:divBdr>
                                <w:top w:val="none" w:sz="0" w:space="0" w:color="auto"/>
                                <w:left w:val="none" w:sz="0" w:space="0" w:color="auto"/>
                                <w:bottom w:val="none" w:sz="0" w:space="0" w:color="auto"/>
                                <w:right w:val="none" w:sz="0" w:space="0" w:color="auto"/>
                              </w:divBdr>
                              <w:divsChild>
                                <w:div w:id="208612107">
                                  <w:marLeft w:val="420"/>
                                  <w:marRight w:val="0"/>
                                  <w:marTop w:val="0"/>
                                  <w:marBottom w:val="0"/>
                                  <w:divBdr>
                                    <w:top w:val="none" w:sz="0" w:space="0" w:color="auto"/>
                                    <w:left w:val="none" w:sz="0" w:space="0" w:color="auto"/>
                                    <w:bottom w:val="none" w:sz="0" w:space="0" w:color="auto"/>
                                    <w:right w:val="none" w:sz="0" w:space="0" w:color="auto"/>
                                  </w:divBdr>
                                  <w:divsChild>
                                    <w:div w:id="208612147">
                                      <w:marLeft w:val="0"/>
                                      <w:marRight w:val="0"/>
                                      <w:marTop w:val="0"/>
                                      <w:marBottom w:val="0"/>
                                      <w:divBdr>
                                        <w:top w:val="none" w:sz="0" w:space="0" w:color="auto"/>
                                        <w:left w:val="none" w:sz="0" w:space="0" w:color="auto"/>
                                        <w:bottom w:val="none" w:sz="0" w:space="0" w:color="auto"/>
                                        <w:right w:val="none" w:sz="0" w:space="0" w:color="auto"/>
                                      </w:divBdr>
                                      <w:divsChild>
                                        <w:div w:id="2086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12141">
      <w:marLeft w:val="0"/>
      <w:marRight w:val="0"/>
      <w:marTop w:val="0"/>
      <w:marBottom w:val="0"/>
      <w:divBdr>
        <w:top w:val="none" w:sz="0" w:space="0" w:color="auto"/>
        <w:left w:val="none" w:sz="0" w:space="0" w:color="auto"/>
        <w:bottom w:val="none" w:sz="0" w:space="0" w:color="auto"/>
        <w:right w:val="none" w:sz="0" w:space="0" w:color="auto"/>
      </w:divBdr>
      <w:divsChild>
        <w:div w:id="208612113">
          <w:marLeft w:val="0"/>
          <w:marRight w:val="0"/>
          <w:marTop w:val="0"/>
          <w:marBottom w:val="0"/>
          <w:divBdr>
            <w:top w:val="none" w:sz="0" w:space="0" w:color="auto"/>
            <w:left w:val="none" w:sz="0" w:space="0" w:color="auto"/>
            <w:bottom w:val="none" w:sz="0" w:space="0" w:color="auto"/>
            <w:right w:val="none" w:sz="0" w:space="0" w:color="auto"/>
          </w:divBdr>
          <w:divsChild>
            <w:div w:id="208612134">
              <w:marLeft w:val="0"/>
              <w:marRight w:val="0"/>
              <w:marTop w:val="0"/>
              <w:marBottom w:val="0"/>
              <w:divBdr>
                <w:top w:val="none" w:sz="0" w:space="0" w:color="auto"/>
                <w:left w:val="none" w:sz="0" w:space="0" w:color="auto"/>
                <w:bottom w:val="none" w:sz="0" w:space="0" w:color="auto"/>
                <w:right w:val="none" w:sz="0" w:space="0" w:color="auto"/>
              </w:divBdr>
              <w:divsChild>
                <w:div w:id="208612152">
                  <w:marLeft w:val="0"/>
                  <w:marRight w:val="0"/>
                  <w:marTop w:val="0"/>
                  <w:marBottom w:val="0"/>
                  <w:divBdr>
                    <w:top w:val="none" w:sz="0" w:space="0" w:color="auto"/>
                    <w:left w:val="none" w:sz="0" w:space="0" w:color="auto"/>
                    <w:bottom w:val="none" w:sz="0" w:space="0" w:color="auto"/>
                    <w:right w:val="none" w:sz="0" w:space="0" w:color="auto"/>
                  </w:divBdr>
                  <w:divsChild>
                    <w:div w:id="208612156">
                      <w:marLeft w:val="0"/>
                      <w:marRight w:val="0"/>
                      <w:marTop w:val="0"/>
                      <w:marBottom w:val="0"/>
                      <w:divBdr>
                        <w:top w:val="none" w:sz="0" w:space="0" w:color="auto"/>
                        <w:left w:val="none" w:sz="0" w:space="0" w:color="auto"/>
                        <w:bottom w:val="none" w:sz="0" w:space="0" w:color="auto"/>
                        <w:right w:val="none" w:sz="0" w:space="0" w:color="auto"/>
                      </w:divBdr>
                      <w:divsChild>
                        <w:div w:id="208612177">
                          <w:marLeft w:val="0"/>
                          <w:marRight w:val="0"/>
                          <w:marTop w:val="0"/>
                          <w:marBottom w:val="0"/>
                          <w:divBdr>
                            <w:top w:val="none" w:sz="0" w:space="0" w:color="auto"/>
                            <w:left w:val="none" w:sz="0" w:space="0" w:color="auto"/>
                            <w:bottom w:val="none" w:sz="0" w:space="0" w:color="auto"/>
                            <w:right w:val="none" w:sz="0" w:space="0" w:color="auto"/>
                          </w:divBdr>
                          <w:divsChild>
                            <w:div w:id="208612157">
                              <w:marLeft w:val="0"/>
                              <w:marRight w:val="0"/>
                              <w:marTop w:val="0"/>
                              <w:marBottom w:val="0"/>
                              <w:divBdr>
                                <w:top w:val="none" w:sz="0" w:space="0" w:color="auto"/>
                                <w:left w:val="none" w:sz="0" w:space="0" w:color="auto"/>
                                <w:bottom w:val="none" w:sz="0" w:space="0" w:color="auto"/>
                                <w:right w:val="none" w:sz="0" w:space="0" w:color="auto"/>
                              </w:divBdr>
                              <w:divsChild>
                                <w:div w:id="208612207">
                                  <w:marLeft w:val="0"/>
                                  <w:marRight w:val="0"/>
                                  <w:marTop w:val="0"/>
                                  <w:marBottom w:val="0"/>
                                  <w:divBdr>
                                    <w:top w:val="none" w:sz="0" w:space="0" w:color="auto"/>
                                    <w:left w:val="none" w:sz="0" w:space="0" w:color="auto"/>
                                    <w:bottom w:val="none" w:sz="0" w:space="0" w:color="auto"/>
                                    <w:right w:val="none" w:sz="0" w:space="0" w:color="auto"/>
                                  </w:divBdr>
                                  <w:divsChild>
                                    <w:div w:id="2086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612153">
      <w:marLeft w:val="0"/>
      <w:marRight w:val="0"/>
      <w:marTop w:val="0"/>
      <w:marBottom w:val="0"/>
      <w:divBdr>
        <w:top w:val="none" w:sz="0" w:space="0" w:color="auto"/>
        <w:left w:val="none" w:sz="0" w:space="0" w:color="auto"/>
        <w:bottom w:val="none" w:sz="0" w:space="0" w:color="auto"/>
        <w:right w:val="none" w:sz="0" w:space="0" w:color="auto"/>
      </w:divBdr>
      <w:divsChild>
        <w:div w:id="208612178">
          <w:marLeft w:val="0"/>
          <w:marRight w:val="0"/>
          <w:marTop w:val="0"/>
          <w:marBottom w:val="0"/>
          <w:divBdr>
            <w:top w:val="none" w:sz="0" w:space="0" w:color="auto"/>
            <w:left w:val="none" w:sz="0" w:space="0" w:color="auto"/>
            <w:bottom w:val="none" w:sz="0" w:space="0" w:color="auto"/>
            <w:right w:val="none" w:sz="0" w:space="0" w:color="auto"/>
          </w:divBdr>
          <w:divsChild>
            <w:div w:id="208612143">
              <w:marLeft w:val="0"/>
              <w:marRight w:val="0"/>
              <w:marTop w:val="0"/>
              <w:marBottom w:val="0"/>
              <w:divBdr>
                <w:top w:val="none" w:sz="0" w:space="0" w:color="auto"/>
                <w:left w:val="none" w:sz="0" w:space="0" w:color="auto"/>
                <w:bottom w:val="none" w:sz="0" w:space="0" w:color="auto"/>
                <w:right w:val="none" w:sz="0" w:space="0" w:color="auto"/>
              </w:divBdr>
              <w:divsChild>
                <w:div w:id="208612184">
                  <w:marLeft w:val="0"/>
                  <w:marRight w:val="0"/>
                  <w:marTop w:val="0"/>
                  <w:marBottom w:val="0"/>
                  <w:divBdr>
                    <w:top w:val="none" w:sz="0" w:space="0" w:color="auto"/>
                    <w:left w:val="none" w:sz="0" w:space="0" w:color="auto"/>
                    <w:bottom w:val="none" w:sz="0" w:space="0" w:color="auto"/>
                    <w:right w:val="none" w:sz="0" w:space="0" w:color="auto"/>
                  </w:divBdr>
                  <w:divsChild>
                    <w:div w:id="208612128">
                      <w:marLeft w:val="0"/>
                      <w:marRight w:val="0"/>
                      <w:marTop w:val="0"/>
                      <w:marBottom w:val="0"/>
                      <w:divBdr>
                        <w:top w:val="none" w:sz="0" w:space="0" w:color="auto"/>
                        <w:left w:val="none" w:sz="0" w:space="0" w:color="auto"/>
                        <w:bottom w:val="none" w:sz="0" w:space="0" w:color="auto"/>
                        <w:right w:val="none" w:sz="0" w:space="0" w:color="auto"/>
                      </w:divBdr>
                      <w:divsChild>
                        <w:div w:id="208612171">
                          <w:marLeft w:val="0"/>
                          <w:marRight w:val="0"/>
                          <w:marTop w:val="0"/>
                          <w:marBottom w:val="0"/>
                          <w:divBdr>
                            <w:top w:val="none" w:sz="0" w:space="0" w:color="auto"/>
                            <w:left w:val="none" w:sz="0" w:space="0" w:color="auto"/>
                            <w:bottom w:val="none" w:sz="0" w:space="0" w:color="auto"/>
                            <w:right w:val="none" w:sz="0" w:space="0" w:color="auto"/>
                          </w:divBdr>
                          <w:divsChild>
                            <w:div w:id="208612136">
                              <w:marLeft w:val="0"/>
                              <w:marRight w:val="0"/>
                              <w:marTop w:val="0"/>
                              <w:marBottom w:val="0"/>
                              <w:divBdr>
                                <w:top w:val="none" w:sz="0" w:space="0" w:color="auto"/>
                                <w:left w:val="none" w:sz="0" w:space="0" w:color="auto"/>
                                <w:bottom w:val="none" w:sz="0" w:space="0" w:color="auto"/>
                                <w:right w:val="none" w:sz="0" w:space="0" w:color="auto"/>
                              </w:divBdr>
                              <w:divsChild>
                                <w:div w:id="208612119">
                                  <w:marLeft w:val="0"/>
                                  <w:marRight w:val="0"/>
                                  <w:marTop w:val="0"/>
                                  <w:marBottom w:val="0"/>
                                  <w:divBdr>
                                    <w:top w:val="none" w:sz="0" w:space="0" w:color="auto"/>
                                    <w:left w:val="none" w:sz="0" w:space="0" w:color="auto"/>
                                    <w:bottom w:val="none" w:sz="0" w:space="0" w:color="auto"/>
                                    <w:right w:val="none" w:sz="0" w:space="0" w:color="auto"/>
                                  </w:divBdr>
                                  <w:divsChild>
                                    <w:div w:id="20861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612159">
      <w:marLeft w:val="0"/>
      <w:marRight w:val="0"/>
      <w:marTop w:val="0"/>
      <w:marBottom w:val="0"/>
      <w:divBdr>
        <w:top w:val="none" w:sz="0" w:space="0" w:color="auto"/>
        <w:left w:val="none" w:sz="0" w:space="0" w:color="auto"/>
        <w:bottom w:val="none" w:sz="0" w:space="0" w:color="auto"/>
        <w:right w:val="none" w:sz="0" w:space="0" w:color="auto"/>
      </w:divBdr>
      <w:divsChild>
        <w:div w:id="208612104">
          <w:marLeft w:val="0"/>
          <w:marRight w:val="0"/>
          <w:marTop w:val="0"/>
          <w:marBottom w:val="0"/>
          <w:divBdr>
            <w:top w:val="none" w:sz="0" w:space="0" w:color="auto"/>
            <w:left w:val="none" w:sz="0" w:space="0" w:color="auto"/>
            <w:bottom w:val="none" w:sz="0" w:space="0" w:color="auto"/>
            <w:right w:val="none" w:sz="0" w:space="0" w:color="auto"/>
          </w:divBdr>
          <w:divsChild>
            <w:div w:id="208612172">
              <w:marLeft w:val="0"/>
              <w:marRight w:val="0"/>
              <w:marTop w:val="0"/>
              <w:marBottom w:val="0"/>
              <w:divBdr>
                <w:top w:val="none" w:sz="0" w:space="0" w:color="auto"/>
                <w:left w:val="none" w:sz="0" w:space="0" w:color="auto"/>
                <w:bottom w:val="none" w:sz="0" w:space="0" w:color="auto"/>
                <w:right w:val="none" w:sz="0" w:space="0" w:color="auto"/>
              </w:divBdr>
              <w:divsChild>
                <w:div w:id="208612116">
                  <w:marLeft w:val="0"/>
                  <w:marRight w:val="0"/>
                  <w:marTop w:val="0"/>
                  <w:marBottom w:val="0"/>
                  <w:divBdr>
                    <w:top w:val="none" w:sz="0" w:space="0" w:color="auto"/>
                    <w:left w:val="none" w:sz="0" w:space="0" w:color="auto"/>
                    <w:bottom w:val="none" w:sz="0" w:space="0" w:color="auto"/>
                    <w:right w:val="none" w:sz="0" w:space="0" w:color="auto"/>
                  </w:divBdr>
                  <w:divsChild>
                    <w:div w:id="208612168">
                      <w:marLeft w:val="0"/>
                      <w:marRight w:val="0"/>
                      <w:marTop w:val="0"/>
                      <w:marBottom w:val="0"/>
                      <w:divBdr>
                        <w:top w:val="none" w:sz="0" w:space="0" w:color="auto"/>
                        <w:left w:val="none" w:sz="0" w:space="0" w:color="auto"/>
                        <w:bottom w:val="none" w:sz="0" w:space="0" w:color="auto"/>
                        <w:right w:val="none" w:sz="0" w:space="0" w:color="auto"/>
                      </w:divBdr>
                      <w:divsChild>
                        <w:div w:id="208612127">
                          <w:marLeft w:val="0"/>
                          <w:marRight w:val="0"/>
                          <w:marTop w:val="0"/>
                          <w:marBottom w:val="0"/>
                          <w:divBdr>
                            <w:top w:val="none" w:sz="0" w:space="0" w:color="auto"/>
                            <w:left w:val="none" w:sz="0" w:space="0" w:color="auto"/>
                            <w:bottom w:val="none" w:sz="0" w:space="0" w:color="auto"/>
                            <w:right w:val="none" w:sz="0" w:space="0" w:color="auto"/>
                          </w:divBdr>
                          <w:divsChild>
                            <w:div w:id="208612174">
                              <w:marLeft w:val="0"/>
                              <w:marRight w:val="0"/>
                              <w:marTop w:val="0"/>
                              <w:marBottom w:val="0"/>
                              <w:divBdr>
                                <w:top w:val="none" w:sz="0" w:space="0" w:color="auto"/>
                                <w:left w:val="none" w:sz="0" w:space="0" w:color="auto"/>
                                <w:bottom w:val="none" w:sz="0" w:space="0" w:color="auto"/>
                                <w:right w:val="none" w:sz="0" w:space="0" w:color="auto"/>
                              </w:divBdr>
                              <w:divsChild>
                                <w:div w:id="208612191">
                                  <w:marLeft w:val="0"/>
                                  <w:marRight w:val="0"/>
                                  <w:marTop w:val="0"/>
                                  <w:marBottom w:val="0"/>
                                  <w:divBdr>
                                    <w:top w:val="none" w:sz="0" w:space="0" w:color="auto"/>
                                    <w:left w:val="none" w:sz="0" w:space="0" w:color="auto"/>
                                    <w:bottom w:val="none" w:sz="0" w:space="0" w:color="auto"/>
                                    <w:right w:val="none" w:sz="0" w:space="0" w:color="auto"/>
                                  </w:divBdr>
                                  <w:divsChild>
                                    <w:div w:id="208612189">
                                      <w:marLeft w:val="0"/>
                                      <w:marRight w:val="0"/>
                                      <w:marTop w:val="0"/>
                                      <w:marBottom w:val="0"/>
                                      <w:divBdr>
                                        <w:top w:val="none" w:sz="0" w:space="0" w:color="auto"/>
                                        <w:left w:val="none" w:sz="0" w:space="0" w:color="auto"/>
                                        <w:bottom w:val="none" w:sz="0" w:space="0" w:color="auto"/>
                                        <w:right w:val="none" w:sz="0" w:space="0" w:color="auto"/>
                                      </w:divBdr>
                                      <w:divsChild>
                                        <w:div w:id="20861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12163">
      <w:marLeft w:val="0"/>
      <w:marRight w:val="0"/>
      <w:marTop w:val="0"/>
      <w:marBottom w:val="0"/>
      <w:divBdr>
        <w:top w:val="none" w:sz="0" w:space="0" w:color="auto"/>
        <w:left w:val="none" w:sz="0" w:space="0" w:color="auto"/>
        <w:bottom w:val="none" w:sz="0" w:space="0" w:color="auto"/>
        <w:right w:val="none" w:sz="0" w:space="0" w:color="auto"/>
      </w:divBdr>
      <w:divsChild>
        <w:div w:id="208612109">
          <w:marLeft w:val="0"/>
          <w:marRight w:val="0"/>
          <w:marTop w:val="0"/>
          <w:marBottom w:val="0"/>
          <w:divBdr>
            <w:top w:val="none" w:sz="0" w:space="0" w:color="auto"/>
            <w:left w:val="none" w:sz="0" w:space="0" w:color="auto"/>
            <w:bottom w:val="none" w:sz="0" w:space="0" w:color="auto"/>
            <w:right w:val="none" w:sz="0" w:space="0" w:color="auto"/>
          </w:divBdr>
          <w:divsChild>
            <w:div w:id="208612124">
              <w:marLeft w:val="0"/>
              <w:marRight w:val="0"/>
              <w:marTop w:val="0"/>
              <w:marBottom w:val="0"/>
              <w:divBdr>
                <w:top w:val="none" w:sz="0" w:space="0" w:color="auto"/>
                <w:left w:val="none" w:sz="0" w:space="0" w:color="auto"/>
                <w:bottom w:val="none" w:sz="0" w:space="0" w:color="auto"/>
                <w:right w:val="none" w:sz="0" w:space="0" w:color="auto"/>
              </w:divBdr>
              <w:divsChild>
                <w:div w:id="208612161">
                  <w:marLeft w:val="0"/>
                  <w:marRight w:val="0"/>
                  <w:marTop w:val="0"/>
                  <w:marBottom w:val="0"/>
                  <w:divBdr>
                    <w:top w:val="none" w:sz="0" w:space="0" w:color="auto"/>
                    <w:left w:val="none" w:sz="0" w:space="0" w:color="auto"/>
                    <w:bottom w:val="none" w:sz="0" w:space="0" w:color="auto"/>
                    <w:right w:val="none" w:sz="0" w:space="0" w:color="auto"/>
                  </w:divBdr>
                  <w:divsChild>
                    <w:div w:id="208612123">
                      <w:marLeft w:val="0"/>
                      <w:marRight w:val="0"/>
                      <w:marTop w:val="0"/>
                      <w:marBottom w:val="0"/>
                      <w:divBdr>
                        <w:top w:val="none" w:sz="0" w:space="0" w:color="auto"/>
                        <w:left w:val="none" w:sz="0" w:space="0" w:color="auto"/>
                        <w:bottom w:val="none" w:sz="0" w:space="0" w:color="auto"/>
                        <w:right w:val="none" w:sz="0" w:space="0" w:color="auto"/>
                      </w:divBdr>
                      <w:divsChild>
                        <w:div w:id="208612183">
                          <w:marLeft w:val="0"/>
                          <w:marRight w:val="0"/>
                          <w:marTop w:val="0"/>
                          <w:marBottom w:val="0"/>
                          <w:divBdr>
                            <w:top w:val="none" w:sz="0" w:space="0" w:color="auto"/>
                            <w:left w:val="none" w:sz="0" w:space="0" w:color="auto"/>
                            <w:bottom w:val="none" w:sz="0" w:space="0" w:color="auto"/>
                            <w:right w:val="none" w:sz="0" w:space="0" w:color="auto"/>
                          </w:divBdr>
                          <w:divsChild>
                            <w:div w:id="208612145">
                              <w:marLeft w:val="0"/>
                              <w:marRight w:val="0"/>
                              <w:marTop w:val="0"/>
                              <w:marBottom w:val="0"/>
                              <w:divBdr>
                                <w:top w:val="none" w:sz="0" w:space="0" w:color="auto"/>
                                <w:left w:val="none" w:sz="0" w:space="0" w:color="auto"/>
                                <w:bottom w:val="none" w:sz="0" w:space="0" w:color="auto"/>
                                <w:right w:val="none" w:sz="0" w:space="0" w:color="auto"/>
                              </w:divBdr>
                              <w:divsChild>
                                <w:div w:id="20861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12193">
      <w:marLeft w:val="0"/>
      <w:marRight w:val="0"/>
      <w:marTop w:val="0"/>
      <w:marBottom w:val="0"/>
      <w:divBdr>
        <w:top w:val="none" w:sz="0" w:space="0" w:color="auto"/>
        <w:left w:val="none" w:sz="0" w:space="0" w:color="auto"/>
        <w:bottom w:val="none" w:sz="0" w:space="0" w:color="auto"/>
        <w:right w:val="none" w:sz="0" w:space="0" w:color="auto"/>
      </w:divBdr>
      <w:divsChild>
        <w:div w:id="208612138">
          <w:marLeft w:val="0"/>
          <w:marRight w:val="0"/>
          <w:marTop w:val="0"/>
          <w:marBottom w:val="0"/>
          <w:divBdr>
            <w:top w:val="none" w:sz="0" w:space="0" w:color="auto"/>
            <w:left w:val="none" w:sz="0" w:space="0" w:color="auto"/>
            <w:bottom w:val="none" w:sz="0" w:space="0" w:color="auto"/>
            <w:right w:val="none" w:sz="0" w:space="0" w:color="auto"/>
          </w:divBdr>
          <w:divsChild>
            <w:div w:id="208612112">
              <w:marLeft w:val="0"/>
              <w:marRight w:val="0"/>
              <w:marTop w:val="0"/>
              <w:marBottom w:val="0"/>
              <w:divBdr>
                <w:top w:val="none" w:sz="0" w:space="0" w:color="auto"/>
                <w:left w:val="none" w:sz="0" w:space="0" w:color="auto"/>
                <w:bottom w:val="none" w:sz="0" w:space="0" w:color="auto"/>
                <w:right w:val="none" w:sz="0" w:space="0" w:color="auto"/>
              </w:divBdr>
              <w:divsChild>
                <w:div w:id="208612118">
                  <w:marLeft w:val="0"/>
                  <w:marRight w:val="0"/>
                  <w:marTop w:val="0"/>
                  <w:marBottom w:val="0"/>
                  <w:divBdr>
                    <w:top w:val="none" w:sz="0" w:space="0" w:color="auto"/>
                    <w:left w:val="none" w:sz="0" w:space="0" w:color="auto"/>
                    <w:bottom w:val="none" w:sz="0" w:space="0" w:color="auto"/>
                    <w:right w:val="none" w:sz="0" w:space="0" w:color="auto"/>
                  </w:divBdr>
                  <w:divsChild>
                    <w:div w:id="208612187">
                      <w:marLeft w:val="0"/>
                      <w:marRight w:val="0"/>
                      <w:marTop w:val="0"/>
                      <w:marBottom w:val="0"/>
                      <w:divBdr>
                        <w:top w:val="none" w:sz="0" w:space="0" w:color="auto"/>
                        <w:left w:val="none" w:sz="0" w:space="0" w:color="auto"/>
                        <w:bottom w:val="none" w:sz="0" w:space="0" w:color="auto"/>
                        <w:right w:val="none" w:sz="0" w:space="0" w:color="auto"/>
                      </w:divBdr>
                      <w:divsChild>
                        <w:div w:id="208612188">
                          <w:marLeft w:val="0"/>
                          <w:marRight w:val="0"/>
                          <w:marTop w:val="0"/>
                          <w:marBottom w:val="0"/>
                          <w:divBdr>
                            <w:top w:val="none" w:sz="0" w:space="0" w:color="auto"/>
                            <w:left w:val="none" w:sz="0" w:space="0" w:color="auto"/>
                            <w:bottom w:val="none" w:sz="0" w:space="0" w:color="auto"/>
                            <w:right w:val="none" w:sz="0" w:space="0" w:color="auto"/>
                          </w:divBdr>
                          <w:divsChild>
                            <w:div w:id="208612154">
                              <w:marLeft w:val="0"/>
                              <w:marRight w:val="0"/>
                              <w:marTop w:val="0"/>
                              <w:marBottom w:val="0"/>
                              <w:divBdr>
                                <w:top w:val="none" w:sz="0" w:space="0" w:color="auto"/>
                                <w:left w:val="none" w:sz="0" w:space="0" w:color="auto"/>
                                <w:bottom w:val="none" w:sz="0" w:space="0" w:color="auto"/>
                                <w:right w:val="none" w:sz="0" w:space="0" w:color="auto"/>
                              </w:divBdr>
                              <w:divsChild>
                                <w:div w:id="208612140">
                                  <w:marLeft w:val="0"/>
                                  <w:marRight w:val="0"/>
                                  <w:marTop w:val="0"/>
                                  <w:marBottom w:val="0"/>
                                  <w:divBdr>
                                    <w:top w:val="none" w:sz="0" w:space="0" w:color="auto"/>
                                    <w:left w:val="none" w:sz="0" w:space="0" w:color="auto"/>
                                    <w:bottom w:val="none" w:sz="0" w:space="0" w:color="auto"/>
                                    <w:right w:val="none" w:sz="0" w:space="0" w:color="auto"/>
                                  </w:divBdr>
                                  <w:divsChild>
                                    <w:div w:id="20861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612201">
      <w:marLeft w:val="0"/>
      <w:marRight w:val="0"/>
      <w:marTop w:val="0"/>
      <w:marBottom w:val="0"/>
      <w:divBdr>
        <w:top w:val="none" w:sz="0" w:space="0" w:color="auto"/>
        <w:left w:val="none" w:sz="0" w:space="0" w:color="auto"/>
        <w:bottom w:val="none" w:sz="0" w:space="0" w:color="auto"/>
        <w:right w:val="none" w:sz="0" w:space="0" w:color="auto"/>
      </w:divBdr>
    </w:div>
    <w:div w:id="208612204">
      <w:marLeft w:val="0"/>
      <w:marRight w:val="0"/>
      <w:marTop w:val="0"/>
      <w:marBottom w:val="0"/>
      <w:divBdr>
        <w:top w:val="none" w:sz="0" w:space="0" w:color="auto"/>
        <w:left w:val="none" w:sz="0" w:space="0" w:color="auto"/>
        <w:bottom w:val="none" w:sz="0" w:space="0" w:color="auto"/>
        <w:right w:val="none" w:sz="0" w:space="0" w:color="auto"/>
      </w:divBdr>
      <w:divsChild>
        <w:div w:id="208612165">
          <w:marLeft w:val="0"/>
          <w:marRight w:val="0"/>
          <w:marTop w:val="0"/>
          <w:marBottom w:val="0"/>
          <w:divBdr>
            <w:top w:val="none" w:sz="0" w:space="0" w:color="auto"/>
            <w:left w:val="none" w:sz="0" w:space="0" w:color="auto"/>
            <w:bottom w:val="none" w:sz="0" w:space="0" w:color="auto"/>
            <w:right w:val="none" w:sz="0" w:space="0" w:color="auto"/>
          </w:divBdr>
          <w:divsChild>
            <w:div w:id="208612197">
              <w:marLeft w:val="0"/>
              <w:marRight w:val="0"/>
              <w:marTop w:val="0"/>
              <w:marBottom w:val="0"/>
              <w:divBdr>
                <w:top w:val="none" w:sz="0" w:space="0" w:color="auto"/>
                <w:left w:val="none" w:sz="0" w:space="0" w:color="auto"/>
                <w:bottom w:val="none" w:sz="0" w:space="0" w:color="auto"/>
                <w:right w:val="none" w:sz="0" w:space="0" w:color="auto"/>
              </w:divBdr>
              <w:divsChild>
                <w:div w:id="208612200">
                  <w:marLeft w:val="0"/>
                  <w:marRight w:val="0"/>
                  <w:marTop w:val="0"/>
                  <w:marBottom w:val="0"/>
                  <w:divBdr>
                    <w:top w:val="none" w:sz="0" w:space="0" w:color="auto"/>
                    <w:left w:val="none" w:sz="0" w:space="0" w:color="auto"/>
                    <w:bottom w:val="none" w:sz="0" w:space="0" w:color="auto"/>
                    <w:right w:val="none" w:sz="0" w:space="0" w:color="auto"/>
                  </w:divBdr>
                  <w:divsChild>
                    <w:div w:id="208612108">
                      <w:marLeft w:val="0"/>
                      <w:marRight w:val="0"/>
                      <w:marTop w:val="0"/>
                      <w:marBottom w:val="0"/>
                      <w:divBdr>
                        <w:top w:val="none" w:sz="0" w:space="0" w:color="auto"/>
                        <w:left w:val="none" w:sz="0" w:space="0" w:color="auto"/>
                        <w:bottom w:val="none" w:sz="0" w:space="0" w:color="auto"/>
                        <w:right w:val="none" w:sz="0" w:space="0" w:color="auto"/>
                      </w:divBdr>
                      <w:divsChild>
                        <w:div w:id="208612175">
                          <w:marLeft w:val="0"/>
                          <w:marRight w:val="0"/>
                          <w:marTop w:val="0"/>
                          <w:marBottom w:val="0"/>
                          <w:divBdr>
                            <w:top w:val="none" w:sz="0" w:space="0" w:color="auto"/>
                            <w:left w:val="none" w:sz="0" w:space="0" w:color="auto"/>
                            <w:bottom w:val="none" w:sz="0" w:space="0" w:color="auto"/>
                            <w:right w:val="none" w:sz="0" w:space="0" w:color="auto"/>
                          </w:divBdr>
                          <w:divsChild>
                            <w:div w:id="208612160">
                              <w:marLeft w:val="0"/>
                              <w:marRight w:val="0"/>
                              <w:marTop w:val="0"/>
                              <w:marBottom w:val="0"/>
                              <w:divBdr>
                                <w:top w:val="none" w:sz="0" w:space="0" w:color="auto"/>
                                <w:left w:val="none" w:sz="0" w:space="0" w:color="auto"/>
                                <w:bottom w:val="none" w:sz="0" w:space="0" w:color="auto"/>
                                <w:right w:val="none" w:sz="0" w:space="0" w:color="auto"/>
                              </w:divBdr>
                              <w:divsChild>
                                <w:div w:id="208612182">
                                  <w:marLeft w:val="0"/>
                                  <w:marRight w:val="0"/>
                                  <w:marTop w:val="0"/>
                                  <w:marBottom w:val="0"/>
                                  <w:divBdr>
                                    <w:top w:val="none" w:sz="0" w:space="0" w:color="auto"/>
                                    <w:left w:val="none" w:sz="0" w:space="0" w:color="auto"/>
                                    <w:bottom w:val="none" w:sz="0" w:space="0" w:color="auto"/>
                                    <w:right w:val="none" w:sz="0" w:space="0" w:color="auto"/>
                                  </w:divBdr>
                                  <w:divsChild>
                                    <w:div w:id="208612149">
                                      <w:marLeft w:val="0"/>
                                      <w:marRight w:val="0"/>
                                      <w:marTop w:val="0"/>
                                      <w:marBottom w:val="0"/>
                                      <w:divBdr>
                                        <w:top w:val="none" w:sz="0" w:space="0" w:color="auto"/>
                                        <w:left w:val="none" w:sz="0" w:space="0" w:color="auto"/>
                                        <w:bottom w:val="none" w:sz="0" w:space="0" w:color="auto"/>
                                        <w:right w:val="none" w:sz="0" w:space="0" w:color="auto"/>
                                      </w:divBdr>
                                      <w:divsChild>
                                        <w:div w:id="2086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12209">
      <w:marLeft w:val="0"/>
      <w:marRight w:val="0"/>
      <w:marTop w:val="0"/>
      <w:marBottom w:val="0"/>
      <w:divBdr>
        <w:top w:val="none" w:sz="0" w:space="0" w:color="auto"/>
        <w:left w:val="none" w:sz="0" w:space="0" w:color="auto"/>
        <w:bottom w:val="none" w:sz="0" w:space="0" w:color="auto"/>
        <w:right w:val="none" w:sz="0" w:space="0" w:color="auto"/>
      </w:divBdr>
      <w:divsChild>
        <w:div w:id="208612179">
          <w:marLeft w:val="0"/>
          <w:marRight w:val="0"/>
          <w:marTop w:val="0"/>
          <w:marBottom w:val="0"/>
          <w:divBdr>
            <w:top w:val="none" w:sz="0" w:space="0" w:color="auto"/>
            <w:left w:val="none" w:sz="0" w:space="0" w:color="auto"/>
            <w:bottom w:val="none" w:sz="0" w:space="0" w:color="auto"/>
            <w:right w:val="none" w:sz="0" w:space="0" w:color="auto"/>
          </w:divBdr>
          <w:divsChild>
            <w:div w:id="208612173">
              <w:marLeft w:val="0"/>
              <w:marRight w:val="0"/>
              <w:marTop w:val="0"/>
              <w:marBottom w:val="0"/>
              <w:divBdr>
                <w:top w:val="none" w:sz="0" w:space="0" w:color="auto"/>
                <w:left w:val="none" w:sz="0" w:space="0" w:color="auto"/>
                <w:bottom w:val="none" w:sz="0" w:space="0" w:color="auto"/>
                <w:right w:val="none" w:sz="0" w:space="0" w:color="auto"/>
              </w:divBdr>
              <w:divsChild>
                <w:div w:id="208612199">
                  <w:marLeft w:val="0"/>
                  <w:marRight w:val="0"/>
                  <w:marTop w:val="0"/>
                  <w:marBottom w:val="0"/>
                  <w:divBdr>
                    <w:top w:val="none" w:sz="0" w:space="0" w:color="auto"/>
                    <w:left w:val="none" w:sz="0" w:space="0" w:color="auto"/>
                    <w:bottom w:val="none" w:sz="0" w:space="0" w:color="auto"/>
                    <w:right w:val="none" w:sz="0" w:space="0" w:color="auto"/>
                  </w:divBdr>
                  <w:divsChild>
                    <w:div w:id="208612202">
                      <w:marLeft w:val="0"/>
                      <w:marRight w:val="0"/>
                      <w:marTop w:val="0"/>
                      <w:marBottom w:val="0"/>
                      <w:divBdr>
                        <w:top w:val="none" w:sz="0" w:space="0" w:color="auto"/>
                        <w:left w:val="none" w:sz="0" w:space="0" w:color="auto"/>
                        <w:bottom w:val="none" w:sz="0" w:space="0" w:color="auto"/>
                        <w:right w:val="none" w:sz="0" w:space="0" w:color="auto"/>
                      </w:divBdr>
                      <w:divsChild>
                        <w:div w:id="208612126">
                          <w:marLeft w:val="0"/>
                          <w:marRight w:val="0"/>
                          <w:marTop w:val="0"/>
                          <w:marBottom w:val="0"/>
                          <w:divBdr>
                            <w:top w:val="none" w:sz="0" w:space="0" w:color="auto"/>
                            <w:left w:val="none" w:sz="0" w:space="0" w:color="auto"/>
                            <w:bottom w:val="none" w:sz="0" w:space="0" w:color="auto"/>
                            <w:right w:val="none" w:sz="0" w:space="0" w:color="auto"/>
                          </w:divBdr>
                          <w:divsChild>
                            <w:div w:id="208612133">
                              <w:marLeft w:val="0"/>
                              <w:marRight w:val="0"/>
                              <w:marTop w:val="0"/>
                              <w:marBottom w:val="0"/>
                              <w:divBdr>
                                <w:top w:val="none" w:sz="0" w:space="0" w:color="auto"/>
                                <w:left w:val="none" w:sz="0" w:space="0" w:color="auto"/>
                                <w:bottom w:val="none" w:sz="0" w:space="0" w:color="auto"/>
                                <w:right w:val="none" w:sz="0" w:space="0" w:color="auto"/>
                              </w:divBdr>
                              <w:divsChild>
                                <w:div w:id="208612180">
                                  <w:marLeft w:val="0"/>
                                  <w:marRight w:val="0"/>
                                  <w:marTop w:val="0"/>
                                  <w:marBottom w:val="0"/>
                                  <w:divBdr>
                                    <w:top w:val="none" w:sz="0" w:space="0" w:color="auto"/>
                                    <w:left w:val="none" w:sz="0" w:space="0" w:color="auto"/>
                                    <w:bottom w:val="none" w:sz="0" w:space="0" w:color="auto"/>
                                    <w:right w:val="none" w:sz="0" w:space="0" w:color="auto"/>
                                  </w:divBdr>
                                  <w:divsChild>
                                    <w:div w:id="20861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02379">
      <w:bodyDiv w:val="1"/>
      <w:marLeft w:val="0"/>
      <w:marRight w:val="0"/>
      <w:marTop w:val="0"/>
      <w:marBottom w:val="0"/>
      <w:divBdr>
        <w:top w:val="none" w:sz="0" w:space="0" w:color="auto"/>
        <w:left w:val="none" w:sz="0" w:space="0" w:color="auto"/>
        <w:bottom w:val="none" w:sz="0" w:space="0" w:color="auto"/>
        <w:right w:val="none" w:sz="0" w:space="0" w:color="auto"/>
      </w:divBdr>
    </w:div>
    <w:div w:id="31754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2444</Words>
  <Characters>13936</Characters>
  <Application>Microsoft Office Word</Application>
  <DocSecurity>0</DocSecurity>
  <Lines>116</Lines>
  <Paragraphs>32</Paragraphs>
  <ScaleCrop>false</ScaleCrop>
  <Company>Hewlett-Packard Company</Company>
  <LinksUpToDate>false</LinksUpToDate>
  <CharactersWithSpaces>16348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HIGHLIGHT</dc:title>
  <dc:creator>Carmine Musto</dc:creator>
  <cp:lastModifiedBy>LS Ma</cp:lastModifiedBy>
  <cp:revision>2</cp:revision>
  <cp:lastPrinted>2013-06-20T12:43:00Z</cp:lastPrinted>
  <dcterms:created xsi:type="dcterms:W3CDTF">2013-09-16T04:41:00Z</dcterms:created>
  <dcterms:modified xsi:type="dcterms:W3CDTF">2013-09-16T04:41:00Z</dcterms:modified>
</cp:coreProperties>
</file>