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58C" w:rsidRPr="00384046" w:rsidRDefault="002E258C" w:rsidP="00384046">
      <w:pPr>
        <w:spacing w:line="360" w:lineRule="auto"/>
        <w:rPr>
          <w:rFonts w:ascii="Book Antiqua" w:hAnsi="Book Antiqua" w:cs="Tahoma"/>
          <w:b/>
          <w:color w:val="000000" w:themeColor="text1"/>
          <w:sz w:val="24"/>
          <w:szCs w:val="24"/>
        </w:rPr>
      </w:pPr>
      <w:r w:rsidRPr="00384046">
        <w:rPr>
          <w:rFonts w:ascii="Book Antiqua" w:hAnsi="Book Antiqua" w:cs="Tahoma"/>
          <w:b/>
          <w:color w:val="000000" w:themeColor="text1"/>
          <w:sz w:val="24"/>
          <w:szCs w:val="24"/>
        </w:rPr>
        <w:t xml:space="preserve">Name of Journal: </w:t>
      </w:r>
      <w:r w:rsidRPr="00384046">
        <w:rPr>
          <w:rFonts w:ascii="Book Antiqua" w:hAnsi="Book Antiqua" w:cs="Tahoma"/>
          <w:i/>
          <w:color w:val="000000" w:themeColor="text1"/>
          <w:sz w:val="24"/>
          <w:szCs w:val="24"/>
        </w:rPr>
        <w:t>World Journal of Clinical Cases</w:t>
      </w:r>
    </w:p>
    <w:p w:rsidR="002E258C" w:rsidRPr="00384046" w:rsidRDefault="002E258C" w:rsidP="00384046">
      <w:pPr>
        <w:spacing w:line="360" w:lineRule="auto"/>
        <w:rPr>
          <w:rFonts w:ascii="Book Antiqua" w:eastAsia="SimSun" w:hAnsi="Book Antiqua" w:cs="Tahoma"/>
          <w:b/>
          <w:color w:val="000000" w:themeColor="text1"/>
          <w:sz w:val="24"/>
          <w:szCs w:val="24"/>
        </w:rPr>
      </w:pPr>
      <w:r w:rsidRPr="00384046">
        <w:rPr>
          <w:rFonts w:ascii="Book Antiqua" w:hAnsi="Book Antiqua" w:cs="Tahoma"/>
          <w:b/>
          <w:color w:val="000000" w:themeColor="text1"/>
          <w:sz w:val="24"/>
          <w:szCs w:val="24"/>
        </w:rPr>
        <w:t xml:space="preserve">Manuscript NO: </w:t>
      </w:r>
      <w:r w:rsidRPr="00384046">
        <w:rPr>
          <w:rFonts w:ascii="Book Antiqua" w:eastAsia="SimSun" w:hAnsi="Book Antiqua" w:cs="Tahoma"/>
          <w:color w:val="000000" w:themeColor="text1"/>
          <w:sz w:val="24"/>
          <w:szCs w:val="24"/>
        </w:rPr>
        <w:t>43237</w:t>
      </w:r>
    </w:p>
    <w:p w:rsidR="002E258C" w:rsidRPr="00384046" w:rsidRDefault="002E258C" w:rsidP="00384046">
      <w:pPr>
        <w:spacing w:line="360" w:lineRule="auto"/>
        <w:rPr>
          <w:rFonts w:ascii="Book Antiqua" w:hAnsi="Book Antiqua"/>
          <w:color w:val="000000" w:themeColor="text1"/>
          <w:sz w:val="24"/>
          <w:szCs w:val="24"/>
        </w:rPr>
      </w:pPr>
      <w:bookmarkStart w:id="0" w:name="OLE_LINK3"/>
      <w:bookmarkStart w:id="1" w:name="OLE_LINK4"/>
      <w:r w:rsidRPr="00384046">
        <w:rPr>
          <w:rFonts w:ascii="Book Antiqua" w:hAnsi="Book Antiqua"/>
          <w:b/>
          <w:color w:val="000000" w:themeColor="text1"/>
          <w:sz w:val="24"/>
          <w:szCs w:val="24"/>
          <w:shd w:val="clear" w:color="auto" w:fill="FFFFFF"/>
        </w:rPr>
        <w:t>Manuscript Type</w:t>
      </w:r>
      <w:r w:rsidRPr="00384046">
        <w:rPr>
          <w:rFonts w:ascii="Book Antiqua" w:hAnsi="Book Antiqua"/>
          <w:b/>
          <w:color w:val="000000" w:themeColor="text1"/>
          <w:sz w:val="24"/>
          <w:szCs w:val="24"/>
        </w:rPr>
        <w:t xml:space="preserve">: </w:t>
      </w:r>
      <w:bookmarkEnd w:id="0"/>
      <w:bookmarkEnd w:id="1"/>
      <w:r w:rsidRPr="00384046">
        <w:rPr>
          <w:rFonts w:ascii="Book Antiqua" w:hAnsi="Book Antiqua"/>
          <w:color w:val="000000" w:themeColor="text1"/>
          <w:sz w:val="24"/>
          <w:szCs w:val="24"/>
        </w:rPr>
        <w:t>META-ANALYSIS</w:t>
      </w:r>
    </w:p>
    <w:p w:rsidR="002E258C" w:rsidRPr="00384046" w:rsidRDefault="002E258C" w:rsidP="00384046">
      <w:pPr>
        <w:spacing w:line="360" w:lineRule="auto"/>
        <w:rPr>
          <w:rFonts w:ascii="Book Antiqua" w:eastAsia="SimSun" w:hAnsi="Book Antiqua"/>
          <w:b/>
          <w:color w:val="000000" w:themeColor="text1"/>
          <w:sz w:val="24"/>
          <w:szCs w:val="24"/>
        </w:rPr>
      </w:pPr>
    </w:p>
    <w:p w:rsidR="00C94295" w:rsidRPr="00384046" w:rsidRDefault="00A808CD" w:rsidP="00384046">
      <w:pPr>
        <w:spacing w:line="360" w:lineRule="auto"/>
        <w:rPr>
          <w:rFonts w:ascii="Book Antiqua" w:eastAsia="SimSun"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t>D</w:t>
      </w:r>
      <w:r w:rsidR="000A4521" w:rsidRPr="00384046">
        <w:rPr>
          <w:rFonts w:ascii="Book Antiqua" w:eastAsia="SimSun" w:hAnsi="Book Antiqua" w:cs="Times New Roman"/>
          <w:b/>
          <w:color w:val="000000" w:themeColor="text1"/>
          <w:sz w:val="24"/>
          <w:szCs w:val="24"/>
        </w:rPr>
        <w:t>ocetaxel,</w:t>
      </w:r>
      <w:r w:rsidR="0083176F" w:rsidRPr="00384046">
        <w:rPr>
          <w:rFonts w:ascii="Book Antiqua" w:eastAsia="SimSun" w:hAnsi="Book Antiqua" w:cs="Times New Roman"/>
          <w:b/>
          <w:color w:val="000000" w:themeColor="text1"/>
          <w:sz w:val="24"/>
          <w:szCs w:val="24"/>
        </w:rPr>
        <w:t xml:space="preserve"> </w:t>
      </w:r>
      <w:r w:rsidR="002E258C" w:rsidRPr="00384046">
        <w:rPr>
          <w:rFonts w:ascii="Book Antiqua" w:eastAsia="SimSun" w:hAnsi="Book Antiqua" w:cs="Times New Roman"/>
          <w:b/>
          <w:color w:val="000000" w:themeColor="text1"/>
          <w:sz w:val="24"/>
          <w:szCs w:val="24"/>
        </w:rPr>
        <w:t>cisplatin</w:t>
      </w:r>
      <w:r w:rsidR="000A4521" w:rsidRPr="00384046">
        <w:rPr>
          <w:rFonts w:ascii="Book Antiqua" w:eastAsia="SimSun" w:hAnsi="Book Antiqua" w:cs="Times New Roman"/>
          <w:b/>
          <w:color w:val="000000" w:themeColor="text1"/>
          <w:sz w:val="24"/>
          <w:szCs w:val="24"/>
        </w:rPr>
        <w:t>,</w:t>
      </w:r>
      <w:r w:rsidR="0083176F" w:rsidRPr="00384046">
        <w:rPr>
          <w:rFonts w:ascii="Book Antiqua" w:eastAsia="SimSun" w:hAnsi="Book Antiqua" w:cs="Times New Roman"/>
          <w:b/>
          <w:color w:val="000000" w:themeColor="text1"/>
          <w:sz w:val="24"/>
          <w:szCs w:val="24"/>
        </w:rPr>
        <w:t xml:space="preserve"> </w:t>
      </w:r>
      <w:r w:rsidR="00104B37" w:rsidRPr="00384046">
        <w:rPr>
          <w:rFonts w:ascii="Book Antiqua" w:eastAsia="SimSun" w:hAnsi="Book Antiqua" w:cs="Times New Roman"/>
          <w:b/>
          <w:color w:val="000000" w:themeColor="text1"/>
          <w:sz w:val="24"/>
          <w:szCs w:val="24"/>
        </w:rPr>
        <w:t>and</w:t>
      </w:r>
      <w:r w:rsidR="0083176F" w:rsidRPr="00384046">
        <w:rPr>
          <w:rFonts w:ascii="Book Antiqua" w:eastAsia="SimSun" w:hAnsi="Book Antiqua" w:cs="Times New Roman"/>
          <w:b/>
          <w:color w:val="000000" w:themeColor="text1"/>
          <w:sz w:val="24"/>
          <w:szCs w:val="24"/>
        </w:rPr>
        <w:t xml:space="preserve"> </w:t>
      </w:r>
      <w:r w:rsidR="00104B37" w:rsidRPr="00384046">
        <w:rPr>
          <w:rFonts w:ascii="Book Antiqua" w:eastAsia="SimSun" w:hAnsi="Book Antiqua" w:cs="Times New Roman"/>
          <w:b/>
          <w:color w:val="000000" w:themeColor="text1"/>
          <w:sz w:val="24"/>
          <w:szCs w:val="24"/>
        </w:rPr>
        <w:t>5-fluorouracil</w:t>
      </w:r>
      <w:r w:rsidR="0083176F" w:rsidRPr="00384046">
        <w:rPr>
          <w:rFonts w:ascii="Book Antiqua" w:eastAsia="SimSun" w:hAnsi="Book Antiqua" w:cs="Times New Roman"/>
          <w:b/>
          <w:color w:val="000000" w:themeColor="text1"/>
          <w:sz w:val="24"/>
          <w:szCs w:val="24"/>
        </w:rPr>
        <w:t xml:space="preserve"> </w:t>
      </w:r>
      <w:r w:rsidR="002E258C" w:rsidRPr="00384046">
        <w:rPr>
          <w:rFonts w:ascii="Book Antiqua" w:eastAsia="SimSun" w:hAnsi="Book Antiqua" w:cs="Times New Roman"/>
          <w:b/>
          <w:color w:val="000000" w:themeColor="text1"/>
          <w:sz w:val="24"/>
          <w:szCs w:val="24"/>
        </w:rPr>
        <w:t xml:space="preserve">compared </w:t>
      </w:r>
      <w:r w:rsidR="00104B37" w:rsidRPr="00384046">
        <w:rPr>
          <w:rFonts w:ascii="Book Antiqua" w:eastAsia="SimSun" w:hAnsi="Book Antiqua" w:cs="Times New Roman"/>
          <w:b/>
          <w:color w:val="000000" w:themeColor="text1"/>
          <w:sz w:val="24"/>
          <w:szCs w:val="24"/>
        </w:rPr>
        <w:t>with</w:t>
      </w:r>
      <w:r w:rsidR="0083176F" w:rsidRPr="00384046">
        <w:rPr>
          <w:rFonts w:ascii="Book Antiqua" w:eastAsia="SimSun" w:hAnsi="Book Antiqua" w:cs="Times New Roman"/>
          <w:b/>
          <w:color w:val="000000" w:themeColor="text1"/>
          <w:sz w:val="24"/>
          <w:szCs w:val="24"/>
        </w:rPr>
        <w:t xml:space="preserve"> </w:t>
      </w:r>
      <w:r w:rsidR="002E258C" w:rsidRPr="00384046">
        <w:rPr>
          <w:rFonts w:ascii="Book Antiqua" w:eastAsia="SimSun" w:hAnsi="Book Antiqua" w:cs="Times New Roman"/>
          <w:b/>
          <w:color w:val="000000" w:themeColor="text1"/>
          <w:sz w:val="24"/>
          <w:szCs w:val="24"/>
        </w:rPr>
        <w:t>epirubicin</w:t>
      </w:r>
      <w:r w:rsidR="00104B37" w:rsidRPr="00384046">
        <w:rPr>
          <w:rFonts w:ascii="Book Antiqua" w:eastAsia="SimSun" w:hAnsi="Book Antiqua" w:cs="Times New Roman"/>
          <w:b/>
          <w:color w:val="000000" w:themeColor="text1"/>
          <w:sz w:val="24"/>
          <w:szCs w:val="24"/>
        </w:rPr>
        <w:t>,</w:t>
      </w:r>
      <w:r w:rsidR="0083176F" w:rsidRPr="00384046">
        <w:rPr>
          <w:rFonts w:ascii="Book Antiqua" w:eastAsia="SimSun" w:hAnsi="Book Antiqua" w:cs="Times New Roman"/>
          <w:b/>
          <w:color w:val="000000" w:themeColor="text1"/>
          <w:sz w:val="24"/>
          <w:szCs w:val="24"/>
        </w:rPr>
        <w:t xml:space="preserve"> </w:t>
      </w:r>
      <w:r w:rsidR="002E258C" w:rsidRPr="00384046">
        <w:rPr>
          <w:rFonts w:ascii="Book Antiqua" w:eastAsia="SimSun" w:hAnsi="Book Antiqua" w:cs="Times New Roman"/>
          <w:b/>
          <w:color w:val="000000" w:themeColor="text1"/>
          <w:sz w:val="24"/>
          <w:szCs w:val="24"/>
        </w:rPr>
        <w:t xml:space="preserve">cisplatin </w:t>
      </w:r>
      <w:r w:rsidR="00104B37" w:rsidRPr="00384046">
        <w:rPr>
          <w:rFonts w:ascii="Book Antiqua" w:eastAsia="SimSun" w:hAnsi="Book Antiqua" w:cs="Times New Roman"/>
          <w:b/>
          <w:color w:val="000000" w:themeColor="text1"/>
          <w:sz w:val="24"/>
          <w:szCs w:val="24"/>
        </w:rPr>
        <w:t>and 5-fluorouracil</w:t>
      </w:r>
      <w:r w:rsidR="0083176F" w:rsidRPr="00384046">
        <w:rPr>
          <w:rFonts w:ascii="Book Antiqua" w:eastAsia="SimSun" w:hAnsi="Book Antiqua" w:cs="Times New Roman"/>
          <w:b/>
          <w:color w:val="000000" w:themeColor="text1"/>
          <w:sz w:val="24"/>
          <w:szCs w:val="24"/>
        </w:rPr>
        <w:t xml:space="preserve"> </w:t>
      </w:r>
      <w:r w:rsidR="002E258C" w:rsidRPr="00384046">
        <w:rPr>
          <w:rFonts w:ascii="Book Antiqua" w:eastAsia="SimSun" w:hAnsi="Book Antiqua" w:cs="Times New Roman"/>
          <w:b/>
          <w:color w:val="000000" w:themeColor="text1"/>
          <w:sz w:val="24"/>
          <w:szCs w:val="24"/>
        </w:rPr>
        <w:t xml:space="preserve">regimens </w:t>
      </w:r>
      <w:r w:rsidR="00104B37" w:rsidRPr="00384046">
        <w:rPr>
          <w:rFonts w:ascii="Book Antiqua" w:eastAsia="SimSun" w:hAnsi="Book Antiqua" w:cs="Times New Roman"/>
          <w:b/>
          <w:color w:val="000000" w:themeColor="text1"/>
          <w:sz w:val="24"/>
          <w:szCs w:val="24"/>
        </w:rPr>
        <w:t>for</w:t>
      </w:r>
      <w:r w:rsidR="0083176F" w:rsidRPr="00384046">
        <w:rPr>
          <w:rFonts w:ascii="Book Antiqua" w:eastAsia="SimSun" w:hAnsi="Book Antiqua" w:cs="Times New Roman"/>
          <w:b/>
          <w:color w:val="000000" w:themeColor="text1"/>
          <w:sz w:val="24"/>
          <w:szCs w:val="24"/>
        </w:rPr>
        <w:t xml:space="preserve"> </w:t>
      </w:r>
      <w:r w:rsidR="002E258C" w:rsidRPr="00384046">
        <w:rPr>
          <w:rFonts w:ascii="Book Antiqua" w:eastAsia="SimSun" w:hAnsi="Book Antiqua" w:cs="Times New Roman"/>
          <w:b/>
          <w:color w:val="000000" w:themeColor="text1"/>
          <w:sz w:val="24"/>
          <w:szCs w:val="24"/>
        </w:rPr>
        <w:t>advanced gastric cancer</w:t>
      </w:r>
      <w:r w:rsidR="00104B37" w:rsidRPr="00384046">
        <w:rPr>
          <w:rFonts w:ascii="Book Antiqua" w:eastAsia="SimSun" w:hAnsi="Book Antiqua" w:cs="Times New Roman"/>
          <w:b/>
          <w:color w:val="000000" w:themeColor="text1"/>
          <w:sz w:val="24"/>
          <w:szCs w:val="24"/>
        </w:rPr>
        <w:t>:</w:t>
      </w:r>
      <w:r w:rsidR="0083176F" w:rsidRPr="00384046">
        <w:rPr>
          <w:rFonts w:ascii="Book Antiqua" w:eastAsia="SimSun" w:hAnsi="Book Antiqua" w:cs="Times New Roman"/>
          <w:b/>
          <w:color w:val="000000" w:themeColor="text1"/>
          <w:sz w:val="24"/>
          <w:szCs w:val="24"/>
        </w:rPr>
        <w:t xml:space="preserve"> </w:t>
      </w:r>
      <w:r w:rsidR="00104B37" w:rsidRPr="00384046">
        <w:rPr>
          <w:rFonts w:ascii="Book Antiqua" w:eastAsia="SimSun" w:hAnsi="Book Antiqua" w:cs="Times New Roman"/>
          <w:b/>
          <w:color w:val="000000" w:themeColor="text1"/>
          <w:sz w:val="24"/>
          <w:szCs w:val="24"/>
        </w:rPr>
        <w:t>A</w:t>
      </w:r>
      <w:r w:rsidR="0083176F" w:rsidRPr="00384046">
        <w:rPr>
          <w:rFonts w:ascii="Book Antiqua" w:eastAsia="SimSun" w:hAnsi="Book Antiqua" w:cs="Times New Roman"/>
          <w:b/>
          <w:color w:val="000000" w:themeColor="text1"/>
          <w:sz w:val="24"/>
          <w:szCs w:val="24"/>
        </w:rPr>
        <w:t xml:space="preserve"> </w:t>
      </w:r>
      <w:r w:rsidR="002E258C" w:rsidRPr="00384046">
        <w:rPr>
          <w:rFonts w:ascii="Book Antiqua" w:eastAsia="SimSun" w:hAnsi="Book Antiqua" w:cs="Times New Roman"/>
          <w:b/>
          <w:color w:val="000000" w:themeColor="text1"/>
          <w:sz w:val="24"/>
          <w:szCs w:val="24"/>
        </w:rPr>
        <w:t>systematic review and meta-analysis</w:t>
      </w:r>
    </w:p>
    <w:p w:rsidR="002E258C" w:rsidRPr="00384046" w:rsidRDefault="002E258C" w:rsidP="00384046">
      <w:pPr>
        <w:spacing w:line="360" w:lineRule="auto"/>
        <w:rPr>
          <w:rFonts w:ascii="Book Antiqua" w:eastAsia="SimSun" w:hAnsi="Book Antiqua" w:cs="Times New Roman"/>
          <w:b/>
          <w:color w:val="000000" w:themeColor="text1"/>
          <w:sz w:val="24"/>
          <w:szCs w:val="24"/>
        </w:rPr>
      </w:pPr>
    </w:p>
    <w:p w:rsidR="00CF0522" w:rsidRPr="00384046" w:rsidRDefault="00CF0522" w:rsidP="00384046">
      <w:pPr>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 xml:space="preserve">Li B </w:t>
      </w:r>
      <w:r w:rsidRPr="00384046">
        <w:rPr>
          <w:rFonts w:ascii="Book Antiqua" w:eastAsia="SimSun" w:hAnsi="Book Antiqua" w:cs="Times New Roman"/>
          <w:i/>
          <w:color w:val="000000" w:themeColor="text1"/>
          <w:sz w:val="24"/>
          <w:szCs w:val="24"/>
        </w:rPr>
        <w:t>et al</w:t>
      </w:r>
      <w:r w:rsidRPr="00384046">
        <w:rPr>
          <w:rFonts w:ascii="Book Antiqua" w:eastAsia="SimSun" w:hAnsi="Book Antiqua" w:cs="Times New Roman"/>
          <w:color w:val="000000" w:themeColor="text1"/>
          <w:sz w:val="24"/>
          <w:szCs w:val="24"/>
        </w:rPr>
        <w:t>. Meta-analysis of DCF and ECF regimens</w:t>
      </w:r>
    </w:p>
    <w:p w:rsidR="00CF0522" w:rsidRPr="00384046" w:rsidRDefault="00CF0522" w:rsidP="00384046">
      <w:pPr>
        <w:spacing w:line="360" w:lineRule="auto"/>
        <w:rPr>
          <w:rFonts w:ascii="Book Antiqua" w:eastAsia="SimSun" w:hAnsi="Book Antiqua" w:cs="Times New Roman"/>
          <w:b/>
          <w:color w:val="000000" w:themeColor="text1"/>
          <w:sz w:val="24"/>
          <w:szCs w:val="24"/>
        </w:rPr>
      </w:pPr>
    </w:p>
    <w:p w:rsidR="009D266D" w:rsidRPr="00384046" w:rsidRDefault="00022568"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Bo Li,</w:t>
      </w:r>
      <w:r w:rsidR="0082227C" w:rsidRPr="00384046">
        <w:rPr>
          <w:rFonts w:ascii="Book Antiqua" w:hAnsi="Book Antiqua" w:cs="Times New Roman"/>
          <w:color w:val="000000" w:themeColor="text1"/>
          <w:sz w:val="24"/>
          <w:szCs w:val="24"/>
        </w:rPr>
        <w:t xml:space="preserve"> </w:t>
      </w:r>
      <w:r w:rsidR="004521E2" w:rsidRPr="00384046">
        <w:rPr>
          <w:rFonts w:ascii="Book Antiqua" w:hAnsi="Book Antiqua" w:cs="Times New Roman"/>
          <w:color w:val="000000" w:themeColor="text1"/>
          <w:sz w:val="24"/>
          <w:szCs w:val="24"/>
        </w:rPr>
        <w:t>Lian Chen,</w:t>
      </w:r>
      <w:r w:rsidR="00BF179D" w:rsidRPr="00384046">
        <w:rPr>
          <w:rFonts w:ascii="Book Antiqua" w:hAnsi="Book Antiqua" w:cs="Times New Roman"/>
          <w:color w:val="000000" w:themeColor="text1"/>
          <w:sz w:val="24"/>
          <w:szCs w:val="24"/>
        </w:rPr>
        <w:t xml:space="preserve"> Hong</w:t>
      </w:r>
      <w:r w:rsidR="00CF0522" w:rsidRPr="00384046">
        <w:rPr>
          <w:rFonts w:ascii="Book Antiqua" w:hAnsi="Book Antiqua" w:cs="Times New Roman"/>
          <w:color w:val="000000" w:themeColor="text1"/>
          <w:sz w:val="24"/>
          <w:szCs w:val="24"/>
        </w:rPr>
        <w:t xml:space="preserve">-Liang </w:t>
      </w:r>
      <w:r w:rsidR="00BF179D" w:rsidRPr="00384046">
        <w:rPr>
          <w:rFonts w:ascii="Book Antiqua" w:hAnsi="Book Antiqua" w:cs="Times New Roman"/>
          <w:color w:val="000000" w:themeColor="text1"/>
          <w:sz w:val="24"/>
          <w:szCs w:val="24"/>
        </w:rPr>
        <w:t>Luo,</w:t>
      </w:r>
      <w:r w:rsidR="004521E2" w:rsidRPr="00384046">
        <w:rPr>
          <w:rFonts w:ascii="Book Antiqua" w:hAnsi="Book Antiqua" w:cs="Times New Roman"/>
          <w:color w:val="000000" w:themeColor="text1"/>
          <w:sz w:val="24"/>
          <w:szCs w:val="24"/>
        </w:rPr>
        <w:t xml:space="preserve"> Feng</w:t>
      </w:r>
      <w:r w:rsidR="00CF0522" w:rsidRPr="00384046">
        <w:rPr>
          <w:rFonts w:ascii="Book Antiqua" w:hAnsi="Book Antiqua" w:cs="Times New Roman"/>
          <w:color w:val="000000" w:themeColor="text1"/>
          <w:sz w:val="24"/>
          <w:szCs w:val="24"/>
        </w:rPr>
        <w:t xml:space="preserve">-Ming </w:t>
      </w:r>
      <w:r w:rsidR="004521E2" w:rsidRPr="00384046">
        <w:rPr>
          <w:rFonts w:ascii="Book Antiqua" w:hAnsi="Book Antiqua" w:cs="Times New Roman"/>
          <w:color w:val="000000" w:themeColor="text1"/>
          <w:sz w:val="24"/>
          <w:szCs w:val="24"/>
        </w:rPr>
        <w:t>Yi, Yi</w:t>
      </w:r>
      <w:r w:rsidR="00CF0522" w:rsidRPr="00384046">
        <w:rPr>
          <w:rFonts w:ascii="Book Antiqua" w:hAnsi="Book Antiqua" w:cs="Times New Roman"/>
          <w:color w:val="000000" w:themeColor="text1"/>
          <w:sz w:val="24"/>
          <w:szCs w:val="24"/>
        </w:rPr>
        <w:t xml:space="preserve">-Ping </w:t>
      </w:r>
      <w:r w:rsidR="004521E2" w:rsidRPr="00384046">
        <w:rPr>
          <w:rFonts w:ascii="Book Antiqua" w:hAnsi="Book Antiqua" w:cs="Times New Roman"/>
          <w:color w:val="000000" w:themeColor="text1"/>
          <w:sz w:val="24"/>
          <w:szCs w:val="24"/>
        </w:rPr>
        <w:t>Wei, Wen</w:t>
      </w:r>
      <w:r w:rsidR="00CF0522" w:rsidRPr="00384046">
        <w:rPr>
          <w:rFonts w:ascii="Book Antiqua" w:hAnsi="Book Antiqua" w:cs="Times New Roman"/>
          <w:color w:val="000000" w:themeColor="text1"/>
          <w:sz w:val="24"/>
          <w:szCs w:val="24"/>
        </w:rPr>
        <w:t xml:space="preserve">-Xiong </w:t>
      </w:r>
      <w:r w:rsidR="004521E2" w:rsidRPr="00384046">
        <w:rPr>
          <w:rFonts w:ascii="Book Antiqua" w:hAnsi="Book Antiqua" w:cs="Times New Roman"/>
          <w:color w:val="000000" w:themeColor="text1"/>
          <w:sz w:val="24"/>
          <w:szCs w:val="24"/>
        </w:rPr>
        <w:t>Zhang</w:t>
      </w:r>
    </w:p>
    <w:p w:rsidR="00CF0522" w:rsidRPr="00384046" w:rsidRDefault="00CF0522" w:rsidP="00384046">
      <w:pPr>
        <w:snapToGrid w:val="0"/>
        <w:spacing w:line="360" w:lineRule="auto"/>
        <w:rPr>
          <w:rFonts w:ascii="Book Antiqua" w:hAnsi="Book Antiqua" w:cs="Times New Roman"/>
          <w:b/>
          <w:color w:val="000000" w:themeColor="text1"/>
          <w:sz w:val="24"/>
          <w:szCs w:val="24"/>
        </w:rPr>
      </w:pPr>
    </w:p>
    <w:p w:rsidR="00DC36B7" w:rsidRPr="00384046" w:rsidRDefault="00DC36B7"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Bo Li, Yi</w:t>
      </w:r>
      <w:r w:rsidR="00F97190" w:rsidRPr="00384046">
        <w:rPr>
          <w:rFonts w:ascii="Book Antiqua" w:hAnsi="Book Antiqua" w:cs="Times New Roman"/>
          <w:b/>
          <w:color w:val="000000" w:themeColor="text1"/>
          <w:sz w:val="24"/>
          <w:szCs w:val="24"/>
        </w:rPr>
        <w:t>-</w:t>
      </w:r>
      <w:r w:rsidR="00214F03" w:rsidRPr="00384046">
        <w:rPr>
          <w:rFonts w:ascii="Book Antiqua" w:hAnsi="Book Antiqua" w:cs="Times New Roman"/>
          <w:b/>
          <w:color w:val="000000" w:themeColor="text1"/>
          <w:sz w:val="24"/>
          <w:szCs w:val="24"/>
        </w:rPr>
        <w:t xml:space="preserve">Ping </w:t>
      </w:r>
      <w:r w:rsidRPr="00384046">
        <w:rPr>
          <w:rFonts w:ascii="Book Antiqua" w:hAnsi="Book Antiqua" w:cs="Times New Roman"/>
          <w:b/>
          <w:color w:val="000000" w:themeColor="text1"/>
          <w:sz w:val="24"/>
          <w:szCs w:val="24"/>
        </w:rPr>
        <w:t>Wei, Wen</w:t>
      </w:r>
      <w:r w:rsidR="00F97190" w:rsidRPr="00384046">
        <w:rPr>
          <w:rFonts w:ascii="Book Antiqua" w:hAnsi="Book Antiqua" w:cs="Times New Roman"/>
          <w:b/>
          <w:color w:val="000000" w:themeColor="text1"/>
          <w:sz w:val="24"/>
          <w:szCs w:val="24"/>
        </w:rPr>
        <w:t>-</w:t>
      </w:r>
      <w:r w:rsidR="001D6227" w:rsidRPr="00384046">
        <w:rPr>
          <w:rFonts w:ascii="Book Antiqua" w:hAnsi="Book Antiqua" w:cs="Times New Roman"/>
          <w:b/>
          <w:color w:val="000000" w:themeColor="text1"/>
          <w:sz w:val="24"/>
          <w:szCs w:val="24"/>
        </w:rPr>
        <w:t xml:space="preserve">Xiong </w:t>
      </w:r>
      <w:r w:rsidRPr="00384046">
        <w:rPr>
          <w:rFonts w:ascii="Book Antiqua" w:hAnsi="Book Antiqua" w:cs="Times New Roman"/>
          <w:b/>
          <w:color w:val="000000" w:themeColor="text1"/>
          <w:sz w:val="24"/>
          <w:szCs w:val="24"/>
        </w:rPr>
        <w:t>Zhang,</w:t>
      </w:r>
      <w:r w:rsidRPr="00384046">
        <w:rPr>
          <w:rFonts w:ascii="Book Antiqua" w:hAnsi="Book Antiqua" w:cs="Times New Roman"/>
          <w:color w:val="000000" w:themeColor="text1"/>
          <w:sz w:val="24"/>
          <w:szCs w:val="24"/>
        </w:rPr>
        <w:t xml:space="preserve"> Department of Thoracic </w:t>
      </w:r>
      <w:r w:rsidR="00F97190" w:rsidRPr="00384046">
        <w:rPr>
          <w:rFonts w:ascii="Book Antiqua" w:hAnsi="Book Antiqua" w:cs="Times New Roman"/>
          <w:color w:val="000000" w:themeColor="text1"/>
          <w:sz w:val="24"/>
          <w:szCs w:val="24"/>
        </w:rPr>
        <w:t>Surgery</w:t>
      </w:r>
      <w:r w:rsidRPr="00384046">
        <w:rPr>
          <w:rFonts w:ascii="Book Antiqua" w:hAnsi="Book Antiqua" w:cs="Times New Roman"/>
          <w:color w:val="000000" w:themeColor="text1"/>
          <w:sz w:val="24"/>
          <w:szCs w:val="24"/>
        </w:rPr>
        <w:t>, The Second Affiliated Hospital of Nanchang University, Nanchang</w:t>
      </w:r>
      <w:r w:rsidR="00F97190" w:rsidRPr="00384046">
        <w:rPr>
          <w:rFonts w:ascii="Book Antiqua" w:hAnsi="Book Antiqua" w:cs="Times New Roman"/>
          <w:color w:val="000000" w:themeColor="text1"/>
          <w:sz w:val="24"/>
          <w:szCs w:val="24"/>
        </w:rPr>
        <w:t xml:space="preserve"> 330006</w:t>
      </w:r>
      <w:r w:rsidRPr="00384046">
        <w:rPr>
          <w:rFonts w:ascii="Book Antiqua" w:hAnsi="Book Antiqua" w:cs="Times New Roman"/>
          <w:color w:val="000000" w:themeColor="text1"/>
          <w:sz w:val="24"/>
          <w:szCs w:val="24"/>
        </w:rPr>
        <w:t xml:space="preserve">, </w:t>
      </w:r>
      <w:r w:rsidR="00F97190" w:rsidRPr="00384046">
        <w:rPr>
          <w:rFonts w:ascii="Book Antiqua" w:hAnsi="Book Antiqua" w:cs="Times New Roman"/>
          <w:color w:val="000000" w:themeColor="text1"/>
          <w:sz w:val="24"/>
          <w:szCs w:val="24"/>
        </w:rPr>
        <w:t xml:space="preserve">Jiangxi Province, </w:t>
      </w:r>
      <w:r w:rsidRPr="00384046">
        <w:rPr>
          <w:rFonts w:ascii="Book Antiqua" w:hAnsi="Book Antiqua" w:cs="Times New Roman"/>
          <w:color w:val="000000" w:themeColor="text1"/>
          <w:sz w:val="24"/>
          <w:szCs w:val="24"/>
        </w:rPr>
        <w:t>China</w:t>
      </w:r>
    </w:p>
    <w:p w:rsidR="00F97190" w:rsidRPr="00384046" w:rsidRDefault="00F97190" w:rsidP="00384046">
      <w:pPr>
        <w:snapToGrid w:val="0"/>
        <w:spacing w:line="360" w:lineRule="auto"/>
        <w:rPr>
          <w:rFonts w:ascii="Book Antiqua" w:hAnsi="Book Antiqua" w:cs="Times New Roman"/>
          <w:b/>
          <w:color w:val="000000" w:themeColor="text1"/>
          <w:sz w:val="24"/>
          <w:szCs w:val="24"/>
        </w:rPr>
      </w:pPr>
    </w:p>
    <w:p w:rsidR="009D266D" w:rsidRPr="00384046" w:rsidRDefault="00DC36B7"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Bo Li, Lian Chen,</w:t>
      </w:r>
      <w:r w:rsidRPr="00384046">
        <w:rPr>
          <w:rFonts w:ascii="Book Antiqua" w:hAnsi="Book Antiqua" w:cs="Times New Roman"/>
          <w:color w:val="000000" w:themeColor="text1"/>
          <w:sz w:val="24"/>
          <w:szCs w:val="24"/>
        </w:rPr>
        <w:t xml:space="preserve"> Jiangxi </w:t>
      </w:r>
      <w:r w:rsidR="00F97190" w:rsidRPr="00384046">
        <w:rPr>
          <w:rFonts w:ascii="Book Antiqua" w:hAnsi="Book Antiqua" w:cs="Times New Roman"/>
          <w:color w:val="000000" w:themeColor="text1"/>
          <w:sz w:val="24"/>
          <w:szCs w:val="24"/>
        </w:rPr>
        <w:t>Medical College</w:t>
      </w:r>
      <w:r w:rsidRPr="00384046">
        <w:rPr>
          <w:rFonts w:ascii="Book Antiqua" w:hAnsi="Book Antiqua" w:cs="Times New Roman"/>
          <w:color w:val="000000" w:themeColor="text1"/>
          <w:sz w:val="24"/>
          <w:szCs w:val="24"/>
        </w:rPr>
        <w:t>, Nanchang University, Nanchang</w:t>
      </w:r>
      <w:r w:rsidR="00F97190" w:rsidRPr="00384046">
        <w:rPr>
          <w:rFonts w:ascii="Book Antiqua" w:hAnsi="Book Antiqua" w:cs="Times New Roman"/>
          <w:color w:val="000000" w:themeColor="text1"/>
          <w:sz w:val="24"/>
          <w:szCs w:val="24"/>
        </w:rPr>
        <w:t xml:space="preserve"> 330006</w:t>
      </w:r>
      <w:r w:rsidRPr="00384046">
        <w:rPr>
          <w:rFonts w:ascii="Book Antiqua" w:hAnsi="Book Antiqua" w:cs="Times New Roman"/>
          <w:color w:val="000000" w:themeColor="text1"/>
          <w:sz w:val="24"/>
          <w:szCs w:val="24"/>
        </w:rPr>
        <w:t xml:space="preserve">, </w:t>
      </w:r>
      <w:r w:rsidR="00F97190" w:rsidRPr="00384046">
        <w:rPr>
          <w:rFonts w:ascii="Book Antiqua" w:hAnsi="Book Antiqua" w:cs="Times New Roman"/>
          <w:color w:val="000000" w:themeColor="text1"/>
          <w:sz w:val="24"/>
          <w:szCs w:val="24"/>
        </w:rPr>
        <w:t xml:space="preserve">Jiangxi Province, </w:t>
      </w:r>
      <w:r w:rsidRPr="00384046">
        <w:rPr>
          <w:rFonts w:ascii="Book Antiqua" w:hAnsi="Book Antiqua" w:cs="Times New Roman"/>
          <w:color w:val="000000" w:themeColor="text1"/>
          <w:sz w:val="24"/>
          <w:szCs w:val="24"/>
        </w:rPr>
        <w:t>China</w:t>
      </w:r>
    </w:p>
    <w:p w:rsidR="00F97190" w:rsidRPr="00384046" w:rsidRDefault="00F97190" w:rsidP="00384046">
      <w:pPr>
        <w:snapToGrid w:val="0"/>
        <w:spacing w:line="360" w:lineRule="auto"/>
        <w:rPr>
          <w:rFonts w:ascii="Book Antiqua" w:hAnsi="Book Antiqua" w:cs="Times New Roman"/>
          <w:b/>
          <w:color w:val="000000" w:themeColor="text1"/>
          <w:sz w:val="24"/>
          <w:szCs w:val="24"/>
        </w:rPr>
      </w:pPr>
    </w:p>
    <w:p w:rsidR="009D266D" w:rsidRPr="00384046" w:rsidRDefault="00BF179D"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Hong</w:t>
      </w:r>
      <w:r w:rsidR="001D6227" w:rsidRPr="00384046">
        <w:rPr>
          <w:rFonts w:ascii="Book Antiqua" w:hAnsi="Book Antiqua" w:cs="Times New Roman"/>
          <w:b/>
          <w:color w:val="000000" w:themeColor="text1"/>
          <w:sz w:val="24"/>
          <w:szCs w:val="24"/>
        </w:rPr>
        <w:t xml:space="preserve">-Liang </w:t>
      </w:r>
      <w:r w:rsidRPr="00384046">
        <w:rPr>
          <w:rFonts w:ascii="Book Antiqua" w:hAnsi="Book Antiqua" w:cs="Times New Roman"/>
          <w:b/>
          <w:color w:val="000000" w:themeColor="text1"/>
          <w:sz w:val="24"/>
          <w:szCs w:val="24"/>
        </w:rPr>
        <w:t>Luo,</w:t>
      </w:r>
      <w:r w:rsidRPr="00384046">
        <w:rPr>
          <w:rFonts w:ascii="Book Antiqua" w:hAnsi="Book Antiqua" w:cs="Times New Roman"/>
          <w:color w:val="000000" w:themeColor="text1"/>
          <w:sz w:val="24"/>
          <w:szCs w:val="24"/>
        </w:rPr>
        <w:t xml:space="preserve"> Department of Gastrointestinal </w:t>
      </w:r>
      <w:r w:rsidR="006403D2" w:rsidRPr="00384046">
        <w:rPr>
          <w:rFonts w:ascii="Book Antiqua" w:hAnsi="Book Antiqua" w:cs="Times New Roman"/>
          <w:color w:val="000000" w:themeColor="text1"/>
          <w:sz w:val="24"/>
          <w:szCs w:val="24"/>
        </w:rPr>
        <w:t>Surgery</w:t>
      </w:r>
      <w:r w:rsidRPr="00384046">
        <w:rPr>
          <w:rFonts w:ascii="Book Antiqua" w:hAnsi="Book Antiqua" w:cs="Times New Roman"/>
          <w:color w:val="000000" w:themeColor="text1"/>
          <w:sz w:val="24"/>
          <w:szCs w:val="24"/>
        </w:rPr>
        <w:t xml:space="preserve">, The Second Affiliated Hospital of Nanchang University, 330006 Nanchang, </w:t>
      </w:r>
      <w:r w:rsidR="00F97190" w:rsidRPr="00384046">
        <w:rPr>
          <w:rFonts w:ascii="Book Antiqua" w:hAnsi="Book Antiqua" w:cs="Times New Roman"/>
          <w:color w:val="000000" w:themeColor="text1"/>
          <w:sz w:val="24"/>
          <w:szCs w:val="24"/>
        </w:rPr>
        <w:t xml:space="preserve">Jiangxi Province, </w:t>
      </w:r>
      <w:r w:rsidRPr="00384046">
        <w:rPr>
          <w:rFonts w:ascii="Book Antiqua" w:hAnsi="Book Antiqua" w:cs="Times New Roman"/>
          <w:color w:val="000000" w:themeColor="text1"/>
          <w:sz w:val="24"/>
          <w:szCs w:val="24"/>
        </w:rPr>
        <w:t>China</w:t>
      </w:r>
    </w:p>
    <w:p w:rsidR="00F97190" w:rsidRPr="00384046" w:rsidRDefault="00F97190" w:rsidP="00384046">
      <w:pPr>
        <w:snapToGrid w:val="0"/>
        <w:spacing w:line="360" w:lineRule="auto"/>
        <w:rPr>
          <w:rFonts w:ascii="Book Antiqua" w:hAnsi="Book Antiqua" w:cs="Times New Roman"/>
          <w:b/>
          <w:color w:val="000000" w:themeColor="text1"/>
          <w:sz w:val="24"/>
          <w:szCs w:val="24"/>
        </w:rPr>
      </w:pPr>
    </w:p>
    <w:p w:rsidR="009D266D" w:rsidRPr="00384046" w:rsidRDefault="002C11F6"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Feng</w:t>
      </w:r>
      <w:r w:rsidR="00214F03" w:rsidRPr="00384046">
        <w:rPr>
          <w:rFonts w:ascii="Book Antiqua" w:hAnsi="Book Antiqua" w:cs="Times New Roman"/>
          <w:b/>
          <w:color w:val="000000" w:themeColor="text1"/>
          <w:sz w:val="24"/>
          <w:szCs w:val="24"/>
        </w:rPr>
        <w:t xml:space="preserve">-Ming </w:t>
      </w:r>
      <w:r w:rsidRPr="00384046">
        <w:rPr>
          <w:rFonts w:ascii="Book Antiqua" w:hAnsi="Book Antiqua" w:cs="Times New Roman"/>
          <w:b/>
          <w:color w:val="000000" w:themeColor="text1"/>
          <w:sz w:val="24"/>
          <w:szCs w:val="24"/>
        </w:rPr>
        <w:t>Yi,</w:t>
      </w:r>
      <w:r w:rsidRPr="00384046">
        <w:rPr>
          <w:rFonts w:ascii="Book Antiqua" w:hAnsi="Book Antiqua" w:cs="Times New Roman"/>
          <w:color w:val="000000" w:themeColor="text1"/>
          <w:sz w:val="24"/>
          <w:szCs w:val="24"/>
        </w:rPr>
        <w:t xml:space="preserve"> </w:t>
      </w:r>
      <w:r w:rsidR="005578A6" w:rsidRPr="00384046">
        <w:rPr>
          <w:rFonts w:ascii="Book Antiqua" w:hAnsi="Book Antiqua" w:cs="Times New Roman"/>
          <w:color w:val="000000" w:themeColor="text1"/>
          <w:sz w:val="24"/>
          <w:szCs w:val="24"/>
        </w:rPr>
        <w:t xml:space="preserve">Department of Digestive </w:t>
      </w:r>
      <w:r w:rsidR="00214F03" w:rsidRPr="00384046">
        <w:rPr>
          <w:rFonts w:ascii="Book Antiqua" w:hAnsi="Book Antiqua" w:cs="Times New Roman"/>
          <w:color w:val="000000" w:themeColor="text1"/>
          <w:sz w:val="24"/>
          <w:szCs w:val="24"/>
        </w:rPr>
        <w:t>Oncology</w:t>
      </w:r>
      <w:r w:rsidR="005578A6" w:rsidRPr="00384046">
        <w:rPr>
          <w:rFonts w:ascii="Book Antiqua" w:hAnsi="Book Antiqua" w:cs="Times New Roman"/>
          <w:color w:val="000000" w:themeColor="text1"/>
          <w:sz w:val="24"/>
          <w:szCs w:val="24"/>
        </w:rPr>
        <w:t>, The Second Affiliated Hospital of Nanchang University, Nanchang</w:t>
      </w:r>
      <w:r w:rsidR="00214F03" w:rsidRPr="00384046">
        <w:rPr>
          <w:rFonts w:ascii="Book Antiqua" w:hAnsi="Book Antiqua" w:cs="Times New Roman"/>
          <w:color w:val="000000" w:themeColor="text1"/>
          <w:sz w:val="24"/>
          <w:szCs w:val="24"/>
        </w:rPr>
        <w:t xml:space="preserve"> 330006</w:t>
      </w:r>
      <w:r w:rsidR="005578A6" w:rsidRPr="00384046">
        <w:rPr>
          <w:rFonts w:ascii="Book Antiqua" w:hAnsi="Book Antiqua" w:cs="Times New Roman"/>
          <w:color w:val="000000" w:themeColor="text1"/>
          <w:sz w:val="24"/>
          <w:szCs w:val="24"/>
        </w:rPr>
        <w:t xml:space="preserve">, </w:t>
      </w:r>
      <w:r w:rsidR="00F97190" w:rsidRPr="00384046">
        <w:rPr>
          <w:rFonts w:ascii="Book Antiqua" w:hAnsi="Book Antiqua" w:cs="Times New Roman"/>
          <w:color w:val="000000" w:themeColor="text1"/>
          <w:sz w:val="24"/>
          <w:szCs w:val="24"/>
        </w:rPr>
        <w:t xml:space="preserve">Jiangxi Province, </w:t>
      </w:r>
      <w:r w:rsidR="005578A6" w:rsidRPr="00384046">
        <w:rPr>
          <w:rFonts w:ascii="Book Antiqua" w:hAnsi="Book Antiqua" w:cs="Times New Roman"/>
          <w:color w:val="000000" w:themeColor="text1"/>
          <w:sz w:val="24"/>
          <w:szCs w:val="24"/>
        </w:rPr>
        <w:t>China</w:t>
      </w:r>
    </w:p>
    <w:p w:rsidR="00F97190" w:rsidRPr="00384046" w:rsidRDefault="00F97190" w:rsidP="00384046">
      <w:pPr>
        <w:snapToGrid w:val="0"/>
        <w:spacing w:line="360" w:lineRule="auto"/>
        <w:rPr>
          <w:rFonts w:ascii="Book Antiqua" w:hAnsi="Book Antiqua" w:cs="Times New Roman"/>
          <w:b/>
          <w:color w:val="000000" w:themeColor="text1"/>
          <w:sz w:val="24"/>
          <w:szCs w:val="24"/>
        </w:rPr>
      </w:pPr>
    </w:p>
    <w:p w:rsidR="008A5609" w:rsidRPr="00384046" w:rsidRDefault="002D370C" w:rsidP="00384046">
      <w:pPr>
        <w:snapToGrid w:val="0"/>
        <w:spacing w:line="360" w:lineRule="auto"/>
        <w:rPr>
          <w:rFonts w:ascii="Book Antiqua" w:hAnsi="Book Antiqua" w:cs="Times New Roman"/>
          <w:b/>
          <w:color w:val="000000" w:themeColor="text1"/>
          <w:sz w:val="24"/>
          <w:szCs w:val="24"/>
        </w:rPr>
      </w:pPr>
      <w:r w:rsidRPr="00384046">
        <w:rPr>
          <w:rStyle w:val="fontstyle01"/>
          <w:rFonts w:cs="Times New Roman"/>
          <w:color w:val="000000" w:themeColor="text1"/>
        </w:rPr>
        <w:t>ORCID number:</w:t>
      </w:r>
      <w:r w:rsidR="008A5609" w:rsidRPr="00384046">
        <w:rPr>
          <w:rStyle w:val="fontstyle01"/>
          <w:rFonts w:cs="Times New Roman"/>
          <w:color w:val="000000" w:themeColor="text1"/>
        </w:rPr>
        <w:t xml:space="preserve"> </w:t>
      </w:r>
      <w:r w:rsidR="008A5609" w:rsidRPr="00384046">
        <w:rPr>
          <w:rFonts w:ascii="Book Antiqua" w:hAnsi="Book Antiqua" w:cs="Times New Roman"/>
          <w:color w:val="000000" w:themeColor="text1"/>
          <w:sz w:val="24"/>
          <w:szCs w:val="24"/>
        </w:rPr>
        <w:t>Bo Li (</w:t>
      </w:r>
      <w:r w:rsidR="005C7E6B" w:rsidRPr="00384046">
        <w:rPr>
          <w:rFonts w:ascii="Book Antiqua" w:hAnsi="Book Antiqua" w:cs="Times New Roman"/>
          <w:color w:val="000000" w:themeColor="text1"/>
          <w:sz w:val="24"/>
          <w:szCs w:val="24"/>
        </w:rPr>
        <w:t>0000-0002-1438-4696</w:t>
      </w:r>
      <w:r w:rsidR="008A5609" w:rsidRPr="00384046">
        <w:rPr>
          <w:rFonts w:ascii="Book Antiqua" w:hAnsi="Book Antiqua" w:cs="Times New Roman"/>
          <w:color w:val="000000" w:themeColor="text1"/>
          <w:sz w:val="24"/>
          <w:szCs w:val="24"/>
        </w:rPr>
        <w:t>); Lian Chen (</w:t>
      </w:r>
      <w:r w:rsidR="007E026A" w:rsidRPr="00384046">
        <w:rPr>
          <w:rFonts w:ascii="Book Antiqua" w:hAnsi="Book Antiqua" w:cs="Times New Roman"/>
          <w:color w:val="000000" w:themeColor="text1"/>
          <w:sz w:val="24"/>
          <w:szCs w:val="24"/>
        </w:rPr>
        <w:t>0000-0001</w:t>
      </w:r>
      <w:r w:rsidR="00C04769" w:rsidRPr="00384046">
        <w:rPr>
          <w:rFonts w:ascii="Book Antiqua" w:hAnsi="Book Antiqua" w:cs="Times New Roman"/>
          <w:color w:val="000000" w:themeColor="text1"/>
          <w:sz w:val="24"/>
          <w:szCs w:val="24"/>
        </w:rPr>
        <w:t>-</w:t>
      </w:r>
      <w:r w:rsidR="007E026A" w:rsidRPr="00384046">
        <w:rPr>
          <w:rFonts w:ascii="Book Antiqua" w:hAnsi="Book Antiqua" w:cs="Times New Roman"/>
          <w:color w:val="000000" w:themeColor="text1"/>
          <w:sz w:val="24"/>
          <w:szCs w:val="24"/>
        </w:rPr>
        <w:t>5296-5806</w:t>
      </w:r>
      <w:r w:rsidR="008A5609" w:rsidRPr="00384046">
        <w:rPr>
          <w:rFonts w:ascii="Book Antiqua" w:hAnsi="Book Antiqua" w:cs="Times New Roman"/>
          <w:color w:val="000000" w:themeColor="text1"/>
          <w:sz w:val="24"/>
          <w:szCs w:val="24"/>
        </w:rPr>
        <w:t>); Hong</w:t>
      </w:r>
      <w:r w:rsidR="00A609C9" w:rsidRPr="00384046">
        <w:rPr>
          <w:rFonts w:ascii="Book Antiqua" w:hAnsi="Book Antiqua" w:cs="Times New Roman"/>
          <w:color w:val="000000" w:themeColor="text1"/>
          <w:sz w:val="24"/>
          <w:szCs w:val="24"/>
        </w:rPr>
        <w:t xml:space="preserve">-Liang </w:t>
      </w:r>
      <w:r w:rsidR="008A5609" w:rsidRPr="00384046">
        <w:rPr>
          <w:rFonts w:ascii="Book Antiqua" w:hAnsi="Book Antiqua" w:cs="Times New Roman"/>
          <w:color w:val="000000" w:themeColor="text1"/>
          <w:sz w:val="24"/>
          <w:szCs w:val="24"/>
        </w:rPr>
        <w:t>Luo (</w:t>
      </w:r>
      <w:r w:rsidR="005C7E6B" w:rsidRPr="00384046">
        <w:rPr>
          <w:rFonts w:ascii="Book Antiqua" w:hAnsi="Book Antiqua" w:cs="Times New Roman"/>
          <w:color w:val="000000" w:themeColor="text1"/>
          <w:sz w:val="24"/>
          <w:szCs w:val="24"/>
        </w:rPr>
        <w:t>0000-0001-5221-7736</w:t>
      </w:r>
      <w:r w:rsidR="008A5609" w:rsidRPr="00384046">
        <w:rPr>
          <w:rFonts w:ascii="Book Antiqua" w:hAnsi="Book Antiqua" w:cs="Times New Roman"/>
          <w:color w:val="000000" w:themeColor="text1"/>
          <w:sz w:val="24"/>
          <w:szCs w:val="24"/>
        </w:rPr>
        <w:t>); Feng</w:t>
      </w:r>
      <w:r w:rsidR="00A609C9" w:rsidRPr="00384046">
        <w:rPr>
          <w:rFonts w:ascii="Book Antiqua" w:hAnsi="Book Antiqua" w:cs="Times New Roman"/>
          <w:color w:val="000000" w:themeColor="text1"/>
          <w:sz w:val="24"/>
          <w:szCs w:val="24"/>
        </w:rPr>
        <w:t xml:space="preserve">-Ming </w:t>
      </w:r>
      <w:r w:rsidR="008A5609" w:rsidRPr="00384046">
        <w:rPr>
          <w:rFonts w:ascii="Book Antiqua" w:hAnsi="Book Antiqua" w:cs="Times New Roman"/>
          <w:color w:val="000000" w:themeColor="text1"/>
          <w:sz w:val="24"/>
          <w:szCs w:val="24"/>
        </w:rPr>
        <w:t>Yi (</w:t>
      </w:r>
      <w:r w:rsidR="002B6514" w:rsidRPr="00384046">
        <w:rPr>
          <w:rFonts w:ascii="Book Antiqua" w:hAnsi="Book Antiqua" w:cs="Times New Roman"/>
          <w:color w:val="000000" w:themeColor="text1"/>
          <w:sz w:val="24"/>
          <w:szCs w:val="24"/>
        </w:rPr>
        <w:t>0000-0001-9006-2042</w:t>
      </w:r>
      <w:r w:rsidR="008A5609" w:rsidRPr="00384046">
        <w:rPr>
          <w:rFonts w:ascii="Book Antiqua" w:hAnsi="Book Antiqua" w:cs="Times New Roman"/>
          <w:color w:val="000000" w:themeColor="text1"/>
          <w:sz w:val="24"/>
          <w:szCs w:val="24"/>
        </w:rPr>
        <w:t>); Yi</w:t>
      </w:r>
      <w:r w:rsidR="00A609C9" w:rsidRPr="00384046">
        <w:rPr>
          <w:rFonts w:ascii="Book Antiqua" w:hAnsi="Book Antiqua" w:cs="Times New Roman"/>
          <w:color w:val="000000" w:themeColor="text1"/>
          <w:sz w:val="24"/>
          <w:szCs w:val="24"/>
        </w:rPr>
        <w:t xml:space="preserve">-Ping </w:t>
      </w:r>
      <w:r w:rsidR="008A5609" w:rsidRPr="00384046">
        <w:rPr>
          <w:rFonts w:ascii="Book Antiqua" w:hAnsi="Book Antiqua" w:cs="Times New Roman"/>
          <w:color w:val="000000" w:themeColor="text1"/>
          <w:sz w:val="24"/>
          <w:szCs w:val="24"/>
        </w:rPr>
        <w:t>Wei (</w:t>
      </w:r>
      <w:r w:rsidR="002B6514" w:rsidRPr="00384046">
        <w:rPr>
          <w:rFonts w:ascii="Book Antiqua" w:hAnsi="Book Antiqua" w:cs="Times New Roman"/>
          <w:color w:val="000000" w:themeColor="text1"/>
          <w:sz w:val="24"/>
          <w:szCs w:val="24"/>
        </w:rPr>
        <w:t>0000-0001-5364-8212</w:t>
      </w:r>
      <w:r w:rsidR="008A5609" w:rsidRPr="00384046">
        <w:rPr>
          <w:rFonts w:ascii="Book Antiqua" w:hAnsi="Book Antiqua" w:cs="Times New Roman"/>
          <w:color w:val="000000" w:themeColor="text1"/>
          <w:sz w:val="24"/>
          <w:szCs w:val="24"/>
        </w:rPr>
        <w:t>); Wen</w:t>
      </w:r>
      <w:r w:rsidR="00A609C9" w:rsidRPr="00384046">
        <w:rPr>
          <w:rFonts w:ascii="Book Antiqua" w:hAnsi="Book Antiqua" w:cs="Times New Roman"/>
          <w:color w:val="000000" w:themeColor="text1"/>
          <w:sz w:val="24"/>
          <w:szCs w:val="24"/>
        </w:rPr>
        <w:t xml:space="preserve">-Xiong </w:t>
      </w:r>
      <w:r w:rsidR="008A5609" w:rsidRPr="00384046">
        <w:rPr>
          <w:rFonts w:ascii="Book Antiqua" w:hAnsi="Book Antiqua" w:cs="Times New Roman"/>
          <w:color w:val="000000" w:themeColor="text1"/>
          <w:sz w:val="24"/>
          <w:szCs w:val="24"/>
        </w:rPr>
        <w:t>Zhang (</w:t>
      </w:r>
      <w:r w:rsidR="002B6514" w:rsidRPr="00384046">
        <w:rPr>
          <w:rFonts w:ascii="Book Antiqua" w:hAnsi="Book Antiqua" w:cs="Times New Roman"/>
          <w:color w:val="000000" w:themeColor="text1"/>
          <w:sz w:val="24"/>
          <w:szCs w:val="24"/>
        </w:rPr>
        <w:t>0000-0003-2962-0847</w:t>
      </w:r>
      <w:r w:rsidR="008A5609" w:rsidRPr="00384046">
        <w:rPr>
          <w:rFonts w:ascii="Book Antiqua" w:hAnsi="Book Antiqua" w:cs="Times New Roman"/>
          <w:color w:val="000000" w:themeColor="text1"/>
          <w:sz w:val="24"/>
          <w:szCs w:val="24"/>
        </w:rPr>
        <w:t>).</w:t>
      </w:r>
    </w:p>
    <w:p w:rsidR="009D266D" w:rsidRPr="00384046" w:rsidRDefault="00040F85"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lastRenderedPageBreak/>
        <w:t>Author contributions:</w:t>
      </w:r>
      <w:r w:rsidRPr="00384046">
        <w:rPr>
          <w:rFonts w:ascii="Book Antiqua" w:hAnsi="Book Antiqua" w:cs="Times New Roman"/>
          <w:color w:val="000000" w:themeColor="text1"/>
          <w:sz w:val="24"/>
          <w:szCs w:val="24"/>
        </w:rPr>
        <w:t xml:space="preserve"> Li B conception and design of the study, acquisition of data, analysis and interpretation of data, drafting the article; Chen L acquisition of data, analysis and interpretation of data; Yi FM conception and design of the study, analysis and interpretation of data; Luo HL acquisition of data, analysis and interpretation of data; Wei YP revising the article; Zhang WX conception and design of the study, critical revision, final approval.</w:t>
      </w:r>
    </w:p>
    <w:p w:rsidR="00EA256E" w:rsidRPr="00384046" w:rsidRDefault="00EA256E" w:rsidP="00384046">
      <w:pPr>
        <w:snapToGrid w:val="0"/>
        <w:spacing w:line="360" w:lineRule="auto"/>
        <w:rPr>
          <w:rFonts w:ascii="Book Antiqua" w:hAnsi="Book Antiqua" w:cs="Times New Roman"/>
          <w:color w:val="000000" w:themeColor="text1"/>
          <w:sz w:val="24"/>
          <w:szCs w:val="24"/>
        </w:rPr>
      </w:pPr>
    </w:p>
    <w:p w:rsidR="00F62152" w:rsidRPr="00384046" w:rsidRDefault="00F62152" w:rsidP="00384046">
      <w:pPr>
        <w:spacing w:line="360" w:lineRule="auto"/>
        <w:rPr>
          <w:rFonts w:ascii="Book Antiqua" w:hAnsi="Book Antiqua" w:cs="Times New Roman"/>
          <w:color w:val="000000" w:themeColor="text1"/>
          <w:sz w:val="24"/>
          <w:szCs w:val="24"/>
        </w:rPr>
      </w:pPr>
      <w:r w:rsidRPr="00384046">
        <w:rPr>
          <w:rStyle w:val="fontstyle01"/>
          <w:rFonts w:cs="Times New Roman"/>
          <w:color w:val="000000" w:themeColor="text1"/>
        </w:rPr>
        <w:t xml:space="preserve">Supported by </w:t>
      </w:r>
      <w:r w:rsidRPr="00384046">
        <w:rPr>
          <w:rFonts w:ascii="Book Antiqua" w:hAnsi="Book Antiqua" w:cs="Times New Roman"/>
          <w:color w:val="000000" w:themeColor="text1"/>
          <w:sz w:val="24"/>
          <w:szCs w:val="24"/>
        </w:rPr>
        <w:t>National Natural Science Foundation of China,</w:t>
      </w:r>
      <w:r w:rsidR="00EA256E" w:rsidRPr="00384046">
        <w:rPr>
          <w:rFonts w:ascii="Book Antiqua" w:hAnsi="Book Antiqua" w:cs="Times New Roman"/>
          <w:color w:val="000000" w:themeColor="text1"/>
          <w:sz w:val="24"/>
          <w:szCs w:val="24"/>
        </w:rPr>
        <w:t xml:space="preserve"> No. 81560345</w:t>
      </w:r>
      <w:r w:rsidRPr="00384046">
        <w:rPr>
          <w:rFonts w:ascii="Book Antiqua" w:hAnsi="Book Antiqua" w:cs="Times New Roman"/>
          <w:color w:val="000000" w:themeColor="text1"/>
          <w:sz w:val="24"/>
          <w:szCs w:val="24"/>
        </w:rPr>
        <w:t>.</w:t>
      </w:r>
    </w:p>
    <w:p w:rsidR="00BD56B0" w:rsidRPr="00384046" w:rsidRDefault="00BD56B0" w:rsidP="00384046">
      <w:pPr>
        <w:spacing w:line="360" w:lineRule="auto"/>
        <w:rPr>
          <w:rFonts w:ascii="Book Antiqua" w:hAnsi="Book Antiqua" w:cs="Times New Roman"/>
          <w:b/>
          <w:color w:val="000000" w:themeColor="text1"/>
          <w:kern w:val="0"/>
          <w:sz w:val="24"/>
          <w:szCs w:val="24"/>
        </w:rPr>
      </w:pPr>
    </w:p>
    <w:p w:rsidR="00F62152" w:rsidRPr="00384046" w:rsidRDefault="00F62152" w:rsidP="00384046">
      <w:pPr>
        <w:spacing w:line="360" w:lineRule="auto"/>
        <w:rPr>
          <w:rStyle w:val="fontstyle21"/>
          <w:rFonts w:cs="Times New Roman"/>
          <w:color w:val="000000" w:themeColor="text1"/>
        </w:rPr>
      </w:pPr>
      <w:r w:rsidRPr="00384046">
        <w:rPr>
          <w:rStyle w:val="fontstyle01"/>
          <w:rFonts w:cs="Times New Roman"/>
          <w:color w:val="000000" w:themeColor="text1"/>
        </w:rPr>
        <w:t xml:space="preserve">Conflict-of-interest statement: </w:t>
      </w:r>
      <w:r w:rsidRPr="00384046">
        <w:rPr>
          <w:rStyle w:val="fontstyle21"/>
          <w:rFonts w:cs="Times New Roman"/>
          <w:color w:val="000000" w:themeColor="text1"/>
        </w:rPr>
        <w:t>The authors deny any conflict of interest.</w:t>
      </w:r>
    </w:p>
    <w:p w:rsidR="00BD56B0" w:rsidRPr="00384046" w:rsidRDefault="00BD56B0" w:rsidP="00384046">
      <w:pPr>
        <w:spacing w:line="360" w:lineRule="auto"/>
        <w:rPr>
          <w:rFonts w:ascii="Book Antiqua" w:hAnsi="Book Antiqua" w:cs="Times New Roman"/>
          <w:b/>
          <w:color w:val="000000" w:themeColor="text1"/>
          <w:kern w:val="0"/>
          <w:sz w:val="24"/>
          <w:szCs w:val="24"/>
        </w:rPr>
      </w:pPr>
    </w:p>
    <w:p w:rsidR="00F62152" w:rsidRPr="00384046" w:rsidRDefault="00BD56B0" w:rsidP="00384046">
      <w:pPr>
        <w:spacing w:line="360" w:lineRule="auto"/>
        <w:rPr>
          <w:rStyle w:val="fontstyle01"/>
          <w:rFonts w:cs="Times New Roman"/>
          <w:b w:val="0"/>
          <w:color w:val="000000" w:themeColor="text1"/>
        </w:rPr>
      </w:pPr>
      <w:r w:rsidRPr="00384046">
        <w:rPr>
          <w:rFonts w:ascii="Book Antiqua" w:eastAsia="SimSun" w:hAnsi="Book Antiqua"/>
          <w:b/>
          <w:sz w:val="24"/>
          <w:szCs w:val="24"/>
        </w:rPr>
        <w:t xml:space="preserve">PRISMA 2009 Checklist </w:t>
      </w:r>
      <w:r w:rsidRPr="00384046">
        <w:rPr>
          <w:rFonts w:ascii="Book Antiqua" w:hAnsi="Book Antiqua"/>
          <w:b/>
          <w:color w:val="000000"/>
          <w:sz w:val="24"/>
          <w:szCs w:val="24"/>
        </w:rPr>
        <w:t>statement</w:t>
      </w:r>
      <w:r w:rsidR="00F62152" w:rsidRPr="00384046">
        <w:rPr>
          <w:rStyle w:val="fontstyle01"/>
          <w:rFonts w:cs="Times New Roman"/>
          <w:color w:val="000000" w:themeColor="text1"/>
        </w:rPr>
        <w:t xml:space="preserve">: </w:t>
      </w:r>
      <w:r w:rsidR="00F62152" w:rsidRPr="00384046">
        <w:rPr>
          <w:rStyle w:val="fontstyle01"/>
          <w:rFonts w:cs="Times New Roman"/>
          <w:b w:val="0"/>
          <w:color w:val="000000" w:themeColor="text1"/>
        </w:rPr>
        <w:t>The authors have read and revised according to the PRISMA 2009 Checklist.</w:t>
      </w:r>
    </w:p>
    <w:p w:rsidR="00721291" w:rsidRPr="00384046" w:rsidRDefault="00721291" w:rsidP="00384046">
      <w:pPr>
        <w:spacing w:line="360" w:lineRule="auto"/>
        <w:rPr>
          <w:rStyle w:val="fontstyle01"/>
          <w:rFonts w:eastAsia="SimSun"/>
          <w:bCs w:val="0"/>
          <w:color w:val="auto"/>
        </w:rPr>
      </w:pPr>
    </w:p>
    <w:p w:rsidR="00721291" w:rsidRPr="00384046" w:rsidRDefault="00721291" w:rsidP="00384046">
      <w:pPr>
        <w:spacing w:line="360" w:lineRule="auto"/>
        <w:rPr>
          <w:rFonts w:ascii="Book Antiqua" w:hAnsi="Book Antiqua"/>
          <w:b/>
          <w:color w:val="000000"/>
          <w:sz w:val="24"/>
          <w:szCs w:val="24"/>
        </w:rPr>
      </w:pPr>
      <w:r w:rsidRPr="00384046">
        <w:rPr>
          <w:rFonts w:ascii="Book Antiqua" w:hAnsi="Book Antiqua"/>
          <w:b/>
          <w:color w:val="000000"/>
          <w:sz w:val="24"/>
          <w:szCs w:val="24"/>
        </w:rPr>
        <w:t xml:space="preserve">Open-Access: </w:t>
      </w:r>
      <w:r w:rsidRPr="00384046">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21291" w:rsidRPr="00384046" w:rsidRDefault="00721291" w:rsidP="00384046">
      <w:pPr>
        <w:spacing w:line="360" w:lineRule="auto"/>
        <w:rPr>
          <w:rFonts w:ascii="Book Antiqua" w:hAnsi="Book Antiqua"/>
          <w:b/>
          <w:sz w:val="24"/>
          <w:szCs w:val="24"/>
        </w:rPr>
      </w:pPr>
    </w:p>
    <w:p w:rsidR="00BD56B0" w:rsidRPr="00384046" w:rsidRDefault="00721291" w:rsidP="00384046">
      <w:pPr>
        <w:spacing w:line="360" w:lineRule="auto"/>
        <w:rPr>
          <w:rFonts w:ascii="Book Antiqua" w:hAnsi="Book Antiqua" w:cs="Times New Roman"/>
          <w:b/>
          <w:bCs/>
          <w:color w:val="000000" w:themeColor="text1"/>
          <w:sz w:val="24"/>
          <w:szCs w:val="24"/>
        </w:rPr>
      </w:pPr>
      <w:r w:rsidRPr="00384046">
        <w:rPr>
          <w:rFonts w:ascii="Book Antiqua" w:hAnsi="Book Antiqua"/>
          <w:b/>
          <w:sz w:val="24"/>
          <w:szCs w:val="24"/>
        </w:rPr>
        <w:t xml:space="preserve">Manuscript source: </w:t>
      </w:r>
      <w:r w:rsidRPr="00384046">
        <w:rPr>
          <w:rFonts w:ascii="Book Antiqua" w:hAnsi="Book Antiqua"/>
          <w:sz w:val="24"/>
          <w:szCs w:val="24"/>
        </w:rPr>
        <w:t>Unsolicited manuscript</w:t>
      </w:r>
    </w:p>
    <w:p w:rsidR="00721291" w:rsidRPr="00384046" w:rsidRDefault="00721291" w:rsidP="00384046">
      <w:pPr>
        <w:spacing w:line="360" w:lineRule="auto"/>
        <w:rPr>
          <w:rStyle w:val="fontstyle01"/>
          <w:rFonts w:cs="Times New Roman"/>
          <w:color w:val="000000" w:themeColor="text1"/>
        </w:rPr>
      </w:pPr>
    </w:p>
    <w:p w:rsidR="00EF1886" w:rsidRPr="00384046" w:rsidRDefault="005153CA" w:rsidP="00384046">
      <w:pPr>
        <w:spacing w:line="360" w:lineRule="auto"/>
        <w:rPr>
          <w:rFonts w:ascii="Book Antiqua" w:hAnsi="Book Antiqua" w:cs="Times New Roman"/>
          <w:color w:val="000000" w:themeColor="text1"/>
          <w:sz w:val="24"/>
          <w:szCs w:val="24"/>
        </w:rPr>
      </w:pPr>
      <w:r w:rsidRPr="00384046">
        <w:rPr>
          <w:rStyle w:val="fontstyle01"/>
          <w:rFonts w:cs="Times New Roman"/>
          <w:color w:val="000000" w:themeColor="text1"/>
        </w:rPr>
        <w:t>Corresponding author</w:t>
      </w:r>
      <w:r w:rsidR="00F62152" w:rsidRPr="00384046">
        <w:rPr>
          <w:rStyle w:val="fontstyle01"/>
          <w:rFonts w:cs="Times New Roman"/>
          <w:color w:val="000000" w:themeColor="text1"/>
        </w:rPr>
        <w:t>:</w:t>
      </w:r>
      <w:r w:rsidR="00F62152" w:rsidRPr="00384046">
        <w:rPr>
          <w:rFonts w:ascii="Book Antiqua" w:hAnsi="Book Antiqua" w:cs="Times New Roman"/>
          <w:color w:val="000000" w:themeColor="text1"/>
          <w:sz w:val="24"/>
          <w:szCs w:val="24"/>
        </w:rPr>
        <w:t xml:space="preserve"> </w:t>
      </w:r>
      <w:r w:rsidR="00F62152" w:rsidRPr="00384046">
        <w:rPr>
          <w:rFonts w:ascii="Book Antiqua" w:hAnsi="Book Antiqua" w:cs="Times New Roman"/>
          <w:b/>
          <w:color w:val="000000" w:themeColor="text1"/>
          <w:sz w:val="24"/>
          <w:szCs w:val="24"/>
        </w:rPr>
        <w:t>Wen</w:t>
      </w:r>
      <w:r w:rsidR="00627BFD" w:rsidRPr="00384046">
        <w:rPr>
          <w:rFonts w:ascii="Book Antiqua" w:hAnsi="Book Antiqua" w:cs="Times New Roman"/>
          <w:b/>
          <w:color w:val="000000" w:themeColor="text1"/>
          <w:sz w:val="24"/>
          <w:szCs w:val="24"/>
        </w:rPr>
        <w:t xml:space="preserve">-Xiong </w:t>
      </w:r>
      <w:r w:rsidR="00F62152" w:rsidRPr="00384046">
        <w:rPr>
          <w:rFonts w:ascii="Book Antiqua" w:hAnsi="Book Antiqua" w:cs="Times New Roman"/>
          <w:b/>
          <w:color w:val="000000" w:themeColor="text1"/>
          <w:sz w:val="24"/>
          <w:szCs w:val="24"/>
        </w:rPr>
        <w:t xml:space="preserve">Zhang, MD, </w:t>
      </w:r>
      <w:r w:rsidR="00EF1886" w:rsidRPr="00384046">
        <w:rPr>
          <w:rFonts w:ascii="Book Antiqua" w:hAnsi="Book Antiqua" w:cs="Times New Roman"/>
          <w:b/>
          <w:color w:val="000000" w:themeColor="text1"/>
          <w:sz w:val="24"/>
          <w:szCs w:val="24"/>
        </w:rPr>
        <w:t xml:space="preserve">Attending Doctor, </w:t>
      </w:r>
      <w:r w:rsidR="00F62152" w:rsidRPr="00384046">
        <w:rPr>
          <w:rFonts w:ascii="Book Antiqua" w:hAnsi="Book Antiqua" w:cs="Times New Roman"/>
          <w:color w:val="000000" w:themeColor="text1"/>
          <w:sz w:val="24"/>
          <w:szCs w:val="24"/>
        </w:rPr>
        <w:t xml:space="preserve">Department of Thoracic </w:t>
      </w:r>
      <w:r w:rsidR="00EF1886" w:rsidRPr="00384046">
        <w:rPr>
          <w:rFonts w:ascii="Book Antiqua" w:hAnsi="Book Antiqua" w:cs="Times New Roman"/>
          <w:color w:val="000000" w:themeColor="text1"/>
          <w:sz w:val="24"/>
          <w:szCs w:val="24"/>
        </w:rPr>
        <w:t>Surgery</w:t>
      </w:r>
      <w:r w:rsidR="00F62152" w:rsidRPr="00384046">
        <w:rPr>
          <w:rFonts w:ascii="Book Antiqua" w:hAnsi="Book Antiqua" w:cs="Times New Roman"/>
          <w:color w:val="000000" w:themeColor="text1"/>
          <w:sz w:val="24"/>
          <w:szCs w:val="24"/>
        </w:rPr>
        <w:t xml:space="preserve">, The </w:t>
      </w:r>
      <w:r w:rsidR="00EF1886" w:rsidRPr="00384046">
        <w:rPr>
          <w:rFonts w:ascii="Book Antiqua" w:hAnsi="Book Antiqua" w:cs="Times New Roman"/>
          <w:color w:val="000000" w:themeColor="text1"/>
          <w:sz w:val="24"/>
          <w:szCs w:val="24"/>
        </w:rPr>
        <w:t xml:space="preserve">Second Affiliated Hospital </w:t>
      </w:r>
      <w:r w:rsidR="00F62152" w:rsidRPr="00384046">
        <w:rPr>
          <w:rFonts w:ascii="Book Antiqua" w:hAnsi="Book Antiqua" w:cs="Times New Roman"/>
          <w:color w:val="000000" w:themeColor="text1"/>
          <w:sz w:val="24"/>
          <w:szCs w:val="24"/>
        </w:rPr>
        <w:t>of Nanchang University, 1 Minde Rd, Nanchang</w:t>
      </w:r>
      <w:r w:rsidR="00EF1886" w:rsidRPr="00384046">
        <w:rPr>
          <w:rFonts w:ascii="Book Antiqua" w:hAnsi="Book Antiqua" w:cs="Times New Roman"/>
          <w:color w:val="000000" w:themeColor="text1"/>
          <w:sz w:val="24"/>
          <w:szCs w:val="24"/>
        </w:rPr>
        <w:t xml:space="preserve"> 330006</w:t>
      </w:r>
      <w:r w:rsidR="00F62152" w:rsidRPr="00384046">
        <w:rPr>
          <w:rFonts w:ascii="Book Antiqua" w:hAnsi="Book Antiqua" w:cs="Times New Roman"/>
          <w:color w:val="000000" w:themeColor="text1"/>
          <w:sz w:val="24"/>
          <w:szCs w:val="24"/>
        </w:rPr>
        <w:t>, Jiangxi Province, China</w:t>
      </w:r>
      <w:r w:rsidR="00EF1886" w:rsidRPr="00384046">
        <w:rPr>
          <w:rFonts w:ascii="Book Antiqua" w:hAnsi="Book Antiqua" w:cs="Times New Roman"/>
          <w:color w:val="000000" w:themeColor="text1"/>
          <w:sz w:val="24"/>
          <w:szCs w:val="24"/>
        </w:rPr>
        <w:t xml:space="preserve">. </w:t>
      </w:r>
      <w:r w:rsidR="00F62152" w:rsidRPr="00384046">
        <w:rPr>
          <w:rFonts w:ascii="Book Antiqua" w:hAnsi="Book Antiqua" w:cs="Times New Roman"/>
          <w:color w:val="000000" w:themeColor="text1"/>
          <w:sz w:val="24"/>
          <w:szCs w:val="24"/>
        </w:rPr>
        <w:t>zwx123dr@126.com</w:t>
      </w:r>
    </w:p>
    <w:p w:rsidR="00EF1886" w:rsidRPr="00384046" w:rsidRDefault="00F62152"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Telephone</w:t>
      </w:r>
      <w:r w:rsidR="00EF1886" w:rsidRPr="00384046">
        <w:rPr>
          <w:rFonts w:ascii="Book Antiqua" w:hAnsi="Book Antiqua" w:cs="Times New Roman"/>
          <w:color w:val="000000" w:themeColor="text1"/>
          <w:sz w:val="24"/>
          <w:szCs w:val="24"/>
        </w:rPr>
        <w:t>: +86-18720909414</w:t>
      </w:r>
    </w:p>
    <w:p w:rsidR="004521E2" w:rsidRPr="00384046" w:rsidRDefault="00F62152"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lastRenderedPageBreak/>
        <w:t>Fax</w:t>
      </w:r>
      <w:r w:rsidR="00EF1886" w:rsidRPr="00384046">
        <w:rPr>
          <w:rFonts w:ascii="Book Antiqua" w:hAnsi="Book Antiqua" w:cs="Times New Roman"/>
          <w:color w:val="000000" w:themeColor="text1"/>
          <w:sz w:val="24"/>
          <w:szCs w:val="24"/>
        </w:rPr>
        <w:t>: +86-791-86311248</w:t>
      </w:r>
    </w:p>
    <w:p w:rsidR="00EF1886" w:rsidRPr="00384046" w:rsidRDefault="00EF1886" w:rsidP="00384046">
      <w:pPr>
        <w:spacing w:line="360" w:lineRule="auto"/>
        <w:rPr>
          <w:rFonts w:ascii="Book Antiqua" w:hAnsi="Book Antiqua" w:cs="Times New Roman"/>
          <w:color w:val="000000" w:themeColor="text1"/>
          <w:sz w:val="24"/>
          <w:szCs w:val="24"/>
        </w:rPr>
      </w:pPr>
    </w:p>
    <w:p w:rsidR="00EF1886" w:rsidRPr="00384046" w:rsidRDefault="00EF1886" w:rsidP="00384046">
      <w:pPr>
        <w:spacing w:line="360" w:lineRule="auto"/>
        <w:rPr>
          <w:rFonts w:ascii="Book Antiqua" w:hAnsi="Book Antiqua"/>
          <w:sz w:val="24"/>
          <w:szCs w:val="24"/>
        </w:rPr>
      </w:pPr>
      <w:r w:rsidRPr="00384046">
        <w:rPr>
          <w:rFonts w:ascii="Book Antiqua" w:hAnsi="Book Antiqua"/>
          <w:b/>
          <w:sz w:val="24"/>
          <w:szCs w:val="24"/>
        </w:rPr>
        <w:t xml:space="preserve">Received: </w:t>
      </w:r>
      <w:r w:rsidRPr="00384046">
        <w:rPr>
          <w:rFonts w:ascii="Book Antiqua" w:hAnsi="Book Antiqua"/>
          <w:sz w:val="24"/>
          <w:szCs w:val="24"/>
        </w:rPr>
        <w:t>October 31, 2018</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 xml:space="preserve">Peer-review started: </w:t>
      </w:r>
      <w:r w:rsidRPr="00384046">
        <w:rPr>
          <w:rFonts w:ascii="Book Antiqua" w:hAnsi="Book Antiqua"/>
          <w:sz w:val="24"/>
          <w:szCs w:val="24"/>
        </w:rPr>
        <w:t>October 31, 2018</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 xml:space="preserve">First decision: </w:t>
      </w:r>
      <w:r w:rsidRPr="00384046">
        <w:rPr>
          <w:rFonts w:ascii="Book Antiqua" w:hAnsi="Book Antiqua"/>
          <w:sz w:val="24"/>
          <w:szCs w:val="24"/>
        </w:rPr>
        <w:t>December 12, 2018</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 xml:space="preserve">Revised: </w:t>
      </w:r>
      <w:r w:rsidRPr="00384046">
        <w:rPr>
          <w:rFonts w:ascii="Book Antiqua" w:hAnsi="Book Antiqua"/>
          <w:sz w:val="24"/>
          <w:szCs w:val="24"/>
        </w:rPr>
        <w:t>December 20</w:t>
      </w:r>
      <w:r w:rsidR="00AD6AD4" w:rsidRPr="00384046">
        <w:rPr>
          <w:rFonts w:ascii="Book Antiqua" w:hAnsi="Book Antiqua"/>
          <w:sz w:val="24"/>
          <w:szCs w:val="24"/>
        </w:rPr>
        <w:t xml:space="preserve">, </w:t>
      </w:r>
      <w:r w:rsidRPr="00384046">
        <w:rPr>
          <w:rFonts w:ascii="Book Antiqua" w:hAnsi="Book Antiqua"/>
          <w:sz w:val="24"/>
          <w:szCs w:val="24"/>
        </w:rPr>
        <w:t>2018</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Accepted:</w:t>
      </w:r>
      <w:r w:rsidR="00EB6FD4" w:rsidRPr="00EB6FD4">
        <w:t xml:space="preserve"> </w:t>
      </w:r>
      <w:r w:rsidR="00EB6FD4" w:rsidRPr="00EB6FD4">
        <w:rPr>
          <w:rFonts w:ascii="Book Antiqua" w:hAnsi="Book Antiqua"/>
          <w:sz w:val="24"/>
          <w:szCs w:val="24"/>
        </w:rPr>
        <w:t>December 29, 2018</w:t>
      </w:r>
      <w:r w:rsidR="00EB6FD4" w:rsidRPr="00EB6FD4">
        <w:rPr>
          <w:rFonts w:ascii="Book Antiqua" w:hAnsi="Book Antiqua"/>
          <w:b/>
          <w:sz w:val="24"/>
          <w:szCs w:val="24"/>
        </w:rPr>
        <w:t xml:space="preserve"> </w:t>
      </w:r>
      <w:r w:rsidRPr="00384046">
        <w:rPr>
          <w:rFonts w:ascii="Book Antiqua" w:hAnsi="Book Antiqua"/>
          <w:b/>
          <w:sz w:val="24"/>
          <w:szCs w:val="24"/>
        </w:rPr>
        <w:t xml:space="preserve"> </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Article in press:</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Published online:</w:t>
      </w:r>
    </w:p>
    <w:p w:rsidR="00EF1886" w:rsidRPr="00384046" w:rsidRDefault="00EF1886" w:rsidP="00384046">
      <w:pPr>
        <w:spacing w:line="360" w:lineRule="auto"/>
        <w:rPr>
          <w:rFonts w:ascii="Book Antiqua" w:hAnsi="Book Antiqua" w:cs="Times New Roman"/>
          <w:color w:val="000000" w:themeColor="text1"/>
          <w:sz w:val="24"/>
          <w:szCs w:val="24"/>
        </w:rPr>
        <w:sectPr w:rsidR="00EF1886" w:rsidRPr="00384046" w:rsidSect="002F475E">
          <w:footerReference w:type="default" r:id="rId8"/>
          <w:pgSz w:w="11906" w:h="16838" w:code="9"/>
          <w:pgMar w:top="1440" w:right="1800" w:bottom="1440" w:left="1800" w:header="851" w:footer="992" w:gutter="0"/>
          <w:cols w:space="425"/>
          <w:docGrid w:type="lines" w:linePitch="312"/>
        </w:sectPr>
      </w:pPr>
    </w:p>
    <w:p w:rsidR="000157E8" w:rsidRPr="00384046" w:rsidRDefault="00331AAA" w:rsidP="00384046">
      <w:pPr>
        <w:spacing w:line="360" w:lineRule="auto"/>
        <w:rPr>
          <w:rFonts w:ascii="Book Antiqua" w:eastAsia="SimSun"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lastRenderedPageBreak/>
        <w:t>Abstract</w:t>
      </w:r>
    </w:p>
    <w:p w:rsidR="00331AAA" w:rsidRPr="00384046" w:rsidRDefault="00331AAA" w:rsidP="00384046">
      <w:pPr>
        <w:spacing w:line="360" w:lineRule="auto"/>
        <w:rPr>
          <w:rFonts w:ascii="Book Antiqua" w:eastAsia="SimSun" w:hAnsi="Book Antiqua" w:cs="Times New Roman"/>
          <w:b/>
          <w:color w:val="000000" w:themeColor="text1"/>
          <w:sz w:val="24"/>
          <w:szCs w:val="24"/>
        </w:rPr>
      </w:pPr>
      <w:r w:rsidRPr="00384046">
        <w:rPr>
          <w:rFonts w:ascii="Book Antiqua" w:hAnsi="Book Antiqua"/>
          <w:b/>
          <w:i/>
          <w:color w:val="000000"/>
          <w:sz w:val="24"/>
          <w:szCs w:val="24"/>
        </w:rPr>
        <w:t>BACKGROUND</w:t>
      </w:r>
    </w:p>
    <w:p w:rsidR="00331AAA"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As the first-line regimens in</w:t>
      </w:r>
      <w:r w:rsidR="00895F46"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the treatment of advanced gastric cancer, both </w:t>
      </w:r>
      <w:r w:rsidR="00331AAA" w:rsidRPr="00384046">
        <w:rPr>
          <w:rFonts w:ascii="Book Antiqua" w:eastAsia="SimSun" w:hAnsi="Book Antiqua" w:cs="Times New Roman"/>
          <w:color w:val="000000" w:themeColor="text1"/>
          <w:sz w:val="24"/>
          <w:szCs w:val="24"/>
        </w:rPr>
        <w:t>docetaxel,</w:t>
      </w:r>
      <w:r w:rsidR="00331AAA" w:rsidRPr="00384046">
        <w:rPr>
          <w:rFonts w:ascii="Book Antiqua" w:hAnsi="Book Antiqua" w:cs="Times New Roman"/>
          <w:color w:val="000000" w:themeColor="text1"/>
          <w:sz w:val="24"/>
          <w:szCs w:val="24"/>
        </w:rPr>
        <w:t xml:space="preserve"> </w:t>
      </w:r>
      <w:r w:rsidR="00331AAA" w:rsidRPr="00384046">
        <w:rPr>
          <w:rFonts w:ascii="Book Antiqua" w:eastAsia="SimSun" w:hAnsi="Book Antiqua" w:cs="Times New Roman"/>
          <w:color w:val="000000" w:themeColor="text1"/>
          <w:sz w:val="24"/>
          <w:szCs w:val="24"/>
        </w:rPr>
        <w:t>cisplatin,</w:t>
      </w:r>
      <w:r w:rsidR="00331AAA" w:rsidRPr="00384046">
        <w:rPr>
          <w:rFonts w:ascii="Book Antiqua" w:hAnsi="Book Antiqua" w:cs="Times New Roman"/>
          <w:color w:val="000000" w:themeColor="text1"/>
          <w:sz w:val="24"/>
          <w:szCs w:val="24"/>
        </w:rPr>
        <w:t xml:space="preserve"> </w:t>
      </w:r>
      <w:r w:rsidR="00331AAA" w:rsidRPr="00384046">
        <w:rPr>
          <w:rFonts w:ascii="Book Antiqua" w:eastAsia="SimSun" w:hAnsi="Book Antiqua" w:cs="Times New Roman"/>
          <w:color w:val="000000" w:themeColor="text1"/>
          <w:sz w:val="24"/>
          <w:szCs w:val="24"/>
        </w:rPr>
        <w:t>and</w:t>
      </w:r>
      <w:r w:rsidR="00331AAA" w:rsidRPr="00384046">
        <w:rPr>
          <w:rFonts w:ascii="Book Antiqua" w:hAnsi="Book Antiqua" w:cs="Times New Roman"/>
          <w:color w:val="000000" w:themeColor="text1"/>
          <w:sz w:val="24"/>
          <w:szCs w:val="24"/>
        </w:rPr>
        <w:t xml:space="preserve"> </w:t>
      </w:r>
      <w:r w:rsidR="00331AAA" w:rsidRPr="00384046">
        <w:rPr>
          <w:rFonts w:ascii="Book Antiqua" w:eastAsia="SimSun" w:hAnsi="Book Antiqua" w:cs="Times New Roman"/>
          <w:color w:val="000000" w:themeColor="text1"/>
          <w:sz w:val="24"/>
          <w:szCs w:val="24"/>
        </w:rPr>
        <w:t xml:space="preserve">5-fluorouracil </w:t>
      </w:r>
      <w:r w:rsidRPr="00384046">
        <w:rPr>
          <w:rFonts w:ascii="Book Antiqua" w:eastAsia="SimSun" w:hAnsi="Book Antiqua" w:cs="Times New Roman"/>
          <w:color w:val="000000" w:themeColor="text1"/>
          <w:sz w:val="24"/>
          <w:szCs w:val="24"/>
        </w:rPr>
        <w:t>(</w:t>
      </w:r>
      <w:r w:rsidR="00331AAA" w:rsidRPr="00384046">
        <w:rPr>
          <w:rFonts w:ascii="Book Antiqua" w:eastAsia="SimSun" w:hAnsi="Book Antiqua" w:cs="Times New Roman"/>
          <w:color w:val="000000" w:themeColor="text1"/>
          <w:sz w:val="24"/>
          <w:szCs w:val="24"/>
        </w:rPr>
        <w:t>DCF</w:t>
      </w:r>
      <w:r w:rsidRPr="00384046">
        <w:rPr>
          <w:rFonts w:ascii="Book Antiqua" w:eastAsia="SimSun" w:hAnsi="Book Antiqua" w:cs="Times New Roman"/>
          <w:color w:val="000000" w:themeColor="text1"/>
          <w:sz w:val="24"/>
          <w:szCs w:val="24"/>
        </w:rPr>
        <w:t>) and</w:t>
      </w:r>
      <w:r w:rsidRPr="00384046">
        <w:rPr>
          <w:rFonts w:ascii="Book Antiqua" w:hAnsi="Book Antiqua" w:cs="Times New Roman"/>
          <w:color w:val="000000" w:themeColor="text1"/>
          <w:sz w:val="24"/>
          <w:szCs w:val="24"/>
        </w:rPr>
        <w:t xml:space="preserve"> </w:t>
      </w:r>
      <w:r w:rsidR="00331AAA"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eastAsia="SimSun" w:hAnsi="Book Antiqua" w:cs="Times New Roman"/>
          <w:color w:val="000000" w:themeColor="text1"/>
          <w:sz w:val="24"/>
          <w:szCs w:val="24"/>
        </w:rPr>
        <w:t>(</w:t>
      </w:r>
      <w:r w:rsidR="00331AAA" w:rsidRPr="00384046">
        <w:rPr>
          <w:rFonts w:ascii="Book Antiqua" w:eastAsia="SimSun" w:hAnsi="Book Antiqua" w:cs="Times New Roman"/>
          <w:color w:val="000000" w:themeColor="text1"/>
          <w:sz w:val="24"/>
          <w:szCs w:val="24"/>
        </w:rPr>
        <w:t>ECF</w:t>
      </w:r>
      <w:r w:rsidRPr="00384046">
        <w:rPr>
          <w:rFonts w:ascii="Book Antiqua" w:eastAsia="SimSun" w:hAnsi="Book Antiqua" w:cs="Times New Roman"/>
          <w:color w:val="000000" w:themeColor="text1"/>
          <w:sz w:val="24"/>
          <w:szCs w:val="24"/>
        </w:rPr>
        <w:t>) regimens are commonly used in clinical practice, but there is still controversy about which is better.</w:t>
      </w:r>
    </w:p>
    <w:p w:rsidR="00331AAA" w:rsidRPr="00384046" w:rsidRDefault="00331AAA" w:rsidP="00384046">
      <w:pPr>
        <w:spacing w:line="360" w:lineRule="auto"/>
        <w:rPr>
          <w:rFonts w:ascii="Book Antiqua" w:hAnsi="Book Antiqua"/>
          <w:b/>
          <w:bCs/>
          <w:i/>
          <w:sz w:val="24"/>
          <w:szCs w:val="24"/>
        </w:rPr>
      </w:pPr>
    </w:p>
    <w:p w:rsidR="00331AAA" w:rsidRPr="00384046" w:rsidRDefault="00331AAA" w:rsidP="00384046">
      <w:pPr>
        <w:spacing w:line="360" w:lineRule="auto"/>
        <w:rPr>
          <w:rFonts w:ascii="Book Antiqua" w:eastAsia="SimSun" w:hAnsi="Book Antiqua" w:cs="Times New Roman"/>
          <w:color w:val="000000" w:themeColor="text1"/>
          <w:sz w:val="24"/>
          <w:szCs w:val="24"/>
        </w:rPr>
      </w:pPr>
      <w:r w:rsidRPr="00384046">
        <w:rPr>
          <w:rFonts w:ascii="Book Antiqua" w:hAnsi="Book Antiqua"/>
          <w:b/>
          <w:bCs/>
          <w:i/>
          <w:sz w:val="24"/>
          <w:szCs w:val="24"/>
        </w:rPr>
        <w:t>AIM</w:t>
      </w:r>
    </w:p>
    <w:p w:rsidR="000157E8" w:rsidRPr="00384046" w:rsidRDefault="000157E8" w:rsidP="00384046">
      <w:pPr>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To compare the efficacy and safety of DCF and ECF regimens, we conducted this meta-analysis.</w:t>
      </w:r>
    </w:p>
    <w:p w:rsidR="00331AAA" w:rsidRPr="00384046" w:rsidRDefault="00331AAA" w:rsidP="00384046">
      <w:pPr>
        <w:spacing w:line="360" w:lineRule="auto"/>
        <w:rPr>
          <w:rFonts w:ascii="Book Antiqua" w:eastAsia="SimSun" w:hAnsi="Book Antiqua" w:cs="Times New Roman"/>
          <w:color w:val="000000" w:themeColor="text1"/>
          <w:sz w:val="24"/>
          <w:szCs w:val="24"/>
        </w:rPr>
      </w:pPr>
    </w:p>
    <w:p w:rsidR="0096725B" w:rsidRPr="00384046" w:rsidRDefault="0096725B" w:rsidP="00384046">
      <w:pPr>
        <w:spacing w:line="360" w:lineRule="auto"/>
        <w:rPr>
          <w:rFonts w:ascii="Book Antiqua" w:eastAsia="SimSun" w:hAnsi="Book Antiqua" w:cs="Times New Roman"/>
          <w:color w:val="000000" w:themeColor="text1"/>
          <w:sz w:val="24"/>
          <w:szCs w:val="24"/>
        </w:rPr>
      </w:pPr>
      <w:r w:rsidRPr="00384046">
        <w:rPr>
          <w:rFonts w:ascii="Book Antiqua" w:hAnsi="Book Antiqua"/>
          <w:b/>
          <w:bCs/>
          <w:i/>
          <w:caps/>
          <w:sz w:val="24"/>
          <w:szCs w:val="24"/>
        </w:rPr>
        <w:t>Methods</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Computer searches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in PubMed,</w:t>
      </w:r>
      <w:r w:rsidRPr="00384046">
        <w:rPr>
          <w:rFonts w:ascii="Book Antiqua" w:hAnsi="Book Antiqua" w:cs="Times New Roman"/>
          <w:color w:val="000000" w:themeColor="text1"/>
          <w:sz w:val="24"/>
          <w:szCs w:val="24"/>
        </w:rPr>
        <w:t xml:space="preserve"> </w:t>
      </w:r>
      <w:r w:rsidR="0096725B" w:rsidRPr="00384046">
        <w:rPr>
          <w:rFonts w:ascii="Book Antiqua" w:eastAsia="SimSun" w:hAnsi="Book Antiqua" w:cs="Times New Roman"/>
          <w:color w:val="000000" w:themeColor="text1"/>
          <w:sz w:val="24"/>
          <w:szCs w:val="24"/>
        </w:rPr>
        <w:t>EMBASE</w:t>
      </w:r>
      <w:r w:rsidRPr="00384046">
        <w:rPr>
          <w:rFonts w:ascii="Book Antiqua" w:eastAsia="SimSun" w:hAnsi="Book Antiqua" w:cs="Times New Roman"/>
          <w:color w:val="000000" w:themeColor="text1"/>
          <w:sz w:val="24"/>
          <w:szCs w:val="24"/>
        </w:rPr>
        <w:t xml:space="preserve">, Ovid </w:t>
      </w:r>
      <w:r w:rsidR="008D695A" w:rsidRPr="00384046">
        <w:rPr>
          <w:rFonts w:ascii="Book Antiqua" w:eastAsia="SimSun" w:hAnsi="Book Antiqua" w:cs="Times New Roman"/>
          <w:color w:val="000000" w:themeColor="text1"/>
          <w:sz w:val="24"/>
          <w:szCs w:val="24"/>
        </w:rPr>
        <w:t>MEDLINE</w:t>
      </w:r>
      <w:r w:rsidRPr="00384046">
        <w:rPr>
          <w:rFonts w:ascii="Book Antiqua" w:eastAsia="SimSun" w:hAnsi="Book Antiqua" w:cs="Times New Roman"/>
          <w:color w:val="000000" w:themeColor="text1"/>
          <w:sz w:val="24"/>
          <w:szCs w:val="24"/>
        </w:rPr>
        <w:t>, Science Direct, Web of Science, The Cochrane Library and Scopus were performed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to find the clinical studies of all comparisons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between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DCF and ECF regimens</w:t>
      </w:r>
      <w:r w:rsidRPr="00384046">
        <w:rPr>
          <w:rFonts w:ascii="Book Antiqua" w:eastAsia="SimSun" w:hAnsi="Book Antiqua" w:cs="Times New Roman"/>
          <w:bCs/>
          <w:color w:val="000000" w:themeColor="text1"/>
          <w:sz w:val="24"/>
          <w:szCs w:val="24"/>
        </w:rPr>
        <w:t>.</w:t>
      </w:r>
      <w:r w:rsidRPr="00384046">
        <w:rPr>
          <w:rFonts w:ascii="Book Antiqua" w:hAnsi="Book Antiqua" w:cs="Times New Roman"/>
          <w:bCs/>
          <w:color w:val="000000" w:themeColor="text1"/>
          <w:sz w:val="24"/>
          <w:szCs w:val="24"/>
        </w:rPr>
        <w:t xml:space="preserve"> </w:t>
      </w:r>
      <w:r w:rsidRPr="00384046">
        <w:rPr>
          <w:rFonts w:ascii="Book Antiqua" w:hAnsi="Book Antiqua" w:cs="Times New Roman"/>
          <w:color w:val="000000" w:themeColor="text1"/>
          <w:sz w:val="24"/>
          <w:szCs w:val="24"/>
        </w:rPr>
        <w:t>We used progression-free survival (PFS), overall survival (OS), objective response rate (ORR), disease control rate (DCR), and adverse effects (AEs) as endpoints for analysis.</w:t>
      </w:r>
    </w:p>
    <w:p w:rsidR="008B68F8" w:rsidRPr="00384046" w:rsidRDefault="008B68F8" w:rsidP="00384046">
      <w:pPr>
        <w:spacing w:line="360" w:lineRule="auto"/>
        <w:rPr>
          <w:rFonts w:ascii="Book Antiqua" w:hAnsi="Book Antiqua" w:cs="Times New Roman"/>
          <w:b/>
          <w:color w:val="000000" w:themeColor="text1"/>
          <w:sz w:val="24"/>
          <w:szCs w:val="24"/>
        </w:rPr>
      </w:pPr>
    </w:p>
    <w:p w:rsidR="008B68F8" w:rsidRPr="00384046" w:rsidRDefault="008B68F8" w:rsidP="00384046">
      <w:pPr>
        <w:spacing w:line="360" w:lineRule="auto"/>
        <w:rPr>
          <w:rFonts w:ascii="Book Antiqua" w:eastAsia="SimSun" w:hAnsi="Book Antiqua" w:cs="Times New Roman"/>
          <w:color w:val="000000" w:themeColor="text1"/>
          <w:sz w:val="24"/>
          <w:szCs w:val="24"/>
        </w:rPr>
      </w:pPr>
      <w:r w:rsidRPr="00384046">
        <w:rPr>
          <w:rFonts w:ascii="Book Antiqua" w:hAnsi="Book Antiqua"/>
          <w:b/>
          <w:bCs/>
          <w:i/>
          <w:caps/>
          <w:sz w:val="24"/>
          <w:szCs w:val="24"/>
        </w:rPr>
        <w:t>Results</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Our meta-analysis included seven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qualified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studies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involving</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 total of 598</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patients.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 pooled hazard ratios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between the DCF and ECF groups were comparable in </w:t>
      </w:r>
      <w:r w:rsidR="00102456" w:rsidRPr="00384046">
        <w:rPr>
          <w:rFonts w:ascii="Book Antiqua" w:hAnsi="Book Antiqua" w:cs="Times New Roman"/>
          <w:color w:val="000000" w:themeColor="text1"/>
          <w:sz w:val="24"/>
          <w:szCs w:val="24"/>
        </w:rPr>
        <w:t>PFS (95%</w:t>
      </w:r>
      <w:r w:rsidRPr="00384046">
        <w:rPr>
          <w:rFonts w:ascii="Book Antiqua" w:hAnsi="Book Antiqua" w:cs="Times New Roman"/>
          <w:color w:val="000000" w:themeColor="text1"/>
          <w:sz w:val="24"/>
          <w:szCs w:val="24"/>
        </w:rPr>
        <w:t xml:space="preserve">CI: 0.58-1.46,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 0.73), OS (95%</w:t>
      </w:r>
      <w:r w:rsidRPr="00384046">
        <w:rPr>
          <w:rFonts w:ascii="Book Antiqua" w:hAnsi="Book Antiqua" w:cs="Times New Roman"/>
          <w:color w:val="000000" w:themeColor="text1"/>
          <w:sz w:val="24"/>
          <w:szCs w:val="24"/>
        </w:rPr>
        <w:t xml:space="preserve">CI: 0.65-1.10,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 0.21) and total AEs (95%</w:t>
      </w:r>
      <w:r w:rsidRPr="00384046">
        <w:rPr>
          <w:rFonts w:ascii="Book Antiqua" w:hAnsi="Book Antiqua" w:cs="Times New Roman"/>
          <w:color w:val="000000" w:themeColor="text1"/>
          <w:sz w:val="24"/>
          <w:szCs w:val="24"/>
        </w:rPr>
        <w:t xml:space="preserve">CI: 0.93-1.29,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 0.30).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DCF group was significantly better than </w:t>
      </w:r>
      <w:r w:rsidRPr="00384046">
        <w:rPr>
          <w:rFonts w:ascii="Book Antiqua" w:hAnsi="Book Antiqua" w:cs="Times New Roman"/>
          <w:color w:val="000000" w:themeColor="text1"/>
          <w:sz w:val="24"/>
          <w:szCs w:val="24"/>
        </w:rPr>
        <w:lastRenderedPageBreak/>
        <w:t>the ECF group in terms of ORR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1.13-1.75,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 and DCR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1.03-1.41,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0.02). However,</w:t>
      </w:r>
      <w:r w:rsidRPr="00384046">
        <w:rPr>
          <w:rFonts w:ascii="Book Antiqua" w:eastAsia="SimSun"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incidence rate of grade 3-4 AEs was also greater in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DCF group than that in the ECF group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1.16-1.88,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 especially for neutropenia and febrile neutropenia.</w:t>
      </w:r>
    </w:p>
    <w:p w:rsidR="00102456" w:rsidRPr="00384046" w:rsidRDefault="00102456" w:rsidP="00384046">
      <w:pPr>
        <w:spacing w:line="360" w:lineRule="auto"/>
        <w:rPr>
          <w:rFonts w:ascii="Book Antiqua" w:hAnsi="Book Antiqua" w:cs="Times New Roman"/>
          <w:color w:val="000000" w:themeColor="text1"/>
          <w:sz w:val="24"/>
          <w:szCs w:val="24"/>
        </w:rPr>
      </w:pPr>
    </w:p>
    <w:p w:rsidR="00102456" w:rsidRPr="00384046" w:rsidRDefault="00102456" w:rsidP="00384046">
      <w:pPr>
        <w:spacing w:line="360" w:lineRule="auto"/>
        <w:rPr>
          <w:rFonts w:ascii="Book Antiqua" w:eastAsia="SimSun" w:hAnsi="Book Antiqua" w:cs="Times New Roman"/>
          <w:b/>
          <w:i/>
          <w:color w:val="000000" w:themeColor="text1"/>
          <w:sz w:val="24"/>
          <w:szCs w:val="24"/>
        </w:rPr>
      </w:pPr>
      <w:r w:rsidRPr="00384046">
        <w:rPr>
          <w:rFonts w:ascii="Book Antiqua" w:eastAsia="SimSun" w:hAnsi="Book Antiqua" w:cs="Times New Roman"/>
          <w:b/>
          <w:i/>
          <w:color w:val="000000" w:themeColor="text1"/>
          <w:sz w:val="24"/>
          <w:szCs w:val="24"/>
        </w:rPr>
        <w:t>CONCLUSION</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With better ORR and DCR values,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DCF regimen seems to be more suitable for advanced gastric cancer than the ECF regimen. However, the higher rate of AEs in the DCF group still needs to be noticed.</w:t>
      </w:r>
    </w:p>
    <w:p w:rsidR="00102456" w:rsidRPr="00384046" w:rsidRDefault="00102456" w:rsidP="00384046">
      <w:pPr>
        <w:spacing w:line="360" w:lineRule="auto"/>
        <w:rPr>
          <w:rFonts w:ascii="Book Antiqua" w:hAnsi="Book Antiqua" w:cs="Times New Roman"/>
          <w:color w:val="000000" w:themeColor="text1"/>
          <w:sz w:val="24"/>
          <w:szCs w:val="24"/>
        </w:rPr>
      </w:pPr>
    </w:p>
    <w:p w:rsidR="000157E8" w:rsidRPr="00384046" w:rsidRDefault="0025398E" w:rsidP="00384046">
      <w:pPr>
        <w:spacing w:line="360" w:lineRule="auto"/>
        <w:rPr>
          <w:rFonts w:ascii="Book Antiqua" w:eastAsia="SimSun" w:hAnsi="Book Antiqua" w:cs="Times New Roman"/>
          <w:color w:val="000000" w:themeColor="text1"/>
          <w:sz w:val="24"/>
          <w:szCs w:val="24"/>
        </w:rPr>
      </w:pPr>
      <w:r w:rsidRPr="00384046">
        <w:rPr>
          <w:rFonts w:ascii="Book Antiqua" w:eastAsia="Times New Roman" w:hAnsi="Book Antiqua"/>
          <w:b/>
          <w:sz w:val="24"/>
          <w:szCs w:val="24"/>
        </w:rPr>
        <w:t>Key words:</w:t>
      </w:r>
      <w:r w:rsidRPr="00384046">
        <w:rPr>
          <w:rFonts w:ascii="Book Antiqua" w:eastAsia="Times New Roman" w:hAnsi="Book Antiqua"/>
          <w:sz w:val="24"/>
          <w:szCs w:val="24"/>
        </w:rPr>
        <w:t xml:space="preserve"> </w:t>
      </w:r>
      <w:r w:rsidR="000157E8" w:rsidRPr="00384046">
        <w:rPr>
          <w:rFonts w:ascii="Book Antiqua" w:eastAsia="SimSun" w:hAnsi="Book Antiqua" w:cs="Times New Roman"/>
          <w:color w:val="000000" w:themeColor="text1"/>
          <w:sz w:val="24"/>
          <w:szCs w:val="24"/>
        </w:rPr>
        <w:t>Gastric</w:t>
      </w:r>
      <w:r w:rsidR="000157E8" w:rsidRPr="00384046">
        <w:rPr>
          <w:rFonts w:ascii="Book Antiqua" w:eastAsia="SimSun" w:hAnsi="Book Antiqua" w:cs="Times New Roman"/>
          <w:color w:val="000000" w:themeColor="text1"/>
          <w:sz w:val="24"/>
          <w:szCs w:val="24"/>
        </w:rPr>
        <w:t> </w:t>
      </w:r>
      <w:r w:rsidR="00102456" w:rsidRPr="00384046">
        <w:rPr>
          <w:rFonts w:ascii="Book Antiqua" w:eastAsia="SimSun" w:hAnsi="Book Antiqua" w:cs="Times New Roman"/>
          <w:color w:val="000000" w:themeColor="text1"/>
          <w:sz w:val="24"/>
          <w:szCs w:val="24"/>
        </w:rPr>
        <w:t xml:space="preserve">cancer; Chemotherapy; Docetaxel; </w:t>
      </w:r>
      <w:r w:rsidR="000157E8" w:rsidRPr="00384046">
        <w:rPr>
          <w:rFonts w:ascii="Book Antiqua" w:eastAsia="SimSun" w:hAnsi="Book Antiqua" w:cs="Times New Roman"/>
          <w:color w:val="000000" w:themeColor="text1"/>
          <w:sz w:val="24"/>
          <w:szCs w:val="24"/>
        </w:rPr>
        <w:t>Epirub</w:t>
      </w:r>
      <w:r w:rsidRPr="00384046">
        <w:rPr>
          <w:rFonts w:ascii="Book Antiqua" w:eastAsia="SimSun" w:hAnsi="Book Antiqua" w:cs="Times New Roman"/>
          <w:color w:val="000000" w:themeColor="text1"/>
          <w:sz w:val="24"/>
          <w:szCs w:val="24"/>
        </w:rPr>
        <w:t>icin; Cisplatin; 5-fluorouracil</w:t>
      </w:r>
    </w:p>
    <w:p w:rsidR="00DC1F85" w:rsidRPr="00384046" w:rsidRDefault="00DC1F85" w:rsidP="00384046">
      <w:pPr>
        <w:spacing w:line="360" w:lineRule="auto"/>
        <w:rPr>
          <w:rFonts w:ascii="Book Antiqua" w:hAnsi="Book Antiqua" w:cs="Times New Roman"/>
          <w:b/>
          <w:color w:val="000000" w:themeColor="text1"/>
          <w:sz w:val="24"/>
          <w:szCs w:val="24"/>
        </w:rPr>
      </w:pPr>
    </w:p>
    <w:p w:rsidR="0025398E" w:rsidRPr="00384046" w:rsidRDefault="0025398E" w:rsidP="00384046">
      <w:pPr>
        <w:spacing w:line="360" w:lineRule="auto"/>
        <w:rPr>
          <w:rFonts w:ascii="Book Antiqua" w:hAnsi="Book Antiqua" w:cs="Arial"/>
          <w:sz w:val="24"/>
          <w:szCs w:val="24"/>
        </w:rPr>
      </w:pPr>
      <w:bookmarkStart w:id="2" w:name="OLE_LINK55"/>
      <w:bookmarkStart w:id="3" w:name="OLE_LINK56"/>
      <w:bookmarkStart w:id="4" w:name="OLE_LINK105"/>
      <w:bookmarkStart w:id="5" w:name="OLE_LINK116"/>
      <w:bookmarkStart w:id="6" w:name="OLE_LINK89"/>
      <w:r w:rsidRPr="00384046">
        <w:rPr>
          <w:rFonts w:ascii="Book Antiqua" w:hAnsi="Book Antiqua"/>
          <w:b/>
          <w:sz w:val="24"/>
          <w:szCs w:val="24"/>
        </w:rPr>
        <w:t>©</w:t>
      </w:r>
      <w:bookmarkEnd w:id="2"/>
      <w:bookmarkEnd w:id="3"/>
      <w:r w:rsidRPr="00384046">
        <w:rPr>
          <w:rFonts w:ascii="Book Antiqua" w:hAnsi="Book Antiqua"/>
          <w:b/>
          <w:sz w:val="24"/>
          <w:szCs w:val="24"/>
        </w:rPr>
        <w:t xml:space="preserve"> </w:t>
      </w:r>
      <w:r w:rsidRPr="00384046">
        <w:rPr>
          <w:rFonts w:ascii="Book Antiqua" w:hAnsi="Book Antiqua" w:cs="Arial"/>
          <w:b/>
          <w:sz w:val="24"/>
          <w:szCs w:val="24"/>
        </w:rPr>
        <w:t xml:space="preserve">The Author(s) </w:t>
      </w:r>
      <w:r w:rsidRPr="00384046">
        <w:rPr>
          <w:rFonts w:ascii="Book Antiqua" w:eastAsia="SimSun" w:hAnsi="Book Antiqua" w:cs="Arial"/>
          <w:b/>
          <w:sz w:val="24"/>
          <w:szCs w:val="24"/>
        </w:rPr>
        <w:t>201</w:t>
      </w:r>
      <w:r w:rsidR="00B37871">
        <w:rPr>
          <w:rFonts w:ascii="Book Antiqua" w:eastAsia="SimSun" w:hAnsi="Book Antiqua" w:cs="Arial"/>
          <w:b/>
          <w:sz w:val="24"/>
          <w:szCs w:val="24"/>
        </w:rPr>
        <w:t>9</w:t>
      </w:r>
      <w:r w:rsidRPr="00384046">
        <w:rPr>
          <w:rFonts w:ascii="Book Antiqua" w:hAnsi="Book Antiqua" w:cs="Arial"/>
          <w:b/>
          <w:sz w:val="24"/>
          <w:szCs w:val="24"/>
        </w:rPr>
        <w:t xml:space="preserve">. </w:t>
      </w:r>
      <w:r w:rsidRPr="00384046">
        <w:rPr>
          <w:rFonts w:ascii="Book Antiqua" w:hAnsi="Book Antiqua" w:cs="Arial"/>
          <w:sz w:val="24"/>
          <w:szCs w:val="24"/>
        </w:rPr>
        <w:t>Published by Baishideng Publishing Group Inc. All rights reserved.</w:t>
      </w:r>
    </w:p>
    <w:bookmarkEnd w:id="4"/>
    <w:bookmarkEnd w:id="5"/>
    <w:bookmarkEnd w:id="6"/>
    <w:p w:rsidR="00DC1F85" w:rsidRPr="00384046" w:rsidRDefault="00DC1F85" w:rsidP="00384046">
      <w:pPr>
        <w:spacing w:line="360" w:lineRule="auto"/>
        <w:rPr>
          <w:rFonts w:ascii="Book Antiqua" w:hAnsi="Book Antiqua" w:cs="Times New Roman"/>
          <w:b/>
          <w:color w:val="000000" w:themeColor="text1"/>
          <w:sz w:val="24"/>
          <w:szCs w:val="24"/>
        </w:rPr>
      </w:pPr>
    </w:p>
    <w:p w:rsidR="007A7267" w:rsidRPr="00384046" w:rsidRDefault="007A7267" w:rsidP="00384046">
      <w:pPr>
        <w:spacing w:line="360" w:lineRule="auto"/>
        <w:rPr>
          <w:rFonts w:ascii="Book Antiqua" w:hAnsi="Book Antiqua"/>
          <w:sz w:val="24"/>
          <w:szCs w:val="24"/>
        </w:rPr>
      </w:pPr>
      <w:r w:rsidRPr="00384046">
        <w:rPr>
          <w:rFonts w:ascii="Book Antiqua" w:eastAsia="Times New Roman" w:hAnsi="Book Antiqua" w:cs="Arial Unicode MS"/>
          <w:b/>
          <w:sz w:val="24"/>
          <w:szCs w:val="24"/>
        </w:rPr>
        <w:t>Core tip:</w:t>
      </w:r>
      <w:r w:rsidRPr="00384046">
        <w:rPr>
          <w:rFonts w:ascii="Book Antiqua" w:eastAsia="SimSun" w:hAnsi="Book Antiqua" w:cs="Arial Unicode MS"/>
          <w:b/>
          <w:sz w:val="24"/>
          <w:szCs w:val="24"/>
        </w:rPr>
        <w:t xml:space="preserve"> </w:t>
      </w:r>
      <w:r w:rsidRPr="00384046">
        <w:rPr>
          <w:rFonts w:ascii="Book Antiqua" w:hAnsi="Book Antiqua"/>
          <w:sz w:val="24"/>
          <w:szCs w:val="24"/>
        </w:rPr>
        <w:t xml:space="preserve">This study is the first meta-analysis to compare </w:t>
      </w:r>
      <w:r w:rsidRPr="00384046">
        <w:rPr>
          <w:rFonts w:ascii="Book Antiqua" w:eastAsia="SimSun" w:hAnsi="Book Antiqua" w:cs="Times New Roman"/>
          <w:sz w:val="24"/>
          <w:szCs w:val="24"/>
        </w:rPr>
        <w:t>docetaxel,</w:t>
      </w:r>
      <w:r w:rsidRPr="00384046">
        <w:rPr>
          <w:rFonts w:ascii="Book Antiqua" w:hAnsi="Book Antiqua" w:cs="Times New Roman"/>
          <w:sz w:val="24"/>
          <w:szCs w:val="24"/>
        </w:rPr>
        <w:t xml:space="preserve"> </w:t>
      </w:r>
      <w:r w:rsidRPr="00384046">
        <w:rPr>
          <w:rFonts w:ascii="Book Antiqua" w:eastAsia="SimSun" w:hAnsi="Book Antiqua" w:cs="Times New Roman"/>
          <w:sz w:val="24"/>
          <w:szCs w:val="24"/>
        </w:rPr>
        <w:t>cisplatin,</w:t>
      </w:r>
      <w:r w:rsidRPr="00384046">
        <w:rPr>
          <w:rFonts w:ascii="Book Antiqua" w:hAnsi="Book Antiqua" w:cs="Times New Roman"/>
          <w:sz w:val="24"/>
          <w:szCs w:val="24"/>
        </w:rPr>
        <w:t xml:space="preserve"> </w:t>
      </w:r>
      <w:r w:rsidRPr="00384046">
        <w:rPr>
          <w:rFonts w:ascii="Book Antiqua" w:eastAsia="SimSun" w:hAnsi="Book Antiqua" w:cs="Times New Roman"/>
          <w:sz w:val="24"/>
          <w:szCs w:val="24"/>
        </w:rPr>
        <w:t>and</w:t>
      </w:r>
      <w:r w:rsidRPr="00384046">
        <w:rPr>
          <w:rFonts w:ascii="Book Antiqua" w:hAnsi="Book Antiqua" w:cs="Times New Roman"/>
          <w:sz w:val="24"/>
          <w:szCs w:val="24"/>
        </w:rPr>
        <w:t xml:space="preserve"> </w:t>
      </w:r>
      <w:r w:rsidRPr="00384046">
        <w:rPr>
          <w:rFonts w:ascii="Book Antiqua" w:eastAsia="SimSun" w:hAnsi="Book Antiqua" w:cs="Times New Roman"/>
          <w:sz w:val="24"/>
          <w:szCs w:val="24"/>
        </w:rPr>
        <w:t>5-fluorouracil</w:t>
      </w:r>
      <w:r w:rsidRPr="00384046">
        <w:rPr>
          <w:rFonts w:ascii="Book Antiqua" w:hAnsi="Book Antiqua"/>
          <w:sz w:val="24"/>
          <w:szCs w:val="24"/>
        </w:rPr>
        <w:t xml:space="preserve"> </w:t>
      </w:r>
      <w:r w:rsidRPr="00384046">
        <w:rPr>
          <w:rFonts w:ascii="Book Antiqua" w:eastAsia="SimSun" w:hAnsi="Book Antiqua" w:cs="Times New Roman"/>
          <w:sz w:val="24"/>
          <w:szCs w:val="24"/>
        </w:rPr>
        <w:t>(</w:t>
      </w:r>
      <w:r w:rsidRPr="00384046">
        <w:rPr>
          <w:rFonts w:ascii="Book Antiqua" w:hAnsi="Book Antiqua"/>
          <w:sz w:val="24"/>
          <w:szCs w:val="24"/>
        </w:rPr>
        <w:t>DCF</w:t>
      </w:r>
      <w:r w:rsidRPr="00384046">
        <w:rPr>
          <w:rFonts w:ascii="Book Antiqua" w:eastAsia="SimSun" w:hAnsi="Book Antiqua" w:cs="Times New Roman"/>
          <w:sz w:val="24"/>
          <w:szCs w:val="24"/>
        </w:rPr>
        <w:t>)</w:t>
      </w:r>
      <w:r w:rsidRPr="00384046">
        <w:rPr>
          <w:rFonts w:ascii="Book Antiqua" w:hAnsi="Book Antiqua"/>
          <w:sz w:val="24"/>
          <w:szCs w:val="24"/>
        </w:rPr>
        <w:t xml:space="preserve"> and </w:t>
      </w:r>
      <w:r w:rsidRPr="00384046">
        <w:rPr>
          <w:rFonts w:ascii="Book Antiqua" w:eastAsia="SimSun" w:hAnsi="Book Antiqua" w:cs="Times New Roman"/>
          <w:sz w:val="24"/>
          <w:szCs w:val="24"/>
        </w:rPr>
        <w:t>epirubicin, cisplatin, and 5-fluorouracil</w:t>
      </w:r>
      <w:r w:rsidRPr="00384046">
        <w:rPr>
          <w:rFonts w:ascii="Book Antiqua" w:hAnsi="Book Antiqua"/>
          <w:sz w:val="24"/>
          <w:szCs w:val="24"/>
        </w:rPr>
        <w:t xml:space="preserve"> </w:t>
      </w:r>
      <w:r w:rsidRPr="00384046">
        <w:rPr>
          <w:rFonts w:ascii="Book Antiqua" w:eastAsia="SimSun" w:hAnsi="Book Antiqua" w:cs="Times New Roman"/>
          <w:sz w:val="24"/>
          <w:szCs w:val="24"/>
        </w:rPr>
        <w:t>(</w:t>
      </w:r>
      <w:r w:rsidRPr="00384046">
        <w:rPr>
          <w:rFonts w:ascii="Book Antiqua" w:hAnsi="Book Antiqua"/>
          <w:sz w:val="24"/>
          <w:szCs w:val="24"/>
        </w:rPr>
        <w:t>ECF</w:t>
      </w:r>
      <w:r w:rsidRPr="00384046">
        <w:rPr>
          <w:rFonts w:ascii="Book Antiqua" w:eastAsia="SimSun" w:hAnsi="Book Antiqua" w:cs="Times New Roman"/>
          <w:sz w:val="24"/>
          <w:szCs w:val="24"/>
        </w:rPr>
        <w:t>)</w:t>
      </w:r>
      <w:r w:rsidRPr="00384046">
        <w:rPr>
          <w:rFonts w:ascii="Book Antiqua" w:hAnsi="Book Antiqua"/>
          <w:sz w:val="24"/>
          <w:szCs w:val="24"/>
        </w:rPr>
        <w:t xml:space="preserve"> regimens for advanced gastric cancer. The results showed that </w:t>
      </w:r>
      <w:r w:rsidR="00427F56" w:rsidRPr="00384046">
        <w:rPr>
          <w:rFonts w:ascii="Book Antiqua" w:hAnsi="Book Antiqua" w:cs="Times New Roman"/>
          <w:color w:val="000000" w:themeColor="text1"/>
          <w:sz w:val="24"/>
          <w:szCs w:val="24"/>
        </w:rPr>
        <w:t>progression-free survival (PFS)</w:t>
      </w:r>
      <w:r w:rsidRPr="00384046">
        <w:rPr>
          <w:rFonts w:ascii="Book Antiqua" w:hAnsi="Book Antiqua"/>
          <w:sz w:val="24"/>
          <w:szCs w:val="24"/>
        </w:rPr>
        <w:t xml:space="preserve">, </w:t>
      </w:r>
      <w:r w:rsidR="00427F56" w:rsidRPr="00384046">
        <w:rPr>
          <w:rFonts w:ascii="Book Antiqua" w:hAnsi="Book Antiqua" w:cs="Times New Roman"/>
          <w:color w:val="000000" w:themeColor="text1"/>
          <w:sz w:val="24"/>
          <w:szCs w:val="24"/>
        </w:rPr>
        <w:t xml:space="preserve">overall survival (OS) </w:t>
      </w:r>
      <w:r w:rsidRPr="00384046">
        <w:rPr>
          <w:rFonts w:ascii="Book Antiqua" w:hAnsi="Book Antiqua"/>
          <w:sz w:val="24"/>
          <w:szCs w:val="24"/>
        </w:rPr>
        <w:t xml:space="preserve">and total </w:t>
      </w:r>
      <w:r w:rsidR="00427F56" w:rsidRPr="00384046">
        <w:rPr>
          <w:rFonts w:ascii="Book Antiqua" w:hAnsi="Book Antiqua" w:cs="Times New Roman"/>
          <w:color w:val="000000" w:themeColor="text1"/>
          <w:sz w:val="24"/>
          <w:szCs w:val="24"/>
        </w:rPr>
        <w:t xml:space="preserve">adverse effects (AEs) </w:t>
      </w:r>
      <w:r w:rsidRPr="00384046">
        <w:rPr>
          <w:rFonts w:ascii="Book Antiqua" w:hAnsi="Book Antiqua"/>
          <w:sz w:val="24"/>
          <w:szCs w:val="24"/>
        </w:rPr>
        <w:t xml:space="preserve">between the DCF and ECF groups were comparable. The DCF group was significantly better in terms of ORR and DCR than the ECF group. However, the incidence rate of grade 3-4 AEs was also greater in the DCF group than that in the ECF group, especially for neutropenia and febrile neutropenia. Therefore, </w:t>
      </w:r>
      <w:r w:rsidRPr="00384046">
        <w:rPr>
          <w:rFonts w:ascii="Book Antiqua" w:hAnsi="Book Antiqua" w:cs="Times New Roman"/>
          <w:sz w:val="24"/>
          <w:szCs w:val="24"/>
        </w:rPr>
        <w:t>DCF regimen seems to be more suitable for advanced gastric cancer than the ECF regimen.</w:t>
      </w:r>
    </w:p>
    <w:p w:rsidR="00DC1F85" w:rsidRPr="00384046" w:rsidRDefault="00DC1F85" w:rsidP="00384046">
      <w:pPr>
        <w:spacing w:line="360" w:lineRule="auto"/>
        <w:rPr>
          <w:rFonts w:ascii="Book Antiqua" w:hAnsi="Book Antiqua" w:cs="Times New Roman"/>
          <w:b/>
          <w:color w:val="000000" w:themeColor="text1"/>
          <w:sz w:val="24"/>
          <w:szCs w:val="24"/>
        </w:rPr>
      </w:pPr>
    </w:p>
    <w:p w:rsidR="00B34F68" w:rsidRPr="00384046" w:rsidRDefault="00B34F68"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Li B, Chen L, Luo HL, Yi FM, Wei YP, Zhang WX. </w:t>
      </w:r>
      <w:r w:rsidRPr="00384046">
        <w:rPr>
          <w:rFonts w:ascii="Book Antiqua" w:eastAsia="SimSun" w:hAnsi="Book Antiqua" w:cs="Times New Roman"/>
          <w:color w:val="000000" w:themeColor="text1"/>
          <w:sz w:val="24"/>
          <w:szCs w:val="24"/>
        </w:rPr>
        <w:t>Docetaxel, cisplatin, and 5-fluorouracil compared with epirubicin, cisplatin and 5-fluorouracil regimens for advanced gastric cancer: A systematic review and meta-analysis.</w:t>
      </w:r>
      <w:r w:rsidRPr="00384046">
        <w:rPr>
          <w:rFonts w:ascii="Book Antiqua" w:hAnsi="Book Antiqua"/>
          <w:i/>
          <w:iCs/>
          <w:color w:val="000000" w:themeColor="text1"/>
          <w:sz w:val="24"/>
          <w:szCs w:val="24"/>
        </w:rPr>
        <w:t xml:space="preserve"> World J Clin Cases </w:t>
      </w:r>
      <w:r w:rsidRPr="00384046">
        <w:rPr>
          <w:rFonts w:ascii="Book Antiqua" w:hAnsi="Book Antiqua"/>
          <w:iCs/>
          <w:color w:val="000000" w:themeColor="text1"/>
          <w:sz w:val="24"/>
          <w:szCs w:val="24"/>
        </w:rPr>
        <w:t>201</w:t>
      </w:r>
      <w:r w:rsidR="00B37871">
        <w:rPr>
          <w:rFonts w:ascii="Book Antiqua" w:hAnsi="Book Antiqua"/>
          <w:iCs/>
          <w:color w:val="000000" w:themeColor="text1"/>
          <w:sz w:val="24"/>
          <w:szCs w:val="24"/>
        </w:rPr>
        <w:t>9</w:t>
      </w:r>
      <w:r w:rsidRPr="00384046">
        <w:rPr>
          <w:rFonts w:ascii="Book Antiqua" w:hAnsi="Book Antiqua"/>
          <w:iCs/>
          <w:color w:val="000000" w:themeColor="text1"/>
          <w:sz w:val="24"/>
          <w:szCs w:val="24"/>
        </w:rPr>
        <w:t>; In press</w:t>
      </w:r>
    </w:p>
    <w:p w:rsidR="00B34F68" w:rsidRPr="00384046" w:rsidRDefault="00B34F68" w:rsidP="00384046">
      <w:pPr>
        <w:widowControl/>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br w:type="page"/>
      </w:r>
    </w:p>
    <w:p w:rsidR="000157E8" w:rsidRPr="00384046" w:rsidRDefault="00B34F68" w:rsidP="00384046">
      <w:pPr>
        <w:spacing w:line="360" w:lineRule="auto"/>
        <w:rPr>
          <w:rFonts w:ascii="Book Antiqua" w:eastAsia="SimSun"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lastRenderedPageBreak/>
        <w:t>INTRODUCTION</w:t>
      </w:r>
    </w:p>
    <w:p w:rsidR="000157E8" w:rsidRPr="00384046" w:rsidRDefault="000157E8" w:rsidP="00384046">
      <w:pPr>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Gastric cancer has become the fifth most frequently diagnosed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 the third leading cause of cancer-related deaths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worldwide</w:t>
      </w:r>
      <w:r w:rsidRPr="00384046">
        <w:rPr>
          <w:rFonts w:ascii="Book Antiqua" w:eastAsia="SimSun" w:hAnsi="Book Antiqua" w:cs="Times New Roman"/>
          <w:color w:val="000000" w:themeColor="text1"/>
          <w:sz w:val="24"/>
          <w:szCs w:val="24"/>
          <w:vertAlign w:val="superscript"/>
        </w:rPr>
        <w:t>[1–3]</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Most patients</w:t>
      </w:r>
      <w:r w:rsidRPr="00384046">
        <w:rPr>
          <w:rFonts w:ascii="Book Antiqua" w:hAnsi="Book Antiqua" w:cs="Times New Roman"/>
          <w:color w:val="000000" w:themeColor="text1"/>
          <w:sz w:val="24"/>
          <w:szCs w:val="24"/>
        </w:rPr>
        <w:t xml:space="preserve"> </w:t>
      </w:r>
      <w:r w:rsidR="00A903C7" w:rsidRPr="00384046">
        <w:rPr>
          <w:rFonts w:ascii="Book Antiqua" w:eastAsia="SimSun" w:hAnsi="Book Antiqua" w:cs="Times New Roman"/>
          <w:color w:val="000000" w:themeColor="text1"/>
          <w:sz w:val="24"/>
          <w:szCs w:val="24"/>
        </w:rPr>
        <w:t>are unable to get timely diagnosis and effective treatment due to the lack of obvious symptoms in the early stage, leading to the advanced gastric cancer. Moreover, many patients are likely to relapse even after regular radiotherapy and chemotherapy</w:t>
      </w:r>
      <w:r w:rsidRPr="00384046">
        <w:rPr>
          <w:rFonts w:ascii="Book Antiqua" w:eastAsia="SimSun" w:hAnsi="Book Antiqua" w:cs="Times New Roman"/>
          <w:color w:val="000000" w:themeColor="text1"/>
          <w:sz w:val="24"/>
          <w:szCs w:val="24"/>
          <w:vertAlign w:val="superscript"/>
        </w:rPr>
        <w:t>[4]</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Gastric cancer is sensitive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to chemotherapy, and it is more clinically treated with combined chemotherapy for the purpose of palliative treatment</w:t>
      </w:r>
      <w:r w:rsidR="00EE1721" w:rsidRPr="00384046">
        <w:rPr>
          <w:rFonts w:ascii="Book Antiqua" w:eastAsia="SimSun" w:hAnsi="Book Antiqua" w:cs="Times New Roman"/>
          <w:color w:val="000000" w:themeColor="text1"/>
          <w:sz w:val="24"/>
          <w:szCs w:val="24"/>
          <w:vertAlign w:val="superscript"/>
        </w:rPr>
        <w:t>[5,</w:t>
      </w:r>
      <w:r w:rsidRPr="00384046">
        <w:rPr>
          <w:rFonts w:ascii="Book Antiqua" w:eastAsia="SimSun" w:hAnsi="Book Antiqua" w:cs="Times New Roman"/>
          <w:color w:val="000000" w:themeColor="text1"/>
          <w:sz w:val="24"/>
          <w:szCs w:val="24"/>
          <w:vertAlign w:val="superscript"/>
        </w:rPr>
        <w:t>6]</w:t>
      </w:r>
      <w:r w:rsidRPr="00384046">
        <w:rPr>
          <w:rFonts w:ascii="Book Antiqua" w:eastAsia="SimSun" w:hAnsi="Book Antiqua" w:cs="Times New Roman"/>
          <w:color w:val="000000" w:themeColor="text1"/>
          <w:sz w:val="24"/>
          <w:szCs w:val="24"/>
        </w:rPr>
        <w:t>.</w:t>
      </w:r>
    </w:p>
    <w:p w:rsidR="000157E8" w:rsidRPr="00384046" w:rsidRDefault="000157E8" w:rsidP="00384046">
      <w:pPr>
        <w:spacing w:line="360" w:lineRule="auto"/>
        <w:ind w:firstLineChars="200" w:firstLine="480"/>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Many regimens have been used for the treatment of patients with advanced gastric cancer, but none are considered standard.</w:t>
      </w:r>
      <w:r w:rsidRPr="00384046">
        <w:rPr>
          <w:rFonts w:ascii="Book Antiqua" w:hAnsi="Book Antiqua" w:cs="Times New Roman"/>
          <w:color w:val="000000" w:themeColor="text1"/>
          <w:sz w:val="24"/>
          <w:szCs w:val="24"/>
        </w:rPr>
        <w:t xml:space="preserve"> Recommended by clinical guidelines, </w:t>
      </w:r>
      <w:r w:rsidR="0047121A" w:rsidRPr="00384046">
        <w:rPr>
          <w:rFonts w:ascii="Book Antiqua" w:eastAsia="SimSun" w:hAnsi="Book Antiqua" w:cs="Times New Roman"/>
          <w:color w:val="000000" w:themeColor="text1"/>
          <w:sz w:val="24"/>
          <w:szCs w:val="24"/>
        </w:rPr>
        <w:t>docetaxel,</w:t>
      </w:r>
      <w:r w:rsidR="0047121A" w:rsidRPr="00384046">
        <w:rPr>
          <w:rFonts w:ascii="Book Antiqua" w:hAnsi="Book Antiqua" w:cs="Times New Roman"/>
          <w:color w:val="000000" w:themeColor="text1"/>
          <w:sz w:val="24"/>
          <w:szCs w:val="24"/>
        </w:rPr>
        <w:t xml:space="preserve"> </w:t>
      </w:r>
      <w:r w:rsidR="0047121A" w:rsidRPr="00384046">
        <w:rPr>
          <w:rFonts w:ascii="Book Antiqua" w:eastAsia="SimSun" w:hAnsi="Book Antiqua" w:cs="Times New Roman"/>
          <w:color w:val="000000" w:themeColor="text1"/>
          <w:sz w:val="24"/>
          <w:szCs w:val="24"/>
        </w:rPr>
        <w:t>cisplatin,</w:t>
      </w:r>
      <w:r w:rsidR="0047121A" w:rsidRPr="00384046">
        <w:rPr>
          <w:rFonts w:ascii="Book Antiqua" w:hAnsi="Book Antiqua" w:cs="Times New Roman"/>
          <w:color w:val="000000" w:themeColor="text1"/>
          <w:sz w:val="24"/>
          <w:szCs w:val="24"/>
        </w:rPr>
        <w:t xml:space="preserve"> </w:t>
      </w:r>
      <w:r w:rsidR="0047121A" w:rsidRPr="00384046">
        <w:rPr>
          <w:rFonts w:ascii="Book Antiqua" w:eastAsia="SimSun" w:hAnsi="Book Antiqua" w:cs="Times New Roman"/>
          <w:color w:val="000000" w:themeColor="text1"/>
          <w:sz w:val="24"/>
          <w:szCs w:val="24"/>
        </w:rPr>
        <w:t>and</w:t>
      </w:r>
      <w:r w:rsidR="0047121A" w:rsidRPr="00384046">
        <w:rPr>
          <w:rFonts w:ascii="Book Antiqua" w:hAnsi="Book Antiqua" w:cs="Times New Roman"/>
          <w:color w:val="000000" w:themeColor="text1"/>
          <w:sz w:val="24"/>
          <w:szCs w:val="24"/>
        </w:rPr>
        <w:t xml:space="preserve"> </w:t>
      </w:r>
      <w:r w:rsidR="0047121A" w:rsidRPr="00384046">
        <w:rPr>
          <w:rFonts w:ascii="Book Antiqua" w:eastAsia="SimSun" w:hAnsi="Book Antiqua" w:cs="Times New Roman"/>
          <w:color w:val="000000" w:themeColor="text1"/>
          <w:sz w:val="24"/>
          <w:szCs w:val="24"/>
        </w:rPr>
        <w:t xml:space="preserve">5-fluorouracil </w:t>
      </w:r>
      <w:r w:rsidRPr="00384046">
        <w:rPr>
          <w:rFonts w:ascii="Book Antiqua" w:eastAsia="SimSun" w:hAnsi="Book Antiqua" w:cs="Times New Roman"/>
          <w:color w:val="000000" w:themeColor="text1"/>
          <w:sz w:val="24"/>
          <w:szCs w:val="24"/>
        </w:rPr>
        <w:t>(</w:t>
      </w:r>
      <w:r w:rsidR="0047121A" w:rsidRPr="00384046">
        <w:rPr>
          <w:rFonts w:ascii="Book Antiqua" w:eastAsia="SimSun" w:hAnsi="Book Antiqua" w:cs="Times New Roman"/>
          <w:color w:val="000000" w:themeColor="text1"/>
          <w:sz w:val="24"/>
          <w:szCs w:val="24"/>
        </w:rPr>
        <w:t>DCF</w:t>
      </w:r>
      <w:r w:rsidRPr="00384046">
        <w:rPr>
          <w:rFonts w:ascii="Book Antiqua" w:eastAsia="SimSun" w:hAnsi="Book Antiqua" w:cs="Times New Roman"/>
          <w:color w:val="000000" w:themeColor="text1"/>
          <w:sz w:val="24"/>
          <w:szCs w:val="24"/>
        </w:rPr>
        <w:t>) and</w:t>
      </w:r>
      <w:r w:rsidRPr="00384046">
        <w:rPr>
          <w:rFonts w:ascii="Book Antiqua" w:hAnsi="Book Antiqua" w:cs="Times New Roman"/>
          <w:color w:val="000000" w:themeColor="text1"/>
          <w:sz w:val="24"/>
          <w:szCs w:val="24"/>
        </w:rPr>
        <w:t xml:space="preserve"> </w:t>
      </w:r>
      <w:r w:rsidR="0047121A"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eastAsia="SimSun" w:hAnsi="Book Antiqua" w:cs="Times New Roman"/>
          <w:color w:val="000000" w:themeColor="text1"/>
          <w:sz w:val="24"/>
          <w:szCs w:val="24"/>
        </w:rPr>
        <w:t>(</w:t>
      </w:r>
      <w:r w:rsidR="0047121A" w:rsidRPr="00384046">
        <w:rPr>
          <w:rFonts w:ascii="Book Antiqua" w:eastAsia="SimSun" w:hAnsi="Book Antiqua" w:cs="Times New Roman"/>
          <w:color w:val="000000" w:themeColor="text1"/>
          <w:sz w:val="24"/>
          <w:szCs w:val="24"/>
        </w:rPr>
        <w:t>ECF</w:t>
      </w:r>
      <w:r w:rsidRPr="00384046">
        <w:rPr>
          <w:rFonts w:ascii="Book Antiqua" w:eastAsia="SimSun" w:hAnsi="Book Antiqua" w:cs="Times New Roman"/>
          <w:color w:val="000000" w:themeColor="text1"/>
          <w:sz w:val="24"/>
          <w:szCs w:val="24"/>
        </w:rPr>
        <w:t>) regimens are commonly used as first-line treatments for gastric cancer</w:t>
      </w:r>
      <w:r w:rsidRPr="00384046">
        <w:rPr>
          <w:rFonts w:ascii="Book Antiqua" w:eastAsia="SimSun" w:hAnsi="Book Antiqua" w:cs="Times New Roman"/>
          <w:color w:val="000000" w:themeColor="text1"/>
          <w:sz w:val="24"/>
          <w:szCs w:val="24"/>
          <w:vertAlign w:val="superscript"/>
        </w:rPr>
        <w:t>[7]</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 results 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some studies showed that the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DCF group was better than the ECF group in terms of </w:t>
      </w:r>
      <w:r w:rsidR="00B85F7B" w:rsidRPr="00384046">
        <w:rPr>
          <w:rFonts w:ascii="Book Antiqua" w:hAnsi="Book Antiqua" w:cs="Times New Roman"/>
          <w:color w:val="000000" w:themeColor="text1"/>
          <w:sz w:val="24"/>
          <w:szCs w:val="24"/>
        </w:rPr>
        <w:t>objective response rate (ORR)</w:t>
      </w:r>
      <w:r w:rsidRPr="00384046">
        <w:rPr>
          <w:rFonts w:ascii="Book Antiqua" w:hAnsi="Book Antiqua" w:cs="Times New Roman"/>
          <w:color w:val="000000" w:themeColor="text1"/>
          <w:sz w:val="24"/>
          <w:szCs w:val="24"/>
        </w:rPr>
        <w:t>, progression-free surv</w:t>
      </w:r>
      <w:r w:rsidR="00B85F7B" w:rsidRPr="00384046">
        <w:rPr>
          <w:rFonts w:ascii="Book Antiqua" w:hAnsi="Book Antiqua" w:cs="Times New Roman"/>
          <w:color w:val="000000" w:themeColor="text1"/>
          <w:sz w:val="24"/>
          <w:szCs w:val="24"/>
        </w:rPr>
        <w:t>ival (PFS)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and </w:t>
      </w:r>
      <w:r w:rsidR="00B85F7B" w:rsidRPr="00384046">
        <w:rPr>
          <w:rFonts w:ascii="Book Antiqua" w:hAnsi="Book Antiqua" w:cs="Times New Roman"/>
          <w:color w:val="000000" w:themeColor="text1"/>
          <w:sz w:val="24"/>
          <w:szCs w:val="24"/>
        </w:rPr>
        <w:t>overall survival (OS)</w:t>
      </w:r>
      <w:r w:rsidRPr="00384046">
        <w:rPr>
          <w:rFonts w:ascii="Book Antiqua" w:eastAsia="SimSun" w:hAnsi="Book Antiqua" w:cs="Times New Roman"/>
          <w:color w:val="000000" w:themeColor="text1"/>
          <w:sz w:val="24"/>
          <w:szCs w:val="24"/>
          <w:vertAlign w:val="superscript"/>
        </w:rPr>
        <w:t>[8-9]</w:t>
      </w:r>
      <w:r w:rsidRPr="00384046">
        <w:rPr>
          <w:rFonts w:ascii="Book Antiqua" w:eastAsia="SimSun"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However, </w:t>
      </w:r>
      <w:r w:rsidRPr="00384046">
        <w:rPr>
          <w:rFonts w:ascii="Book Antiqua" w:eastAsia="SimSun" w:hAnsi="Book Antiqua" w:cs="Times New Roman"/>
          <w:color w:val="000000" w:themeColor="text1"/>
          <w:sz w:val="24"/>
          <w:szCs w:val="24"/>
        </w:rPr>
        <w:t xml:space="preserve">in other studies, the results showed opposite results, and the ECF regimen had </w:t>
      </w:r>
      <w:r w:rsidRPr="00384046">
        <w:rPr>
          <w:rFonts w:ascii="Book Antiqua" w:hAnsi="Book Antiqua" w:cs="Times New Roman"/>
          <w:color w:val="000000" w:themeColor="text1"/>
          <w:sz w:val="24"/>
          <w:szCs w:val="24"/>
        </w:rPr>
        <w:t>better antitumor efficacy</w:t>
      </w:r>
      <w:r w:rsidRPr="00384046">
        <w:rPr>
          <w:rFonts w:ascii="Book Antiqua" w:eastAsia="SimSun" w:hAnsi="Book Antiqua" w:cs="Times New Roman"/>
          <w:color w:val="000000" w:themeColor="text1"/>
          <w:sz w:val="24"/>
          <w:szCs w:val="24"/>
        </w:rPr>
        <w:t xml:space="preserve"> and better quality of life</w:t>
      </w:r>
      <w:r w:rsidRPr="00384046">
        <w:rPr>
          <w:rFonts w:ascii="Book Antiqua" w:hAnsi="Book Antiqua" w:cs="Times New Roman"/>
          <w:color w:val="000000" w:themeColor="text1"/>
          <w:sz w:val="24"/>
          <w:szCs w:val="24"/>
        </w:rPr>
        <w:t xml:space="preserve"> for advanced </w:t>
      </w:r>
      <w:r w:rsidRPr="00384046">
        <w:rPr>
          <w:rFonts w:ascii="Book Antiqua" w:eastAsia="SimSun" w:hAnsi="Book Antiqua" w:cs="Times New Roman"/>
          <w:color w:val="000000" w:themeColor="text1"/>
          <w:sz w:val="24"/>
          <w:szCs w:val="24"/>
        </w:rPr>
        <w:t>gastric cancer</w:t>
      </w:r>
      <w:r w:rsidR="005B0248" w:rsidRPr="00384046">
        <w:rPr>
          <w:rFonts w:ascii="Book Antiqua" w:eastAsia="SimSun" w:hAnsi="Book Antiqua" w:cs="Times New Roman"/>
          <w:color w:val="000000" w:themeColor="text1"/>
          <w:sz w:val="24"/>
          <w:szCs w:val="24"/>
          <w:vertAlign w:val="superscript"/>
        </w:rPr>
        <w:t>[10,</w:t>
      </w:r>
      <w:r w:rsidRPr="00384046">
        <w:rPr>
          <w:rFonts w:ascii="Book Antiqua" w:eastAsia="SimSun" w:hAnsi="Book Antiqua" w:cs="Times New Roman"/>
          <w:color w:val="000000" w:themeColor="text1"/>
          <w:sz w:val="24"/>
          <w:szCs w:val="24"/>
          <w:vertAlign w:val="superscript"/>
        </w:rPr>
        <w:t>11]</w:t>
      </w:r>
      <w:r w:rsidRPr="00384046">
        <w:rPr>
          <w:rFonts w:ascii="Book Antiqua" w:eastAsia="SimSun" w:hAnsi="Book Antiqua" w:cs="Times New Roman"/>
          <w:color w:val="000000" w:themeColor="text1"/>
          <w:sz w:val="24"/>
          <w:szCs w:val="24"/>
        </w:rPr>
        <w:t xml:space="preserve">. In a retrospective analysis from Turkey, </w:t>
      </w:r>
      <w:r w:rsidRPr="00384046">
        <w:rPr>
          <w:rFonts w:ascii="Book Antiqua" w:hAnsi="Book Antiqua" w:cs="Times New Roman"/>
          <w:color w:val="000000" w:themeColor="text1"/>
          <w:sz w:val="24"/>
          <w:szCs w:val="24"/>
        </w:rPr>
        <w:t>Teker reported</w:t>
      </w:r>
      <w:r w:rsidR="00FB4DE2"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that DCF and ECF had similar efficacy and a similar tolerability in </w:t>
      </w:r>
      <w:r w:rsidRPr="00384046">
        <w:rPr>
          <w:rFonts w:ascii="Book Antiqua" w:eastAsia="SimSun" w:hAnsi="Book Antiqua" w:cs="Times New Roman"/>
          <w:color w:val="000000" w:themeColor="text1"/>
          <w:sz w:val="24"/>
          <w:szCs w:val="24"/>
        </w:rPr>
        <w:t>treating advanced gastric cancer</w:t>
      </w:r>
      <w:r w:rsidRPr="00384046">
        <w:rPr>
          <w:rFonts w:ascii="Book Antiqua" w:hAnsi="Book Antiqua" w:cs="Times New Roman"/>
          <w:color w:val="000000" w:themeColor="text1"/>
          <w:sz w:val="24"/>
          <w:szCs w:val="24"/>
          <w:vertAlign w:val="superscript"/>
        </w:rPr>
        <w:t>[</w:t>
      </w:r>
      <w:r w:rsidRPr="00384046">
        <w:rPr>
          <w:rFonts w:ascii="Book Antiqua" w:eastAsia="SimSun" w:hAnsi="Book Antiqua" w:cs="Times New Roman"/>
          <w:color w:val="000000" w:themeColor="text1"/>
          <w:sz w:val="24"/>
          <w:szCs w:val="24"/>
          <w:vertAlign w:val="superscript"/>
        </w:rPr>
        <w:t>12</w:t>
      </w:r>
      <w:r w:rsidRPr="00384046">
        <w:rPr>
          <w:rFonts w:ascii="Book Antiqua" w:hAnsi="Book Antiqua" w:cs="Times New Roman"/>
          <w:color w:val="000000" w:themeColor="text1"/>
          <w:sz w:val="24"/>
          <w:szCs w:val="24"/>
          <w:vertAlign w:val="superscript"/>
        </w:rPr>
        <w:t>]</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200" w:firstLine="480"/>
        <w:rPr>
          <w:rFonts w:ascii="Book Antiqua"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 xml:space="preserve">To </w:t>
      </w:r>
      <w:r w:rsidRPr="00384046">
        <w:rPr>
          <w:rFonts w:ascii="Book Antiqua" w:hAnsi="Book Antiqua" w:cs="Times New Roman"/>
          <w:color w:val="000000" w:themeColor="text1"/>
          <w:sz w:val="24"/>
          <w:szCs w:val="24"/>
        </w:rPr>
        <w:t>solve the controversy, we conducted this meta-analysis of relevant studies to compare the s</w:t>
      </w:r>
      <w:r w:rsidR="005B0248" w:rsidRPr="00384046">
        <w:rPr>
          <w:rFonts w:ascii="Book Antiqua" w:hAnsi="Book Antiqua" w:cs="Times New Roman"/>
          <w:color w:val="000000" w:themeColor="text1"/>
          <w:sz w:val="24"/>
          <w:szCs w:val="24"/>
        </w:rPr>
        <w:t>urvival outcomes [</w:t>
      </w:r>
      <w:r w:rsidRPr="00384046">
        <w:rPr>
          <w:rFonts w:ascii="Book Antiqua" w:hAnsi="Book Antiqua" w:cs="Times New Roman"/>
          <w:color w:val="000000" w:themeColor="text1"/>
          <w:sz w:val="24"/>
          <w:szCs w:val="24"/>
        </w:rPr>
        <w:t>PFS,</w:t>
      </w:r>
      <w:r w:rsidR="005B0248" w:rsidRPr="00384046">
        <w:rPr>
          <w:rFonts w:ascii="Book Antiqua" w:hAnsi="Book Antiqua" w:cs="Times New Roman"/>
          <w:color w:val="000000" w:themeColor="text1"/>
          <w:sz w:val="24"/>
          <w:szCs w:val="24"/>
        </w:rPr>
        <w:t xml:space="preserve"> OS, ORR, disease control rate (</w:t>
      </w:r>
      <w:r w:rsidRPr="00384046">
        <w:rPr>
          <w:rFonts w:ascii="Book Antiqua" w:hAnsi="Book Antiqua" w:cs="Times New Roman"/>
          <w:color w:val="000000" w:themeColor="text1"/>
          <w:sz w:val="24"/>
          <w:szCs w:val="24"/>
        </w:rPr>
        <w:t>DCR</w:t>
      </w:r>
      <w:r w:rsidR="005B0248" w:rsidRPr="00384046">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and adverse effects (AEs) between DCF and ECF regimens</w:t>
      </w:r>
      <w:r w:rsidRPr="00384046">
        <w:rPr>
          <w:rFonts w:ascii="Book Antiqua" w:eastAsia="SimSun" w:hAnsi="Book Antiqua" w:cs="Times New Roman"/>
          <w:color w:val="000000" w:themeColor="text1"/>
          <w:sz w:val="24"/>
          <w:szCs w:val="24"/>
        </w:rPr>
        <w:t>.</w:t>
      </w:r>
    </w:p>
    <w:p w:rsidR="000157E8" w:rsidRPr="00384046" w:rsidRDefault="000157E8" w:rsidP="00384046">
      <w:pPr>
        <w:spacing w:line="360" w:lineRule="auto"/>
        <w:rPr>
          <w:rFonts w:ascii="Book Antiqua" w:eastAsia="SimSun" w:hAnsi="Book Antiqua" w:cs="Times New Roman"/>
          <w:color w:val="000000" w:themeColor="text1"/>
          <w:sz w:val="24"/>
          <w:szCs w:val="24"/>
        </w:rPr>
      </w:pPr>
    </w:p>
    <w:p w:rsidR="008F68C7" w:rsidRPr="00384046" w:rsidRDefault="008F68C7" w:rsidP="00384046">
      <w:pPr>
        <w:spacing w:line="360" w:lineRule="auto"/>
        <w:rPr>
          <w:rFonts w:ascii="Book Antiqua" w:hAnsi="Book Antiqua"/>
          <w:b/>
          <w:color w:val="000000" w:themeColor="text1"/>
          <w:sz w:val="24"/>
          <w:szCs w:val="24"/>
        </w:rPr>
      </w:pPr>
      <w:bookmarkStart w:id="7" w:name="OLE_LINK337"/>
      <w:bookmarkStart w:id="8" w:name="OLE_LINK338"/>
      <w:bookmarkStart w:id="9" w:name="OLE_LINK378"/>
      <w:bookmarkStart w:id="10" w:name="OLE_LINK388"/>
      <w:r w:rsidRPr="00384046">
        <w:rPr>
          <w:rFonts w:ascii="Book Antiqua" w:hAnsi="Book Antiqua"/>
          <w:b/>
          <w:color w:val="000000" w:themeColor="text1"/>
          <w:sz w:val="24"/>
          <w:szCs w:val="24"/>
        </w:rPr>
        <w:t>MATERIALS AND METHODS</w:t>
      </w:r>
    </w:p>
    <w:bookmarkEnd w:id="7"/>
    <w:bookmarkEnd w:id="8"/>
    <w:bookmarkEnd w:id="9"/>
    <w:bookmarkEnd w:id="10"/>
    <w:p w:rsidR="000157E8" w:rsidRPr="00384046" w:rsidRDefault="000157E8" w:rsidP="00384046">
      <w:pPr>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 xml:space="preserve">The meta-analysis was conducted according to the Preferred Reporting Items for Systematic Review and </w:t>
      </w:r>
      <w:r w:rsidR="00A4351A" w:rsidRPr="00384046">
        <w:rPr>
          <w:rFonts w:ascii="Book Antiqua" w:eastAsia="SimSun" w:hAnsi="Book Antiqua" w:cs="Times New Roman"/>
          <w:color w:val="000000" w:themeColor="text1"/>
          <w:sz w:val="24"/>
          <w:szCs w:val="24"/>
        </w:rPr>
        <w:t>Meta-Analysis</w:t>
      </w:r>
      <w:r w:rsidRPr="00384046">
        <w:rPr>
          <w:rFonts w:ascii="Book Antiqua" w:eastAsia="SimSun" w:hAnsi="Book Antiqua" w:cs="Times New Roman"/>
          <w:color w:val="000000" w:themeColor="text1"/>
          <w:sz w:val="24"/>
          <w:szCs w:val="24"/>
        </w:rPr>
        <w:t xml:space="preserve"> guidelines</w:t>
      </w:r>
      <w:r w:rsidRPr="00384046">
        <w:rPr>
          <w:rFonts w:ascii="Book Antiqua" w:eastAsia="SimSun" w:hAnsi="Book Antiqua" w:cs="Times New Roman"/>
          <w:color w:val="000000" w:themeColor="text1"/>
          <w:sz w:val="24"/>
          <w:szCs w:val="24"/>
          <w:vertAlign w:val="superscript"/>
        </w:rPr>
        <w:t>[13]</w:t>
      </w:r>
      <w:r w:rsidRPr="00384046">
        <w:rPr>
          <w:rFonts w:ascii="Book Antiqua" w:eastAsia="SimSun" w:hAnsi="Book Antiqua" w:cs="Times New Roman"/>
          <w:color w:val="000000" w:themeColor="text1"/>
          <w:sz w:val="24"/>
          <w:szCs w:val="24"/>
        </w:rPr>
        <w:t>.</w:t>
      </w:r>
    </w:p>
    <w:p w:rsidR="000157E8" w:rsidRPr="00384046" w:rsidRDefault="000157E8" w:rsidP="00384046">
      <w:pPr>
        <w:spacing w:line="360" w:lineRule="auto"/>
        <w:rPr>
          <w:rFonts w:ascii="Book Antiqua" w:hAnsi="Book Antiqua" w:cs="Times New Roman"/>
          <w:color w:val="000000" w:themeColor="text1"/>
          <w:sz w:val="24"/>
          <w:szCs w:val="24"/>
        </w:rPr>
      </w:pPr>
    </w:p>
    <w:p w:rsidR="000157E8" w:rsidRPr="00384046" w:rsidRDefault="000157E8" w:rsidP="00384046">
      <w:pPr>
        <w:spacing w:line="360" w:lineRule="auto"/>
        <w:rPr>
          <w:rFonts w:ascii="Book Antiqua" w:eastAsia="SimSun" w:hAnsi="Book Antiqua" w:cs="Times New Roman"/>
          <w:b/>
          <w:i/>
          <w:color w:val="000000" w:themeColor="text1"/>
          <w:sz w:val="24"/>
          <w:szCs w:val="24"/>
        </w:rPr>
      </w:pPr>
      <w:r w:rsidRPr="00384046">
        <w:rPr>
          <w:rFonts w:ascii="Book Antiqua" w:eastAsia="SimSun" w:hAnsi="Book Antiqua" w:cs="Times New Roman"/>
          <w:b/>
          <w:i/>
          <w:color w:val="000000" w:themeColor="text1"/>
          <w:sz w:val="24"/>
          <w:szCs w:val="24"/>
        </w:rPr>
        <w:t>Search strategy</w:t>
      </w:r>
    </w:p>
    <w:p w:rsidR="000157E8" w:rsidRPr="00384046" w:rsidRDefault="000157E8" w:rsidP="00384046">
      <w:pPr>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A systematic literature search of PubMed,</w:t>
      </w:r>
      <w:r w:rsidRPr="00384046">
        <w:rPr>
          <w:rFonts w:ascii="Book Antiqua" w:hAnsi="Book Antiqua" w:cs="Times New Roman"/>
          <w:color w:val="000000" w:themeColor="text1"/>
          <w:sz w:val="24"/>
          <w:szCs w:val="24"/>
        </w:rPr>
        <w:t xml:space="preserve"> </w:t>
      </w:r>
      <w:r w:rsidR="00A4351A" w:rsidRPr="00384046">
        <w:rPr>
          <w:rFonts w:ascii="Book Antiqua" w:eastAsia="SimSun" w:hAnsi="Book Antiqua" w:cs="Times New Roman"/>
          <w:color w:val="000000" w:themeColor="text1"/>
          <w:sz w:val="24"/>
          <w:szCs w:val="24"/>
        </w:rPr>
        <w:t>EMBASE</w:t>
      </w:r>
      <w:r w:rsidRPr="00384046">
        <w:rPr>
          <w:rFonts w:ascii="Book Antiqua" w:eastAsia="SimSun" w:hAnsi="Book Antiqua" w:cs="Times New Roman"/>
          <w:color w:val="000000" w:themeColor="text1"/>
          <w:sz w:val="24"/>
          <w:szCs w:val="24"/>
        </w:rPr>
        <w:t>, Ovid Medline, ScienceDirect, Web of Science, The Cochrane Library and Scopus was performed up to August 31, 2018, combining the following</w:t>
      </w:r>
      <w:r w:rsidRPr="00384046">
        <w:rPr>
          <w:rFonts w:ascii="Book Antiqua" w:hAnsi="Book Antiqua" w:cs="Times New Roman"/>
          <w:color w:val="000000" w:themeColor="text1"/>
          <w:sz w:val="24"/>
          <w:szCs w:val="24"/>
        </w:rPr>
        <w:t xml:space="preserve"> </w:t>
      </w:r>
      <w:r w:rsidRPr="00384046">
        <w:rPr>
          <w:rFonts w:ascii="Book Antiqua" w:hAnsi="Book Antiqua" w:cs="Times New Roman"/>
          <w:bCs/>
          <w:color w:val="000000" w:themeColor="text1"/>
          <w:sz w:val="24"/>
          <w:szCs w:val="24"/>
        </w:rPr>
        <w:t>mesh terms</w:t>
      </w:r>
      <w:r w:rsidRPr="00384046">
        <w:rPr>
          <w:rFonts w:ascii="Book Antiqua" w:eastAsia="SimSun" w:hAnsi="Book Antiqua" w:cs="Times New Roman"/>
          <w:color w:val="000000" w:themeColor="text1"/>
          <w:sz w:val="24"/>
          <w:szCs w:val="24"/>
        </w:rPr>
        <w:t>: “gastric cancer", “epirubicin",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"docetaxel” and "chemotherapy”.</w:t>
      </w:r>
      <w:r w:rsidRPr="00384046">
        <w:rPr>
          <w:rFonts w:ascii="Book Antiqua" w:hAnsi="Book Antiqua" w:cs="Times New Roman"/>
          <w:color w:val="000000" w:themeColor="text1"/>
          <w:sz w:val="24"/>
          <w:szCs w:val="24"/>
        </w:rPr>
        <w:t xml:space="preserve"> </w:t>
      </w:r>
      <w:r w:rsidRPr="00384046">
        <w:rPr>
          <w:rFonts w:ascii="Book Antiqua" w:hAnsi="Book Antiqua" w:cs="Times New Roman"/>
          <w:bCs/>
          <w:color w:val="000000" w:themeColor="text1"/>
          <w:sz w:val="24"/>
          <w:szCs w:val="24"/>
        </w:rPr>
        <w:t xml:space="preserve">Our complete search for PubMed was: (docetaxel [Mesh Terms] OR docetaxel hydrate OR docetaxel trihydrate OR docetaxel anhydrous) AND (Epirubicin [Mesh Terms] OR 4'-Epidoxorubicin OR EPI-cell OR IMI28 OR NSC 256942 OR NSC256942 OR Ellence) AND (Stomach Neoplasm [Mesh Terms] OR Gastric Cancer OR Stomach Cancer OR Stomach Neoplasm OR Gastric Neoplasm OR Cancers of Stomach). </w:t>
      </w:r>
      <w:r w:rsidRPr="00384046">
        <w:rPr>
          <w:rFonts w:ascii="Book Antiqua" w:eastAsia="SimSun" w:hAnsi="Book Antiqua" w:cs="Times New Roman"/>
          <w:color w:val="000000" w:themeColor="text1"/>
          <w:sz w:val="24"/>
          <w:szCs w:val="24"/>
        </w:rPr>
        <w:t>Search results were limited to original human studies, and search criteria were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restricted to randomized controlled trials (RCTs) or </w:t>
      </w:r>
      <w:r w:rsidRPr="00384046">
        <w:rPr>
          <w:rFonts w:ascii="Book Antiqua" w:hAnsi="Book Antiqua" w:cs="Times New Roman"/>
          <w:color w:val="000000" w:themeColor="text1"/>
          <w:sz w:val="24"/>
          <w:szCs w:val="24"/>
        </w:rPr>
        <w:t>cohort studies without language restriction</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 search is supplemented by manually searching for references listed in all included studies.</w:t>
      </w:r>
    </w:p>
    <w:p w:rsidR="000157E8" w:rsidRPr="00384046" w:rsidRDefault="000157E8" w:rsidP="00384046">
      <w:pPr>
        <w:spacing w:line="360" w:lineRule="auto"/>
        <w:rPr>
          <w:rFonts w:ascii="Book Antiqua" w:eastAsia="SimSun" w:hAnsi="Book Antiqua" w:cs="Times New Roman"/>
          <w:color w:val="000000" w:themeColor="text1"/>
          <w:sz w:val="24"/>
          <w:szCs w:val="24"/>
        </w:rPr>
      </w:pPr>
    </w:p>
    <w:p w:rsidR="000157E8" w:rsidRPr="00384046" w:rsidRDefault="000157E8" w:rsidP="00384046">
      <w:pPr>
        <w:spacing w:line="360" w:lineRule="auto"/>
        <w:rPr>
          <w:rFonts w:ascii="Book Antiqua" w:hAnsi="Book Antiqua" w:cs="Times New Roman"/>
          <w:b/>
          <w:bCs/>
          <w:i/>
          <w:color w:val="000000" w:themeColor="text1"/>
          <w:sz w:val="24"/>
          <w:szCs w:val="24"/>
        </w:rPr>
      </w:pPr>
      <w:r w:rsidRPr="00384046">
        <w:rPr>
          <w:rFonts w:ascii="Book Antiqua" w:hAnsi="Book Antiqua" w:cs="Times New Roman"/>
          <w:b/>
          <w:i/>
          <w:color w:val="000000" w:themeColor="text1"/>
          <w:sz w:val="24"/>
          <w:szCs w:val="24"/>
        </w:rPr>
        <w:t xml:space="preserve">Selection criteria and </w:t>
      </w:r>
      <w:r w:rsidRPr="00384046">
        <w:rPr>
          <w:rFonts w:ascii="Book Antiqua" w:eastAsia="SimSun" w:hAnsi="Book Antiqua" w:cs="Times New Roman"/>
          <w:b/>
          <w:bCs/>
          <w:i/>
          <w:color w:val="000000" w:themeColor="text1"/>
          <w:sz w:val="24"/>
          <w:szCs w:val="24"/>
        </w:rPr>
        <w:t>data</w:t>
      </w:r>
      <w:r w:rsidRPr="00384046">
        <w:rPr>
          <w:rFonts w:ascii="Book Antiqua" w:hAnsi="Book Antiqua" w:cs="Times New Roman"/>
          <w:b/>
          <w:bCs/>
          <w:i/>
          <w:color w:val="000000" w:themeColor="text1"/>
          <w:sz w:val="24"/>
          <w:szCs w:val="24"/>
        </w:rPr>
        <w:t xml:space="preserve"> extraction</w:t>
      </w:r>
    </w:p>
    <w:p w:rsidR="000157E8" w:rsidRPr="00384046" w:rsidRDefault="000157E8" w:rsidP="00384046">
      <w:pPr>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 xml:space="preserve">We used the following criteria for selecting studies: (1) </w:t>
      </w:r>
      <w:r w:rsidRPr="00384046">
        <w:rPr>
          <w:rFonts w:ascii="Book Antiqua" w:hAnsi="Book Antiqua" w:cs="Times New Roman"/>
          <w:color w:val="000000" w:themeColor="text1"/>
          <w:sz w:val="24"/>
          <w:szCs w:val="24"/>
        </w:rPr>
        <w:t xml:space="preserve">Population: </w:t>
      </w:r>
      <w:r w:rsidRPr="00384046">
        <w:rPr>
          <w:rFonts w:ascii="Book Antiqua" w:eastAsia="SimSun" w:hAnsi="Book Antiqua" w:cs="Times New Roman"/>
          <w:color w:val="000000" w:themeColor="text1"/>
          <w:sz w:val="24"/>
          <w:szCs w:val="24"/>
        </w:rPr>
        <w:t xml:space="preserve">patients diagnosed with metastatic or </w:t>
      </w:r>
      <w:r w:rsidRPr="00384046">
        <w:rPr>
          <w:rFonts w:ascii="Book Antiqua" w:eastAsia="SimSun" w:hAnsi="Book Antiqua" w:cs="Times New Roman"/>
          <w:color w:val="000000" w:themeColor="text1"/>
          <w:sz w:val="24"/>
          <w:szCs w:val="24"/>
        </w:rPr>
        <w:lastRenderedPageBreak/>
        <w:t>advanced gastric cancer; (2)</w:t>
      </w:r>
      <w:r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kern w:val="0"/>
          <w:sz w:val="24"/>
          <w:szCs w:val="24"/>
        </w:rPr>
        <w:t>Intervention and comparison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compared DCF versus ECF; (3) </w:t>
      </w:r>
      <w:r w:rsidRPr="00384046">
        <w:rPr>
          <w:rFonts w:ascii="Book Antiqua" w:hAnsi="Book Antiqua" w:cs="Times New Roman"/>
          <w:color w:val="000000" w:themeColor="text1"/>
          <w:sz w:val="24"/>
          <w:szCs w:val="24"/>
        </w:rPr>
        <w:t xml:space="preserve">Outcomes: </w:t>
      </w:r>
      <w:r w:rsidRPr="00384046">
        <w:rPr>
          <w:rFonts w:ascii="Book Antiqua" w:eastAsia="SimSun" w:hAnsi="Book Antiqua" w:cs="Times New Roman"/>
          <w:color w:val="000000" w:themeColor="text1"/>
          <w:sz w:val="24"/>
          <w:szCs w:val="24"/>
        </w:rPr>
        <w:t>PFS, OS,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ORR, DCR and AEs; and (4) </w:t>
      </w:r>
      <w:r w:rsidRPr="00384046">
        <w:rPr>
          <w:rFonts w:ascii="Book Antiqua" w:hAnsi="Book Antiqua" w:cs="Times New Roman"/>
          <w:color w:val="000000" w:themeColor="text1"/>
          <w:sz w:val="24"/>
          <w:szCs w:val="24"/>
        </w:rPr>
        <w:t xml:space="preserve">Study design: </w:t>
      </w:r>
      <w:r w:rsidRPr="00384046">
        <w:rPr>
          <w:rFonts w:ascii="Book Antiqua" w:eastAsia="SimSun" w:hAnsi="Book Antiqua" w:cs="Times New Roman"/>
          <w:color w:val="000000" w:themeColor="text1"/>
          <w:sz w:val="24"/>
          <w:szCs w:val="24"/>
        </w:rPr>
        <w:t>high-quality</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RCTs and cohort studies. Studies without primary data,</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abstracts only,</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conference summary, meta-analysis, animal experiments, and duplicate data were excluded.</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eastAsia="SimSun" w:hAnsi="Book Antiqua" w:cs="Times New Roman"/>
          <w:bCs/>
          <w:color w:val="000000" w:themeColor="text1"/>
          <w:sz w:val="24"/>
          <w:szCs w:val="24"/>
        </w:rPr>
        <w:t>Data were independently extracted by two reviewers, including the following:</w:t>
      </w:r>
      <w:r w:rsidRPr="00384046">
        <w:rPr>
          <w:rFonts w:ascii="Book Antiqua" w:hAnsi="Book Antiqua" w:cs="Times New Roman"/>
          <w:bCs/>
          <w:color w:val="000000" w:themeColor="text1"/>
          <w:sz w:val="24"/>
          <w:szCs w:val="24"/>
        </w:rPr>
        <w:t xml:space="preserve"> </w:t>
      </w:r>
      <w:r w:rsidRPr="00384046">
        <w:rPr>
          <w:rFonts w:ascii="Book Antiqua" w:eastAsia="SimSun" w:hAnsi="Book Antiqua" w:cs="Times New Roman"/>
          <w:bCs/>
          <w:color w:val="000000" w:themeColor="text1"/>
          <w:sz w:val="24"/>
          <w:szCs w:val="24"/>
        </w:rPr>
        <w:t>(1) first</w:t>
      </w:r>
      <w:r w:rsidRPr="00384046">
        <w:rPr>
          <w:rFonts w:ascii="Book Antiqua" w:hAnsi="Book Antiqua" w:cs="Times New Roman"/>
          <w:bCs/>
          <w:color w:val="000000" w:themeColor="text1"/>
          <w:sz w:val="24"/>
          <w:szCs w:val="24"/>
        </w:rPr>
        <w:t xml:space="preserve"> author, year, dosage regimen, dosage and cycle, </w:t>
      </w:r>
      <w:r w:rsidRPr="00384046">
        <w:rPr>
          <w:rFonts w:ascii="Book Antiqua" w:eastAsia="SimSun" w:hAnsi="Book Antiqua" w:cs="Times New Roman"/>
          <w:bCs/>
          <w:color w:val="000000" w:themeColor="text1"/>
          <w:sz w:val="24"/>
          <w:szCs w:val="24"/>
        </w:rPr>
        <w:t>patient</w:t>
      </w:r>
      <w:r w:rsidRPr="00384046">
        <w:rPr>
          <w:rFonts w:ascii="Book Antiqua" w:hAnsi="Book Antiqua" w:cs="Times New Roman"/>
          <w:bCs/>
          <w:color w:val="000000" w:themeColor="text1"/>
          <w:sz w:val="24"/>
          <w:szCs w:val="24"/>
        </w:rPr>
        <w:t xml:space="preserve"> characteristics and </w:t>
      </w:r>
      <w:r w:rsidRPr="00384046">
        <w:rPr>
          <w:rFonts w:ascii="Book Antiqua" w:hAnsi="Book Antiqua" w:cs="Times New Roman"/>
          <w:color w:val="000000" w:themeColor="text1"/>
          <w:sz w:val="24"/>
          <w:szCs w:val="24"/>
        </w:rPr>
        <w:t>study design</w:t>
      </w:r>
      <w:r w:rsidRPr="00384046">
        <w:rPr>
          <w:rFonts w:ascii="Book Antiqua" w:hAnsi="Book Antiqua" w:cs="Times New Roman"/>
          <w:bCs/>
          <w:color w:val="000000" w:themeColor="text1"/>
          <w:sz w:val="24"/>
          <w:szCs w:val="24"/>
        </w:rPr>
        <w:t xml:space="preserve">; </w:t>
      </w:r>
      <w:r w:rsidRPr="00384046">
        <w:rPr>
          <w:rFonts w:ascii="Book Antiqua" w:eastAsia="SimSun" w:hAnsi="Book Antiqua" w:cs="Times New Roman"/>
          <w:bCs/>
          <w:color w:val="000000" w:themeColor="text1"/>
          <w:sz w:val="24"/>
          <w:szCs w:val="24"/>
        </w:rPr>
        <w:t>(2)</w:t>
      </w:r>
      <w:r w:rsidRPr="00384046">
        <w:rPr>
          <w:rFonts w:ascii="Book Antiqua" w:hAnsi="Book Antiqua" w:cs="Times New Roman"/>
          <w:bCs/>
          <w:color w:val="000000" w:themeColor="text1"/>
          <w:sz w:val="24"/>
          <w:szCs w:val="24"/>
        </w:rPr>
        <w:t xml:space="preserve"> </w:t>
      </w:r>
      <w:r w:rsidRPr="00384046">
        <w:rPr>
          <w:rFonts w:ascii="Book Antiqua" w:eastAsia="SimSun" w:hAnsi="Book Antiqua" w:cs="Times New Roman"/>
          <w:color w:val="000000" w:themeColor="text1"/>
          <w:sz w:val="24"/>
          <w:szCs w:val="24"/>
        </w:rPr>
        <w:t>PFS, OS, ORR and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DCR</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and </w:t>
      </w:r>
      <w:r w:rsidRPr="00384046">
        <w:rPr>
          <w:rFonts w:ascii="Book Antiqua" w:eastAsia="SimSun" w:hAnsi="Book Antiqua" w:cs="Times New Roman"/>
          <w:bCs/>
          <w:color w:val="000000" w:themeColor="text1"/>
          <w:sz w:val="24"/>
          <w:szCs w:val="24"/>
        </w:rPr>
        <w:t>(3)</w:t>
      </w:r>
      <w:r w:rsidRPr="00384046">
        <w:rPr>
          <w:rFonts w:ascii="Book Antiqua" w:hAnsi="Book Antiqua" w:cs="Times New Roman"/>
          <w:bCs/>
          <w:color w:val="000000" w:themeColor="text1"/>
          <w:sz w:val="24"/>
          <w:szCs w:val="24"/>
        </w:rPr>
        <w:t xml:space="preserve"> </w:t>
      </w:r>
      <w:r w:rsidRPr="00384046">
        <w:rPr>
          <w:rFonts w:ascii="Book Antiqua" w:hAnsi="Book Antiqua" w:cs="Times New Roman"/>
          <w:color w:val="000000" w:themeColor="text1"/>
          <w:sz w:val="24"/>
          <w:szCs w:val="24"/>
        </w:rPr>
        <w:t>AEs</w:t>
      </w:r>
      <w:r w:rsidRPr="00384046">
        <w:rPr>
          <w:rFonts w:ascii="Book Antiqua" w:eastAsia="SimSun" w:hAnsi="Book Antiqua" w:cs="Times New Roman"/>
          <w:bCs/>
          <w:color w:val="000000" w:themeColor="text1"/>
          <w:sz w:val="24"/>
          <w:szCs w:val="24"/>
        </w:rPr>
        <w:t xml:space="preserve"> (all-grade/grade 3-4).</w:t>
      </w:r>
      <w:r w:rsidRPr="00384046">
        <w:rPr>
          <w:rFonts w:ascii="Book Antiqua" w:hAnsi="Book Antiqua" w:cs="Times New Roman"/>
          <w:bCs/>
          <w:color w:val="000000" w:themeColor="text1"/>
          <w:sz w:val="24"/>
          <w:szCs w:val="24"/>
        </w:rPr>
        <w:t xml:space="preserve"> A third investigator resolved any disagreements about terms.</w:t>
      </w:r>
    </w:p>
    <w:p w:rsidR="000157E8" w:rsidRPr="00384046" w:rsidRDefault="000157E8" w:rsidP="00384046">
      <w:pPr>
        <w:spacing w:line="360" w:lineRule="auto"/>
        <w:rPr>
          <w:rFonts w:ascii="Book Antiqua" w:eastAsia="SimSun" w:hAnsi="Book Antiqua" w:cs="Times New Roman"/>
          <w:color w:val="000000" w:themeColor="text1"/>
          <w:sz w:val="24"/>
          <w:szCs w:val="24"/>
        </w:rPr>
      </w:pPr>
    </w:p>
    <w:p w:rsidR="000157E8" w:rsidRPr="00384046" w:rsidRDefault="000157E8" w:rsidP="00384046">
      <w:pPr>
        <w:spacing w:line="360" w:lineRule="auto"/>
        <w:rPr>
          <w:rFonts w:ascii="Book Antiqua" w:eastAsia="SimSun" w:hAnsi="Book Antiqua" w:cs="Times New Roman"/>
          <w:b/>
          <w:i/>
          <w:color w:val="000000" w:themeColor="text1"/>
          <w:sz w:val="24"/>
          <w:szCs w:val="24"/>
        </w:rPr>
      </w:pPr>
      <w:r w:rsidRPr="00384046">
        <w:rPr>
          <w:rFonts w:ascii="Book Antiqua" w:eastAsia="SimSun" w:hAnsi="Book Antiqua" w:cs="Times New Roman"/>
          <w:b/>
          <w:i/>
          <w:color w:val="000000" w:themeColor="text1"/>
          <w:sz w:val="24"/>
          <w:szCs w:val="24"/>
        </w:rPr>
        <w:t>Quality assessment</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The Jadad scale (5-point)</w:t>
      </w:r>
      <w:r w:rsidRPr="00384046">
        <w:rPr>
          <w:rFonts w:ascii="Book Antiqua" w:hAnsi="Book Antiqua" w:cs="Times New Roman"/>
          <w:color w:val="000000" w:themeColor="text1"/>
          <w:sz w:val="24"/>
          <w:szCs w:val="24"/>
          <w:vertAlign w:val="superscript"/>
        </w:rPr>
        <w:t>[14]</w:t>
      </w:r>
      <w:r w:rsidRPr="00384046">
        <w:rPr>
          <w:rFonts w:ascii="Book Antiqua" w:hAnsi="Book Antiqua" w:cs="Times New Roman"/>
          <w:color w:val="000000" w:themeColor="text1"/>
          <w:sz w:val="24"/>
          <w:szCs w:val="24"/>
        </w:rPr>
        <w:t xml:space="preserve"> and the Newcastle-Ottawa Scale (NOS, 9-point)</w:t>
      </w:r>
      <w:r w:rsidRPr="00384046">
        <w:rPr>
          <w:rFonts w:ascii="Book Antiqua" w:hAnsi="Book Antiqua" w:cs="Times New Roman"/>
          <w:color w:val="000000" w:themeColor="text1"/>
          <w:sz w:val="24"/>
          <w:szCs w:val="24"/>
          <w:vertAlign w:val="superscript"/>
        </w:rPr>
        <w:t>[15]</w:t>
      </w:r>
      <w:r w:rsidRPr="00384046">
        <w:rPr>
          <w:rFonts w:ascii="Book Antiqua" w:hAnsi="Book Antiqua" w:cs="Times New Roman"/>
          <w:color w:val="000000" w:themeColor="text1"/>
          <w:sz w:val="24"/>
          <w:szCs w:val="24"/>
        </w:rPr>
        <w:t xml:space="preserve"> were used to </w:t>
      </w:r>
      <w:r w:rsidRPr="00384046">
        <w:rPr>
          <w:rFonts w:ascii="Book Antiqua" w:eastAsia="SimSun" w:hAnsi="Book Antiqua" w:cs="Times New Roman"/>
          <w:color w:val="000000" w:themeColor="text1"/>
          <w:sz w:val="24"/>
          <w:szCs w:val="24"/>
        </w:rPr>
        <w:t>assess</w:t>
      </w:r>
      <w:r w:rsidRPr="00384046">
        <w:rPr>
          <w:rFonts w:ascii="Book Antiqua" w:hAnsi="Book Antiqua" w:cs="Times New Roman"/>
          <w:color w:val="000000" w:themeColor="text1"/>
          <w:sz w:val="24"/>
          <w:szCs w:val="24"/>
        </w:rPr>
        <w:t xml:space="preserve"> the methodological quality of RCTs and cohort studies receptively. Three main items were included in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Jadad scale: randomization, masking and accountability of all patients. The Newcastle-Ottawa Scale also included three main items: patient selection, comparability and exposure. The scores were allocated as stars to each study. RCTs achieving 3 or more stars were considered to be of high quality. Cohort studies achieving 8 to 9 stars were considered to be of high quality; 6 to 7 stars were considered to be of medium quality</w:t>
      </w:r>
      <w:r w:rsidRPr="00384046">
        <w:rPr>
          <w:rFonts w:ascii="Book Antiqua" w:eastAsia="SimSun" w:hAnsi="Book Antiqua" w:cs="Times New Roman"/>
          <w:color w:val="000000" w:themeColor="text1"/>
          <w:sz w:val="24"/>
          <w:szCs w:val="24"/>
        </w:rPr>
        <w:t>.</w:t>
      </w:r>
    </w:p>
    <w:p w:rsidR="000157E8" w:rsidRPr="00384046" w:rsidRDefault="000157E8" w:rsidP="00384046">
      <w:pPr>
        <w:spacing w:line="360" w:lineRule="auto"/>
        <w:rPr>
          <w:rFonts w:ascii="Book Antiqua" w:eastAsia="SimSun" w:hAnsi="Book Antiqua" w:cs="Times New Roman"/>
          <w:color w:val="000000" w:themeColor="text1"/>
          <w:sz w:val="24"/>
          <w:szCs w:val="24"/>
        </w:rPr>
      </w:pPr>
    </w:p>
    <w:p w:rsidR="000157E8" w:rsidRPr="00384046" w:rsidRDefault="000157E8" w:rsidP="00384046">
      <w:pPr>
        <w:spacing w:line="360" w:lineRule="auto"/>
        <w:rPr>
          <w:rFonts w:ascii="Book Antiqua" w:eastAsia="SimSun" w:hAnsi="Book Antiqua" w:cs="Times New Roman"/>
          <w:b/>
          <w:i/>
          <w:color w:val="000000" w:themeColor="text1"/>
          <w:sz w:val="24"/>
          <w:szCs w:val="24"/>
        </w:rPr>
      </w:pPr>
      <w:r w:rsidRPr="00384046">
        <w:rPr>
          <w:rFonts w:ascii="Book Antiqua" w:eastAsia="SimSun" w:hAnsi="Book Antiqua" w:cs="Times New Roman"/>
          <w:b/>
          <w:i/>
          <w:color w:val="000000" w:themeColor="text1"/>
          <w:sz w:val="24"/>
          <w:szCs w:val="24"/>
        </w:rPr>
        <w:t>Statistical analysis</w:t>
      </w:r>
    </w:p>
    <w:p w:rsidR="000157E8" w:rsidRPr="00384046" w:rsidRDefault="000157E8" w:rsidP="00384046">
      <w:pPr>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Meta-analysis was performed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with</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RevMan (Version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5.3)</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 STATA</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(Version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12.0). PFS and OS were </w:t>
      </w:r>
      <w:r w:rsidRPr="00384046">
        <w:rPr>
          <w:rFonts w:ascii="Book Antiqua" w:eastAsia="SimSun" w:hAnsi="Book Antiqua" w:cs="Times New Roman"/>
          <w:color w:val="000000" w:themeColor="text1"/>
          <w:sz w:val="24"/>
          <w:szCs w:val="24"/>
        </w:rPr>
        <w:lastRenderedPageBreak/>
        <w:t>analyzed by the pooled hazard ratio (HR); if the HR was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less than 1, the result favored the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DCF group; otherwise, it favored the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ECF group. ORR, DCR, and AEs were analyzed by the pooled risk ratio.</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We extracted the HR of PFS and OS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directly from studies or from</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Kaplan–Meier curves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according to Tierney </w:t>
      </w:r>
      <w:r w:rsidRPr="00384046">
        <w:rPr>
          <w:rFonts w:ascii="Book Antiqua" w:eastAsia="SimSun" w:hAnsi="Book Antiqua" w:cs="Times New Roman"/>
          <w:i/>
          <w:color w:val="000000" w:themeColor="text1"/>
          <w:sz w:val="24"/>
          <w:szCs w:val="24"/>
        </w:rPr>
        <w:t>et al</w:t>
      </w:r>
      <w:r w:rsidRPr="00384046">
        <w:rPr>
          <w:rFonts w:ascii="Book Antiqua" w:eastAsia="SimSun" w:hAnsi="Book Antiqua" w:cs="Times New Roman"/>
          <w:color w:val="000000" w:themeColor="text1"/>
          <w:sz w:val="24"/>
          <w:szCs w:val="24"/>
          <w:vertAlign w:val="superscript"/>
        </w:rPr>
        <w:t>[16]</w:t>
      </w:r>
      <w:r w:rsidRPr="00384046">
        <w:rPr>
          <w:rFonts w:ascii="Book Antiqua" w:eastAsia="SimSun" w:hAnsi="Book Antiqua" w:cs="Times New Roman"/>
          <w:color w:val="000000" w:themeColor="text1"/>
          <w:sz w:val="24"/>
          <w:szCs w:val="24"/>
        </w:rPr>
        <w:t xml:space="preserve">. The heterogeneity test was evaluated by using the Q test and </w:t>
      </w:r>
      <w:r w:rsidRPr="00384046">
        <w:rPr>
          <w:rFonts w:ascii="Book Antiqua" w:eastAsia="SimSun" w:hAnsi="Book Antiqua" w:cs="Times New Roman"/>
          <w:i/>
          <w:color w:val="000000" w:themeColor="text1"/>
          <w:sz w:val="24"/>
          <w:szCs w:val="24"/>
        </w:rPr>
        <w:t>I</w:t>
      </w:r>
      <w:r w:rsidRPr="00384046">
        <w:rPr>
          <w:rFonts w:ascii="Book Antiqua" w:eastAsia="SimSun" w:hAnsi="Book Antiqua" w:cs="Times New Roman"/>
          <w:i/>
          <w:color w:val="000000" w:themeColor="text1"/>
          <w:sz w:val="24"/>
          <w:szCs w:val="24"/>
          <w:vertAlign w:val="superscript"/>
        </w:rPr>
        <w:t>2</w:t>
      </w:r>
      <w:r w:rsidRPr="00384046">
        <w:rPr>
          <w:rFonts w:ascii="Book Antiqua" w:eastAsia="SimSun" w:hAnsi="Book Antiqua" w:cs="Times New Roman"/>
          <w:color w:val="000000" w:themeColor="text1"/>
          <w:sz w:val="24"/>
          <w:szCs w:val="24"/>
        </w:rPr>
        <w:t xml:space="preserve"> statistic.</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If </w:t>
      </w:r>
      <w:r w:rsidR="002001D7" w:rsidRPr="00384046">
        <w:rPr>
          <w:rFonts w:ascii="Book Antiqua" w:eastAsia="SimSun" w:hAnsi="Book Antiqua" w:cs="Times New Roman"/>
          <w:i/>
          <w:color w:val="000000" w:themeColor="text1"/>
          <w:sz w:val="24"/>
          <w:szCs w:val="24"/>
        </w:rPr>
        <w:t xml:space="preserve">P </w:t>
      </w:r>
      <w:r w:rsidRPr="00384046">
        <w:rPr>
          <w:rFonts w:ascii="Book Antiqua" w:eastAsia="SimSun" w:hAnsi="Book Antiqua" w:cs="Times New Roman"/>
          <w:i/>
          <w:color w:val="000000" w:themeColor="text1"/>
          <w:sz w:val="24"/>
          <w:szCs w:val="24"/>
        </w:rPr>
        <w:t>&gt;</w:t>
      </w:r>
      <w:r w:rsidR="002001D7" w:rsidRPr="00384046">
        <w:rPr>
          <w:rFonts w:ascii="Book Antiqua" w:eastAsia="SimSun" w:hAnsi="Book Antiqua" w:cs="Times New Roman"/>
          <w:i/>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0.1 and </w:t>
      </w:r>
      <w:r w:rsidRPr="00384046">
        <w:rPr>
          <w:rFonts w:ascii="Book Antiqua" w:eastAsia="SimSun" w:hAnsi="Book Antiqua" w:cs="Times New Roman"/>
          <w:i/>
          <w:color w:val="000000" w:themeColor="text1"/>
          <w:sz w:val="24"/>
          <w:szCs w:val="24"/>
        </w:rPr>
        <w:t>I</w:t>
      </w:r>
      <w:r w:rsidRPr="00384046">
        <w:rPr>
          <w:rFonts w:ascii="Book Antiqua" w:eastAsia="SimSun" w:hAnsi="Book Antiqua" w:cs="Times New Roman"/>
          <w:i/>
          <w:color w:val="000000" w:themeColor="text1"/>
          <w:sz w:val="24"/>
          <w:szCs w:val="24"/>
          <w:vertAlign w:val="superscript"/>
        </w:rPr>
        <w:t>2</w:t>
      </w:r>
      <w:r w:rsidR="002001D7" w:rsidRPr="00384046">
        <w:rPr>
          <w:rFonts w:ascii="Book Antiqua" w:eastAsia="SimSun" w:hAnsi="Book Antiqua" w:cs="Times New Roman"/>
          <w:i/>
          <w:color w:val="000000" w:themeColor="text1"/>
          <w:sz w:val="24"/>
          <w:szCs w:val="24"/>
          <w:vertAlign w:val="superscript"/>
        </w:rPr>
        <w:t xml:space="preserve"> </w:t>
      </w:r>
      <w:r w:rsidRPr="00384046">
        <w:rPr>
          <w:rFonts w:ascii="Book Antiqua" w:eastAsia="SimSun" w:hAnsi="Book Antiqua" w:cs="Times New Roman"/>
          <w:color w:val="000000" w:themeColor="text1"/>
          <w:sz w:val="24"/>
          <w:szCs w:val="24"/>
        </w:rPr>
        <w:t>&lt;</w:t>
      </w:r>
      <w:r w:rsidR="002001D7" w:rsidRPr="00384046">
        <w:rPr>
          <w:rFonts w:ascii="Book Antiqua" w:eastAsia="SimSun"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50%,</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fixed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effects model was used.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Otherwise, the random</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effects model was used</w:t>
      </w:r>
      <w:r w:rsidRPr="00384046">
        <w:rPr>
          <w:rFonts w:ascii="Book Antiqua" w:eastAsia="SimSun" w:hAnsi="Book Antiqua" w:cs="Times New Roman"/>
          <w:color w:val="000000" w:themeColor="text1"/>
          <w:sz w:val="24"/>
          <w:szCs w:val="24"/>
          <w:vertAlign w:val="superscript"/>
        </w:rPr>
        <w:t>[17]</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Begg’s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Egger’s tests were performed to assess possible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publication bias. The result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was considered statistically significant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if the </w:t>
      </w:r>
      <w:r w:rsidR="002001D7" w:rsidRPr="00384046">
        <w:rPr>
          <w:rFonts w:ascii="Book Antiqua" w:eastAsia="SimSun" w:hAnsi="Book Antiqua" w:cs="Times New Roman"/>
          <w:i/>
          <w:color w:val="000000" w:themeColor="text1"/>
          <w:sz w:val="24"/>
          <w:szCs w:val="24"/>
        </w:rPr>
        <w:t>P</w:t>
      </w:r>
      <w:r w:rsidRPr="00384046">
        <w:rPr>
          <w:rFonts w:ascii="Book Antiqua" w:eastAsia="SimSun" w:hAnsi="Book Antiqua" w:cs="Times New Roman"/>
          <w:color w:val="000000" w:themeColor="text1"/>
          <w:sz w:val="24"/>
          <w:szCs w:val="24"/>
        </w:rPr>
        <w:t>-value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was less than 0.05.</w:t>
      </w:r>
    </w:p>
    <w:p w:rsidR="000157E8" w:rsidRPr="00384046" w:rsidRDefault="000157E8" w:rsidP="00384046">
      <w:pPr>
        <w:spacing w:line="360" w:lineRule="auto"/>
        <w:rPr>
          <w:rFonts w:ascii="Book Antiqua" w:eastAsia="SimSun" w:hAnsi="Book Antiqua" w:cs="Times New Roman"/>
          <w:color w:val="000000" w:themeColor="text1"/>
          <w:sz w:val="24"/>
          <w:szCs w:val="24"/>
        </w:rPr>
      </w:pPr>
    </w:p>
    <w:p w:rsidR="000157E8" w:rsidRPr="00384046" w:rsidRDefault="002001D7" w:rsidP="00384046">
      <w:pPr>
        <w:spacing w:line="360" w:lineRule="auto"/>
        <w:rPr>
          <w:rFonts w:ascii="Book Antiqua" w:eastAsia="SimSun"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t>RESULTS</w:t>
      </w:r>
    </w:p>
    <w:p w:rsidR="000157E8" w:rsidRPr="00384046" w:rsidRDefault="000157E8" w:rsidP="00384046">
      <w:pPr>
        <w:spacing w:line="360" w:lineRule="auto"/>
        <w:rPr>
          <w:rFonts w:ascii="Book Antiqua" w:eastAsia="SimSun" w:hAnsi="Book Antiqua" w:cs="Times New Roman"/>
          <w:b/>
          <w:i/>
          <w:color w:val="000000" w:themeColor="text1"/>
          <w:sz w:val="24"/>
          <w:szCs w:val="24"/>
        </w:rPr>
      </w:pPr>
      <w:r w:rsidRPr="00384046">
        <w:rPr>
          <w:rFonts w:ascii="Book Antiqua" w:eastAsia="SimSun" w:hAnsi="Book Antiqua" w:cs="Times New Roman"/>
          <w:b/>
          <w:i/>
          <w:color w:val="000000" w:themeColor="text1"/>
          <w:sz w:val="24"/>
          <w:szCs w:val="24"/>
        </w:rPr>
        <w:t>Study quality</w:t>
      </w:r>
    </w:p>
    <w:p w:rsidR="000157E8" w:rsidRPr="00384046" w:rsidRDefault="000157E8" w:rsidP="00384046">
      <w:pPr>
        <w:spacing w:line="360" w:lineRule="auto"/>
        <w:rPr>
          <w:rFonts w:ascii="Book Antiqua" w:eastAsia="SimSun" w:hAnsi="Book Antiqua" w:cs="Times New Roman"/>
          <w:color w:val="000000" w:themeColor="text1"/>
          <w:sz w:val="24"/>
          <w:szCs w:val="24"/>
        </w:rPr>
      </w:pPr>
      <w:r w:rsidRPr="00384046">
        <w:rPr>
          <w:rFonts w:ascii="Book Antiqua" w:hAnsi="Book Antiqua" w:cs="Times New Roman"/>
          <w:color w:val="000000" w:themeColor="text1"/>
          <w:sz w:val="24"/>
          <w:szCs w:val="24"/>
        </w:rPr>
        <w:t>We initially identified 965 potentially eligible studies</w:t>
      </w:r>
      <w:r w:rsidRPr="00384046">
        <w:rPr>
          <w:rFonts w:ascii="Book Antiqua" w:eastAsia="SimSun" w:hAnsi="Book Antiqua" w:cs="Times New Roman"/>
          <w:color w:val="000000" w:themeColor="text1"/>
          <w:sz w:val="24"/>
          <w:szCs w:val="24"/>
        </w:rPr>
        <w:t>. We further deleted the poor quality and repeated literature</w:t>
      </w:r>
      <w:r w:rsidRPr="00384046">
        <w:rPr>
          <w:rFonts w:ascii="Book Antiqua" w:hAnsi="Book Antiqua" w:cs="Times New Roman"/>
          <w:color w:val="000000" w:themeColor="text1"/>
          <w:sz w:val="24"/>
          <w:szCs w:val="24"/>
        </w:rPr>
        <w:t>s</w:t>
      </w:r>
      <w:r w:rsidRPr="00384046">
        <w:rPr>
          <w:rFonts w:ascii="Book Antiqua" w:eastAsia="SimSun" w:hAnsi="Book Antiqua" w:cs="Times New Roman"/>
          <w:color w:val="000000" w:themeColor="text1"/>
          <w:sz w:val="24"/>
          <w:szCs w:val="24"/>
        </w:rPr>
        <w:t xml:space="preserve"> and ultimately included 7 qualified studies (4 RCTs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 3</w:t>
      </w:r>
      <w:r w:rsidR="008406F7" w:rsidRPr="00384046">
        <w:rPr>
          <w:rFonts w:ascii="Book Antiqua" w:eastAsia="SimSun"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cohort studies). A total of 598 cases of metastatic or advanced gastric cancer were included (257 patients in the DCF group</w:t>
      </w:r>
      <w:r w:rsidRPr="00384046">
        <w:rPr>
          <w:rFonts w:ascii="Book Antiqua" w:hAnsi="Book Antiqua" w:cs="Times New Roman"/>
          <w:color w:val="000000" w:themeColor="text1"/>
          <w:sz w:val="24"/>
          <w:szCs w:val="24"/>
        </w:rPr>
        <w:t xml:space="preserve"> and </w:t>
      </w:r>
      <w:r w:rsidRPr="00384046">
        <w:rPr>
          <w:rFonts w:ascii="Book Antiqua" w:eastAsia="SimSun" w:hAnsi="Book Antiqua" w:cs="Times New Roman"/>
          <w:color w:val="000000" w:themeColor="text1"/>
          <w:sz w:val="24"/>
          <w:szCs w:val="24"/>
        </w:rPr>
        <w:t>341</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patients in the ECF group).</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According to the </w:t>
      </w:r>
      <w:r w:rsidRPr="00384046">
        <w:rPr>
          <w:rFonts w:ascii="Book Antiqua" w:hAnsi="Book Antiqua" w:cs="Times New Roman"/>
          <w:color w:val="000000" w:themeColor="text1"/>
          <w:sz w:val="24"/>
          <w:szCs w:val="24"/>
        </w:rPr>
        <w:t>Jadad scale and NOS</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5 studies </w:t>
      </w:r>
      <w:r w:rsidRPr="00384046">
        <w:rPr>
          <w:rFonts w:ascii="Book Antiqua" w:eastAsia="SimSun" w:hAnsi="Book Antiqua" w:cs="Times New Roman"/>
          <w:color w:val="000000" w:themeColor="text1"/>
          <w:sz w:val="24"/>
          <w:szCs w:val="24"/>
        </w:rPr>
        <w:t>were of high quality</w:t>
      </w:r>
      <w:r w:rsidRPr="00384046">
        <w:rPr>
          <w:rFonts w:ascii="Book Antiqua" w:hAnsi="Book Antiqua" w:cs="Times New Roman"/>
          <w:color w:val="000000" w:themeColor="text1"/>
          <w:sz w:val="24"/>
          <w:szCs w:val="24"/>
        </w:rPr>
        <w:t xml:space="preserve"> (4 RCTs and 1 </w:t>
      </w:r>
      <w:r w:rsidRPr="00384046">
        <w:rPr>
          <w:rFonts w:ascii="Book Antiqua" w:eastAsia="SimSun" w:hAnsi="Book Antiqua" w:cs="Times New Roman"/>
          <w:color w:val="000000" w:themeColor="text1"/>
          <w:sz w:val="24"/>
          <w:szCs w:val="24"/>
        </w:rPr>
        <w:t>cohort studies</w:t>
      </w:r>
      <w:r w:rsidRPr="00384046">
        <w:rPr>
          <w:rFonts w:ascii="Book Antiqua" w:hAnsi="Book Antiqua" w:cs="Times New Roman"/>
          <w:color w:val="000000" w:themeColor="text1"/>
          <w:sz w:val="24"/>
          <w:szCs w:val="24"/>
        </w:rPr>
        <w:t>)</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 </w:t>
      </w:r>
      <w:r w:rsidRPr="00384046">
        <w:rPr>
          <w:rFonts w:ascii="Book Antiqua" w:eastAsia="SimSun" w:hAnsi="Book Antiqua" w:cs="Times New Roman"/>
          <w:color w:val="000000" w:themeColor="text1"/>
          <w:sz w:val="24"/>
          <w:szCs w:val="24"/>
        </w:rPr>
        <w:t>2 cohort studies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were of</w:t>
      </w:r>
      <w:r w:rsidRPr="00384046">
        <w:rPr>
          <w:rFonts w:ascii="Book Antiqua" w:hAnsi="Book Antiqua" w:cs="Times New Roman"/>
          <w:color w:val="000000" w:themeColor="text1"/>
          <w:sz w:val="24"/>
          <w:szCs w:val="24"/>
        </w:rPr>
        <w:t xml:space="preserve"> medium quality (</w:t>
      </w:r>
      <w:r w:rsidRPr="00384046">
        <w:rPr>
          <w:rFonts w:ascii="Book Antiqua" w:eastAsia="SimSun" w:hAnsi="Book Antiqua" w:cs="Times New Roman"/>
          <w:color w:val="000000" w:themeColor="text1"/>
          <w:sz w:val="24"/>
          <w:szCs w:val="24"/>
        </w:rPr>
        <w:t>Table 1</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 selection procedure is shown in Figure 1, and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 characteristics of</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 included studies are shown 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Table 2.</w:t>
      </w:r>
    </w:p>
    <w:p w:rsidR="000157E8" w:rsidRPr="00384046" w:rsidRDefault="000157E8" w:rsidP="00384046">
      <w:pPr>
        <w:spacing w:line="360" w:lineRule="auto"/>
        <w:rPr>
          <w:rFonts w:ascii="Book Antiqua" w:eastAsia="SimSun" w:hAnsi="Book Antiqua" w:cs="Times New Roman"/>
          <w:color w:val="000000" w:themeColor="text1"/>
          <w:sz w:val="24"/>
          <w:szCs w:val="24"/>
        </w:rPr>
      </w:pPr>
    </w:p>
    <w:p w:rsidR="000157E8" w:rsidRPr="00384046" w:rsidRDefault="000157E8" w:rsidP="00384046">
      <w:pPr>
        <w:spacing w:line="360" w:lineRule="auto"/>
        <w:rPr>
          <w:rFonts w:ascii="Book Antiqua" w:hAnsi="Book Antiqua" w:cs="Times New Roman"/>
          <w:b/>
          <w:i/>
          <w:color w:val="000000" w:themeColor="text1"/>
          <w:sz w:val="24"/>
          <w:szCs w:val="24"/>
        </w:rPr>
      </w:pPr>
      <w:r w:rsidRPr="00384046">
        <w:rPr>
          <w:rFonts w:ascii="Book Antiqua" w:hAnsi="Book Antiqua" w:cs="Times New Roman"/>
          <w:b/>
          <w:i/>
          <w:color w:val="000000" w:themeColor="text1"/>
          <w:sz w:val="24"/>
          <w:szCs w:val="24"/>
        </w:rPr>
        <w:t>Survival outcomes</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Four studies including 288 patients reported PFS. No statistically significant difference was found between </w:t>
      </w:r>
      <w:r w:rsidRPr="00384046">
        <w:rPr>
          <w:rFonts w:ascii="Book Antiqua" w:hAnsi="Book Antiqua" w:cs="Times New Roman"/>
          <w:color w:val="000000" w:themeColor="text1"/>
          <w:sz w:val="24"/>
          <w:szCs w:val="24"/>
        </w:rPr>
        <w:lastRenderedPageBreak/>
        <w:t>the two groups (95%</w:t>
      </w:r>
      <w:r w:rsidR="00F0596E" w:rsidRPr="00384046">
        <w:rPr>
          <w:rFonts w:ascii="Book Antiqua" w:hAnsi="Book Antiqua" w:cs="Times New Roman"/>
          <w:color w:val="000000" w:themeColor="text1"/>
          <w:sz w:val="24"/>
          <w:szCs w:val="24"/>
        </w:rPr>
        <w:t>CI</w:t>
      </w:r>
      <w:r w:rsidRPr="00384046">
        <w:rPr>
          <w:rFonts w:ascii="Book Antiqua" w:hAnsi="Book Antiqua" w:cs="Times New Roman"/>
          <w:color w:val="000000" w:themeColor="text1"/>
          <w:sz w:val="24"/>
          <w:szCs w:val="24"/>
        </w:rPr>
        <w:t xml:space="preserve">: 0.58-1.46, </w:t>
      </w:r>
      <w:r w:rsidR="00F0596E"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0.73), with significant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0.01;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72%</w:t>
      </w:r>
      <w:r w:rsidR="00C95F7A"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Figure 2</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Five studies including 431 patients reported OS. No statistically significant difference was found between the two groups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0.65-1.10, </w:t>
      </w:r>
      <w:r w:rsidR="002434C7"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0.21), with acceptable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0.33;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13%</w:t>
      </w:r>
      <w:r w:rsidR="00C95F7A"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Figure 3</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Seven studies including 598 patients reported ORR. ORR was significantly greater in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DCF group than that in the ECF group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1.13-1.75, </w:t>
      </w:r>
      <w:r w:rsidR="002434C7" w:rsidRPr="00384046">
        <w:rPr>
          <w:rFonts w:ascii="Book Antiqua" w:hAnsi="Book Antiqua" w:cs="Times New Roman"/>
          <w:i/>
          <w:color w:val="000000" w:themeColor="text1"/>
          <w:sz w:val="24"/>
          <w:szCs w:val="24"/>
        </w:rPr>
        <w:t>P</w:t>
      </w:r>
      <w:r w:rsidR="002434C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 with no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0.52;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0%</w:t>
      </w:r>
      <w:r w:rsidR="00C95F7A"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Figure 4A</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Four studies including 351 patients reported DCR. DCR was significantly greater in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DCF group than that in the ECF group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1.03-1.41,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0.02), with no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0.97;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0%</w:t>
      </w:r>
      <w:r w:rsidR="00C95F7A"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Figure 4B</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rPr>
          <w:rFonts w:ascii="Book Antiqua" w:eastAsia="SimSun" w:hAnsi="Book Antiqua" w:cs="Times New Roman"/>
          <w:b/>
          <w:color w:val="000000" w:themeColor="text1"/>
          <w:sz w:val="24"/>
          <w:szCs w:val="24"/>
        </w:rPr>
      </w:pPr>
    </w:p>
    <w:p w:rsidR="000157E8" w:rsidRPr="00384046" w:rsidRDefault="000157E8" w:rsidP="00384046">
      <w:pPr>
        <w:spacing w:line="360" w:lineRule="auto"/>
        <w:rPr>
          <w:rFonts w:ascii="Book Antiqua" w:eastAsia="SimSun" w:hAnsi="Book Antiqua" w:cs="Times New Roman"/>
          <w:b/>
          <w:i/>
          <w:color w:val="000000" w:themeColor="text1"/>
          <w:sz w:val="24"/>
          <w:szCs w:val="24"/>
        </w:rPr>
      </w:pPr>
      <w:r w:rsidRPr="00384046">
        <w:rPr>
          <w:rFonts w:ascii="Book Antiqua" w:eastAsia="SimSun" w:hAnsi="Book Antiqua" w:cs="Times New Roman"/>
          <w:b/>
          <w:i/>
          <w:color w:val="000000" w:themeColor="text1"/>
          <w:sz w:val="24"/>
          <w:szCs w:val="24"/>
        </w:rPr>
        <w:t>Toxicities</w:t>
      </w:r>
    </w:p>
    <w:p w:rsidR="000157E8" w:rsidRPr="00384046" w:rsidRDefault="000157E8" w:rsidP="00384046">
      <w:pPr>
        <w:spacing w:line="360" w:lineRule="auto"/>
        <w:rPr>
          <w:rFonts w:ascii="Book Antiqua" w:eastAsia="SimSun" w:hAnsi="Book Antiqua" w:cs="Times New Roman"/>
          <w:color w:val="000000" w:themeColor="text1"/>
          <w:sz w:val="24"/>
          <w:szCs w:val="24"/>
        </w:rPr>
      </w:pPr>
      <w:r w:rsidRPr="00384046">
        <w:rPr>
          <w:rFonts w:ascii="Book Antiqua" w:hAnsi="Book Antiqua" w:cs="Times New Roman"/>
          <w:color w:val="000000" w:themeColor="text1"/>
          <w:sz w:val="24"/>
          <w:szCs w:val="24"/>
        </w:rPr>
        <w:t>We evaluated toxicities between the DCF and ECF groups based on total AEs (all-grade/grade 3-4). In subgroup analysis, we also evaluated the top 10 reported AEs (all-grade/grade 3-4).</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Four studies including 288 patients reported total all-grade AEs. No statistically significant difference was found between the two groups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0.93-1.29, </w:t>
      </w:r>
      <w:r w:rsidR="00831D7E"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0.30), with significant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0.03;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66%</w:t>
      </w:r>
      <w:r w:rsidR="00831D7E"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Figure 5</w:t>
      </w:r>
      <w:r w:rsidRPr="00384046">
        <w:rPr>
          <w:rFonts w:ascii="Book Antiqua" w:hAnsi="Book Antiqua" w:cs="Times New Roman"/>
          <w:color w:val="000000" w:themeColor="text1"/>
          <w:sz w:val="24"/>
          <w:szCs w:val="24"/>
        </w:rPr>
        <w:t xml:space="preserve">). In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subgroup analysis, DCF induced </w:t>
      </w:r>
      <w:r w:rsidRPr="00384046">
        <w:rPr>
          <w:rFonts w:ascii="Book Antiqua" w:eastAsia="SimSun" w:hAnsi="Book Antiqua" w:cs="Times New Roman"/>
          <w:color w:val="000000" w:themeColor="text1"/>
          <w:sz w:val="24"/>
          <w:szCs w:val="24"/>
        </w:rPr>
        <w:t xml:space="preserve">a </w:t>
      </w:r>
      <w:r w:rsidRPr="00384046">
        <w:rPr>
          <w:rFonts w:ascii="Book Antiqua" w:hAnsi="Book Antiqua" w:cs="Times New Roman"/>
          <w:color w:val="000000" w:themeColor="text1"/>
          <w:sz w:val="24"/>
          <w:szCs w:val="24"/>
        </w:rPr>
        <w:t>significantly greater rate of febrile neutropenia than ECF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1.05-4.00, </w:t>
      </w:r>
      <w:r w:rsidR="00831D7E"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0.04). Similar incidence rates of leucopenia, neutropenia, thrombocytopenia, anemia, anorexia, nausea/vomiting, fatigue, diarrhea and stomatitis were found between the two groups.</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Four studies including 288 patients reported total grade 3-4 AEs.</w:t>
      </w:r>
      <w:r w:rsidRPr="00384046">
        <w:rPr>
          <w:rFonts w:ascii="Book Antiqua" w:eastAsia="SimSun" w:hAnsi="Book Antiqua" w:cs="Times New Roman"/>
          <w:color w:val="000000" w:themeColor="text1"/>
          <w:sz w:val="24"/>
          <w:szCs w:val="24"/>
        </w:rPr>
        <w:t xml:space="preserve"> The incidence</w:t>
      </w:r>
      <w:r w:rsidRPr="00384046">
        <w:rPr>
          <w:rFonts w:ascii="Book Antiqua" w:hAnsi="Book Antiqua" w:cs="Times New Roman"/>
          <w:color w:val="000000" w:themeColor="text1"/>
          <w:sz w:val="24"/>
          <w:szCs w:val="24"/>
        </w:rPr>
        <w:t xml:space="preserve"> rate of grade 3-4 AEs was significantly greater in</w:t>
      </w:r>
      <w:r w:rsidRPr="00384046">
        <w:rPr>
          <w:rFonts w:ascii="Book Antiqua" w:eastAsia="SimSun"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DCF group than that in the ECF group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1.16-1.88, </w:t>
      </w:r>
      <w:r w:rsidR="00831D7E" w:rsidRPr="00384046">
        <w:rPr>
          <w:rFonts w:ascii="Book Antiqua" w:hAnsi="Book Antiqua" w:cs="Times New Roman"/>
          <w:i/>
          <w:color w:val="000000" w:themeColor="text1"/>
          <w:sz w:val="24"/>
          <w:szCs w:val="24"/>
        </w:rPr>
        <w:t>P</w:t>
      </w:r>
      <w:r w:rsidR="00831D7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 with significant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0.07;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57%</w:t>
      </w:r>
      <w:r w:rsidR="00831D7E"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Figure</w:t>
      </w:r>
      <w:r w:rsidR="00D01ACF" w:rsidRPr="00384046">
        <w:rPr>
          <w:rFonts w:ascii="Book Antiqua" w:hAnsi="Book Antiqua" w:cs="Times New Roman"/>
          <w:color w:val="000000" w:themeColor="text1"/>
          <w:sz w:val="24"/>
          <w:szCs w:val="24"/>
        </w:rPr>
        <w:t xml:space="preserve"> </w:t>
      </w:r>
      <w:r w:rsidR="00DD330A" w:rsidRPr="00384046">
        <w:rPr>
          <w:rFonts w:ascii="Book Antiqua" w:eastAsia="SimSun" w:hAnsi="Book Antiqua" w:cs="Times New Roman"/>
          <w:color w:val="000000" w:themeColor="text1"/>
          <w:sz w:val="24"/>
          <w:szCs w:val="24"/>
        </w:rPr>
        <w:t>6</w:t>
      </w:r>
      <w:r w:rsidRPr="00384046">
        <w:rPr>
          <w:rFonts w:ascii="Book Antiqua" w:hAnsi="Book Antiqua" w:cs="Times New Roman"/>
          <w:color w:val="000000" w:themeColor="text1"/>
          <w:sz w:val="24"/>
          <w:szCs w:val="24"/>
        </w:rPr>
        <w:t>). In</w:t>
      </w:r>
      <w:r w:rsidRPr="00384046">
        <w:rPr>
          <w:rFonts w:ascii="Book Antiqua" w:eastAsia="SimSun"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subgroup analysis, compared to ECF, DCF </w:t>
      </w:r>
      <w:r w:rsidRPr="00384046">
        <w:rPr>
          <w:rFonts w:ascii="Book Antiqua" w:hAnsi="Book Antiqua" w:cs="Times New Roman"/>
          <w:color w:val="000000" w:themeColor="text1"/>
          <w:sz w:val="24"/>
          <w:szCs w:val="24"/>
        </w:rPr>
        <w:lastRenderedPageBreak/>
        <w:t xml:space="preserve">induced </w:t>
      </w:r>
      <w:r w:rsidRPr="00384046">
        <w:rPr>
          <w:rFonts w:ascii="Book Antiqua" w:eastAsia="SimSun" w:hAnsi="Book Antiqua" w:cs="Times New Roman"/>
          <w:color w:val="000000" w:themeColor="text1"/>
          <w:sz w:val="24"/>
          <w:szCs w:val="24"/>
        </w:rPr>
        <w:t xml:space="preserve">a </w:t>
      </w:r>
      <w:r w:rsidRPr="00384046">
        <w:rPr>
          <w:rFonts w:ascii="Book Antiqua" w:hAnsi="Book Antiqua" w:cs="Times New Roman"/>
          <w:color w:val="000000" w:themeColor="text1"/>
          <w:sz w:val="24"/>
          <w:szCs w:val="24"/>
        </w:rPr>
        <w:t>significantly greater rate of neutropenia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1.25-2.16, </w:t>
      </w:r>
      <w:r w:rsidR="0028138F" w:rsidRPr="00384046">
        <w:rPr>
          <w:rFonts w:ascii="Book Antiqua" w:hAnsi="Book Antiqua" w:cs="Times New Roman"/>
          <w:i/>
          <w:color w:val="000000" w:themeColor="text1"/>
          <w:sz w:val="24"/>
          <w:szCs w:val="24"/>
        </w:rPr>
        <w:t>P</w:t>
      </w:r>
      <w:r w:rsidR="0028138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0.0003) and febrile neutropenia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1.17-4.12, </w:t>
      </w:r>
      <w:r w:rsidR="0028138F" w:rsidRPr="00384046">
        <w:rPr>
          <w:rFonts w:ascii="Book Antiqua" w:hAnsi="Book Antiqua" w:cs="Times New Roman"/>
          <w:i/>
          <w:color w:val="000000" w:themeColor="text1"/>
          <w:sz w:val="24"/>
          <w:szCs w:val="24"/>
        </w:rPr>
        <w:t>P</w:t>
      </w:r>
      <w:r w:rsidR="0028138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0.01). Similar incidence rates of leucopenia, anemia, anorexia, nausea/vomiting, fatigue, diarrhea, stomatitis and paraesthesia were found between the two groups.</w:t>
      </w:r>
    </w:p>
    <w:p w:rsidR="000157E8" w:rsidRPr="00384046" w:rsidRDefault="000157E8" w:rsidP="00384046">
      <w:pPr>
        <w:spacing w:line="360" w:lineRule="auto"/>
        <w:rPr>
          <w:rFonts w:ascii="Book Antiqua" w:hAnsi="Book Antiqua" w:cs="Times New Roman"/>
          <w:color w:val="000000" w:themeColor="text1"/>
          <w:sz w:val="24"/>
          <w:szCs w:val="24"/>
        </w:rPr>
      </w:pPr>
    </w:p>
    <w:p w:rsidR="000157E8" w:rsidRPr="00384046" w:rsidRDefault="000157E8" w:rsidP="00384046">
      <w:pPr>
        <w:spacing w:line="360" w:lineRule="auto"/>
        <w:rPr>
          <w:rFonts w:ascii="Book Antiqua" w:hAnsi="Book Antiqua" w:cs="Times New Roman"/>
          <w:b/>
          <w:i/>
          <w:color w:val="000000" w:themeColor="text1"/>
          <w:sz w:val="24"/>
          <w:szCs w:val="24"/>
        </w:rPr>
      </w:pPr>
      <w:r w:rsidRPr="00384046">
        <w:rPr>
          <w:rFonts w:ascii="Book Antiqua" w:hAnsi="Book Antiqua" w:cs="Times New Roman"/>
          <w:b/>
          <w:i/>
          <w:color w:val="000000" w:themeColor="text1"/>
          <w:sz w:val="24"/>
          <w:szCs w:val="24"/>
        </w:rPr>
        <w:t xml:space="preserve">Sensitivity analysis and </w:t>
      </w:r>
      <w:r w:rsidRPr="00384046">
        <w:rPr>
          <w:rFonts w:ascii="Book Antiqua" w:eastAsia="SimSun" w:hAnsi="Book Antiqua" w:cs="Times New Roman"/>
          <w:b/>
          <w:i/>
          <w:color w:val="000000" w:themeColor="text1"/>
          <w:sz w:val="24"/>
          <w:szCs w:val="24"/>
        </w:rPr>
        <w:t>publication</w:t>
      </w:r>
      <w:r w:rsidRPr="00384046">
        <w:rPr>
          <w:rFonts w:ascii="Book Antiqua" w:hAnsi="Book Antiqua" w:cs="Times New Roman"/>
          <w:b/>
          <w:i/>
          <w:color w:val="000000" w:themeColor="text1"/>
          <w:sz w:val="24"/>
          <w:szCs w:val="24"/>
        </w:rPr>
        <w:t xml:space="preserve"> bias</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In the analysis of PFS and total AEs (all-grade/grade 3-4), our results showed significant heterogeneity. We exclude a single study to evaluate the impact of the study on the pooled results. The results suggested that the outcomes of PFS, all-grade AEs and grade 3-4 AEs were stable and reliable (Figure</w:t>
      </w:r>
      <w:r w:rsidR="00DD330A" w:rsidRPr="00384046">
        <w:rPr>
          <w:rFonts w:ascii="Book Antiqua" w:hAnsi="Book Antiqua" w:cs="Times New Roman"/>
          <w:color w:val="000000" w:themeColor="text1"/>
          <w:sz w:val="24"/>
          <w:szCs w:val="24"/>
        </w:rPr>
        <w:t xml:space="preserve"> 7</w:t>
      </w:r>
      <w:r w:rsidRPr="00384046">
        <w:rPr>
          <w:rFonts w:ascii="Book Antiqua" w:hAnsi="Book Antiqua" w:cs="Times New Roman"/>
          <w:color w:val="000000" w:themeColor="text1"/>
          <w:sz w:val="24"/>
          <w:szCs w:val="24"/>
        </w:rPr>
        <w:t>). The results of Begg’s test and Egger’s tests were as follows: ORR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 0.548;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w:t>
      </w:r>
      <w:r w:rsidR="00EC1089" w:rsidRPr="00384046">
        <w:rPr>
          <w:rFonts w:ascii="Book Antiqua" w:hAnsi="Book Antiqua" w:cs="Times New Roman"/>
          <w:color w:val="000000" w:themeColor="text1"/>
          <w:sz w:val="24"/>
          <w:szCs w:val="24"/>
        </w:rPr>
        <w:t>491</w:t>
      </w:r>
      <w:r w:rsidRPr="00384046">
        <w:rPr>
          <w:rFonts w:ascii="Book Antiqua" w:hAnsi="Book Antiqua" w:cs="Times New Roman"/>
          <w:color w:val="000000" w:themeColor="text1"/>
          <w:sz w:val="24"/>
          <w:szCs w:val="24"/>
        </w:rPr>
        <w:t>, Figure</w:t>
      </w:r>
      <w:r w:rsidR="00D01ACF" w:rsidRPr="00384046">
        <w:rPr>
          <w:rFonts w:ascii="Book Antiqua" w:hAnsi="Book Antiqua" w:cs="Times New Roman"/>
          <w:color w:val="000000" w:themeColor="text1"/>
          <w:sz w:val="24"/>
          <w:szCs w:val="24"/>
        </w:rPr>
        <w:t xml:space="preserve"> </w:t>
      </w:r>
      <w:r w:rsidR="00DD330A" w:rsidRPr="00384046">
        <w:rPr>
          <w:rFonts w:ascii="Book Antiqua" w:hAnsi="Book Antiqua" w:cs="Times New Roman"/>
          <w:color w:val="000000" w:themeColor="text1"/>
          <w:sz w:val="24"/>
          <w:szCs w:val="24"/>
        </w:rPr>
        <w:t>8</w:t>
      </w:r>
      <w:r w:rsidRPr="00384046">
        <w:rPr>
          <w:rFonts w:ascii="Book Antiqua" w:hAnsi="Book Antiqua" w:cs="Times New Roman"/>
          <w:color w:val="000000" w:themeColor="text1"/>
          <w:sz w:val="24"/>
          <w:szCs w:val="24"/>
        </w:rPr>
        <w:t>A)</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PFS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 0.089;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0.155, Figure</w:t>
      </w:r>
      <w:r w:rsidR="00D01ACF" w:rsidRPr="00384046">
        <w:rPr>
          <w:rFonts w:ascii="Book Antiqua" w:hAnsi="Book Antiqua" w:cs="Times New Roman"/>
          <w:color w:val="000000" w:themeColor="text1"/>
          <w:sz w:val="24"/>
          <w:szCs w:val="24"/>
        </w:rPr>
        <w:t xml:space="preserve"> </w:t>
      </w:r>
      <w:r w:rsidR="00DD330A" w:rsidRPr="00384046">
        <w:rPr>
          <w:rFonts w:ascii="Book Antiqua" w:hAnsi="Book Antiqua" w:cs="Times New Roman"/>
          <w:color w:val="000000" w:themeColor="text1"/>
          <w:sz w:val="24"/>
          <w:szCs w:val="24"/>
        </w:rPr>
        <w:t>8</w:t>
      </w:r>
      <w:r w:rsidRPr="00384046">
        <w:rPr>
          <w:rFonts w:ascii="Book Antiqua" w:hAnsi="Book Antiqua" w:cs="Times New Roman"/>
          <w:color w:val="000000" w:themeColor="text1"/>
          <w:sz w:val="24"/>
          <w:szCs w:val="24"/>
        </w:rPr>
        <w:t>B) and OS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 0.806;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0.481, Figure</w:t>
      </w:r>
      <w:r w:rsidR="00D01ACF" w:rsidRPr="00384046">
        <w:rPr>
          <w:rFonts w:ascii="Book Antiqua" w:hAnsi="Book Antiqua" w:cs="Times New Roman"/>
          <w:color w:val="000000" w:themeColor="text1"/>
          <w:sz w:val="24"/>
          <w:szCs w:val="24"/>
        </w:rPr>
        <w:t xml:space="preserve"> </w:t>
      </w:r>
      <w:r w:rsidR="00DD330A" w:rsidRPr="00384046">
        <w:rPr>
          <w:rFonts w:ascii="Book Antiqua" w:hAnsi="Book Antiqua" w:cs="Times New Roman"/>
          <w:color w:val="000000" w:themeColor="text1"/>
          <w:sz w:val="24"/>
          <w:szCs w:val="24"/>
        </w:rPr>
        <w:t>8</w:t>
      </w:r>
      <w:r w:rsidRPr="00384046">
        <w:rPr>
          <w:rFonts w:ascii="Book Antiqua" w:hAnsi="Book Antiqua" w:cs="Times New Roman"/>
          <w:color w:val="000000" w:themeColor="text1"/>
          <w:sz w:val="24"/>
          <w:szCs w:val="24"/>
        </w:rPr>
        <w:t>C). There was no evidence to</w:t>
      </w:r>
      <w:r w:rsidR="00035A03"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identify </w:t>
      </w:r>
      <w:r w:rsidRPr="00384046">
        <w:rPr>
          <w:rFonts w:ascii="Book Antiqua" w:hAnsi="Book Antiqua" w:cs="Times New Roman"/>
          <w:color w:val="000000" w:themeColor="text1"/>
          <w:sz w:val="24"/>
          <w:szCs w:val="24"/>
        </w:rPr>
        <w:t>significant</w:t>
      </w:r>
      <w:r w:rsidRPr="00384046">
        <w:rPr>
          <w:rFonts w:ascii="Book Antiqua" w:eastAsia="SimSun" w:hAnsi="Book Antiqua" w:cs="Times New Roman"/>
          <w:color w:val="000000" w:themeColor="text1"/>
          <w:sz w:val="24"/>
          <w:szCs w:val="24"/>
        </w:rPr>
        <w:t xml:space="preserve"> publication bias</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rPr>
          <w:rFonts w:ascii="Book Antiqua" w:hAnsi="Book Antiqua" w:cs="Times New Roman"/>
          <w:color w:val="000000" w:themeColor="text1"/>
          <w:sz w:val="24"/>
          <w:szCs w:val="24"/>
        </w:rPr>
      </w:pPr>
    </w:p>
    <w:p w:rsidR="000157E8" w:rsidRPr="00384046" w:rsidRDefault="007175D9" w:rsidP="00384046">
      <w:pPr>
        <w:spacing w:line="360" w:lineRule="auto"/>
        <w:rPr>
          <w:rFonts w:ascii="Book Antiqua" w:eastAsia="SimSun"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t>DISCUSSION</w:t>
      </w:r>
    </w:p>
    <w:p w:rsidR="000157E8" w:rsidRPr="00384046" w:rsidRDefault="000157E8" w:rsidP="00384046">
      <w:pPr>
        <w:pStyle w:val="EndNoteBibliography"/>
        <w:spacing w:line="360" w:lineRule="auto"/>
        <w:rPr>
          <w:rFonts w:ascii="Book Antiqua" w:hAnsi="Book Antiqua"/>
          <w:noProof w:val="0"/>
          <w:color w:val="000000" w:themeColor="text1"/>
          <w:sz w:val="24"/>
          <w:szCs w:val="24"/>
        </w:rPr>
      </w:pPr>
      <w:r w:rsidRPr="00384046">
        <w:rPr>
          <w:rFonts w:ascii="Book Antiqua" w:hAnsi="Book Antiqua"/>
          <w:noProof w:val="0"/>
          <w:color w:val="000000" w:themeColor="text1"/>
          <w:sz w:val="24"/>
          <w:szCs w:val="24"/>
        </w:rPr>
        <w:t>Gastric cancer is still a worldwide malignant tumor with a high mortality rate</w:t>
      </w:r>
      <w:r w:rsidRPr="00384046">
        <w:rPr>
          <w:rFonts w:ascii="Book Antiqua" w:hAnsi="Book Antiqua"/>
          <w:noProof w:val="0"/>
          <w:color w:val="000000" w:themeColor="text1"/>
          <w:sz w:val="24"/>
          <w:szCs w:val="24"/>
          <w:vertAlign w:val="superscript"/>
        </w:rPr>
        <w:t>[20]</w:t>
      </w:r>
      <w:r w:rsidRPr="00384046">
        <w:rPr>
          <w:rFonts w:ascii="Book Antiqua" w:hAnsi="Book Antiqua"/>
          <w:noProof w:val="0"/>
          <w:color w:val="000000" w:themeColor="text1"/>
          <w:sz w:val="24"/>
          <w:szCs w:val="24"/>
        </w:rPr>
        <w:t>. At present, since screening gastric cancer is difficult to popularize, most patients are in an advanced stage and have lost the chance of radical operation when diagnosed</w:t>
      </w:r>
      <w:r w:rsidRPr="00384046">
        <w:rPr>
          <w:rFonts w:ascii="Book Antiqua" w:hAnsi="Book Antiqua"/>
          <w:noProof w:val="0"/>
          <w:color w:val="000000" w:themeColor="text1"/>
          <w:sz w:val="24"/>
          <w:szCs w:val="24"/>
          <w:vertAlign w:val="superscript"/>
        </w:rPr>
        <w:t>[21]</w:t>
      </w:r>
      <w:r w:rsidRPr="00384046">
        <w:rPr>
          <w:rFonts w:ascii="Book Antiqua" w:hAnsi="Book Antiqua"/>
          <w:noProof w:val="0"/>
          <w:color w:val="000000" w:themeColor="text1"/>
          <w:sz w:val="24"/>
          <w:szCs w:val="24"/>
        </w:rPr>
        <w:t>. Even if the tumors can be excised, there is a great chance of local recurrence after the operation</w:t>
      </w:r>
      <w:r w:rsidRPr="00384046">
        <w:rPr>
          <w:rFonts w:ascii="Book Antiqua" w:hAnsi="Book Antiqua"/>
          <w:noProof w:val="0"/>
          <w:color w:val="000000" w:themeColor="text1"/>
          <w:sz w:val="24"/>
          <w:szCs w:val="24"/>
          <w:vertAlign w:val="superscript"/>
        </w:rPr>
        <w:t>[22]</w:t>
      </w:r>
      <w:r w:rsidRPr="00384046">
        <w:rPr>
          <w:rFonts w:ascii="Book Antiqua" w:hAnsi="Book Antiqua"/>
          <w:noProof w:val="0"/>
          <w:color w:val="000000" w:themeColor="text1"/>
          <w:sz w:val="24"/>
          <w:szCs w:val="24"/>
        </w:rPr>
        <w:t>.</w:t>
      </w:r>
      <w:r w:rsidRPr="00384046">
        <w:rPr>
          <w:rFonts w:ascii="Book Antiqua" w:eastAsiaTheme="minorEastAsia" w:hAnsi="Book Antiqua"/>
          <w:noProof w:val="0"/>
          <w:color w:val="000000" w:themeColor="text1"/>
          <w:sz w:val="24"/>
          <w:szCs w:val="24"/>
        </w:rPr>
        <w:t xml:space="preserve"> </w:t>
      </w:r>
      <w:r w:rsidR="00FF4C6E" w:rsidRPr="00384046">
        <w:rPr>
          <w:rFonts w:ascii="Book Antiqua" w:hAnsi="Book Antiqua"/>
          <w:noProof w:val="0"/>
          <w:color w:val="000000" w:themeColor="text1"/>
          <w:sz w:val="24"/>
          <w:szCs w:val="24"/>
        </w:rPr>
        <w:t>Cisplatin-based combinations [</w:t>
      </w:r>
      <w:r w:rsidRPr="00384046">
        <w:rPr>
          <w:rFonts w:ascii="Book Antiqua" w:hAnsi="Book Antiqua"/>
          <w:noProof w:val="0"/>
          <w:color w:val="000000" w:themeColor="text1"/>
          <w:sz w:val="24"/>
          <w:szCs w:val="24"/>
        </w:rPr>
        <w:t xml:space="preserve">particularly </w:t>
      </w:r>
      <w:r w:rsidR="00FF4C6E" w:rsidRPr="00384046">
        <w:rPr>
          <w:rFonts w:ascii="Book Antiqua" w:hAnsi="Book Antiqua"/>
          <w:noProof w:val="0"/>
          <w:color w:val="000000" w:themeColor="text1"/>
          <w:sz w:val="24"/>
          <w:szCs w:val="24"/>
        </w:rPr>
        <w:t>cisplatin and 5-fluorouracil (CF)]</w:t>
      </w:r>
      <w:r w:rsidRPr="00384046">
        <w:rPr>
          <w:rFonts w:ascii="Book Antiqua" w:hAnsi="Book Antiqua"/>
          <w:noProof w:val="0"/>
          <w:color w:val="000000" w:themeColor="text1"/>
          <w:sz w:val="24"/>
          <w:szCs w:val="24"/>
        </w:rPr>
        <w:t xml:space="preserve"> have been recognized as one of the preferred</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regimens for advanced gastric cancer. As improved regimens,</w:t>
      </w:r>
      <w:r w:rsidRPr="00384046">
        <w:rPr>
          <w:rFonts w:ascii="Book Antiqua" w:eastAsiaTheme="minorEastAsia" w:hAnsi="Book Antiqua"/>
          <w:noProof w:val="0"/>
          <w:color w:val="000000" w:themeColor="text1"/>
          <w:sz w:val="24"/>
          <w:szCs w:val="24"/>
        </w:rPr>
        <w:t xml:space="preserve"> </w:t>
      </w:r>
      <w:r w:rsidR="00026FB3" w:rsidRPr="00384046">
        <w:rPr>
          <w:rFonts w:ascii="Book Antiqua" w:hAnsi="Book Antiqua"/>
          <w:noProof w:val="0"/>
          <w:color w:val="000000" w:themeColor="text1"/>
          <w:sz w:val="24"/>
          <w:szCs w:val="24"/>
        </w:rPr>
        <w:t>both DCF</w:t>
      </w:r>
      <w:r w:rsidRPr="00384046">
        <w:rPr>
          <w:rFonts w:ascii="Book Antiqua" w:hAnsi="Book Antiqua"/>
          <w:noProof w:val="0"/>
          <w:color w:val="000000" w:themeColor="text1"/>
          <w:sz w:val="24"/>
          <w:szCs w:val="24"/>
        </w:rPr>
        <w:t xml:space="preserve"> and </w:t>
      </w:r>
      <w:r w:rsidR="00026FB3" w:rsidRPr="00384046">
        <w:rPr>
          <w:rFonts w:ascii="Book Antiqua" w:hAnsi="Book Antiqua"/>
          <w:noProof w:val="0"/>
          <w:color w:val="000000" w:themeColor="text1"/>
          <w:sz w:val="24"/>
          <w:szCs w:val="24"/>
        </w:rPr>
        <w:t>ECF</w:t>
      </w:r>
      <w:r w:rsidRPr="00384046">
        <w:rPr>
          <w:rFonts w:ascii="Book Antiqua" w:hAnsi="Book Antiqua"/>
          <w:noProof w:val="0"/>
          <w:color w:val="000000" w:themeColor="text1"/>
          <w:sz w:val="24"/>
          <w:szCs w:val="24"/>
        </w:rPr>
        <w:t xml:space="preserve"> regimens are superior to CF</w:t>
      </w:r>
      <w:r w:rsidRPr="00384046">
        <w:rPr>
          <w:rFonts w:ascii="Book Antiqua" w:hAnsi="Book Antiqua"/>
          <w:noProof w:val="0"/>
          <w:color w:val="000000" w:themeColor="text1"/>
          <w:sz w:val="24"/>
          <w:szCs w:val="24"/>
          <w:vertAlign w:val="superscript"/>
        </w:rPr>
        <w:t>[23,24]</w:t>
      </w:r>
      <w:r w:rsidRPr="00384046">
        <w:rPr>
          <w:rFonts w:ascii="Book Antiqua" w:hAnsi="Book Antiqua"/>
          <w:noProof w:val="0"/>
          <w:color w:val="000000" w:themeColor="text1"/>
          <w:sz w:val="24"/>
          <w:szCs w:val="24"/>
        </w:rPr>
        <w:t>.</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 xml:space="preserve">This study is the first meta-analysis to </w:t>
      </w:r>
      <w:r w:rsidRPr="00384046">
        <w:rPr>
          <w:rFonts w:ascii="Book Antiqua" w:hAnsi="Book Antiqua"/>
          <w:noProof w:val="0"/>
          <w:color w:val="000000" w:themeColor="text1"/>
          <w:sz w:val="24"/>
          <w:szCs w:val="24"/>
        </w:rPr>
        <w:lastRenderedPageBreak/>
        <w:t>compare DCF and ECF regimens for advanced gastric cancer. The results showed that PFS, OS and total AEs</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between the DCF and ECF groups</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were comparable. The</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DCF group was significantly better in</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terms of ORR and DCR than the ECF group. However, the incidence rate of grade 3-4 AEs was also greater</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in the DCF group than that in the ECF group, especially for neutropenia and febrile neutropenia.</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 xml:space="preserve">From </w:t>
      </w:r>
      <w:r w:rsidRPr="00384046">
        <w:rPr>
          <w:rFonts w:ascii="Book Antiqua" w:hAnsi="Book Antiqua" w:cs="Times New Roman"/>
          <w:color w:val="000000" w:themeColor="text1"/>
          <w:sz w:val="24"/>
          <w:szCs w:val="24"/>
        </w:rPr>
        <w:t>our results</w:t>
      </w:r>
      <w:r w:rsidRPr="00384046">
        <w:rPr>
          <w:rFonts w:ascii="Book Antiqua" w:eastAsia="SimSun" w:hAnsi="Book Antiqua" w:cs="Times New Roman"/>
          <w:color w:val="000000" w:themeColor="text1"/>
          <w:sz w:val="24"/>
          <w:szCs w:val="24"/>
        </w:rPr>
        <w:t>, 4 studies</w:t>
      </w:r>
      <w:r w:rsidRPr="00384046">
        <w:rPr>
          <w:rFonts w:ascii="Book Antiqua" w:eastAsia="SimSun" w:hAnsi="Book Antiqua" w:cs="Times New Roman"/>
          <w:color w:val="000000" w:themeColor="text1"/>
          <w:sz w:val="24"/>
          <w:szCs w:val="24"/>
          <w:vertAlign w:val="superscript"/>
        </w:rPr>
        <w:t>[9,10,12,19]</w:t>
      </w:r>
      <w:r w:rsidRPr="00384046">
        <w:rPr>
          <w:rFonts w:ascii="Book Antiqua" w:eastAsia="SimSun" w:hAnsi="Book Antiqua" w:cs="Times New Roman"/>
          <w:color w:val="000000" w:themeColor="text1"/>
          <w:sz w:val="24"/>
          <w:szCs w:val="24"/>
        </w:rPr>
        <w:t xml:space="preserve"> showed that DCF significantly prolongs the OS of patients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compared with ECF, and 3 studies</w:t>
      </w:r>
      <w:r w:rsidRPr="00384046">
        <w:rPr>
          <w:rFonts w:ascii="Book Antiqua" w:eastAsia="SimSun" w:hAnsi="Book Antiqua" w:cs="Times New Roman"/>
          <w:color w:val="000000" w:themeColor="text1"/>
          <w:sz w:val="24"/>
          <w:szCs w:val="24"/>
          <w:vertAlign w:val="superscript"/>
        </w:rPr>
        <w:t>[8,9,19]</w:t>
      </w:r>
      <w:r w:rsidRPr="00384046">
        <w:rPr>
          <w:rFonts w:ascii="Book Antiqua" w:eastAsia="SimSun" w:hAnsi="Book Antiqua" w:cs="Times New Roman"/>
          <w:color w:val="000000" w:themeColor="text1"/>
          <w:sz w:val="24"/>
          <w:szCs w:val="24"/>
        </w:rPr>
        <w:t xml:space="preserve"> showed that DCF significantly prolongs the PFS of patients compared with ECF.</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The results were beneficial to the translation of OS and PFS from the DCF regimen to the pooled median survival time of approximately 1 </w:t>
      </w:r>
      <w:r w:rsidR="00B4384A" w:rsidRPr="00384046">
        <w:rPr>
          <w:rFonts w:ascii="Book Antiqua" w:eastAsia="SimSun" w:hAnsi="Book Antiqua" w:cs="Times New Roman"/>
          <w:color w:val="000000" w:themeColor="text1"/>
          <w:sz w:val="24"/>
          <w:szCs w:val="24"/>
        </w:rPr>
        <w:t>mo</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However, no significant differences were found in OS and PFS between the two groups. </w:t>
      </w:r>
      <w:r w:rsidRPr="00384046">
        <w:rPr>
          <w:rFonts w:ascii="Book Antiqua" w:eastAsia="SimSun" w:hAnsi="Book Antiqua" w:cs="Times New Roman"/>
          <w:color w:val="000000" w:themeColor="text1"/>
          <w:sz w:val="24"/>
          <w:szCs w:val="24"/>
        </w:rPr>
        <w:t>Compared to non</w:t>
      </w:r>
      <w:r w:rsidRPr="00384046">
        <w:rPr>
          <w:rFonts w:ascii="Book Antiqua" w:hAnsi="Book Antiqua" w:cs="Times New Roman"/>
          <w:color w:val="000000" w:themeColor="text1"/>
          <w:sz w:val="24"/>
          <w:szCs w:val="24"/>
        </w:rPr>
        <w:t>-</w:t>
      </w:r>
      <w:r w:rsidRPr="00384046">
        <w:rPr>
          <w:rFonts w:ascii="Book Antiqua" w:eastAsia="SimSun" w:hAnsi="Book Antiqua" w:cs="Times New Roman"/>
          <w:color w:val="000000" w:themeColor="text1"/>
          <w:sz w:val="24"/>
          <w:szCs w:val="24"/>
        </w:rPr>
        <w:t>docetaxel-containing regimens, Wagner</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found that the results in OS and PFS might be extended slightly or without any difference</w:t>
      </w:r>
      <w:r w:rsidRPr="00384046">
        <w:rPr>
          <w:rFonts w:ascii="Book Antiqua" w:hAnsi="Book Antiqua" w:cs="Times New Roman"/>
          <w:color w:val="000000" w:themeColor="text1"/>
          <w:sz w:val="24"/>
          <w:szCs w:val="24"/>
          <w:vertAlign w:val="superscript"/>
        </w:rPr>
        <w:t>[25]</w:t>
      </w:r>
      <w:r w:rsidRPr="00384046">
        <w:rPr>
          <w:rFonts w:ascii="Book Antiqua" w:hAnsi="Book Antiqua" w:cs="Times New Roman"/>
          <w:color w:val="000000" w:themeColor="text1"/>
          <w:sz w:val="24"/>
          <w:szCs w:val="24"/>
        </w:rPr>
        <w:t xml:space="preserve">. Furthermore, the advantages of trivalent regimens containing docetaxel (DCF, FLO-T) might be offset by increased toxicity. </w:t>
      </w:r>
      <w:r w:rsidRPr="00384046">
        <w:rPr>
          <w:rFonts w:ascii="Book Antiqua" w:eastAsia="SimSun" w:hAnsi="Book Antiqua" w:cs="Times New Roman"/>
          <w:color w:val="000000" w:themeColor="text1"/>
          <w:sz w:val="24"/>
          <w:szCs w:val="24"/>
        </w:rPr>
        <w:t>Although our results did not show significant differences, it was possible that both regimens were effective in the treatment of advanced gastric cancer, probably because of the small number of cases.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We looked forward to a larger scale of related research.</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Our results show a</w:t>
      </w:r>
      <w:r w:rsidRPr="00384046">
        <w:rPr>
          <w:rFonts w:ascii="Book Antiqua" w:eastAsia="SimSun" w:hAnsi="Book Antiqua" w:cs="Times New Roman"/>
          <w:color w:val="000000" w:themeColor="text1"/>
          <w:sz w:val="24"/>
          <w:szCs w:val="24"/>
        </w:rPr>
        <w:t xml:space="preserve">n </w:t>
      </w:r>
      <w:r w:rsidRPr="00384046">
        <w:rPr>
          <w:rFonts w:ascii="Book Antiqua" w:hAnsi="Book Antiqua" w:cs="Times New Roman"/>
          <w:color w:val="000000" w:themeColor="text1"/>
          <w:sz w:val="24"/>
          <w:szCs w:val="24"/>
        </w:rPr>
        <w:t>advantage in</w:t>
      </w:r>
      <w:r w:rsidRPr="00384046">
        <w:rPr>
          <w:rFonts w:ascii="Book Antiqua" w:eastAsia="SimSun"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improvement of ORR and DCR in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DCF group. </w:t>
      </w:r>
      <w:r w:rsidRPr="00384046">
        <w:rPr>
          <w:rFonts w:ascii="Book Antiqua" w:eastAsia="SimSun" w:hAnsi="Book Antiqua" w:cs="Times New Roman"/>
          <w:color w:val="000000" w:themeColor="text1"/>
          <w:sz w:val="24"/>
          <w:szCs w:val="24"/>
        </w:rPr>
        <w:t xml:space="preserve">Only </w:t>
      </w:r>
      <w:r w:rsidRPr="00384046">
        <w:rPr>
          <w:rFonts w:ascii="Book Antiqua" w:hAnsi="Book Antiqua" w:cs="Times New Roman"/>
          <w:color w:val="000000" w:themeColor="text1"/>
          <w:sz w:val="24"/>
          <w:szCs w:val="24"/>
        </w:rPr>
        <w:t>one study</w:t>
      </w:r>
      <w:r w:rsidRPr="00384046">
        <w:rPr>
          <w:rFonts w:ascii="Book Antiqua" w:hAnsi="Book Antiqua" w:cs="Times New Roman"/>
          <w:color w:val="000000" w:themeColor="text1"/>
          <w:sz w:val="24"/>
          <w:szCs w:val="24"/>
          <w:vertAlign w:val="superscript"/>
        </w:rPr>
        <w:t>[12]</w:t>
      </w:r>
      <w:r w:rsidRPr="00384046">
        <w:rPr>
          <w:rFonts w:ascii="Book Antiqua" w:hAnsi="Book Antiqua" w:cs="Times New Roman"/>
          <w:color w:val="000000" w:themeColor="text1"/>
          <w:sz w:val="24"/>
          <w:szCs w:val="24"/>
        </w:rPr>
        <w:t xml:space="preserve"> showed that the ORR of</w:t>
      </w:r>
      <w:r w:rsidRPr="00384046">
        <w:rPr>
          <w:rFonts w:ascii="Book Antiqua" w:eastAsia="SimSun"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DCF group was lower than that of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ECF group (26.2% </w:t>
      </w:r>
      <w:r w:rsidRPr="00384046">
        <w:rPr>
          <w:rFonts w:ascii="Book Antiqua" w:hAnsi="Book Antiqua" w:cs="Times New Roman"/>
          <w:i/>
          <w:color w:val="000000" w:themeColor="text1"/>
          <w:sz w:val="24"/>
          <w:szCs w:val="24"/>
        </w:rPr>
        <w:t>vs</w:t>
      </w:r>
      <w:r w:rsidRPr="00384046">
        <w:rPr>
          <w:rFonts w:ascii="Book Antiqua" w:hAnsi="Book Antiqua" w:cs="Times New Roman"/>
          <w:color w:val="000000" w:themeColor="text1"/>
          <w:sz w:val="24"/>
          <w:szCs w:val="24"/>
        </w:rPr>
        <w:t xml:space="preserve"> 29.5%, respectively). </w:t>
      </w:r>
      <w:r w:rsidR="00090EA1" w:rsidRPr="00384046">
        <w:rPr>
          <w:rFonts w:ascii="Book Antiqua" w:eastAsia="SimSun" w:hAnsi="Book Antiqua" w:cs="Times New Roman"/>
          <w:color w:val="000000" w:themeColor="text1"/>
          <w:sz w:val="24"/>
          <w:szCs w:val="24"/>
        </w:rPr>
        <w:t>These results might be because docetaxel had better efficacy, and the patient's response to this drug was relatively high. Its curative effect is largely related to its mechanism of action.</w:t>
      </w:r>
      <w:r w:rsidR="00090EA1" w:rsidRPr="00384046">
        <w:rPr>
          <w:rFonts w:ascii="Book Antiqua" w:hAnsi="Book Antiqua"/>
          <w:color w:val="000000" w:themeColor="text1"/>
          <w:sz w:val="24"/>
          <w:szCs w:val="24"/>
        </w:rPr>
        <w:t xml:space="preserve"> </w:t>
      </w:r>
      <w:r w:rsidR="00090EA1" w:rsidRPr="00384046">
        <w:rPr>
          <w:rFonts w:ascii="Book Antiqua" w:eastAsia="SimSun" w:hAnsi="Book Antiqua" w:cs="Times New Roman"/>
          <w:color w:val="000000" w:themeColor="text1"/>
          <w:sz w:val="24"/>
          <w:szCs w:val="24"/>
        </w:rPr>
        <w:t xml:space="preserve">Docetaxel is a taxane compound discovered in the 1990s. It mainly enhances tubulin aggregation and inhibits microtubule </w:t>
      </w:r>
      <w:r w:rsidR="00090EA1" w:rsidRPr="00384046">
        <w:rPr>
          <w:rFonts w:ascii="Book Antiqua" w:eastAsia="SimSun" w:hAnsi="Book Antiqua" w:cs="Times New Roman"/>
          <w:color w:val="000000" w:themeColor="text1"/>
          <w:sz w:val="24"/>
          <w:szCs w:val="24"/>
        </w:rPr>
        <w:lastRenderedPageBreak/>
        <w:t xml:space="preserve">depolymerization, leading to the formation of stable non-functional microtubule bundles, thus destroying the mitosis of cancer cells to achieve anti-tumor effect. Compared with paclitaxel, it has stronger activity and broader anti-tumor spectrum. Epirubicin is an antibiotic anti-tumor drug, which belongs to non-specific cell cycle anti-cancer drugs. Its mechanism is to directly insert DNA nucleotide pairs to interfere with the transcription process and prevent the synthesis of RNA and DNA. </w:t>
      </w:r>
      <w:r w:rsidRPr="00384046">
        <w:rPr>
          <w:rFonts w:ascii="Book Antiqua" w:hAnsi="Book Antiqua" w:cs="Times New Roman"/>
          <w:color w:val="000000" w:themeColor="text1"/>
          <w:sz w:val="24"/>
          <w:szCs w:val="24"/>
        </w:rPr>
        <w:t xml:space="preserve">Similar to our results, Petrioli </w:t>
      </w:r>
      <w:r w:rsidR="00301C6E" w:rsidRPr="00384046">
        <w:rPr>
          <w:rFonts w:ascii="Book Antiqua" w:hAnsi="Book Antiqua" w:cs="Times New Roman"/>
          <w:i/>
          <w:color w:val="000000" w:themeColor="text1"/>
          <w:sz w:val="24"/>
          <w:szCs w:val="24"/>
        </w:rPr>
        <w:t>et al</w:t>
      </w:r>
      <w:r w:rsidR="00301C6E" w:rsidRPr="00384046">
        <w:rPr>
          <w:rFonts w:ascii="Book Antiqua" w:eastAsia="SimSun" w:hAnsi="Book Antiqua" w:cs="Times New Roman"/>
          <w:color w:val="000000" w:themeColor="text1"/>
          <w:sz w:val="24"/>
          <w:szCs w:val="24"/>
          <w:vertAlign w:val="superscript"/>
        </w:rPr>
        <w:t>[26]</w:t>
      </w:r>
      <w:r w:rsidR="00301C6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reported that </w:t>
      </w:r>
      <w:r w:rsidRPr="00384046">
        <w:rPr>
          <w:rFonts w:ascii="Book Antiqua" w:eastAsia="SimSun" w:hAnsi="Book Antiqua" w:cs="Times New Roman"/>
          <w:color w:val="000000" w:themeColor="text1"/>
          <w:sz w:val="24"/>
          <w:szCs w:val="24"/>
        </w:rPr>
        <w:t>docetaxel-based regimens showed an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increase 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ORR compared with</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epirubicin-based regimens. However, no significant difference was found between the two groups</w:t>
      </w:r>
      <w:r w:rsidRPr="00384046">
        <w:rPr>
          <w:rFonts w:ascii="Book Antiqua" w:eastAsia="SimSun" w:hAnsi="Book Antiqua" w:cs="Times New Roman"/>
          <w:color w:val="000000" w:themeColor="text1"/>
          <w:sz w:val="24"/>
          <w:szCs w:val="24"/>
          <w:vertAlign w:val="superscript"/>
        </w:rPr>
        <w:t>[26]</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 meta-analysis of DCF compared with non-docetaxel-containing regimens analyzed 12 RCTs for a total of 1089 cases with advanced gastric cancer. The results </w:t>
      </w:r>
      <w:r w:rsidRPr="00384046">
        <w:rPr>
          <w:rFonts w:ascii="Book Antiqua" w:eastAsia="SimSun" w:hAnsi="Book Antiqua" w:cs="Times New Roman"/>
          <w:color w:val="000000" w:themeColor="text1"/>
          <w:sz w:val="24"/>
          <w:szCs w:val="24"/>
        </w:rPr>
        <w:t>did not show</w:t>
      </w:r>
      <w:r w:rsidRPr="00384046">
        <w:rPr>
          <w:rFonts w:ascii="Book Antiqua" w:hAnsi="Book Antiqua" w:cs="Times New Roman"/>
          <w:color w:val="000000" w:themeColor="text1"/>
          <w:sz w:val="24"/>
          <w:szCs w:val="24"/>
        </w:rPr>
        <w:t xml:space="preserve"> any significant difference in CR and SD rates, but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DCF regimen can significantly increase </w:t>
      </w:r>
      <w:r w:rsidRPr="00384046">
        <w:rPr>
          <w:rFonts w:ascii="Book Antiqua" w:eastAsia="SimSun"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PR rate (38.8% </w:t>
      </w:r>
      <w:r w:rsidRPr="00384046">
        <w:rPr>
          <w:rFonts w:ascii="Book Antiqua" w:hAnsi="Book Antiqua" w:cs="Times New Roman"/>
          <w:i/>
          <w:color w:val="000000" w:themeColor="text1"/>
          <w:sz w:val="24"/>
          <w:szCs w:val="24"/>
        </w:rPr>
        <w:t>vs</w:t>
      </w:r>
      <w:r w:rsidRPr="00384046">
        <w:rPr>
          <w:rFonts w:ascii="Book Antiqua" w:hAnsi="Book Antiqua" w:cs="Times New Roman"/>
          <w:color w:val="000000" w:themeColor="text1"/>
          <w:sz w:val="24"/>
          <w:szCs w:val="24"/>
        </w:rPr>
        <w:t xml:space="preserve"> 27.9%, respectively;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1.16-1.65, </w:t>
      </w:r>
      <w:r w:rsidR="00227781" w:rsidRPr="00384046">
        <w:rPr>
          <w:rFonts w:ascii="Book Antiqua" w:hAnsi="Book Antiqua" w:cs="Times New Roman"/>
          <w:i/>
          <w:color w:val="000000" w:themeColor="text1"/>
          <w:sz w:val="24"/>
          <w:szCs w:val="24"/>
        </w:rPr>
        <w:t>P</w:t>
      </w:r>
      <w:r w:rsidR="0022778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0.0003) compared with other regimens</w:t>
      </w:r>
      <w:r w:rsidRPr="00384046">
        <w:rPr>
          <w:rFonts w:ascii="Book Antiqua" w:hAnsi="Book Antiqua" w:cs="Times New Roman"/>
          <w:color w:val="000000" w:themeColor="text1"/>
          <w:sz w:val="24"/>
          <w:szCs w:val="24"/>
          <w:vertAlign w:val="superscript"/>
        </w:rPr>
        <w:t>[27]</w:t>
      </w:r>
      <w:r w:rsidRPr="00384046">
        <w:rPr>
          <w:rFonts w:ascii="Book Antiqua" w:hAnsi="Book Antiqua" w:cs="Times New Roman"/>
          <w:color w:val="000000" w:themeColor="text1"/>
          <w:sz w:val="24"/>
          <w:szCs w:val="24"/>
        </w:rPr>
        <w:t xml:space="preserve">. In four studies with comparisons between docetaxel and non-docetaxel-containing regimens </w:t>
      </w:r>
      <w:r w:rsidRPr="00384046">
        <w:rPr>
          <w:rFonts w:ascii="Book Antiqua" w:eastAsia="SimSun" w:hAnsi="Book Antiqua" w:cs="Times New Roman"/>
          <w:color w:val="000000" w:themeColor="text1"/>
          <w:sz w:val="24"/>
          <w:szCs w:val="24"/>
        </w:rPr>
        <w:t>involving</w:t>
      </w:r>
      <w:r w:rsidRPr="00384046">
        <w:rPr>
          <w:rFonts w:ascii="Book Antiqua" w:hAnsi="Book Antiqua" w:cs="Times New Roman"/>
          <w:color w:val="000000" w:themeColor="text1"/>
          <w:sz w:val="24"/>
          <w:szCs w:val="24"/>
        </w:rPr>
        <w:t xml:space="preserve"> 1235 participants</w:t>
      </w:r>
      <w:r w:rsidRPr="00384046">
        <w:rPr>
          <w:rFonts w:ascii="Book Antiqua" w:hAnsi="Book Antiqua" w:cs="Times New Roman"/>
          <w:color w:val="000000" w:themeColor="text1"/>
          <w:sz w:val="24"/>
          <w:szCs w:val="24"/>
          <w:vertAlign w:val="superscript"/>
        </w:rPr>
        <w:t>[24,28-30]</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w:t>
      </w:r>
      <w:r w:rsidRPr="00384046">
        <w:rPr>
          <w:rFonts w:ascii="Book Antiqua" w:hAnsi="Book Antiqua" w:cs="Times New Roman"/>
          <w:color w:val="000000" w:themeColor="text1"/>
          <w:sz w:val="24"/>
          <w:szCs w:val="24"/>
        </w:rPr>
        <w:t xml:space="preserve"> pooled </w:t>
      </w:r>
      <w:r w:rsidRPr="00384046">
        <w:rPr>
          <w:rFonts w:ascii="Book Antiqua" w:eastAsia="SimSun" w:hAnsi="Book Antiqua" w:cs="Times New Roman"/>
          <w:color w:val="000000" w:themeColor="text1"/>
          <w:sz w:val="24"/>
          <w:szCs w:val="24"/>
        </w:rPr>
        <w:t>ORRs</w:t>
      </w:r>
      <w:r w:rsidRPr="00384046">
        <w:rPr>
          <w:rFonts w:ascii="Book Antiqua" w:hAnsi="Book Antiqua" w:cs="Times New Roman"/>
          <w:color w:val="000000" w:themeColor="text1"/>
          <w:sz w:val="24"/>
          <w:szCs w:val="24"/>
        </w:rPr>
        <w:t xml:space="preserve"> were 43% and 30%</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respectively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1.45-2.32, </w:t>
      </w:r>
      <w:r w:rsidR="00227781" w:rsidRPr="00384046">
        <w:rPr>
          <w:rFonts w:ascii="Book Antiqua" w:hAnsi="Book Antiqua" w:cs="Times New Roman"/>
          <w:i/>
          <w:color w:val="000000" w:themeColor="text1"/>
          <w:sz w:val="24"/>
          <w:szCs w:val="24"/>
        </w:rPr>
        <w:t>P</w:t>
      </w:r>
      <w:r w:rsidR="0022778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w:t>
      </w:r>
      <w:r w:rsidR="00D01AC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0.002). In addition, due to higher response rates, individuals with good performance might have greater advantages from the three drug regimens, especially those containing docetaxel</w:t>
      </w:r>
      <w:r w:rsidRPr="00384046">
        <w:rPr>
          <w:rFonts w:ascii="Book Antiqua" w:hAnsi="Book Antiqua" w:cs="Times New Roman"/>
          <w:color w:val="000000" w:themeColor="text1"/>
          <w:sz w:val="24"/>
          <w:szCs w:val="24"/>
          <w:vertAlign w:val="superscript"/>
        </w:rPr>
        <w:t>[25]</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With respect to toxicity, hematological toxicity was confirmed to be the most common adverse event associated with</w:t>
      </w:r>
      <w:r w:rsidRPr="00384046">
        <w:rPr>
          <w:rFonts w:ascii="Book Antiqua" w:eastAsia="SimSun"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DCF regimen. In our analysis, we found high incidences of neutropenia and febrile neutropenia in the DCF group. Although it </w:t>
      </w:r>
      <w:r w:rsidRPr="00384046">
        <w:rPr>
          <w:rFonts w:ascii="Book Antiqua" w:eastAsia="SimSun" w:hAnsi="Book Antiqua" w:cs="Times New Roman"/>
          <w:color w:val="000000" w:themeColor="text1"/>
          <w:sz w:val="24"/>
          <w:szCs w:val="24"/>
        </w:rPr>
        <w:t>did not</w:t>
      </w:r>
      <w:r w:rsidRPr="00384046">
        <w:rPr>
          <w:rFonts w:ascii="Book Antiqua" w:hAnsi="Book Antiqua" w:cs="Times New Roman"/>
          <w:color w:val="000000" w:themeColor="text1"/>
          <w:sz w:val="24"/>
          <w:szCs w:val="24"/>
        </w:rPr>
        <w:t xml:space="preserve"> affect the efficacy of drugs, it might cause damage to other </w:t>
      </w:r>
      <w:r w:rsidRPr="00384046">
        <w:rPr>
          <w:rFonts w:ascii="Book Antiqua" w:eastAsia="SimSun" w:hAnsi="Book Antiqua" w:cs="Times New Roman"/>
          <w:color w:val="000000" w:themeColor="text1"/>
          <w:sz w:val="24"/>
          <w:szCs w:val="24"/>
        </w:rPr>
        <w:t>organs</w:t>
      </w:r>
      <w:r w:rsidRPr="00384046">
        <w:rPr>
          <w:rFonts w:ascii="Book Antiqua" w:hAnsi="Book Antiqua" w:cs="Times New Roman"/>
          <w:color w:val="000000" w:themeColor="text1"/>
          <w:sz w:val="24"/>
          <w:szCs w:val="24"/>
          <w:vertAlign w:val="superscript"/>
        </w:rPr>
        <w:t>[31]</w:t>
      </w:r>
      <w:r w:rsidRPr="00384046">
        <w:rPr>
          <w:rFonts w:ascii="Book Antiqua" w:hAnsi="Book Antiqua" w:cs="Times New Roman"/>
          <w:color w:val="000000" w:themeColor="text1"/>
          <w:sz w:val="24"/>
          <w:szCs w:val="24"/>
        </w:rPr>
        <w:t xml:space="preserve">. In recent years, many institutions have designed a number of improvements to regimens, </w:t>
      </w:r>
      <w:r w:rsidRPr="00384046">
        <w:rPr>
          <w:rFonts w:ascii="Book Antiqua" w:hAnsi="Book Antiqua" w:cs="Times New Roman"/>
          <w:color w:val="000000" w:themeColor="text1"/>
          <w:sz w:val="24"/>
          <w:szCs w:val="24"/>
        </w:rPr>
        <w:lastRenderedPageBreak/>
        <w:t xml:space="preserve">such as DC or DF, capecitabine and oxaliplatin instead of 5-FU and cisplatin, or </w:t>
      </w:r>
      <w:r w:rsidRPr="00384046">
        <w:rPr>
          <w:rFonts w:ascii="Book Antiqua" w:eastAsia="SimSun" w:hAnsi="Book Antiqua" w:cs="Times New Roman"/>
          <w:color w:val="000000" w:themeColor="text1"/>
          <w:sz w:val="24"/>
          <w:szCs w:val="24"/>
        </w:rPr>
        <w:t>have changed</w:t>
      </w:r>
      <w:r w:rsidRPr="00384046">
        <w:rPr>
          <w:rFonts w:ascii="Book Antiqua" w:hAnsi="Book Antiqua" w:cs="Times New Roman"/>
          <w:color w:val="000000" w:themeColor="text1"/>
          <w:sz w:val="24"/>
          <w:szCs w:val="24"/>
        </w:rPr>
        <w:t xml:space="preserve"> the method of </w:t>
      </w:r>
      <w:r w:rsidRPr="00384046">
        <w:rPr>
          <w:rFonts w:ascii="Book Antiqua" w:eastAsia="SimSun" w:hAnsi="Book Antiqua" w:cs="Times New Roman"/>
          <w:color w:val="000000" w:themeColor="text1"/>
          <w:sz w:val="24"/>
          <w:szCs w:val="24"/>
        </w:rPr>
        <w:t>administration</w:t>
      </w:r>
      <w:r w:rsidRPr="00384046">
        <w:rPr>
          <w:rFonts w:ascii="Book Antiqua" w:hAnsi="Book Antiqua" w:cs="Times New Roman"/>
          <w:color w:val="000000" w:themeColor="text1"/>
          <w:sz w:val="24"/>
          <w:szCs w:val="24"/>
        </w:rPr>
        <w:t xml:space="preserve"> to weekly administration. Preliminary results showed that the AEs of the improved regimens were significantly lower than those of</w:t>
      </w:r>
      <w:r w:rsidRPr="00384046">
        <w:rPr>
          <w:rFonts w:ascii="Book Antiqua" w:eastAsia="SimSun"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DCF regimen, and the survival time seemed to be prolonged, but no significant difference was found in efficacy</w:t>
      </w:r>
      <w:r w:rsidRPr="00384046">
        <w:rPr>
          <w:rFonts w:ascii="Book Antiqua" w:hAnsi="Book Antiqua" w:cs="Times New Roman"/>
          <w:color w:val="000000" w:themeColor="text1"/>
          <w:sz w:val="24"/>
          <w:szCs w:val="24"/>
          <w:vertAlign w:val="superscript"/>
        </w:rPr>
        <w:t>[32-33]</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Based on the national comprehensive cancer</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network</w:t>
      </w:r>
      <w:r w:rsidR="00D224F0" w:rsidRPr="00384046">
        <w:rPr>
          <w:rFonts w:ascii="Book Antiqua" w:eastAsia="SimSun"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guidelines, DCF and ECF</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are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considered high-risk and intermediate-risk regimens,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respectively, for febrile neutropenia</w:t>
      </w:r>
      <w:r w:rsidRPr="00384046">
        <w:rPr>
          <w:rFonts w:ascii="Book Antiqua" w:eastAsia="SimSun" w:hAnsi="Book Antiqua" w:cs="Times New Roman"/>
          <w:color w:val="000000" w:themeColor="text1"/>
          <w:sz w:val="24"/>
          <w:szCs w:val="24"/>
          <w:vertAlign w:val="superscript"/>
        </w:rPr>
        <w:t>[7]</w:t>
      </w:r>
      <w:r w:rsidRPr="00384046">
        <w:rPr>
          <w:rFonts w:ascii="Book Antiqua" w:eastAsia="SimSun" w:hAnsi="Book Antiqua" w:cs="Times New Roman"/>
          <w:color w:val="000000" w:themeColor="text1"/>
          <w:sz w:val="24"/>
          <w:szCs w:val="24"/>
        </w:rPr>
        <w:t>. Phase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I and phase II clinical studies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have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shown that docetaxel-induced toxicity is better tolerated when used weekly.</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 frequency of myelosuppression associated with neutropenia can also be reduced with weekly administration</w:t>
      </w:r>
      <w:r w:rsidRPr="00384046">
        <w:rPr>
          <w:rFonts w:ascii="Book Antiqua" w:eastAsia="SimSun" w:hAnsi="Book Antiqua" w:cs="Times New Roman"/>
          <w:color w:val="000000" w:themeColor="text1"/>
          <w:sz w:val="24"/>
          <w:szCs w:val="24"/>
          <w:vertAlign w:val="superscript"/>
        </w:rPr>
        <w:t>[34-37]</w:t>
      </w:r>
      <w:r w:rsidRPr="00384046">
        <w:rPr>
          <w:rFonts w:ascii="Book Antiqua" w:eastAsia="SimSun" w:hAnsi="Book Antiqua" w:cs="Times New Roman"/>
          <w:color w:val="000000" w:themeColor="text1"/>
          <w:sz w:val="24"/>
          <w:szCs w:val="24"/>
        </w:rPr>
        <w:t>.</w:t>
      </w:r>
      <w:r w:rsidR="00A903C7" w:rsidRPr="00384046">
        <w:rPr>
          <w:rFonts w:ascii="Book Antiqua" w:eastAsia="SimSun" w:hAnsi="Book Antiqua" w:cs="Times New Roman"/>
          <w:color w:val="000000" w:themeColor="text1"/>
          <w:sz w:val="24"/>
          <w:szCs w:val="24"/>
        </w:rPr>
        <w:t xml:space="preserve"> The AEs of DCF is acceptable only with appropriately selected patients and comprehensive toxicity management strategies. It is interesting to note that after</w:t>
      </w:r>
      <w:r w:rsidR="00A903C7" w:rsidRPr="00384046">
        <w:rPr>
          <w:rFonts w:ascii="Book Antiqua" w:hAnsi="Book Antiqua"/>
          <w:color w:val="000000" w:themeColor="text1"/>
          <w:sz w:val="24"/>
          <w:szCs w:val="24"/>
        </w:rPr>
        <w:t xml:space="preserve"> </w:t>
      </w:r>
      <w:r w:rsidR="00A903C7" w:rsidRPr="00384046">
        <w:rPr>
          <w:rFonts w:ascii="Book Antiqua" w:eastAsia="SimSun" w:hAnsi="Book Antiqua" w:cs="Times New Roman"/>
          <w:color w:val="000000" w:themeColor="text1"/>
          <w:sz w:val="24"/>
          <w:szCs w:val="24"/>
        </w:rPr>
        <w:t>appropriate dose reduction, the rate of neutropenia and febrile neutropenia was reduced of cycles with DCF.</w:t>
      </w:r>
      <w:r w:rsidR="00A903C7" w:rsidRPr="00384046">
        <w:rPr>
          <w:rFonts w:ascii="Book Antiqua" w:hAnsi="Book Antiqua"/>
          <w:color w:val="000000" w:themeColor="text1"/>
          <w:sz w:val="24"/>
          <w:szCs w:val="24"/>
        </w:rPr>
        <w:t xml:space="preserve"> </w:t>
      </w:r>
      <w:r w:rsidR="00A903C7" w:rsidRPr="00384046">
        <w:rPr>
          <w:rFonts w:ascii="Book Antiqua" w:eastAsia="SimSun" w:hAnsi="Book Antiqua" w:cs="Times New Roman"/>
          <w:color w:val="000000" w:themeColor="text1"/>
          <w:sz w:val="24"/>
          <w:szCs w:val="24"/>
        </w:rPr>
        <w:t>European and North American guidelines recommend the routine use of</w:t>
      </w:r>
      <w:r w:rsidR="00A903C7" w:rsidRPr="00384046">
        <w:rPr>
          <w:rFonts w:ascii="Book Antiqua" w:hAnsi="Book Antiqua"/>
          <w:color w:val="000000" w:themeColor="text1"/>
          <w:sz w:val="24"/>
          <w:szCs w:val="24"/>
        </w:rPr>
        <w:t xml:space="preserve"> </w:t>
      </w:r>
      <w:r w:rsidR="00A903C7" w:rsidRPr="00384046">
        <w:rPr>
          <w:rFonts w:ascii="Book Antiqua" w:hAnsi="Book Antiqua" w:cs="Times New Roman"/>
          <w:color w:val="000000" w:themeColor="text1"/>
          <w:sz w:val="24"/>
          <w:szCs w:val="24"/>
        </w:rPr>
        <w:t>granulocyte</w:t>
      </w:r>
      <w:r w:rsidR="00A903C7" w:rsidRPr="00384046">
        <w:rPr>
          <w:rFonts w:ascii="Book Antiqua" w:eastAsia="SimSun" w:hAnsi="Book Antiqua" w:cs="Times New Roman"/>
          <w:color w:val="000000" w:themeColor="text1"/>
          <w:sz w:val="24"/>
          <w:szCs w:val="24"/>
        </w:rPr>
        <w:t xml:space="preserve"> colony-stimulating factor (G-CSF) prophylaxis when using chemotherapy regimens associated with a risk of neutropenia and febrile neutropenia</w:t>
      </w:r>
      <w:r w:rsidR="00DD330A" w:rsidRPr="00384046">
        <w:rPr>
          <w:rFonts w:ascii="Book Antiqua" w:eastAsia="SimSun" w:hAnsi="Book Antiqua" w:cs="Times New Roman"/>
          <w:color w:val="000000" w:themeColor="text1"/>
          <w:sz w:val="24"/>
          <w:szCs w:val="24"/>
          <w:vertAlign w:val="superscript"/>
        </w:rPr>
        <w:t>[36,37]</w:t>
      </w:r>
      <w:r w:rsidR="00A903C7" w:rsidRPr="00384046">
        <w:rPr>
          <w:rFonts w:ascii="Book Antiqua" w:eastAsia="SimSun"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Many studies have shown that </w:t>
      </w:r>
      <w:bookmarkStart w:id="11" w:name="_Hlk532497582"/>
      <w:r w:rsidRPr="00384046">
        <w:rPr>
          <w:rFonts w:ascii="Book Antiqua" w:hAnsi="Book Antiqua" w:cs="Times New Roman"/>
          <w:color w:val="000000" w:themeColor="text1"/>
          <w:sz w:val="24"/>
          <w:szCs w:val="24"/>
        </w:rPr>
        <w:t>G-CSF</w:t>
      </w:r>
      <w:bookmarkEnd w:id="11"/>
      <w:r w:rsidR="00A903C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can accept </w:t>
      </w:r>
      <w:r w:rsidR="00F00271" w:rsidRPr="00384046">
        <w:rPr>
          <w:rFonts w:ascii="Book Antiqua" w:hAnsi="Book Antiqua" w:cs="Times New Roman"/>
          <w:color w:val="000000" w:themeColor="text1"/>
          <w:sz w:val="24"/>
          <w:szCs w:val="24"/>
        </w:rPr>
        <w:t>or control these two toxicities</w:t>
      </w:r>
      <w:r w:rsidRPr="00384046">
        <w:rPr>
          <w:rFonts w:ascii="Book Antiqua" w:eastAsia="SimSun" w:hAnsi="Book Antiqua" w:cs="Times New Roman"/>
          <w:color w:val="000000" w:themeColor="text1"/>
          <w:sz w:val="24"/>
          <w:szCs w:val="24"/>
          <w:vertAlign w:val="superscript"/>
        </w:rPr>
        <w:t>[3</w:t>
      </w:r>
      <w:r w:rsidR="00DD330A" w:rsidRPr="00384046">
        <w:rPr>
          <w:rFonts w:ascii="Book Antiqua" w:eastAsia="SimSun" w:hAnsi="Book Antiqua" w:cs="Times New Roman"/>
          <w:color w:val="000000" w:themeColor="text1"/>
          <w:sz w:val="24"/>
          <w:szCs w:val="24"/>
          <w:vertAlign w:val="superscript"/>
        </w:rPr>
        <w:t>8</w:t>
      </w:r>
      <w:r w:rsidR="00F00271" w:rsidRPr="00384046">
        <w:rPr>
          <w:rFonts w:ascii="Book Antiqua" w:eastAsia="SimSun" w:hAnsi="Book Antiqua" w:cs="Times New Roman"/>
          <w:color w:val="000000" w:themeColor="text1"/>
          <w:sz w:val="24"/>
          <w:szCs w:val="24"/>
          <w:vertAlign w:val="superscript"/>
        </w:rPr>
        <w:t>,39</w:t>
      </w:r>
      <w:r w:rsidRPr="00384046">
        <w:rPr>
          <w:rFonts w:ascii="Book Antiqua" w:eastAsia="SimSun" w:hAnsi="Book Antiqua" w:cs="Times New Roman"/>
          <w:color w:val="000000" w:themeColor="text1"/>
          <w:sz w:val="24"/>
          <w:szCs w:val="24"/>
          <w:vertAlign w:val="superscript"/>
        </w:rPr>
        <w: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In this meta-analysis, we can see that the toxicity and side effects of the DCF regimen are relatively large, but with the improvement of medical level, the adverse reactions can be controlled and prevented. </w:t>
      </w:r>
      <w:r w:rsidRPr="00384046">
        <w:rPr>
          <w:rFonts w:ascii="Book Antiqua" w:hAnsi="Book Antiqua" w:cs="Times New Roman"/>
          <w:color w:val="000000" w:themeColor="text1"/>
          <w:sz w:val="24"/>
          <w:szCs w:val="24"/>
        </w:rPr>
        <w:t>However, the combination of the three</w:t>
      </w:r>
      <w:r w:rsidRPr="00384046">
        <w:rPr>
          <w:rFonts w:ascii="Book Antiqua" w:eastAsia="SimSun" w:hAnsi="Book Antiqua" w:cs="Times New Roman"/>
          <w:color w:val="000000" w:themeColor="text1"/>
          <w:sz w:val="24"/>
          <w:szCs w:val="24"/>
        </w:rPr>
        <w:t xml:space="preserve"> drugs</w:t>
      </w:r>
      <w:r w:rsidRPr="00384046">
        <w:rPr>
          <w:rFonts w:ascii="Book Antiqua" w:hAnsi="Book Antiqua" w:cs="Times New Roman"/>
          <w:color w:val="000000" w:themeColor="text1"/>
          <w:sz w:val="24"/>
          <w:szCs w:val="24"/>
        </w:rPr>
        <w:t xml:space="preserve"> should be carefully considered for the elderly and the poor physique patients. </w:t>
      </w:r>
      <w:r w:rsidRPr="00384046">
        <w:rPr>
          <w:rFonts w:ascii="Book Antiqua" w:eastAsia="SimSun" w:hAnsi="Book Antiqua" w:cs="Times New Roman"/>
          <w:color w:val="000000" w:themeColor="text1"/>
          <w:sz w:val="24"/>
          <w:szCs w:val="24"/>
        </w:rPr>
        <w:t>Therefore,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appropriate preventive measures should be taken in advance for patients who cannot tolerate the related toxicity.</w:t>
      </w:r>
    </w:p>
    <w:p w:rsidR="000157E8" w:rsidRPr="00384046" w:rsidRDefault="000157E8" w:rsidP="00384046">
      <w:pPr>
        <w:spacing w:line="360" w:lineRule="auto"/>
        <w:ind w:firstLineChars="150" w:firstLine="360"/>
        <w:rPr>
          <w:rFonts w:ascii="Book Antiqua"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In addition, we should note that there are still some limitations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in this meta-analysis:</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(1) not all of the </w:t>
      </w:r>
      <w:r w:rsidRPr="00384046">
        <w:rPr>
          <w:rFonts w:ascii="Book Antiqua" w:eastAsia="SimSun" w:hAnsi="Book Antiqua" w:cs="Times New Roman"/>
          <w:color w:val="000000" w:themeColor="text1"/>
          <w:sz w:val="24"/>
          <w:szCs w:val="24"/>
        </w:rPr>
        <w:lastRenderedPageBreak/>
        <w:t>studies are RCTs</w:t>
      </w:r>
      <w:r w:rsidRPr="00384046">
        <w:rPr>
          <w:rFonts w:ascii="Book Antiqua" w:hAnsi="Book Antiqua" w:cs="Times New Roman"/>
          <w:color w:val="000000" w:themeColor="text1"/>
          <w:sz w:val="24"/>
          <w:szCs w:val="24"/>
        </w:rPr>
        <w:t xml:space="preserve">; (2) </w:t>
      </w:r>
      <w:r w:rsidRPr="00384046">
        <w:rPr>
          <w:rFonts w:ascii="Book Antiqua" w:eastAsia="SimSun" w:hAnsi="Book Antiqua" w:cs="Times New Roman"/>
          <w:color w:val="000000" w:themeColor="text1"/>
          <w:sz w:val="24"/>
          <w:szCs w:val="24"/>
        </w:rPr>
        <w:t>the total number of analyzed patients is small,</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which may not reflect the whole population; (3) significant heterogeneity</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existed in some comparisons; (4)</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some studies did not provide the data we have analyzed</w:t>
      </w:r>
      <w:r w:rsidRPr="00384046">
        <w:rPr>
          <w:rFonts w:ascii="Book Antiqua" w:hAnsi="Book Antiqua" w:cs="Times New Roman"/>
          <w:color w:val="000000" w:themeColor="text1"/>
          <w:sz w:val="24"/>
          <w:szCs w:val="24"/>
        </w:rPr>
        <w:t>; (5) the number of AEs may not completely reflect the quality of life</w:t>
      </w:r>
      <w:r w:rsidR="00512087" w:rsidRPr="00384046">
        <w:rPr>
          <w:rFonts w:ascii="Book Antiqua" w:hAnsi="Book Antiqua" w:cs="Times New Roman"/>
          <w:color w:val="000000" w:themeColor="text1"/>
          <w:sz w:val="24"/>
          <w:szCs w:val="24"/>
        </w:rPr>
        <w:t xml:space="preserve">; and (6) </w:t>
      </w:r>
      <w:r w:rsidR="00300201" w:rsidRPr="00384046">
        <w:rPr>
          <w:rFonts w:ascii="Book Antiqua" w:eastAsia="SimSun" w:hAnsi="Book Antiqua" w:cs="Times New Roman"/>
          <w:color w:val="000000" w:themeColor="text1"/>
          <w:sz w:val="24"/>
          <w:szCs w:val="24"/>
        </w:rPr>
        <w:t>the doses of anticancer agents were different in each study, which might increase heterogeneity between the included studies</w:t>
      </w:r>
      <w:r w:rsidRPr="00384046">
        <w:rPr>
          <w:rFonts w:ascii="Book Antiqua" w:hAnsi="Book Antiqua" w:cs="Times New Roman"/>
          <w:color w:val="000000" w:themeColor="text1"/>
          <w:sz w:val="24"/>
          <w:szCs w:val="24"/>
        </w:rPr>
        <w:t>.</w:t>
      </w:r>
    </w:p>
    <w:p w:rsidR="000157E8" w:rsidRPr="00384046" w:rsidRDefault="00F00271" w:rsidP="00384046">
      <w:pPr>
        <w:pStyle w:val="EndNoteBibliography"/>
        <w:spacing w:line="360" w:lineRule="auto"/>
        <w:ind w:firstLineChars="100" w:firstLine="240"/>
        <w:rPr>
          <w:rFonts w:ascii="Book Antiqua" w:hAnsi="Book Antiqua"/>
          <w:b/>
          <w:noProof w:val="0"/>
          <w:color w:val="000000" w:themeColor="text1"/>
          <w:sz w:val="24"/>
          <w:szCs w:val="24"/>
        </w:rPr>
      </w:pPr>
      <w:r w:rsidRPr="00384046">
        <w:rPr>
          <w:rFonts w:ascii="Book Antiqua" w:hAnsi="Book Antiqua"/>
          <w:noProof w:val="0"/>
          <w:color w:val="000000" w:themeColor="text1"/>
          <w:sz w:val="24"/>
          <w:szCs w:val="24"/>
        </w:rPr>
        <w:t xml:space="preserve">In conclusion, </w:t>
      </w:r>
      <w:r w:rsidR="000157E8" w:rsidRPr="00384046">
        <w:rPr>
          <w:rFonts w:ascii="Book Antiqua" w:hAnsi="Book Antiqua"/>
          <w:color w:val="000000" w:themeColor="text1"/>
          <w:sz w:val="24"/>
          <w:szCs w:val="24"/>
        </w:rPr>
        <w:t>Both DCF and ECF are effective regimens for advanced gastric cancer, with comparable PFS, OS and total AEs. The DCF regimen has greater advantages over the ECF regimen in terms of ORR and DCR. However, the incidence rate of grade 3-4 AEs was also high in the DCF group. Due to the inherent limitations of the study, more large-scale and high-quality RCTs are needed to support this conclusion.</w:t>
      </w:r>
    </w:p>
    <w:p w:rsidR="000F3CAF" w:rsidRPr="00384046" w:rsidRDefault="000F3CAF" w:rsidP="00384046">
      <w:pPr>
        <w:spacing w:line="360" w:lineRule="auto"/>
        <w:rPr>
          <w:rFonts w:ascii="Book Antiqua" w:eastAsia="SimSun" w:hAnsi="Book Antiqua" w:cs="Times New Roman"/>
          <w:b/>
          <w:color w:val="000000" w:themeColor="text1"/>
          <w:sz w:val="24"/>
          <w:szCs w:val="24"/>
        </w:rPr>
      </w:pPr>
    </w:p>
    <w:p w:rsidR="000F3CAF" w:rsidRPr="00384046" w:rsidRDefault="000F3CAF"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ARTICLE HIGHLIGHTS</w:t>
      </w: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background</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Gastric cancer has always been a disease with high morbidity and mortality in the world. Because of the lack of obvious symptoms and signs in the early stage, many patients are found to have been diagnosed as advanced stage. At the same time, none of the first-line treatments for advanced gastric cancer is standard. At present, </w:t>
      </w:r>
      <w:r w:rsidR="00BC2276" w:rsidRPr="00384046">
        <w:rPr>
          <w:rFonts w:ascii="Book Antiqua" w:eastAsia="SimSun" w:hAnsi="Book Antiqua" w:cs="Times New Roman"/>
          <w:color w:val="000000" w:themeColor="text1"/>
          <w:sz w:val="24"/>
          <w:szCs w:val="24"/>
        </w:rPr>
        <w:t>docetaxel,</w:t>
      </w:r>
      <w:r w:rsidR="00BC2276" w:rsidRPr="00384046">
        <w:rPr>
          <w:rFonts w:ascii="Book Antiqua" w:hAnsi="Book Antiqua" w:cs="Times New Roman"/>
          <w:color w:val="000000" w:themeColor="text1"/>
          <w:sz w:val="24"/>
          <w:szCs w:val="24"/>
        </w:rPr>
        <w:t xml:space="preserve"> </w:t>
      </w:r>
      <w:r w:rsidR="00BC2276" w:rsidRPr="00384046">
        <w:rPr>
          <w:rFonts w:ascii="Book Antiqua" w:eastAsia="SimSun" w:hAnsi="Book Antiqua" w:cs="Times New Roman"/>
          <w:color w:val="000000" w:themeColor="text1"/>
          <w:sz w:val="24"/>
          <w:szCs w:val="24"/>
        </w:rPr>
        <w:t>cisplatin,</w:t>
      </w:r>
      <w:r w:rsidR="00BC2276" w:rsidRPr="00384046">
        <w:rPr>
          <w:rFonts w:ascii="Book Antiqua" w:hAnsi="Book Antiqua" w:cs="Times New Roman"/>
          <w:color w:val="000000" w:themeColor="text1"/>
          <w:sz w:val="24"/>
          <w:szCs w:val="24"/>
        </w:rPr>
        <w:t xml:space="preserve"> </w:t>
      </w:r>
      <w:r w:rsidR="00BC2276" w:rsidRPr="00384046">
        <w:rPr>
          <w:rFonts w:ascii="Book Antiqua" w:eastAsia="SimSun" w:hAnsi="Book Antiqua" w:cs="Times New Roman"/>
          <w:color w:val="000000" w:themeColor="text1"/>
          <w:sz w:val="24"/>
          <w:szCs w:val="24"/>
        </w:rPr>
        <w:t>and</w:t>
      </w:r>
      <w:r w:rsidR="00BC2276" w:rsidRPr="00384046">
        <w:rPr>
          <w:rFonts w:ascii="Book Antiqua" w:hAnsi="Book Antiqua" w:cs="Times New Roman"/>
          <w:color w:val="000000" w:themeColor="text1"/>
          <w:sz w:val="24"/>
          <w:szCs w:val="24"/>
        </w:rPr>
        <w:t xml:space="preserve"> </w:t>
      </w:r>
      <w:r w:rsidR="00BC2276" w:rsidRPr="00384046">
        <w:rPr>
          <w:rFonts w:ascii="Book Antiqua" w:eastAsia="SimSun" w:hAnsi="Book Antiqua" w:cs="Times New Roman"/>
          <w:color w:val="000000" w:themeColor="text1"/>
          <w:sz w:val="24"/>
          <w:szCs w:val="24"/>
        </w:rPr>
        <w:t xml:space="preserve">5-fluorouracil </w:t>
      </w:r>
      <w:r w:rsidRPr="00384046">
        <w:rPr>
          <w:rFonts w:ascii="Book Antiqua" w:eastAsia="SimSun" w:hAnsi="Book Antiqua" w:cs="Times New Roman"/>
          <w:color w:val="000000" w:themeColor="text1"/>
          <w:sz w:val="24"/>
          <w:szCs w:val="24"/>
        </w:rPr>
        <w:t>(</w:t>
      </w:r>
      <w:r w:rsidR="00BC2276" w:rsidRPr="00384046">
        <w:rPr>
          <w:rFonts w:ascii="Book Antiqua" w:eastAsia="SimSun" w:hAnsi="Book Antiqua" w:cs="Times New Roman"/>
          <w:color w:val="000000" w:themeColor="text1"/>
          <w:sz w:val="24"/>
          <w:szCs w:val="24"/>
        </w:rPr>
        <w:t>DCF</w:t>
      </w:r>
      <w:r w:rsidRPr="00384046">
        <w:rPr>
          <w:rFonts w:ascii="Book Antiqua" w:eastAsia="SimSun" w:hAnsi="Book Antiqua" w:cs="Times New Roman"/>
          <w:color w:val="000000" w:themeColor="text1"/>
          <w:sz w:val="24"/>
          <w:szCs w:val="24"/>
        </w:rPr>
        <w:t>) and</w:t>
      </w:r>
      <w:r w:rsidRPr="00384046">
        <w:rPr>
          <w:rFonts w:ascii="Book Antiqua" w:hAnsi="Book Antiqua" w:cs="Times New Roman"/>
          <w:color w:val="000000" w:themeColor="text1"/>
          <w:sz w:val="24"/>
          <w:szCs w:val="24"/>
        </w:rPr>
        <w:t xml:space="preserve"> </w:t>
      </w:r>
      <w:r w:rsidR="00BC2276"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eastAsia="SimSun" w:hAnsi="Book Antiqua" w:cs="Times New Roman"/>
          <w:color w:val="000000" w:themeColor="text1"/>
          <w:sz w:val="24"/>
          <w:szCs w:val="24"/>
        </w:rPr>
        <w:t>(</w:t>
      </w:r>
      <w:r w:rsidR="00BC2276" w:rsidRPr="00384046">
        <w:rPr>
          <w:rFonts w:ascii="Book Antiqua" w:eastAsia="SimSun" w:hAnsi="Book Antiqua" w:cs="Times New Roman"/>
          <w:color w:val="000000" w:themeColor="text1"/>
          <w:sz w:val="24"/>
          <w:szCs w:val="24"/>
        </w:rPr>
        <w:t>ECF</w:t>
      </w:r>
      <w:r w:rsidRPr="00384046">
        <w:rPr>
          <w:rFonts w:ascii="Book Antiqua" w:eastAsia="SimSun"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are both effective first-line regimens for clinical use, but in many countries, different researchers have different opinions. There are still many disputes about the advantages and disadvantages of these two regimens.</w:t>
      </w:r>
      <w:r w:rsidRPr="00384046">
        <w:rPr>
          <w:rFonts w:ascii="Book Antiqua" w:eastAsia="SimSun" w:hAnsi="Book Antiqua" w:cs="Times New Roman"/>
          <w:color w:val="000000" w:themeColor="text1"/>
          <w:sz w:val="24"/>
          <w:szCs w:val="24"/>
        </w:rPr>
        <w:t xml:space="preserve"> The results 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some studies showed that the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DCF group was better than the ECF group. </w:t>
      </w:r>
      <w:r w:rsidRPr="00384046">
        <w:rPr>
          <w:rFonts w:ascii="Book Antiqua" w:hAnsi="Book Antiqua" w:cs="Times New Roman"/>
          <w:color w:val="000000" w:themeColor="text1"/>
          <w:sz w:val="24"/>
          <w:szCs w:val="24"/>
        </w:rPr>
        <w:t xml:space="preserve">However, </w:t>
      </w:r>
      <w:r w:rsidRPr="00384046">
        <w:rPr>
          <w:rFonts w:ascii="Book Antiqua" w:eastAsia="SimSun" w:hAnsi="Book Antiqua" w:cs="Times New Roman"/>
          <w:color w:val="000000" w:themeColor="text1"/>
          <w:sz w:val="24"/>
          <w:szCs w:val="24"/>
        </w:rPr>
        <w:t xml:space="preserve">in other studies, the results showed opposite results. To </w:t>
      </w:r>
      <w:r w:rsidRPr="00384046">
        <w:rPr>
          <w:rFonts w:ascii="Book Antiqua" w:hAnsi="Book Antiqua" w:cs="Times New Roman"/>
          <w:color w:val="000000" w:themeColor="text1"/>
          <w:sz w:val="24"/>
          <w:szCs w:val="24"/>
        </w:rPr>
        <w:t>solve the controversy,</w:t>
      </w:r>
      <w:bookmarkStart w:id="12" w:name="_Hlk533067026"/>
      <w:r w:rsidRPr="00384046">
        <w:rPr>
          <w:rFonts w:ascii="Book Antiqua" w:hAnsi="Book Antiqua" w:cs="Times New Roman"/>
          <w:color w:val="000000" w:themeColor="text1"/>
          <w:sz w:val="24"/>
          <w:szCs w:val="24"/>
        </w:rPr>
        <w:t xml:space="preserve"> we conducted this </w:t>
      </w:r>
      <w:r w:rsidRPr="00384046">
        <w:rPr>
          <w:rFonts w:ascii="Book Antiqua" w:hAnsi="Book Antiqua" w:cs="Times New Roman"/>
          <w:color w:val="000000" w:themeColor="text1"/>
          <w:sz w:val="24"/>
          <w:szCs w:val="24"/>
        </w:rPr>
        <w:lastRenderedPageBreak/>
        <w:t>meta-analysis.</w:t>
      </w:r>
    </w:p>
    <w:bookmarkEnd w:id="12"/>
    <w:p w:rsidR="000F3CAF" w:rsidRPr="00384046" w:rsidRDefault="000F3CAF" w:rsidP="00384046">
      <w:pPr>
        <w:adjustRightInd w:val="0"/>
        <w:snapToGrid w:val="0"/>
        <w:spacing w:line="360" w:lineRule="auto"/>
        <w:rPr>
          <w:rFonts w:ascii="Book Antiqua" w:hAnsi="Book Antiqua"/>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motivation</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In many studies, both DCF and ECF regimens have shown good outcomes, but on the other hand, they also show many disadvantages, especially in the adverse effects (AEs). Since there are still many controversies in this field, and there is lack of evidence of evidence-based medicine in relevant fields to prove that which regimen is more suitable for clinical use, it is necessary to conduct relevant meta-analysis. This study therefore aims to provide a more focused analysis through the evaluation of the survival outcomes and AEs between DCF and ECF regimens.</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p>
    <w:p w:rsidR="000F3CAF" w:rsidRPr="00384046" w:rsidRDefault="008C7C54"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objectives</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Our primary objective is to analyze the efficacy of two first-line regimens in the treatment of advanced gastric cancer by obtaining the best and latest </w:t>
      </w:r>
      <w:r w:rsidRPr="00384046">
        <w:rPr>
          <w:rFonts w:ascii="Book Antiqua" w:hAnsi="Book Antiqua"/>
          <w:color w:val="000000" w:themeColor="text1"/>
          <w:sz w:val="24"/>
          <w:szCs w:val="24"/>
        </w:rPr>
        <w:t xml:space="preserve">data from clinical trials. </w:t>
      </w:r>
      <w:r w:rsidRPr="00384046">
        <w:rPr>
          <w:rFonts w:ascii="Book Antiqua" w:hAnsi="Book Antiqua" w:cs="Times New Roman"/>
          <w:color w:val="000000" w:themeColor="text1"/>
          <w:sz w:val="24"/>
          <w:szCs w:val="24"/>
        </w:rPr>
        <w:t>In the discussion section, we cited many frontier literatures in related fields, and focused on the analysis of the reasons for the difference in therapeutic effect between DCF and ECF regimens.</w:t>
      </w:r>
      <w:r w:rsidRPr="00384046">
        <w:rPr>
          <w:rFonts w:ascii="Book Antiqua" w:hAnsi="Book Antiqua"/>
          <w:color w:val="000000" w:themeColor="text1"/>
          <w:sz w:val="24"/>
          <w:szCs w:val="24"/>
        </w:rPr>
        <w:t xml:space="preserve"> At the same time, we also hope that our research can play a guiding and helpful role in clinical medication.</w:t>
      </w:r>
      <w:r w:rsidRPr="00384046">
        <w:rPr>
          <w:rFonts w:ascii="Book Antiqua" w:hAnsi="Book Antiqua" w:cs="Times New Roman"/>
          <w:color w:val="000000" w:themeColor="text1"/>
          <w:sz w:val="24"/>
          <w:szCs w:val="24"/>
        </w:rPr>
        <w:t xml:space="preserve"> </w:t>
      </w:r>
    </w:p>
    <w:p w:rsidR="003F7286" w:rsidRPr="00384046" w:rsidRDefault="003F7286" w:rsidP="00384046">
      <w:pPr>
        <w:adjustRightInd w:val="0"/>
        <w:snapToGrid w:val="0"/>
        <w:spacing w:line="360" w:lineRule="auto"/>
        <w:rPr>
          <w:rFonts w:ascii="Book Antiqua" w:hAnsi="Book Antiqua"/>
          <w:b/>
          <w:i/>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methods</w:t>
      </w:r>
    </w:p>
    <w:p w:rsidR="000F3CAF" w:rsidRPr="00384046" w:rsidRDefault="000F3CAF" w:rsidP="00384046">
      <w:pPr>
        <w:adjustRightInd w:val="0"/>
        <w:snapToGrid w:val="0"/>
        <w:spacing w:line="360" w:lineRule="auto"/>
        <w:rPr>
          <w:rFonts w:ascii="Book Antiqua" w:hAnsi="Book Antiqua"/>
          <w:color w:val="000000" w:themeColor="text1"/>
          <w:sz w:val="24"/>
          <w:szCs w:val="24"/>
        </w:rPr>
      </w:pPr>
      <w:r w:rsidRPr="00384046">
        <w:rPr>
          <w:rFonts w:ascii="Book Antiqua" w:eastAsia="SimSun" w:hAnsi="Book Antiqua" w:cs="Times New Roman"/>
          <w:color w:val="000000" w:themeColor="text1"/>
          <w:sz w:val="24"/>
          <w:szCs w:val="24"/>
        </w:rPr>
        <w:t>We conducted this meta-analysis according to the Preferred Reporting Items for Syste</w:t>
      </w:r>
      <w:r w:rsidR="008F68C7" w:rsidRPr="00384046">
        <w:rPr>
          <w:rFonts w:ascii="Book Antiqua" w:eastAsia="SimSun" w:hAnsi="Book Antiqua" w:cs="Times New Roman"/>
          <w:color w:val="000000" w:themeColor="text1"/>
          <w:sz w:val="24"/>
          <w:szCs w:val="24"/>
        </w:rPr>
        <w:t xml:space="preserve">matic Review and Meta-Analysis </w:t>
      </w:r>
      <w:r w:rsidRPr="00384046">
        <w:rPr>
          <w:rFonts w:ascii="Book Antiqua" w:eastAsia="SimSun" w:hAnsi="Book Antiqua" w:cs="Times New Roman"/>
          <w:color w:val="000000" w:themeColor="text1"/>
          <w:sz w:val="24"/>
          <w:szCs w:val="24"/>
        </w:rPr>
        <w:t xml:space="preserve">guidelines. Seven main </w:t>
      </w:r>
      <w:r w:rsidR="00E149BD" w:rsidRPr="00384046">
        <w:rPr>
          <w:rFonts w:ascii="Book Antiqua" w:eastAsia="SimSun" w:hAnsi="Book Antiqua" w:cs="Times New Roman"/>
          <w:color w:val="000000" w:themeColor="text1"/>
          <w:sz w:val="24"/>
          <w:szCs w:val="24"/>
        </w:rPr>
        <w:t>databases</w:t>
      </w:r>
      <w:r w:rsidRPr="00384046">
        <w:rPr>
          <w:rFonts w:ascii="Book Antiqua" w:eastAsia="SimSun" w:hAnsi="Book Antiqua" w:cs="Times New Roman"/>
          <w:color w:val="000000" w:themeColor="text1"/>
          <w:sz w:val="24"/>
          <w:szCs w:val="24"/>
        </w:rPr>
        <w:t xml:space="preserve"> were searched up to August 31, 2018. Search results were </w:t>
      </w:r>
      <w:r w:rsidRPr="00384046">
        <w:rPr>
          <w:rFonts w:ascii="Book Antiqua" w:eastAsia="SimSun" w:hAnsi="Book Antiqua" w:cs="Times New Roman"/>
          <w:color w:val="000000" w:themeColor="text1"/>
          <w:sz w:val="24"/>
          <w:szCs w:val="24"/>
        </w:rPr>
        <w:lastRenderedPageBreak/>
        <w:t>limited to original human studies, and search criteria were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restricted to randomized controlled trials or </w:t>
      </w:r>
      <w:r w:rsidRPr="00384046">
        <w:rPr>
          <w:rFonts w:ascii="Book Antiqua" w:hAnsi="Book Antiqua" w:cs="Times New Roman"/>
          <w:color w:val="000000" w:themeColor="text1"/>
          <w:sz w:val="24"/>
          <w:szCs w:val="24"/>
        </w:rPr>
        <w:t>cohort studies without language restriction</w:t>
      </w:r>
      <w:r w:rsidRPr="00384046">
        <w:rPr>
          <w:rFonts w:ascii="Book Antiqua" w:eastAsia="SimSun"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We selected studies according to the PICOS principle</w:t>
      </w:r>
      <w:r w:rsidRPr="00384046">
        <w:rPr>
          <w:rFonts w:ascii="Book Antiqua" w:eastAsia="SimSun" w:hAnsi="Book Antiqua" w:cs="Times New Roman"/>
          <w:bCs/>
          <w:color w:val="000000" w:themeColor="text1"/>
          <w:sz w:val="24"/>
          <w:szCs w:val="24"/>
        </w:rPr>
        <w:t>.</w:t>
      </w:r>
      <w:r w:rsidRPr="00384046">
        <w:rPr>
          <w:rFonts w:ascii="Book Antiqua" w:hAnsi="Book Antiqua"/>
          <w:color w:val="000000" w:themeColor="text1"/>
          <w:sz w:val="24"/>
          <w:szCs w:val="24"/>
        </w:rPr>
        <w:t xml:space="preserve"> </w:t>
      </w:r>
      <w:r w:rsidRPr="00384046">
        <w:rPr>
          <w:rFonts w:ascii="Book Antiqua" w:hAnsi="Book Antiqua" w:cs="Times New Roman"/>
          <w:color w:val="000000" w:themeColor="text1"/>
          <w:sz w:val="24"/>
          <w:szCs w:val="24"/>
        </w:rPr>
        <w:t xml:space="preserve">The Jadad scale and the Newcastle-Ottawa Scale were used to </w:t>
      </w:r>
      <w:r w:rsidRPr="00384046">
        <w:rPr>
          <w:rFonts w:ascii="Book Antiqua" w:eastAsia="SimSun" w:hAnsi="Book Antiqua" w:cs="Times New Roman"/>
          <w:color w:val="000000" w:themeColor="text1"/>
          <w:sz w:val="24"/>
          <w:szCs w:val="24"/>
        </w:rPr>
        <w:t>assess</w:t>
      </w:r>
      <w:r w:rsidRPr="00384046">
        <w:rPr>
          <w:rFonts w:ascii="Book Antiqua" w:hAnsi="Book Antiqua" w:cs="Times New Roman"/>
          <w:color w:val="000000" w:themeColor="text1"/>
          <w:sz w:val="24"/>
          <w:szCs w:val="24"/>
        </w:rPr>
        <w:t xml:space="preserve"> quality of the studies and </w:t>
      </w:r>
      <w:r w:rsidRPr="00384046">
        <w:rPr>
          <w:rFonts w:ascii="Book Antiqua" w:eastAsia="SimSun" w:hAnsi="Book Antiqua" w:cs="Times New Roman"/>
          <w:color w:val="000000" w:themeColor="text1"/>
          <w:sz w:val="24"/>
          <w:szCs w:val="24"/>
        </w:rPr>
        <w:t xml:space="preserve">software of RevMan and STATA were used to analysis data. </w:t>
      </w:r>
      <w:r w:rsidR="003F7286" w:rsidRPr="00384046">
        <w:rPr>
          <w:rFonts w:ascii="Book Antiqua" w:hAnsi="Book Antiqua" w:cs="Times New Roman"/>
          <w:color w:val="000000" w:themeColor="text1"/>
          <w:sz w:val="24"/>
          <w:szCs w:val="24"/>
        </w:rPr>
        <w:t>Progression-free survival (PFS)</w:t>
      </w:r>
      <w:r w:rsidRPr="00384046">
        <w:rPr>
          <w:rFonts w:ascii="Book Antiqua" w:hAnsi="Book Antiqua" w:cs="Times New Roman"/>
          <w:color w:val="000000" w:themeColor="text1"/>
          <w:sz w:val="24"/>
          <w:szCs w:val="24"/>
        </w:rPr>
        <w:t xml:space="preserve">, </w:t>
      </w:r>
      <w:r w:rsidR="003F7286" w:rsidRPr="00384046">
        <w:rPr>
          <w:rFonts w:ascii="Book Antiqua" w:hAnsi="Book Antiqua" w:cs="Times New Roman"/>
          <w:color w:val="000000" w:themeColor="text1"/>
          <w:sz w:val="24"/>
          <w:szCs w:val="24"/>
        </w:rPr>
        <w:t>overall survival (OS)</w:t>
      </w:r>
      <w:r w:rsidR="003F7286" w:rsidRPr="00384046">
        <w:rPr>
          <w:rFonts w:ascii="Book Antiqua" w:hAnsi="Book Antiqua"/>
          <w:color w:val="000000" w:themeColor="text1"/>
          <w:sz w:val="24"/>
          <w:szCs w:val="24"/>
        </w:rPr>
        <w:t xml:space="preserve"> </w:t>
      </w:r>
      <w:r w:rsidRPr="00384046">
        <w:rPr>
          <w:rFonts w:ascii="Book Antiqua" w:eastAsia="SimSun" w:hAnsi="Book Antiqua" w:cs="Times New Roman"/>
          <w:color w:val="000000" w:themeColor="text1"/>
          <w:sz w:val="24"/>
          <w:szCs w:val="24"/>
        </w:rPr>
        <w:t>were analyzed by the pooled hazard ratio. O</w:t>
      </w:r>
      <w:r w:rsidRPr="00384046">
        <w:rPr>
          <w:rFonts w:ascii="Book Antiqua" w:hAnsi="Book Antiqua" w:cs="Times New Roman"/>
          <w:color w:val="000000" w:themeColor="text1"/>
          <w:sz w:val="24"/>
          <w:szCs w:val="24"/>
        </w:rPr>
        <w:t>bjective response rate (ORR), disease control rate (DCR)</w:t>
      </w:r>
      <w:r w:rsidRPr="00384046">
        <w:rPr>
          <w:rFonts w:ascii="Book Antiqua" w:eastAsia="SimSun" w:hAnsi="Book Antiqua" w:cs="Times New Roman"/>
          <w:color w:val="000000" w:themeColor="text1"/>
          <w:sz w:val="24"/>
          <w:szCs w:val="24"/>
        </w:rPr>
        <w:t xml:space="preserve">, and AEs were analyzed by the pooled risk ratio. The heterogeneity test was evaluated by using the Q test and </w:t>
      </w:r>
      <w:r w:rsidRPr="00384046">
        <w:rPr>
          <w:rFonts w:ascii="Book Antiqua" w:eastAsia="SimSun" w:hAnsi="Book Antiqua" w:cs="Times New Roman"/>
          <w:i/>
          <w:color w:val="000000" w:themeColor="text1"/>
          <w:sz w:val="24"/>
          <w:szCs w:val="24"/>
        </w:rPr>
        <w:t>I</w:t>
      </w:r>
      <w:r w:rsidRPr="00384046">
        <w:rPr>
          <w:rFonts w:ascii="Book Antiqua" w:eastAsia="SimSun" w:hAnsi="Book Antiqua" w:cs="Times New Roman"/>
          <w:i/>
          <w:color w:val="000000" w:themeColor="text1"/>
          <w:sz w:val="24"/>
          <w:szCs w:val="24"/>
          <w:vertAlign w:val="superscript"/>
        </w:rPr>
        <w:t>2</w:t>
      </w:r>
      <w:r w:rsidRPr="00384046">
        <w:rPr>
          <w:rFonts w:ascii="Book Antiqua" w:eastAsia="SimSun" w:hAnsi="Book Antiqua" w:cs="Times New Roman"/>
          <w:color w:val="000000" w:themeColor="text1"/>
          <w:sz w:val="24"/>
          <w:szCs w:val="24"/>
        </w:rPr>
        <w:t xml:space="preserve"> statistic.</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If </w:t>
      </w:r>
      <w:r w:rsidR="00B27D84" w:rsidRPr="00384046">
        <w:rPr>
          <w:rFonts w:ascii="Book Antiqua" w:eastAsia="SimSun" w:hAnsi="Book Antiqua" w:cs="Times New Roman"/>
          <w:i/>
          <w:color w:val="000000" w:themeColor="text1"/>
          <w:sz w:val="24"/>
          <w:szCs w:val="24"/>
        </w:rPr>
        <w:t xml:space="preserve">P </w:t>
      </w:r>
      <w:r w:rsidRPr="00384046">
        <w:rPr>
          <w:rFonts w:ascii="Book Antiqua" w:eastAsia="SimSun" w:hAnsi="Book Antiqua" w:cs="Times New Roman"/>
          <w:i/>
          <w:color w:val="000000" w:themeColor="text1"/>
          <w:sz w:val="24"/>
          <w:szCs w:val="24"/>
        </w:rPr>
        <w:t>&gt;</w:t>
      </w:r>
      <w:r w:rsidR="00B27D84" w:rsidRPr="00384046">
        <w:rPr>
          <w:rFonts w:ascii="Book Antiqua" w:eastAsia="SimSun" w:hAnsi="Book Antiqua" w:cs="Times New Roman"/>
          <w:i/>
          <w:color w:val="000000" w:themeColor="text1"/>
          <w:sz w:val="24"/>
          <w:szCs w:val="24"/>
        </w:rPr>
        <w:t xml:space="preserve"> </w:t>
      </w:r>
      <w:r w:rsidRPr="00384046">
        <w:rPr>
          <w:rFonts w:ascii="Book Antiqua" w:eastAsia="SimSun" w:hAnsi="Book Antiqua" w:cs="Times New Roman"/>
          <w:color w:val="000000" w:themeColor="text1"/>
          <w:sz w:val="24"/>
          <w:szCs w:val="24"/>
        </w:rPr>
        <w:t xml:space="preserve">0.1 and </w:t>
      </w:r>
      <w:r w:rsidRPr="00384046">
        <w:rPr>
          <w:rFonts w:ascii="Book Antiqua" w:eastAsia="SimSun" w:hAnsi="Book Antiqua" w:cs="Times New Roman"/>
          <w:i/>
          <w:color w:val="000000" w:themeColor="text1"/>
          <w:sz w:val="24"/>
          <w:szCs w:val="24"/>
        </w:rPr>
        <w:t>I</w:t>
      </w:r>
      <w:r w:rsidRPr="00384046">
        <w:rPr>
          <w:rFonts w:ascii="Book Antiqua" w:eastAsia="SimSun" w:hAnsi="Book Antiqua" w:cs="Times New Roman"/>
          <w:i/>
          <w:color w:val="000000" w:themeColor="text1"/>
          <w:sz w:val="24"/>
          <w:szCs w:val="24"/>
          <w:vertAlign w:val="superscript"/>
        </w:rPr>
        <w:t>2</w:t>
      </w:r>
      <w:r w:rsidR="00B27D84" w:rsidRPr="00384046">
        <w:rPr>
          <w:rFonts w:ascii="Book Antiqua" w:eastAsia="SimSun" w:hAnsi="Book Antiqua" w:cs="Times New Roman"/>
          <w:i/>
          <w:color w:val="000000" w:themeColor="text1"/>
          <w:sz w:val="24"/>
          <w:szCs w:val="24"/>
          <w:vertAlign w:val="superscript"/>
        </w:rPr>
        <w:t xml:space="preserve"> </w:t>
      </w:r>
      <w:r w:rsidRPr="00384046">
        <w:rPr>
          <w:rFonts w:ascii="Book Antiqua" w:eastAsia="SimSun" w:hAnsi="Book Antiqua" w:cs="Times New Roman"/>
          <w:color w:val="000000" w:themeColor="text1"/>
          <w:sz w:val="24"/>
          <w:szCs w:val="24"/>
        </w:rPr>
        <w:t>&lt;</w:t>
      </w:r>
      <w:r w:rsidR="00B27D84" w:rsidRPr="00384046">
        <w:rPr>
          <w:rFonts w:ascii="Book Antiqua" w:eastAsia="SimSun"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50%,</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the</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fixed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effects model was used.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Otherwise, the random</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effects model was used.</w:t>
      </w:r>
      <w:r w:rsidRPr="00384046">
        <w:rPr>
          <w:rFonts w:ascii="Book Antiqua" w:hAnsi="Book Antiqua" w:cs="Times New Roman"/>
          <w:color w:val="000000" w:themeColor="text1"/>
          <w:sz w:val="24"/>
          <w:szCs w:val="24"/>
        </w:rPr>
        <w:t xml:space="preserve"> </w:t>
      </w:r>
    </w:p>
    <w:p w:rsidR="000F3CAF" w:rsidRPr="00384046" w:rsidRDefault="000F3CAF" w:rsidP="00384046">
      <w:pPr>
        <w:adjustRightInd w:val="0"/>
        <w:snapToGrid w:val="0"/>
        <w:spacing w:line="360" w:lineRule="auto"/>
        <w:rPr>
          <w:rFonts w:ascii="Book Antiqua" w:hAnsi="Book Antiqua"/>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results</w:t>
      </w:r>
    </w:p>
    <w:p w:rsidR="000F3CAF" w:rsidRPr="00384046" w:rsidRDefault="000F3CAF" w:rsidP="00384046">
      <w:pPr>
        <w:adjustRightInd w:val="0"/>
        <w:snapToGrid w:val="0"/>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 xml:space="preserve">Our meta-analysis included 7 high quality articles and 598 patients with advanced gastric cancer for the final analysis to compare the efficacy and safety of the DCF regimen and ECF regimen. The results showed that DCF and ECF are both effective with comparable PFS </w:t>
      </w:r>
      <w:r w:rsidRPr="00384046">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0.58-1.46, </w:t>
      </w:r>
      <w:r w:rsidR="00B27D84" w:rsidRPr="00384046">
        <w:rPr>
          <w:rFonts w:ascii="Book Antiqua" w:eastAsia="SimSun" w:hAnsi="Book Antiqua" w:cs="Times New Roman"/>
          <w:i/>
          <w:color w:val="000000" w:themeColor="text1"/>
          <w:sz w:val="24"/>
          <w:szCs w:val="24"/>
        </w:rPr>
        <w:t>P</w:t>
      </w:r>
      <w:r w:rsidR="00B27D8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0.73)</w:t>
      </w:r>
      <w:r w:rsidRPr="00384046">
        <w:rPr>
          <w:rFonts w:ascii="Book Antiqua" w:eastAsia="SimSun" w:hAnsi="Book Antiqua" w:cs="Times New Roman"/>
          <w:color w:val="000000" w:themeColor="text1"/>
          <w:sz w:val="24"/>
          <w:szCs w:val="24"/>
        </w:rPr>
        <w:t xml:space="preserve"> and OS </w:t>
      </w:r>
      <w:r w:rsidRPr="00384046">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0.65-1.10, </w:t>
      </w:r>
      <w:r w:rsidR="000918BE" w:rsidRPr="00384046">
        <w:rPr>
          <w:rFonts w:ascii="Book Antiqua" w:eastAsia="SimSun"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0.21)</w:t>
      </w:r>
      <w:r w:rsidRPr="00384046">
        <w:rPr>
          <w:rFonts w:ascii="Book Antiqua" w:eastAsia="SimSun" w:hAnsi="Book Antiqua" w:cs="Times New Roman"/>
          <w:color w:val="000000" w:themeColor="text1"/>
          <w:sz w:val="24"/>
          <w:szCs w:val="24"/>
        </w:rPr>
        <w:t xml:space="preserve">. The DCF group showed significantly better ORR </w:t>
      </w:r>
      <w:r w:rsidRPr="00384046">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1.13-1.75, </w:t>
      </w:r>
      <w:r w:rsidR="000918BE" w:rsidRPr="00384046">
        <w:rPr>
          <w:rFonts w:ascii="Book Antiqua" w:eastAsia="SimSun"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w:t>
      </w:r>
      <w:r w:rsidRPr="00384046">
        <w:rPr>
          <w:rFonts w:ascii="Book Antiqua" w:eastAsia="SimSun" w:hAnsi="Book Antiqua" w:cs="Times New Roman"/>
          <w:color w:val="000000" w:themeColor="text1"/>
          <w:sz w:val="24"/>
          <w:szCs w:val="24"/>
        </w:rPr>
        <w:t xml:space="preserve"> and DCR </w:t>
      </w:r>
      <w:r w:rsidRPr="00384046">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1.03-1.41, </w:t>
      </w:r>
      <w:r w:rsidR="000918BE" w:rsidRPr="00384046">
        <w:rPr>
          <w:rFonts w:ascii="Book Antiqua" w:eastAsia="SimSun"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0.02)</w:t>
      </w:r>
      <w:r w:rsidRPr="00384046">
        <w:rPr>
          <w:rFonts w:ascii="Book Antiqua" w:eastAsia="SimSun" w:hAnsi="Book Antiqua" w:cs="Times New Roman"/>
          <w:color w:val="000000" w:themeColor="text1"/>
          <w:sz w:val="24"/>
          <w:szCs w:val="24"/>
        </w:rPr>
        <w:t xml:space="preserve"> than the ECF group, and the difference was statistically significant. We evaluated toxicities between the DCF and ECF groups based on total (all-grade/grade 3-4) AEs. The AEs between the two groups are only significantly different in the two aspects of </w:t>
      </w:r>
      <w:r w:rsidRPr="00384046">
        <w:rPr>
          <w:rFonts w:ascii="Book Antiqua" w:hAnsi="Book Antiqua" w:cs="Times New Roman"/>
          <w:color w:val="000000" w:themeColor="text1"/>
          <w:sz w:val="24"/>
          <w:szCs w:val="24"/>
        </w:rPr>
        <w:t>neutropenia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1.25-2.16, </w:t>
      </w:r>
      <w:r w:rsidR="000918BE" w:rsidRPr="00384046">
        <w:rPr>
          <w:rFonts w:ascii="Book Antiqua" w:eastAsia="SimSun"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0.0003) and febrile neutropenia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1.17-4.12, </w:t>
      </w:r>
      <w:r w:rsidR="000918BE" w:rsidRPr="00384046">
        <w:rPr>
          <w:rFonts w:ascii="Book Antiqua" w:eastAsia="SimSun"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0.01)</w:t>
      </w:r>
      <w:r w:rsidRPr="00384046">
        <w:rPr>
          <w:rFonts w:ascii="Book Antiqua" w:eastAsia="SimSun" w:hAnsi="Book Antiqua" w:cs="Times New Roman"/>
          <w:color w:val="000000" w:themeColor="text1"/>
          <w:sz w:val="24"/>
          <w:szCs w:val="24"/>
        </w:rPr>
        <w:t>, while other toxicities appeared with no statistically significant differences in both groups.</w:t>
      </w:r>
    </w:p>
    <w:p w:rsidR="000F3CAF" w:rsidRPr="00384046" w:rsidRDefault="000F3CAF" w:rsidP="00384046">
      <w:pPr>
        <w:adjustRightInd w:val="0"/>
        <w:snapToGrid w:val="0"/>
        <w:spacing w:line="360" w:lineRule="auto"/>
        <w:rPr>
          <w:rFonts w:ascii="Book Antiqua" w:eastAsia="SimSun" w:hAnsi="Book Antiqua" w:cs="Times New Roman"/>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lastRenderedPageBreak/>
        <w:t>Research conclusions</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r w:rsidRPr="00384046">
        <w:rPr>
          <w:rFonts w:ascii="Book Antiqua" w:hAnsi="Book Antiqua"/>
          <w:color w:val="000000" w:themeColor="text1"/>
          <w:sz w:val="24"/>
          <w:szCs w:val="24"/>
        </w:rPr>
        <w:t xml:space="preserve">This study is the latest meta-analysis to compare DCF and ECF regimens for advanced gastric cancer. From this result, we conclude that </w:t>
      </w:r>
      <w:r w:rsidRPr="00384046">
        <w:rPr>
          <w:rFonts w:ascii="Book Antiqua" w:hAnsi="Book Antiqua" w:cs="Times New Roman"/>
          <w:color w:val="000000" w:themeColor="text1"/>
          <w:sz w:val="24"/>
          <w:szCs w:val="24"/>
        </w:rPr>
        <w:t>DCF regimen seems to be more suitable for advanced gastric cancer than the ECF regimen. This finding is extremely important for the research and guidance of clinical medication in related fields. DCF regimens, like most drugs, are not perfect and in some respects show some unsatisfactory aspects. We cannot deny the effectiveness of DCF in the treatment of advanced gastric cancer, but we cannot ignore its side effects.</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perspectives</w:t>
      </w:r>
    </w:p>
    <w:p w:rsidR="000F3CAF" w:rsidRPr="00384046" w:rsidRDefault="000F3CAF" w:rsidP="00384046">
      <w:pPr>
        <w:spacing w:line="360" w:lineRule="auto"/>
        <w:rPr>
          <w:rFonts w:ascii="Book Antiqua" w:eastAsia="SimSun" w:hAnsi="Book Antiqua" w:cs="Times New Roman"/>
          <w:color w:val="000000" w:themeColor="text1"/>
          <w:sz w:val="24"/>
          <w:szCs w:val="24"/>
        </w:rPr>
      </w:pPr>
      <w:r w:rsidRPr="00384046">
        <w:rPr>
          <w:rFonts w:ascii="Book Antiqua" w:eastAsia="SimSun" w:hAnsi="Book Antiqua" w:cs="Times New Roman"/>
          <w:color w:val="000000" w:themeColor="text1"/>
          <w:sz w:val="24"/>
          <w:szCs w:val="24"/>
        </w:rPr>
        <w:t>Our evidence of evidence-based medicine is mainly based on the original clinical research, but at present it seems that the research in related fields is still very deficient, which directly leads to the great limitation of our access to clinical evidence. Although there are still many controversies about the first-line drug use in the treatment of advanced gastric cancer, because gastric cancer cells are relatively sensitive to chemotherapeutic drugs, it is expected that larger clinical trials in the future can be conducted for related research.</w:t>
      </w:r>
    </w:p>
    <w:p w:rsidR="000F3CAF" w:rsidRPr="00384046" w:rsidRDefault="000F3CAF" w:rsidP="00384046">
      <w:pPr>
        <w:spacing w:line="360" w:lineRule="auto"/>
        <w:rPr>
          <w:rFonts w:ascii="Book Antiqua" w:eastAsia="SimSun" w:hAnsi="Book Antiqua" w:cs="Times New Roman"/>
          <w:b/>
          <w:color w:val="000000" w:themeColor="text1"/>
          <w:sz w:val="24"/>
          <w:szCs w:val="24"/>
        </w:rPr>
      </w:pPr>
    </w:p>
    <w:p w:rsidR="00FD58D4" w:rsidRPr="00384046" w:rsidRDefault="00E941BA" w:rsidP="00384046">
      <w:pPr>
        <w:spacing w:line="360" w:lineRule="auto"/>
        <w:rPr>
          <w:rFonts w:ascii="Book Antiqua" w:eastAsia="SimSun"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t>ACKNOWLEDGEMENTS</w:t>
      </w:r>
    </w:p>
    <w:p w:rsidR="00FD58D4" w:rsidRPr="00384046" w:rsidRDefault="00080EBC"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Cs/>
          <w:color w:val="000000" w:themeColor="text1"/>
          <w:sz w:val="24"/>
          <w:szCs w:val="24"/>
        </w:rPr>
        <w:t xml:space="preserve">The authors thank </w:t>
      </w:r>
      <w:r w:rsidR="006B42DA" w:rsidRPr="00384046">
        <w:rPr>
          <w:rFonts w:ascii="Book Antiqua" w:hAnsi="Book Antiqua" w:cs="Times New Roman"/>
          <w:bCs/>
          <w:color w:val="000000" w:themeColor="text1"/>
          <w:sz w:val="24"/>
          <w:szCs w:val="24"/>
        </w:rPr>
        <w:t xml:space="preserve">Professor </w:t>
      </w:r>
      <w:r w:rsidRPr="00384046">
        <w:rPr>
          <w:rFonts w:ascii="Book Antiqua" w:hAnsi="Book Antiqua" w:cs="Times New Roman"/>
          <w:bCs/>
          <w:color w:val="000000" w:themeColor="text1"/>
          <w:sz w:val="24"/>
          <w:szCs w:val="24"/>
        </w:rPr>
        <w:t>Ji</w:t>
      </w:r>
      <w:r w:rsidR="00E941BA" w:rsidRPr="00384046">
        <w:rPr>
          <w:rFonts w:ascii="Book Antiqua" w:hAnsi="Book Antiqua" w:cs="Times New Roman"/>
          <w:bCs/>
          <w:color w:val="000000" w:themeColor="text1"/>
          <w:sz w:val="24"/>
          <w:szCs w:val="24"/>
        </w:rPr>
        <w:t xml:space="preserve">-Chun </w:t>
      </w:r>
      <w:r w:rsidRPr="00384046">
        <w:rPr>
          <w:rFonts w:ascii="Book Antiqua" w:hAnsi="Book Antiqua" w:cs="Times New Roman"/>
          <w:bCs/>
          <w:color w:val="000000" w:themeColor="text1"/>
          <w:sz w:val="24"/>
          <w:szCs w:val="24"/>
        </w:rPr>
        <w:t xml:space="preserve">Liu, MD, </w:t>
      </w:r>
      <w:r w:rsidR="00EC1089" w:rsidRPr="00384046">
        <w:rPr>
          <w:rFonts w:ascii="Book Antiqua" w:hAnsi="Book Antiqua" w:cs="Times New Roman"/>
          <w:bCs/>
          <w:color w:val="000000" w:themeColor="text1"/>
          <w:sz w:val="24"/>
          <w:szCs w:val="24"/>
        </w:rPr>
        <w:t>PhD (</w:t>
      </w:r>
      <w:r w:rsidRPr="00384046">
        <w:rPr>
          <w:rFonts w:ascii="Book Antiqua" w:hAnsi="Book Antiqua" w:cs="Times New Roman"/>
          <w:bCs/>
          <w:color w:val="000000" w:themeColor="text1"/>
          <w:sz w:val="24"/>
          <w:szCs w:val="24"/>
        </w:rPr>
        <w:t xml:space="preserve">Department of Cardio-Thoracic Surgery, The </w:t>
      </w:r>
      <w:r w:rsidR="00731A56" w:rsidRPr="00384046">
        <w:rPr>
          <w:rFonts w:ascii="Book Antiqua" w:hAnsi="Book Antiqua" w:cs="Times New Roman"/>
          <w:bCs/>
          <w:color w:val="000000" w:themeColor="text1"/>
          <w:sz w:val="24"/>
          <w:szCs w:val="24"/>
        </w:rPr>
        <w:t xml:space="preserve">Second Affiliated Hospital </w:t>
      </w:r>
      <w:r w:rsidRPr="00384046">
        <w:rPr>
          <w:rFonts w:ascii="Book Antiqua" w:hAnsi="Book Antiqua" w:cs="Times New Roman"/>
          <w:bCs/>
          <w:color w:val="000000" w:themeColor="text1"/>
          <w:sz w:val="24"/>
          <w:szCs w:val="24"/>
        </w:rPr>
        <w:t xml:space="preserve">of Nanchang University) and </w:t>
      </w:r>
      <w:r w:rsidR="00731A56" w:rsidRPr="00384046">
        <w:rPr>
          <w:rFonts w:ascii="Book Antiqua" w:hAnsi="Book Antiqua" w:cs="Times New Roman"/>
          <w:bCs/>
          <w:color w:val="000000" w:themeColor="text1"/>
          <w:sz w:val="24"/>
          <w:szCs w:val="24"/>
        </w:rPr>
        <w:t xml:space="preserve">Professor </w:t>
      </w:r>
      <w:r w:rsidRPr="00384046">
        <w:rPr>
          <w:rFonts w:ascii="Book Antiqua" w:hAnsi="Book Antiqua" w:cs="Times New Roman"/>
          <w:bCs/>
          <w:color w:val="000000" w:themeColor="text1"/>
          <w:sz w:val="24"/>
          <w:szCs w:val="24"/>
        </w:rPr>
        <w:t>Xiao</w:t>
      </w:r>
      <w:r w:rsidR="00E941BA" w:rsidRPr="00384046">
        <w:rPr>
          <w:rFonts w:ascii="Book Antiqua" w:hAnsi="Book Antiqua" w:cs="Times New Roman"/>
          <w:bCs/>
          <w:color w:val="000000" w:themeColor="text1"/>
          <w:sz w:val="24"/>
          <w:szCs w:val="24"/>
        </w:rPr>
        <w:t xml:space="preserve">-Shu </w:t>
      </w:r>
      <w:r w:rsidRPr="00384046">
        <w:rPr>
          <w:rFonts w:ascii="Book Antiqua" w:hAnsi="Book Antiqua" w:cs="Times New Roman"/>
          <w:bCs/>
          <w:color w:val="000000" w:themeColor="text1"/>
          <w:sz w:val="24"/>
          <w:szCs w:val="24"/>
        </w:rPr>
        <w:t xml:space="preserve">Cheng, MD, PhD (Department of </w:t>
      </w:r>
      <w:r w:rsidRPr="00384046">
        <w:rPr>
          <w:rFonts w:ascii="Book Antiqua" w:hAnsi="Book Antiqua" w:cs="Times New Roman"/>
          <w:bCs/>
          <w:color w:val="000000" w:themeColor="text1"/>
          <w:sz w:val="24"/>
          <w:szCs w:val="24"/>
        </w:rPr>
        <w:lastRenderedPageBreak/>
        <w:t xml:space="preserve">Cardiology, The </w:t>
      </w:r>
      <w:r w:rsidR="00731A56" w:rsidRPr="00384046">
        <w:rPr>
          <w:rFonts w:ascii="Book Antiqua" w:hAnsi="Book Antiqua" w:cs="Times New Roman"/>
          <w:bCs/>
          <w:color w:val="000000" w:themeColor="text1"/>
          <w:sz w:val="24"/>
          <w:szCs w:val="24"/>
        </w:rPr>
        <w:t xml:space="preserve">Second Affiliated Hospital </w:t>
      </w:r>
      <w:r w:rsidRPr="00384046">
        <w:rPr>
          <w:rFonts w:ascii="Book Antiqua" w:hAnsi="Book Antiqua" w:cs="Times New Roman"/>
          <w:bCs/>
          <w:color w:val="000000" w:themeColor="text1"/>
          <w:sz w:val="24"/>
          <w:szCs w:val="24"/>
        </w:rPr>
        <w:t>of Nanchang University) for their advice.</w:t>
      </w:r>
    </w:p>
    <w:p w:rsidR="0018133C" w:rsidRPr="00384046" w:rsidRDefault="0018133C" w:rsidP="00384046">
      <w:pPr>
        <w:spacing w:line="360" w:lineRule="auto"/>
        <w:rPr>
          <w:rFonts w:ascii="Book Antiqua" w:eastAsia="SimSun" w:hAnsi="Book Antiqua" w:cs="Times New Roman"/>
          <w:b/>
          <w:color w:val="000000" w:themeColor="text1"/>
          <w:sz w:val="24"/>
          <w:szCs w:val="24"/>
        </w:rPr>
      </w:pPr>
    </w:p>
    <w:p w:rsidR="00794A64" w:rsidRPr="00384046" w:rsidRDefault="00E941BA" w:rsidP="00384046">
      <w:pPr>
        <w:spacing w:line="360" w:lineRule="auto"/>
        <w:rPr>
          <w:rFonts w:ascii="Book Antiqua" w:eastAsia="SimSun"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t>REFERENCES</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 </w:t>
      </w:r>
      <w:r w:rsidRPr="00384046">
        <w:rPr>
          <w:rFonts w:ascii="Book Antiqua" w:hAnsi="Book Antiqua"/>
          <w:b/>
          <w:sz w:val="24"/>
          <w:szCs w:val="24"/>
        </w:rPr>
        <w:t>Bray F</w:t>
      </w:r>
      <w:r w:rsidRPr="00384046">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384046">
        <w:rPr>
          <w:rFonts w:ascii="Book Antiqua" w:hAnsi="Book Antiqua"/>
          <w:i/>
          <w:sz w:val="24"/>
          <w:szCs w:val="24"/>
        </w:rPr>
        <w:t>CA Cancer J Clin</w:t>
      </w:r>
      <w:r w:rsidRPr="00384046">
        <w:rPr>
          <w:rFonts w:ascii="Book Antiqua" w:hAnsi="Book Antiqua"/>
          <w:sz w:val="24"/>
          <w:szCs w:val="24"/>
        </w:rPr>
        <w:t xml:space="preserve"> 2018; </w:t>
      </w:r>
      <w:r w:rsidRPr="00384046">
        <w:rPr>
          <w:rFonts w:ascii="Book Antiqua" w:hAnsi="Book Antiqua"/>
          <w:b/>
          <w:sz w:val="24"/>
          <w:szCs w:val="24"/>
        </w:rPr>
        <w:t>68</w:t>
      </w:r>
      <w:r w:rsidRPr="00384046">
        <w:rPr>
          <w:rFonts w:ascii="Book Antiqua" w:hAnsi="Book Antiqua"/>
          <w:sz w:val="24"/>
          <w:szCs w:val="24"/>
        </w:rPr>
        <w:t>: 394-424 [PMID: 30207593 DOI: 10.3322/caac.21492]</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 </w:t>
      </w:r>
      <w:r w:rsidRPr="00384046">
        <w:rPr>
          <w:rFonts w:ascii="Book Antiqua" w:hAnsi="Book Antiqua"/>
          <w:b/>
          <w:sz w:val="24"/>
          <w:szCs w:val="24"/>
        </w:rPr>
        <w:t>Wagner AD</w:t>
      </w:r>
      <w:r w:rsidRPr="00384046">
        <w:rPr>
          <w:rFonts w:ascii="Book Antiqua" w:hAnsi="Book Antiqua"/>
          <w:sz w:val="24"/>
          <w:szCs w:val="24"/>
        </w:rPr>
        <w:t xml:space="preserve">, Wedding U. Advances in the pharmacological treatment of gastro-oesophageal cancer. </w:t>
      </w:r>
      <w:r w:rsidRPr="00384046">
        <w:rPr>
          <w:rFonts w:ascii="Book Antiqua" w:hAnsi="Book Antiqua"/>
          <w:i/>
          <w:sz w:val="24"/>
          <w:szCs w:val="24"/>
        </w:rPr>
        <w:t>Drugs Aging</w:t>
      </w:r>
      <w:r w:rsidRPr="00384046">
        <w:rPr>
          <w:rFonts w:ascii="Book Antiqua" w:hAnsi="Book Antiqua"/>
          <w:sz w:val="24"/>
          <w:szCs w:val="24"/>
        </w:rPr>
        <w:t xml:space="preserve"> 2009; </w:t>
      </w:r>
      <w:r w:rsidRPr="00384046">
        <w:rPr>
          <w:rFonts w:ascii="Book Antiqua" w:hAnsi="Book Antiqua"/>
          <w:b/>
          <w:sz w:val="24"/>
          <w:szCs w:val="24"/>
        </w:rPr>
        <w:t>26</w:t>
      </w:r>
      <w:r w:rsidRPr="00384046">
        <w:rPr>
          <w:rFonts w:ascii="Book Antiqua" w:hAnsi="Book Antiqua"/>
          <w:sz w:val="24"/>
          <w:szCs w:val="24"/>
        </w:rPr>
        <w:t>: 627-646 [PMID: 19685930 DOI: 10.2165/11315740-000000000-00000]</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 </w:t>
      </w:r>
      <w:r w:rsidRPr="00384046">
        <w:rPr>
          <w:rFonts w:ascii="Book Antiqua" w:hAnsi="Book Antiqua"/>
          <w:b/>
          <w:sz w:val="24"/>
          <w:szCs w:val="24"/>
        </w:rPr>
        <w:t>Ang TL</w:t>
      </w:r>
      <w:r w:rsidRPr="00384046">
        <w:rPr>
          <w:rFonts w:ascii="Book Antiqua" w:hAnsi="Book Antiqua"/>
          <w:sz w:val="24"/>
          <w:szCs w:val="24"/>
        </w:rPr>
        <w:t xml:space="preserve">, Fock KM. Clinical epidemiology of gastric cancer. </w:t>
      </w:r>
      <w:r w:rsidRPr="00384046">
        <w:rPr>
          <w:rFonts w:ascii="Book Antiqua" w:hAnsi="Book Antiqua"/>
          <w:i/>
          <w:sz w:val="24"/>
          <w:szCs w:val="24"/>
        </w:rPr>
        <w:t>Singapore Med J</w:t>
      </w:r>
      <w:r w:rsidRPr="00384046">
        <w:rPr>
          <w:rFonts w:ascii="Book Antiqua" w:hAnsi="Book Antiqua"/>
          <w:sz w:val="24"/>
          <w:szCs w:val="24"/>
        </w:rPr>
        <w:t xml:space="preserve"> 2014; </w:t>
      </w:r>
      <w:r w:rsidRPr="00384046">
        <w:rPr>
          <w:rFonts w:ascii="Book Antiqua" w:hAnsi="Book Antiqua"/>
          <w:b/>
          <w:sz w:val="24"/>
          <w:szCs w:val="24"/>
        </w:rPr>
        <w:t>55</w:t>
      </w:r>
      <w:r w:rsidRPr="00384046">
        <w:rPr>
          <w:rFonts w:ascii="Book Antiqua" w:hAnsi="Book Antiqua"/>
          <w:sz w:val="24"/>
          <w:szCs w:val="24"/>
        </w:rPr>
        <w:t>: 621-628 [PMID: 25630323</w:t>
      </w:r>
      <w:r w:rsidR="00F074E2">
        <w:rPr>
          <w:rFonts w:ascii="Book Antiqua" w:hAnsi="Book Antiqua" w:hint="eastAsia"/>
          <w:sz w:val="24"/>
          <w:szCs w:val="24"/>
        </w:rPr>
        <w:t xml:space="preserve"> DOI: </w:t>
      </w:r>
      <w:r w:rsidR="00F074E2" w:rsidRPr="00F074E2">
        <w:rPr>
          <w:rFonts w:ascii="Book Antiqua" w:hAnsi="Book Antiqua"/>
          <w:sz w:val="24"/>
          <w:szCs w:val="24"/>
        </w:rPr>
        <w:t>10.11622/smedj.2014174</w:t>
      </w:r>
      <w:r w:rsidRPr="00384046">
        <w:rPr>
          <w:rFonts w:ascii="Book Antiqua" w:hAnsi="Book Antiqua"/>
          <w:sz w:val="24"/>
          <w:szCs w:val="24"/>
        </w:rPr>
        <w:t>]</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4 </w:t>
      </w:r>
      <w:r w:rsidRPr="00384046">
        <w:rPr>
          <w:rFonts w:ascii="Book Antiqua" w:hAnsi="Book Antiqua"/>
          <w:b/>
          <w:sz w:val="24"/>
          <w:szCs w:val="24"/>
        </w:rPr>
        <w:t>Das P</w:t>
      </w:r>
      <w:r w:rsidRPr="00384046">
        <w:rPr>
          <w:rFonts w:ascii="Book Antiqua" w:hAnsi="Book Antiqua"/>
          <w:sz w:val="24"/>
          <w:szCs w:val="24"/>
        </w:rPr>
        <w:t xml:space="preserve">, Ajani JA. Gastric and gastro-oesophageal cancer therapy. </w:t>
      </w:r>
      <w:r w:rsidRPr="00384046">
        <w:rPr>
          <w:rFonts w:ascii="Book Antiqua" w:hAnsi="Book Antiqua"/>
          <w:i/>
          <w:sz w:val="24"/>
          <w:szCs w:val="24"/>
        </w:rPr>
        <w:t>Expert Opin Pharmacother</w:t>
      </w:r>
      <w:r w:rsidRPr="00384046">
        <w:rPr>
          <w:rFonts w:ascii="Book Antiqua" w:hAnsi="Book Antiqua"/>
          <w:sz w:val="24"/>
          <w:szCs w:val="24"/>
        </w:rPr>
        <w:t xml:space="preserve"> 2005; </w:t>
      </w:r>
      <w:r w:rsidRPr="00384046">
        <w:rPr>
          <w:rFonts w:ascii="Book Antiqua" w:hAnsi="Book Antiqua"/>
          <w:b/>
          <w:sz w:val="24"/>
          <w:szCs w:val="24"/>
        </w:rPr>
        <w:t>6</w:t>
      </w:r>
      <w:r w:rsidRPr="00384046">
        <w:rPr>
          <w:rFonts w:ascii="Book Antiqua" w:hAnsi="Book Antiqua"/>
          <w:sz w:val="24"/>
          <w:szCs w:val="24"/>
        </w:rPr>
        <w:t>: 2805-2812 [PMID: 16318431 DOI: 10.1517/14656566.6.16.2805]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5 </w:t>
      </w:r>
      <w:r w:rsidRPr="00384046">
        <w:rPr>
          <w:rFonts w:ascii="Book Antiqua" w:hAnsi="Book Antiqua"/>
          <w:b/>
          <w:sz w:val="24"/>
          <w:szCs w:val="24"/>
        </w:rPr>
        <w:t>Hu JK</w:t>
      </w:r>
      <w:r w:rsidRPr="00384046">
        <w:rPr>
          <w:rFonts w:ascii="Book Antiqua" w:hAnsi="Book Antiqua"/>
          <w:sz w:val="24"/>
          <w:szCs w:val="24"/>
        </w:rPr>
        <w:t xml:space="preserve">, Chen ZX, Zhou ZG, Zhang B, Tian J, Chen JP, Wang L, Wang CH, Chen HY, Li YP. Intravenous chemotherapy for resected gastric cancer: meta-analysis of randomized controlled trials. </w:t>
      </w:r>
      <w:r w:rsidRPr="00384046">
        <w:rPr>
          <w:rFonts w:ascii="Book Antiqua" w:hAnsi="Book Antiqua"/>
          <w:i/>
          <w:sz w:val="24"/>
          <w:szCs w:val="24"/>
        </w:rPr>
        <w:t>World J Gastroenterol</w:t>
      </w:r>
      <w:r w:rsidRPr="00384046">
        <w:rPr>
          <w:rFonts w:ascii="Book Antiqua" w:hAnsi="Book Antiqua"/>
          <w:sz w:val="24"/>
          <w:szCs w:val="24"/>
        </w:rPr>
        <w:t xml:space="preserve"> 2002; </w:t>
      </w:r>
      <w:r w:rsidRPr="00384046">
        <w:rPr>
          <w:rFonts w:ascii="Book Antiqua" w:hAnsi="Book Antiqua"/>
          <w:b/>
          <w:sz w:val="24"/>
          <w:szCs w:val="24"/>
        </w:rPr>
        <w:t>8</w:t>
      </w:r>
      <w:r w:rsidRPr="00384046">
        <w:rPr>
          <w:rFonts w:ascii="Book Antiqua" w:hAnsi="Book Antiqua"/>
          <w:sz w:val="24"/>
          <w:szCs w:val="24"/>
        </w:rPr>
        <w:t>: 1023-1028 [PMID: 12439918</w:t>
      </w:r>
      <w:r w:rsidR="00F074E2">
        <w:rPr>
          <w:rFonts w:ascii="Book Antiqua" w:hAnsi="Book Antiqua" w:hint="eastAsia"/>
          <w:sz w:val="24"/>
          <w:szCs w:val="24"/>
        </w:rPr>
        <w:t xml:space="preserve"> DOI: </w:t>
      </w:r>
      <w:r w:rsidR="00F074E2" w:rsidRPr="00F074E2">
        <w:rPr>
          <w:rFonts w:ascii="Book Antiqua" w:hAnsi="Book Antiqua"/>
          <w:sz w:val="24"/>
          <w:szCs w:val="24"/>
        </w:rPr>
        <w:t>10.3748/wjg.v8.i6.1023</w:t>
      </w:r>
      <w:r w:rsidRPr="00384046">
        <w:rPr>
          <w:rFonts w:ascii="Book Antiqua" w:hAnsi="Book Antiqua"/>
          <w:sz w:val="24"/>
          <w:szCs w:val="24"/>
        </w:rPr>
        <w:t>]</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6 </w:t>
      </w:r>
      <w:r w:rsidRPr="00384046">
        <w:rPr>
          <w:rFonts w:ascii="Book Antiqua" w:hAnsi="Book Antiqua"/>
          <w:b/>
          <w:sz w:val="24"/>
          <w:szCs w:val="24"/>
        </w:rPr>
        <w:t>Hu JK</w:t>
      </w:r>
      <w:r w:rsidRPr="00384046">
        <w:rPr>
          <w:rFonts w:ascii="Book Antiqua" w:hAnsi="Book Antiqua"/>
          <w:sz w:val="24"/>
          <w:szCs w:val="24"/>
        </w:rPr>
        <w:t xml:space="preserve">, Li CM, Chen XZ, Chen ZX, Zhou ZG, Zhang B, Chen JP. The effectiveness of intravenous 5-fluorouracil-containing chemotherapy after curative resection for gastric carcinoma: A systematic review of published randomized controlled trials. </w:t>
      </w:r>
      <w:r w:rsidRPr="00384046">
        <w:rPr>
          <w:rFonts w:ascii="Book Antiqua" w:hAnsi="Book Antiqua"/>
          <w:i/>
          <w:sz w:val="24"/>
          <w:szCs w:val="24"/>
        </w:rPr>
        <w:t>J Chemother</w:t>
      </w:r>
      <w:r w:rsidRPr="00384046">
        <w:rPr>
          <w:rFonts w:ascii="Book Antiqua" w:hAnsi="Book Antiqua"/>
          <w:sz w:val="24"/>
          <w:szCs w:val="24"/>
        </w:rPr>
        <w:t xml:space="preserve"> 2007; </w:t>
      </w:r>
      <w:r w:rsidRPr="00384046">
        <w:rPr>
          <w:rFonts w:ascii="Book Antiqua" w:hAnsi="Book Antiqua"/>
          <w:b/>
          <w:sz w:val="24"/>
          <w:szCs w:val="24"/>
        </w:rPr>
        <w:t>19</w:t>
      </w:r>
      <w:r w:rsidRPr="00384046">
        <w:rPr>
          <w:rFonts w:ascii="Book Antiqua" w:hAnsi="Book Antiqua"/>
          <w:sz w:val="24"/>
          <w:szCs w:val="24"/>
        </w:rPr>
        <w:t>: 359-375 [PMID: 17855179 DOI: 10.1179/joc.2007.19.4.359]</w:t>
      </w:r>
    </w:p>
    <w:p w:rsidR="000868C7" w:rsidRPr="00700D0A" w:rsidRDefault="000868C7" w:rsidP="00700D0A">
      <w:pPr>
        <w:autoSpaceDE w:val="0"/>
        <w:autoSpaceDN w:val="0"/>
        <w:adjustRightInd w:val="0"/>
        <w:spacing w:line="360" w:lineRule="auto"/>
        <w:rPr>
          <w:rFonts w:ascii="Book Antiqua" w:hAnsi="Book Antiqua" w:cs="TimesNewRomanPSMT"/>
          <w:kern w:val="0"/>
          <w:sz w:val="24"/>
          <w:szCs w:val="24"/>
        </w:rPr>
      </w:pPr>
      <w:r w:rsidRPr="00700D0A">
        <w:rPr>
          <w:rFonts w:ascii="Book Antiqua" w:hAnsi="Book Antiqua"/>
          <w:sz w:val="24"/>
          <w:szCs w:val="24"/>
        </w:rPr>
        <w:lastRenderedPageBreak/>
        <w:t xml:space="preserve">7 </w:t>
      </w:r>
      <w:r w:rsidR="00700D0A" w:rsidRPr="00700D0A">
        <w:rPr>
          <w:rFonts w:ascii="Book Antiqua" w:hAnsi="Book Antiqua"/>
          <w:b/>
          <w:sz w:val="24"/>
          <w:szCs w:val="24"/>
        </w:rPr>
        <w:t xml:space="preserve">National Comprehensive Cancer Network. </w:t>
      </w:r>
      <w:r w:rsidRPr="00700D0A">
        <w:rPr>
          <w:rFonts w:ascii="Book Antiqua" w:hAnsi="Book Antiqua"/>
          <w:sz w:val="24"/>
          <w:szCs w:val="24"/>
        </w:rPr>
        <w:t xml:space="preserve">National Comprehensive Cancer Network Practice guidelines in oncology-version V.1.2018 (gastric cancer). </w:t>
      </w:r>
      <w:r w:rsidR="00700D0A" w:rsidRPr="00700D0A">
        <w:rPr>
          <w:rFonts w:ascii="Book Antiqua" w:hAnsi="Book Antiqua" w:cs="TimesNewRomanPSMT"/>
          <w:kern w:val="0"/>
          <w:sz w:val="24"/>
          <w:szCs w:val="24"/>
        </w:rPr>
        <w:t>Available from: URL:</w:t>
      </w:r>
      <w:r w:rsidR="00700D0A" w:rsidRPr="00700D0A">
        <w:rPr>
          <w:rFonts w:ascii="Book Antiqua" w:hAnsi="Book Antiqua"/>
          <w:sz w:val="24"/>
          <w:szCs w:val="24"/>
        </w:rPr>
        <w:t xml:space="preserve"> </w:t>
      </w:r>
      <w:r w:rsidRPr="00700D0A">
        <w:rPr>
          <w:rFonts w:ascii="Book Antiqua" w:hAnsi="Book Antiqua"/>
          <w:sz w:val="24"/>
          <w:szCs w:val="24"/>
        </w:rPr>
        <w:t>https://www.nccn.org/professional</w:t>
      </w:r>
      <w:r w:rsidR="00700D0A" w:rsidRPr="00700D0A">
        <w:rPr>
          <w:rFonts w:ascii="Book Antiqua" w:hAnsi="Book Antiqua"/>
          <w:sz w:val="24"/>
          <w:szCs w:val="24"/>
        </w:rPr>
        <w:t>s/physician_gls/pdf/gastric.pdf</w:t>
      </w:r>
    </w:p>
    <w:p w:rsidR="000868C7" w:rsidRPr="00384046" w:rsidRDefault="000868C7" w:rsidP="00700D0A">
      <w:pPr>
        <w:spacing w:line="360" w:lineRule="auto"/>
        <w:rPr>
          <w:rFonts w:ascii="Book Antiqua" w:hAnsi="Book Antiqua"/>
          <w:sz w:val="24"/>
          <w:szCs w:val="24"/>
        </w:rPr>
      </w:pPr>
      <w:r w:rsidRPr="00700D0A">
        <w:rPr>
          <w:rFonts w:ascii="Book Antiqua" w:hAnsi="Book Antiqua"/>
          <w:sz w:val="24"/>
          <w:szCs w:val="24"/>
        </w:rPr>
        <w:t xml:space="preserve">8 </w:t>
      </w:r>
      <w:r w:rsidRPr="00700D0A">
        <w:rPr>
          <w:rFonts w:ascii="Book Antiqua" w:hAnsi="Book Antiqua"/>
          <w:b/>
          <w:sz w:val="24"/>
          <w:szCs w:val="24"/>
        </w:rPr>
        <w:t>Kilickap S</w:t>
      </w:r>
      <w:r w:rsidRPr="00700D0A">
        <w:rPr>
          <w:rFonts w:ascii="Book Antiqua" w:hAnsi="Book Antiqua"/>
          <w:sz w:val="24"/>
          <w:szCs w:val="24"/>
        </w:rPr>
        <w:t>, Yalcin S, Ates O, Tekuzman G. The first line systemic chemot</w:t>
      </w:r>
      <w:r w:rsidRPr="00384046">
        <w:rPr>
          <w:rFonts w:ascii="Book Antiqua" w:hAnsi="Book Antiqua"/>
          <w:sz w:val="24"/>
          <w:szCs w:val="24"/>
        </w:rPr>
        <w:t xml:space="preserve">herapy in metastatic gastric carcinoma: A comparison of docetaxel, cisplatin and fluorouracil (DCF) versus cisplatin and fluorouracil (CF); versus epirubicin, cisplatin and fluorouracil (ECF) regimens in clinical setting. </w:t>
      </w:r>
      <w:r w:rsidRPr="00384046">
        <w:rPr>
          <w:rFonts w:ascii="Book Antiqua" w:hAnsi="Book Antiqua"/>
          <w:i/>
          <w:sz w:val="24"/>
          <w:szCs w:val="24"/>
        </w:rPr>
        <w:t>Hepatogastroenterology</w:t>
      </w:r>
      <w:r w:rsidRPr="00384046">
        <w:rPr>
          <w:rFonts w:ascii="Book Antiqua" w:hAnsi="Book Antiqua"/>
          <w:sz w:val="24"/>
          <w:szCs w:val="24"/>
        </w:rPr>
        <w:t xml:space="preserve"> 2011; </w:t>
      </w:r>
      <w:r w:rsidRPr="00384046">
        <w:rPr>
          <w:rFonts w:ascii="Book Antiqua" w:hAnsi="Book Antiqua"/>
          <w:b/>
          <w:sz w:val="24"/>
          <w:szCs w:val="24"/>
        </w:rPr>
        <w:t>58</w:t>
      </w:r>
      <w:r w:rsidRPr="00384046">
        <w:rPr>
          <w:rFonts w:ascii="Book Antiqua" w:hAnsi="Book Antiqua"/>
          <w:sz w:val="24"/>
          <w:szCs w:val="24"/>
        </w:rPr>
        <w:t>: 208-212 [PMID: 21510316]</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9 </w:t>
      </w:r>
      <w:r w:rsidRPr="00384046">
        <w:rPr>
          <w:rFonts w:ascii="Book Antiqua" w:hAnsi="Book Antiqua"/>
          <w:b/>
          <w:sz w:val="24"/>
          <w:szCs w:val="24"/>
        </w:rPr>
        <w:t>Babu KG</w:t>
      </w:r>
      <w:r w:rsidRPr="00384046">
        <w:rPr>
          <w:rFonts w:ascii="Book Antiqua" w:hAnsi="Book Antiqua"/>
          <w:sz w:val="24"/>
          <w:szCs w:val="24"/>
        </w:rPr>
        <w:t xml:space="preserve">, Chaudhuri T, Lakshmaiah KC, Dasappa L, Jacob LA, Babu M, Rudresha AH, Lokesh KN, Rajeev LK. 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 </w:t>
      </w:r>
      <w:r w:rsidRPr="00384046">
        <w:rPr>
          <w:rFonts w:ascii="Book Antiqua" w:hAnsi="Book Antiqua"/>
          <w:i/>
          <w:sz w:val="24"/>
          <w:szCs w:val="24"/>
        </w:rPr>
        <w:t>Indian J Cancer</w:t>
      </w:r>
      <w:r w:rsidRPr="00384046">
        <w:rPr>
          <w:rFonts w:ascii="Book Antiqua" w:hAnsi="Book Antiqua"/>
          <w:sz w:val="24"/>
          <w:szCs w:val="24"/>
        </w:rPr>
        <w:t xml:space="preserve"> 2017; </w:t>
      </w:r>
      <w:r w:rsidRPr="00384046">
        <w:rPr>
          <w:rFonts w:ascii="Book Antiqua" w:hAnsi="Book Antiqua"/>
          <w:b/>
          <w:sz w:val="24"/>
          <w:szCs w:val="24"/>
        </w:rPr>
        <w:t>54</w:t>
      </w:r>
      <w:r w:rsidRPr="00384046">
        <w:rPr>
          <w:rFonts w:ascii="Book Antiqua" w:hAnsi="Book Antiqua"/>
          <w:sz w:val="24"/>
          <w:szCs w:val="24"/>
        </w:rPr>
        <w:t>: 47-51 [PMID: 29199662 DOI: 10.4103/ijc.IJC_168_17]</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10 </w:t>
      </w:r>
      <w:r w:rsidRPr="00384046">
        <w:rPr>
          <w:rFonts w:ascii="Book Antiqua" w:hAnsi="Book Antiqua"/>
          <w:b/>
          <w:sz w:val="24"/>
          <w:szCs w:val="24"/>
        </w:rPr>
        <w:t>Roth AD</w:t>
      </w:r>
      <w:r w:rsidRPr="00384046">
        <w:rPr>
          <w:rFonts w:ascii="Book Antiqua" w:hAnsi="Book Antiqua"/>
          <w:sz w:val="24"/>
          <w:szCs w:val="24"/>
        </w:rPr>
        <w:t xml:space="preserve">, Fazio N, Stupp R, Falk S, Bernhard J, Saletti P, Köberle D, Borner MM, Rufibach K, Maibach R, Wernli M, Leslie M, Glynne-Jones R, Widmer L, Seymour M, de Braud F; Swiss Group for Clinical Cancer Research. Docetaxel, cisplatin, and fluorouracil; docetaxel and cisplatin; and epirubicin, cisplatin, and fluorouracil as systemic treatment for advanced gastric carcinoma: a randomized phase II trial of the Swiss Group for Clinical Cancer Research. </w:t>
      </w:r>
      <w:r w:rsidRPr="00384046">
        <w:rPr>
          <w:rFonts w:ascii="Book Antiqua" w:hAnsi="Book Antiqua"/>
          <w:i/>
          <w:sz w:val="24"/>
          <w:szCs w:val="24"/>
        </w:rPr>
        <w:t>J Clin Oncol</w:t>
      </w:r>
      <w:r w:rsidRPr="00384046">
        <w:rPr>
          <w:rFonts w:ascii="Book Antiqua" w:hAnsi="Book Antiqua"/>
          <w:sz w:val="24"/>
          <w:szCs w:val="24"/>
        </w:rPr>
        <w:t xml:space="preserve"> 2007; </w:t>
      </w:r>
      <w:r w:rsidRPr="00384046">
        <w:rPr>
          <w:rFonts w:ascii="Book Antiqua" w:hAnsi="Book Antiqua"/>
          <w:b/>
          <w:sz w:val="24"/>
          <w:szCs w:val="24"/>
        </w:rPr>
        <w:t>25</w:t>
      </w:r>
      <w:r w:rsidRPr="00384046">
        <w:rPr>
          <w:rFonts w:ascii="Book Antiqua" w:hAnsi="Book Antiqua"/>
          <w:sz w:val="24"/>
          <w:szCs w:val="24"/>
        </w:rPr>
        <w:t>: 3217-3223 [PMID: 17664469 DOI: 10.1200/JCO.2006.08.0135]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11 </w:t>
      </w:r>
      <w:r w:rsidRPr="00384046">
        <w:rPr>
          <w:rFonts w:ascii="Book Antiqua" w:hAnsi="Book Antiqua"/>
          <w:b/>
          <w:sz w:val="24"/>
          <w:szCs w:val="24"/>
        </w:rPr>
        <w:t>Gao H,</w:t>
      </w:r>
      <w:r w:rsidR="002939CE">
        <w:rPr>
          <w:rFonts w:ascii="Book Antiqua" w:hAnsi="Book Antiqua" w:hint="eastAsia"/>
          <w:sz w:val="24"/>
          <w:szCs w:val="24"/>
        </w:rPr>
        <w:t xml:space="preserve"> </w:t>
      </w:r>
      <w:r w:rsidRPr="00384046">
        <w:rPr>
          <w:rFonts w:ascii="Book Antiqua" w:hAnsi="Book Antiqua"/>
          <w:sz w:val="24"/>
          <w:szCs w:val="24"/>
        </w:rPr>
        <w:t xml:space="preserve">Ding X, Wei D, Tao XU, Cheng P. Docetaxel versus epirubicin combined with cisplatin, </w:t>
      </w:r>
      <w:r w:rsidRPr="00384046">
        <w:rPr>
          <w:rFonts w:ascii="Book Antiqua" w:hAnsi="Book Antiqua"/>
          <w:sz w:val="24"/>
          <w:szCs w:val="24"/>
        </w:rPr>
        <w:lastRenderedPageBreak/>
        <w:t xml:space="preserve">leucovorin and fluorouracil for advanced gastric carcinoma as first line therapy: a randomized clinical trial. </w:t>
      </w:r>
      <w:r w:rsidR="00914738" w:rsidRPr="00914738">
        <w:rPr>
          <w:rFonts w:ascii="Book Antiqua" w:hAnsi="Book Antiqua"/>
          <w:i/>
          <w:sz w:val="24"/>
          <w:szCs w:val="24"/>
        </w:rPr>
        <w:t>Chin Clin Oncol</w:t>
      </w:r>
      <w:r w:rsidR="00914738">
        <w:rPr>
          <w:rFonts w:ascii="Book Antiqua" w:hAnsi="Book Antiqua"/>
          <w:sz w:val="24"/>
          <w:szCs w:val="24"/>
        </w:rPr>
        <w:t xml:space="preserve"> 2010; </w:t>
      </w:r>
      <w:r w:rsidR="00914738" w:rsidRPr="00914738">
        <w:rPr>
          <w:rFonts w:ascii="Book Antiqua" w:hAnsi="Book Antiqua"/>
          <w:b/>
          <w:sz w:val="24"/>
          <w:szCs w:val="24"/>
        </w:rPr>
        <w:t>15</w:t>
      </w:r>
      <w:r w:rsidRPr="00384046">
        <w:rPr>
          <w:rFonts w:ascii="Book Antiqua" w:hAnsi="Book Antiqua"/>
          <w:sz w:val="24"/>
          <w:szCs w:val="24"/>
        </w:rPr>
        <w:t>: 529-533</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12 </w:t>
      </w:r>
      <w:r w:rsidRPr="00384046">
        <w:rPr>
          <w:rFonts w:ascii="Book Antiqua" w:hAnsi="Book Antiqua"/>
          <w:b/>
          <w:sz w:val="24"/>
          <w:szCs w:val="24"/>
        </w:rPr>
        <w:t>Teker F</w:t>
      </w:r>
      <w:r w:rsidRPr="00384046">
        <w:rPr>
          <w:rFonts w:ascii="Book Antiqua" w:hAnsi="Book Antiqua"/>
          <w:sz w:val="24"/>
          <w:szCs w:val="24"/>
        </w:rPr>
        <w:t xml:space="preserve">, Yilmaz B, Kemal Y, Kut E, Yucel I. Efficacy and safety of docetaxel or epirubicin, combined with cisplatin and fluorouracil (DCF and ECF), regimens as first line chemotherapy for advanced gastric cancer: a retrospective analysis from Turkey. </w:t>
      </w:r>
      <w:r w:rsidRPr="00384046">
        <w:rPr>
          <w:rFonts w:ascii="Book Antiqua" w:hAnsi="Book Antiqua"/>
          <w:i/>
          <w:sz w:val="24"/>
          <w:szCs w:val="24"/>
        </w:rPr>
        <w:t>Asian Pac J Cancer Prev</w:t>
      </w:r>
      <w:r w:rsidRPr="00384046">
        <w:rPr>
          <w:rFonts w:ascii="Book Antiqua" w:hAnsi="Book Antiqua"/>
          <w:sz w:val="24"/>
          <w:szCs w:val="24"/>
        </w:rPr>
        <w:t xml:space="preserve"> 2014; </w:t>
      </w:r>
      <w:r w:rsidRPr="00384046">
        <w:rPr>
          <w:rFonts w:ascii="Book Antiqua" w:hAnsi="Book Antiqua"/>
          <w:b/>
          <w:sz w:val="24"/>
          <w:szCs w:val="24"/>
        </w:rPr>
        <w:t>15</w:t>
      </w:r>
      <w:r w:rsidRPr="00384046">
        <w:rPr>
          <w:rFonts w:ascii="Book Antiqua" w:hAnsi="Book Antiqua"/>
          <w:sz w:val="24"/>
          <w:szCs w:val="24"/>
        </w:rPr>
        <w:t>: 6727-6732 [PMID: 25169516</w:t>
      </w:r>
      <w:r w:rsidR="008C085C">
        <w:rPr>
          <w:rFonts w:ascii="Book Antiqua" w:hAnsi="Book Antiqua" w:hint="eastAsia"/>
          <w:sz w:val="24"/>
          <w:szCs w:val="24"/>
        </w:rPr>
        <w:t xml:space="preserve"> DOI: </w:t>
      </w:r>
      <w:r w:rsidR="008C085C" w:rsidRPr="008C085C">
        <w:rPr>
          <w:rFonts w:ascii="Book Antiqua" w:hAnsi="Book Antiqua"/>
          <w:sz w:val="24"/>
          <w:szCs w:val="24"/>
        </w:rPr>
        <w:t>10.7314/APJCP.2014.15.16.6727</w:t>
      </w:r>
      <w:r w:rsidRPr="00384046">
        <w:rPr>
          <w:rFonts w:ascii="Book Antiqua" w:hAnsi="Book Antiqua"/>
          <w:sz w:val="24"/>
          <w:szCs w:val="24"/>
        </w:rPr>
        <w:t>]</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13 </w:t>
      </w:r>
      <w:r w:rsidRPr="00384046">
        <w:rPr>
          <w:rFonts w:ascii="Book Antiqua" w:hAnsi="Book Antiqua"/>
          <w:b/>
          <w:sz w:val="24"/>
          <w:szCs w:val="24"/>
        </w:rPr>
        <w:t>Moher D</w:t>
      </w:r>
      <w:r w:rsidRPr="00384046">
        <w:rPr>
          <w:rFonts w:ascii="Book Antiqua" w:hAnsi="Book Antiqua"/>
          <w:sz w:val="24"/>
          <w:szCs w:val="24"/>
        </w:rPr>
        <w:t xml:space="preserve">, Liberati A, Tetzlaff J, Altman DG; PRISMA Group. Preferred reporting items for systematic reviews and meta-analyses: the PRISMA Statement. </w:t>
      </w:r>
      <w:r w:rsidRPr="00384046">
        <w:rPr>
          <w:rFonts w:ascii="Book Antiqua" w:hAnsi="Book Antiqua"/>
          <w:i/>
          <w:sz w:val="24"/>
          <w:szCs w:val="24"/>
        </w:rPr>
        <w:t>Open Med</w:t>
      </w:r>
      <w:r w:rsidRPr="00384046">
        <w:rPr>
          <w:rFonts w:ascii="Book Antiqua" w:hAnsi="Book Antiqua"/>
          <w:sz w:val="24"/>
          <w:szCs w:val="24"/>
        </w:rPr>
        <w:t xml:space="preserve"> 2009; </w:t>
      </w:r>
      <w:r w:rsidRPr="00384046">
        <w:rPr>
          <w:rFonts w:ascii="Book Antiqua" w:hAnsi="Book Antiqua"/>
          <w:b/>
          <w:sz w:val="24"/>
          <w:szCs w:val="24"/>
        </w:rPr>
        <w:t>3</w:t>
      </w:r>
      <w:r w:rsidRPr="00384046">
        <w:rPr>
          <w:rFonts w:ascii="Book Antiqua" w:hAnsi="Book Antiqua"/>
          <w:sz w:val="24"/>
          <w:szCs w:val="24"/>
        </w:rPr>
        <w:t>: e123-e130 [PMID: 21603045]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14 </w:t>
      </w:r>
      <w:r w:rsidRPr="00384046">
        <w:rPr>
          <w:rFonts w:ascii="Book Antiqua" w:hAnsi="Book Antiqua"/>
          <w:b/>
          <w:sz w:val="24"/>
          <w:szCs w:val="24"/>
        </w:rPr>
        <w:t>Jadad AR</w:t>
      </w:r>
      <w:r w:rsidRPr="00384046">
        <w:rPr>
          <w:rFonts w:ascii="Book Antiqua" w:hAnsi="Book Antiqua"/>
          <w:sz w:val="24"/>
          <w:szCs w:val="24"/>
        </w:rPr>
        <w:t xml:space="preserve">, Moore RA, Carroll D, Jenkinson C, Reynolds DJ, Gavaghan DJ, McQuay HJ. Assessing the quality of reports of randomized clinical trials: is blinding necessary? </w:t>
      </w:r>
      <w:r w:rsidRPr="00384046">
        <w:rPr>
          <w:rFonts w:ascii="Book Antiqua" w:hAnsi="Book Antiqua"/>
          <w:i/>
          <w:sz w:val="24"/>
          <w:szCs w:val="24"/>
        </w:rPr>
        <w:t>Control Clin Trials</w:t>
      </w:r>
      <w:r w:rsidRPr="00384046">
        <w:rPr>
          <w:rFonts w:ascii="Book Antiqua" w:hAnsi="Book Antiqua"/>
          <w:sz w:val="24"/>
          <w:szCs w:val="24"/>
        </w:rPr>
        <w:t xml:space="preserve"> 1996; </w:t>
      </w:r>
      <w:r w:rsidRPr="00384046">
        <w:rPr>
          <w:rFonts w:ascii="Book Antiqua" w:hAnsi="Book Antiqua"/>
          <w:b/>
          <w:sz w:val="24"/>
          <w:szCs w:val="24"/>
        </w:rPr>
        <w:t>17</w:t>
      </w:r>
      <w:r w:rsidRPr="00384046">
        <w:rPr>
          <w:rFonts w:ascii="Book Antiqua" w:hAnsi="Book Antiqua"/>
          <w:sz w:val="24"/>
          <w:szCs w:val="24"/>
        </w:rPr>
        <w:t>: 1-12 [PMID: 8721797</w:t>
      </w:r>
      <w:r w:rsidR="00E8189F">
        <w:rPr>
          <w:rFonts w:ascii="Book Antiqua" w:hAnsi="Book Antiqua" w:hint="eastAsia"/>
          <w:sz w:val="24"/>
          <w:szCs w:val="24"/>
        </w:rPr>
        <w:t xml:space="preserve"> DOI: </w:t>
      </w:r>
      <w:r w:rsidR="00E8189F" w:rsidRPr="00E8189F">
        <w:rPr>
          <w:rFonts w:ascii="Book Antiqua" w:hAnsi="Book Antiqua"/>
          <w:sz w:val="24"/>
          <w:szCs w:val="24"/>
        </w:rPr>
        <w:t>10.1016/0197-2456(95)00134-4</w:t>
      </w:r>
      <w:r w:rsidRPr="00384046">
        <w:rPr>
          <w:rFonts w:ascii="Book Antiqua" w:hAnsi="Book Antiqua"/>
          <w:sz w:val="24"/>
          <w:szCs w:val="24"/>
        </w:rPr>
        <w:t>]</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15</w:t>
      </w:r>
      <w:r w:rsidR="00ED1FCD">
        <w:rPr>
          <w:rFonts w:ascii="Book Antiqua" w:hAnsi="Book Antiqua" w:hint="eastAsia"/>
          <w:b/>
          <w:sz w:val="24"/>
          <w:szCs w:val="24"/>
        </w:rPr>
        <w:t xml:space="preserve"> </w:t>
      </w:r>
      <w:r w:rsidRPr="00384046">
        <w:rPr>
          <w:rFonts w:ascii="Book Antiqua" w:hAnsi="Book Antiqua"/>
          <w:b/>
          <w:sz w:val="24"/>
          <w:szCs w:val="24"/>
        </w:rPr>
        <w:t>Wells GA,</w:t>
      </w:r>
      <w:r w:rsidR="00ED1FCD">
        <w:rPr>
          <w:rFonts w:ascii="Book Antiqua" w:hAnsi="Book Antiqua"/>
          <w:sz w:val="24"/>
          <w:szCs w:val="24"/>
        </w:rPr>
        <w:t xml:space="preserve"> </w:t>
      </w:r>
      <w:r w:rsidRPr="00384046">
        <w:rPr>
          <w:rFonts w:ascii="Book Antiqua" w:hAnsi="Book Antiqua"/>
          <w:sz w:val="24"/>
          <w:szCs w:val="24"/>
        </w:rPr>
        <w:t xml:space="preserve">Shea BJ, O'Connell D, Peterson J, Welch V, Losos M. The newcastle-ottawa scale (nos) for assessing the quality of non-randomized studies in meta-analysis. </w:t>
      </w:r>
      <w:r w:rsidRPr="00ED1FCD">
        <w:rPr>
          <w:rFonts w:ascii="Book Antiqua" w:hAnsi="Book Antiqua"/>
          <w:i/>
          <w:sz w:val="24"/>
          <w:szCs w:val="24"/>
        </w:rPr>
        <w:t>Appl Eng Agric</w:t>
      </w:r>
      <w:r w:rsidR="00ED1FCD">
        <w:rPr>
          <w:rFonts w:ascii="Book Antiqua" w:hAnsi="Book Antiqua"/>
          <w:sz w:val="24"/>
          <w:szCs w:val="24"/>
        </w:rPr>
        <w:t xml:space="preserve"> 2014; </w:t>
      </w:r>
      <w:r w:rsidR="00ED1FCD" w:rsidRPr="00ED1FCD">
        <w:rPr>
          <w:rFonts w:ascii="Book Antiqua" w:hAnsi="Book Antiqua"/>
          <w:b/>
          <w:sz w:val="24"/>
          <w:szCs w:val="24"/>
        </w:rPr>
        <w:t>18</w:t>
      </w:r>
      <w:r w:rsidRPr="00384046">
        <w:rPr>
          <w:rFonts w:ascii="Book Antiqua" w:hAnsi="Book Antiqua"/>
          <w:sz w:val="24"/>
          <w:szCs w:val="24"/>
        </w:rPr>
        <w:t>: 727-734</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16 </w:t>
      </w:r>
      <w:r w:rsidRPr="00384046">
        <w:rPr>
          <w:rFonts w:ascii="Book Antiqua" w:hAnsi="Book Antiqua"/>
          <w:b/>
          <w:sz w:val="24"/>
          <w:szCs w:val="24"/>
        </w:rPr>
        <w:t>Tierney JF</w:t>
      </w:r>
      <w:r w:rsidRPr="00384046">
        <w:rPr>
          <w:rFonts w:ascii="Book Antiqua" w:hAnsi="Book Antiqua"/>
          <w:sz w:val="24"/>
          <w:szCs w:val="24"/>
        </w:rPr>
        <w:t xml:space="preserve">, Stewart LA, Ghersi D, Burdett S, Sydes MR. Practical methods for incorporating summary time-to-event data into meta-analysis. </w:t>
      </w:r>
      <w:r w:rsidRPr="00384046">
        <w:rPr>
          <w:rFonts w:ascii="Book Antiqua" w:hAnsi="Book Antiqua"/>
          <w:i/>
          <w:sz w:val="24"/>
          <w:szCs w:val="24"/>
        </w:rPr>
        <w:t>Trials</w:t>
      </w:r>
      <w:r w:rsidRPr="00384046">
        <w:rPr>
          <w:rFonts w:ascii="Book Antiqua" w:hAnsi="Book Antiqua"/>
          <w:sz w:val="24"/>
          <w:szCs w:val="24"/>
        </w:rPr>
        <w:t xml:space="preserve"> 2007; </w:t>
      </w:r>
      <w:r w:rsidRPr="00384046">
        <w:rPr>
          <w:rFonts w:ascii="Book Antiqua" w:hAnsi="Book Antiqua"/>
          <w:b/>
          <w:sz w:val="24"/>
          <w:szCs w:val="24"/>
        </w:rPr>
        <w:t>8</w:t>
      </w:r>
      <w:r w:rsidRPr="00384046">
        <w:rPr>
          <w:rFonts w:ascii="Book Antiqua" w:hAnsi="Book Antiqua"/>
          <w:sz w:val="24"/>
          <w:szCs w:val="24"/>
        </w:rPr>
        <w:t>: 16 [PMID: 17555582 DOI: 10.1186/1745-6215-8-16]</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17 </w:t>
      </w:r>
      <w:r w:rsidRPr="00384046">
        <w:rPr>
          <w:rFonts w:ascii="Book Antiqua" w:hAnsi="Book Antiqua"/>
          <w:b/>
          <w:sz w:val="24"/>
          <w:szCs w:val="24"/>
        </w:rPr>
        <w:t>Higgins JPT,</w:t>
      </w:r>
      <w:r w:rsidR="002939CE">
        <w:rPr>
          <w:rFonts w:ascii="Book Antiqua" w:hAnsi="Book Antiqua"/>
          <w:sz w:val="24"/>
          <w:szCs w:val="24"/>
        </w:rPr>
        <w:t xml:space="preserve"> </w:t>
      </w:r>
      <w:r w:rsidRPr="00384046">
        <w:rPr>
          <w:rFonts w:ascii="Book Antiqua" w:hAnsi="Book Antiqua"/>
          <w:sz w:val="24"/>
          <w:szCs w:val="24"/>
        </w:rPr>
        <w:t>Green S</w:t>
      </w:r>
      <w:r w:rsidR="00E510C4">
        <w:rPr>
          <w:rFonts w:ascii="Book Antiqua" w:hAnsi="Book Antiqua" w:hint="eastAsia"/>
          <w:sz w:val="24"/>
          <w:szCs w:val="24"/>
        </w:rPr>
        <w:t xml:space="preserve">, </w:t>
      </w:r>
      <w:r w:rsidR="00E510C4">
        <w:rPr>
          <w:rFonts w:ascii="Book Antiqua" w:hAnsi="Book Antiqua"/>
          <w:sz w:val="24"/>
          <w:szCs w:val="24"/>
        </w:rPr>
        <w:t>editors</w:t>
      </w:r>
      <w:r w:rsidRPr="00384046">
        <w:rPr>
          <w:rFonts w:ascii="Book Antiqua" w:hAnsi="Book Antiqua"/>
          <w:sz w:val="24"/>
          <w:szCs w:val="24"/>
        </w:rPr>
        <w:t xml:space="preserve">. Cochrane handbook for systematic reviews of interventions (version 5.1.0). </w:t>
      </w:r>
      <w:r w:rsidR="0051352F">
        <w:rPr>
          <w:rFonts w:ascii="Book Antiqua" w:hAnsi="Book Antiqua"/>
          <w:sz w:val="24"/>
          <w:szCs w:val="24"/>
        </w:rPr>
        <w:t>London</w:t>
      </w:r>
      <w:r w:rsidR="0051352F">
        <w:rPr>
          <w:rFonts w:ascii="Book Antiqua" w:hAnsi="Book Antiqua" w:hint="eastAsia"/>
          <w:sz w:val="24"/>
          <w:szCs w:val="24"/>
        </w:rPr>
        <w:t xml:space="preserve">: </w:t>
      </w:r>
      <w:r w:rsidR="0051352F" w:rsidRPr="0051352F">
        <w:rPr>
          <w:rFonts w:ascii="Book Antiqua" w:hAnsi="Book Antiqua"/>
          <w:sz w:val="24"/>
          <w:szCs w:val="24"/>
        </w:rPr>
        <w:t>The Cochrane Collaboration</w:t>
      </w:r>
      <w:r w:rsidR="0051352F">
        <w:rPr>
          <w:rFonts w:ascii="Book Antiqua" w:hAnsi="Book Antiqua" w:hint="eastAsia"/>
          <w:sz w:val="24"/>
          <w:szCs w:val="24"/>
        </w:rPr>
        <w:t>, 2011</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18 </w:t>
      </w:r>
      <w:r w:rsidRPr="00384046">
        <w:rPr>
          <w:rFonts w:ascii="Book Antiqua" w:hAnsi="Book Antiqua"/>
          <w:b/>
          <w:sz w:val="24"/>
          <w:szCs w:val="24"/>
        </w:rPr>
        <w:t>Sadighi S</w:t>
      </w:r>
      <w:r w:rsidRPr="00384046">
        <w:rPr>
          <w:rFonts w:ascii="Book Antiqua" w:hAnsi="Book Antiqua"/>
          <w:sz w:val="24"/>
          <w:szCs w:val="24"/>
        </w:rPr>
        <w:t xml:space="preserve">, Mohagheghi MA, Montazeri A, Sadighi Z. Quality of life in patients with advanced gastric cancer: a randomized trial comparing docetaxel, cisplatin, 5-FU (TCF) with epirubicin, cisplatin, 5-FU (ECF). </w:t>
      </w:r>
      <w:r w:rsidRPr="00384046">
        <w:rPr>
          <w:rFonts w:ascii="Book Antiqua" w:hAnsi="Book Antiqua"/>
          <w:i/>
          <w:sz w:val="24"/>
          <w:szCs w:val="24"/>
        </w:rPr>
        <w:lastRenderedPageBreak/>
        <w:t>BMC Cancer</w:t>
      </w:r>
      <w:r w:rsidRPr="00384046">
        <w:rPr>
          <w:rFonts w:ascii="Book Antiqua" w:hAnsi="Book Antiqua"/>
          <w:sz w:val="24"/>
          <w:szCs w:val="24"/>
        </w:rPr>
        <w:t xml:space="preserve"> 2006; </w:t>
      </w:r>
      <w:r w:rsidRPr="00384046">
        <w:rPr>
          <w:rFonts w:ascii="Book Antiqua" w:hAnsi="Book Antiqua"/>
          <w:b/>
          <w:sz w:val="24"/>
          <w:szCs w:val="24"/>
        </w:rPr>
        <w:t>6</w:t>
      </w:r>
      <w:r w:rsidRPr="00384046">
        <w:rPr>
          <w:rFonts w:ascii="Book Antiqua" w:hAnsi="Book Antiqua"/>
          <w:sz w:val="24"/>
          <w:szCs w:val="24"/>
        </w:rPr>
        <w:t>: 274 [PMID: 17147808 DOI: 10.1186/1471-2407-6-274]</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19 </w:t>
      </w:r>
      <w:r w:rsidRPr="00384046">
        <w:rPr>
          <w:rFonts w:ascii="Book Antiqua" w:hAnsi="Book Antiqua"/>
          <w:b/>
          <w:sz w:val="24"/>
          <w:szCs w:val="24"/>
        </w:rPr>
        <w:t>Abbasi SY</w:t>
      </w:r>
      <w:r w:rsidRPr="00384046">
        <w:rPr>
          <w:rFonts w:ascii="Book Antiqua" w:hAnsi="Book Antiqua"/>
          <w:sz w:val="24"/>
          <w:szCs w:val="24"/>
        </w:rPr>
        <w:t xml:space="preserve">, Taani HE, Saad A, Badheeb A, Addasi A. Advanced gastric cancer in jordan from 2004 to 2008: a study of epidemiology and outcomes. </w:t>
      </w:r>
      <w:r w:rsidRPr="00384046">
        <w:rPr>
          <w:rFonts w:ascii="Book Antiqua" w:hAnsi="Book Antiqua"/>
          <w:i/>
          <w:sz w:val="24"/>
          <w:szCs w:val="24"/>
        </w:rPr>
        <w:t>Gastrointest Cancer Res</w:t>
      </w:r>
      <w:r w:rsidRPr="00384046">
        <w:rPr>
          <w:rFonts w:ascii="Book Antiqua" w:hAnsi="Book Antiqua"/>
          <w:sz w:val="24"/>
          <w:szCs w:val="24"/>
        </w:rPr>
        <w:t xml:space="preserve"> 2011; </w:t>
      </w:r>
      <w:r w:rsidRPr="00384046">
        <w:rPr>
          <w:rFonts w:ascii="Book Antiqua" w:hAnsi="Book Antiqua"/>
          <w:b/>
          <w:sz w:val="24"/>
          <w:szCs w:val="24"/>
        </w:rPr>
        <w:t>4</w:t>
      </w:r>
      <w:r w:rsidRPr="00384046">
        <w:rPr>
          <w:rFonts w:ascii="Book Antiqua" w:hAnsi="Book Antiqua"/>
          <w:sz w:val="24"/>
          <w:szCs w:val="24"/>
        </w:rPr>
        <w:t>: 122-127 [PMID: 22368735]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20 </w:t>
      </w:r>
      <w:r w:rsidRPr="00384046">
        <w:rPr>
          <w:rFonts w:ascii="Book Antiqua" w:hAnsi="Book Antiqua"/>
          <w:b/>
          <w:sz w:val="24"/>
          <w:szCs w:val="24"/>
        </w:rPr>
        <w:t>Shah MA</w:t>
      </w:r>
      <w:r w:rsidRPr="00384046">
        <w:rPr>
          <w:rFonts w:ascii="Book Antiqua" w:hAnsi="Book Antiqua"/>
          <w:sz w:val="24"/>
          <w:szCs w:val="24"/>
        </w:rPr>
        <w:t>, Janjigian YY, Stoller R, Shibata S, Kemeny M, Krishnamurthi S, Su YB, Ocean A, Capanu M, Mehrotra B, Ritch P, Henderson C, Kelsen DP. Randomized Multicen</w:t>
      </w:r>
      <w:r w:rsidR="00AE79AA">
        <w:rPr>
          <w:rFonts w:ascii="Book Antiqua" w:hAnsi="Book Antiqua"/>
          <w:sz w:val="24"/>
          <w:szCs w:val="24"/>
        </w:rPr>
        <w:t xml:space="preserve">ter Phase II Study of Modified </w:t>
      </w:r>
      <w:r w:rsidRPr="00384046">
        <w:rPr>
          <w:rFonts w:ascii="Book Antiqua" w:hAnsi="Book Antiqua"/>
          <w:sz w:val="24"/>
          <w:szCs w:val="24"/>
        </w:rPr>
        <w:t>Docetaxel, Cisplatin, and Fluorouracil (DCF) V</w:t>
      </w:r>
      <w:r w:rsidR="00F02A48">
        <w:rPr>
          <w:rFonts w:ascii="Book Antiqua" w:hAnsi="Book Antiqua"/>
          <w:sz w:val="24"/>
          <w:szCs w:val="24"/>
        </w:rPr>
        <w:t>ersus DCF</w:t>
      </w:r>
      <w:r w:rsidRPr="00384046">
        <w:rPr>
          <w:rFonts w:ascii="Book Antiqua" w:hAnsi="Book Antiqua"/>
          <w:sz w:val="24"/>
          <w:szCs w:val="24"/>
        </w:rPr>
        <w:t xml:space="preserve"> Plus Growth Factor Suppo</w:t>
      </w:r>
      <w:r w:rsidR="00F02A48">
        <w:rPr>
          <w:rFonts w:ascii="Book Antiqua" w:hAnsi="Book Antiqua"/>
          <w:sz w:val="24"/>
          <w:szCs w:val="24"/>
        </w:rPr>
        <w:t xml:space="preserve">rt in Patients With Metastatic </w:t>
      </w:r>
      <w:r w:rsidRPr="00384046">
        <w:rPr>
          <w:rFonts w:ascii="Book Antiqua" w:hAnsi="Book Antiqua"/>
          <w:sz w:val="24"/>
          <w:szCs w:val="24"/>
        </w:rPr>
        <w:t>Gastric Adenocarcin</w:t>
      </w:r>
      <w:r w:rsidR="00F02A48">
        <w:rPr>
          <w:rFonts w:ascii="Book Antiqua" w:hAnsi="Book Antiqua"/>
          <w:sz w:val="24"/>
          <w:szCs w:val="24"/>
        </w:rPr>
        <w:t xml:space="preserve">oma: A Study of the US Gastric </w:t>
      </w:r>
      <w:r w:rsidRPr="00384046">
        <w:rPr>
          <w:rFonts w:ascii="Book Antiqua" w:hAnsi="Book Antiqua"/>
          <w:sz w:val="24"/>
          <w:szCs w:val="24"/>
        </w:rPr>
        <w:t xml:space="preserve">Cancer Consortium. </w:t>
      </w:r>
      <w:r w:rsidRPr="00384046">
        <w:rPr>
          <w:rFonts w:ascii="Book Antiqua" w:hAnsi="Book Antiqua"/>
          <w:i/>
          <w:sz w:val="24"/>
          <w:szCs w:val="24"/>
        </w:rPr>
        <w:t>J Clin Oncol</w:t>
      </w:r>
      <w:r w:rsidRPr="00384046">
        <w:rPr>
          <w:rFonts w:ascii="Book Antiqua" w:hAnsi="Book Antiqua"/>
          <w:sz w:val="24"/>
          <w:szCs w:val="24"/>
        </w:rPr>
        <w:t xml:space="preserve"> 2015; </w:t>
      </w:r>
      <w:r w:rsidRPr="00384046">
        <w:rPr>
          <w:rFonts w:ascii="Book Antiqua" w:hAnsi="Book Antiqua"/>
          <w:b/>
          <w:sz w:val="24"/>
          <w:szCs w:val="24"/>
        </w:rPr>
        <w:t>33</w:t>
      </w:r>
      <w:r w:rsidRPr="00384046">
        <w:rPr>
          <w:rFonts w:ascii="Book Antiqua" w:hAnsi="Book Antiqua"/>
          <w:sz w:val="24"/>
          <w:szCs w:val="24"/>
        </w:rPr>
        <w:t>: 3874-3879 [PMID: 26438119 DOI: 10.1200/JCO.2015.60.7465]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21 </w:t>
      </w:r>
      <w:r w:rsidRPr="00384046">
        <w:rPr>
          <w:rFonts w:ascii="Book Antiqua" w:hAnsi="Book Antiqua"/>
          <w:b/>
          <w:sz w:val="24"/>
          <w:szCs w:val="24"/>
        </w:rPr>
        <w:t>Slagter AE</w:t>
      </w:r>
      <w:r w:rsidRPr="00384046">
        <w:rPr>
          <w:rFonts w:ascii="Book Antiqua" w:hAnsi="Book Antiqua"/>
          <w:sz w:val="24"/>
          <w:szCs w:val="24"/>
        </w:rPr>
        <w:t xml:space="preserve">, Jansen EPM, van Laarhoven HWM, van Sandick JW, van Grieken NCT, Sikorska K, Cats A, Muller-Timmermans P, Hulshof MCCM, Boot H, Los M, Beerepoot LV, Peters FPJ, Hospers GAP, van Etten B, Hartgrink HH, van Berge Henegouwen MI, Nieuwenhuijzen GAP, van Hillegersberg R, van der Peet DL, Grabsch HI, Verheij M. CRITICS-II: a multicentre randomised phase II trial of neo-adjuvant chemotherapy followed by surgery versus neo-adjuvant chemotherapy and subsequent chemoradiotherapy followed by surgery versus neo-adjuvant chemoradiotherapy followed by surgery in resectable gastric cancer. </w:t>
      </w:r>
      <w:r w:rsidRPr="00384046">
        <w:rPr>
          <w:rFonts w:ascii="Book Antiqua" w:hAnsi="Book Antiqua"/>
          <w:i/>
          <w:sz w:val="24"/>
          <w:szCs w:val="24"/>
        </w:rPr>
        <w:t>BMC Cancer</w:t>
      </w:r>
      <w:r w:rsidRPr="00384046">
        <w:rPr>
          <w:rFonts w:ascii="Book Antiqua" w:hAnsi="Book Antiqua"/>
          <w:sz w:val="24"/>
          <w:szCs w:val="24"/>
        </w:rPr>
        <w:t xml:space="preserve"> 2018; </w:t>
      </w:r>
      <w:r w:rsidRPr="00384046">
        <w:rPr>
          <w:rFonts w:ascii="Book Antiqua" w:hAnsi="Book Antiqua"/>
          <w:b/>
          <w:sz w:val="24"/>
          <w:szCs w:val="24"/>
        </w:rPr>
        <w:t>18</w:t>
      </w:r>
      <w:r w:rsidRPr="00384046">
        <w:rPr>
          <w:rFonts w:ascii="Book Antiqua" w:hAnsi="Book Antiqua"/>
          <w:sz w:val="24"/>
          <w:szCs w:val="24"/>
        </w:rPr>
        <w:t>: 877 [PMID: 30200910 DOI: 10.1186/s12885-018-4770-2]</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22 </w:t>
      </w:r>
      <w:r w:rsidRPr="00384046">
        <w:rPr>
          <w:rFonts w:ascii="Book Antiqua" w:hAnsi="Book Antiqua"/>
          <w:b/>
          <w:sz w:val="24"/>
          <w:szCs w:val="24"/>
        </w:rPr>
        <w:t>Fujitani K</w:t>
      </w:r>
      <w:r w:rsidRPr="00384046">
        <w:rPr>
          <w:rFonts w:ascii="Book Antiqua" w:hAnsi="Book Antiqua"/>
          <w:sz w:val="24"/>
          <w:szCs w:val="24"/>
        </w:rPr>
        <w:t xml:space="preserve">, Yang HK, Mizusawa J, Kim YW, Terashima M, Han SU, Iwasaki Y, Hyung WJ, Takagane A, Park DJ, Yoshikawa T, Hahn S, Nakamura K, Park CH, Kurokawa Y, Bang YJ, Park BJ, Sasako M, Tsujinaka T; REGATTA study investigators. Gastrectomy plus chemotherapy versus chemotherapy alone for advanced gastric cancer with a single non-curable factor (REGATTA): a phase 3, randomised controlled trial. </w:t>
      </w:r>
      <w:r w:rsidRPr="00384046">
        <w:rPr>
          <w:rFonts w:ascii="Book Antiqua" w:hAnsi="Book Antiqua"/>
          <w:i/>
          <w:sz w:val="24"/>
          <w:szCs w:val="24"/>
        </w:rPr>
        <w:lastRenderedPageBreak/>
        <w:t>Lancet Oncol</w:t>
      </w:r>
      <w:r w:rsidRPr="00384046">
        <w:rPr>
          <w:rFonts w:ascii="Book Antiqua" w:hAnsi="Book Antiqua"/>
          <w:sz w:val="24"/>
          <w:szCs w:val="24"/>
        </w:rPr>
        <w:t xml:space="preserve"> 2016; </w:t>
      </w:r>
      <w:r w:rsidRPr="00384046">
        <w:rPr>
          <w:rFonts w:ascii="Book Antiqua" w:hAnsi="Book Antiqua"/>
          <w:b/>
          <w:sz w:val="24"/>
          <w:szCs w:val="24"/>
        </w:rPr>
        <w:t>17</w:t>
      </w:r>
      <w:r w:rsidRPr="00384046">
        <w:rPr>
          <w:rFonts w:ascii="Book Antiqua" w:hAnsi="Book Antiqua"/>
          <w:sz w:val="24"/>
          <w:szCs w:val="24"/>
        </w:rPr>
        <w:t>: 309-318 [PMID: 26822397 DOI: 10.1016/S1470-2045(15)00553-7]</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23 </w:t>
      </w:r>
      <w:r w:rsidRPr="00384046">
        <w:rPr>
          <w:rFonts w:ascii="Book Antiqua" w:hAnsi="Book Antiqua"/>
          <w:b/>
          <w:sz w:val="24"/>
          <w:szCs w:val="24"/>
        </w:rPr>
        <w:t>Wagner AD</w:t>
      </w:r>
      <w:r w:rsidRPr="00384046">
        <w:rPr>
          <w:rFonts w:ascii="Book Antiqua" w:hAnsi="Book Antiqua"/>
          <w:sz w:val="24"/>
          <w:szCs w:val="24"/>
        </w:rPr>
        <w:t xml:space="preserve">, Grothe W, Haerting J, Kleber G, Grothey A, Fleig WE. Chemotherapy in advanced gastric cancer: a systematic review and meta-analysis based on aggregate data. </w:t>
      </w:r>
      <w:r w:rsidRPr="00384046">
        <w:rPr>
          <w:rFonts w:ascii="Book Antiqua" w:hAnsi="Book Antiqua"/>
          <w:i/>
          <w:sz w:val="24"/>
          <w:szCs w:val="24"/>
        </w:rPr>
        <w:t>J Clin Oncol</w:t>
      </w:r>
      <w:r w:rsidRPr="00384046">
        <w:rPr>
          <w:rFonts w:ascii="Book Antiqua" w:hAnsi="Book Antiqua"/>
          <w:sz w:val="24"/>
          <w:szCs w:val="24"/>
        </w:rPr>
        <w:t xml:space="preserve"> 2006; </w:t>
      </w:r>
      <w:r w:rsidRPr="00384046">
        <w:rPr>
          <w:rFonts w:ascii="Book Antiqua" w:hAnsi="Book Antiqua"/>
          <w:b/>
          <w:sz w:val="24"/>
          <w:szCs w:val="24"/>
        </w:rPr>
        <w:t>24</w:t>
      </w:r>
      <w:r w:rsidRPr="00384046">
        <w:rPr>
          <w:rFonts w:ascii="Book Antiqua" w:hAnsi="Book Antiqua"/>
          <w:sz w:val="24"/>
          <w:szCs w:val="24"/>
        </w:rPr>
        <w:t>: 2903-2909 [PMID: 16782930 DOI: 10.1200/JCO.2005.05.0245]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24 </w:t>
      </w:r>
      <w:r w:rsidRPr="00384046">
        <w:rPr>
          <w:rFonts w:ascii="Book Antiqua" w:hAnsi="Book Antiqua"/>
          <w:b/>
          <w:sz w:val="24"/>
          <w:szCs w:val="24"/>
        </w:rPr>
        <w:t>Van Cutsem E</w:t>
      </w:r>
      <w:r w:rsidRPr="00384046">
        <w:rPr>
          <w:rFonts w:ascii="Book Antiqua" w:hAnsi="Book Antiqua"/>
          <w:sz w:val="24"/>
          <w:szCs w:val="24"/>
        </w:rPr>
        <w:t xml:space="preserve">, Moiseyenko VM, Tjulandin S, Majlis A, Constenla M, Boni C, Rodrigues A, Fodor M, Chao Y, Voznyi E, Risse ML, Ajani JA; V325 Study Group. Phase III study of docetaxel and cisplatin plus fluorouracil compared with cisplatin and fluorouracil as first-line therapy for advanced gastric cancer: a report of the V325 Study Group. </w:t>
      </w:r>
      <w:r w:rsidRPr="00384046">
        <w:rPr>
          <w:rFonts w:ascii="Book Antiqua" w:hAnsi="Book Antiqua"/>
          <w:i/>
          <w:sz w:val="24"/>
          <w:szCs w:val="24"/>
        </w:rPr>
        <w:t>J Clin Oncol</w:t>
      </w:r>
      <w:r w:rsidRPr="00384046">
        <w:rPr>
          <w:rFonts w:ascii="Book Antiqua" w:hAnsi="Book Antiqua"/>
          <w:sz w:val="24"/>
          <w:szCs w:val="24"/>
        </w:rPr>
        <w:t xml:space="preserve"> 2006; </w:t>
      </w:r>
      <w:r w:rsidRPr="00384046">
        <w:rPr>
          <w:rFonts w:ascii="Book Antiqua" w:hAnsi="Book Antiqua"/>
          <w:b/>
          <w:sz w:val="24"/>
          <w:szCs w:val="24"/>
        </w:rPr>
        <w:t>24</w:t>
      </w:r>
      <w:r w:rsidRPr="00384046">
        <w:rPr>
          <w:rFonts w:ascii="Book Antiqua" w:hAnsi="Book Antiqua"/>
          <w:sz w:val="24"/>
          <w:szCs w:val="24"/>
        </w:rPr>
        <w:t>: 4991-4997 [PMID: 17075117 DOI: 10.1200/JCO.2006.06.8429]</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25 </w:t>
      </w:r>
      <w:r w:rsidRPr="00384046">
        <w:rPr>
          <w:rFonts w:ascii="Book Antiqua" w:hAnsi="Book Antiqua"/>
          <w:b/>
          <w:sz w:val="24"/>
          <w:szCs w:val="24"/>
        </w:rPr>
        <w:t>Wagner AD</w:t>
      </w:r>
      <w:r w:rsidRPr="00384046">
        <w:rPr>
          <w:rFonts w:ascii="Book Antiqua" w:hAnsi="Book Antiqua"/>
          <w:sz w:val="24"/>
          <w:szCs w:val="24"/>
        </w:rPr>
        <w:t xml:space="preserve">, Syn NL, Moehler M, Grothe W, Yong WP, Tai BC, Ho J, Unverzagt S. Chemotherapy for advanced gastric cancer. </w:t>
      </w:r>
      <w:r w:rsidRPr="00384046">
        <w:rPr>
          <w:rFonts w:ascii="Book Antiqua" w:hAnsi="Book Antiqua"/>
          <w:i/>
          <w:sz w:val="24"/>
          <w:szCs w:val="24"/>
        </w:rPr>
        <w:t>Cochrane Database Syst Rev</w:t>
      </w:r>
      <w:r w:rsidRPr="00384046">
        <w:rPr>
          <w:rFonts w:ascii="Book Antiqua" w:hAnsi="Book Antiqua"/>
          <w:sz w:val="24"/>
          <w:szCs w:val="24"/>
        </w:rPr>
        <w:t xml:space="preserve"> 2017; </w:t>
      </w:r>
      <w:r w:rsidRPr="00384046">
        <w:rPr>
          <w:rFonts w:ascii="Book Antiqua" w:hAnsi="Book Antiqua"/>
          <w:b/>
          <w:sz w:val="24"/>
          <w:szCs w:val="24"/>
        </w:rPr>
        <w:t>8</w:t>
      </w:r>
      <w:r w:rsidRPr="00384046">
        <w:rPr>
          <w:rFonts w:ascii="Book Antiqua" w:hAnsi="Book Antiqua"/>
          <w:sz w:val="24"/>
          <w:szCs w:val="24"/>
        </w:rPr>
        <w:t>: CD004064 [PMID: 28850174 DOI: 10.1002/14651858.CD004064.pub4]</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26 </w:t>
      </w:r>
      <w:r w:rsidRPr="00384046">
        <w:rPr>
          <w:rFonts w:ascii="Book Antiqua" w:hAnsi="Book Antiqua"/>
          <w:b/>
          <w:sz w:val="24"/>
          <w:szCs w:val="24"/>
        </w:rPr>
        <w:t>Petrioli R</w:t>
      </w:r>
      <w:r w:rsidRPr="00384046">
        <w:rPr>
          <w:rFonts w:ascii="Book Antiqua" w:hAnsi="Book Antiqua"/>
          <w:sz w:val="24"/>
          <w:szCs w:val="24"/>
        </w:rPr>
        <w:t xml:space="preserve">, Roviello G, Zanotti L, Roviello F, Polom K, Bottini A, Marano L, Francini E, Marrelli D, Generali D. Epirubicin-based compared with docetaxel-based chemotherapy for advanced gastric carcinoma: A systematic review and meta-analysis. </w:t>
      </w:r>
      <w:r w:rsidRPr="00384046">
        <w:rPr>
          <w:rFonts w:ascii="Book Antiqua" w:hAnsi="Book Antiqua"/>
          <w:i/>
          <w:sz w:val="24"/>
          <w:szCs w:val="24"/>
        </w:rPr>
        <w:t>Crit Rev Oncol Hematol</w:t>
      </w:r>
      <w:r w:rsidRPr="00384046">
        <w:rPr>
          <w:rFonts w:ascii="Book Antiqua" w:hAnsi="Book Antiqua"/>
          <w:sz w:val="24"/>
          <w:szCs w:val="24"/>
        </w:rPr>
        <w:t xml:space="preserve"> 2016; </w:t>
      </w:r>
      <w:r w:rsidRPr="00384046">
        <w:rPr>
          <w:rFonts w:ascii="Book Antiqua" w:hAnsi="Book Antiqua"/>
          <w:b/>
          <w:sz w:val="24"/>
          <w:szCs w:val="24"/>
        </w:rPr>
        <w:t>102</w:t>
      </w:r>
      <w:r w:rsidRPr="00384046">
        <w:rPr>
          <w:rFonts w:ascii="Book Antiqua" w:hAnsi="Book Antiqua"/>
          <w:sz w:val="24"/>
          <w:szCs w:val="24"/>
        </w:rPr>
        <w:t>: 82-88 [PMID: 27083592 DOI: 10.1016/j.critrevonc.2016.04.001]</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27 </w:t>
      </w:r>
      <w:r w:rsidRPr="00384046">
        <w:rPr>
          <w:rFonts w:ascii="Book Antiqua" w:hAnsi="Book Antiqua"/>
          <w:b/>
          <w:sz w:val="24"/>
          <w:szCs w:val="24"/>
        </w:rPr>
        <w:t>Chen XL</w:t>
      </w:r>
      <w:r w:rsidRPr="00384046">
        <w:rPr>
          <w:rFonts w:ascii="Book Antiqua" w:hAnsi="Book Antiqua"/>
          <w:sz w:val="24"/>
          <w:szCs w:val="24"/>
        </w:rPr>
        <w:t xml:space="preserve">, Chen XZ, Yang C, Liao YB, Li H, Wang L, Yang K, Li K, Hu JK, Zhang B, Chen ZX, Chen JP, Zhou ZG. Docetaxel, cisplatin and fluorouracil (DCF) regimen compared with non-taxane-containing palliative chemotherapy for gastric carcinoma: a systematic review and meta-analysis. </w:t>
      </w:r>
      <w:r w:rsidRPr="00384046">
        <w:rPr>
          <w:rFonts w:ascii="Book Antiqua" w:hAnsi="Book Antiqua"/>
          <w:i/>
          <w:sz w:val="24"/>
          <w:szCs w:val="24"/>
        </w:rPr>
        <w:t>PLoS One</w:t>
      </w:r>
      <w:r w:rsidRPr="00384046">
        <w:rPr>
          <w:rFonts w:ascii="Book Antiqua" w:hAnsi="Book Antiqua"/>
          <w:sz w:val="24"/>
          <w:szCs w:val="24"/>
        </w:rPr>
        <w:t xml:space="preserve"> 2013; </w:t>
      </w:r>
      <w:r w:rsidRPr="00384046">
        <w:rPr>
          <w:rFonts w:ascii="Book Antiqua" w:hAnsi="Book Antiqua"/>
          <w:b/>
          <w:sz w:val="24"/>
          <w:szCs w:val="24"/>
        </w:rPr>
        <w:t>8</w:t>
      </w:r>
      <w:r w:rsidRPr="00384046">
        <w:rPr>
          <w:rFonts w:ascii="Book Antiqua" w:hAnsi="Book Antiqua"/>
          <w:sz w:val="24"/>
          <w:szCs w:val="24"/>
        </w:rPr>
        <w:t xml:space="preserve">: </w:t>
      </w:r>
      <w:r w:rsidRPr="00384046">
        <w:rPr>
          <w:rFonts w:ascii="Book Antiqua" w:hAnsi="Book Antiqua"/>
          <w:sz w:val="24"/>
          <w:szCs w:val="24"/>
        </w:rPr>
        <w:lastRenderedPageBreak/>
        <w:t>e60320 [PMID: 23593191 DOI: 10.1371/journal.pone.0060320]</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28 </w:t>
      </w:r>
      <w:r w:rsidRPr="00384046">
        <w:rPr>
          <w:rFonts w:ascii="Book Antiqua" w:hAnsi="Book Antiqua"/>
          <w:b/>
          <w:sz w:val="24"/>
          <w:szCs w:val="24"/>
        </w:rPr>
        <w:t>Al-Batran SE</w:t>
      </w:r>
      <w:r w:rsidRPr="00384046">
        <w:rPr>
          <w:rFonts w:ascii="Book Antiqua" w:hAnsi="Book Antiqua"/>
          <w:sz w:val="24"/>
          <w:szCs w:val="24"/>
        </w:rPr>
        <w:t xml:space="preserve">, Pauligk C, Homann N, Hartmann JT, Moehler M, Probst S, Rethwisch V, Stoehlmacher-Williams J, Prasnikar N, Hollerbach S, Bokemeyer C, Mahlberg R, Hofheinz RD, Luley K, Kullmann F, Jäger E. The feasibility of triple-drug chemotherapy combination in older adult patients with oesophagogastric cancer: a randomised trial of the Arbeitsgemeinschaft Internistische Onkologie (FLOT65+). </w:t>
      </w:r>
      <w:r w:rsidRPr="00384046">
        <w:rPr>
          <w:rFonts w:ascii="Book Antiqua" w:hAnsi="Book Antiqua"/>
          <w:i/>
          <w:sz w:val="24"/>
          <w:szCs w:val="24"/>
        </w:rPr>
        <w:t>Eur J Cancer</w:t>
      </w:r>
      <w:r w:rsidRPr="00384046">
        <w:rPr>
          <w:rFonts w:ascii="Book Antiqua" w:hAnsi="Book Antiqua"/>
          <w:sz w:val="24"/>
          <w:szCs w:val="24"/>
        </w:rPr>
        <w:t xml:space="preserve"> 2013; </w:t>
      </w:r>
      <w:r w:rsidRPr="00384046">
        <w:rPr>
          <w:rFonts w:ascii="Book Antiqua" w:hAnsi="Book Antiqua"/>
          <w:b/>
          <w:sz w:val="24"/>
          <w:szCs w:val="24"/>
        </w:rPr>
        <w:t>49</w:t>
      </w:r>
      <w:r w:rsidRPr="00384046">
        <w:rPr>
          <w:rFonts w:ascii="Book Antiqua" w:hAnsi="Book Antiqua"/>
          <w:sz w:val="24"/>
          <w:szCs w:val="24"/>
        </w:rPr>
        <w:t>: 835-842 [PMID: 23063354 DOI: 10.1016/j.ejca.2012.09.025]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29 </w:t>
      </w:r>
      <w:r w:rsidRPr="00384046">
        <w:rPr>
          <w:rFonts w:ascii="Book Antiqua" w:hAnsi="Book Antiqua"/>
          <w:b/>
          <w:sz w:val="24"/>
          <w:szCs w:val="24"/>
        </w:rPr>
        <w:t>Fujii M</w:t>
      </w:r>
      <w:r w:rsidRPr="00384046">
        <w:rPr>
          <w:rFonts w:ascii="Book Antiqua" w:hAnsi="Book Antiqua"/>
          <w:sz w:val="24"/>
          <w:szCs w:val="24"/>
        </w:rPr>
        <w:t xml:space="preserve">. Chemotherapy for advanced gastric cancer: ongoing phase III study of S-1 alone versus S-1 and docetaxel combination (JACCRO GC03 study). </w:t>
      </w:r>
      <w:r w:rsidRPr="00384046">
        <w:rPr>
          <w:rFonts w:ascii="Book Antiqua" w:hAnsi="Book Antiqua"/>
          <w:i/>
          <w:sz w:val="24"/>
          <w:szCs w:val="24"/>
        </w:rPr>
        <w:t>Int J Clin Oncol</w:t>
      </w:r>
      <w:r w:rsidRPr="00384046">
        <w:rPr>
          <w:rFonts w:ascii="Book Antiqua" w:hAnsi="Book Antiqua"/>
          <w:sz w:val="24"/>
          <w:szCs w:val="24"/>
        </w:rPr>
        <w:t xml:space="preserve"> 2008; </w:t>
      </w:r>
      <w:r w:rsidRPr="00384046">
        <w:rPr>
          <w:rFonts w:ascii="Book Antiqua" w:hAnsi="Book Antiqua"/>
          <w:b/>
          <w:sz w:val="24"/>
          <w:szCs w:val="24"/>
        </w:rPr>
        <w:t>13</w:t>
      </w:r>
      <w:r w:rsidRPr="00384046">
        <w:rPr>
          <w:rFonts w:ascii="Book Antiqua" w:hAnsi="Book Antiqua"/>
          <w:sz w:val="24"/>
          <w:szCs w:val="24"/>
        </w:rPr>
        <w:t>: 201-205 [PMID: 18553228 DOI: 10.1007/s10147-008-0775-1]</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30 </w:t>
      </w:r>
      <w:r w:rsidRPr="00384046">
        <w:rPr>
          <w:rFonts w:ascii="Book Antiqua" w:hAnsi="Book Antiqua"/>
          <w:b/>
          <w:sz w:val="24"/>
          <w:szCs w:val="24"/>
        </w:rPr>
        <w:t>Wang J</w:t>
      </w:r>
      <w:r w:rsidRPr="00384046">
        <w:rPr>
          <w:rFonts w:ascii="Book Antiqua" w:hAnsi="Book Antiqua"/>
          <w:sz w:val="24"/>
          <w:szCs w:val="24"/>
        </w:rPr>
        <w:t xml:space="preserve">, Xu R, Li J, Bai Y, Liu T, Jiao S, Dai G, Xu J, Liu Y, Fan N, Shu Y, Ba Y, Ma D, Qin S, Zheng L, Chen W, Shen L. Randomized multicenter phase III study of a modified docetaxel and cisplatin plus fluorouracil regimen compared with cisplatin and fluorouracil as first-line therapy for advanced or locally recurrent gastric cancer. </w:t>
      </w:r>
      <w:r w:rsidRPr="00384046">
        <w:rPr>
          <w:rFonts w:ascii="Book Antiqua" w:hAnsi="Book Antiqua"/>
          <w:i/>
          <w:sz w:val="24"/>
          <w:szCs w:val="24"/>
        </w:rPr>
        <w:t>Gastric Cancer</w:t>
      </w:r>
      <w:r w:rsidRPr="00384046">
        <w:rPr>
          <w:rFonts w:ascii="Book Antiqua" w:hAnsi="Book Antiqua"/>
          <w:sz w:val="24"/>
          <w:szCs w:val="24"/>
        </w:rPr>
        <w:t xml:space="preserve"> 2016; </w:t>
      </w:r>
      <w:r w:rsidRPr="00384046">
        <w:rPr>
          <w:rFonts w:ascii="Book Antiqua" w:hAnsi="Book Antiqua"/>
          <w:b/>
          <w:sz w:val="24"/>
          <w:szCs w:val="24"/>
        </w:rPr>
        <w:t>19</w:t>
      </w:r>
      <w:r w:rsidRPr="00384046">
        <w:rPr>
          <w:rFonts w:ascii="Book Antiqua" w:hAnsi="Book Antiqua"/>
          <w:sz w:val="24"/>
          <w:szCs w:val="24"/>
        </w:rPr>
        <w:t>: 234-244 [PMID: 25604851 DOI: 10.1007/s10120-015-0457-4]</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31 </w:t>
      </w:r>
      <w:r w:rsidRPr="00384046">
        <w:rPr>
          <w:rFonts w:ascii="Book Antiqua" w:hAnsi="Book Antiqua"/>
          <w:b/>
          <w:sz w:val="24"/>
          <w:szCs w:val="24"/>
        </w:rPr>
        <w:t>Petrelli F</w:t>
      </w:r>
      <w:r w:rsidRPr="00384046">
        <w:rPr>
          <w:rFonts w:ascii="Book Antiqua" w:hAnsi="Book Antiqua"/>
          <w:sz w:val="24"/>
          <w:szCs w:val="24"/>
        </w:rPr>
        <w:t xml:space="preserve">, Tomasello G, Ghidini M, Passalacqua R, Barni S. Modified schedules of DCF chemotherapy for advanced gastric cancer: a systematic review of efficacy and toxicity. </w:t>
      </w:r>
      <w:r w:rsidRPr="00384046">
        <w:rPr>
          <w:rFonts w:ascii="Book Antiqua" w:hAnsi="Book Antiqua"/>
          <w:i/>
          <w:sz w:val="24"/>
          <w:szCs w:val="24"/>
        </w:rPr>
        <w:t>Anticancer Drugs</w:t>
      </w:r>
      <w:r w:rsidRPr="00384046">
        <w:rPr>
          <w:rFonts w:ascii="Book Antiqua" w:hAnsi="Book Antiqua"/>
          <w:sz w:val="24"/>
          <w:szCs w:val="24"/>
        </w:rPr>
        <w:t xml:space="preserve"> 2017; </w:t>
      </w:r>
      <w:r w:rsidRPr="00384046">
        <w:rPr>
          <w:rFonts w:ascii="Book Antiqua" w:hAnsi="Book Antiqua"/>
          <w:b/>
          <w:sz w:val="24"/>
          <w:szCs w:val="24"/>
        </w:rPr>
        <w:t>28</w:t>
      </w:r>
      <w:r w:rsidRPr="00384046">
        <w:rPr>
          <w:rFonts w:ascii="Book Antiqua" w:hAnsi="Book Antiqua"/>
          <w:sz w:val="24"/>
          <w:szCs w:val="24"/>
        </w:rPr>
        <w:t>: 133-141 [PMID: 27749286 DOI: 10.1097/CAD.0000000000000436]</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32 </w:t>
      </w:r>
      <w:r w:rsidRPr="00384046">
        <w:rPr>
          <w:rFonts w:ascii="Book Antiqua" w:hAnsi="Book Antiqua"/>
          <w:b/>
          <w:sz w:val="24"/>
          <w:szCs w:val="24"/>
        </w:rPr>
        <w:t>Van Cutsem E</w:t>
      </w:r>
      <w:r w:rsidRPr="00384046">
        <w:rPr>
          <w:rFonts w:ascii="Book Antiqua" w:hAnsi="Book Antiqua"/>
          <w:sz w:val="24"/>
          <w:szCs w:val="24"/>
        </w:rPr>
        <w:t xml:space="preserve">, Boni C, Tabernero J, Massuti B, Middleton G, Dane F, Reichardt P, Pimentel FL, Cohn A, Follana P, Clemens M, Zaniboni A, Moiseyenko V, Harrison M, Richards DA, Prenen H, Pernot S, Ecstein-Fraisse E, Hitier S, Rougier P. Docetaxel plus oxaliplatin with or without fluorouracil or capecitabine </w:t>
      </w:r>
      <w:r w:rsidRPr="00384046">
        <w:rPr>
          <w:rFonts w:ascii="Book Antiqua" w:hAnsi="Book Antiqua"/>
          <w:sz w:val="24"/>
          <w:szCs w:val="24"/>
        </w:rPr>
        <w:lastRenderedPageBreak/>
        <w:t xml:space="preserve">in metastatic or locally recurrent gastric cancer: a randomized phase II study. </w:t>
      </w:r>
      <w:r w:rsidRPr="00384046">
        <w:rPr>
          <w:rFonts w:ascii="Book Antiqua" w:hAnsi="Book Antiqua"/>
          <w:i/>
          <w:sz w:val="24"/>
          <w:szCs w:val="24"/>
        </w:rPr>
        <w:t>Ann Oncol</w:t>
      </w:r>
      <w:r w:rsidRPr="00384046">
        <w:rPr>
          <w:rFonts w:ascii="Book Antiqua" w:hAnsi="Book Antiqua"/>
          <w:sz w:val="24"/>
          <w:szCs w:val="24"/>
        </w:rPr>
        <w:t xml:space="preserve"> 2015; </w:t>
      </w:r>
      <w:r w:rsidRPr="00384046">
        <w:rPr>
          <w:rFonts w:ascii="Book Antiqua" w:hAnsi="Book Antiqua"/>
          <w:b/>
          <w:sz w:val="24"/>
          <w:szCs w:val="24"/>
        </w:rPr>
        <w:t>26</w:t>
      </w:r>
      <w:r w:rsidRPr="00384046">
        <w:rPr>
          <w:rFonts w:ascii="Book Antiqua" w:hAnsi="Book Antiqua"/>
          <w:sz w:val="24"/>
          <w:szCs w:val="24"/>
        </w:rPr>
        <w:t>: 149-156 [PMID: 25416687 DOI: 10.1093/annonc/mdu496]</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33 </w:t>
      </w:r>
      <w:r w:rsidRPr="00384046">
        <w:rPr>
          <w:rFonts w:ascii="Book Antiqua" w:hAnsi="Book Antiqua"/>
          <w:b/>
          <w:sz w:val="24"/>
          <w:szCs w:val="24"/>
        </w:rPr>
        <w:t>Tebbutt NC</w:t>
      </w:r>
      <w:r w:rsidRPr="00384046">
        <w:rPr>
          <w:rFonts w:ascii="Book Antiqua" w:hAnsi="Book Antiqua"/>
          <w:sz w:val="24"/>
          <w:szCs w:val="24"/>
        </w:rPr>
        <w:t xml:space="preserve">, Cummins MM, Sourjina T, Strickland A, Van Hazel G, Ganju V, Gibbs D, Stockler M, Gebski V, Zalcberg J; Australasian Gastro-Intestinal Trials Group. Randomised, non-comparative phase II study of weekly docetaxel with cisplatin and 5-fluorouracil or with capecitabine in oesophagogastric cancer: the AGITG ATTAX trial. </w:t>
      </w:r>
      <w:r w:rsidRPr="00384046">
        <w:rPr>
          <w:rFonts w:ascii="Book Antiqua" w:hAnsi="Book Antiqua"/>
          <w:i/>
          <w:sz w:val="24"/>
          <w:szCs w:val="24"/>
        </w:rPr>
        <w:t>Br J Cancer</w:t>
      </w:r>
      <w:r w:rsidRPr="00384046">
        <w:rPr>
          <w:rFonts w:ascii="Book Antiqua" w:hAnsi="Book Antiqua"/>
          <w:sz w:val="24"/>
          <w:szCs w:val="24"/>
        </w:rPr>
        <w:t xml:space="preserve"> 2010; </w:t>
      </w:r>
      <w:r w:rsidRPr="00384046">
        <w:rPr>
          <w:rFonts w:ascii="Book Antiqua" w:hAnsi="Book Antiqua"/>
          <w:b/>
          <w:sz w:val="24"/>
          <w:szCs w:val="24"/>
        </w:rPr>
        <w:t>102</w:t>
      </w:r>
      <w:r w:rsidRPr="00384046">
        <w:rPr>
          <w:rFonts w:ascii="Book Antiqua" w:hAnsi="Book Antiqua"/>
          <w:sz w:val="24"/>
          <w:szCs w:val="24"/>
        </w:rPr>
        <w:t>: 475-481 [PMID: 20068567 DOI: 10.1038/sj.bjc.6605522]</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34 </w:t>
      </w:r>
      <w:r w:rsidRPr="00384046">
        <w:rPr>
          <w:rFonts w:ascii="Book Antiqua" w:hAnsi="Book Antiqua"/>
          <w:b/>
          <w:sz w:val="24"/>
          <w:szCs w:val="24"/>
        </w:rPr>
        <w:t>Kimura Y</w:t>
      </w:r>
      <w:r w:rsidRPr="00384046">
        <w:rPr>
          <w:rFonts w:ascii="Book Antiqua" w:hAnsi="Book Antiqua"/>
          <w:sz w:val="24"/>
          <w:szCs w:val="24"/>
        </w:rPr>
        <w:t xml:space="preserve">, Yano H, Taniguchi H, Iwazawa T, Danno K, Kagara N, Kanoh T, Ohnishi T, Tono T, Nakano Y, Monden T, Imaoka S. A phase I study of bi-weekly docetaxel for recurrent or advanced gastric cancer patients whose disease progressed by prior chemotherapy. </w:t>
      </w:r>
      <w:r w:rsidRPr="00384046">
        <w:rPr>
          <w:rFonts w:ascii="Book Antiqua" w:hAnsi="Book Antiqua"/>
          <w:i/>
          <w:sz w:val="24"/>
          <w:szCs w:val="24"/>
        </w:rPr>
        <w:t>Jpn J Clin Oncol</w:t>
      </w:r>
      <w:r w:rsidRPr="00384046">
        <w:rPr>
          <w:rFonts w:ascii="Book Antiqua" w:hAnsi="Book Antiqua"/>
          <w:sz w:val="24"/>
          <w:szCs w:val="24"/>
        </w:rPr>
        <w:t xml:space="preserve"> 2011; </w:t>
      </w:r>
      <w:r w:rsidRPr="00384046">
        <w:rPr>
          <w:rFonts w:ascii="Book Antiqua" w:hAnsi="Book Antiqua"/>
          <w:b/>
          <w:sz w:val="24"/>
          <w:szCs w:val="24"/>
        </w:rPr>
        <w:t>41</w:t>
      </w:r>
      <w:r w:rsidRPr="00384046">
        <w:rPr>
          <w:rFonts w:ascii="Book Antiqua" w:hAnsi="Book Antiqua"/>
          <w:sz w:val="24"/>
          <w:szCs w:val="24"/>
        </w:rPr>
        <w:t>: 747-751 [PMID: 21498408 DOI: 10.1093/jjco/hyr050]</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35 </w:t>
      </w:r>
      <w:r w:rsidRPr="00384046">
        <w:rPr>
          <w:rFonts w:ascii="Book Antiqua" w:hAnsi="Book Antiqua"/>
          <w:b/>
          <w:sz w:val="24"/>
          <w:szCs w:val="24"/>
        </w:rPr>
        <w:t>Lee KW</w:t>
      </w:r>
      <w:r w:rsidRPr="00384046">
        <w:rPr>
          <w:rFonts w:ascii="Book Antiqua" w:hAnsi="Book Antiqua"/>
          <w:sz w:val="24"/>
          <w:szCs w:val="24"/>
        </w:rPr>
        <w:t xml:space="preserve">, Kim BJ, Kim MJ, Han HS, Kim JW, Park YI, Park SR. A Multicenter Randomized Phase II Study of Docetaxel vs. Docetaxel Plus Cisplatin vs. Docetaxel Plus S-1 as Second-Line Chemotherapy in Metastatic Gastric Cancer Patients Who Had Progressed after Cisplatin Plus Either S-1 or Capecitabine. </w:t>
      </w:r>
      <w:r w:rsidRPr="00384046">
        <w:rPr>
          <w:rFonts w:ascii="Book Antiqua" w:hAnsi="Book Antiqua"/>
          <w:i/>
          <w:sz w:val="24"/>
          <w:szCs w:val="24"/>
        </w:rPr>
        <w:t>Cancer Res Treat</w:t>
      </w:r>
      <w:r w:rsidRPr="00384046">
        <w:rPr>
          <w:rFonts w:ascii="Book Antiqua" w:hAnsi="Book Antiqua"/>
          <w:sz w:val="24"/>
          <w:szCs w:val="24"/>
        </w:rPr>
        <w:t xml:space="preserve"> 2017; </w:t>
      </w:r>
      <w:r w:rsidRPr="00384046">
        <w:rPr>
          <w:rFonts w:ascii="Book Antiqua" w:hAnsi="Book Antiqua"/>
          <w:b/>
          <w:sz w:val="24"/>
          <w:szCs w:val="24"/>
        </w:rPr>
        <w:t>49</w:t>
      </w:r>
      <w:r w:rsidRPr="00384046">
        <w:rPr>
          <w:rFonts w:ascii="Book Antiqua" w:hAnsi="Book Antiqua"/>
          <w:sz w:val="24"/>
          <w:szCs w:val="24"/>
        </w:rPr>
        <w:t>: 706-716 [PMID: 27764906 DOI: 10.4143/crt.2016.216]</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36 </w:t>
      </w:r>
      <w:r w:rsidRPr="00384046">
        <w:rPr>
          <w:rFonts w:ascii="Book Antiqua" w:hAnsi="Book Antiqua"/>
          <w:b/>
          <w:sz w:val="24"/>
          <w:szCs w:val="24"/>
        </w:rPr>
        <w:t>Smith TJ</w:t>
      </w:r>
      <w:r w:rsidRPr="00384046">
        <w:rPr>
          <w:rFonts w:ascii="Book Antiqua" w:hAnsi="Book Antiqua"/>
          <w:sz w:val="24"/>
          <w:szCs w:val="24"/>
        </w:rPr>
        <w:t xml:space="preserve">, Bohlke K, Armitage JO. Recommendations for the Use of White Blood Cell Growth Factors: American Society of Clinical Oncology Clinical Practice Guideline Update. </w:t>
      </w:r>
      <w:r w:rsidRPr="00384046">
        <w:rPr>
          <w:rFonts w:ascii="Book Antiqua" w:hAnsi="Book Antiqua"/>
          <w:i/>
          <w:sz w:val="24"/>
          <w:szCs w:val="24"/>
        </w:rPr>
        <w:t>J Oncol Pract</w:t>
      </w:r>
      <w:r w:rsidRPr="00384046">
        <w:rPr>
          <w:rFonts w:ascii="Book Antiqua" w:hAnsi="Book Antiqua"/>
          <w:sz w:val="24"/>
          <w:szCs w:val="24"/>
        </w:rPr>
        <w:t xml:space="preserve"> 2015; </w:t>
      </w:r>
      <w:r w:rsidRPr="00384046">
        <w:rPr>
          <w:rFonts w:ascii="Book Antiqua" w:hAnsi="Book Antiqua"/>
          <w:b/>
          <w:sz w:val="24"/>
          <w:szCs w:val="24"/>
        </w:rPr>
        <w:t>11</w:t>
      </w:r>
      <w:r w:rsidRPr="00384046">
        <w:rPr>
          <w:rFonts w:ascii="Book Antiqua" w:hAnsi="Book Antiqua"/>
          <w:sz w:val="24"/>
          <w:szCs w:val="24"/>
        </w:rPr>
        <w:t>: 511-513 [PMID: 29424584 DOI: 10.1200/JOP.2015.006742]</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37 </w:t>
      </w:r>
      <w:r w:rsidRPr="00384046">
        <w:rPr>
          <w:rFonts w:ascii="Book Antiqua" w:hAnsi="Book Antiqua"/>
          <w:b/>
          <w:sz w:val="24"/>
          <w:szCs w:val="24"/>
        </w:rPr>
        <w:t>Aapro MS</w:t>
      </w:r>
      <w:r w:rsidRPr="00384046">
        <w:rPr>
          <w:rFonts w:ascii="Book Antiqua" w:hAnsi="Book Antiqua"/>
          <w:sz w:val="24"/>
          <w:szCs w:val="24"/>
        </w:rPr>
        <w:t xml:space="preserve">, Bohlius J, Cameron DA, Dal Lago L, Donnelly JP, Kearney N, Lyman GH, Pettengell R, Tjan-Heijnen VC, Walewski J, Weber DC, Zielinski C; European Organisation for Research and Treatment of </w:t>
      </w:r>
      <w:r w:rsidRPr="00384046">
        <w:rPr>
          <w:rFonts w:ascii="Book Antiqua" w:hAnsi="Book Antiqua"/>
          <w:sz w:val="24"/>
          <w:szCs w:val="24"/>
        </w:rPr>
        <w:lastRenderedPageBreak/>
        <w:t xml:space="preserve">Cancer. 2010 update of EORTC guidelines for the use of granulocyte-colony stimulating factor to reduce the incidence of chemotherapy-induced febrile neutropenia in adult patients with lymphoproliferative disorders and solid tumours. </w:t>
      </w:r>
      <w:r w:rsidRPr="00384046">
        <w:rPr>
          <w:rFonts w:ascii="Book Antiqua" w:hAnsi="Book Antiqua"/>
          <w:i/>
          <w:sz w:val="24"/>
          <w:szCs w:val="24"/>
        </w:rPr>
        <w:t>Eur J Cancer</w:t>
      </w:r>
      <w:r w:rsidRPr="00384046">
        <w:rPr>
          <w:rFonts w:ascii="Book Antiqua" w:hAnsi="Book Antiqua"/>
          <w:sz w:val="24"/>
          <w:szCs w:val="24"/>
        </w:rPr>
        <w:t xml:space="preserve"> 2011; </w:t>
      </w:r>
      <w:r w:rsidRPr="00384046">
        <w:rPr>
          <w:rFonts w:ascii="Book Antiqua" w:hAnsi="Book Antiqua"/>
          <w:b/>
          <w:sz w:val="24"/>
          <w:szCs w:val="24"/>
        </w:rPr>
        <w:t>47</w:t>
      </w:r>
      <w:r w:rsidRPr="00384046">
        <w:rPr>
          <w:rFonts w:ascii="Book Antiqua" w:hAnsi="Book Antiqua"/>
          <w:sz w:val="24"/>
          <w:szCs w:val="24"/>
        </w:rPr>
        <w:t>: 8-32 [PMID: 21095116 DOI: 10.1016/j.ejca.2010.10.013]</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38 </w:t>
      </w:r>
      <w:r w:rsidRPr="00384046">
        <w:rPr>
          <w:rFonts w:ascii="Book Antiqua" w:hAnsi="Book Antiqua"/>
          <w:b/>
          <w:sz w:val="24"/>
          <w:szCs w:val="24"/>
        </w:rPr>
        <w:t>Li CP</w:t>
      </w:r>
      <w:r w:rsidRPr="00384046">
        <w:rPr>
          <w:rFonts w:ascii="Book Antiqua" w:hAnsi="Book Antiqua"/>
          <w:sz w:val="24"/>
          <w:szCs w:val="24"/>
        </w:rPr>
        <w:t xml:space="preserve">, Chen JS, Chen LT, Yen CJ, Lee KD, Su WP, Lin PC, Lu CH, Tsai HJ, Chao Y. A phase II study of weekly docetaxel and cisplatin plus oral tegafur/uracil and leucovorin as first-line chemotherapy in patients with locally advanced or metastatic gastric cancer. </w:t>
      </w:r>
      <w:r w:rsidRPr="00384046">
        <w:rPr>
          <w:rFonts w:ascii="Book Antiqua" w:hAnsi="Book Antiqua"/>
          <w:i/>
          <w:sz w:val="24"/>
          <w:szCs w:val="24"/>
        </w:rPr>
        <w:t>Br J Cancer</w:t>
      </w:r>
      <w:r w:rsidRPr="00384046">
        <w:rPr>
          <w:rFonts w:ascii="Book Antiqua" w:hAnsi="Book Antiqua"/>
          <w:sz w:val="24"/>
          <w:szCs w:val="24"/>
        </w:rPr>
        <w:t xml:space="preserve"> 2010; </w:t>
      </w:r>
      <w:r w:rsidRPr="00384046">
        <w:rPr>
          <w:rFonts w:ascii="Book Antiqua" w:hAnsi="Book Antiqua"/>
          <w:b/>
          <w:sz w:val="24"/>
          <w:szCs w:val="24"/>
        </w:rPr>
        <w:t>103</w:t>
      </w:r>
      <w:r w:rsidRPr="00384046">
        <w:rPr>
          <w:rFonts w:ascii="Book Antiqua" w:hAnsi="Book Antiqua"/>
          <w:sz w:val="24"/>
          <w:szCs w:val="24"/>
        </w:rPr>
        <w:t>: 1343-1348 [PMID: 20924378 DOI: 10.1038/sj.bjc.6605928]</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39 </w:t>
      </w:r>
      <w:r w:rsidRPr="00384046">
        <w:rPr>
          <w:rFonts w:ascii="Book Antiqua" w:hAnsi="Book Antiqua"/>
          <w:b/>
          <w:sz w:val="24"/>
          <w:szCs w:val="24"/>
        </w:rPr>
        <w:t>Liu Y</w:t>
      </w:r>
      <w:r w:rsidRPr="00384046">
        <w:rPr>
          <w:rFonts w:ascii="Book Antiqua" w:hAnsi="Book Antiqua"/>
          <w:sz w:val="24"/>
          <w:szCs w:val="24"/>
        </w:rPr>
        <w:t xml:space="preserve">, Zhao G, Xu Y, He X, Li X, Chen H, Wu Q, Yao S, Yan G, Chen T. Multicenter Phase 2 Study of Peri-Irradiation Chemotherapy Plus Intensity Modulated Radiation Therapy With Concurrent Weekly Docetaxel for Inoperable or Medically Unresectable Nonmetastatic Gastric Cancer. </w:t>
      </w:r>
      <w:r w:rsidRPr="00384046">
        <w:rPr>
          <w:rFonts w:ascii="Book Antiqua" w:hAnsi="Book Antiqua"/>
          <w:i/>
          <w:sz w:val="24"/>
          <w:szCs w:val="24"/>
        </w:rPr>
        <w:t>Int J Radiat Oncol Biol Phys</w:t>
      </w:r>
      <w:r w:rsidRPr="00384046">
        <w:rPr>
          <w:rFonts w:ascii="Book Antiqua" w:hAnsi="Book Antiqua"/>
          <w:sz w:val="24"/>
          <w:szCs w:val="24"/>
        </w:rPr>
        <w:t xml:space="preserve"> 2017; </w:t>
      </w:r>
      <w:r w:rsidRPr="00384046">
        <w:rPr>
          <w:rFonts w:ascii="Book Antiqua" w:hAnsi="Book Antiqua"/>
          <w:b/>
          <w:sz w:val="24"/>
          <w:szCs w:val="24"/>
        </w:rPr>
        <w:t>98</w:t>
      </w:r>
      <w:r w:rsidRPr="00384046">
        <w:rPr>
          <w:rFonts w:ascii="Book Antiqua" w:hAnsi="Book Antiqua"/>
          <w:sz w:val="24"/>
          <w:szCs w:val="24"/>
        </w:rPr>
        <w:t>: 1096-1105 [PMID: 28721893 DOI: 10.1016/j.ijrobp.2017.03.032]</w:t>
      </w:r>
    </w:p>
    <w:p w:rsidR="00691BF8" w:rsidRPr="00384046" w:rsidRDefault="00691BF8" w:rsidP="00105C42">
      <w:pPr>
        <w:spacing w:line="360" w:lineRule="auto"/>
        <w:jc w:val="right"/>
        <w:rPr>
          <w:rFonts w:ascii="Book Antiqua" w:hAnsi="Book Antiqua"/>
          <w:b/>
          <w:color w:val="000000" w:themeColor="text1"/>
          <w:sz w:val="24"/>
          <w:szCs w:val="24"/>
        </w:rPr>
      </w:pPr>
      <w:r w:rsidRPr="00384046">
        <w:rPr>
          <w:rFonts w:ascii="Book Antiqua" w:hAnsi="Book Antiqua"/>
          <w:b/>
          <w:color w:val="000000" w:themeColor="text1"/>
          <w:sz w:val="24"/>
          <w:szCs w:val="24"/>
        </w:rPr>
        <w:t>P-Reviewer:</w:t>
      </w:r>
      <w:r w:rsidRPr="00384046">
        <w:rPr>
          <w:rFonts w:ascii="Book Antiqua" w:hAnsi="Book Antiqua"/>
          <w:color w:val="000000" w:themeColor="text1"/>
          <w:sz w:val="24"/>
          <w:szCs w:val="24"/>
        </w:rPr>
        <w:t xml:space="preserve"> </w:t>
      </w:r>
      <w:r w:rsidR="006A07B3" w:rsidRPr="00384046">
        <w:rPr>
          <w:rFonts w:ascii="Book Antiqua" w:hAnsi="Book Antiqua"/>
          <w:color w:val="000000" w:themeColor="text1"/>
          <w:sz w:val="24"/>
          <w:szCs w:val="24"/>
        </w:rPr>
        <w:t xml:space="preserve">Crumley ABC, Kimura A </w:t>
      </w:r>
      <w:r w:rsidRPr="00384046">
        <w:rPr>
          <w:rFonts w:ascii="Book Antiqua" w:hAnsi="Book Antiqua"/>
          <w:b/>
          <w:color w:val="000000" w:themeColor="text1"/>
          <w:sz w:val="24"/>
          <w:szCs w:val="24"/>
        </w:rPr>
        <w:t xml:space="preserve">S-Editor: </w:t>
      </w:r>
      <w:r w:rsidRPr="00384046">
        <w:rPr>
          <w:rFonts w:ascii="Book Antiqua" w:hAnsi="Book Antiqua"/>
          <w:color w:val="000000" w:themeColor="text1"/>
          <w:sz w:val="24"/>
          <w:szCs w:val="24"/>
        </w:rPr>
        <w:t>Wang JL</w:t>
      </w:r>
      <w:r w:rsidRPr="00384046">
        <w:rPr>
          <w:rFonts w:ascii="Book Antiqua" w:hAnsi="Book Antiqua"/>
          <w:b/>
          <w:color w:val="000000" w:themeColor="text1"/>
          <w:sz w:val="24"/>
          <w:szCs w:val="24"/>
        </w:rPr>
        <w:t xml:space="preserve"> L-Editor: E-Editor:</w:t>
      </w:r>
    </w:p>
    <w:p w:rsidR="00691BF8" w:rsidRPr="00384046" w:rsidRDefault="00691BF8" w:rsidP="00384046">
      <w:pPr>
        <w:pStyle w:val="PlainText"/>
        <w:spacing w:line="360" w:lineRule="auto"/>
        <w:rPr>
          <w:rFonts w:ascii="Book Antiqua" w:hAnsi="Book Antiqua"/>
          <w:b/>
          <w:color w:val="000000" w:themeColor="text1"/>
          <w:sz w:val="24"/>
          <w:szCs w:val="24"/>
        </w:rPr>
      </w:pPr>
      <w:r w:rsidRPr="00384046">
        <w:rPr>
          <w:rFonts w:ascii="Book Antiqua" w:hAnsi="Book Antiqua"/>
          <w:b/>
          <w:color w:val="000000" w:themeColor="text1"/>
          <w:sz w:val="24"/>
          <w:szCs w:val="24"/>
        </w:rPr>
        <w:t xml:space="preserve"> </w:t>
      </w:r>
    </w:p>
    <w:p w:rsidR="00691BF8" w:rsidRPr="00384046" w:rsidRDefault="00691BF8" w:rsidP="00384046">
      <w:pPr>
        <w:snapToGrid w:val="0"/>
        <w:spacing w:line="360" w:lineRule="auto"/>
        <w:rPr>
          <w:rFonts w:ascii="Book Antiqua" w:hAnsi="Book Antiqua" w:cs="Helvetica"/>
          <w:b/>
          <w:color w:val="000000" w:themeColor="text1"/>
          <w:sz w:val="24"/>
          <w:szCs w:val="24"/>
        </w:rPr>
      </w:pPr>
      <w:r w:rsidRPr="00384046">
        <w:rPr>
          <w:rFonts w:ascii="Book Antiqua" w:hAnsi="Book Antiqua" w:cs="Helvetica"/>
          <w:b/>
          <w:color w:val="000000" w:themeColor="text1"/>
          <w:sz w:val="24"/>
          <w:szCs w:val="24"/>
        </w:rPr>
        <w:t xml:space="preserve">Specialty type: </w:t>
      </w:r>
      <w:r w:rsidRPr="00384046">
        <w:rPr>
          <w:rFonts w:ascii="Book Antiqua" w:eastAsia="Microsoft YaHei" w:hAnsi="Book Antiqua"/>
          <w:color w:val="000000" w:themeColor="text1"/>
          <w:sz w:val="24"/>
          <w:szCs w:val="24"/>
        </w:rPr>
        <w:t>Medicine, research and experimental</w:t>
      </w:r>
    </w:p>
    <w:p w:rsidR="00691BF8" w:rsidRPr="00384046" w:rsidRDefault="00691BF8" w:rsidP="00384046">
      <w:pPr>
        <w:snapToGrid w:val="0"/>
        <w:spacing w:line="360" w:lineRule="auto"/>
        <w:rPr>
          <w:rFonts w:ascii="Book Antiqua" w:hAnsi="Book Antiqua" w:cs="Helvetica"/>
          <w:b/>
          <w:color w:val="000000" w:themeColor="text1"/>
          <w:sz w:val="24"/>
          <w:szCs w:val="24"/>
        </w:rPr>
      </w:pPr>
      <w:r w:rsidRPr="00384046">
        <w:rPr>
          <w:rFonts w:ascii="Book Antiqua" w:hAnsi="Book Antiqua" w:cs="Helvetica"/>
          <w:b/>
          <w:color w:val="000000" w:themeColor="text1"/>
          <w:sz w:val="24"/>
          <w:szCs w:val="24"/>
        </w:rPr>
        <w:t xml:space="preserve">Country of origin: </w:t>
      </w:r>
      <w:r w:rsidRPr="00384046">
        <w:rPr>
          <w:rFonts w:ascii="Book Antiqua" w:hAnsi="Book Antiqua"/>
          <w:color w:val="000000" w:themeColor="text1"/>
          <w:sz w:val="24"/>
          <w:szCs w:val="24"/>
        </w:rPr>
        <w:t>China</w:t>
      </w:r>
    </w:p>
    <w:p w:rsidR="00691BF8" w:rsidRPr="00384046" w:rsidRDefault="00691BF8" w:rsidP="00384046">
      <w:pPr>
        <w:snapToGrid w:val="0"/>
        <w:spacing w:line="360" w:lineRule="auto"/>
        <w:rPr>
          <w:rFonts w:ascii="Book Antiqua" w:hAnsi="Book Antiqua" w:cs="Helvetica"/>
          <w:b/>
          <w:color w:val="000000" w:themeColor="text1"/>
          <w:sz w:val="24"/>
          <w:szCs w:val="24"/>
        </w:rPr>
      </w:pPr>
      <w:r w:rsidRPr="00384046">
        <w:rPr>
          <w:rFonts w:ascii="Book Antiqua" w:hAnsi="Book Antiqua" w:cs="Helvetica"/>
          <w:b/>
          <w:color w:val="000000" w:themeColor="text1"/>
          <w:sz w:val="24"/>
          <w:szCs w:val="24"/>
        </w:rPr>
        <w:t>Peer-review report classification</w:t>
      </w:r>
    </w:p>
    <w:p w:rsidR="00691BF8" w:rsidRPr="00384046" w:rsidRDefault="00691BF8" w:rsidP="00384046">
      <w:pPr>
        <w:snapToGrid w:val="0"/>
        <w:spacing w:line="360" w:lineRule="auto"/>
        <w:rPr>
          <w:rFonts w:ascii="Book Antiqua" w:hAnsi="Book Antiqua" w:cs="Helvetica"/>
          <w:color w:val="000000" w:themeColor="text1"/>
          <w:sz w:val="24"/>
          <w:szCs w:val="24"/>
        </w:rPr>
      </w:pPr>
      <w:r w:rsidRPr="00384046">
        <w:rPr>
          <w:rFonts w:ascii="Book Antiqua" w:hAnsi="Book Antiqua" w:cs="Helvetica"/>
          <w:color w:val="000000" w:themeColor="text1"/>
          <w:sz w:val="24"/>
          <w:szCs w:val="24"/>
        </w:rPr>
        <w:t>Grade A (Excellent): 0</w:t>
      </w:r>
    </w:p>
    <w:p w:rsidR="00691BF8" w:rsidRPr="00384046" w:rsidRDefault="00691BF8" w:rsidP="00384046">
      <w:pPr>
        <w:snapToGrid w:val="0"/>
        <w:spacing w:line="360" w:lineRule="auto"/>
        <w:rPr>
          <w:rFonts w:ascii="Book Antiqua" w:hAnsi="Book Antiqua" w:cs="Helvetica"/>
          <w:color w:val="000000" w:themeColor="text1"/>
          <w:sz w:val="24"/>
          <w:szCs w:val="24"/>
        </w:rPr>
      </w:pPr>
      <w:r w:rsidRPr="00384046">
        <w:rPr>
          <w:rFonts w:ascii="Book Antiqua" w:hAnsi="Book Antiqua" w:cs="Helvetica"/>
          <w:color w:val="000000" w:themeColor="text1"/>
          <w:sz w:val="24"/>
          <w:szCs w:val="24"/>
        </w:rPr>
        <w:t>Grade B (Very good): B</w:t>
      </w:r>
    </w:p>
    <w:p w:rsidR="00691BF8" w:rsidRPr="00384046" w:rsidRDefault="00691BF8" w:rsidP="00384046">
      <w:pPr>
        <w:snapToGrid w:val="0"/>
        <w:spacing w:line="360" w:lineRule="auto"/>
        <w:rPr>
          <w:rFonts w:ascii="Book Antiqua" w:hAnsi="Book Antiqua" w:cs="Helvetica"/>
          <w:color w:val="000000" w:themeColor="text1"/>
          <w:sz w:val="24"/>
          <w:szCs w:val="24"/>
        </w:rPr>
      </w:pPr>
      <w:r w:rsidRPr="00384046">
        <w:rPr>
          <w:rFonts w:ascii="Book Antiqua" w:hAnsi="Book Antiqua" w:cs="Helvetica"/>
          <w:color w:val="000000" w:themeColor="text1"/>
          <w:sz w:val="24"/>
          <w:szCs w:val="24"/>
        </w:rPr>
        <w:t>Grade C (Good): C</w:t>
      </w:r>
    </w:p>
    <w:p w:rsidR="00691BF8" w:rsidRPr="00384046" w:rsidRDefault="00691BF8" w:rsidP="00384046">
      <w:pPr>
        <w:snapToGrid w:val="0"/>
        <w:spacing w:line="360" w:lineRule="auto"/>
        <w:rPr>
          <w:rFonts w:ascii="Book Antiqua" w:hAnsi="Book Antiqua" w:cs="Helvetica"/>
          <w:color w:val="000000" w:themeColor="text1"/>
          <w:sz w:val="24"/>
          <w:szCs w:val="24"/>
        </w:rPr>
      </w:pPr>
      <w:r w:rsidRPr="00384046">
        <w:rPr>
          <w:rFonts w:ascii="Book Antiqua" w:hAnsi="Book Antiqua" w:cs="Helvetica"/>
          <w:color w:val="000000" w:themeColor="text1"/>
          <w:sz w:val="24"/>
          <w:szCs w:val="24"/>
        </w:rPr>
        <w:lastRenderedPageBreak/>
        <w:t>Grade D (Fair): 0</w:t>
      </w:r>
    </w:p>
    <w:p w:rsidR="00691BF8" w:rsidRPr="00384046" w:rsidRDefault="00691BF8" w:rsidP="00384046">
      <w:pPr>
        <w:snapToGrid w:val="0"/>
        <w:spacing w:line="360" w:lineRule="auto"/>
        <w:rPr>
          <w:rFonts w:ascii="Book Antiqua" w:hAnsi="Book Antiqua"/>
          <w:color w:val="000000" w:themeColor="text1"/>
          <w:sz w:val="24"/>
          <w:szCs w:val="24"/>
        </w:rPr>
      </w:pPr>
      <w:r w:rsidRPr="00384046">
        <w:rPr>
          <w:rFonts w:ascii="Book Antiqua" w:hAnsi="Book Antiqua" w:cs="Helvetica"/>
          <w:color w:val="000000" w:themeColor="text1"/>
          <w:sz w:val="24"/>
          <w:szCs w:val="24"/>
        </w:rPr>
        <w:t>Grade E (Poor): 0</w:t>
      </w:r>
      <w:r w:rsidRPr="00384046">
        <w:rPr>
          <w:rFonts w:ascii="Book Antiqua" w:hAnsi="Book Antiqua"/>
          <w:color w:val="000000" w:themeColor="text1"/>
          <w:sz w:val="24"/>
          <w:szCs w:val="24"/>
        </w:rPr>
        <w:br w:type="page"/>
      </w:r>
    </w:p>
    <w:p w:rsidR="00DD3981" w:rsidRPr="00384046" w:rsidRDefault="00DD3981" w:rsidP="00384046">
      <w:pPr>
        <w:spacing w:line="360" w:lineRule="auto"/>
        <w:rPr>
          <w:rFonts w:ascii="Book Antiqua" w:hAnsi="Book Antiqua" w:cs="Times New Roman"/>
          <w:b/>
          <w:color w:val="000000" w:themeColor="text1"/>
          <w:sz w:val="24"/>
          <w:szCs w:val="24"/>
        </w:rPr>
      </w:pPr>
    </w:p>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Table 1 Quality ass</w:t>
      </w:r>
      <w:r w:rsidR="006A07B3" w:rsidRPr="00384046">
        <w:rPr>
          <w:rFonts w:ascii="Book Antiqua" w:hAnsi="Book Antiqua" w:cs="Times New Roman"/>
          <w:b/>
          <w:color w:val="000000" w:themeColor="text1"/>
          <w:sz w:val="24"/>
          <w:szCs w:val="24"/>
        </w:rPr>
        <w:t>essment of all included studies</w:t>
      </w:r>
    </w:p>
    <w:tbl>
      <w:tblPr>
        <w:tblW w:w="13178" w:type="dxa"/>
        <w:jc w:val="center"/>
        <w:tblBorders>
          <w:top w:val="single" w:sz="8" w:space="0" w:color="auto"/>
          <w:bottom w:val="single" w:sz="8" w:space="0" w:color="auto"/>
        </w:tblBorders>
        <w:tblLook w:val="04A0" w:firstRow="1" w:lastRow="0" w:firstColumn="1" w:lastColumn="0" w:noHBand="0" w:noVBand="1"/>
      </w:tblPr>
      <w:tblGrid>
        <w:gridCol w:w="2880"/>
        <w:gridCol w:w="1229"/>
        <w:gridCol w:w="1816"/>
        <w:gridCol w:w="1230"/>
        <w:gridCol w:w="1910"/>
        <w:gridCol w:w="1190"/>
        <w:gridCol w:w="1843"/>
        <w:gridCol w:w="1080"/>
      </w:tblGrid>
      <w:tr w:rsidR="005650F6" w:rsidRPr="00384046" w:rsidTr="007535D1">
        <w:trPr>
          <w:trHeight w:val="585"/>
          <w:jc w:val="center"/>
        </w:trPr>
        <w:tc>
          <w:tcPr>
            <w:tcW w:w="2880" w:type="dxa"/>
            <w:tcBorders>
              <w:top w:val="single" w:sz="8" w:space="0" w:color="auto"/>
              <w:bottom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Study</w:t>
            </w:r>
          </w:p>
        </w:tc>
        <w:tc>
          <w:tcPr>
            <w:tcW w:w="1229" w:type="dxa"/>
            <w:tcBorders>
              <w:top w:val="single" w:sz="8" w:space="0" w:color="auto"/>
              <w:bottom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Selection</w:t>
            </w:r>
          </w:p>
        </w:tc>
        <w:tc>
          <w:tcPr>
            <w:tcW w:w="1816" w:type="dxa"/>
            <w:tcBorders>
              <w:top w:val="single" w:sz="8" w:space="0" w:color="auto"/>
              <w:bottom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Comparability</w:t>
            </w:r>
          </w:p>
        </w:tc>
        <w:tc>
          <w:tcPr>
            <w:tcW w:w="1230" w:type="dxa"/>
            <w:tcBorders>
              <w:top w:val="single" w:sz="8" w:space="0" w:color="auto"/>
              <w:bottom w:val="single" w:sz="8" w:space="0" w:color="auto"/>
            </w:tcBorders>
            <w:shd w:val="clear" w:color="auto" w:fill="auto"/>
            <w:vAlign w:val="center"/>
            <w:hideMark/>
          </w:tcPr>
          <w:p w:rsidR="00DD3981" w:rsidRPr="00384046" w:rsidRDefault="00DD3981" w:rsidP="00384046">
            <w:pPr>
              <w:widowControl/>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 xml:space="preserve">Exposure </w:t>
            </w:r>
          </w:p>
        </w:tc>
        <w:tc>
          <w:tcPr>
            <w:tcW w:w="1910" w:type="dxa"/>
            <w:tcBorders>
              <w:top w:val="single" w:sz="8" w:space="0" w:color="auto"/>
              <w:bottom w:val="single" w:sz="8" w:space="0" w:color="auto"/>
            </w:tcBorders>
            <w:shd w:val="clear" w:color="auto" w:fill="auto"/>
            <w:vAlign w:val="center"/>
            <w:hideMark/>
          </w:tcPr>
          <w:p w:rsidR="00DD3981" w:rsidRPr="00384046" w:rsidRDefault="00DD3981" w:rsidP="00384046">
            <w:pPr>
              <w:widowControl/>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Randomization</w:t>
            </w:r>
          </w:p>
        </w:tc>
        <w:tc>
          <w:tcPr>
            <w:tcW w:w="1190" w:type="dxa"/>
            <w:tcBorders>
              <w:top w:val="single" w:sz="8" w:space="0" w:color="auto"/>
              <w:bottom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Masking</w:t>
            </w:r>
          </w:p>
        </w:tc>
        <w:tc>
          <w:tcPr>
            <w:tcW w:w="1843" w:type="dxa"/>
            <w:tcBorders>
              <w:top w:val="single" w:sz="8" w:space="0" w:color="auto"/>
              <w:bottom w:val="single" w:sz="8" w:space="0" w:color="auto"/>
            </w:tcBorders>
            <w:shd w:val="clear" w:color="auto" w:fill="auto"/>
            <w:vAlign w:val="center"/>
            <w:hideMark/>
          </w:tcPr>
          <w:p w:rsidR="00DD3981" w:rsidRPr="00384046" w:rsidRDefault="00DD3981" w:rsidP="00384046">
            <w:pPr>
              <w:widowControl/>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Accountability of all patients</w:t>
            </w:r>
          </w:p>
        </w:tc>
        <w:tc>
          <w:tcPr>
            <w:tcW w:w="1080" w:type="dxa"/>
            <w:tcBorders>
              <w:top w:val="single" w:sz="8" w:space="0" w:color="auto"/>
              <w:bottom w:val="single" w:sz="8" w:space="0" w:color="auto"/>
            </w:tcBorders>
            <w:shd w:val="clear" w:color="auto" w:fill="auto"/>
            <w:vAlign w:val="center"/>
            <w:hideMark/>
          </w:tcPr>
          <w:p w:rsidR="00DD3981" w:rsidRPr="00384046" w:rsidRDefault="00DD3981" w:rsidP="00384046">
            <w:pPr>
              <w:widowControl/>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Quality (score)</w:t>
            </w:r>
          </w:p>
        </w:tc>
      </w:tr>
      <w:tr w:rsidR="005650F6" w:rsidRPr="00384046" w:rsidTr="007535D1">
        <w:trPr>
          <w:trHeight w:val="285"/>
          <w:jc w:val="center"/>
        </w:trPr>
        <w:tc>
          <w:tcPr>
            <w:tcW w:w="13178" w:type="dxa"/>
            <w:gridSpan w:val="8"/>
            <w:tcBorders>
              <w:top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SimSun" w:hAnsi="Book Antiqua" w:cs="Times New Roman"/>
                <w:bCs/>
                <w:color w:val="000000" w:themeColor="text1"/>
                <w:kern w:val="0"/>
                <w:sz w:val="24"/>
                <w:szCs w:val="24"/>
              </w:rPr>
            </w:pPr>
            <w:r w:rsidRPr="00384046">
              <w:rPr>
                <w:rFonts w:ascii="Book Antiqua" w:eastAsia="SimSun" w:hAnsi="Book Antiqua" w:cs="Times New Roman"/>
                <w:bCs/>
                <w:color w:val="000000" w:themeColor="text1"/>
                <w:kern w:val="0"/>
                <w:sz w:val="24"/>
                <w:szCs w:val="24"/>
              </w:rPr>
              <w:t>Randomized controlled trial</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 xml:space="preserve">Sadighi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[18]</w:t>
            </w:r>
            <w:r w:rsidRPr="00384046">
              <w:rPr>
                <w:rFonts w:ascii="Book Antiqua" w:eastAsia="SimSun" w:hAnsi="Book Antiqua" w:cs="Times New Roman"/>
                <w:color w:val="000000" w:themeColor="text1"/>
                <w:kern w:val="0"/>
                <w:sz w:val="24"/>
                <w:szCs w:val="24"/>
              </w:rPr>
              <w:t>, 2006</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5</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 xml:space="preserve">Roth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[10]</w:t>
            </w:r>
            <w:r w:rsidRPr="00384046">
              <w:rPr>
                <w:rFonts w:ascii="Book Antiqua" w:eastAsia="SimSun" w:hAnsi="Book Antiqua" w:cs="Times New Roman"/>
                <w:color w:val="000000" w:themeColor="text1"/>
                <w:kern w:val="0"/>
                <w:sz w:val="24"/>
                <w:szCs w:val="24"/>
              </w:rPr>
              <w:t>, 2007</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 xml:space="preserve">Gao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[11]</w:t>
            </w:r>
            <w:r w:rsidRPr="00384046">
              <w:rPr>
                <w:rFonts w:ascii="Book Antiqua" w:eastAsia="SimSun" w:hAnsi="Book Antiqua" w:cs="Times New Roman"/>
                <w:color w:val="000000" w:themeColor="text1"/>
                <w:kern w:val="0"/>
                <w:sz w:val="24"/>
                <w:szCs w:val="24"/>
              </w:rPr>
              <w:t>, 2010</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5</w:t>
            </w:r>
          </w:p>
        </w:tc>
      </w:tr>
      <w:tr w:rsidR="00047638" w:rsidRPr="00384046" w:rsidTr="007535D1">
        <w:trPr>
          <w:trHeight w:val="300"/>
          <w:jc w:val="center"/>
        </w:trPr>
        <w:tc>
          <w:tcPr>
            <w:tcW w:w="2880"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Babu </w:t>
            </w:r>
            <w:r w:rsidRPr="00384046">
              <w:rPr>
                <w:rFonts w:ascii="Book Antiqua" w:eastAsia="SimSun" w:hAnsi="Book Antiqua" w:cs="Times New Roman"/>
                <w:i/>
                <w:color w:val="000000" w:themeColor="text1"/>
                <w:kern w:val="0"/>
                <w:sz w:val="24"/>
                <w:szCs w:val="24"/>
              </w:rPr>
              <w:t>et al</w:t>
            </w:r>
            <w:r w:rsidRPr="00384046">
              <w:rPr>
                <w:rFonts w:ascii="Book Antiqua" w:hAnsi="Book Antiqua" w:cs="Times New Roman"/>
                <w:color w:val="000000" w:themeColor="text1"/>
                <w:sz w:val="24"/>
                <w:szCs w:val="24"/>
                <w:vertAlign w:val="superscript"/>
              </w:rPr>
              <w:t>[9]</w:t>
            </w:r>
            <w:r w:rsidRPr="00384046">
              <w:rPr>
                <w:rFonts w:ascii="Book Antiqua" w:eastAsia="SimSun" w:hAnsi="Book Antiqua" w:cs="Times New Roman"/>
                <w:color w:val="000000" w:themeColor="text1"/>
                <w:kern w:val="0"/>
                <w:sz w:val="24"/>
                <w:szCs w:val="24"/>
              </w:rPr>
              <w:t>, 2017</w:t>
            </w:r>
          </w:p>
        </w:tc>
        <w:tc>
          <w:tcPr>
            <w:tcW w:w="1229"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816"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230"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910" w:type="dxa"/>
            <w:shd w:val="clear" w:color="auto" w:fill="auto"/>
            <w:noWrap/>
            <w:vAlign w:val="center"/>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190" w:type="dxa"/>
            <w:shd w:val="clear" w:color="auto" w:fill="auto"/>
            <w:noWrap/>
            <w:vAlign w:val="center"/>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843" w:type="dxa"/>
            <w:shd w:val="clear" w:color="auto" w:fill="auto"/>
            <w:noWrap/>
            <w:vAlign w:val="center"/>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080"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3</w:t>
            </w:r>
          </w:p>
        </w:tc>
      </w:tr>
      <w:tr w:rsidR="005650F6" w:rsidRPr="00384046" w:rsidTr="007535D1">
        <w:trPr>
          <w:trHeight w:val="285"/>
          <w:jc w:val="center"/>
        </w:trPr>
        <w:tc>
          <w:tcPr>
            <w:tcW w:w="13178" w:type="dxa"/>
            <w:gridSpan w:val="8"/>
            <w:shd w:val="clear" w:color="auto" w:fill="auto"/>
            <w:noWrap/>
            <w:vAlign w:val="center"/>
            <w:hideMark/>
          </w:tcPr>
          <w:p w:rsidR="00DD3981" w:rsidRPr="00384046" w:rsidRDefault="00DD3981" w:rsidP="00384046">
            <w:pPr>
              <w:widowControl/>
              <w:spacing w:line="360" w:lineRule="auto"/>
              <w:rPr>
                <w:rFonts w:ascii="Book Antiqua" w:eastAsia="SimSun" w:hAnsi="Book Antiqua" w:cs="Times New Roman"/>
                <w:bCs/>
                <w:color w:val="000000" w:themeColor="text1"/>
                <w:kern w:val="0"/>
                <w:sz w:val="24"/>
                <w:szCs w:val="24"/>
              </w:rPr>
            </w:pPr>
            <w:r w:rsidRPr="00384046">
              <w:rPr>
                <w:rFonts w:ascii="Book Antiqua" w:eastAsia="SimSun" w:hAnsi="Book Antiqua" w:cs="Times New Roman"/>
                <w:bCs/>
                <w:color w:val="000000" w:themeColor="text1"/>
                <w:kern w:val="0"/>
                <w:sz w:val="24"/>
                <w:szCs w:val="24"/>
              </w:rPr>
              <w:t>Retrospective study</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Abbasi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[19]</w:t>
            </w:r>
            <w:r w:rsidRPr="00384046">
              <w:rPr>
                <w:rFonts w:ascii="Book Antiqua" w:eastAsia="SimSun" w:hAnsi="Book Antiqua" w:cs="Times New Roman"/>
                <w:color w:val="000000" w:themeColor="text1"/>
                <w:kern w:val="0"/>
                <w:sz w:val="24"/>
                <w:szCs w:val="24"/>
              </w:rPr>
              <w:t>, 2010</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6</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 xml:space="preserve">Kilickap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[8]</w:t>
            </w:r>
            <w:r w:rsidRPr="00384046">
              <w:rPr>
                <w:rFonts w:ascii="Book Antiqua" w:eastAsia="SimSun" w:hAnsi="Book Antiqua" w:cs="Times New Roman"/>
                <w:color w:val="000000" w:themeColor="text1"/>
                <w:kern w:val="0"/>
                <w:sz w:val="24"/>
                <w:szCs w:val="24"/>
              </w:rPr>
              <w:t>, 2011</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7</w:t>
            </w:r>
          </w:p>
        </w:tc>
      </w:tr>
      <w:tr w:rsidR="00047638" w:rsidRPr="00384046" w:rsidTr="007535D1">
        <w:trPr>
          <w:trHeight w:val="300"/>
          <w:jc w:val="center"/>
        </w:trPr>
        <w:tc>
          <w:tcPr>
            <w:tcW w:w="2880"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 xml:space="preserve">Teker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[12]</w:t>
            </w:r>
            <w:r w:rsidRPr="00384046">
              <w:rPr>
                <w:rFonts w:ascii="Book Antiqua" w:eastAsia="SimSun" w:hAnsi="Book Antiqua" w:cs="Times New Roman"/>
                <w:color w:val="000000" w:themeColor="text1"/>
                <w:kern w:val="0"/>
                <w:sz w:val="24"/>
                <w:szCs w:val="24"/>
              </w:rPr>
              <w:t>, 2014</w:t>
            </w:r>
          </w:p>
        </w:tc>
        <w:tc>
          <w:tcPr>
            <w:tcW w:w="1229" w:type="dxa"/>
            <w:shd w:val="clear" w:color="auto" w:fill="auto"/>
            <w:noWrap/>
            <w:vAlign w:val="center"/>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816" w:type="dxa"/>
            <w:shd w:val="clear" w:color="auto" w:fill="auto"/>
            <w:noWrap/>
            <w:vAlign w:val="center"/>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230" w:type="dxa"/>
            <w:shd w:val="clear" w:color="auto" w:fill="auto"/>
            <w:noWrap/>
            <w:vAlign w:val="center"/>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r w:rsidRPr="00384046">
              <w:rPr>
                <w:rFonts w:ascii="Book Antiqua" w:eastAsia="SimSun" w:hAnsi="Book Antiqua" w:cs="SimSun"/>
                <w:color w:val="000000" w:themeColor="text1"/>
                <w:kern w:val="0"/>
                <w:sz w:val="24"/>
                <w:szCs w:val="24"/>
              </w:rPr>
              <w:t>***</w:t>
            </w:r>
          </w:p>
        </w:tc>
        <w:tc>
          <w:tcPr>
            <w:tcW w:w="1910" w:type="dxa"/>
            <w:shd w:val="clear" w:color="auto" w:fill="auto"/>
            <w:noWrap/>
            <w:vAlign w:val="center"/>
          </w:tcPr>
          <w:p w:rsidR="00047638" w:rsidRPr="00384046" w:rsidRDefault="00047638" w:rsidP="00384046">
            <w:pPr>
              <w:widowControl/>
              <w:spacing w:line="360" w:lineRule="auto"/>
              <w:rPr>
                <w:rFonts w:ascii="Book Antiqua" w:eastAsia="SimSun" w:hAnsi="Book Antiqua" w:cs="SimSun"/>
                <w:color w:val="000000" w:themeColor="text1"/>
                <w:kern w:val="0"/>
                <w:sz w:val="24"/>
                <w:szCs w:val="24"/>
              </w:rPr>
            </w:pPr>
          </w:p>
        </w:tc>
        <w:tc>
          <w:tcPr>
            <w:tcW w:w="1190"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843"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p>
        </w:tc>
        <w:tc>
          <w:tcPr>
            <w:tcW w:w="1080" w:type="dxa"/>
            <w:shd w:val="clear" w:color="auto" w:fill="auto"/>
            <w:noWrap/>
            <w:vAlign w:val="center"/>
          </w:tcPr>
          <w:p w:rsidR="00047638" w:rsidRPr="00384046" w:rsidRDefault="00047638"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9</w:t>
            </w:r>
          </w:p>
        </w:tc>
      </w:tr>
    </w:tbl>
    <w:p w:rsidR="00DD3981" w:rsidRPr="00384046" w:rsidRDefault="00DD3981" w:rsidP="00384046">
      <w:pPr>
        <w:spacing w:line="360" w:lineRule="auto"/>
        <w:rPr>
          <w:rFonts w:ascii="Book Antiqua" w:hAnsi="Book Antiqua" w:cs="Times New Roman"/>
          <w:b/>
          <w:color w:val="000000" w:themeColor="text1"/>
          <w:sz w:val="24"/>
          <w:szCs w:val="24"/>
        </w:rPr>
        <w:sectPr w:rsidR="00DD3981" w:rsidRPr="00384046" w:rsidSect="000868C7">
          <w:headerReference w:type="even" r:id="rId9"/>
          <w:footerReference w:type="default" r:id="rId10"/>
          <w:pgSz w:w="16839" w:h="11907" w:orient="landscape" w:code="9"/>
          <w:pgMar w:top="1440" w:right="2722" w:bottom="1440" w:left="2614" w:header="851" w:footer="992" w:gutter="0"/>
          <w:cols w:space="425"/>
          <w:docGrid w:type="lines" w:linePitch="312"/>
        </w:sectPr>
      </w:pPr>
    </w:p>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lastRenderedPageBreak/>
        <w:t xml:space="preserve">Table 2 Characteristics of </w:t>
      </w:r>
      <w:r w:rsidRPr="00384046">
        <w:rPr>
          <w:rFonts w:ascii="Book Antiqua" w:eastAsia="SimSun" w:hAnsi="Book Antiqua" w:cs="Times New Roman"/>
          <w:b/>
          <w:color w:val="000000" w:themeColor="text1"/>
          <w:sz w:val="24"/>
          <w:szCs w:val="24"/>
        </w:rPr>
        <w:t xml:space="preserve">the </w:t>
      </w:r>
      <w:r w:rsidR="00AC3A5A" w:rsidRPr="00384046">
        <w:rPr>
          <w:rFonts w:ascii="Book Antiqua" w:hAnsi="Book Antiqua" w:cs="Times New Roman"/>
          <w:b/>
          <w:color w:val="000000" w:themeColor="text1"/>
          <w:sz w:val="24"/>
          <w:szCs w:val="24"/>
        </w:rPr>
        <w:t>included studies</w:t>
      </w:r>
    </w:p>
    <w:tbl>
      <w:tblPr>
        <w:tblStyle w:val="TableGrid"/>
        <w:tblW w:w="5000" w:type="pct"/>
        <w:tblBorders>
          <w:top w:val="single" w:sz="2" w:space="0" w:color="auto"/>
          <w:left w:val="none" w:sz="0" w:space="0" w:color="auto"/>
          <w:bottom w:val="single" w:sz="2"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91"/>
        <w:gridCol w:w="710"/>
        <w:gridCol w:w="6301"/>
        <w:gridCol w:w="1150"/>
        <w:gridCol w:w="763"/>
        <w:gridCol w:w="756"/>
        <w:gridCol w:w="643"/>
        <w:gridCol w:w="1004"/>
        <w:gridCol w:w="1056"/>
      </w:tblGrid>
      <w:tr w:rsidR="00384046" w:rsidRPr="00384046" w:rsidTr="00826B05">
        <w:trPr>
          <w:trHeight w:val="480"/>
        </w:trPr>
        <w:tc>
          <w:tcPr>
            <w:tcW w:w="632" w:type="pct"/>
            <w:tcBorders>
              <w:top w:val="single" w:sz="2" w:space="0" w:color="auto"/>
              <w:bottom w:val="single" w:sz="2" w:space="0" w:color="auto"/>
            </w:tcBorders>
            <w:shd w:val="clear" w:color="auto" w:fill="FFFFFF" w:themeFill="background1"/>
            <w:noWrap/>
            <w:vAlign w:val="center"/>
          </w:tcPr>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References</w:t>
            </w:r>
          </w:p>
        </w:tc>
        <w:tc>
          <w:tcPr>
            <w:tcW w:w="250"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Year</w:t>
            </w:r>
          </w:p>
        </w:tc>
        <w:tc>
          <w:tcPr>
            <w:tcW w:w="2223" w:type="pct"/>
            <w:tcBorders>
              <w:top w:val="single" w:sz="2" w:space="0" w:color="auto"/>
              <w:bottom w:val="single" w:sz="2" w:space="0" w:color="auto"/>
            </w:tcBorders>
            <w:shd w:val="clear" w:color="auto" w:fill="FFFFFF" w:themeFill="background1"/>
            <w:vAlign w:val="center"/>
          </w:tcPr>
          <w:p w:rsidR="00DD3981" w:rsidRPr="00384046" w:rsidRDefault="00CA23E6"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Intervention</w:t>
            </w:r>
            <w:r w:rsidR="005E488D" w:rsidRPr="00384046">
              <w:rPr>
                <w:rFonts w:ascii="Book Antiqua" w:hAnsi="Book Antiqua" w:cs="Times New Roman"/>
                <w:b/>
                <w:color w:val="000000" w:themeColor="text1"/>
                <w:sz w:val="24"/>
                <w:szCs w:val="24"/>
              </w:rPr>
              <w:t xml:space="preserve"> </w:t>
            </w:r>
            <w:r w:rsidRPr="00384046">
              <w:rPr>
                <w:rFonts w:ascii="Book Antiqua" w:hAnsi="Book Antiqua" w:cs="Times New Roman"/>
                <w:b/>
                <w:color w:val="000000" w:themeColor="text1"/>
                <w:sz w:val="24"/>
                <w:szCs w:val="24"/>
              </w:rPr>
              <w:t>and</w:t>
            </w:r>
            <w:r w:rsidR="005E488D" w:rsidRPr="00384046">
              <w:rPr>
                <w:rFonts w:ascii="Book Antiqua" w:hAnsi="Book Antiqua" w:cs="Times New Roman"/>
                <w:b/>
                <w:color w:val="000000" w:themeColor="text1"/>
                <w:sz w:val="24"/>
                <w:szCs w:val="24"/>
              </w:rPr>
              <w:t xml:space="preserve"> </w:t>
            </w:r>
            <w:r w:rsidR="009825D9" w:rsidRPr="00384046">
              <w:rPr>
                <w:rFonts w:ascii="Book Antiqua" w:hAnsi="Book Antiqua" w:cs="Times New Roman"/>
                <w:b/>
                <w:color w:val="000000" w:themeColor="text1"/>
                <w:sz w:val="24"/>
                <w:szCs w:val="24"/>
              </w:rPr>
              <w:t>control</w:t>
            </w:r>
          </w:p>
        </w:tc>
        <w:tc>
          <w:tcPr>
            <w:tcW w:w="406" w:type="pct"/>
            <w:tcBorders>
              <w:top w:val="single" w:sz="2" w:space="0" w:color="auto"/>
              <w:bottom w:val="single" w:sz="2" w:space="0" w:color="auto"/>
            </w:tcBorders>
            <w:shd w:val="clear" w:color="auto" w:fill="FFFFFF" w:themeFill="background1"/>
            <w:vAlign w:val="center"/>
          </w:tcPr>
          <w:p w:rsidR="00DD3981" w:rsidRPr="00384046" w:rsidRDefault="00DD3981" w:rsidP="00384046">
            <w:pPr>
              <w:tabs>
                <w:tab w:val="left" w:pos="434"/>
              </w:tabs>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Samples</w:t>
            </w:r>
          </w:p>
        </w:tc>
        <w:tc>
          <w:tcPr>
            <w:tcW w:w="269" w:type="pct"/>
            <w:tcBorders>
              <w:top w:val="single" w:sz="2" w:space="0" w:color="auto"/>
              <w:bottom w:val="single" w:sz="2" w:space="0" w:color="auto"/>
            </w:tcBorders>
            <w:shd w:val="clear" w:color="auto" w:fill="FFFFFF" w:themeFill="background1"/>
          </w:tcPr>
          <w:p w:rsidR="00DD3981" w:rsidRPr="00384046" w:rsidRDefault="00DD3981" w:rsidP="00384046">
            <w:pPr>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ORR</w:t>
            </w:r>
            <w:r w:rsidR="005544B5" w:rsidRPr="00384046">
              <w:rPr>
                <w:rFonts w:ascii="Book Antiqua" w:eastAsia="SimSun" w:hAnsi="Book Antiqua" w:cs="Times New Roman"/>
                <w:b/>
                <w:bCs/>
                <w:color w:val="000000" w:themeColor="text1"/>
                <w:kern w:val="0"/>
                <w:sz w:val="24"/>
                <w:szCs w:val="24"/>
              </w:rPr>
              <w:t xml:space="preserve"> </w:t>
            </w:r>
            <w:r w:rsidRPr="00384046">
              <w:rPr>
                <w:rFonts w:ascii="Book Antiqua" w:eastAsia="SimSun" w:hAnsi="Book Antiqua" w:cs="Times New Roman"/>
                <w:b/>
                <w:bCs/>
                <w:color w:val="000000" w:themeColor="text1"/>
                <w:kern w:val="0"/>
                <w:sz w:val="24"/>
                <w:szCs w:val="24"/>
              </w:rPr>
              <w:t>(%)</w:t>
            </w:r>
          </w:p>
        </w:tc>
        <w:tc>
          <w:tcPr>
            <w:tcW w:w="267"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OS</w:t>
            </w:r>
          </w:p>
        </w:tc>
        <w:tc>
          <w:tcPr>
            <w:tcW w:w="227"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eastAsia="SimSun" w:hAnsi="Book Antiqua" w:cs="Times New Roman"/>
                <w:b/>
                <w:bCs/>
                <w:color w:val="000000" w:themeColor="text1"/>
                <w:kern w:val="0"/>
                <w:sz w:val="24"/>
                <w:szCs w:val="24"/>
              </w:rPr>
            </w:pPr>
            <w:r w:rsidRPr="00384046">
              <w:rPr>
                <w:rFonts w:ascii="Book Antiqua" w:eastAsia="SimSun" w:hAnsi="Book Antiqua" w:cs="Times New Roman"/>
                <w:b/>
                <w:bCs/>
                <w:color w:val="000000" w:themeColor="text1"/>
                <w:kern w:val="0"/>
                <w:sz w:val="24"/>
                <w:szCs w:val="24"/>
              </w:rPr>
              <w:t>PFS</w:t>
            </w:r>
          </w:p>
        </w:tc>
        <w:tc>
          <w:tcPr>
            <w:tcW w:w="354"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eastAsia="SimSun" w:hAnsi="Book Antiqua" w:cs="Times New Roman"/>
                <w:b/>
                <w:bCs/>
                <w:color w:val="000000" w:themeColor="text1"/>
                <w:kern w:val="0"/>
                <w:sz w:val="24"/>
                <w:szCs w:val="24"/>
              </w:rPr>
              <w:t>Design</w:t>
            </w:r>
          </w:p>
        </w:tc>
        <w:tc>
          <w:tcPr>
            <w:tcW w:w="373"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eastAsia="SimSun" w:hAnsi="Book Antiqua" w:cs="Times New Roman"/>
                <w:b/>
                <w:bCs/>
                <w:color w:val="000000" w:themeColor="text1"/>
                <w:kern w:val="0"/>
                <w:sz w:val="24"/>
                <w:szCs w:val="24"/>
              </w:rPr>
              <w:t>Quality</w:t>
            </w:r>
            <w:r w:rsidR="0025266E" w:rsidRPr="00384046">
              <w:rPr>
                <w:rFonts w:ascii="Book Antiqua" w:eastAsia="SimSun" w:hAnsi="Book Antiqua" w:cs="Times New Roman"/>
                <w:b/>
                <w:bCs/>
                <w:color w:val="000000" w:themeColor="text1"/>
                <w:kern w:val="0"/>
                <w:sz w:val="24"/>
                <w:szCs w:val="24"/>
              </w:rPr>
              <w:t xml:space="preserve"> </w:t>
            </w:r>
            <w:r w:rsidRPr="00384046">
              <w:rPr>
                <w:rFonts w:ascii="Book Antiqua" w:eastAsia="SimSun" w:hAnsi="Book Antiqua" w:cs="Times New Roman"/>
                <w:b/>
                <w:bCs/>
                <w:color w:val="000000" w:themeColor="text1"/>
                <w:kern w:val="0"/>
                <w:sz w:val="24"/>
                <w:szCs w:val="24"/>
              </w:rPr>
              <w:t>(score)</w:t>
            </w:r>
          </w:p>
        </w:tc>
      </w:tr>
      <w:tr w:rsidR="00E17103" w:rsidRPr="00384046" w:rsidTr="00826B05">
        <w:trPr>
          <w:trHeight w:val="312"/>
        </w:trPr>
        <w:tc>
          <w:tcPr>
            <w:tcW w:w="632" w:type="pct"/>
            <w:vMerge w:val="restart"/>
            <w:tcBorders>
              <w:top w:val="single" w:sz="2" w:space="0" w:color="auto"/>
            </w:tcBorders>
            <w:shd w:val="clear" w:color="auto" w:fill="FFFFFF" w:themeFill="background1"/>
            <w:noWrap/>
            <w:vAlign w:val="center"/>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 xml:space="preserve">Sadighi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[18]</w:t>
            </w:r>
          </w:p>
        </w:tc>
        <w:tc>
          <w:tcPr>
            <w:tcW w:w="250" w:type="pct"/>
            <w:vMerge w:val="restart"/>
            <w:tcBorders>
              <w:top w:val="single" w:sz="2" w:space="0" w:color="auto"/>
            </w:tcBorders>
            <w:shd w:val="clear" w:color="auto" w:fill="FFFFFF" w:themeFill="background1"/>
            <w:vAlign w:val="center"/>
          </w:tcPr>
          <w:p w:rsidR="00E17103" w:rsidRPr="00384046" w:rsidRDefault="00E17103" w:rsidP="00384046">
            <w:pPr>
              <w:widowControl/>
              <w:spacing w:line="360" w:lineRule="auto"/>
              <w:ind w:rightChars="-96" w:right="-202"/>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2006</w:t>
            </w:r>
          </w:p>
        </w:tc>
        <w:tc>
          <w:tcPr>
            <w:tcW w:w="2223" w:type="pct"/>
            <w:tcBorders>
              <w:top w:val="single" w:sz="2" w:space="0" w:color="auto"/>
            </w:tcBorders>
            <w:shd w:val="clear" w:color="auto" w:fill="FFFFFF" w:themeFill="background1"/>
          </w:tcPr>
          <w:p w:rsidR="00E17103" w:rsidRPr="00384046" w:rsidRDefault="00E17103" w:rsidP="00384046">
            <w:pPr>
              <w:widowControl/>
              <w:spacing w:line="360" w:lineRule="auto"/>
              <w:ind w:rightChars="-96" w:right="-202"/>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kern w:val="0"/>
                <w:sz w:val="24"/>
                <w:szCs w:val="24"/>
              </w:rPr>
              <w:t>D 60mg/m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60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F 750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 d1-5(21)</w:t>
            </w:r>
          </w:p>
        </w:tc>
        <w:tc>
          <w:tcPr>
            <w:tcW w:w="406" w:type="pct"/>
            <w:tcBorders>
              <w:top w:val="single" w:sz="2" w:space="0" w:color="auto"/>
            </w:tcBorders>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44</w:t>
            </w:r>
          </w:p>
        </w:tc>
        <w:tc>
          <w:tcPr>
            <w:tcW w:w="269" w:type="pct"/>
            <w:tcBorders>
              <w:top w:val="single" w:sz="2" w:space="0" w:color="auto"/>
            </w:tcBorders>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42.0</w:t>
            </w:r>
          </w:p>
        </w:tc>
        <w:tc>
          <w:tcPr>
            <w:tcW w:w="267" w:type="pct"/>
            <w:tcBorders>
              <w:top w:val="single" w:sz="2" w:space="0" w:color="auto"/>
            </w:tcBorders>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t>
            </w:r>
          </w:p>
        </w:tc>
        <w:tc>
          <w:tcPr>
            <w:tcW w:w="227" w:type="pct"/>
            <w:tcBorders>
              <w:top w:val="single" w:sz="2" w:space="0" w:color="auto"/>
            </w:tcBorders>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t>
            </w:r>
          </w:p>
        </w:tc>
        <w:tc>
          <w:tcPr>
            <w:tcW w:w="354" w:type="pct"/>
            <w:vMerge w:val="restart"/>
            <w:tcBorders>
              <w:top w:val="single" w:sz="2" w:space="0" w:color="auto"/>
            </w:tcBorders>
            <w:shd w:val="clear" w:color="auto" w:fill="FFFFFF" w:themeFill="background1"/>
            <w:vAlign w:val="center"/>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RCT</w:t>
            </w:r>
          </w:p>
        </w:tc>
        <w:tc>
          <w:tcPr>
            <w:tcW w:w="373" w:type="pct"/>
            <w:vMerge w:val="restart"/>
            <w:tcBorders>
              <w:top w:val="single" w:sz="2" w:space="0" w:color="auto"/>
            </w:tcBorders>
            <w:shd w:val="clear" w:color="auto" w:fill="FFFFFF" w:themeFill="background1"/>
            <w:vAlign w:val="center"/>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5/5</w:t>
            </w:r>
          </w:p>
        </w:tc>
      </w:tr>
      <w:tr w:rsidR="00E17103" w:rsidRPr="00384046" w:rsidTr="00826B05">
        <w:trPr>
          <w:trHeight w:val="312"/>
        </w:trPr>
        <w:tc>
          <w:tcPr>
            <w:tcW w:w="632" w:type="pct"/>
            <w:vMerge/>
            <w:shd w:val="clear" w:color="auto" w:fill="FFFFFF" w:themeFill="background1"/>
            <w:noWrap/>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p>
        </w:tc>
        <w:tc>
          <w:tcPr>
            <w:tcW w:w="250" w:type="pct"/>
            <w:vMerge/>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kern w:val="0"/>
                <w:sz w:val="24"/>
                <w:szCs w:val="24"/>
              </w:rPr>
              <w:t>E 60mg/m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60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F 750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 d1-5(21)</w:t>
            </w:r>
          </w:p>
        </w:tc>
        <w:tc>
          <w:tcPr>
            <w:tcW w:w="406"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42</w:t>
            </w:r>
          </w:p>
        </w:tc>
        <w:tc>
          <w:tcPr>
            <w:tcW w:w="269"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37.0</w:t>
            </w:r>
          </w:p>
        </w:tc>
        <w:tc>
          <w:tcPr>
            <w:tcW w:w="267"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w:t>
            </w:r>
          </w:p>
        </w:tc>
        <w:tc>
          <w:tcPr>
            <w:tcW w:w="227"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w:t>
            </w:r>
          </w:p>
        </w:tc>
        <w:tc>
          <w:tcPr>
            <w:tcW w:w="354" w:type="pct"/>
            <w:vMerge/>
            <w:shd w:val="clear" w:color="auto" w:fill="FFFFFF" w:themeFill="background1"/>
            <w:vAlign w:val="center"/>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p>
        </w:tc>
        <w:tc>
          <w:tcPr>
            <w:tcW w:w="373" w:type="pct"/>
            <w:vMerge/>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p>
        </w:tc>
      </w:tr>
      <w:tr w:rsidR="00E17103" w:rsidRPr="00384046" w:rsidTr="00826B05">
        <w:trPr>
          <w:trHeight w:val="312"/>
        </w:trPr>
        <w:tc>
          <w:tcPr>
            <w:tcW w:w="632" w:type="pct"/>
            <w:vMerge w:val="restart"/>
            <w:shd w:val="clear" w:color="auto" w:fill="FFFFFF" w:themeFill="background1"/>
            <w:noWrap/>
            <w:vAlign w:val="center"/>
            <w:hideMark/>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 xml:space="preserve">Roth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[10]</w:t>
            </w:r>
          </w:p>
        </w:tc>
        <w:tc>
          <w:tcPr>
            <w:tcW w:w="250" w:type="pct"/>
            <w:vMerge w:val="restart"/>
            <w:shd w:val="clear" w:color="auto" w:fill="FFFFFF" w:themeFill="background1"/>
            <w:vAlign w:val="center"/>
          </w:tcPr>
          <w:p w:rsidR="00E17103" w:rsidRPr="00384046" w:rsidRDefault="00E17103" w:rsidP="00384046">
            <w:pPr>
              <w:widowControl/>
              <w:spacing w:line="360" w:lineRule="auto"/>
              <w:ind w:rightChars="-96" w:right="-202"/>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2007</w:t>
            </w:r>
          </w:p>
        </w:tc>
        <w:tc>
          <w:tcPr>
            <w:tcW w:w="2223" w:type="pct"/>
            <w:shd w:val="clear" w:color="auto" w:fill="FFFFFF" w:themeFill="background1"/>
            <w:hideMark/>
          </w:tcPr>
          <w:p w:rsidR="00E17103" w:rsidRPr="00384046" w:rsidRDefault="00E17103" w:rsidP="00384046">
            <w:pPr>
              <w:widowControl/>
              <w:spacing w:line="360" w:lineRule="auto"/>
              <w:ind w:rightChars="-96" w:right="-202"/>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kern w:val="0"/>
                <w:sz w:val="24"/>
                <w:szCs w:val="24"/>
              </w:rPr>
              <w:t>D 85mg/m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75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d1,F 300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 d1-14(21)</w:t>
            </w:r>
          </w:p>
        </w:tc>
        <w:tc>
          <w:tcPr>
            <w:tcW w:w="406"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41</w:t>
            </w:r>
          </w:p>
        </w:tc>
        <w:tc>
          <w:tcPr>
            <w:tcW w:w="269" w:type="pct"/>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36.6</w:t>
            </w:r>
          </w:p>
        </w:tc>
        <w:tc>
          <w:tcPr>
            <w:tcW w:w="267" w:type="pct"/>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10.4</w:t>
            </w:r>
          </w:p>
        </w:tc>
        <w:tc>
          <w:tcPr>
            <w:tcW w:w="227" w:type="pct"/>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4.6</w:t>
            </w:r>
          </w:p>
        </w:tc>
        <w:tc>
          <w:tcPr>
            <w:tcW w:w="354" w:type="pct"/>
            <w:vMerge w:val="restart"/>
            <w:shd w:val="clear" w:color="auto" w:fill="FFFFFF" w:themeFill="background1"/>
            <w:vAlign w:val="center"/>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RCT</w:t>
            </w:r>
          </w:p>
        </w:tc>
        <w:tc>
          <w:tcPr>
            <w:tcW w:w="373" w:type="pct"/>
            <w:vMerge w:val="restart"/>
            <w:shd w:val="clear" w:color="auto" w:fill="FFFFFF" w:themeFill="background1"/>
            <w:vAlign w:val="center"/>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4/5</w:t>
            </w:r>
          </w:p>
        </w:tc>
      </w:tr>
      <w:tr w:rsidR="00E17103" w:rsidRPr="00384046" w:rsidTr="00826B05">
        <w:trPr>
          <w:trHeight w:val="312"/>
        </w:trPr>
        <w:tc>
          <w:tcPr>
            <w:tcW w:w="632" w:type="pct"/>
            <w:vMerge/>
            <w:shd w:val="clear" w:color="auto" w:fill="FFFFFF" w:themeFill="background1"/>
            <w:noWrap/>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p>
        </w:tc>
        <w:tc>
          <w:tcPr>
            <w:tcW w:w="250" w:type="pct"/>
            <w:vMerge/>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kern w:val="0"/>
                <w:sz w:val="24"/>
                <w:szCs w:val="24"/>
              </w:rPr>
              <w:t>E 50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60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F 200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 d1-21(21)</w:t>
            </w:r>
          </w:p>
        </w:tc>
        <w:tc>
          <w:tcPr>
            <w:tcW w:w="406"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40</w:t>
            </w:r>
          </w:p>
        </w:tc>
        <w:tc>
          <w:tcPr>
            <w:tcW w:w="269"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25.0</w:t>
            </w:r>
          </w:p>
        </w:tc>
        <w:tc>
          <w:tcPr>
            <w:tcW w:w="267"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8.3</w:t>
            </w:r>
          </w:p>
        </w:tc>
        <w:tc>
          <w:tcPr>
            <w:tcW w:w="227" w:type="pct"/>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4.9</w:t>
            </w:r>
          </w:p>
        </w:tc>
        <w:tc>
          <w:tcPr>
            <w:tcW w:w="354" w:type="pct"/>
            <w:vMerge/>
            <w:shd w:val="clear" w:color="auto" w:fill="FFFFFF" w:themeFill="background1"/>
            <w:vAlign w:val="center"/>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p>
        </w:tc>
        <w:tc>
          <w:tcPr>
            <w:tcW w:w="373" w:type="pct"/>
            <w:vMerge/>
            <w:shd w:val="clear" w:color="auto" w:fill="FFFFFF" w:themeFill="background1"/>
          </w:tcPr>
          <w:p w:rsidR="00E17103" w:rsidRPr="00384046" w:rsidRDefault="00E17103" w:rsidP="00384046">
            <w:pPr>
              <w:widowControl/>
              <w:spacing w:line="360" w:lineRule="auto"/>
              <w:rPr>
                <w:rFonts w:ascii="Book Antiqua" w:eastAsia="SimSun" w:hAnsi="Book Antiqua" w:cs="Times New Roman"/>
                <w:color w:val="000000" w:themeColor="text1"/>
                <w:kern w:val="0"/>
                <w:sz w:val="24"/>
                <w:szCs w:val="24"/>
              </w:rPr>
            </w:pPr>
          </w:p>
        </w:tc>
      </w:tr>
      <w:tr w:rsidR="00D20784" w:rsidRPr="00384046" w:rsidTr="00826B05">
        <w:trPr>
          <w:trHeight w:val="312"/>
        </w:trPr>
        <w:tc>
          <w:tcPr>
            <w:tcW w:w="632" w:type="pct"/>
            <w:vMerge w:val="restart"/>
            <w:shd w:val="clear" w:color="auto" w:fill="FFFFFF" w:themeFill="background1"/>
            <w:noWrap/>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Abbasi</w:t>
            </w:r>
            <w:r w:rsidRPr="00384046">
              <w:rPr>
                <w:rFonts w:ascii="Book Antiqua" w:eastAsia="SimSun" w:hAnsi="Book Antiqua" w:cs="Times New Roman"/>
                <w:i/>
                <w:color w:val="000000" w:themeColor="text1"/>
                <w:kern w:val="0"/>
                <w:sz w:val="24"/>
                <w:szCs w:val="24"/>
              </w:rPr>
              <w:t xml:space="preserve"> et al</w:t>
            </w:r>
            <w:r w:rsidRPr="00384046">
              <w:rPr>
                <w:rFonts w:ascii="Book Antiqua" w:hAnsi="Book Antiqua" w:cs="Times New Roman"/>
                <w:color w:val="000000" w:themeColor="text1"/>
                <w:sz w:val="24"/>
                <w:szCs w:val="24"/>
                <w:vertAlign w:val="superscript"/>
              </w:rPr>
              <w:t>[19]</w:t>
            </w:r>
          </w:p>
        </w:tc>
        <w:tc>
          <w:tcPr>
            <w:tcW w:w="250" w:type="pct"/>
            <w:vMerge w:val="restart"/>
            <w:shd w:val="clear" w:color="auto" w:fill="FFFFFF" w:themeFill="background1"/>
            <w:vAlign w:val="center"/>
          </w:tcPr>
          <w:p w:rsidR="00D20784" w:rsidRPr="00384046" w:rsidRDefault="00D20784" w:rsidP="00384046">
            <w:pPr>
              <w:spacing w:line="360" w:lineRule="auto"/>
              <w:ind w:rightChars="-50" w:right="-105"/>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2010</w:t>
            </w:r>
          </w:p>
        </w:tc>
        <w:tc>
          <w:tcPr>
            <w:tcW w:w="2223" w:type="pct"/>
            <w:shd w:val="clear" w:color="auto" w:fill="FFFFFF" w:themeFill="background1"/>
            <w:vAlign w:val="center"/>
          </w:tcPr>
          <w:p w:rsidR="00D20784" w:rsidRPr="00384046" w:rsidRDefault="00D20784" w:rsidP="00384046">
            <w:pPr>
              <w:spacing w:line="360" w:lineRule="auto"/>
              <w:ind w:rightChars="-50" w:right="-105"/>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DCF: D 75</w:t>
            </w:r>
            <w:r w:rsidRPr="00384046">
              <w:rPr>
                <w:rFonts w:ascii="Book Antiqua" w:eastAsia="SimSun" w:hAnsi="Book Antiqua" w:cs="Times New Roman"/>
                <w:color w:val="000000" w:themeColor="text1"/>
                <w:kern w:val="0"/>
                <w:sz w:val="24"/>
                <w:szCs w:val="24"/>
              </w:rPr>
              <w:t>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hAnsi="Book Antiqua" w:cs="Times New Roman"/>
                <w:color w:val="000000" w:themeColor="text1"/>
                <w:sz w:val="24"/>
                <w:szCs w:val="24"/>
              </w:rPr>
              <w:t>, d1, C 75</w:t>
            </w:r>
            <w:r w:rsidRPr="00384046">
              <w:rPr>
                <w:rFonts w:ascii="Book Antiqua" w:eastAsia="SimSun" w:hAnsi="Book Antiqua" w:cs="Times New Roman"/>
                <w:color w:val="000000" w:themeColor="text1"/>
                <w:kern w:val="0"/>
                <w:sz w:val="24"/>
                <w:szCs w:val="24"/>
              </w:rPr>
              <w:t xml:space="preserve">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hAnsi="Book Antiqua" w:cs="Times New Roman"/>
                <w:color w:val="000000" w:themeColor="text1"/>
                <w:sz w:val="24"/>
                <w:szCs w:val="24"/>
              </w:rPr>
              <w:t>, d1, F 750</w:t>
            </w:r>
            <w:r w:rsidRPr="00384046">
              <w:rPr>
                <w:rFonts w:ascii="Book Antiqua" w:eastAsia="SimSun" w:hAnsi="Book Antiqua" w:cs="Times New Roman"/>
                <w:color w:val="000000" w:themeColor="text1"/>
                <w:kern w:val="0"/>
                <w:sz w:val="24"/>
                <w:szCs w:val="24"/>
              </w:rPr>
              <w:t xml:space="preserve">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w:t>
            </w:r>
            <w:r w:rsidRPr="00384046">
              <w:rPr>
                <w:rFonts w:ascii="Book Antiqua" w:hAnsi="Book Antiqua" w:cs="Times New Roman"/>
                <w:color w:val="000000" w:themeColor="text1"/>
                <w:sz w:val="24"/>
                <w:szCs w:val="24"/>
              </w:rPr>
              <w:t>, d1-5(21)</w:t>
            </w:r>
          </w:p>
        </w:tc>
        <w:tc>
          <w:tcPr>
            <w:tcW w:w="406" w:type="pc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30</w:t>
            </w:r>
          </w:p>
        </w:tc>
        <w:tc>
          <w:tcPr>
            <w:tcW w:w="269"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56.3</w:t>
            </w:r>
          </w:p>
        </w:tc>
        <w:tc>
          <w:tcPr>
            <w:tcW w:w="26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10.81</w:t>
            </w:r>
          </w:p>
        </w:tc>
        <w:tc>
          <w:tcPr>
            <w:tcW w:w="22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6.81</w:t>
            </w:r>
          </w:p>
        </w:tc>
        <w:tc>
          <w:tcPr>
            <w:tcW w:w="354" w:type="pct"/>
            <w:vMerge w:val="restar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RS</w:t>
            </w:r>
          </w:p>
        </w:tc>
        <w:tc>
          <w:tcPr>
            <w:tcW w:w="373" w:type="pct"/>
            <w:vMerge w:val="restar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6/9</w:t>
            </w:r>
          </w:p>
        </w:tc>
      </w:tr>
      <w:tr w:rsidR="00D20784" w:rsidRPr="00384046" w:rsidTr="00826B05">
        <w:trPr>
          <w:trHeight w:val="312"/>
        </w:trPr>
        <w:tc>
          <w:tcPr>
            <w:tcW w:w="632" w:type="pct"/>
            <w:vMerge/>
            <w:shd w:val="clear" w:color="auto" w:fill="FFFFFF" w:themeFill="background1"/>
            <w:noWrap/>
            <w:vAlign w:val="center"/>
          </w:tcPr>
          <w:p w:rsidR="00D20784" w:rsidRPr="00384046" w:rsidRDefault="00D20784" w:rsidP="00384046">
            <w:pPr>
              <w:spacing w:line="360" w:lineRule="auto"/>
              <w:rPr>
                <w:rFonts w:ascii="Book Antiqua" w:hAnsi="Book Antiqua" w:cs="Times New Roman"/>
                <w:color w:val="000000" w:themeColor="text1"/>
                <w:sz w:val="24"/>
                <w:szCs w:val="24"/>
              </w:rPr>
            </w:pPr>
          </w:p>
        </w:tc>
        <w:tc>
          <w:tcPr>
            <w:tcW w:w="250" w:type="pct"/>
            <w:vMerge/>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p>
        </w:tc>
        <w:tc>
          <w:tcPr>
            <w:tcW w:w="2223" w:type="pc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ECF: E 50</w:t>
            </w:r>
            <w:r w:rsidRPr="00384046">
              <w:rPr>
                <w:rFonts w:ascii="Book Antiqua" w:eastAsia="SimSun" w:hAnsi="Book Antiqua" w:cs="Times New Roman"/>
                <w:color w:val="000000" w:themeColor="text1"/>
                <w:kern w:val="0"/>
                <w:sz w:val="24"/>
                <w:szCs w:val="24"/>
              </w:rPr>
              <w:t xml:space="preserve">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60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F 200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 d1-21(21)</w:t>
            </w:r>
          </w:p>
        </w:tc>
        <w:tc>
          <w:tcPr>
            <w:tcW w:w="406" w:type="pc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113</w:t>
            </w:r>
          </w:p>
        </w:tc>
        <w:tc>
          <w:tcPr>
            <w:tcW w:w="269"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31.3</w:t>
            </w:r>
          </w:p>
        </w:tc>
        <w:tc>
          <w:tcPr>
            <w:tcW w:w="26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8.06</w:t>
            </w:r>
          </w:p>
        </w:tc>
        <w:tc>
          <w:tcPr>
            <w:tcW w:w="22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5.13</w:t>
            </w:r>
          </w:p>
        </w:tc>
        <w:tc>
          <w:tcPr>
            <w:tcW w:w="354" w:type="pct"/>
            <w:vMerge/>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p>
        </w:tc>
        <w:tc>
          <w:tcPr>
            <w:tcW w:w="373" w:type="pct"/>
            <w:vMerge/>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p>
        </w:tc>
      </w:tr>
      <w:tr w:rsidR="00D20784" w:rsidRPr="00384046" w:rsidTr="00826B05">
        <w:trPr>
          <w:trHeight w:val="312"/>
        </w:trPr>
        <w:tc>
          <w:tcPr>
            <w:tcW w:w="632" w:type="pct"/>
            <w:vMerge w:val="restart"/>
            <w:shd w:val="clear" w:color="auto" w:fill="FFFFFF" w:themeFill="background1"/>
            <w:noWrap/>
            <w:vAlign w:val="center"/>
            <w:hideMark/>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 xml:space="preserve">Gao </w:t>
            </w:r>
            <w:r w:rsidRPr="00384046">
              <w:rPr>
                <w:rFonts w:ascii="Book Antiqua" w:eastAsia="SimSun" w:hAnsi="Book Antiqua" w:cs="Times New Roman"/>
                <w:i/>
                <w:color w:val="000000" w:themeColor="text1"/>
                <w:kern w:val="0"/>
                <w:sz w:val="24"/>
                <w:szCs w:val="24"/>
              </w:rPr>
              <w:t>et al</w:t>
            </w:r>
            <w:r w:rsidRPr="00384046">
              <w:rPr>
                <w:rFonts w:ascii="Book Antiqua" w:eastAsia="SimSun" w:hAnsi="Book Antiqua" w:cs="Times New Roman"/>
                <w:color w:val="000000" w:themeColor="text1"/>
                <w:kern w:val="0"/>
                <w:sz w:val="24"/>
                <w:szCs w:val="24"/>
                <w:vertAlign w:val="superscript"/>
              </w:rPr>
              <w:t>[11]</w:t>
            </w:r>
          </w:p>
        </w:tc>
        <w:tc>
          <w:tcPr>
            <w:tcW w:w="250" w:type="pct"/>
            <w:vMerge w:val="restart"/>
            <w:shd w:val="clear" w:color="auto" w:fill="FFFFFF" w:themeFill="background1"/>
            <w:vAlign w:val="center"/>
          </w:tcPr>
          <w:p w:rsidR="00D20784" w:rsidRPr="00384046" w:rsidRDefault="00D20784" w:rsidP="00384046">
            <w:pPr>
              <w:widowControl/>
              <w:spacing w:line="360" w:lineRule="auto"/>
              <w:ind w:rightChars="-96" w:right="-202"/>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2010</w:t>
            </w:r>
          </w:p>
        </w:tc>
        <w:tc>
          <w:tcPr>
            <w:tcW w:w="2223" w:type="pct"/>
            <w:shd w:val="clear" w:color="auto" w:fill="FFFFFF" w:themeFill="background1"/>
            <w:vAlign w:val="center"/>
            <w:hideMark/>
          </w:tcPr>
          <w:p w:rsidR="00D20784" w:rsidRPr="00384046" w:rsidRDefault="00D20784" w:rsidP="00384046">
            <w:pPr>
              <w:widowControl/>
              <w:spacing w:line="360" w:lineRule="auto"/>
              <w:ind w:rightChars="-96" w:right="-202"/>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kern w:val="0"/>
                <w:sz w:val="24"/>
                <w:szCs w:val="24"/>
              </w:rPr>
              <w:t>D 60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25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d1-3, F 1000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46 h, pumping(21)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32</w:t>
            </w:r>
          </w:p>
        </w:tc>
        <w:tc>
          <w:tcPr>
            <w:tcW w:w="269" w:type="pct"/>
            <w:shd w:val="clear" w:color="auto" w:fill="FFFFFF" w:themeFill="background1"/>
          </w:tcPr>
          <w:p w:rsidR="00D20784" w:rsidRPr="00384046" w:rsidRDefault="00D20784"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59.3</w:t>
            </w:r>
          </w:p>
        </w:tc>
        <w:tc>
          <w:tcPr>
            <w:tcW w:w="267" w:type="pct"/>
            <w:shd w:val="clear" w:color="auto" w:fill="FFFFFF" w:themeFill="background1"/>
          </w:tcPr>
          <w:p w:rsidR="00D20784" w:rsidRPr="00384046" w:rsidRDefault="00D20784"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t>
            </w:r>
          </w:p>
        </w:tc>
        <w:tc>
          <w:tcPr>
            <w:tcW w:w="227" w:type="pct"/>
            <w:shd w:val="clear" w:color="auto" w:fill="FFFFFF" w:themeFill="background1"/>
          </w:tcPr>
          <w:p w:rsidR="00D20784" w:rsidRPr="00384046" w:rsidRDefault="00D20784"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t>
            </w:r>
          </w:p>
        </w:tc>
        <w:tc>
          <w:tcPr>
            <w:tcW w:w="354" w:type="pct"/>
            <w:vMerge w:val="restar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RCT</w:t>
            </w:r>
          </w:p>
        </w:tc>
        <w:tc>
          <w:tcPr>
            <w:tcW w:w="373" w:type="pct"/>
            <w:vMerge w:val="restar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5/5</w:t>
            </w:r>
          </w:p>
        </w:tc>
      </w:tr>
      <w:tr w:rsidR="00D20784" w:rsidRPr="00384046" w:rsidTr="00826B05">
        <w:trPr>
          <w:trHeight w:val="312"/>
        </w:trPr>
        <w:tc>
          <w:tcPr>
            <w:tcW w:w="632" w:type="pct"/>
            <w:vMerge/>
            <w:shd w:val="clear" w:color="auto" w:fill="FFFFFF" w:themeFill="background1"/>
            <w:noWrap/>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c>
          <w:tcPr>
            <w:tcW w:w="250" w:type="pct"/>
            <w:vMerge/>
            <w:shd w:val="clear" w:color="auto" w:fill="FFFFFF" w:themeFill="background1"/>
            <w:vAlign w:val="center"/>
          </w:tcPr>
          <w:p w:rsidR="00D20784" w:rsidRPr="00384046" w:rsidRDefault="00D20784"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kern w:val="0"/>
                <w:sz w:val="24"/>
                <w:szCs w:val="24"/>
              </w:rPr>
              <w:t>E 50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25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d1-3, F 1000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46 h, pumping(21)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32</w:t>
            </w:r>
          </w:p>
        </w:tc>
        <w:tc>
          <w:tcPr>
            <w:tcW w:w="269"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32.6</w:t>
            </w:r>
          </w:p>
        </w:tc>
        <w:tc>
          <w:tcPr>
            <w:tcW w:w="26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w:t>
            </w:r>
          </w:p>
        </w:tc>
        <w:tc>
          <w:tcPr>
            <w:tcW w:w="22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w:t>
            </w:r>
          </w:p>
        </w:tc>
        <w:tc>
          <w:tcPr>
            <w:tcW w:w="354" w:type="pct"/>
            <w:vMerge/>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c>
          <w:tcPr>
            <w:tcW w:w="373" w:type="pct"/>
            <w:vMerge/>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r>
      <w:tr w:rsidR="00D20784" w:rsidRPr="00384046" w:rsidTr="00826B05">
        <w:trPr>
          <w:trHeight w:val="312"/>
        </w:trPr>
        <w:tc>
          <w:tcPr>
            <w:tcW w:w="632" w:type="pct"/>
            <w:vMerge w:val="restart"/>
            <w:shd w:val="clear" w:color="auto" w:fill="FFFFFF" w:themeFill="background1"/>
            <w:noWrap/>
            <w:vAlign w:val="center"/>
            <w:hideMark/>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Kilickap</w:t>
            </w:r>
            <w:r w:rsidRPr="00384046">
              <w:rPr>
                <w:rFonts w:ascii="Book Antiqua" w:eastAsia="SimSun" w:hAnsi="Book Antiqua" w:cs="Times New Roman"/>
                <w:i/>
                <w:color w:val="000000" w:themeColor="text1"/>
                <w:kern w:val="0"/>
                <w:sz w:val="24"/>
                <w:szCs w:val="24"/>
              </w:rPr>
              <w:t xml:space="preserve"> et al</w:t>
            </w:r>
            <w:r w:rsidRPr="00384046">
              <w:rPr>
                <w:rFonts w:ascii="Book Antiqua" w:eastAsia="SimSun" w:hAnsi="Book Antiqua" w:cs="Times New Roman"/>
                <w:color w:val="000000" w:themeColor="text1"/>
                <w:kern w:val="0"/>
                <w:sz w:val="24"/>
                <w:szCs w:val="24"/>
                <w:vertAlign w:val="superscript"/>
              </w:rPr>
              <w:t>[8]</w:t>
            </w:r>
          </w:p>
        </w:tc>
        <w:tc>
          <w:tcPr>
            <w:tcW w:w="250" w:type="pct"/>
            <w:vMerge w:val="restart"/>
            <w:shd w:val="clear" w:color="auto" w:fill="FFFFFF" w:themeFill="background1"/>
            <w:vAlign w:val="center"/>
          </w:tcPr>
          <w:p w:rsidR="00D20784" w:rsidRPr="00384046" w:rsidRDefault="00D20784"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2011</w:t>
            </w:r>
          </w:p>
        </w:tc>
        <w:tc>
          <w:tcPr>
            <w:tcW w:w="2223" w:type="pct"/>
            <w:shd w:val="clear" w:color="auto" w:fill="FFFFFF" w:themeFill="background1"/>
            <w:vAlign w:val="center"/>
            <w:hideMark/>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kern w:val="0"/>
                <w:sz w:val="24"/>
                <w:szCs w:val="24"/>
              </w:rPr>
              <w:t>D 75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75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F 750 mg/m2/d, d1-5(21)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40</w:t>
            </w:r>
          </w:p>
        </w:tc>
        <w:tc>
          <w:tcPr>
            <w:tcW w:w="269"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40.0</w:t>
            </w:r>
          </w:p>
        </w:tc>
        <w:tc>
          <w:tcPr>
            <w:tcW w:w="26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9.6</w:t>
            </w:r>
          </w:p>
        </w:tc>
        <w:tc>
          <w:tcPr>
            <w:tcW w:w="22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5.8</w:t>
            </w:r>
          </w:p>
        </w:tc>
        <w:tc>
          <w:tcPr>
            <w:tcW w:w="354" w:type="pct"/>
            <w:vMerge w:val="restar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RS</w:t>
            </w:r>
          </w:p>
        </w:tc>
        <w:tc>
          <w:tcPr>
            <w:tcW w:w="373" w:type="pct"/>
            <w:vMerge w:val="restar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7/9</w:t>
            </w:r>
          </w:p>
        </w:tc>
      </w:tr>
      <w:tr w:rsidR="00D20784" w:rsidRPr="00384046" w:rsidTr="00826B05">
        <w:trPr>
          <w:trHeight w:val="312"/>
        </w:trPr>
        <w:tc>
          <w:tcPr>
            <w:tcW w:w="632" w:type="pct"/>
            <w:vMerge/>
            <w:shd w:val="clear" w:color="auto" w:fill="FFFFFF" w:themeFill="background1"/>
            <w:noWrap/>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c>
          <w:tcPr>
            <w:tcW w:w="250" w:type="pct"/>
            <w:vMerge/>
            <w:shd w:val="clear" w:color="auto" w:fill="FFFFFF" w:themeFill="background1"/>
            <w:vAlign w:val="center"/>
          </w:tcPr>
          <w:p w:rsidR="00D20784" w:rsidRPr="00384046" w:rsidRDefault="00D20784"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kern w:val="0"/>
                <w:sz w:val="24"/>
                <w:szCs w:val="24"/>
              </w:rPr>
              <w:t>E 50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60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F 250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 d1-21(21)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40</w:t>
            </w:r>
          </w:p>
        </w:tc>
        <w:tc>
          <w:tcPr>
            <w:tcW w:w="269"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30.0</w:t>
            </w:r>
          </w:p>
        </w:tc>
        <w:tc>
          <w:tcPr>
            <w:tcW w:w="26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10.1</w:t>
            </w:r>
          </w:p>
        </w:tc>
        <w:tc>
          <w:tcPr>
            <w:tcW w:w="22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4.4</w:t>
            </w:r>
          </w:p>
        </w:tc>
        <w:tc>
          <w:tcPr>
            <w:tcW w:w="354" w:type="pct"/>
            <w:vMerge/>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c>
          <w:tcPr>
            <w:tcW w:w="373" w:type="pct"/>
            <w:vMerge/>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r>
      <w:tr w:rsidR="00D20784" w:rsidRPr="00384046" w:rsidTr="00826B05">
        <w:trPr>
          <w:trHeight w:val="312"/>
        </w:trPr>
        <w:tc>
          <w:tcPr>
            <w:tcW w:w="632" w:type="pct"/>
            <w:vMerge w:val="restart"/>
            <w:shd w:val="clear" w:color="auto" w:fill="FFFFFF" w:themeFill="background1"/>
            <w:noWrap/>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Teker</w:t>
            </w:r>
            <w:r w:rsidRPr="00384046">
              <w:rPr>
                <w:rFonts w:ascii="Book Antiqua" w:eastAsia="SimSun" w:hAnsi="Book Antiqua" w:cs="Times New Roman"/>
                <w:i/>
                <w:color w:val="000000" w:themeColor="text1"/>
                <w:kern w:val="0"/>
                <w:sz w:val="24"/>
                <w:szCs w:val="24"/>
              </w:rPr>
              <w:t xml:space="preserve"> et al</w:t>
            </w:r>
            <w:r w:rsidRPr="00384046">
              <w:rPr>
                <w:rFonts w:ascii="Book Antiqua" w:eastAsia="SimSun" w:hAnsi="Book Antiqua" w:cs="Times New Roman"/>
                <w:color w:val="000000" w:themeColor="text1"/>
                <w:kern w:val="0"/>
                <w:sz w:val="24"/>
                <w:szCs w:val="24"/>
                <w:vertAlign w:val="superscript"/>
              </w:rPr>
              <w:t>[12]</w:t>
            </w:r>
          </w:p>
        </w:tc>
        <w:tc>
          <w:tcPr>
            <w:tcW w:w="250" w:type="pct"/>
            <w:vMerge w:val="restart"/>
            <w:shd w:val="clear" w:color="auto" w:fill="FFFFFF" w:themeFill="background1"/>
            <w:vAlign w:val="center"/>
          </w:tcPr>
          <w:p w:rsidR="00D20784" w:rsidRPr="00384046" w:rsidRDefault="00D20784" w:rsidP="00384046">
            <w:pPr>
              <w:widowControl/>
              <w:spacing w:line="360" w:lineRule="auto"/>
              <w:ind w:rightChars="-51" w:right="-107"/>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2014</w:t>
            </w:r>
          </w:p>
        </w:tc>
        <w:tc>
          <w:tcPr>
            <w:tcW w:w="2223" w:type="pct"/>
            <w:shd w:val="clear" w:color="auto" w:fill="FFFFFF" w:themeFill="background1"/>
            <w:vAlign w:val="center"/>
          </w:tcPr>
          <w:p w:rsidR="00D20784" w:rsidRPr="00384046" w:rsidRDefault="00D20784" w:rsidP="00384046">
            <w:pPr>
              <w:widowControl/>
              <w:spacing w:line="360" w:lineRule="auto"/>
              <w:ind w:rightChars="-51" w:right="-107"/>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kern w:val="0"/>
                <w:sz w:val="24"/>
                <w:szCs w:val="24"/>
              </w:rPr>
              <w:t>D 50-75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50-75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F 500-750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 d1-5(21)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42</w:t>
            </w:r>
          </w:p>
        </w:tc>
        <w:tc>
          <w:tcPr>
            <w:tcW w:w="269"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26.2</w:t>
            </w:r>
          </w:p>
        </w:tc>
        <w:tc>
          <w:tcPr>
            <w:tcW w:w="26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11</w:t>
            </w:r>
          </w:p>
        </w:tc>
        <w:tc>
          <w:tcPr>
            <w:tcW w:w="22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6.0</w:t>
            </w:r>
          </w:p>
        </w:tc>
        <w:tc>
          <w:tcPr>
            <w:tcW w:w="354" w:type="pct"/>
            <w:vMerge w:val="restar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RS</w:t>
            </w:r>
          </w:p>
        </w:tc>
        <w:tc>
          <w:tcPr>
            <w:tcW w:w="373" w:type="pct"/>
            <w:vMerge w:val="restart"/>
            <w:shd w:val="clear" w:color="auto" w:fill="FFFFFF" w:themeFill="background1"/>
            <w:vAlign w:val="center"/>
          </w:tcPr>
          <w:p w:rsidR="00D20784" w:rsidRPr="00384046" w:rsidRDefault="00D20784" w:rsidP="00384046">
            <w:pPr>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9/9</w:t>
            </w:r>
          </w:p>
        </w:tc>
      </w:tr>
      <w:tr w:rsidR="00D20784" w:rsidRPr="00384046" w:rsidTr="00826B05">
        <w:trPr>
          <w:trHeight w:val="312"/>
        </w:trPr>
        <w:tc>
          <w:tcPr>
            <w:tcW w:w="632" w:type="pct"/>
            <w:vMerge/>
            <w:shd w:val="clear" w:color="auto" w:fill="FFFFFF" w:themeFill="background1"/>
            <w:noWrap/>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c>
          <w:tcPr>
            <w:tcW w:w="250" w:type="pct"/>
            <w:vMerge/>
            <w:shd w:val="clear" w:color="auto" w:fill="FFFFFF" w:themeFill="background1"/>
            <w:vAlign w:val="center"/>
          </w:tcPr>
          <w:p w:rsidR="00D20784" w:rsidRPr="00384046" w:rsidRDefault="00D20784"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kern w:val="0"/>
                <w:sz w:val="24"/>
                <w:szCs w:val="24"/>
              </w:rPr>
              <w:t>E 50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C 60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 d1, F 200 mg/m</w:t>
            </w:r>
            <w:r w:rsidRPr="00384046">
              <w:rPr>
                <w:rFonts w:ascii="Book Antiqua" w:eastAsia="SimSun" w:hAnsi="Book Antiqua" w:cs="Times New Roman"/>
                <w:color w:val="000000" w:themeColor="text1"/>
                <w:kern w:val="0"/>
                <w:sz w:val="24"/>
                <w:szCs w:val="24"/>
                <w:vertAlign w:val="superscript"/>
              </w:rPr>
              <w:t>2</w:t>
            </w:r>
            <w:r w:rsidRPr="00384046">
              <w:rPr>
                <w:rFonts w:ascii="Book Antiqua" w:eastAsia="SimSun" w:hAnsi="Book Antiqua" w:cs="Times New Roman"/>
                <w:color w:val="000000" w:themeColor="text1"/>
                <w:kern w:val="0"/>
                <w:sz w:val="24"/>
                <w:szCs w:val="24"/>
              </w:rPr>
              <w:t>/d, d1-21(21)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44</w:t>
            </w:r>
          </w:p>
        </w:tc>
        <w:tc>
          <w:tcPr>
            <w:tcW w:w="269"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29.5</w:t>
            </w:r>
          </w:p>
        </w:tc>
        <w:tc>
          <w:tcPr>
            <w:tcW w:w="26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10</w:t>
            </w:r>
          </w:p>
        </w:tc>
        <w:tc>
          <w:tcPr>
            <w:tcW w:w="227" w:type="pct"/>
            <w:shd w:val="clear" w:color="auto" w:fill="FFFFFF" w:themeFill="background1"/>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r w:rsidRPr="00384046">
              <w:rPr>
                <w:rFonts w:ascii="Book Antiqua" w:eastAsia="SimSun" w:hAnsi="Book Antiqua" w:cs="Times New Roman"/>
                <w:color w:val="000000" w:themeColor="text1"/>
                <w:kern w:val="0"/>
                <w:sz w:val="24"/>
                <w:szCs w:val="24"/>
              </w:rPr>
              <w:t>6.0</w:t>
            </w:r>
          </w:p>
        </w:tc>
        <w:tc>
          <w:tcPr>
            <w:tcW w:w="354" w:type="pct"/>
            <w:vMerge/>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c>
          <w:tcPr>
            <w:tcW w:w="373" w:type="pct"/>
            <w:vMerge/>
            <w:shd w:val="clear" w:color="auto" w:fill="FFFFFF" w:themeFill="background1"/>
            <w:vAlign w:val="center"/>
          </w:tcPr>
          <w:p w:rsidR="00D20784" w:rsidRPr="00384046" w:rsidRDefault="00D20784" w:rsidP="00384046">
            <w:pPr>
              <w:widowControl/>
              <w:spacing w:line="360" w:lineRule="auto"/>
              <w:rPr>
                <w:rFonts w:ascii="Book Antiqua" w:eastAsia="SimSun" w:hAnsi="Book Antiqua" w:cs="Times New Roman"/>
                <w:color w:val="000000" w:themeColor="text1"/>
                <w:kern w:val="0"/>
                <w:sz w:val="24"/>
                <w:szCs w:val="24"/>
              </w:rPr>
            </w:pPr>
          </w:p>
        </w:tc>
      </w:tr>
      <w:tr w:rsidR="00D20784" w:rsidRPr="00384046" w:rsidTr="00826B05">
        <w:trPr>
          <w:trHeight w:val="312"/>
        </w:trPr>
        <w:tc>
          <w:tcPr>
            <w:tcW w:w="632" w:type="pct"/>
            <w:vMerge w:val="restart"/>
            <w:shd w:val="clear" w:color="auto" w:fill="FFFFFF" w:themeFill="background1"/>
            <w:noWrap/>
            <w:vAlign w:val="center"/>
            <w:hideMark/>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Babu</w:t>
            </w:r>
            <w:r w:rsidRPr="00384046">
              <w:rPr>
                <w:rFonts w:ascii="Book Antiqua" w:eastAsia="SimSun" w:hAnsi="Book Antiqua" w:cs="Times New Roman"/>
                <w:i/>
                <w:color w:val="000000" w:themeColor="text1"/>
                <w:kern w:val="0"/>
                <w:sz w:val="24"/>
                <w:szCs w:val="24"/>
              </w:rPr>
              <w:t xml:space="preserve"> et al</w:t>
            </w:r>
            <w:r w:rsidRPr="00384046">
              <w:rPr>
                <w:rFonts w:ascii="Book Antiqua" w:hAnsi="Book Antiqua" w:cs="Times New Roman"/>
                <w:color w:val="000000" w:themeColor="text1"/>
                <w:sz w:val="24"/>
                <w:szCs w:val="24"/>
                <w:vertAlign w:val="superscript"/>
              </w:rPr>
              <w:t>[9]</w:t>
            </w:r>
          </w:p>
        </w:tc>
        <w:tc>
          <w:tcPr>
            <w:tcW w:w="250" w:type="pct"/>
            <w:vMerge w:val="restart"/>
            <w:shd w:val="clear" w:color="auto" w:fill="FFFFFF" w:themeFill="background1"/>
            <w:vAlign w:val="center"/>
          </w:tcPr>
          <w:p w:rsidR="00D20784" w:rsidRPr="00384046" w:rsidRDefault="00D20784" w:rsidP="00384046">
            <w:pPr>
              <w:spacing w:line="360" w:lineRule="auto"/>
              <w:ind w:rightChars="-50" w:right="-105"/>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2017</w:t>
            </w:r>
          </w:p>
        </w:tc>
        <w:tc>
          <w:tcPr>
            <w:tcW w:w="2223" w:type="pct"/>
            <w:shd w:val="clear" w:color="auto" w:fill="FFFFFF" w:themeFill="background1"/>
            <w:hideMark/>
          </w:tcPr>
          <w:p w:rsidR="00D20784" w:rsidRPr="00384046" w:rsidRDefault="00D20784" w:rsidP="00384046">
            <w:pPr>
              <w:spacing w:line="360" w:lineRule="auto"/>
              <w:ind w:rightChars="-50" w:right="-105"/>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DCF: D 75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d1, C 60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d1, F 750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/d, d1-5(21)</w:t>
            </w:r>
          </w:p>
        </w:tc>
        <w:tc>
          <w:tcPr>
            <w:tcW w:w="406"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28</w:t>
            </w:r>
          </w:p>
        </w:tc>
        <w:tc>
          <w:tcPr>
            <w:tcW w:w="269"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46.4</w:t>
            </w:r>
          </w:p>
        </w:tc>
        <w:tc>
          <w:tcPr>
            <w:tcW w:w="26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12.5</w:t>
            </w:r>
          </w:p>
        </w:tc>
        <w:tc>
          <w:tcPr>
            <w:tcW w:w="22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7.5</w:t>
            </w:r>
          </w:p>
        </w:tc>
        <w:tc>
          <w:tcPr>
            <w:tcW w:w="354" w:type="pct"/>
            <w:vMerge w:val="restar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RCT</w:t>
            </w:r>
          </w:p>
        </w:tc>
        <w:tc>
          <w:tcPr>
            <w:tcW w:w="373" w:type="pct"/>
            <w:vMerge w:val="restar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3/5</w:t>
            </w:r>
          </w:p>
        </w:tc>
      </w:tr>
      <w:tr w:rsidR="00D20784" w:rsidRPr="00384046" w:rsidTr="00826B05">
        <w:trPr>
          <w:trHeight w:val="312"/>
        </w:trPr>
        <w:tc>
          <w:tcPr>
            <w:tcW w:w="632" w:type="pct"/>
            <w:vMerge/>
            <w:shd w:val="clear" w:color="auto" w:fill="FFFFFF" w:themeFill="background1"/>
            <w:noWrap/>
          </w:tcPr>
          <w:p w:rsidR="00D20784" w:rsidRPr="00384046" w:rsidRDefault="00D20784" w:rsidP="00384046">
            <w:pPr>
              <w:spacing w:line="360" w:lineRule="auto"/>
              <w:rPr>
                <w:rFonts w:ascii="Book Antiqua" w:hAnsi="Book Antiqua" w:cs="Times New Roman"/>
                <w:color w:val="000000" w:themeColor="text1"/>
                <w:sz w:val="24"/>
                <w:szCs w:val="24"/>
              </w:rPr>
            </w:pPr>
          </w:p>
        </w:tc>
        <w:tc>
          <w:tcPr>
            <w:tcW w:w="250" w:type="pct"/>
            <w:vMerge/>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p>
        </w:tc>
        <w:tc>
          <w:tcPr>
            <w:tcW w:w="2223"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ECF: E 50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d1, C 60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d1, F 750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/d, d1-5(21)</w:t>
            </w:r>
          </w:p>
        </w:tc>
        <w:tc>
          <w:tcPr>
            <w:tcW w:w="406"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30</w:t>
            </w:r>
          </w:p>
        </w:tc>
        <w:tc>
          <w:tcPr>
            <w:tcW w:w="269"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26.7</w:t>
            </w:r>
          </w:p>
        </w:tc>
        <w:tc>
          <w:tcPr>
            <w:tcW w:w="26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9.4</w:t>
            </w:r>
          </w:p>
        </w:tc>
        <w:tc>
          <w:tcPr>
            <w:tcW w:w="22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5.8</w:t>
            </w:r>
          </w:p>
        </w:tc>
        <w:tc>
          <w:tcPr>
            <w:tcW w:w="354" w:type="pct"/>
            <w:vMerge/>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p>
        </w:tc>
        <w:tc>
          <w:tcPr>
            <w:tcW w:w="373" w:type="pct"/>
            <w:vMerge/>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p>
        </w:tc>
      </w:tr>
    </w:tbl>
    <w:p w:rsidR="009825D9" w:rsidRPr="00384046" w:rsidRDefault="009825D9" w:rsidP="00384046">
      <w:pPr>
        <w:spacing w:line="360" w:lineRule="auto"/>
        <w:rPr>
          <w:rFonts w:ascii="Book Antiqua" w:eastAsia="SimSun" w:hAnsi="Book Antiqua" w:cs="Times New Roman"/>
          <w:bCs/>
          <w:color w:val="000000" w:themeColor="text1"/>
          <w:kern w:val="0"/>
          <w:sz w:val="24"/>
          <w:szCs w:val="24"/>
        </w:rPr>
      </w:pPr>
      <w:r w:rsidRPr="00384046">
        <w:rPr>
          <w:rFonts w:ascii="Book Antiqua" w:eastAsia="SimSun" w:hAnsi="Book Antiqua" w:cs="Times New Roman"/>
          <w:bCs/>
          <w:color w:val="000000" w:themeColor="text1"/>
          <w:kern w:val="0"/>
          <w:sz w:val="24"/>
          <w:szCs w:val="24"/>
        </w:rPr>
        <w:t>ORR:</w:t>
      </w:r>
      <w:r w:rsidR="004F6055" w:rsidRPr="00384046">
        <w:rPr>
          <w:rFonts w:ascii="Book Antiqua" w:hAnsi="Book Antiqua" w:cs="Times New Roman"/>
          <w:color w:val="000000" w:themeColor="text1"/>
          <w:sz w:val="24"/>
          <w:szCs w:val="24"/>
        </w:rPr>
        <w:t xml:space="preserve"> Objective response rate;</w:t>
      </w:r>
      <w:r w:rsidRPr="00384046">
        <w:rPr>
          <w:rFonts w:ascii="Book Antiqua" w:eastAsia="SimSun" w:hAnsi="Book Antiqua" w:cs="Times New Roman"/>
          <w:bCs/>
          <w:color w:val="000000" w:themeColor="text1"/>
          <w:kern w:val="0"/>
          <w:sz w:val="24"/>
          <w:szCs w:val="24"/>
        </w:rPr>
        <w:t xml:space="preserve"> OS</w:t>
      </w:r>
      <w:r w:rsidR="004F6055" w:rsidRPr="00384046">
        <w:rPr>
          <w:rFonts w:ascii="Book Antiqua" w:eastAsia="SimSun" w:hAnsi="Book Antiqua" w:cs="Times New Roman"/>
          <w:bCs/>
          <w:color w:val="000000" w:themeColor="text1"/>
          <w:kern w:val="0"/>
          <w:sz w:val="24"/>
          <w:szCs w:val="24"/>
        </w:rPr>
        <w:t>:</w:t>
      </w:r>
      <w:r w:rsidR="004F6055" w:rsidRPr="00384046">
        <w:rPr>
          <w:rFonts w:ascii="Book Antiqua" w:hAnsi="Book Antiqua" w:cs="Times New Roman"/>
          <w:color w:val="000000" w:themeColor="text1"/>
          <w:sz w:val="24"/>
          <w:szCs w:val="24"/>
        </w:rPr>
        <w:t xml:space="preserve"> Overall survival;</w:t>
      </w:r>
      <w:r w:rsidRPr="00384046">
        <w:rPr>
          <w:rFonts w:ascii="Book Antiqua" w:eastAsia="SimSun" w:hAnsi="Book Antiqua" w:cs="Times New Roman"/>
          <w:bCs/>
          <w:color w:val="000000" w:themeColor="text1"/>
          <w:kern w:val="0"/>
          <w:sz w:val="24"/>
          <w:szCs w:val="24"/>
        </w:rPr>
        <w:t xml:space="preserve"> PFS</w:t>
      </w:r>
      <w:r w:rsidR="004F6055" w:rsidRPr="00384046">
        <w:rPr>
          <w:rFonts w:ascii="Book Antiqua" w:eastAsia="SimSun" w:hAnsi="Book Antiqua" w:cs="Times New Roman"/>
          <w:bCs/>
          <w:color w:val="000000" w:themeColor="text1"/>
          <w:kern w:val="0"/>
          <w:sz w:val="24"/>
          <w:szCs w:val="24"/>
        </w:rPr>
        <w:t>:</w:t>
      </w:r>
      <w:r w:rsidR="004F6055" w:rsidRPr="00384046">
        <w:rPr>
          <w:rFonts w:ascii="Book Antiqua" w:hAnsi="Book Antiqua" w:cs="Times New Roman"/>
          <w:color w:val="000000" w:themeColor="text1"/>
          <w:sz w:val="24"/>
          <w:szCs w:val="24"/>
        </w:rPr>
        <w:t xml:space="preserve"> Progression-free survival;</w:t>
      </w:r>
      <w:r w:rsidRPr="00384046">
        <w:rPr>
          <w:rFonts w:ascii="Book Antiqua" w:hAnsi="Book Antiqua" w:cs="Times New Roman"/>
          <w:color w:val="000000" w:themeColor="text1"/>
          <w:sz w:val="24"/>
          <w:szCs w:val="24"/>
        </w:rPr>
        <w:t xml:space="preserve"> ECF</w:t>
      </w:r>
      <w:r w:rsidR="004F6055" w:rsidRPr="00384046">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004F6055"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hAnsi="Book Antiqua" w:cs="Times New Roman"/>
          <w:color w:val="000000" w:themeColor="text1"/>
          <w:sz w:val="24"/>
          <w:szCs w:val="24"/>
        </w:rPr>
        <w:t>DCF</w:t>
      </w:r>
      <w:r w:rsidR="004F6055" w:rsidRPr="00384046">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004F6055" w:rsidRPr="00384046">
        <w:rPr>
          <w:rFonts w:ascii="Book Antiqua" w:eastAsia="SimSun" w:hAnsi="Book Antiqua" w:cs="Times New Roman"/>
          <w:color w:val="000000" w:themeColor="text1"/>
          <w:sz w:val="24"/>
          <w:szCs w:val="24"/>
        </w:rPr>
        <w:t>Docetaxel,</w:t>
      </w:r>
      <w:r w:rsidR="004F6055" w:rsidRPr="00384046">
        <w:rPr>
          <w:rFonts w:ascii="Book Antiqua" w:hAnsi="Book Antiqua" w:cs="Times New Roman"/>
          <w:color w:val="000000" w:themeColor="text1"/>
          <w:sz w:val="24"/>
          <w:szCs w:val="24"/>
        </w:rPr>
        <w:t xml:space="preserve"> </w:t>
      </w:r>
      <w:r w:rsidR="004F6055" w:rsidRPr="00384046">
        <w:rPr>
          <w:rFonts w:ascii="Book Antiqua" w:eastAsia="SimSun" w:hAnsi="Book Antiqua" w:cs="Times New Roman"/>
          <w:color w:val="000000" w:themeColor="text1"/>
          <w:sz w:val="24"/>
          <w:szCs w:val="24"/>
        </w:rPr>
        <w:t>cisplatin,</w:t>
      </w:r>
      <w:r w:rsidR="004F6055" w:rsidRPr="00384046">
        <w:rPr>
          <w:rFonts w:ascii="Book Antiqua" w:hAnsi="Book Antiqua" w:cs="Times New Roman"/>
          <w:color w:val="000000" w:themeColor="text1"/>
          <w:sz w:val="24"/>
          <w:szCs w:val="24"/>
        </w:rPr>
        <w:t xml:space="preserve"> </w:t>
      </w:r>
      <w:r w:rsidR="004F6055" w:rsidRPr="00384046">
        <w:rPr>
          <w:rFonts w:ascii="Book Antiqua" w:eastAsia="SimSun" w:hAnsi="Book Antiqua" w:cs="Times New Roman"/>
          <w:color w:val="000000" w:themeColor="text1"/>
          <w:sz w:val="24"/>
          <w:szCs w:val="24"/>
        </w:rPr>
        <w:t>and</w:t>
      </w:r>
      <w:r w:rsidR="004F6055" w:rsidRPr="00384046">
        <w:rPr>
          <w:rFonts w:ascii="Book Antiqua" w:hAnsi="Book Antiqua" w:cs="Times New Roman"/>
          <w:color w:val="000000" w:themeColor="text1"/>
          <w:sz w:val="24"/>
          <w:szCs w:val="24"/>
        </w:rPr>
        <w:t xml:space="preserve"> </w:t>
      </w:r>
      <w:r w:rsidR="004F6055" w:rsidRPr="00384046">
        <w:rPr>
          <w:rFonts w:ascii="Book Antiqua" w:eastAsia="SimSun" w:hAnsi="Book Antiqua" w:cs="Times New Roman"/>
          <w:color w:val="000000" w:themeColor="text1"/>
          <w:sz w:val="24"/>
          <w:szCs w:val="24"/>
        </w:rPr>
        <w:t xml:space="preserve">5-fluorouracil; </w:t>
      </w:r>
      <w:r w:rsidRPr="00384046">
        <w:rPr>
          <w:rFonts w:ascii="Book Antiqua" w:hAnsi="Book Antiqua" w:cs="Times New Roman"/>
          <w:color w:val="000000" w:themeColor="text1"/>
          <w:sz w:val="24"/>
          <w:szCs w:val="24"/>
        </w:rPr>
        <w:t>RCT</w:t>
      </w:r>
      <w:r w:rsidR="004F6055" w:rsidRPr="00384046">
        <w:rPr>
          <w:rFonts w:ascii="Book Antiqua" w:hAnsi="Book Antiqua" w:cs="Times New Roman"/>
          <w:color w:val="000000" w:themeColor="text1"/>
          <w:sz w:val="24"/>
          <w:szCs w:val="24"/>
        </w:rPr>
        <w:t>:</w:t>
      </w:r>
      <w:r w:rsidR="004F6055" w:rsidRPr="00384046">
        <w:rPr>
          <w:rFonts w:ascii="Book Antiqua" w:eastAsia="SimSun" w:hAnsi="Book Antiqua" w:cs="Times New Roman"/>
          <w:color w:val="000000" w:themeColor="text1"/>
          <w:sz w:val="24"/>
          <w:szCs w:val="24"/>
        </w:rPr>
        <w:t xml:space="preserve"> Randomized controlled trial.</w:t>
      </w:r>
    </w:p>
    <w:p w:rsidR="00DD3981" w:rsidRPr="00384046" w:rsidRDefault="004F6055" w:rsidP="00384046">
      <w:pPr>
        <w:spacing w:line="360" w:lineRule="auto"/>
        <w:rPr>
          <w:rFonts w:ascii="Book Antiqua" w:hAnsi="Book Antiqua" w:cs="Times New Roman"/>
          <w:b/>
          <w:color w:val="000000" w:themeColor="text1"/>
          <w:sz w:val="24"/>
          <w:szCs w:val="24"/>
        </w:rPr>
        <w:sectPr w:rsidR="00DD3981" w:rsidRPr="00384046" w:rsidSect="00AC3A5A">
          <w:pgSz w:w="16838" w:h="11906" w:orient="landscape"/>
          <w:pgMar w:top="1797" w:right="1440" w:bottom="1797" w:left="1440" w:header="851" w:footer="992" w:gutter="0"/>
          <w:cols w:space="425"/>
          <w:docGrid w:type="linesAndChars" w:linePitch="312"/>
        </w:sectPr>
      </w:pPr>
      <w:r w:rsidRPr="00384046">
        <w:rPr>
          <w:rFonts w:ascii="Book Antiqua" w:eastAsia="SimSun" w:hAnsi="Book Antiqua" w:cs="Times New Roman"/>
          <w:color w:val="000000" w:themeColor="text1"/>
          <w:sz w:val="24"/>
          <w:szCs w:val="24"/>
        </w:rPr>
        <w:t xml:space="preserve"> </w:t>
      </w:r>
    </w:p>
    <w:p w:rsidR="00BF404F" w:rsidRPr="00384046" w:rsidRDefault="0029073D" w:rsidP="00384046">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73600" behindDoc="0" locked="0" layoutInCell="1" allowOverlap="1">
                <wp:simplePos x="0" y="0"/>
                <wp:positionH relativeFrom="column">
                  <wp:posOffset>2616200</wp:posOffset>
                </wp:positionH>
                <wp:positionV relativeFrom="paragraph">
                  <wp:posOffset>4448810</wp:posOffset>
                </wp:positionV>
                <wp:extent cx="1289050" cy="6350"/>
                <wp:effectExtent l="38100" t="76200" r="6350" b="107950"/>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905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A8804C5" id="_x0000_t32" coordsize="21600,21600" o:spt="32" o:oned="t" path="m,l21600,21600e" filled="f">
                <v:path arrowok="t" fillok="f" o:connecttype="none"/>
                <o:lock v:ext="edit" shapetype="t"/>
              </v:shapetype>
              <v:shape id="直接箭头连接符 27" o:spid="_x0000_s1026" type="#_x0000_t32" style="position:absolute;margin-left:206pt;margin-top:350.3pt;width:101.5pt;height:.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" strokecolor="black [3200]" strokeweight="2pt">
                <v:stroke endarrow="block"/>
                <v:shadow on="t" color="black" opacity="24903f" origin=",.5" offset="0,.55556mm"/>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62336" behindDoc="0" locked="0" layoutInCell="1" allowOverlap="1">
                <wp:simplePos x="0" y="0"/>
                <wp:positionH relativeFrom="margin">
                  <wp:posOffset>3905250</wp:posOffset>
                </wp:positionH>
                <wp:positionV relativeFrom="paragraph">
                  <wp:posOffset>2791460</wp:posOffset>
                </wp:positionV>
                <wp:extent cx="1612900" cy="539750"/>
                <wp:effectExtent l="0" t="0" r="635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53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404F" w:rsidRPr="00BF404F" w:rsidRDefault="00BF404F" w:rsidP="00BF404F">
                            <w:pPr>
                              <w:jc w:val="center"/>
                              <w:rPr>
                                <w:rFonts w:ascii="Book Antiqua" w:hAnsi="Book Antiqua"/>
                                <w:sz w:val="18"/>
                              </w:rPr>
                            </w:pPr>
                            <w:r w:rsidRPr="00BF404F">
                              <w:rPr>
                                <w:rFonts w:ascii="Book Antiqua" w:hAnsi="Book Antiqua" w:hint="eastAsia"/>
                                <w:sz w:val="18"/>
                              </w:rPr>
                              <w:t>8</w:t>
                            </w:r>
                            <w:r w:rsidRPr="00BF404F">
                              <w:rPr>
                                <w:rFonts w:ascii="Book Antiqua" w:hAnsi="Book Antiqua"/>
                                <w:sz w:val="18"/>
                              </w:rPr>
                              <w:t>96 articles were excluded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left:0;text-align:left;margin-left:307.5pt;margin-top:219.8pt;width:127pt;height: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" fillcolor="white [3201]" strokecolor="black [3213]" strokeweight="2pt">
                <v:path arrowok="t"/>
                <v:textbox>
                  <w:txbxContent>
                    <w:p w:rsidR="00BF404F" w:rsidRPr="00BF404F" w:rsidRDefault="00BF404F" w:rsidP="00BF404F">
                      <w:pPr>
                        <w:jc w:val="center"/>
                        <w:rPr>
                          <w:rFonts w:ascii="Book Antiqua" w:hAnsi="Book Antiqua"/>
                          <w:sz w:val="18"/>
                        </w:rPr>
                      </w:pPr>
                      <w:r w:rsidRPr="00BF404F">
                        <w:rPr>
                          <w:rFonts w:ascii="Book Antiqua" w:hAnsi="Book Antiqua" w:hint="eastAsia"/>
                          <w:sz w:val="18"/>
                        </w:rPr>
                        <w:t>8</w:t>
                      </w:r>
                      <w:r w:rsidRPr="00BF404F">
                        <w:rPr>
                          <w:rFonts w:ascii="Book Antiqua" w:hAnsi="Book Antiqua"/>
                          <w:sz w:val="18"/>
                        </w:rPr>
                        <w:t>96 articles were excluded</w:t>
                      </w:r>
                    </w:p>
                  </w:txbxContent>
                </v:textbox>
                <w10:wrap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2616200</wp:posOffset>
                </wp:positionH>
                <wp:positionV relativeFrom="paragraph">
                  <wp:posOffset>3058159</wp:posOffset>
                </wp:positionV>
                <wp:extent cx="1282700" cy="0"/>
                <wp:effectExtent l="38100" t="76200" r="12700" b="11430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27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B63253" id="直接箭头连接符 26" o:spid="_x0000_s1026" type="#_x0000_t32" style="position:absolute;margin-left:206pt;margin-top:240.8pt;width:101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" strokecolor="black [3200]" strokeweight="2pt">
                <v:stroke endarrow="block"/>
                <v:shadow on="t" color="black" opacity="24903f" origin=",.5" offset="0,.55556mm"/>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4055110</wp:posOffset>
                </wp:positionV>
                <wp:extent cx="6350" cy="781050"/>
                <wp:effectExtent l="76200" t="19050" r="69850" b="7620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781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D16F6B" id="直接箭头连接符 22" o:spid="_x0000_s1026" type="#_x0000_t32" style="position:absolute;margin-left:0;margin-top:319.3pt;width:.5pt;height:61.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" strokecolor="black [3200]" strokeweight="2pt">
                <v:stroke endarrow="block"/>
                <v:shadow on="t" color="black" opacity="24903f" origin=",.5" offset="0,.55556mm"/>
                <o:lock v:ext="edit" shapetype="f"/>
                <w10:wrap anchorx="margin"/>
              </v:shape>
            </w:pict>
          </mc:Fallback>
        </mc:AlternateContent>
      </w:r>
      <w:r>
        <w:rPr>
          <w:rFonts w:ascii="Book Antiqua" w:hAnsi="Book Antiqua"/>
          <w:noProof/>
          <w:sz w:val="24"/>
          <w:szCs w:val="24"/>
        </w:rPr>
        <mc:AlternateContent>
          <mc:Choice Requires="wps">
            <w:drawing>
              <wp:anchor distT="0" distB="0" distL="114300" distR="114300" simplePos="0" relativeHeight="251668480" behindDoc="0" locked="0" layoutInCell="1" allowOverlap="1">
                <wp:simplePos x="0" y="0"/>
                <wp:positionH relativeFrom="margin">
                  <wp:posOffset>1257300</wp:posOffset>
                </wp:positionH>
                <wp:positionV relativeFrom="paragraph">
                  <wp:posOffset>4836160</wp:posOffset>
                </wp:positionV>
                <wp:extent cx="2495550" cy="9207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920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404F" w:rsidRPr="00BF404F" w:rsidRDefault="00BF404F" w:rsidP="00BF404F">
                            <w:pPr>
                              <w:jc w:val="center"/>
                              <w:rPr>
                                <w:rFonts w:ascii="Book Antiqua" w:hAnsi="Book Antiqua"/>
                                <w:sz w:val="18"/>
                              </w:rPr>
                            </w:pPr>
                            <w:r w:rsidRPr="00BF404F">
                              <w:rPr>
                                <w:rFonts w:ascii="Book Antiqua" w:hAnsi="Book Antiqua"/>
                                <w:sz w:val="18"/>
                              </w:rPr>
                              <w:t>Studies included in quantitative synthesis (meta-analysis).</w:t>
                            </w:r>
                          </w:p>
                          <w:p w:rsidR="00BF404F" w:rsidRPr="00BF404F" w:rsidRDefault="00BF404F"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6" o:spid="_x0000_s1027" style="position:absolute;left:0;text-align:left;margin-left:99pt;margin-top:380.8pt;width:196.5pt;height: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" fillcolor="white [3201]" strokecolor="black [3213]" strokeweight="2pt">
                <v:path arrowok="t"/>
                <v:textbox>
                  <w:txbxContent>
                    <w:p w:rsidR="00BF404F" w:rsidRPr="00BF404F" w:rsidRDefault="00BF404F" w:rsidP="00BF404F">
                      <w:pPr>
                        <w:jc w:val="center"/>
                        <w:rPr>
                          <w:rFonts w:ascii="Book Antiqua" w:hAnsi="Book Antiqua"/>
                          <w:sz w:val="18"/>
                        </w:rPr>
                      </w:pPr>
                      <w:r w:rsidRPr="00BF404F">
                        <w:rPr>
                          <w:rFonts w:ascii="Book Antiqua" w:hAnsi="Book Antiqua"/>
                          <w:sz w:val="18"/>
                        </w:rPr>
                        <w:t>Studies included in quantitative synthesis (meta-analysis).</w:t>
                      </w:r>
                    </w:p>
                    <w:p w:rsidR="00BF404F" w:rsidRPr="00BF404F" w:rsidRDefault="00BF404F"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7)</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669504" behindDoc="0" locked="0" layoutInCell="1" allowOverlap="1">
                <wp:simplePos x="0" y="0"/>
                <wp:positionH relativeFrom="margin">
                  <wp:posOffset>1276350</wp:posOffset>
                </wp:positionH>
                <wp:positionV relativeFrom="paragraph">
                  <wp:posOffset>3432810</wp:posOffset>
                </wp:positionV>
                <wp:extent cx="2457450" cy="622300"/>
                <wp:effectExtent l="0" t="0" r="0" b="635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622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404F" w:rsidRPr="00BF404F" w:rsidRDefault="00BF404F" w:rsidP="00BF404F">
                            <w:pPr>
                              <w:jc w:val="center"/>
                              <w:rPr>
                                <w:rFonts w:ascii="Book Antiqua" w:hAnsi="Book Antiqua"/>
                                <w:sz w:val="18"/>
                              </w:rPr>
                            </w:pPr>
                            <w:r w:rsidRPr="00BF404F">
                              <w:rPr>
                                <w:rFonts w:ascii="Book Antiqua" w:hAnsi="Book Antiqua" w:hint="eastAsia"/>
                                <w:sz w:val="18"/>
                              </w:rPr>
                              <w:t>F</w:t>
                            </w:r>
                            <w:r w:rsidRPr="00BF404F">
                              <w:rPr>
                                <w:rFonts w:ascii="Book Antiqua" w:hAnsi="Book Antiqua"/>
                                <w:sz w:val="18"/>
                              </w:rPr>
                              <w:t>ull retrieved for detailed assessment</w:t>
                            </w:r>
                          </w:p>
                          <w:p w:rsidR="00BF404F" w:rsidRPr="00BF404F" w:rsidRDefault="00BF404F" w:rsidP="00BF404F">
                            <w:pPr>
                              <w:jc w:val="center"/>
                              <w:rPr>
                                <w:rFonts w:ascii="Book Antiqua" w:hAnsi="Book Antiqua"/>
                                <w:sz w:val="18"/>
                              </w:rPr>
                            </w:pPr>
                            <w:r w:rsidRPr="00BF404F">
                              <w:rPr>
                                <w:rFonts w:ascii="Book Antiqua" w:hAnsi="Book Antiqua" w:hint="eastAsia"/>
                                <w:sz w:val="18"/>
                              </w:rPr>
                              <w:t>(</w:t>
                            </w:r>
                            <w:r w:rsidRPr="00BF404F">
                              <w:rPr>
                                <w:rFonts w:ascii="Book Antiqua" w:hAnsi="Book Antiqua"/>
                                <w:i/>
                                <w:sz w:val="18"/>
                              </w:rPr>
                              <w:t>n</w:t>
                            </w:r>
                            <w:r w:rsidRPr="00BF404F">
                              <w:rPr>
                                <w:rFonts w:ascii="Book Antiqua" w:hAnsi="Book Antiqua"/>
                                <w:sz w:val="18"/>
                              </w:rPr>
                              <w:t xml:space="preserve"> =</w:t>
                            </w:r>
                            <w:r w:rsidRPr="00BF404F">
                              <w:rPr>
                                <w:rFonts w:ascii="Book Antiqua" w:hAnsi="Book Antiqua" w:hint="eastAsia"/>
                                <w:sz w:val="18"/>
                              </w:rPr>
                              <w:t xml:space="preserve"> </w:t>
                            </w:r>
                            <w:r w:rsidRPr="00BF404F">
                              <w:rPr>
                                <w:rFonts w:ascii="Book Antiqua" w:hAnsi="Book Antiqua"/>
                                <w:sz w:val="18"/>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7" o:spid="_x0000_s1028" style="position:absolute;left:0;text-align:left;margin-left:100.5pt;margin-top:270.3pt;width:193.5pt;height:4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" fillcolor="white [3201]" strokecolor="black [3213]" strokeweight="2pt">
                <v:path arrowok="t"/>
                <v:textbox>
                  <w:txbxContent>
                    <w:p w:rsidR="00BF404F" w:rsidRPr="00BF404F" w:rsidRDefault="00BF404F" w:rsidP="00BF404F">
                      <w:pPr>
                        <w:jc w:val="center"/>
                        <w:rPr>
                          <w:rFonts w:ascii="Book Antiqua" w:hAnsi="Book Antiqua"/>
                          <w:sz w:val="18"/>
                        </w:rPr>
                      </w:pPr>
                      <w:r w:rsidRPr="00BF404F">
                        <w:rPr>
                          <w:rFonts w:ascii="Book Antiqua" w:hAnsi="Book Antiqua" w:hint="eastAsia"/>
                          <w:sz w:val="18"/>
                        </w:rPr>
                        <w:t>F</w:t>
                      </w:r>
                      <w:r w:rsidRPr="00BF404F">
                        <w:rPr>
                          <w:rFonts w:ascii="Book Antiqua" w:hAnsi="Book Antiqua"/>
                          <w:sz w:val="18"/>
                        </w:rPr>
                        <w:t>ull retrieved for detailed assessment</w:t>
                      </w:r>
                    </w:p>
                    <w:p w:rsidR="00BF404F" w:rsidRPr="00BF404F" w:rsidRDefault="00BF404F" w:rsidP="00BF404F">
                      <w:pPr>
                        <w:jc w:val="center"/>
                        <w:rPr>
                          <w:rFonts w:ascii="Book Antiqua" w:hAnsi="Book Antiqua"/>
                          <w:sz w:val="18"/>
                        </w:rPr>
                      </w:pPr>
                      <w:r w:rsidRPr="00BF404F">
                        <w:rPr>
                          <w:rFonts w:ascii="Book Antiqua" w:hAnsi="Book Antiqua" w:hint="eastAsia"/>
                          <w:sz w:val="18"/>
                        </w:rPr>
                        <w:t>(</w:t>
                      </w:r>
                      <w:r w:rsidRPr="00BF404F">
                        <w:rPr>
                          <w:rFonts w:ascii="Book Antiqua" w:hAnsi="Book Antiqua"/>
                          <w:i/>
                          <w:sz w:val="18"/>
                        </w:rPr>
                        <w:t>n</w:t>
                      </w:r>
                      <w:r w:rsidRPr="00BF404F">
                        <w:rPr>
                          <w:rFonts w:ascii="Book Antiqua" w:hAnsi="Book Antiqua"/>
                          <w:sz w:val="18"/>
                        </w:rPr>
                        <w:t xml:space="preserve"> =</w:t>
                      </w:r>
                      <w:r w:rsidRPr="00BF404F">
                        <w:rPr>
                          <w:rFonts w:ascii="Book Antiqua" w:hAnsi="Book Antiqua" w:hint="eastAsia"/>
                          <w:sz w:val="18"/>
                        </w:rPr>
                        <w:t xml:space="preserve"> </w:t>
                      </w:r>
                      <w:r w:rsidRPr="00BF404F">
                        <w:rPr>
                          <w:rFonts w:ascii="Book Antiqua" w:hAnsi="Book Antiqua"/>
                          <w:sz w:val="18"/>
                        </w:rPr>
                        <w:t>96)</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663360" behindDoc="0" locked="0" layoutInCell="1" allowOverlap="1">
                <wp:simplePos x="0" y="0"/>
                <wp:positionH relativeFrom="margin">
                  <wp:posOffset>3892550</wp:posOffset>
                </wp:positionH>
                <wp:positionV relativeFrom="paragraph">
                  <wp:posOffset>3928110</wp:posOffset>
                </wp:positionV>
                <wp:extent cx="1644650" cy="16827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1682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404F" w:rsidRPr="00BF404F" w:rsidRDefault="00BF404F" w:rsidP="00BF404F">
                            <w:pPr>
                              <w:jc w:val="left"/>
                              <w:rPr>
                                <w:rFonts w:ascii="Book Antiqua" w:hAnsi="Book Antiqua"/>
                                <w:sz w:val="18"/>
                              </w:rPr>
                            </w:pPr>
                            <w:r w:rsidRPr="00BF404F">
                              <w:rPr>
                                <w:rFonts w:ascii="Book Antiqua" w:hAnsi="Book Antiqua"/>
                                <w:sz w:val="18"/>
                              </w:rPr>
                              <w:t>89 articles were excluded.</w:t>
                            </w:r>
                          </w:p>
                          <w:p w:rsidR="00BF404F" w:rsidRPr="00BF404F" w:rsidRDefault="00BF404F" w:rsidP="00BF404F">
                            <w:pPr>
                              <w:jc w:val="left"/>
                              <w:rPr>
                                <w:rFonts w:ascii="Book Antiqua" w:hAnsi="Book Antiqua"/>
                                <w:sz w:val="18"/>
                              </w:rPr>
                            </w:pPr>
                            <w:r w:rsidRPr="00BF404F">
                              <w:rPr>
                                <w:rFonts w:ascii="Book Antiqua" w:hAnsi="Book Antiqua"/>
                                <w:sz w:val="18"/>
                              </w:rPr>
                              <w:t>Reasons for exclusion:</w:t>
                            </w:r>
                          </w:p>
                          <w:p w:rsidR="00BF404F" w:rsidRPr="00BF404F" w:rsidRDefault="00BF404F" w:rsidP="00BF404F">
                            <w:pPr>
                              <w:jc w:val="left"/>
                              <w:rPr>
                                <w:rFonts w:ascii="Book Antiqua" w:hAnsi="Book Antiqua"/>
                                <w:sz w:val="18"/>
                              </w:rPr>
                            </w:pPr>
                            <w:r w:rsidRPr="00BF404F">
                              <w:rPr>
                                <w:rFonts w:ascii="Book Antiqua" w:hAnsi="Book Antiqua"/>
                                <w:sz w:val="18"/>
                              </w:rPr>
                              <w:t>44 non-comparative studies</w:t>
                            </w:r>
                          </w:p>
                          <w:p w:rsidR="00BF404F" w:rsidRPr="00BF404F" w:rsidRDefault="00BF404F" w:rsidP="00BF404F">
                            <w:pPr>
                              <w:jc w:val="left"/>
                              <w:rPr>
                                <w:rFonts w:ascii="Book Antiqua" w:hAnsi="Book Antiqua"/>
                                <w:sz w:val="18"/>
                              </w:rPr>
                            </w:pPr>
                            <w:r w:rsidRPr="00BF404F">
                              <w:rPr>
                                <w:rFonts w:ascii="Book Antiqua" w:hAnsi="Book Antiqua"/>
                                <w:sz w:val="18"/>
                              </w:rPr>
                              <w:t>20 not compare DCF and ECF</w:t>
                            </w:r>
                          </w:p>
                          <w:p w:rsidR="00BF404F" w:rsidRPr="00BF404F" w:rsidRDefault="00BF404F" w:rsidP="00BF404F">
                            <w:pPr>
                              <w:jc w:val="left"/>
                              <w:rPr>
                                <w:rFonts w:ascii="Book Antiqua" w:hAnsi="Book Antiqua"/>
                                <w:sz w:val="18"/>
                              </w:rPr>
                            </w:pPr>
                            <w:r w:rsidRPr="00BF404F">
                              <w:rPr>
                                <w:rFonts w:ascii="Book Antiqua" w:hAnsi="Book Antiqua"/>
                                <w:sz w:val="18"/>
                              </w:rPr>
                              <w:t>24 only abstract</w:t>
                            </w:r>
                          </w:p>
                          <w:p w:rsidR="00BF404F" w:rsidRPr="00BF404F" w:rsidRDefault="00BF404F" w:rsidP="00BF404F">
                            <w:pPr>
                              <w:jc w:val="left"/>
                              <w:rPr>
                                <w:rFonts w:ascii="Book Antiqua" w:hAnsi="Book Antiqua"/>
                                <w:sz w:val="18"/>
                              </w:rPr>
                            </w:pPr>
                            <w:r w:rsidRPr="00BF404F">
                              <w:rPr>
                                <w:rFonts w:ascii="Book Antiqua" w:hAnsi="Book Antiqua"/>
                                <w:sz w:val="18"/>
                              </w:rPr>
                              <w:t>1 duplicate centers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 o:spid="_x0000_s1029" style="position:absolute;left:0;text-align:left;margin-left:306.5pt;margin-top:309.3pt;width:129.5pt;height:1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" fillcolor="white [3201]" strokecolor="black [3213]" strokeweight="2pt">
                <v:path arrowok="t"/>
                <v:textbox>
                  <w:txbxContent>
                    <w:p w:rsidR="00BF404F" w:rsidRPr="00BF404F" w:rsidRDefault="00BF404F" w:rsidP="00BF404F">
                      <w:pPr>
                        <w:jc w:val="left"/>
                        <w:rPr>
                          <w:rFonts w:ascii="Book Antiqua" w:hAnsi="Book Antiqua"/>
                          <w:sz w:val="18"/>
                        </w:rPr>
                      </w:pPr>
                      <w:r w:rsidRPr="00BF404F">
                        <w:rPr>
                          <w:rFonts w:ascii="Book Antiqua" w:hAnsi="Book Antiqua"/>
                          <w:sz w:val="18"/>
                        </w:rPr>
                        <w:t>89 articles were excluded.</w:t>
                      </w:r>
                    </w:p>
                    <w:p w:rsidR="00BF404F" w:rsidRPr="00BF404F" w:rsidRDefault="00BF404F" w:rsidP="00BF404F">
                      <w:pPr>
                        <w:jc w:val="left"/>
                        <w:rPr>
                          <w:rFonts w:ascii="Book Antiqua" w:hAnsi="Book Antiqua"/>
                          <w:sz w:val="18"/>
                        </w:rPr>
                      </w:pPr>
                      <w:r w:rsidRPr="00BF404F">
                        <w:rPr>
                          <w:rFonts w:ascii="Book Antiqua" w:hAnsi="Book Antiqua"/>
                          <w:sz w:val="18"/>
                        </w:rPr>
                        <w:t>Reasons for exclusion:</w:t>
                      </w:r>
                    </w:p>
                    <w:p w:rsidR="00BF404F" w:rsidRPr="00BF404F" w:rsidRDefault="00BF404F" w:rsidP="00BF404F">
                      <w:pPr>
                        <w:jc w:val="left"/>
                        <w:rPr>
                          <w:rFonts w:ascii="Book Antiqua" w:hAnsi="Book Antiqua"/>
                          <w:sz w:val="18"/>
                        </w:rPr>
                      </w:pPr>
                      <w:r w:rsidRPr="00BF404F">
                        <w:rPr>
                          <w:rFonts w:ascii="Book Antiqua" w:hAnsi="Book Antiqua"/>
                          <w:sz w:val="18"/>
                        </w:rPr>
                        <w:t>44 non-comparative studies</w:t>
                      </w:r>
                    </w:p>
                    <w:p w:rsidR="00BF404F" w:rsidRPr="00BF404F" w:rsidRDefault="00BF404F" w:rsidP="00BF404F">
                      <w:pPr>
                        <w:jc w:val="left"/>
                        <w:rPr>
                          <w:rFonts w:ascii="Book Antiqua" w:hAnsi="Book Antiqua"/>
                          <w:sz w:val="18"/>
                        </w:rPr>
                      </w:pPr>
                      <w:r w:rsidRPr="00BF404F">
                        <w:rPr>
                          <w:rFonts w:ascii="Book Antiqua" w:hAnsi="Book Antiqua"/>
                          <w:sz w:val="18"/>
                        </w:rPr>
                        <w:t>20 not compare DCF and ECF</w:t>
                      </w:r>
                    </w:p>
                    <w:p w:rsidR="00BF404F" w:rsidRPr="00BF404F" w:rsidRDefault="00BF404F" w:rsidP="00BF404F">
                      <w:pPr>
                        <w:jc w:val="left"/>
                        <w:rPr>
                          <w:rFonts w:ascii="Book Antiqua" w:hAnsi="Book Antiqua"/>
                          <w:sz w:val="18"/>
                        </w:rPr>
                      </w:pPr>
                      <w:r w:rsidRPr="00BF404F">
                        <w:rPr>
                          <w:rFonts w:ascii="Book Antiqua" w:hAnsi="Book Antiqua"/>
                          <w:sz w:val="18"/>
                        </w:rPr>
                        <w:t>24 only abstract</w:t>
                      </w:r>
                    </w:p>
                    <w:p w:rsidR="00BF404F" w:rsidRPr="00BF404F" w:rsidRDefault="00BF404F" w:rsidP="00BF404F">
                      <w:pPr>
                        <w:jc w:val="left"/>
                        <w:rPr>
                          <w:rFonts w:ascii="Book Antiqua" w:hAnsi="Book Antiqua"/>
                          <w:sz w:val="18"/>
                        </w:rPr>
                      </w:pPr>
                      <w:r w:rsidRPr="00BF404F">
                        <w:rPr>
                          <w:rFonts w:ascii="Book Antiqua" w:hAnsi="Book Antiqua"/>
                          <w:sz w:val="18"/>
                        </w:rPr>
                        <w:t>1 duplicate centers</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2702560</wp:posOffset>
                </wp:positionV>
                <wp:extent cx="6350" cy="730250"/>
                <wp:effectExtent l="57150" t="19050" r="69850" b="6985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730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9090F4" id="直接箭头连接符 18" o:spid="_x0000_s1026" type="#_x0000_t32" style="position:absolute;margin-left:0;margin-top:212.8pt;width:.5pt;height:5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" strokecolor="black [3200]" strokeweight="2pt">
                <v:stroke endarrow="block"/>
                <v:shadow on="t" color="black" opacity="24903f" origin=",.5" offset="0,.55556mm"/>
                <o:lock v:ext="edit" shapetype="f"/>
                <w10:wrap anchorx="margin"/>
              </v:shape>
            </w:pict>
          </mc:Fallback>
        </mc:AlternateContent>
      </w:r>
      <w:r>
        <w:rPr>
          <w:rFonts w:ascii="Book Antiqua" w:hAnsi="Book Antiqua"/>
          <w:noProof/>
          <w:sz w:val="24"/>
          <w:szCs w:val="24"/>
        </w:rPr>
        <mc:AlternateContent>
          <mc:Choice Requires="wps">
            <w:drawing>
              <wp:anchor distT="0" distB="0" distL="114300" distR="114300" simplePos="0" relativeHeight="251661312" behindDoc="0" locked="0" layoutInCell="1" allowOverlap="1">
                <wp:simplePos x="0" y="0"/>
                <wp:positionH relativeFrom="margin">
                  <wp:posOffset>1263650</wp:posOffset>
                </wp:positionH>
                <wp:positionV relativeFrom="paragraph">
                  <wp:posOffset>1997710</wp:posOffset>
                </wp:positionV>
                <wp:extent cx="2470150" cy="711200"/>
                <wp:effectExtent l="0" t="0" r="635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711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404F" w:rsidRPr="00BF404F" w:rsidRDefault="00BF404F" w:rsidP="00BF404F">
                            <w:pPr>
                              <w:jc w:val="center"/>
                              <w:rPr>
                                <w:rFonts w:ascii="Book Antiqua" w:hAnsi="Book Antiqua"/>
                                <w:sz w:val="18"/>
                              </w:rPr>
                            </w:pPr>
                            <w:r w:rsidRPr="00BF404F">
                              <w:rPr>
                                <w:rFonts w:ascii="Book Antiqua" w:hAnsi="Book Antiqua"/>
                                <w:sz w:val="18"/>
                              </w:rPr>
                              <w:t>Title and abstracts screened for eligibility</w:t>
                            </w:r>
                          </w:p>
                          <w:p w:rsidR="00BF404F" w:rsidRPr="00BF404F" w:rsidRDefault="00BF404F"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965)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30" style="position:absolute;left:0;text-align:left;margin-left:99.5pt;margin-top:157.3pt;width:194.5pt;height: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" fillcolor="white [3201]" strokecolor="black [3213]" strokeweight="2pt">
                <v:path arrowok="t"/>
                <v:textbox>
                  <w:txbxContent>
                    <w:p w:rsidR="00BF404F" w:rsidRPr="00BF404F" w:rsidRDefault="00BF404F" w:rsidP="00BF404F">
                      <w:pPr>
                        <w:jc w:val="center"/>
                        <w:rPr>
                          <w:rFonts w:ascii="Book Antiqua" w:hAnsi="Book Antiqua"/>
                          <w:sz w:val="18"/>
                        </w:rPr>
                      </w:pPr>
                      <w:r w:rsidRPr="00BF404F">
                        <w:rPr>
                          <w:rFonts w:ascii="Book Antiqua" w:hAnsi="Book Antiqua"/>
                          <w:sz w:val="18"/>
                        </w:rPr>
                        <w:t>Title and abstracts screened for eligibility</w:t>
                      </w:r>
                    </w:p>
                    <w:p w:rsidR="00BF404F" w:rsidRPr="00BF404F" w:rsidRDefault="00BF404F"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965)</w:t>
                      </w:r>
                    </w:p>
                  </w:txbxContent>
                </v:textbox>
                <w10:wrap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666432" behindDoc="0" locked="0" layoutInCell="1" allowOverlap="1">
                <wp:simplePos x="0" y="0"/>
                <wp:positionH relativeFrom="column">
                  <wp:posOffset>1295400</wp:posOffset>
                </wp:positionH>
                <wp:positionV relativeFrom="paragraph">
                  <wp:posOffset>1623059</wp:posOffset>
                </wp:positionV>
                <wp:extent cx="2584450" cy="0"/>
                <wp:effectExtent l="38100" t="38100" r="44450" b="7620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4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637C" id="直接连接符 13"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127.8pt" to="305.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" strokecolor="black [3200]" strokeweight="2pt">
                <v:shadow on="t" color="black" opacity="24903f" origin=",.5" offset="0,.55556mm"/>
                <o:lock v:ext="edit" shapetype="f"/>
              </v:line>
            </w:pict>
          </mc:Fallback>
        </mc:AlternateContent>
      </w:r>
      <w:r>
        <w:rPr>
          <w:rFonts w:ascii="Book Antiqua" w:hAnsi="Book Antiqua"/>
          <w:noProof/>
          <w:sz w:val="24"/>
          <w:szCs w:val="24"/>
        </w:rPr>
        <mc:AlternateContent>
          <mc:Choice Requires="wps">
            <w:drawing>
              <wp:anchor distT="0" distB="0" distL="114299" distR="114299" simplePos="0" relativeHeight="251667456" behindDoc="0" locked="0" layoutInCell="1" allowOverlap="1">
                <wp:simplePos x="0" y="0"/>
                <wp:positionH relativeFrom="margin">
                  <wp:align>center</wp:align>
                </wp:positionH>
                <wp:positionV relativeFrom="paragraph">
                  <wp:posOffset>1616710</wp:posOffset>
                </wp:positionV>
                <wp:extent cx="0" cy="381000"/>
                <wp:effectExtent l="95250" t="19050" r="76200" b="76200"/>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D448DB" id="直接箭头连接符 14" o:spid="_x0000_s1026" type="#_x0000_t32" style="position:absolute;margin-left:0;margin-top:127.3pt;width:0;height:30pt;z-index:25166745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" strokecolor="black [3200]" strokeweight="2pt">
                <v:stroke endarrow="block"/>
                <v:shadow on="t" color="black" opacity="24903f" origin=",.5" offset="0,.55556mm"/>
                <o:lock v:ext="edit" shapetype="f"/>
                <w10:wrap anchorx="margin"/>
              </v:shape>
            </w:pict>
          </mc:Fallback>
        </mc:AlternateContent>
      </w:r>
      <w:r>
        <w:rPr>
          <w:rFonts w:ascii="Book Antiqua" w:hAnsi="Book Antiqua"/>
          <w:noProof/>
          <w:sz w:val="24"/>
          <w:szCs w:val="24"/>
        </w:rPr>
        <mc:AlternateContent>
          <mc:Choice Requires="wps">
            <w:drawing>
              <wp:anchor distT="0" distB="0" distL="114299" distR="114299" simplePos="0" relativeHeight="251665408" behindDoc="0" locked="0" layoutInCell="1" allowOverlap="1">
                <wp:simplePos x="0" y="0"/>
                <wp:positionH relativeFrom="column">
                  <wp:posOffset>3879849</wp:posOffset>
                </wp:positionH>
                <wp:positionV relativeFrom="paragraph">
                  <wp:posOffset>1193165</wp:posOffset>
                </wp:positionV>
                <wp:extent cx="0" cy="431800"/>
                <wp:effectExtent l="57150" t="19050" r="57150" b="63500"/>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18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07967C" id="直接连接符 1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5.5pt,93.95pt" to="305.5pt,1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" strokecolor="black [3200]" strokeweight="2pt">
                <v:shadow on="t" color="black" opacity="24903f" origin=",.5" offset="0,.55556mm"/>
                <o:lock v:ext="edit" shapetype="f"/>
              </v:line>
            </w:pict>
          </mc:Fallback>
        </mc:AlternateContent>
      </w:r>
      <w:r>
        <w:rPr>
          <w:rFonts w:ascii="Book Antiqua" w:hAnsi="Book Antiqua"/>
          <w:noProof/>
          <w:sz w:val="24"/>
          <w:szCs w:val="24"/>
        </w:rPr>
        <mc:AlternateContent>
          <mc:Choice Requires="wps">
            <w:drawing>
              <wp:anchor distT="0" distB="0" distL="114299" distR="114299" simplePos="0" relativeHeight="251664384" behindDoc="0" locked="0" layoutInCell="1" allowOverlap="1">
                <wp:simplePos x="0" y="0"/>
                <wp:positionH relativeFrom="column">
                  <wp:posOffset>1301749</wp:posOffset>
                </wp:positionH>
                <wp:positionV relativeFrom="paragraph">
                  <wp:posOffset>1197610</wp:posOffset>
                </wp:positionV>
                <wp:extent cx="0" cy="431800"/>
                <wp:effectExtent l="57150" t="19050" r="57150" b="6350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18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623E6F" id="直接连接符 15"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5pt,94.3pt" to="102.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" strokecolor="black [3200]" strokeweight="2pt">
                <v:shadow on="t" color="black" opacity="24903f" origin=",.5" offset="0,.55556mm"/>
                <o:lock v:ext="edit" shapetype="f"/>
              </v:line>
            </w:pict>
          </mc:Fallback>
        </mc:AlternateContent>
      </w:r>
      <w:r>
        <w:rPr>
          <w:rFonts w:ascii="Book Antiqua" w:hAnsi="Book Antiqua"/>
          <w:noProof/>
          <w:sz w:val="24"/>
          <w:szCs w:val="24"/>
        </w:rPr>
        <mc:AlternateContent>
          <mc:Choice Requires="wps">
            <w:drawing>
              <wp:anchor distT="0" distB="0" distL="114300" distR="114300" simplePos="0" relativeHeight="251660288" behindDoc="0" locked="0" layoutInCell="1" allowOverlap="1">
                <wp:simplePos x="0" y="0"/>
                <wp:positionH relativeFrom="margin">
                  <wp:posOffset>2876550</wp:posOffset>
                </wp:positionH>
                <wp:positionV relativeFrom="paragraph">
                  <wp:posOffset>124460</wp:posOffset>
                </wp:positionV>
                <wp:extent cx="1987550" cy="106680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0" cy="1066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404F" w:rsidRPr="00BF404F" w:rsidRDefault="00BF404F" w:rsidP="00BF404F">
                            <w:pPr>
                              <w:jc w:val="center"/>
                              <w:rPr>
                                <w:rFonts w:ascii="Book Antiqua" w:hAnsi="Book Antiqua"/>
                                <w:sz w:val="18"/>
                              </w:rPr>
                            </w:pPr>
                            <w:r w:rsidRPr="00BF404F">
                              <w:rPr>
                                <w:rFonts w:ascii="Book Antiqua" w:hAnsi="Book Antiqua"/>
                                <w:sz w:val="18"/>
                              </w:rPr>
                              <w:t>Additional records were identified through other sources</w:t>
                            </w:r>
                          </w:p>
                          <w:p w:rsidR="00BF404F" w:rsidRPr="00BF404F" w:rsidRDefault="00BF404F"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 o:spid="_x0000_s1031" style="position:absolute;left:0;text-align:left;margin-left:226.5pt;margin-top:9.8pt;width:15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" fillcolor="white [3201]" strokecolor="black [3213]" strokeweight="2pt">
                <v:path arrowok="t"/>
                <v:textbox>
                  <w:txbxContent>
                    <w:p w:rsidR="00BF404F" w:rsidRPr="00BF404F" w:rsidRDefault="00BF404F" w:rsidP="00BF404F">
                      <w:pPr>
                        <w:jc w:val="center"/>
                        <w:rPr>
                          <w:rFonts w:ascii="Book Antiqua" w:hAnsi="Book Antiqua"/>
                          <w:sz w:val="18"/>
                        </w:rPr>
                      </w:pPr>
                      <w:r w:rsidRPr="00BF404F">
                        <w:rPr>
                          <w:rFonts w:ascii="Book Antiqua" w:hAnsi="Book Antiqua"/>
                          <w:sz w:val="18"/>
                        </w:rPr>
                        <w:t>Additional records were identified through other sources</w:t>
                      </w:r>
                    </w:p>
                    <w:p w:rsidR="00BF404F" w:rsidRPr="00BF404F" w:rsidRDefault="00BF404F"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44)</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659264" behindDoc="0" locked="0" layoutInCell="1" allowOverlap="1">
                <wp:simplePos x="0" y="0"/>
                <wp:positionH relativeFrom="column">
                  <wp:posOffset>50800</wp:posOffset>
                </wp:positionH>
                <wp:positionV relativeFrom="paragraph">
                  <wp:posOffset>118110</wp:posOffset>
                </wp:positionV>
                <wp:extent cx="2565400" cy="1079500"/>
                <wp:effectExtent l="0" t="0" r="6350" b="635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1079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404F" w:rsidRPr="00BF404F" w:rsidRDefault="00BF404F" w:rsidP="00BF404F">
                            <w:pPr>
                              <w:jc w:val="center"/>
                              <w:rPr>
                                <w:rFonts w:ascii="Book Antiqua" w:hAnsi="Book Antiqua"/>
                                <w:sz w:val="18"/>
                              </w:rPr>
                            </w:pPr>
                            <w:r w:rsidRPr="00BF404F">
                              <w:rPr>
                                <w:rFonts w:ascii="Book Antiqua" w:hAnsi="Book Antiqua"/>
                                <w:sz w:val="18"/>
                              </w:rPr>
                              <w:t>Records identified through database searching from PubMed, Ovid Medline, EMBASE, Web of Science, Science Direct, the Cochrane Library, and Scopus. (Duplicates removed)</w:t>
                            </w:r>
                          </w:p>
                          <w:p w:rsidR="00BF404F" w:rsidRPr="00BF404F" w:rsidRDefault="00BF404F"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921)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2" style="position:absolute;left:0;text-align:left;margin-left:4pt;margin-top:9.3pt;width:202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" fillcolor="white [3201]" strokecolor="black [3213]" strokeweight="2pt">
                <v:path arrowok="t"/>
                <v:textbox>
                  <w:txbxContent>
                    <w:p w:rsidR="00BF404F" w:rsidRPr="00BF404F" w:rsidRDefault="00BF404F" w:rsidP="00BF404F">
                      <w:pPr>
                        <w:jc w:val="center"/>
                        <w:rPr>
                          <w:rFonts w:ascii="Book Antiqua" w:hAnsi="Book Antiqua"/>
                          <w:sz w:val="18"/>
                        </w:rPr>
                      </w:pPr>
                      <w:r w:rsidRPr="00BF404F">
                        <w:rPr>
                          <w:rFonts w:ascii="Book Antiqua" w:hAnsi="Book Antiqua"/>
                          <w:sz w:val="18"/>
                        </w:rPr>
                        <w:t>Records identified through database searching from PubMed, Ovid Medline, EMBASE, Web of Science, Science Direct, the Cochrane Library, and Scopus. (Duplicates removed)</w:t>
                      </w:r>
                    </w:p>
                    <w:p w:rsidR="00BF404F" w:rsidRPr="00BF404F" w:rsidRDefault="00BF404F"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921)</w:t>
                      </w:r>
                    </w:p>
                  </w:txbxContent>
                </v:textbox>
              </v:rect>
            </w:pict>
          </mc:Fallback>
        </mc:AlternateContent>
      </w:r>
    </w:p>
    <w:p w:rsidR="00DD3981" w:rsidRPr="00384046" w:rsidRDefault="00DD3981" w:rsidP="00384046">
      <w:pPr>
        <w:spacing w:line="360" w:lineRule="auto"/>
        <w:rPr>
          <w:rFonts w:ascii="Book Antiqua" w:hAnsi="Book Antiqua" w:cs="Times New Roman"/>
          <w:color w:val="000000" w:themeColor="text1"/>
          <w:sz w:val="24"/>
          <w:szCs w:val="24"/>
        </w:rPr>
      </w:pPr>
    </w:p>
    <w:p w:rsidR="005E488D" w:rsidRPr="00384046" w:rsidRDefault="005E488D"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3D6A72" w:rsidRPr="00384046" w:rsidRDefault="003D6A72" w:rsidP="00384046">
      <w:pPr>
        <w:spacing w:line="360" w:lineRule="auto"/>
        <w:rPr>
          <w:rFonts w:ascii="Book Antiqua" w:hAnsi="Book Antiqua" w:cs="Times New Roman"/>
          <w:b/>
          <w:color w:val="000000" w:themeColor="text1"/>
          <w:sz w:val="24"/>
          <w:szCs w:val="24"/>
        </w:rPr>
      </w:pPr>
      <w:bookmarkStart w:id="13" w:name="_Hlk533015174"/>
      <w:r w:rsidRPr="00384046">
        <w:rPr>
          <w:rFonts w:ascii="Book Antiqua" w:hAnsi="Book Antiqua" w:cs="Times New Roman"/>
          <w:b/>
          <w:color w:val="000000" w:themeColor="text1"/>
          <w:sz w:val="24"/>
          <w:szCs w:val="24"/>
        </w:rPr>
        <w:t xml:space="preserve">Figure 1 </w:t>
      </w:r>
      <w:bookmarkStart w:id="14" w:name="_Hlk533015132"/>
      <w:r w:rsidRPr="00384046">
        <w:rPr>
          <w:rFonts w:ascii="Book Antiqua" w:hAnsi="Book Antiqua" w:cs="Times New Roman"/>
          <w:b/>
          <w:color w:val="000000" w:themeColor="text1"/>
          <w:sz w:val="24"/>
          <w:szCs w:val="24"/>
        </w:rPr>
        <w:t>Flow chart of study selection</w:t>
      </w:r>
      <w:bookmarkEnd w:id="14"/>
      <w:r w:rsidRPr="00384046">
        <w:rPr>
          <w:rFonts w:ascii="Book Antiqua" w:hAnsi="Book Antiqua" w:cs="Times New Roman"/>
          <w:b/>
          <w:color w:val="000000" w:themeColor="text1"/>
          <w:sz w:val="24"/>
          <w:szCs w:val="24"/>
        </w:rPr>
        <w:t>.</w:t>
      </w:r>
      <w:r w:rsidR="00EF6FD3" w:rsidRPr="00384046">
        <w:rPr>
          <w:rFonts w:ascii="Book Antiqua" w:hAnsi="Book Antiqua" w:cs="Times New Roman"/>
          <w:color w:val="000000" w:themeColor="text1"/>
          <w:sz w:val="24"/>
          <w:szCs w:val="24"/>
        </w:rPr>
        <w:t xml:space="preserve"> ECF: </w:t>
      </w:r>
      <w:r w:rsidR="00EF6FD3" w:rsidRPr="00384046">
        <w:rPr>
          <w:rFonts w:ascii="Book Antiqua" w:eastAsia="SimSun" w:hAnsi="Book Antiqua" w:cs="Times New Roman"/>
          <w:color w:val="000000" w:themeColor="text1"/>
          <w:sz w:val="24"/>
          <w:szCs w:val="24"/>
        </w:rPr>
        <w:t xml:space="preserve">Epirubicin, cisplatin, and 5-fluorouracil; </w:t>
      </w:r>
      <w:r w:rsidR="00EF6FD3" w:rsidRPr="00384046">
        <w:rPr>
          <w:rFonts w:ascii="Book Antiqua" w:hAnsi="Book Antiqua" w:cs="Times New Roman"/>
          <w:color w:val="000000" w:themeColor="text1"/>
          <w:sz w:val="24"/>
          <w:szCs w:val="24"/>
        </w:rPr>
        <w:t xml:space="preserve">DCF: </w:t>
      </w:r>
      <w:r w:rsidR="00EF6FD3" w:rsidRPr="00384046">
        <w:rPr>
          <w:rFonts w:ascii="Book Antiqua" w:eastAsia="SimSun" w:hAnsi="Book Antiqua" w:cs="Times New Roman"/>
          <w:color w:val="000000" w:themeColor="text1"/>
          <w:sz w:val="24"/>
          <w:szCs w:val="24"/>
        </w:rPr>
        <w:t>Docetaxel,</w:t>
      </w:r>
      <w:r w:rsidR="00EF6FD3" w:rsidRPr="00384046">
        <w:rPr>
          <w:rFonts w:ascii="Book Antiqua" w:hAnsi="Book Antiqua" w:cs="Times New Roman"/>
          <w:color w:val="000000" w:themeColor="text1"/>
          <w:sz w:val="24"/>
          <w:szCs w:val="24"/>
        </w:rPr>
        <w:t xml:space="preserve"> </w:t>
      </w:r>
      <w:r w:rsidR="00EF6FD3" w:rsidRPr="00384046">
        <w:rPr>
          <w:rFonts w:ascii="Book Antiqua" w:eastAsia="SimSun" w:hAnsi="Book Antiqua" w:cs="Times New Roman"/>
          <w:color w:val="000000" w:themeColor="text1"/>
          <w:sz w:val="24"/>
          <w:szCs w:val="24"/>
        </w:rPr>
        <w:t>cisplatin,</w:t>
      </w:r>
      <w:r w:rsidR="00EF6FD3" w:rsidRPr="00384046">
        <w:rPr>
          <w:rFonts w:ascii="Book Antiqua" w:hAnsi="Book Antiqua" w:cs="Times New Roman"/>
          <w:color w:val="000000" w:themeColor="text1"/>
          <w:sz w:val="24"/>
          <w:szCs w:val="24"/>
        </w:rPr>
        <w:t xml:space="preserve"> </w:t>
      </w:r>
      <w:r w:rsidR="00EF6FD3" w:rsidRPr="00384046">
        <w:rPr>
          <w:rFonts w:ascii="Book Antiqua" w:eastAsia="SimSun" w:hAnsi="Book Antiqua" w:cs="Times New Roman"/>
          <w:color w:val="000000" w:themeColor="text1"/>
          <w:sz w:val="24"/>
          <w:szCs w:val="24"/>
        </w:rPr>
        <w:t>and</w:t>
      </w:r>
      <w:r w:rsidR="00EF6FD3" w:rsidRPr="00384046">
        <w:rPr>
          <w:rFonts w:ascii="Book Antiqua" w:hAnsi="Book Antiqua" w:cs="Times New Roman"/>
          <w:color w:val="000000" w:themeColor="text1"/>
          <w:sz w:val="24"/>
          <w:szCs w:val="24"/>
        </w:rPr>
        <w:t xml:space="preserve"> </w:t>
      </w:r>
      <w:r w:rsidR="00EF6FD3" w:rsidRPr="00384046">
        <w:rPr>
          <w:rFonts w:ascii="Book Antiqua" w:eastAsia="SimSun" w:hAnsi="Book Antiqua" w:cs="Times New Roman"/>
          <w:color w:val="000000" w:themeColor="text1"/>
          <w:sz w:val="24"/>
          <w:szCs w:val="24"/>
        </w:rPr>
        <w:t>5-fluorouracil.</w:t>
      </w:r>
    </w:p>
    <w:bookmarkEnd w:id="13"/>
    <w:p w:rsidR="005E488D" w:rsidRPr="00384046" w:rsidRDefault="005E488D" w:rsidP="00384046">
      <w:pPr>
        <w:spacing w:line="360" w:lineRule="auto"/>
        <w:rPr>
          <w:rFonts w:ascii="Book Antiqua" w:hAnsi="Book Antiqua" w:cs="Times New Roman"/>
          <w:b/>
          <w:color w:val="000000" w:themeColor="text1"/>
          <w:sz w:val="24"/>
          <w:szCs w:val="24"/>
        </w:rPr>
      </w:pPr>
    </w:p>
    <w:p w:rsidR="005E488D" w:rsidRPr="00384046" w:rsidRDefault="005E488D" w:rsidP="00384046">
      <w:pPr>
        <w:spacing w:line="360" w:lineRule="auto"/>
        <w:rPr>
          <w:rFonts w:ascii="Book Antiqua" w:hAnsi="Book Antiqua" w:cs="Times New Roman"/>
          <w:b/>
          <w:color w:val="000000" w:themeColor="text1"/>
          <w:sz w:val="24"/>
          <w:szCs w:val="24"/>
        </w:rPr>
        <w:sectPr w:rsidR="005E488D" w:rsidRPr="00384046" w:rsidSect="003D6A72">
          <w:pgSz w:w="11906" w:h="16838"/>
          <w:pgMar w:top="1440" w:right="1797" w:bottom="1440" w:left="1797" w:header="851" w:footer="992" w:gutter="0"/>
          <w:cols w:space="425"/>
          <w:docGrid w:type="lines" w:linePitch="312"/>
        </w:sectPr>
      </w:pPr>
    </w:p>
    <w:p w:rsidR="005E488D" w:rsidRPr="00384046" w:rsidRDefault="005E488D" w:rsidP="00384046">
      <w:pPr>
        <w:spacing w:line="360" w:lineRule="auto"/>
        <w:rPr>
          <w:rFonts w:ascii="Book Antiqua" w:hAnsi="Book Antiqua" w:cs="Times New Roman"/>
          <w:noProof/>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223066C3" wp14:editId="35E2FED0">
            <wp:extent cx="7048500" cy="1638300"/>
            <wp:effectExtent l="19050" t="0" r="0" b="0"/>
            <wp:docPr id="3" name="图片 3" descr="C:\Users\lenovo\Desktop\李博的第一篇论文\world journal of gastroenterology\图\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李博的第一篇论文\world journal of gastroenterology\图\Figure 2.tif"/>
                    <pic:cNvPicPr>
                      <a:picLocks noChangeAspect="1" noChangeArrowheads="1"/>
                    </pic:cNvPicPr>
                  </pic:nvPicPr>
                  <pic:blipFill>
                    <a:blip r:embed="rId11" cstate="print"/>
                    <a:srcRect/>
                    <a:stretch>
                      <a:fillRect/>
                    </a:stretch>
                  </pic:blipFill>
                  <pic:spPr bwMode="auto">
                    <a:xfrm>
                      <a:off x="0" y="0"/>
                      <a:ext cx="7048500" cy="1638300"/>
                    </a:xfrm>
                    <a:prstGeom prst="rect">
                      <a:avLst/>
                    </a:prstGeom>
                    <a:noFill/>
                    <a:ln w="9525">
                      <a:noFill/>
                      <a:miter lim="800000"/>
                      <a:headEnd/>
                      <a:tailEnd/>
                    </a:ln>
                  </pic:spPr>
                </pic:pic>
              </a:graphicData>
            </a:graphic>
          </wp:inline>
        </w:drawing>
      </w:r>
    </w:p>
    <w:p w:rsidR="00EF6FD3" w:rsidRPr="00384046" w:rsidRDefault="00EF6FD3"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 xml:space="preserve">Figure 2 Forest plot of </w:t>
      </w:r>
      <w:r w:rsidRPr="00384046">
        <w:rPr>
          <w:rFonts w:ascii="Book Antiqua" w:eastAsia="SimSun" w:hAnsi="Book Antiqua" w:cs="Times New Roman"/>
          <w:b/>
          <w:color w:val="000000" w:themeColor="text1"/>
          <w:sz w:val="24"/>
          <w:szCs w:val="24"/>
        </w:rPr>
        <w:t>hazard ratio</w:t>
      </w:r>
      <w:r w:rsidRPr="00384046">
        <w:rPr>
          <w:rFonts w:ascii="Book Antiqua" w:hAnsi="Book Antiqua" w:cs="Times New Roman"/>
          <w:b/>
          <w:color w:val="000000" w:themeColor="text1"/>
          <w:sz w:val="24"/>
          <w:szCs w:val="24"/>
        </w:rPr>
        <w:t xml:space="preserve"> of progression-free survival associated with </w:t>
      </w:r>
      <w:r w:rsidRPr="00384046">
        <w:rPr>
          <w:rFonts w:ascii="Book Antiqua" w:eastAsia="SimSun" w:hAnsi="Book Antiqua" w:cs="Times New Roman"/>
          <w:b/>
          <w:color w:val="000000" w:themeColor="text1"/>
          <w:sz w:val="24"/>
          <w:szCs w:val="24"/>
        </w:rPr>
        <w:t>docetaxel,</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cisplatin,</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vs</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epirubicin, cisplatin, and 5-fluorouracil</w:t>
      </w:r>
      <w:r w:rsidRPr="00384046">
        <w:rPr>
          <w:rFonts w:ascii="Book Antiqua" w:hAnsi="Book Antiqua" w:cs="Times New Roman"/>
          <w:b/>
          <w:color w:val="000000" w:themeColor="text1"/>
          <w:sz w:val="24"/>
          <w:szCs w:val="24"/>
        </w:rPr>
        <w:t>.</w:t>
      </w:r>
      <w:r w:rsidRPr="00384046">
        <w:rPr>
          <w:rFonts w:ascii="Book Antiqua" w:hAnsi="Book Antiqua" w:cs="Times New Roman"/>
          <w:color w:val="000000" w:themeColor="text1"/>
          <w:sz w:val="24"/>
          <w:szCs w:val="24"/>
        </w:rPr>
        <w:t xml:space="preserve"> ECF: </w:t>
      </w:r>
      <w:r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sz w:val="24"/>
          <w:szCs w:val="24"/>
        </w:rPr>
        <w:t>Docetaxel,</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cisplatin,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5-fluorouracil.</w:t>
      </w:r>
    </w:p>
    <w:p w:rsidR="00195746" w:rsidRPr="00384046" w:rsidRDefault="00195746"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br w:type="page"/>
      </w: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60563F56" wp14:editId="67C8B4E9">
            <wp:extent cx="7048500" cy="1828800"/>
            <wp:effectExtent l="19050" t="0" r="0" b="0"/>
            <wp:docPr id="4" name="图片 4" descr="C:\Users\lenovo\Desktop\李博的第一篇论文\world journal of gastroenterology\图\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李博的第一篇论文\world journal of gastroenterology\图\Figure 3.tif"/>
                    <pic:cNvPicPr>
                      <a:picLocks noChangeAspect="1" noChangeArrowheads="1"/>
                    </pic:cNvPicPr>
                  </pic:nvPicPr>
                  <pic:blipFill>
                    <a:blip r:embed="rId12" cstate="print"/>
                    <a:srcRect/>
                    <a:stretch>
                      <a:fillRect/>
                    </a:stretch>
                  </pic:blipFill>
                  <pic:spPr bwMode="auto">
                    <a:xfrm>
                      <a:off x="0" y="0"/>
                      <a:ext cx="7048500" cy="1828800"/>
                    </a:xfrm>
                    <a:prstGeom prst="rect">
                      <a:avLst/>
                    </a:prstGeom>
                    <a:noFill/>
                    <a:ln w="9525">
                      <a:noFill/>
                      <a:miter lim="800000"/>
                      <a:headEnd/>
                      <a:tailEnd/>
                    </a:ln>
                  </pic:spPr>
                </pic:pic>
              </a:graphicData>
            </a:graphic>
          </wp:inline>
        </w:drawing>
      </w:r>
    </w:p>
    <w:p w:rsidR="00195746" w:rsidRPr="00384046" w:rsidRDefault="00195746"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 xml:space="preserve">Figure 3 Forest plot of </w:t>
      </w:r>
      <w:r w:rsidRPr="00384046">
        <w:rPr>
          <w:rFonts w:ascii="Book Antiqua" w:eastAsia="SimSun" w:hAnsi="Book Antiqua" w:cs="Times New Roman"/>
          <w:b/>
          <w:color w:val="000000" w:themeColor="text1"/>
          <w:sz w:val="24"/>
          <w:szCs w:val="24"/>
        </w:rPr>
        <w:t>hazard ratio</w:t>
      </w:r>
      <w:r w:rsidRPr="00384046">
        <w:rPr>
          <w:rFonts w:ascii="Book Antiqua" w:hAnsi="Book Antiqua" w:cs="Times New Roman"/>
          <w:b/>
          <w:color w:val="000000" w:themeColor="text1"/>
          <w:sz w:val="24"/>
          <w:szCs w:val="24"/>
        </w:rPr>
        <w:t xml:space="preserve"> of overall survival associated with </w:t>
      </w:r>
      <w:r w:rsidRPr="00384046">
        <w:rPr>
          <w:rFonts w:ascii="Book Antiqua" w:eastAsia="SimSun" w:hAnsi="Book Antiqua" w:cs="Times New Roman"/>
          <w:b/>
          <w:color w:val="000000" w:themeColor="text1"/>
          <w:sz w:val="24"/>
          <w:szCs w:val="24"/>
        </w:rPr>
        <w:t>docetaxel,</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cisplatin,</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vs</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epirubicin, cisplatin, and 5-fluorouracil</w:t>
      </w:r>
      <w:r w:rsidRPr="00384046">
        <w:rPr>
          <w:rFonts w:ascii="Book Antiqua" w:hAnsi="Book Antiqua" w:cs="Times New Roman"/>
          <w:b/>
          <w:color w:val="000000" w:themeColor="text1"/>
          <w:sz w:val="24"/>
          <w:szCs w:val="24"/>
        </w:rPr>
        <w:t xml:space="preserve">. </w:t>
      </w: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sz w:val="24"/>
          <w:szCs w:val="24"/>
        </w:rPr>
        <w:t>Docetaxel,</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cisplatin,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5-fluorouracil.</w:t>
      </w:r>
    </w:p>
    <w:p w:rsidR="00195746" w:rsidRPr="00384046" w:rsidRDefault="00195746"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br w:type="page"/>
      </w: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19D1335A" wp14:editId="09ABBBF8">
            <wp:extent cx="7048500" cy="3886200"/>
            <wp:effectExtent l="19050" t="0" r="0" b="0"/>
            <wp:docPr id="5" name="图片 5" descr="C:\Users\lenovo\Desktop\李博的第一篇论文\world journal of gastroenterology\图\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李博的第一篇论文\world journal of gastroenterology\图\Figure 4.tif"/>
                    <pic:cNvPicPr>
                      <a:picLocks noChangeAspect="1" noChangeArrowheads="1"/>
                    </pic:cNvPicPr>
                  </pic:nvPicPr>
                  <pic:blipFill>
                    <a:blip r:embed="rId13" cstate="print"/>
                    <a:srcRect/>
                    <a:stretch>
                      <a:fillRect/>
                    </a:stretch>
                  </pic:blipFill>
                  <pic:spPr bwMode="auto">
                    <a:xfrm>
                      <a:off x="0" y="0"/>
                      <a:ext cx="7048500" cy="3886200"/>
                    </a:xfrm>
                    <a:prstGeom prst="rect">
                      <a:avLst/>
                    </a:prstGeom>
                    <a:noFill/>
                    <a:ln w="9525">
                      <a:noFill/>
                      <a:miter lim="800000"/>
                      <a:headEnd/>
                      <a:tailEnd/>
                    </a:ln>
                  </pic:spPr>
                </pic:pic>
              </a:graphicData>
            </a:graphic>
          </wp:inline>
        </w:drawing>
      </w:r>
    </w:p>
    <w:p w:rsidR="005E488D" w:rsidRPr="00384046" w:rsidRDefault="005E488D" w:rsidP="00384046">
      <w:pPr>
        <w:spacing w:line="360" w:lineRule="auto"/>
        <w:rPr>
          <w:rFonts w:ascii="Book Antiqua" w:hAnsi="Book Antiqua" w:cs="Times New Roman"/>
          <w:color w:val="000000" w:themeColor="text1"/>
          <w:sz w:val="24"/>
          <w:szCs w:val="24"/>
        </w:rPr>
      </w:pPr>
    </w:p>
    <w:p w:rsidR="00157D9A" w:rsidRPr="00384046" w:rsidRDefault="00195746" w:rsidP="00384046">
      <w:pPr>
        <w:spacing w:line="360" w:lineRule="auto"/>
        <w:rPr>
          <w:rFonts w:ascii="Book Antiqua" w:hAnsi="Book Antiqua"/>
          <w:sz w:val="24"/>
          <w:szCs w:val="24"/>
        </w:rPr>
      </w:pPr>
      <w:r w:rsidRPr="00384046">
        <w:rPr>
          <w:rFonts w:ascii="Book Antiqua" w:hAnsi="Book Antiqua" w:cs="Times New Roman"/>
          <w:b/>
          <w:color w:val="000000" w:themeColor="text1"/>
          <w:sz w:val="24"/>
          <w:szCs w:val="24"/>
        </w:rPr>
        <w:t xml:space="preserve">Figure 4 Forest plots of </w:t>
      </w:r>
      <w:r w:rsidR="00157D9A" w:rsidRPr="00384046">
        <w:rPr>
          <w:rFonts w:ascii="Book Antiqua" w:eastAsia="SimSun" w:hAnsi="Book Antiqua" w:cs="Times New Roman"/>
          <w:b/>
          <w:sz w:val="24"/>
          <w:szCs w:val="24"/>
        </w:rPr>
        <w:t xml:space="preserve">risk ratio </w:t>
      </w:r>
      <w:r w:rsidRPr="00384046">
        <w:rPr>
          <w:rFonts w:ascii="Book Antiqua" w:hAnsi="Book Antiqua" w:cs="Times New Roman"/>
          <w:b/>
          <w:color w:val="000000" w:themeColor="text1"/>
          <w:sz w:val="24"/>
          <w:szCs w:val="24"/>
        </w:rPr>
        <w:t xml:space="preserve">of </w:t>
      </w:r>
      <w:r w:rsidR="00157D9A" w:rsidRPr="00384046">
        <w:rPr>
          <w:rFonts w:ascii="Book Antiqua" w:hAnsi="Book Antiqua" w:cs="Times New Roman"/>
          <w:b/>
          <w:color w:val="000000" w:themeColor="text1"/>
          <w:sz w:val="24"/>
          <w:szCs w:val="24"/>
        </w:rPr>
        <w:t>objective response rate</w:t>
      </w:r>
      <w:r w:rsidR="00157D9A" w:rsidRPr="00384046">
        <w:rPr>
          <w:rFonts w:ascii="Book Antiqua" w:hAnsi="Book Antiqua"/>
          <w:b/>
          <w:sz w:val="24"/>
          <w:szCs w:val="24"/>
        </w:rPr>
        <w:t xml:space="preserve"> </w:t>
      </w:r>
      <w:r w:rsidRPr="00384046">
        <w:rPr>
          <w:rFonts w:ascii="Book Antiqua" w:hAnsi="Book Antiqua" w:cs="Times New Roman"/>
          <w:b/>
          <w:color w:val="000000" w:themeColor="text1"/>
          <w:sz w:val="24"/>
          <w:szCs w:val="24"/>
        </w:rPr>
        <w:t xml:space="preserve">(A) and </w:t>
      </w:r>
      <w:r w:rsidR="00157D9A" w:rsidRPr="00384046">
        <w:rPr>
          <w:rFonts w:ascii="Book Antiqua" w:hAnsi="Book Antiqua" w:cs="Times New Roman"/>
          <w:b/>
          <w:color w:val="000000" w:themeColor="text1"/>
          <w:sz w:val="24"/>
          <w:szCs w:val="24"/>
        </w:rPr>
        <w:t xml:space="preserve">disease control rate </w:t>
      </w:r>
      <w:r w:rsidRPr="00384046">
        <w:rPr>
          <w:rFonts w:ascii="Book Antiqua" w:hAnsi="Book Antiqua" w:cs="Times New Roman"/>
          <w:b/>
          <w:color w:val="000000" w:themeColor="text1"/>
          <w:sz w:val="24"/>
          <w:szCs w:val="24"/>
        </w:rPr>
        <w:t xml:space="preserve">(B) associated with </w:t>
      </w:r>
      <w:r w:rsidRPr="00384046">
        <w:rPr>
          <w:rFonts w:ascii="Book Antiqua" w:eastAsia="SimSun" w:hAnsi="Book Antiqua" w:cs="Times New Roman"/>
          <w:b/>
          <w:color w:val="000000" w:themeColor="text1"/>
          <w:sz w:val="24"/>
          <w:szCs w:val="24"/>
        </w:rPr>
        <w:t>docetaxel,</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cisplatin,</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vs</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epirubicin, cisplatin, and 5-fluorouracil</w:t>
      </w:r>
      <w:r w:rsidRPr="00384046">
        <w:rPr>
          <w:rFonts w:ascii="Book Antiqua" w:hAnsi="Book Antiqua" w:cs="Times New Roman"/>
          <w:b/>
          <w:color w:val="000000" w:themeColor="text1"/>
          <w:sz w:val="24"/>
          <w:szCs w:val="24"/>
        </w:rPr>
        <w:t xml:space="preserve">. </w:t>
      </w: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sz w:val="24"/>
          <w:szCs w:val="24"/>
        </w:rPr>
        <w:t>Docetaxel,</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cisplatin,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5-fluorouracil.</w:t>
      </w:r>
    </w:p>
    <w:p w:rsidR="00157D9A" w:rsidRPr="00384046" w:rsidRDefault="00157D9A" w:rsidP="00384046">
      <w:pPr>
        <w:spacing w:line="360" w:lineRule="auto"/>
        <w:rPr>
          <w:rFonts w:ascii="Book Antiqua" w:hAnsi="Book Antiqua" w:cs="Times New Roman"/>
          <w:color w:val="000000" w:themeColor="text1"/>
          <w:sz w:val="24"/>
          <w:szCs w:val="24"/>
        </w:rPr>
        <w:sectPr w:rsidR="00157D9A" w:rsidRPr="00384046" w:rsidSect="00EF6FD3">
          <w:pgSz w:w="16838" w:h="11906" w:orient="landscape"/>
          <w:pgMar w:top="1797" w:right="1440" w:bottom="1797" w:left="1440" w:header="851" w:footer="992" w:gutter="0"/>
          <w:cols w:space="425"/>
          <w:docGrid w:type="linesAndChars" w:linePitch="312"/>
        </w:sectPr>
      </w:pP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1C56DC62" wp14:editId="4B51536C">
            <wp:extent cx="3617275" cy="8191500"/>
            <wp:effectExtent l="19050" t="0" r="2225" b="0"/>
            <wp:docPr id="6" name="图片 6" descr="C:\Users\lenovo\Desktop\李博的第一篇论文\world journal of gastroenterology\图\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李博的第一篇论文\world journal of gastroenterology\图\Figure 5.tif"/>
                    <pic:cNvPicPr>
                      <a:picLocks noChangeAspect="1" noChangeArrowheads="1"/>
                    </pic:cNvPicPr>
                  </pic:nvPicPr>
                  <pic:blipFill>
                    <a:blip r:embed="rId14" cstate="print"/>
                    <a:srcRect/>
                    <a:stretch>
                      <a:fillRect/>
                    </a:stretch>
                  </pic:blipFill>
                  <pic:spPr bwMode="auto">
                    <a:xfrm>
                      <a:off x="0" y="0"/>
                      <a:ext cx="3619949" cy="8197555"/>
                    </a:xfrm>
                    <a:prstGeom prst="rect">
                      <a:avLst/>
                    </a:prstGeom>
                    <a:noFill/>
                    <a:ln w="9525">
                      <a:noFill/>
                      <a:miter lim="800000"/>
                      <a:headEnd/>
                      <a:tailEnd/>
                    </a:ln>
                  </pic:spPr>
                </pic:pic>
              </a:graphicData>
            </a:graphic>
          </wp:inline>
        </w:drawing>
      </w:r>
    </w:p>
    <w:p w:rsidR="002C2C66" w:rsidRPr="00384046" w:rsidRDefault="002C2C66" w:rsidP="00384046">
      <w:pPr>
        <w:spacing w:line="360" w:lineRule="auto"/>
        <w:rPr>
          <w:rFonts w:ascii="Book Antiqua" w:hAnsi="Book Antiqua"/>
          <w:sz w:val="24"/>
          <w:szCs w:val="24"/>
        </w:rPr>
      </w:pPr>
      <w:r w:rsidRPr="00384046">
        <w:rPr>
          <w:rFonts w:ascii="Book Antiqua" w:hAnsi="Book Antiqua" w:cs="Times New Roman"/>
          <w:b/>
          <w:color w:val="000000" w:themeColor="text1"/>
          <w:sz w:val="24"/>
          <w:szCs w:val="24"/>
        </w:rPr>
        <w:t xml:space="preserve">Figure 5 Forest plots of </w:t>
      </w:r>
      <w:r w:rsidRPr="00384046">
        <w:rPr>
          <w:rFonts w:ascii="Book Antiqua" w:eastAsia="SimSun" w:hAnsi="Book Antiqua" w:cs="Times New Roman"/>
          <w:b/>
          <w:sz w:val="24"/>
          <w:szCs w:val="24"/>
        </w:rPr>
        <w:t>risk ratio</w:t>
      </w:r>
      <w:r w:rsidRPr="00384046">
        <w:rPr>
          <w:rFonts w:ascii="Book Antiqua" w:hAnsi="Book Antiqua" w:cs="Times New Roman"/>
          <w:b/>
          <w:color w:val="000000" w:themeColor="text1"/>
          <w:sz w:val="24"/>
          <w:szCs w:val="24"/>
        </w:rPr>
        <w:t xml:space="preserve"> of all-grade adverse effects associated with </w:t>
      </w:r>
      <w:r w:rsidRPr="00384046">
        <w:rPr>
          <w:rFonts w:ascii="Book Antiqua" w:eastAsia="SimSun" w:hAnsi="Book Antiqua" w:cs="Times New Roman"/>
          <w:b/>
          <w:color w:val="000000" w:themeColor="text1"/>
          <w:sz w:val="24"/>
          <w:szCs w:val="24"/>
        </w:rPr>
        <w:t>docetaxel,</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cisplatin,</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vs</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 xml:space="preserve">epirubicin, cisplatin, and </w:t>
      </w:r>
      <w:r w:rsidRPr="00384046">
        <w:rPr>
          <w:rFonts w:ascii="Book Antiqua" w:eastAsia="SimSun" w:hAnsi="Book Antiqua" w:cs="Times New Roman"/>
          <w:b/>
          <w:color w:val="000000" w:themeColor="text1"/>
          <w:sz w:val="24"/>
          <w:szCs w:val="24"/>
        </w:rPr>
        <w:lastRenderedPageBreak/>
        <w:t>5-fluorouracil</w:t>
      </w:r>
      <w:r w:rsidRPr="00384046">
        <w:rPr>
          <w:rFonts w:ascii="Book Antiqua" w:hAnsi="Book Antiqua" w:cs="Times New Roman"/>
          <w:b/>
          <w:color w:val="000000" w:themeColor="text1"/>
          <w:sz w:val="24"/>
          <w:szCs w:val="24"/>
        </w:rPr>
        <w:t xml:space="preserve">. </w:t>
      </w: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sz w:val="24"/>
          <w:szCs w:val="24"/>
        </w:rPr>
        <w:t>Docetaxel,</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cisplatin,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5-fluorouracil.</w:t>
      </w:r>
    </w:p>
    <w:p w:rsidR="00BA2E7B" w:rsidRPr="00384046" w:rsidRDefault="00BA2E7B" w:rsidP="00384046">
      <w:pPr>
        <w:widowControl/>
        <w:spacing w:line="360" w:lineRule="auto"/>
        <w:rPr>
          <w:rFonts w:ascii="Book Antiqua" w:eastAsia="SimSun"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br w:type="page"/>
      </w: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09FA3C71" wp14:editId="5FED653C">
            <wp:extent cx="3667125" cy="8375532"/>
            <wp:effectExtent l="19050" t="0" r="9525" b="0"/>
            <wp:docPr id="7" name="图片 7" descr="C:\Users\lenovo\Desktop\李博的第一篇论文\world journal of gastroenterology\图\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李博的第一篇论文\world journal of gastroenterology\图\Figure 6.tif"/>
                    <pic:cNvPicPr>
                      <a:picLocks noChangeAspect="1" noChangeArrowheads="1"/>
                    </pic:cNvPicPr>
                  </pic:nvPicPr>
                  <pic:blipFill>
                    <a:blip r:embed="rId15" cstate="print"/>
                    <a:srcRect/>
                    <a:stretch>
                      <a:fillRect/>
                    </a:stretch>
                  </pic:blipFill>
                  <pic:spPr bwMode="auto">
                    <a:xfrm>
                      <a:off x="0" y="0"/>
                      <a:ext cx="3669375" cy="8380670"/>
                    </a:xfrm>
                    <a:prstGeom prst="rect">
                      <a:avLst/>
                    </a:prstGeom>
                    <a:noFill/>
                    <a:ln w="9525">
                      <a:noFill/>
                      <a:miter lim="800000"/>
                      <a:headEnd/>
                      <a:tailEnd/>
                    </a:ln>
                  </pic:spPr>
                </pic:pic>
              </a:graphicData>
            </a:graphic>
          </wp:inline>
        </w:drawing>
      </w:r>
    </w:p>
    <w:p w:rsidR="00BA2E7B" w:rsidRPr="00384046" w:rsidRDefault="00BA2E7B" w:rsidP="00384046">
      <w:pPr>
        <w:spacing w:line="360" w:lineRule="auto"/>
        <w:rPr>
          <w:rFonts w:ascii="Book Antiqua" w:hAnsi="Book Antiqua" w:cs="Times New Roman"/>
          <w:color w:val="000000" w:themeColor="text1"/>
          <w:sz w:val="24"/>
          <w:szCs w:val="24"/>
        </w:rPr>
      </w:pPr>
    </w:p>
    <w:p w:rsidR="00BA2E7B" w:rsidRPr="00384046" w:rsidRDefault="00BA2E7B" w:rsidP="00384046">
      <w:pPr>
        <w:spacing w:line="360" w:lineRule="auto"/>
        <w:rPr>
          <w:rFonts w:ascii="Book Antiqua" w:hAnsi="Book Antiqua"/>
          <w:sz w:val="24"/>
          <w:szCs w:val="24"/>
        </w:rPr>
      </w:pPr>
      <w:r w:rsidRPr="00384046">
        <w:rPr>
          <w:rFonts w:ascii="Book Antiqua" w:eastAsia="SimSun" w:hAnsi="Book Antiqua" w:cs="Times New Roman"/>
          <w:b/>
          <w:color w:val="000000" w:themeColor="text1"/>
          <w:sz w:val="24"/>
          <w:szCs w:val="24"/>
        </w:rPr>
        <w:lastRenderedPageBreak/>
        <w:t>Figure 6</w:t>
      </w:r>
      <w:r w:rsidRPr="00384046">
        <w:rPr>
          <w:rFonts w:ascii="Book Antiqua" w:hAnsi="Book Antiqua" w:cs="Times New Roman"/>
          <w:b/>
          <w:color w:val="000000" w:themeColor="text1"/>
          <w:sz w:val="24"/>
          <w:szCs w:val="24"/>
        </w:rPr>
        <w:t xml:space="preserve"> Forest plots of </w:t>
      </w:r>
      <w:r w:rsidRPr="00384046">
        <w:rPr>
          <w:rFonts w:ascii="Book Antiqua" w:eastAsia="SimSun" w:hAnsi="Book Antiqua" w:cs="Times New Roman"/>
          <w:b/>
          <w:sz w:val="24"/>
          <w:szCs w:val="24"/>
        </w:rPr>
        <w:t>risk ratio</w:t>
      </w:r>
      <w:r w:rsidRPr="00384046">
        <w:rPr>
          <w:rFonts w:ascii="Book Antiqua" w:hAnsi="Book Antiqua" w:cs="Times New Roman"/>
          <w:b/>
          <w:color w:val="000000" w:themeColor="text1"/>
          <w:sz w:val="24"/>
          <w:szCs w:val="24"/>
        </w:rPr>
        <w:t xml:space="preserve"> of grade 3-4 adverse effects associated with </w:t>
      </w:r>
      <w:r w:rsidRPr="00384046">
        <w:rPr>
          <w:rFonts w:ascii="Book Antiqua" w:eastAsia="SimSun" w:hAnsi="Book Antiqua" w:cs="Times New Roman"/>
          <w:b/>
          <w:color w:val="000000" w:themeColor="text1"/>
          <w:sz w:val="24"/>
          <w:szCs w:val="24"/>
        </w:rPr>
        <w:t>docetaxel,</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cisplatin,</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vs</w:t>
      </w:r>
      <w:r w:rsidRPr="00384046">
        <w:rPr>
          <w:rFonts w:ascii="Book Antiqua" w:hAnsi="Book Antiqua" w:cs="Times New Roman"/>
          <w:b/>
          <w:color w:val="000000" w:themeColor="text1"/>
          <w:sz w:val="24"/>
          <w:szCs w:val="24"/>
        </w:rPr>
        <w:t xml:space="preserve"> </w:t>
      </w:r>
      <w:r w:rsidRPr="00384046">
        <w:rPr>
          <w:rFonts w:ascii="Book Antiqua" w:eastAsia="SimSun" w:hAnsi="Book Antiqua" w:cs="Times New Roman"/>
          <w:b/>
          <w:color w:val="000000" w:themeColor="text1"/>
          <w:sz w:val="24"/>
          <w:szCs w:val="24"/>
        </w:rPr>
        <w:t>epirubicin, cisplatin, and 5-fluorouracil</w:t>
      </w:r>
      <w:r w:rsidRPr="00384046">
        <w:rPr>
          <w:rFonts w:ascii="Book Antiqua" w:hAnsi="Book Antiqua" w:cs="Times New Roman"/>
          <w:b/>
          <w:color w:val="000000" w:themeColor="text1"/>
          <w:sz w:val="24"/>
          <w:szCs w:val="24"/>
        </w:rPr>
        <w:t xml:space="preserve">. </w:t>
      </w:r>
      <w:r w:rsidRPr="00384046">
        <w:rPr>
          <w:rFonts w:ascii="Book Antiqua" w:hAnsi="Book Antiqua" w:cs="Times New Roman"/>
          <w:color w:val="000000" w:themeColor="text1"/>
          <w:sz w:val="24"/>
          <w:szCs w:val="24"/>
        </w:rPr>
        <w:t xml:space="preserve">ECF: </w:t>
      </w:r>
      <w:r w:rsidRPr="00384046">
        <w:rPr>
          <w:rFonts w:ascii="Book Antiqua" w:eastAsia="SimSun" w:hAnsi="Book Antiqua" w:cs="Times New Roman"/>
          <w:color w:val="000000" w:themeColor="text1"/>
          <w:sz w:val="24"/>
          <w:szCs w:val="24"/>
        </w:rPr>
        <w:t xml:space="preserve">Epirubicin, cisplatin, and 5-fluorouracil; </w:t>
      </w:r>
      <w:r w:rsidRPr="00384046">
        <w:rPr>
          <w:rFonts w:ascii="Book Antiqua" w:hAnsi="Book Antiqua" w:cs="Times New Roman"/>
          <w:color w:val="000000" w:themeColor="text1"/>
          <w:sz w:val="24"/>
          <w:szCs w:val="24"/>
        </w:rPr>
        <w:t xml:space="preserve">DCF: </w:t>
      </w:r>
      <w:r w:rsidRPr="00384046">
        <w:rPr>
          <w:rFonts w:ascii="Book Antiqua" w:eastAsia="SimSun" w:hAnsi="Book Antiqua" w:cs="Times New Roman"/>
          <w:color w:val="000000" w:themeColor="text1"/>
          <w:sz w:val="24"/>
          <w:szCs w:val="24"/>
        </w:rPr>
        <w:t>Docetaxel,</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cisplatin,</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SimSun" w:hAnsi="Book Antiqua" w:cs="Times New Roman"/>
          <w:color w:val="000000" w:themeColor="text1"/>
          <w:sz w:val="24"/>
          <w:szCs w:val="24"/>
        </w:rPr>
        <w:t>5-fluorouracil.</w:t>
      </w:r>
    </w:p>
    <w:p w:rsidR="00BA2E7B" w:rsidRPr="00384046" w:rsidRDefault="00BA2E7B" w:rsidP="00384046">
      <w:pPr>
        <w:spacing w:line="360" w:lineRule="auto"/>
        <w:rPr>
          <w:rFonts w:ascii="Book Antiqua" w:hAnsi="Book Antiqua" w:cs="Times New Roman"/>
          <w:color w:val="000000" w:themeColor="text1"/>
          <w:sz w:val="24"/>
          <w:szCs w:val="24"/>
        </w:rPr>
      </w:pPr>
    </w:p>
    <w:p w:rsidR="00BA2E7B" w:rsidRPr="00384046" w:rsidRDefault="00BA2E7B" w:rsidP="00384046">
      <w:pPr>
        <w:spacing w:line="360" w:lineRule="auto"/>
        <w:rPr>
          <w:rFonts w:ascii="Book Antiqua" w:hAnsi="Book Antiqua" w:cs="Times New Roman"/>
          <w:color w:val="000000" w:themeColor="text1"/>
          <w:sz w:val="24"/>
          <w:szCs w:val="24"/>
        </w:rPr>
        <w:sectPr w:rsidR="00BA2E7B" w:rsidRPr="00384046" w:rsidSect="00161541">
          <w:pgSz w:w="11906" w:h="16838"/>
          <w:pgMar w:top="1440" w:right="1797" w:bottom="1440" w:left="1797" w:header="851" w:footer="992" w:gutter="0"/>
          <w:cols w:space="425"/>
          <w:docGrid w:type="lines" w:linePitch="312"/>
        </w:sectPr>
      </w:pPr>
    </w:p>
    <w:p w:rsidR="002A1083" w:rsidRPr="00384046" w:rsidRDefault="002A1083" w:rsidP="00384046">
      <w:pPr>
        <w:spacing w:line="360" w:lineRule="auto"/>
        <w:rPr>
          <w:rFonts w:ascii="Book Antiqua" w:hAnsi="Book Antiqua" w:cs="Times New Roman"/>
          <w:color w:val="000000" w:themeColor="text1"/>
          <w:sz w:val="24"/>
          <w:szCs w:val="24"/>
        </w:rPr>
      </w:pP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drawing>
          <wp:inline distT="0" distB="0" distL="0" distR="0" wp14:anchorId="315192C1" wp14:editId="2177B56E">
            <wp:extent cx="8863330" cy="2980490"/>
            <wp:effectExtent l="19050" t="0" r="0" b="0"/>
            <wp:docPr id="8" name="图片 8" descr="C:\Users\lenovo\Desktop\李博的第一篇论文\world journal of gastroenterology\图\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李博的第一篇论文\world journal of gastroenterology\图\Figure 7.tif"/>
                    <pic:cNvPicPr>
                      <a:picLocks noChangeAspect="1" noChangeArrowheads="1"/>
                    </pic:cNvPicPr>
                  </pic:nvPicPr>
                  <pic:blipFill>
                    <a:blip r:embed="rId16" cstate="print"/>
                    <a:srcRect/>
                    <a:stretch>
                      <a:fillRect/>
                    </a:stretch>
                  </pic:blipFill>
                  <pic:spPr bwMode="auto">
                    <a:xfrm>
                      <a:off x="0" y="0"/>
                      <a:ext cx="8863330" cy="2980490"/>
                    </a:xfrm>
                    <a:prstGeom prst="rect">
                      <a:avLst/>
                    </a:prstGeom>
                    <a:noFill/>
                    <a:ln w="9525">
                      <a:noFill/>
                      <a:miter lim="800000"/>
                      <a:headEnd/>
                      <a:tailEnd/>
                    </a:ln>
                  </pic:spPr>
                </pic:pic>
              </a:graphicData>
            </a:graphic>
          </wp:inline>
        </w:drawing>
      </w:r>
    </w:p>
    <w:p w:rsidR="005E488D" w:rsidRPr="00384046" w:rsidRDefault="00BA2E7B" w:rsidP="00384046">
      <w:pPr>
        <w:spacing w:line="360" w:lineRule="auto"/>
        <w:rPr>
          <w:rFonts w:ascii="Book Antiqua" w:hAnsi="Book Antiqua" w:cs="Times New Roman"/>
          <w:b/>
          <w:color w:val="000000" w:themeColor="text1"/>
          <w:sz w:val="24"/>
          <w:szCs w:val="24"/>
        </w:rPr>
      </w:pPr>
      <w:r w:rsidRPr="00384046">
        <w:rPr>
          <w:rFonts w:ascii="Book Antiqua" w:eastAsia="SimSun" w:hAnsi="Book Antiqua" w:cs="Times New Roman"/>
          <w:b/>
          <w:color w:val="000000" w:themeColor="text1"/>
          <w:sz w:val="24"/>
          <w:szCs w:val="24"/>
        </w:rPr>
        <w:t>Figure 7</w:t>
      </w:r>
      <w:r w:rsidRPr="00384046">
        <w:rPr>
          <w:rFonts w:ascii="Book Antiqua" w:hAnsi="Book Antiqua" w:cs="Times New Roman"/>
          <w:b/>
          <w:color w:val="000000" w:themeColor="text1"/>
          <w:sz w:val="24"/>
          <w:szCs w:val="24"/>
        </w:rPr>
        <w:t xml:space="preserve"> Meta-based influence analysis for comparisons of objective response rate (A), total adverse effects (B) and grade 3-4 adverse effects (C).</w:t>
      </w:r>
    </w:p>
    <w:p w:rsidR="0003729E" w:rsidRPr="00384046" w:rsidRDefault="0003729E"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br w:type="page"/>
      </w:r>
    </w:p>
    <w:p w:rsidR="00111D54"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08780319" wp14:editId="7F1B8A27">
            <wp:extent cx="8863330" cy="2422956"/>
            <wp:effectExtent l="19050" t="0" r="0" b="0"/>
            <wp:docPr id="9" name="图片 9" descr="C:\Users\lenovo\Desktop\李博的第一篇论文\world journal of gastroenterology\图\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李博的第一篇论文\world journal of gastroenterology\图\Figure 8.tif"/>
                    <pic:cNvPicPr>
                      <a:picLocks noChangeAspect="1" noChangeArrowheads="1"/>
                    </pic:cNvPicPr>
                  </pic:nvPicPr>
                  <pic:blipFill>
                    <a:blip r:embed="rId17" cstate="print"/>
                    <a:srcRect/>
                    <a:stretch>
                      <a:fillRect/>
                    </a:stretch>
                  </pic:blipFill>
                  <pic:spPr bwMode="auto">
                    <a:xfrm>
                      <a:off x="0" y="0"/>
                      <a:ext cx="8863330" cy="2422956"/>
                    </a:xfrm>
                    <a:prstGeom prst="rect">
                      <a:avLst/>
                    </a:prstGeom>
                    <a:noFill/>
                    <a:ln w="9525">
                      <a:noFill/>
                      <a:miter lim="800000"/>
                      <a:headEnd/>
                      <a:tailEnd/>
                    </a:ln>
                  </pic:spPr>
                </pic:pic>
              </a:graphicData>
            </a:graphic>
          </wp:inline>
        </w:drawing>
      </w:r>
    </w:p>
    <w:p w:rsidR="0003729E" w:rsidRPr="00384046" w:rsidRDefault="0003729E" w:rsidP="00384046">
      <w:pPr>
        <w:spacing w:line="360" w:lineRule="auto"/>
        <w:rPr>
          <w:rFonts w:ascii="Book Antiqua" w:hAnsi="Book Antiqua" w:cs="Times New Roman"/>
          <w:b/>
          <w:color w:val="000000" w:themeColor="text1"/>
          <w:kern w:val="0"/>
          <w:sz w:val="24"/>
          <w:szCs w:val="24"/>
        </w:rPr>
      </w:pPr>
      <w:r w:rsidRPr="00384046">
        <w:rPr>
          <w:rFonts w:ascii="Book Antiqua" w:eastAsia="SimSun" w:hAnsi="Book Antiqua" w:cs="Times New Roman"/>
          <w:b/>
          <w:color w:val="000000" w:themeColor="text1"/>
          <w:sz w:val="24"/>
          <w:szCs w:val="24"/>
        </w:rPr>
        <w:t>Figure 8</w:t>
      </w:r>
      <w:r w:rsidRPr="00384046">
        <w:rPr>
          <w:rFonts w:ascii="Book Antiqua" w:hAnsi="Book Antiqua" w:cs="Times New Roman"/>
          <w:b/>
          <w:color w:val="000000" w:themeColor="text1"/>
          <w:sz w:val="24"/>
          <w:szCs w:val="24"/>
        </w:rPr>
        <w:t xml:space="preserve"> Begg’s and Egger’s tests for comparisons of objective response rate (A), progression-free survival</w:t>
      </w:r>
      <w:r w:rsidRPr="00384046">
        <w:rPr>
          <w:rFonts w:ascii="Book Antiqua" w:hAnsi="Book Antiqua" w:cs="Times New Roman"/>
          <w:b/>
          <w:color w:val="000000" w:themeColor="text1"/>
          <w:kern w:val="0"/>
          <w:sz w:val="24"/>
          <w:szCs w:val="24"/>
        </w:rPr>
        <w:t xml:space="preserve"> (</w:t>
      </w:r>
      <w:r w:rsidRPr="00384046">
        <w:rPr>
          <w:rFonts w:ascii="Book Antiqua" w:hAnsi="Book Antiqua" w:cs="Times New Roman"/>
          <w:b/>
          <w:color w:val="000000" w:themeColor="text1"/>
          <w:sz w:val="24"/>
          <w:szCs w:val="24"/>
        </w:rPr>
        <w:t>B</w:t>
      </w:r>
      <w:r w:rsidRPr="00384046">
        <w:rPr>
          <w:rFonts w:ascii="Book Antiqua" w:hAnsi="Book Antiqua" w:cs="Times New Roman"/>
          <w:b/>
          <w:color w:val="000000" w:themeColor="text1"/>
          <w:kern w:val="0"/>
          <w:sz w:val="24"/>
          <w:szCs w:val="24"/>
        </w:rPr>
        <w:t xml:space="preserve">) and </w:t>
      </w:r>
      <w:r w:rsidRPr="00384046">
        <w:rPr>
          <w:rFonts w:ascii="Book Antiqua" w:hAnsi="Book Antiqua" w:cs="Times New Roman"/>
          <w:b/>
          <w:color w:val="000000" w:themeColor="text1"/>
          <w:sz w:val="24"/>
          <w:szCs w:val="24"/>
        </w:rPr>
        <w:t>overall survival</w:t>
      </w:r>
      <w:r w:rsidRPr="00384046">
        <w:rPr>
          <w:rFonts w:ascii="Book Antiqua" w:hAnsi="Book Antiqua" w:cs="Times New Roman"/>
          <w:b/>
          <w:color w:val="000000" w:themeColor="text1"/>
          <w:kern w:val="0"/>
          <w:sz w:val="24"/>
          <w:szCs w:val="24"/>
        </w:rPr>
        <w:t xml:space="preserve"> (</w:t>
      </w:r>
      <w:r w:rsidRPr="00384046">
        <w:rPr>
          <w:rFonts w:ascii="Book Antiqua" w:hAnsi="Book Antiqua" w:cs="Times New Roman"/>
          <w:b/>
          <w:color w:val="000000" w:themeColor="text1"/>
          <w:sz w:val="24"/>
          <w:szCs w:val="24"/>
        </w:rPr>
        <w:t>C</w:t>
      </w:r>
      <w:r w:rsidRPr="00384046">
        <w:rPr>
          <w:rFonts w:ascii="Book Antiqua" w:hAnsi="Book Antiqua" w:cs="Times New Roman"/>
          <w:b/>
          <w:color w:val="000000" w:themeColor="text1"/>
          <w:kern w:val="0"/>
          <w:sz w:val="24"/>
          <w:szCs w:val="24"/>
        </w:rPr>
        <w:t>).</w:t>
      </w:r>
      <w:bookmarkStart w:id="15" w:name="_GoBack"/>
      <w:bookmarkEnd w:id="15"/>
    </w:p>
    <w:p w:rsidR="0003729E" w:rsidRPr="00384046" w:rsidRDefault="0003729E" w:rsidP="00384046">
      <w:pPr>
        <w:spacing w:line="360" w:lineRule="auto"/>
        <w:rPr>
          <w:rFonts w:ascii="Book Antiqua" w:hAnsi="Book Antiqua" w:cs="Times New Roman"/>
          <w:color w:val="000000" w:themeColor="text1"/>
          <w:sz w:val="24"/>
          <w:szCs w:val="24"/>
        </w:rPr>
      </w:pPr>
    </w:p>
    <w:sectPr w:rsidR="0003729E" w:rsidRPr="00384046" w:rsidSect="00BA2E7B">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594" w:rsidRDefault="00335594" w:rsidP="00C9440B">
      <w:r>
        <w:separator/>
      </w:r>
    </w:p>
  </w:endnote>
  <w:endnote w:type="continuationSeparator" w:id="0">
    <w:p w:rsidR="00335594" w:rsidRDefault="00335594" w:rsidP="00C94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080"/>
      <w:docPartObj>
        <w:docPartGallery w:val="Page Numbers (Bottom of Page)"/>
        <w:docPartUnique/>
      </w:docPartObj>
    </w:sdtPr>
    <w:sdtEndPr/>
    <w:sdtContent>
      <w:p w:rsidR="00C87D98" w:rsidRDefault="00C87D98" w:rsidP="00DB615F">
        <w:pPr>
          <w:pStyle w:val="Footer"/>
          <w:jc w:val="center"/>
        </w:pPr>
        <w:r>
          <w:fldChar w:fldCharType="begin"/>
        </w:r>
        <w:r>
          <w:instrText>PAGE   \* MERGEFORMAT</w:instrText>
        </w:r>
        <w:r>
          <w:fldChar w:fldCharType="separate"/>
        </w:r>
        <w:r w:rsidR="006B42DA" w:rsidRPr="006B42DA">
          <w:rPr>
            <w:noProof/>
            <w:lang w:val="zh-CN"/>
          </w:rPr>
          <w:t>1</w:t>
        </w:r>
        <w:r>
          <w:rPr>
            <w:noProof/>
            <w:lang w:val="zh-C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98" w:rsidRDefault="00C87D98" w:rsidP="00620CBB">
    <w:pPr>
      <w:pStyle w:val="Footer"/>
      <w:jc w:val="center"/>
    </w:pPr>
    <w:r>
      <w:fldChar w:fldCharType="begin"/>
    </w:r>
    <w:r>
      <w:instrText xml:space="preserve"> PAGE   \* MERGEFORMAT </w:instrText>
    </w:r>
    <w:r>
      <w:fldChar w:fldCharType="separate"/>
    </w:r>
    <w:r w:rsidR="006B42DA" w:rsidRPr="006B42DA">
      <w:rPr>
        <w:noProof/>
        <w:lang w:val="zh-CN"/>
      </w:rPr>
      <w:t>20</w:t>
    </w:r>
    <w:r>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594" w:rsidRDefault="00335594" w:rsidP="00C9440B">
      <w:r>
        <w:separator/>
      </w:r>
    </w:p>
  </w:footnote>
  <w:footnote w:type="continuationSeparator" w:id="0">
    <w:p w:rsidR="00335594" w:rsidRDefault="00335594" w:rsidP="00C94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98" w:rsidRDefault="00C87D98" w:rsidP="00620CB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7D98" w:rsidRDefault="00C87D98" w:rsidP="00620CB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118BE"/>
    <w:multiLevelType w:val="hybridMultilevel"/>
    <w:tmpl w:val="B4EEBFFA"/>
    <w:lvl w:ilvl="0" w:tplc="F61E86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10D1727"/>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2C77EBA7-75EB-46D2-9B4E-0C6396FA983A}" w:val=" ADDIN NE.Ref.{2C77EBA7-75EB-46D2-9B4E-0C6396FA983A}&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Citation&gt;_x000a_"/>
    <w:docVar w:name="NE.Ref{4137861F-DB6F-414A-9DB8-A30C0E6DE9CE}" w:val=" ADDIN NE.Ref.{4137861F-DB6F-414A-9DB8-A30C0E6DE9CE}&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Group&gt;&lt;References&gt;&lt;Item&gt;&lt;ID&gt;1290&lt;/ID&gt;&lt;UID&gt;{99AD8C96-906D-4046-A831-30D50D191516}&lt;/UID&gt;&lt;Title&gt;Efficacy and safety of docetaxel or epirubicin, combined with cisplatin and fluorouracil (DCF and ECF), regimens as first line chemotherapy for advanced gastric cancer: a retrospective analysis from Turkey&lt;/Title&gt;&lt;Template&gt;Journal Article&lt;/Template&gt;&lt;Star&gt;1&lt;/Star&gt;&lt;Tag&gt;1&lt;/Tag&gt;&lt;Author&gt;Teker, F; Yilmaz, B; Kemal, Y; Kut, E; Yucel, I&lt;/Author&gt;&lt;Year&gt;2014&lt;/Year&gt;&lt;Details&gt;&lt;_accession_num&gt;25169516&lt;/_accession_num&gt;&lt;_author_adr&gt;Department of Medical Oncology, Medical School, 19 Mayis University, Samsun, Turkey E-mail : fthtkr@gmail.com.&lt;/_author_adr&gt;&lt;_created&gt;62269436&lt;/_created&gt;&lt;_date&gt;2014-01-20&lt;/_date&gt;&lt;_date_display&gt;2014&lt;/_date_display&gt;&lt;_isbn&gt;2476-762X (Electronic); 1513-7368 (Linking)&lt;/_isbn&gt;&lt;_issue&gt;16&lt;/_issue&gt;&lt;_journal&gt;Asian Pac J Cancer Prev&lt;/_journal&gt;&lt;_keywords&gt;Adult; Aged; Antineoplastic Combined Chemotherapy Protocols/adverse effects/therapeutic use; Cisplatin/adverse effects/*therapeutic use; Disease-Free Survival; Epirubicin/adverse effects/*therapeutic use; Female; Fluorouracil/adverse effects/*therapeutic use; Humans; Male; Middle Aged; Retrospective Studies; Stomach Neoplasms/*drug therapy; Survival Rate; Taxoids/adverse effects/*therapeutic use; Treatment Outcome; Turkey&lt;/_keywords&gt;&lt;_language&gt;eng&lt;/_language&gt;&lt;_modified&gt;62269448&lt;/_modified&gt;&lt;_pages&gt;6727-32&lt;/_pages&gt;&lt;_tertiary_title&gt;Asian Pacific journal of cancer prevention : APJCP&lt;/_tertiary_title&gt;&lt;_type_work&gt;Clinical Trial; Comparative Study; Journal Article; Research Support, Non-U.S. Gov&amp;apos;t&lt;/_type_work&gt;&lt;_url&gt;http://www.ncbi.nlm.nih.gov/entrez/query.fcgi?cmd=Retrieve&amp;amp;db=pubmed&amp;amp;dopt=Abstract&amp;amp;list_uids=25169516&amp;amp;query_hl=1&lt;/_url&gt;&lt;_volume&gt;15&lt;/_volume&gt;&lt;/Details&gt;&lt;Extra&gt;&lt;DBUID&gt;{F96A950B-833F-4880-A151-76DA2D6A2879}&lt;/DBUID&gt;&lt;/Extra&gt;&lt;/Item&gt;&lt;/References&gt;&lt;/Group&gt;&lt;Group&gt;&lt;References&gt;&lt;Item&gt;&lt;ID&gt;1311&lt;/ID&gt;&lt;UID&gt;{24BD68E6-7306-46FE-98EB-F481415067B1}&lt;/UID&gt;&lt;Title&gt;The first line systemic chemotherapy in metastatic gastric carcinoma: A comparison of docetaxel, cisplatin and fluorouracil (DCF) versus cisplatin and fluorouracil (CF); versus epirubicin, cisplatin and fluorouracil (ECF) regimens in clinical setting&lt;/Title&gt;&lt;Template&gt;Journal Article&lt;/Template&gt;&lt;Star&gt;1&lt;/Star&gt;&lt;Tag&gt;1&lt;/Tag&gt;&lt;Author&gt;Kilickap, S; Yalcin, S; Ates, O; Tekuzman, G&lt;/Author&gt;&lt;Year&gt;2011&lt;/Year&gt;&lt;Details&gt;&lt;_accession_num&gt;21510316&lt;/_accession_num&gt;&lt;_author_adr&gt;Hacettepe University Institute of Oncology, Department of Medical Oncology, Ankara, Turkey.&lt;/_author_adr&gt;&lt;_created&gt;62269436&lt;/_created&gt;&lt;_date&gt;2011-01-01&lt;/_date&gt;&lt;_date_display&gt;2011 Jan-Feb&lt;/_date_display&gt;&lt;_isbn&gt;0172-6390 (Print); 0172-6390 (Linking)&lt;/_isbn&gt;&lt;_issue&gt;105&lt;/_issue&gt;&lt;_journal&gt;Hepatogastroenterology&lt;/_journal&gt;&lt;_keywords&gt;Adenocarcinoma/*drug therapy/pathology; Adolescent; Adult; Aged; Antineoplastic Combined Chemotherapy Protocols/adverse effects/*therapeutic use; Cisplatin/administration &amp;amp; dosage; Epirubicin/administration &amp;amp; dosage; Female; Fluorouracil/administration &amp;amp; dosage; Humans; Male; Middle Aged; Neoplasm Staging; Statistics, Nonparametric; Stomach Neoplasms/*drug therapy/pathology; Survival Rate; Taxoids/administration &amp;amp; dosage; Treatment Outcome&lt;/_keywords&gt;&lt;_language&gt;eng&lt;/_language&gt;&lt;_modified&gt;62269448&lt;/_modified&gt;&lt;_pages&gt;208-12&lt;/_pages&gt;&lt;_tertiary_title&gt;Hepato-gastroenterology&lt;/_tertiary_title&gt;&lt;_type_work&gt;Comparative Study; Journal Article&lt;/_type_work&gt;&lt;_url&gt;http://www.ncbi.nlm.nih.gov/entrez/query.fcgi?cmd=Retrieve&amp;amp;db=pubmed&amp;amp;dopt=Abstract&amp;amp;list_uids=21510316&amp;amp;query_hl=1&lt;/_url&gt;&lt;_volume&gt;58&lt;/_volume&gt;&lt;/Details&gt;&lt;Extra&gt;&lt;DBUID&gt;{F96A950B-833F-4880-A151-76DA2D6A2879}&lt;/DBUID&gt;&lt;/Extra&gt;&lt;/Item&gt;&lt;/References&gt;&lt;/Group&gt;&lt;Group&gt;&lt;References&gt;&lt;Item&gt;&lt;ID&gt;1330&lt;/ID&gt;&lt;UID&gt;{208B514A-3C90-469F-8C01-20E0B57F7498}&lt;/UID&gt;&lt;Title&gt;Docetaxel, cisplatin, and fluorouracil; docetaxel and cisplatin; and epirubicin,  cisplatin, and fluorouracil as systemic treatment for advanced gastric carcinoma: a randomized phase II trial of the Swiss Group for Clinical Cancer Research&lt;/Title&gt;&lt;Template&gt;Journal Article&lt;/Template&gt;&lt;Star&gt;1&lt;/Star&gt;&lt;Tag&gt;1&lt;/Tag&gt;&lt;Author&gt;Roth, A D; Fazio, N; Stupp, R; Falk, S; Bernhard, J; Saletti, P; Koberle, D; Borner, M M; Rufibach, K; Maibach, R; Wernli, M; Leslie, M; Glynne-Jones, R; Widmer, L; Seymour, M; de Braud, F&lt;/Author&gt;&lt;Year&gt;2007&lt;/Year&gt;&lt;Details&gt;&lt;_accession_num&gt;17664469&lt;/_accession_num&gt;&lt;_author_adr&gt;Department of Oncosurgery, Oncosurgery Unit, Geneva University Hospital, Geneva 14, Switzerland. arnaud.roth@sim.hcuge.ch&lt;/_author_adr&gt;&lt;_collection_scope&gt;SCI;SCIE;&lt;/_collection_scope&gt;&lt;_created&gt;62269436&lt;/_created&gt;&lt;_date&gt;2007-08-01&lt;/_date&gt;&lt;_date_display&gt;2007 Aug 1&lt;/_date_display&gt;&lt;_doi&gt;10.1200/JCO.2006.08.0135&lt;/_doi&gt;&lt;_impact_factor&gt;  26.303&lt;/_impact_factor&gt;&lt;_isbn&gt;1527-7755 (Electronic); 0732-183X (Linking)&lt;/_isbn&gt;&lt;_issue&gt;22&lt;/_issue&gt;&lt;_journal&gt;J Clin Oncol&lt;/_journal&gt;&lt;_keywords&gt;Adenocarcinoma/*drug therapy/pathology; Adult; Aged; Antineoplastic Combined Chemotherapy Protocols/adverse effects/*therapeutic use; Cisplatin/administration &amp;amp; dosage; Epirubicin/administration &amp;amp; dosage; Female; Fluorouracil/administration &amp;amp; dosage; Humans; Male; Middle Aged; *Quality of Life; Stomach Neoplasms/*drug therapy/pathology; Taxoids/administration &amp;amp; dosage; Treatment Outcome&lt;/_keywords&gt;&lt;_language&gt;eng&lt;/_language&gt;&lt;_modified&gt;62269448&lt;/_modified&gt;&lt;_pages&gt;3217-23&lt;/_pages&gt;&lt;_tertiary_title&gt;Journal of clinical oncology : official journal of the American Society of_x000d__x000a_      Clinical Oncology&lt;/_tertiary_title&gt;&lt;_type_work&gt;Clinical Trial, Phase II; Journal Article; Multicenter Study; Randomized Controlled Trial; Research Support, Non-U.S. Gov&amp;apos;t&lt;/_type_work&gt;&lt;_url&gt;http://www.ncbi.nlm.nih.gov/entrez/query.fcgi?cmd=Retrieve&amp;amp;db=pubmed&amp;amp;dopt=Abstract&amp;amp;list_uids=17664469&amp;amp;query_hl=1&lt;/_url&gt;&lt;_volume&gt;25&lt;/_volume&gt;&lt;/Details&gt;&lt;Extra&gt;&lt;DBUID&gt;{F96A950B-833F-4880-A151-76DA2D6A2879}&lt;/DBUID&gt;&lt;/Extra&gt;&lt;/Item&gt;&lt;/References&gt;&lt;/Group&gt;&lt;Group&gt;&lt;References&gt;&lt;Item&gt;&lt;ID&gt;1335&lt;/ID&gt;&lt;UID&gt;{B591C7D3-C20D-47CD-8BAD-4A9D9D745364}&lt;/UID&gt;&lt;Title&gt;Quality of life in patients with advanced gastric cancer: a randomized trial comparing docetaxel, cisplatin, 5-FU (TCF) with epirubicin, cisplatin, 5-FU (ECF)&lt;/Title&gt;&lt;Template&gt;Journal Article&lt;/Template&gt;&lt;Star&gt;1&lt;/Star&gt;&lt;Tag&gt;1&lt;/Tag&gt;&lt;Author&gt;Sadighi, S; Mohagheghi, M A; Montazeri, A; Sadighi, Z&lt;/Author&gt;&lt;Year&gt;2006&lt;/Year&gt;&lt;Details&gt;&lt;_accession_num&gt;17147808&lt;/_accession_num&gt;&lt;_author_adr&gt;Cancer Research Center, Cancer Institute, Imam Hospital, Tehran University of Medical Sciences, Tehran, Iran. ssadighi@doctor.com &amp;lt;ssadighi@doctor.com&amp;gt;&lt;/_author_adr&gt;&lt;_collection_scope&gt;SCIE;&lt;/_collection_scope&gt;&lt;_created&gt;62269436&lt;/_created&gt;&lt;_date&gt;2006-12-05&lt;/_date&gt;&lt;_date_display&gt;2006 Dec 5&lt;/_date_display&gt;&lt;_doi&gt;10.1186/1471-2407-6-274&lt;/_doi&gt;&lt;_impact_factor&gt;   3.288&lt;/_impact_factor&gt;&lt;_isbn&gt;1471-2407 (Electronic); 1471-2407 (Linking)&lt;/_isbn&gt;&lt;_journal&gt;BMC Cancer&lt;/_journal&gt;&lt;_keywords&gt;Adenocarcinoma/*drug therapy/physiopathology/psychology; Antineoplastic Combined Chemotherapy Protocols/administration &amp;amp;_x000d__x000a_      dosage/*therapeutic use; Cisplatin/administration &amp;amp; dosage; Disease-Free Survival; Epirubicin/administration &amp;amp; dosage; Female; Fluorouracil/administration &amp;amp; dosage; Humans; Male; Middle Aged; Neoplasm Recurrence, Local/drug therapy; Quality of Life; Stomach Neoplasms/*drug therapy/physiopathology/psychology; Survival Rate; Taxoids/administration &amp;amp; dosage&lt;/_keywords&gt;&lt;_language&gt;eng&lt;/_language&gt;&lt;_modified&gt;62269448&lt;/_modified&gt;&lt;_pages&gt;274&lt;/_pages&gt;&lt;_tertiary_title&gt;BMC cancer&lt;/_tertiary_title&gt;&lt;_type_work&gt;Comparative Study; Journal Article; Randomized Controlled Trial; Research Support, Non-U.S. Gov&amp;apos;t&lt;/_type_work&gt;&lt;_url&gt;http://www.ncbi.nlm.nih.gov/entrez/query.fcgi?cmd=Retrieve&amp;amp;db=pubmed&amp;amp;dopt=Abstract&amp;amp;list_uids=17147808&amp;amp;query_hl=1&lt;/_url&gt;&lt;_volume&gt;6&lt;/_volume&gt;&lt;/Details&gt;&lt;Extra&gt;&lt;DBUID&gt;{F96A950B-833F-4880-A151-76DA2D6A2879}&lt;/DBUID&gt;&lt;/Extra&gt;&lt;/Item&gt;&lt;/References&gt;&lt;/Group&gt;&lt;/Citation&gt;_x000a_"/>
    <w:docVar w:name="NE.Ref{57846D2A-9B14-4F68-A57D-7EB77A2D330F}" w:val=" ADDIN NE.Ref.{57846D2A-9B14-4F68-A57D-7EB77A2D330F}&lt;Citation&gt;&lt;Group&gt;&lt;References&gt;&lt;Item&gt;&lt;ID&gt;2452&lt;/ID&gt;&lt;UID&gt;{8ED3514A-44C6-4436-8C01-6D08401707EA}&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2381779&lt;/_created&gt;&lt;_modified&gt;62381784&lt;/_modified&gt;&lt;_impact_factor&gt; 244.585&lt;/_impact_factor&gt;&lt;/Details&gt;&lt;Extra&gt;&lt;DBUID&gt;{F96A950B-833F-4880-A151-76DA2D6A2879}&lt;/DBUID&gt;&lt;/Extra&gt;&lt;/Item&gt;&lt;/References&gt;&lt;/Group&gt;&lt;/Citation&gt;_x000a_"/>
    <w:docVar w:name="NE.Ref{5A06D868-B27E-4F6A-8C34-59A38ABFF345}" w:val=" ADDIN NE.Ref.{5A06D868-B27E-4F6A-8C34-59A38ABFF345}&lt;Citation&gt;&lt;Group&gt;&lt;References&gt;&lt;Item&gt;&lt;ID&gt;2450&lt;/ID&gt;&lt;UID&gt;{0F52A059-512D-4648-A152-EDDEB32BE5CD}&lt;/UID&gt;&lt;Title&gt;DCF方案与ECF方案治疗进展期胃癌的临床研究&lt;/Title&gt;&lt;Template&gt;Journal Article&lt;/Template&gt;&lt;Star&gt;0&lt;/Star&gt;&lt;Tag&gt;0&lt;/Tag&gt;&lt;Author&gt;刘军&lt;/Author&gt;&lt;Year&gt;2013&lt;/Year&gt;&lt;Details&gt;&lt;_author_adr&gt;476100&lt;/_author_adr&gt;&lt;_db_provider&gt;北京万方数据股份有限公司&lt;/_db_provider&gt;&lt;_doi&gt;10.3760/cma.j.issn.1673-4904.2013.17.006&lt;/_doi&gt;&lt;_isbn&gt;1673-4904&lt;/_isbn&gt;&lt;_issue&gt;17&lt;/_issue&gt;&lt;_journal&gt;中国医师进修杂志&lt;/_journal&gt;&lt;_keywords&gt;胃肿瘤; 顺铂; 表柔比星; 多西紫杉醇; 5-氟尿嘧啶&lt;/_keywords&gt;&lt;_language&gt;chi&lt;/_language&gt;&lt;_pages&gt;17-19&lt;/_pages&gt;&lt;_translated_author&gt;Jun, LIU&lt;/_translated_author&gt;&lt;_translated_title&gt;A clinical study of DCF scheme and ECF scheme in the treatment of advanced gastric cancer&lt;/_translated_title&gt;&lt;_url&gt;http://www.wanfangdata.com.cn/details/detail.do?_type=perio&amp;amp;id=ysjxzz201317006&lt;/_url&gt;&lt;_created&gt;62373428&lt;/_created&gt;&lt;_modified&gt;62373428&lt;/_modified&gt;&lt;_collection_scope&gt;中国科技核心期刊;&lt;/_collection_scope&gt;&lt;/Details&gt;&lt;Extra&gt;&lt;DBUID&gt;{F96A950B-833F-4880-A151-76DA2D6A2879}&lt;/DBUID&gt;&lt;/Extra&gt;&lt;/Item&gt;&lt;/References&gt;&lt;/Group&gt;&lt;/Citation&gt;_x000a_"/>
    <w:docVar w:name="NE.Ref{681A4C0B-BCBE-424C-A0F5-C1C7CF16990C}" w:val=" ADDIN NE.Ref.{681A4C0B-BCBE-424C-A0F5-C1C7CF16990C}&lt;Citation&gt;&lt;Group&gt;&lt;References&gt;&lt;Item&gt;&lt;ID&gt;2453&lt;/ID&gt;&lt;UID&gt;{00F97B11-64D3-4241-A46D-039063054CBA}&lt;/UID&gt;&lt;Title&gt;Advanced gastric cancer in jordan from 2004 to 2008: A study of epidemiology and outcomes&lt;/Title&gt;&lt;Template&gt;Journal Article&lt;/Template&gt;&lt;Star&gt;0&lt;/Star&gt;&lt;Tag&gt;0&lt;/Tag&gt;&lt;Author&gt;Abbasi, S Y; El, Taani H; Saad, A; Badheeb, A; Addasi, A&lt;/Author&gt;&lt;Year&gt;2011&lt;/Year&gt;&lt;Details&gt;&lt;_alternate_title&gt;Gastrointest. Cancer Res.&lt;/_alternate_title&gt;&lt;_author_adr&gt;S. Y. Abbasi, Medical Oncology Department, King Hussein Cancer Center-KHCC, Amman, 11941, Jordan&lt;/_author_adr&gt;&lt;_date_display&gt;2011&lt;/_date_display&gt;&lt;_date&gt;2011-01-01&lt;/_date&gt;&lt;_isbn&gt;1934-7820&lt;/_isbn&gt;&lt;_issue&gt;4&lt;/_issue&gt;&lt;_journal&gt;Gastrointestinal Cancer Research&lt;/_journal&gt;&lt;_keywords&gt;cisplatin; docetaxel; epirubicin; fluorouracil; adult; advanced cancer; aged; anemia; article; cancer combination chemotherapy; cancer epidemiology; cancer growth; cancer localization; cancer pain; cancer survival; clinical evaluation; continuous infusion; controlled study; esophagus tumor; female; gastroesophageal reflux; Helicobacter infection; histopathology; human; Jordan; liver metastasis; lymph node metastasis; major clinical study; male; outcome assessment; peritoneum metastasis; stomach cancer; treatment duration; treatment response&lt;/_keywords&gt;&lt;_pages&gt;122-127&lt;/_pages&gt;&lt;_url&gt;http://www.embase.com/search/results?subaction=viewrecord&amp;amp;from=export&amp;amp;id=L362986361_x000d__x000a_http://www.mygcronline.org/images/GCR4_4.pdf&lt;/_url&gt;&lt;_volume&gt;4&lt;/_volume&gt;&lt;_created&gt;62382344&lt;/_created&gt;&lt;_modified&gt;62382344&lt;/_modified&gt;&lt;/Details&gt;&lt;Extra&gt;&lt;DBUID&gt;{F96A950B-833F-4880-A151-76DA2D6A2879}&lt;/DBUID&gt;&lt;/Extra&gt;&lt;/Item&gt;&lt;/References&gt;&lt;/Group&gt;&lt;/Citation&gt;_x000a_"/>
    <w:docVar w:name="NE.Ref{7F0C4572-CE77-4FAC-8AD3-D1B02A055527}" w:val=" ADDIN NE.Ref.{7F0C4572-CE77-4FAC-8AD3-D1B02A055527}&lt;Citation&gt;&lt;Group&gt;&lt;References&gt;&lt;Item&gt;&lt;ID&gt;1346&lt;/ID&gt;&lt;UID&gt;{4BD4D238-E5E5-4DEA-A467-DFA41872D655}&lt;/UID&gt;&lt;Title&gt;Docetaxel and continuous-infusion fluorouracil versus epirubicin, cisplatin, and  fluorouracil for advanced gastric adenocarcinoma: a randomized phase II study&lt;/Title&gt;&lt;Template&gt;Journal Article&lt;/Template&gt;&lt;Star&gt;0&lt;/Star&gt;&lt;Tag&gt;0&lt;/Tag&gt;&lt;Author&gt;Thuss-Patience, P C; Kretzschmar, A; Repp, M; Kingreen, D; Hennesser, D; Micheel, S; Pink, D; Scholz, C; Dorken, B; Reichardt, P&lt;/Author&gt;&lt;Year&gt;2005&lt;/Year&gt;&lt;Details&gt;&lt;_accession_num&gt;15659494&lt;/_accession_num&gt;&lt;_author_adr&gt;Medizinische Klinik mit Schwerpunkt Hamatologie und Onkologie, Charite, Universitatsmedizin Berlin, Campus Virchow-Klinkum, Augustenburger Platz 1, 13353 Berlin, Germany. peter.thuss@charite.de&lt;/_author_adr&gt;&lt;_collection_scope&gt;SCI;SCIE;&lt;/_collection_scope&gt;&lt;_created&gt;62269436&lt;/_created&gt;&lt;_date&gt;2005-01-20&lt;/_date&gt;&lt;_date_display&gt;2005 Jan 20&lt;/_date_display&gt;&lt;_doi&gt;10.1200/JCO.2005.02.163&lt;/_doi&gt;&lt;_impact_factor&gt;  26.303&lt;/_impact_factor&gt;&lt;_isbn&gt;0732-183X (Print); 0732-183X (Linking)&lt;/_isbn&gt;&lt;_issue&gt;3&lt;/_issue&gt;&lt;_journal&gt;J Clin Oncol&lt;/_journal&gt;&lt;_keywords&gt;Adenocarcinoma/*drug therapy/pathology; Adult; Aged; Antineoplastic Combined Chemotherapy Protocols/administration &amp;amp; dosage/adverse_x000d__x000a_      effects/*therapeutic use; Cisplatin/administration &amp;amp; dosage; Disease Progression; Epirubicin/administration &amp;amp; dosage; Female; Fluorouracil/administration &amp;amp; dosage; Humans; Infusions, Intravenous; Male; Middle Aged; Stomach Neoplasms/*drug therapy/pathology; Survival Analysis; Taxoids/administration &amp;amp; dosage; Treatment Outcome&lt;/_keywords&gt;&lt;_language&gt;eng&lt;/_language&gt;&lt;_modified&gt;62269465&lt;/_modified&gt;&lt;_pages&gt;494-501&lt;/_pages&gt;&lt;_tertiary_title&gt;Journal of clinical oncology : official journal of the American Society of_x000d__x000a_      Clinical Oncology&lt;/_tertiary_title&gt;&lt;_type_work&gt;Clinical Trial; Clinical Trial, Phase II; Journal Article; Multicenter Study; Randomized Controlled Trial; Research Support, Non-U.S. Gov&amp;apos;t&lt;/_type_work&gt;&lt;_url&gt;http://www.ncbi.nlm.nih.gov/entrez/query.fcgi?cmd=Retrieve&amp;amp;db=pubmed&amp;amp;dopt=Abstract&amp;amp;list_uids=15659494&amp;amp;query_hl=1&lt;/_url&gt;&lt;_volume&gt;23&lt;/_volume&gt;&lt;/Details&gt;&lt;Extra&gt;&lt;DBUID&gt;{F96A950B-833F-4880-A151-76DA2D6A2879}&lt;/DBUID&gt;&lt;/Extra&gt;&lt;/Item&gt;&lt;/References&gt;&lt;/Group&gt;&lt;/Citation&gt;_x000a_"/>
    <w:docVar w:name="NE.Ref{98F41468-2416-4871-9FA5-8E3A7A58F44E}" w:val=" ADDIN NE.Ref.{98F41468-2416-4871-9FA5-8E3A7A58F44E}&lt;Citation&gt;&lt;Group&gt;&lt;References&gt;&lt;Item&gt;&lt;ID&gt;2452&lt;/ID&gt;&lt;UID&gt;{8ED3514A-44C6-4436-8C01-6D08401707EA}&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2381779&lt;/_created&gt;&lt;_modified&gt;62381784&lt;/_modified&gt;&lt;_impact_factor&gt; 244.585&lt;/_impact_factor&gt;&lt;/Details&gt;&lt;Extra&gt;&lt;DBUID&gt;{F96A950B-833F-4880-A151-76DA2D6A2879}&lt;/DBUID&gt;&lt;/Extra&gt;&lt;/Item&gt;&lt;/References&gt;&lt;/Group&gt;&lt;/Citation&gt;_x000a_"/>
    <w:docVar w:name="NE.Ref{9CE4CA5A-56D0-4510-B7AA-04D0363BD531}" w:val=" ADDIN NE.Ref.{9CE4CA5A-56D0-4510-B7AA-04D0363BD531}&lt;Citation&gt;&lt;Group&gt;&lt;References&gt;&lt;Item&gt;&lt;ID&gt;2370&lt;/ID&gt;&lt;UID&gt;{E20B8845-10C0-49FD-9D20-DE324F203E56}&lt;/UID&gt;&lt;Title&gt;Perioperative docetaxel, cisplatin, and 5-fluorouracil compared to standard chemotherapy for resectable gastroesophageal adenocarcinoma&lt;/Title&gt;&lt;Template&gt;Journal Article&lt;/Template&gt;&lt;Star&gt;0&lt;/Star&gt;&lt;Tag&gt;0&lt;/Tag&gt;&lt;Author&gt;Kim, S; Paget-Bailly, S; Messager, M; Nguyen, T; Mathieu, P; Lamfichekh, N; Fein, F; Fratté, S; Cléau, D; Lakkis, Z; Jary, M; Sakek, N; Jacquin, M; Foubert, A; Bonnetain, F; Mariette, C; Fiteni, F; Borg, C&lt;/Author&gt;&lt;Year&gt;2017&lt;/Year&gt;&lt;Details&gt;&lt;_alternate_title&gt;Eur. J. Surg. Oncol.&lt;/_alternate_title&gt;&lt;_author_adr&gt;S. Kim, Department of Oncology, Jean Minjoz University Teaching Hospital, 3 Boulevard Alexander Fleming, Besancon, France&lt;/_author_adr&gt;&lt;_created&gt;62270953&lt;/_created&gt;&lt;_date&gt;2017-01-01&lt;/_date&gt;&lt;_date_display&gt;2017&lt;/_date_display&gt;&lt;_doi&gt;10.1016/j.ejso.2016.06.395&lt;/_doi&gt;&lt;_isbn&gt;1532-2157&lt;/_isbn&gt;&lt;_issue&gt;1&lt;/_issue&gt;&lt;_journal&gt;European Journal of Surgical Oncology&lt;/_journal&gt;&lt;_keywords&gt;cisplatin; docetaxel; epirubicin; fluorouracil; oxaliplatin; adult; aged; article; cancer combination chemotherapy; cancer surgery; cancer survival; comparative study; controlled study; esophageal adenocarcinoma; esophagus surgery; female; gastroesophageal adenocarcinoma; human; major clinical study; male; outcome assessment; overall survival; preoperative treatment; priority journal; propensity score; retrospective study; stomach adenocarcinoma; stomach surgery; survival rate; survival time&lt;/_keywords&gt;&lt;_modified&gt;62373400&lt;/_modified&gt;&lt;_pages&gt;218-225&lt;/_pages&gt;&lt;_url&gt;https://embase.com/search/results?subaction=viewrecord&amp;amp;from=export&amp;amp;id=L613643415_x000d__x000a_http://dx.doi.org/10.1016/j.ejso.2016.06.395_x000d__x000a_http://rd8hp6du2b.search.serialssolutions.com?sid=EMBASE&amp;amp;issn=15322157&amp;amp;id=doi:10.1016%2Fj.ejso.2016.06.395&amp;amp;atitle=Perioperative+docetaxel%2C+cisplatin%2C+and+5-fluorouracil+compared+to+standard+chemotherapy+for+resectable+gastroesophageal+adenocarcinoma&amp;amp;stitle=Eur.+J.+Surg.+Oncol.&amp;amp;title=European+Journal+of+Surgical+Oncology&amp;amp;volume=43&amp;amp;issue=1&amp;amp;spage=218&amp;amp;epage=225&amp;amp;aulast=Kim&amp;amp;aufirst=S.&amp;amp;auinit=S.&amp;amp;aufull=Kim+S.&amp;amp;coden=EJSOE&amp;amp;isbn=&amp;amp;pages=218-225&amp;amp;date=2017&amp;amp;auinit1=S&amp;amp;auinitm=&lt;/_url&gt;&lt;_volume&gt;43&lt;/_volume&gt;&lt;/Details&gt;&lt;Extra&gt;&lt;DBUID&gt;{F96A950B-833F-4880-A151-76DA2D6A2879}&lt;/DBUID&gt;&lt;/Extra&gt;&lt;/Item&gt;&lt;/References&gt;&lt;/Group&gt;&lt;/Citation&gt;_x000a_"/>
    <w:docVar w:name="NE.Ref{BC3A0CFA-B8AD-4225-98EC-708DB661248E}" w:val=" ADDIN NE.Ref.{BC3A0CFA-B8AD-4225-98EC-708DB661248E}&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Group&gt;&lt;References&gt;&lt;Item&gt;&lt;ID&gt;2445&lt;/ID&gt;&lt;UID&gt;{A560D4F2-558A-411F-AA31-3C110EC2ED40}&lt;/UID&gt;&lt;Title&gt;多西他赛对比表柔比星联合顺铂、亚叶酸钙和氟尿嘧啶一线治疗进展期胃癌的随机对照研究&lt;/Title&gt;&lt;Template&gt;Journal Article&lt;/Template&gt;&lt;Star&gt;0&lt;/Star&gt;&lt;Tag&gt;5&lt;/Tag&gt;&lt;Author&gt;高辉; 丁鑫; 魏东; 许涛; 程朋; 张涛&lt;/Author&gt;&lt;Year&gt;2010&lt;/Year&gt;&lt;Details&gt;&lt;_author_adr&gt;成都军区总医院肿瘤诊治中心;&lt;/_author_adr&gt;&lt;_collection_scope&gt;中国科技核心期刊;&lt;/_collection_scope&gt;&lt;_created&gt;62373416&lt;/_created&gt;&lt;_db_provider&gt;CNKI&lt;/_db_provider&gt;&lt;_isbn&gt;1009-0460&lt;/_isbn&gt;&lt;_issue&gt;06&lt;/_issue&gt;&lt;_journal&gt;临床肿瘤学杂志&lt;/_journal&gt;&lt;_keywords&gt;进展期胃癌;;多西他赛;;表柔比星;;顺铂;;氟尿嘧啶;;化学治疗&lt;/_keywords&gt;&lt;_modified&gt;62373420&lt;/_modified&gt;&lt;_pages&gt;529-533&lt;/_pages&gt;&lt;_volume&gt;15&lt;/_volume&gt;&lt;_translated_author&gt;Gao, Hui;Ding, Xin;Wei, Dong;Xu, Tao;Cheng, Peng;Zhang, Tao&lt;/_translated_author&gt;&lt;/Details&gt;&lt;Extra&gt;&lt;DBUID&gt;{F96A950B-833F-4880-A151-76DA2D6A2879}&lt;/DBUID&gt;&lt;/Extra&gt;&lt;/Item&gt;&lt;/References&gt;&lt;/Group&gt;&lt;Group&gt;&lt;References&gt;&lt;Item&gt;&lt;ID&gt;1311&lt;/ID&gt;&lt;UID&gt;{24BD68E6-7306-46FE-98EB-F481415067B1}&lt;/UID&gt;&lt;Title&gt;The first line systemic chemotherapy in metastatic gastric carcinoma: A comparison of docetaxel, cisplatin and fluorouracil (DCF) versus cisplatin and fluorouracil (CF); versus epirubicin, cisplatin and fluorouracil (ECF) regimens in clinical setting&lt;/Title&gt;&lt;Template&gt;Journal Article&lt;/Template&gt;&lt;Star&gt;1&lt;/Star&gt;&lt;Tag&gt;1&lt;/Tag&gt;&lt;Author&gt;Kilickap, S; Yalcin, S; Ates, O; Tekuzman, G&lt;/Author&gt;&lt;Year&gt;2011&lt;/Year&gt;&lt;Details&gt;&lt;_accession_num&gt;21510316&lt;/_accession_num&gt;&lt;_author_adr&gt;Hacettepe University Institute of Oncology, Department of Medical Oncology, Ankara, Turkey.&lt;/_author_adr&gt;&lt;_created&gt;62269436&lt;/_created&gt;&lt;_date&gt;2011-01-01&lt;/_date&gt;&lt;_date_display&gt;2011 Jan-Feb&lt;/_date_display&gt;&lt;_isbn&gt;0172-6390 (Print); 0172-6390 (Linking)&lt;/_isbn&gt;&lt;_issue&gt;105&lt;/_issue&gt;&lt;_journal&gt;Hepatogastroenterology&lt;/_journal&gt;&lt;_keywords&gt;Adenocarcinoma/*drug therapy/pathology; Adolescent; Adult; Aged; Antineoplastic Combined Chemotherapy Protocols/adverse effects/*therapeutic use; Cisplatin/administration &amp;amp; dosage; Epirubicin/administration &amp;amp; dosage; Female; Fluorouracil/administration &amp;amp; dosage; Humans; Male; Middle Aged; Neoplasm Staging; Statistics, Nonparametric; Stomach Neoplasms/*drug therapy/pathology; Survival Rate; Taxoids/administration &amp;amp; dosage; Treatment Outcome&lt;/_keywords&gt;&lt;_language&gt;eng&lt;/_language&gt;&lt;_modified&gt;62269448&lt;/_modified&gt;&lt;_pages&gt;208-12&lt;/_pages&gt;&lt;_tertiary_title&gt;Hepato-gastroenterology&lt;/_tertiary_title&gt;&lt;_type_work&gt;Comparative Study; Journal Article&lt;/_type_work&gt;&lt;_url&gt;http://www.ncbi.nlm.nih.gov/entrez/query.fcgi?cmd=Retrieve&amp;amp;db=pubmed&amp;amp;dopt=Abstract&amp;amp;list_uids=21510316&amp;amp;query_hl=1&lt;/_url&gt;&lt;_volume&gt;58&lt;/_volume&gt;&lt;/Details&gt;&lt;Extra&gt;&lt;DBUID&gt;{F96A950B-833F-4880-A151-76DA2D6A2879}&lt;/DBUID&gt;&lt;/Extra&gt;&lt;/Item&gt;&lt;/References&gt;&lt;/Group&gt;&lt;Group&gt;&lt;References&gt;&lt;Item&gt;&lt;ID&gt;2447&lt;/ID&gt;&lt;UID&gt;{EB07A9E0-AFE5-4BE8-9F08-C851D8D121A6}&lt;/UID&gt;&lt;Title&gt;DCF和ECF方案治疗进展期胃癌的疗效观察&lt;/Title&gt;&lt;Template&gt;Journal Article&lt;/Template&gt;&lt;Star&gt;0&lt;/Star&gt;&lt;Tag&gt;5&lt;/Tag&gt;&lt;Author&gt;梁冰; 韩娜; 杨家梅&lt;/Author&gt;&lt;Year&gt;2010&lt;/Year&gt;&lt;Details&gt;&lt;_author_adr&gt;郑州大学第二附属医院肿瘤科;&lt;/_author_adr&gt;&lt;_collection_scope&gt;中国科技核心期刊;&lt;/_collection_scope&gt;&lt;_created&gt;62373422&lt;/_created&gt;&lt;_db_provider&gt;CNKI&lt;/_db_provider&gt;&lt;_isbn&gt;1005-8664&lt;/_isbn&gt;&lt;_issue&gt;01&lt;/_issue&gt;&lt;_journal&gt;中国肿瘤临床与康复&lt;/_journal&gt;&lt;_keywords&gt;胃肿瘤/化学疗法;;多烯紫杉醇;;氟尿嘧啶;;顺铂&lt;/_keywords&gt;&lt;_modified&gt;62373425&lt;/_modified&gt;&lt;_pages&gt;59-61&lt;/_pages&gt;&lt;_volume&gt;17&lt;/_volume&gt;&lt;_translated_author&gt;Liang, Bing;Han, Na;Yang, Jiamei&lt;/_translated_author&gt;&lt;/Details&gt;&lt;Extra&gt;&lt;DBUID&gt;{F96A950B-833F-4880-A151-76DA2D6A2879}&lt;/DBUID&gt;&lt;/Extra&gt;&lt;/Item&gt;&lt;/References&gt;&lt;/Group&gt;&lt;Group&gt;&lt;References&gt;&lt;Item&gt;&lt;ID&gt;2450&lt;/ID&gt;&lt;UID&gt;{0F52A059-512D-4648-A152-EDDEB32BE5CD}&lt;/UID&gt;&lt;Title&gt;DCF方案与ECF方案治疗进展期胃癌的临床研究&lt;/Title&gt;&lt;Template&gt;Journal Article&lt;/Template&gt;&lt;Star&gt;0&lt;/Star&gt;&lt;Tag&gt;5&lt;/Tag&gt;&lt;Author&gt;刘军&lt;/Author&gt;&lt;Year&gt;2013&lt;/Year&gt;&lt;Details&gt;&lt;_author_adr&gt;476100&lt;/_author_adr&gt;&lt;_collection_scope&gt;中国科技核心期刊;&lt;/_collection_scope&gt;&lt;_created&gt;62373428&lt;/_created&gt;&lt;_db_provider&gt;北京万方数据股份有限公司&lt;/_db_provider&gt;&lt;_doi&gt;10.3760/cma.j.issn.1673-4904.2013.17.006&lt;/_doi&gt;&lt;_isbn&gt;1673-4904&lt;/_isbn&gt;&lt;_issue&gt;17&lt;/_issue&gt;&lt;_journal&gt;中国医师进修杂志&lt;/_journal&gt;&lt;_keywords&gt;胃肿瘤; 顺铂; 表柔比星; 多西紫杉醇; 5-氟尿嘧啶&lt;/_keywords&gt;&lt;_language&gt;chi&lt;/_language&gt;&lt;_modified&gt;62373432&lt;/_modified&gt;&lt;_pages&gt;17-19&lt;/_pages&gt;&lt;_translated_author&gt;Jun, LIU&lt;/_translated_author&gt;&lt;_translated_title&gt;A clinical study of DCF scheme and ECF scheme in the treatment of advanced gastric cancer&lt;/_translated_title&gt;&lt;_url&gt;http://www.wanfangdata.com.cn/details/detail.do?_type=perio&amp;amp;id=ysjxzz201317006&lt;/_url&gt;&lt;/Details&gt;&lt;Extra&gt;&lt;DBUID&gt;{F96A950B-833F-4880-A151-76DA2D6A2879}&lt;/DBUID&gt;&lt;/Extra&gt;&lt;/Item&gt;&lt;/References&gt;&lt;/Group&gt;&lt;Group&gt;&lt;References&gt;&lt;Item&gt;&lt;ID&gt;2448&lt;/ID&gt;&lt;UID&gt;{6BC0AB2C-0BF6-411B-9B39-585B4F012F13}&lt;/UID&gt;&lt;Title&gt;ECF与DCF方案治疗晚期胃癌效果比较&lt;/Title&gt;&lt;Template&gt;Journal Article&lt;/Template&gt;&lt;Star&gt;0&lt;/Star&gt;&lt;Tag&gt;5&lt;/Tag&gt;&lt;Author&gt;陆网坤; 蔡俊; 马德; 杨武; 于立江; 张铸&lt;/Author&gt;&lt;Year&gt;2008&lt;/Year&gt;&lt;Details&gt;&lt;_author_adr&gt;靖江市人民医院肿瘤内科;&lt;/_author_adr&gt;&lt;_collection_scope&gt;中国科技核心期刊;&lt;/_collection_scope&gt;&lt;_created&gt;62373423&lt;/_created&gt;&lt;_db_provider&gt;CNKI&lt;/_db_provider&gt;&lt;_isbn&gt;1008-0341&lt;/_isbn&gt;&lt;_issue&gt;05&lt;/_issue&gt;&lt;_journal&gt;齐鲁医学杂志&lt;/_journal&gt;&lt;_keywords&gt;胃肿瘤;;抗肿瘤联合化疗方案;;方案评价&lt;/_keywords&gt;&lt;_modified&gt;62373425&lt;/_modified&gt;&lt;_pages&gt;384-385+388&lt;/_pages&gt;&lt;_translated_author&gt;Lu, Wangkun;Cai, Jun;Ma, De;Yang, Wu;Yu, Lijiang;Zhang, Zhu&lt;/_translated_author&gt;&lt;/Details&gt;&lt;Extra&gt;&lt;DBUID&gt;{F96A950B-833F-4880-A151-76DA2D6A2879}&lt;/DBUID&gt;&lt;/Extra&gt;&lt;/Item&gt;&lt;/References&gt;&lt;/Group&gt;&lt;Group&gt;&lt;References&gt;&lt;Item&gt;&lt;ID&gt;1335&lt;/ID&gt;&lt;UID&gt;{B591C7D3-C20D-47CD-8BAD-4A9D9D745364}&lt;/UID&gt;&lt;Title&gt;Quality of life in patients with advanced gastric cancer: a randomized trial comparing docetaxel, cisplatin, 5-FU (TCF) with epirubicin, cisplatin, 5-FU (ECF)&lt;/Title&gt;&lt;Template&gt;Journal Article&lt;/Template&gt;&lt;Star&gt;1&lt;/Star&gt;&lt;Tag&gt;1&lt;/Tag&gt;&lt;Author&gt;Sadighi, S; Mohagheghi, M A; Montazeri, A; Sadighi, Z&lt;/Author&gt;&lt;Year&gt;2006&lt;/Year&gt;&lt;Details&gt;&lt;_accession_num&gt;17147808&lt;/_accession_num&gt;&lt;_author_adr&gt;Cancer Research Center, Cancer Institute, Imam Hospital, Tehran University of Medical Sciences, Tehran, Iran. ssadighi@doctor.com &amp;lt;ssadighi@doctor.com&amp;gt;&lt;/_author_adr&gt;&lt;_collection_scope&gt;SCIE;&lt;/_collection_scope&gt;&lt;_created&gt;62269436&lt;/_created&gt;&lt;_date&gt;2006-12-05&lt;/_date&gt;&lt;_date_display&gt;2006 Dec 5&lt;/_date_display&gt;&lt;_doi&gt;10.1186/1471-2407-6-274&lt;/_doi&gt;&lt;_impact_factor&gt;   3.288&lt;/_impact_factor&gt;&lt;_isbn&gt;1471-2407 (Electronic); 1471-2407 (Linking)&lt;/_isbn&gt;&lt;_journal&gt;BMC Cancer&lt;/_journal&gt;&lt;_keywords&gt;Adenocarcinoma/*drug therapy/physiopathology/psychology; Antineoplastic Combined Chemotherapy Protocols/administration &amp;amp;_x000d__x000a_      dosage/*therapeutic use; Cisplatin/administration &amp;amp; dosage; Disease-Free Survival; Epirubicin/administration &amp;amp; dosage; Female; Fluorouracil/administration &amp;amp; dosage; Humans; Male; Middle Aged; Neoplasm Recurrence, Local/drug therapy; Quality of Life; Stomach Neoplasms/*drug therapy/physiopathology/psychology; Survival Rate; Taxoids/administration &amp;amp; dosage&lt;/_keywords&gt;&lt;_language&gt;eng&lt;/_language&gt;&lt;_modified&gt;62269448&lt;/_modified&gt;&lt;_pages&gt;274&lt;/_pages&gt;&lt;_tertiary_title&gt;BMC cancer&lt;/_tertiary_title&gt;&lt;_type_work&gt;Comparative Study; Journal Article; Randomized Controlled Trial; Research Support, Non-U.S. Gov&amp;apos;t&lt;/_type_work&gt;&lt;_url&gt;http://www.ncbi.nlm.nih.gov/entrez/query.fcgi?cmd=Retrieve&amp;amp;db=pubmed&amp;amp;dopt=Abstract&amp;amp;list_uids=17147808&amp;amp;query_hl=1&lt;/_url&gt;&lt;_volume&gt;6&lt;/_volume&gt;&lt;/Details&gt;&lt;Extra&gt;&lt;DBUID&gt;{F96A950B-833F-4880-A151-76DA2D6A2879}&lt;/DBUID&gt;&lt;/Extra&gt;&lt;/Item&gt;&lt;/References&gt;&lt;/Group&gt;&lt;Group&gt;&lt;References&gt;&lt;Item&gt;&lt;ID&gt;1330&lt;/ID&gt;&lt;UID&gt;{208B514A-3C90-469F-8C01-20E0B57F7498}&lt;/UID&gt;&lt;Title&gt;Docetaxel, cisplatin, and fluorouracil; docetaxel and cisplatin; and epirubicin,  cisplatin, and fluorouracil as systemic treatment for advanced gastric carcinoma: a randomized phase II trial of the Swiss Group for Clinical Cancer Research&lt;/Title&gt;&lt;Template&gt;Journal Article&lt;/Template&gt;&lt;Star&gt;1&lt;/Star&gt;&lt;Tag&gt;1&lt;/Tag&gt;&lt;Author&gt;Roth, A D; Fazio, N; Stupp, R; Falk, S; Bernhard, J; Saletti, P; Koberle, D; Borner, M M; Rufibach, K; Maibach, R; Wernli, M; Leslie, M; Glynne-Jones, R; Widmer, L; Seymour, M; de Braud, F&lt;/Author&gt;&lt;Year&gt;2007&lt;/Year&gt;&lt;Details&gt;&lt;_accession_num&gt;17664469&lt;/_accession_num&gt;&lt;_author_adr&gt;Department of Oncosurgery, Oncosurgery Unit, Geneva University Hospital, Geneva 14, Switzerland. arnaud.roth@sim.hcuge.ch&lt;/_author_adr&gt;&lt;_collection_scope&gt;SCI;SCIE;&lt;/_collection_scope&gt;&lt;_created&gt;62269436&lt;/_created&gt;&lt;_date&gt;2007-08-01&lt;/_date&gt;&lt;_date_display&gt;2007 Aug 1&lt;/_date_display&gt;&lt;_doi&gt;10.1200/JCO.2006.08.0135&lt;/_doi&gt;&lt;_impact_factor&gt;  26.303&lt;/_impact_factor&gt;&lt;_isbn&gt;1527-7755 (Electronic); 0732-183X (Linking)&lt;/_isbn&gt;&lt;_issue&gt;22&lt;/_issue&gt;&lt;_journal&gt;J Clin Oncol&lt;/_journal&gt;&lt;_keywords&gt;Adenocarcinoma/*drug therapy/pathology; Adult; Aged; Antineoplastic Combined Chemotherapy Protocols/adverse effects/*therapeutic use; Cisplatin/administration &amp;amp; dosage; Epirubicin/administration &amp;amp; dosage; Female; Fluorouracil/administration &amp;amp; dosage; Humans; Male; Middle Aged; *Quality of Life; Stomach Neoplasms/*drug therapy/pathology; Taxoids/administration &amp;amp; dosage; Treatment Outcome&lt;/_keywords&gt;&lt;_language&gt;eng&lt;/_language&gt;&lt;_modified&gt;62373408&lt;/_modified&gt;&lt;_pages&gt;3217-23&lt;/_pages&gt;&lt;_tertiary_title&gt;Journal of clinical oncology : official journal of the American Society of_x000d__x000a_      Clinical Oncology&lt;/_tertiary_title&gt;&lt;_type_work&gt;Clinical Trial, Phase II; Journal Article; Multicenter Study; Randomized Controlled Trial; Research Support, Non-U.S. Gov&amp;apos;t&lt;/_type_work&gt;&lt;_url&gt;http://www.ncbi.nlm.nih.gov/entrez/query.fcgi?cmd=Retrieve&amp;amp;db=pubmed&amp;amp;dopt=Abstract&amp;amp;list_uids=17664469&amp;amp;query_hl=1&lt;/_url&gt;&lt;_volume&gt;25&lt;/_volume&gt;&lt;/Details&gt;&lt;Extra&gt;&lt;DBUID&gt;{F96A950B-833F-4880-A151-76DA2D6A2879}&lt;/DBUID&gt;&lt;/Extra&gt;&lt;/Item&gt;&lt;/References&gt;&lt;/Group&gt;&lt;Group&gt;&lt;References&gt;&lt;Item&gt;&lt;ID&gt;1290&lt;/ID&gt;&lt;UID&gt;{99AD8C96-906D-4046-A831-30D50D191516}&lt;/UID&gt;&lt;Title&gt;Efficacy and safety of docetaxel or epirubicin, combined with cisplatin and fluorouracil (DCF and ECF), regimens as first line chemotherapy for advanced gastric cancer: a retrospective analysis from Turkey&lt;/Title&gt;&lt;Template&gt;Journal Article&lt;/Template&gt;&lt;Star&gt;1&lt;/Star&gt;&lt;Tag&gt;1&lt;/Tag&gt;&lt;Author&gt;Teker, F; Yilmaz, B; Kemal, Y; Kut, E; Yucel, I&lt;/Author&gt;&lt;Year&gt;2014&lt;/Year&gt;&lt;Details&gt;&lt;_accession_num&gt;25169516&lt;/_accession_num&gt;&lt;_author_adr&gt;Department of Medical Oncology, Medical School, 19 Mayis University, Samsun, Turkey E-mail : fthtkr@gmail.com.&lt;/_author_adr&gt;&lt;_created&gt;62269436&lt;/_created&gt;&lt;_date&gt;2014-01-20&lt;/_date&gt;&lt;_date_display&gt;2014&lt;/_date_display&gt;&lt;_isbn&gt;2476-762X (Electronic); 1513-7368 (Linking)&lt;/_isbn&gt;&lt;_issue&gt;16&lt;/_issue&gt;&lt;_journal&gt;Asian Pac J Cancer Prev&lt;/_journal&gt;&lt;_keywords&gt;Adult; Aged; Antineoplastic Combined Chemotherapy Protocols/adverse effects/therapeutic use; Cisplatin/adverse effects/*therapeutic use; Disease-Free Survival; Epirubicin/adverse effects/*therapeutic use; Female; Fluorouracil/adverse effects/*therapeutic use; Humans; Male; Middle Aged; Retrospective Studies; Stomach Neoplasms/*drug therapy; Survival Rate; Taxoids/adverse effects/*therapeutic use; Treatment Outcome; Turkey&lt;/_keywords&gt;&lt;_language&gt;eng&lt;/_language&gt;&lt;_modified&gt;62269448&lt;/_modified&gt;&lt;_pages&gt;6727-32&lt;/_pages&gt;&lt;_tertiary_title&gt;Asian Pacific journal of cancer prevention : APJCP&lt;/_tertiary_title&gt;&lt;_type_work&gt;Clinical Trial; Comparative Study; Journal Article; Research Support, Non-U.S. Gov&amp;apos;t&lt;/_type_work&gt;&lt;_url&gt;http://www.ncbi.nlm.nih.gov/entrez/query.fcgi?cmd=Retrieve&amp;amp;db=pubmed&amp;amp;dopt=Abstract&amp;amp;list_uids=25169516&amp;amp;query_hl=1&lt;/_url&gt;&lt;_volume&gt;15&lt;/_volume&gt;&lt;/Details&gt;&lt;Extra&gt;&lt;DBUID&gt;{F96A950B-833F-4880-A151-76DA2D6A2879}&lt;/DBUID&gt;&lt;/Extra&gt;&lt;/Item&gt;&lt;/References&gt;&lt;/Group&gt;&lt;Group&gt;&lt;References&gt;&lt;Item&gt;&lt;ID&gt;2449&lt;/ID&gt;&lt;UID&gt;{F3889043-761A-4B4B-89F8-44F16196A744}&lt;/UID&gt;&lt;Title&gt;多西紫杉醇联合顺铂、氟尿嘧啶治疗晚期胃癌的临床研究&lt;/Title&gt;&lt;Template&gt;Journal Article&lt;/Template&gt;&lt;Star&gt;0&lt;/Star&gt;&lt;Tag&gt;5&lt;/Tag&gt;&lt;Author&gt;杨蕴; 徐燕; 李玉芳; 陈长广; 周丽娜; 王李强&lt;/Author&gt;&lt;Year&gt;2011&lt;/Year&gt;&lt;Details&gt;&lt;_author_adr&gt;昆山市第一人民医院肿瘤科;&lt;/_author_adr&gt;&lt;_created&gt;62373425&lt;/_created&gt;&lt;_db_provider&gt;CNKI&lt;/_db_provider&gt;&lt;_isbn&gt;1674-4136&lt;/_isbn&gt;&lt;_issue&gt;05&lt;/_issue&gt;&lt;_journal&gt;中国肿瘤外科杂志&lt;/_journal&gt;&lt;_keywords&gt;晚期胃癌;;DCF方案;;ECF方案;;多西紫杉醇;;顺铂;;氟尿嘧啶;;表阿霉素;;疗效比较;;化疗毒副反应&lt;/_keywords&gt;&lt;_modified&gt;62373425&lt;/_modified&gt;&lt;_pages&gt;294-297+301&lt;/_pages&gt;&lt;_volume&gt;3&lt;/_volume&gt;&lt;_translated_author&gt;Yang, Yun;Xu, Yan;Li, Yufang;Chen, Zhangguang;Zhou, Lina;Wang, Liqiang&lt;/_translated_author&gt;&lt;/Details&gt;&lt;Extra&gt;&lt;DBUID&gt;{F96A950B-833F-4880-A151-76DA2D6A2879}&lt;/DBUID&gt;&lt;/Extra&gt;&lt;/Item&gt;&lt;/References&gt;&lt;/Group&gt;&lt;/Citation&gt;_x000a_"/>
    <w:docVar w:name="NE.Ref{BFF0D18B-4635-4958-B631-56DEF6913637}" w:val=" ADDIN NE.Ref.{BFF0D18B-4635-4958-B631-56DEF6913637}&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Group&gt;&lt;References&gt;&lt;Item&gt;&lt;ID&gt;2450&lt;/ID&gt;&lt;UID&gt;{0F52A059-512D-4648-A152-EDDEB32BE5CD}&lt;/UID&gt;&lt;Title&gt;DCF方案与ECF方案治疗进展期胃癌的临床研究&lt;/Title&gt;&lt;Template&gt;Journal Article&lt;/Template&gt;&lt;Star&gt;0&lt;/Star&gt;&lt;Tag&gt;0&lt;/Tag&gt;&lt;Author&gt;刘军&lt;/Author&gt;&lt;Year&gt;2013&lt;/Year&gt;&lt;Details&gt;&lt;_author_adr&gt;476100&lt;/_author_adr&gt;&lt;_db_provider&gt;北京万方数据股份有限公司&lt;/_db_provider&gt;&lt;_doi&gt;10.3760/cma.j.issn.1673-4904.2013.17.006&lt;/_doi&gt;&lt;_isbn&gt;1673-4904&lt;/_isbn&gt;&lt;_issue&gt;17&lt;/_issue&gt;&lt;_journal&gt;中国医师进修杂志&lt;/_journal&gt;&lt;_keywords&gt;胃肿瘤; 顺铂; 表柔比星; 多西紫杉醇; 5-氟尿嘧啶&lt;/_keywords&gt;&lt;_language&gt;chi&lt;/_language&gt;&lt;_pages&gt;17-19&lt;/_pages&gt;&lt;_translated_author&gt;Jun, LIU&lt;/_translated_author&gt;&lt;_translated_title&gt;A clinical study of DCF scheme and ECF scheme in the treatment of advanced gastric cancer&lt;/_translated_title&gt;&lt;_url&gt;http://www.wanfangdata.com.cn/details/detail.do?_type=perio&amp;amp;id=ysjxzz201317006&lt;/_url&gt;&lt;_created&gt;62373428&lt;/_created&gt;&lt;_modified&gt;62373428&lt;/_modified&gt;&lt;_collection_scope&gt;中国科技核心期刊;&lt;/_collection_scope&gt;&lt;/Details&gt;&lt;Extra&gt;&lt;DBUID&gt;{F96A950B-833F-4880-A151-76DA2D6A2879}&lt;/DBUID&gt;&lt;/Extra&gt;&lt;/Item&gt;&lt;/References&gt;&lt;/Group&gt;&lt;/Citation&gt;_x000a_"/>
    <w:docVar w:name="NE.Ref{C4B56E2B-D7A9-46F2-AE97-3A53ECCC6E4F}" w:val=" ADDIN NE.Ref.{C4B56E2B-D7A9-46F2-AE97-3A53ECCC6E4F}&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Group&gt;&lt;References&gt;&lt;Item&gt;&lt;ID&gt;1269&lt;/ID&gt;&lt;UID&gt;{A6BC707E-294A-4C7F-A75C-2792436C5763}&lt;/UID&gt;&lt;Title&gt;Comparison of health-related quality of life with epirubicin, cisplatin plus 5-fluorouracil and docetaxel, cisplatin plus 5-fluorouracil chemotherapy regimens as first-line systemic therapy in locally advanced inoperable or metastatic gastric or gastro-esophageal junction adenocarcinoma: A prospective study from South India&lt;/Title&gt;&lt;Template&gt;Journal Article&lt;/Template&gt;&lt;Star&gt;1&lt;/Star&gt;&lt;Tag&gt;1&lt;/Tag&gt;&lt;Author&gt;Babu, K G; Chaudhuri, T; Lakshmaiah, K C; Dasappa, L; Jacob, L A; Suresh, Babu MC; Rudresha, A H; Lokesh, K N; Rajeev, L K&lt;/Author&gt;&lt;Year&gt;2018&lt;/Year&gt;&lt;Details&gt;&lt;_accession_num&gt;29600225&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reated&gt;62269436&lt;/_created&gt;&lt;_date&gt;2018-01-01&lt;/_date&gt;&lt;_date_display&gt;2018 Jan-Mar&lt;/_date_display&gt;&lt;_doi&gt;10.4103/sajc.sajc_8_17&lt;/_doi&gt;&lt;_isbn&gt;2278-330X (Print); 2278-330X (Linking)&lt;/_isbn&gt;&lt;_issue&gt;1&lt;/_issue&gt;&lt;_journal&gt;South Asian J Cancer&lt;/_journal&gt;&lt;_keywords&gt;Cisplatin plus 5-fluorouracil regimen; cisplatin plus 5-fluorouracil regimen; docetaxel; epirubicin; gastric cancer; quality of life&lt;/_keywords&gt;&lt;_language&gt;eng&lt;/_language&gt;&lt;_modified&gt;62269447&lt;/_modified&gt;&lt;_pages&gt;11-15&lt;/_pages&gt;&lt;_tertiary_title&gt;South Asian journal of cancer&lt;/_tertiary_title&gt;&lt;_type_work&gt;Journal Article&lt;/_type_work&gt;&lt;_url&gt;http://www.ncbi.nlm.nih.gov/entrez/query.fcgi?cmd=Retrieve&amp;amp;db=pubmed&amp;amp;dopt=Abstract&amp;amp;list_uids=29600225&amp;amp;query_hl=1&lt;/_url&gt;&lt;_volume&gt;7&lt;/_volume&gt;&lt;/Details&gt;&lt;Extra&gt;&lt;DBUID&gt;{F96A950B-833F-4880-A151-76DA2D6A2879}&lt;/DBUID&gt;&lt;/Extra&gt;&lt;/Item&gt;&lt;/References&gt;&lt;/Group&gt;&lt;/Citation&gt;_x000a_"/>
    <w:docVar w:name="NE.Ref{C795D014-BDDF-44B7-A5D6-AC4324008B7D}" w:val=" ADDIN NE.Ref.{C795D014-BDDF-44B7-A5D6-AC4324008B7D}&lt;Citation&gt;&lt;Group&gt;&lt;References&gt;&lt;Item&gt;&lt;ID&gt;1269&lt;/ID&gt;&lt;UID&gt;{A6BC707E-294A-4C7F-A75C-2792436C5763}&lt;/UID&gt;&lt;Title&gt;Comparison of health-related quality of life with epirubicin, cisplatin plus 5-fluorouracil and docetaxel, cisplatin plus 5-fluorouracil chemotherapy regimens as first-line systemic therapy in locally advanced inoperable or metastatic gastric or gastro-esophageal junction adenocarcinoma: A prospective study from South India&lt;/Title&gt;&lt;Template&gt;Journal Article&lt;/Template&gt;&lt;Star&gt;1&lt;/Star&gt;&lt;Tag&gt;1&lt;/Tag&gt;&lt;Author&gt;Babu, K G; Chaudhuri, T; Lakshmaiah, K C; Dasappa, L; Jacob, L A; Suresh, Babu MC; Rudresha, A H; Lokesh, K N; Rajeev, L K&lt;/Author&gt;&lt;Year&gt;2018&lt;/Year&gt;&lt;Details&gt;&lt;_accession_num&gt;29600225&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reated&gt;62269436&lt;/_created&gt;&lt;_date&gt;2018-01-01&lt;/_date&gt;&lt;_date_display&gt;2018 Jan-Mar&lt;/_date_display&gt;&lt;_doi&gt;10.4103/sajc.sajc_8_17&lt;/_doi&gt;&lt;_isbn&gt;2278-330X (Print); 2278-330X (Linking)&lt;/_isbn&gt;&lt;_issue&gt;1&lt;/_issue&gt;&lt;_journal&gt;South Asian J Cancer&lt;/_journal&gt;&lt;_keywords&gt;Cisplatin plus 5-fluorouracil regimen; cisplatin plus 5-fluorouracil regimen; docetaxel; epirubicin; gastric cancer; quality of life&lt;/_keywords&gt;&lt;_language&gt;eng&lt;/_language&gt;&lt;_modified&gt;62269447&lt;/_modified&gt;&lt;_pages&gt;11-15&lt;/_pages&gt;&lt;_tertiary_title&gt;South Asian journal of cancer&lt;/_tertiary_title&gt;&lt;_type_work&gt;Journal Article&lt;/_type_work&gt;&lt;_url&gt;http://www.ncbi.nlm.nih.gov/entrez/query.fcgi?cmd=Retrieve&amp;amp;db=pubmed&amp;amp;dopt=Abstract&amp;amp;list_uids=29600225&amp;amp;query_hl=1&lt;/_url&gt;&lt;_volume&gt;7&lt;/_volume&gt;&lt;/Details&gt;&lt;Extra&gt;&lt;DBUID&gt;{F96A950B-833F-4880-A151-76DA2D6A2879}&lt;/DBUID&gt;&lt;/Extra&gt;&lt;/Item&gt;&lt;/References&gt;&lt;/Group&gt;&lt;/Citation&gt;_x000a_"/>
    <w:docVar w:name="NE.Ref{E0B8AB52-B3B6-4308-A5A5-F0D6710227BA}" w:val=" ADDIN NE.Ref.{E0B8AB52-B3B6-4308-A5A5-F0D6710227BA}&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Citation&gt;_x000a_"/>
    <w:docVar w:name="NE.Ref{E447A924-69E7-43DF-8927-9B977B6CCF18}" w:val=" ADDIN NE.Ref.{E447A924-69E7-43DF-8927-9B977B6CCF18}&lt;Citation&gt;&lt;Group&gt;&lt;References&gt;&lt;Item&gt;&lt;ID&gt;2382&lt;/ID&gt;&lt;UID&gt;{AA66B181-0E30-493B-834C-9477774F41C4}&lt;/UID&gt;&lt;Title&gt;Docetaxel, Cisplatin and Fluorouracil (DCF) Regimen Compared with Non-Taxane-Containing Palliative Chemotherapy for Gastric Carcinoma: A Systematic Review and Meta-Analysis&lt;/Title&gt;&lt;Template&gt;Journal Article&lt;/Template&gt;&lt;Star&gt;0&lt;/Star&gt;&lt;Tag&gt;0&lt;/Tag&gt;&lt;Author&gt;Chen, X L; Chen, X Z; Yang, C; Liao, Y B; Li, H; Wang, L; Yang, K; Li, K; Hu, J K; Zhang, B; Chen, Z X; Chen, J P; Zhou, Z G&lt;/Author&gt;&lt;Year&gt;2013&lt;/Year&gt;&lt;Details&gt;&lt;_alternate_title&gt;PLoS ONE&lt;/_alternate_title&gt;&lt;_author_adr&gt;J.-K. Hu, Department of Gastrointestinal Surgery, West China Hospital, Sichuan University, Chengdu, Sichuan, China&lt;/_author_adr&gt;&lt;_collection_scope&gt;SCIE;&lt;/_collection_scope&gt;&lt;_created&gt;62270954&lt;/_created&gt;&lt;_date&gt;2013-01-01&lt;/_date&gt;&lt;_date_display&gt;2013&lt;/_date_display&gt;&lt;_doi&gt;10.1371/journal.pone.0060320&lt;/_doi&gt;&lt;_impact_factor&gt;   2.766&lt;/_impact_factor&gt;&lt;_isbn&gt;1932-6203&lt;/_isbn&gt;&lt;_issue&gt;4&lt;/_issue&gt;&lt;_journal&gt;PLoS ONE&lt;/_journal&gt;&lt;_keywords&gt;cisplatin; docetaxel; epirubicin; etoposide; fluorouracil; oxaliplatin; alopecia; anaphylaxis; anemia; anorexia; article; cancer combination chemotherapy; cancer palliative therapy; chemotherapy induced nausea and vomiting; constipation; diarrhea; drug fatality; fatigue; febrile neutropenia; fluid retention; human; infection; leukopenia; meta analysis; mortality; multiple cycle treatment; neurologic disease; neutropenia; oncological parameters; overall survival; randomized controlled trial (topic); side effect; stomach carcinoma; stomatitis; survival rate; survival time; systematic review; thrombocytopenia; time to progression; toxic hepatitis&lt;/_keywords&gt;&lt;_modified&gt;62379186&lt;/_modified&gt;&lt;_url&gt;https://embase.com/search/results?subaction=viewrecord&amp;amp;from=export&amp;amp;id=L368686451_x000d__x000a_http://www.plosone.org/article/fetchObjectAttachment.action?uri=info%3Adoi%2F10.1371%2Fjournal.pone.0060320&amp;amp;representation=PDF_x000d__x000a_http://dx.doi.org/10.1371/journal.pone.0060320_x000d__x000a_http://rd8hp6du2b.search.serialssolutions.com?sid=EMBASE&amp;amp;issn=19326203&amp;amp;id=doi:10.1371%2Fjournal.pone.0060320&amp;amp;atitle=Docetaxel%2C+Cisplatin+and+Fluorouracil+%28DCF%29+Regimen+Compared+with+Non-Taxane-Containing+Palliative+Chemotherapy+for+Gastric+Carcinoma%3A+A+Systematic+Review+and+Meta-Analysis&amp;amp;stitle=PLoS+ONE&amp;amp;title=PLoS+ONE&amp;amp;volume=8&amp;amp;issue=4&amp;amp;spage=&amp;amp;epage=&amp;amp;aulast=Chen&amp;amp;aufirst=Xiao-Long&amp;amp;auinit=X.-L.&amp;amp;aufull=Chen+X.-L.&amp;amp;coden=&amp;amp;isbn=&amp;amp;pages=-&amp;amp;date=2013&amp;amp;auinit1=X&amp;amp;auinitm=-L.&lt;/_url&gt;&lt;_volume&gt;8&lt;/_volume&gt;&lt;/Details&gt;&lt;Extra&gt;&lt;DBUID&gt;{F96A950B-833F-4880-A151-76DA2D6A2879}&lt;/DBUID&gt;&lt;/Extra&gt;&lt;/Item&gt;&lt;/References&gt;&lt;/Group&gt;&lt;/Citation&gt;_x000a_"/>
    <w:docVar w:name="NE.Ref{FEAF0520-1312-46C1-A027-8138DF696AC9}" w:val=" ADDIN NE.Ref.{FEAF0520-1312-46C1-A027-8138DF696AC9}&lt;Citation&gt;&lt;Group&gt;&lt;References&gt;&lt;Item&gt;&lt;ID&gt;1274&lt;/ID&gt;&lt;UID&gt;{8A8E6B97-53D5-4F62-B129-FFFEA23277EE}&lt;/UID&gt;&lt;Title&gt;Advances in the treatment of gastric cancer&lt;/Title&gt;&lt;Template&gt;Journal Article&lt;/Template&gt;&lt;Star&gt;0&lt;/Star&gt;&lt;Tag&gt;0&lt;/Tag&gt;&lt;Author&gt;Ilson, D H&lt;/Author&gt;&lt;Year&gt;2017&lt;/Year&gt;&lt;Details&gt;&lt;_accession_num&gt;28877045&lt;/_accession_num&gt;&lt;_author_adr&gt;Gastrointestinal Oncology Service, Memorial Sloan Kettering Cancer Center, Weill-Cornell Medical College, New York, USA.&lt;/_author_adr&gt;&lt;_created&gt;62269436&lt;/_created&gt;&lt;_date&gt;2017-11-01&lt;/_date&gt;&lt;_date_display&gt;2017 Nov&lt;/_date_display&gt;&lt;_doi&gt;10.1097/MOG.0000000000000395&lt;/_doi&gt;&lt;_impact_factor&gt;   3.414&lt;/_impact_factor&gt;&lt;_isbn&gt;1531-7056 (Electronic); 0267-1379 (Linking)&lt;/_isbn&gt;&lt;_issue&gt;6&lt;/_issue&gt;&lt;_journal&gt;Curr Opin Gastroenterol&lt;/_journal&gt;&lt;_language&gt;eng&lt;/_language&gt;&lt;_modified&gt;62382162&lt;/_modified&gt;&lt;_pages&gt;473-476&lt;/_pages&gt;&lt;_tertiary_title&gt;Current opinion in gastroenterology&lt;/_tertiary_title&gt;&lt;_type_work&gt;Journal Article&lt;/_type_work&gt;&lt;_url&gt;http://www.ncbi.nlm.nih.gov/entrez/query.fcgi?cmd=Retrieve&amp;amp;db=pubmed&amp;amp;dopt=Abstract&amp;amp;list_uids=28877045&amp;amp;query_hl=1&lt;/_url&gt;&lt;_volume&gt;33&lt;/_volume&gt;&lt;/Details&gt;&lt;Extra&gt;&lt;DBUID&gt;{F96A950B-833F-4880-A151-76DA2D6A2879}&lt;/DBUID&gt;&lt;/Extra&gt;&lt;/Item&gt;&lt;/References&gt;&lt;/Group&gt;&lt;Group&gt;&lt;References&gt;&lt;Item&gt;&lt;ID&gt;1280&lt;/ID&gt;&lt;UID&gt;{EF141407-9069-49F6-B2A4-A1C233BD725A}&lt;/UID&gt;&lt;Title&gt;Epirubicin-based compared with docetaxel-based chemotherapy for advanced gastric  carcinoma: A systematic review and meta-analysis&lt;/Title&gt;&lt;Template&gt;Journal Article&lt;/Template&gt;&lt;Star&gt;1&lt;/Star&gt;&lt;Tag&gt;0&lt;/Tag&gt;&lt;Author&gt;Petrioli, R; Roviello, G; Zanotti, L; Roviello, F; Polom, K; Bottini, A; Marano, L; Francini, E; Marrelli, D; Generali, D&lt;/Author&gt;&lt;Year&gt;2016&lt;/Year&gt;&lt;Details&gt;&lt;_accession_num&gt;27083592&lt;/_accession_num&gt;&lt;_author_adr&gt;Medical Oncology Unit, University of Siena, Viale Bracci 11, 53100 Siena, Italy.; Section of Pharmacology and University Center DIFF-Drug Innovation Forward Future, Department of Molecular and Translational Medicine, University of Brescia, Viale Europa 11, 25124 Brescia, Italy; Unit of Molecular Therapy and Pharmacogenomic, AO Azienda Istituti Ospitalieri di Cremona, Viale Concordia 1, 26100 Cremona, Italy. Electronic address: giandomenicoroviello@gmail.com.; Unit of Molecular Therapy and Pharmacogenomic, AO Azienda Istituti Ospitalieri di Cremona, Viale Concordia 1, 26100 Cremona, Italy.; Unit of General and Minimally Invasive Surgery, Surgery and Neuroscience; University of Siena, Viale Bracci 11, 53100 Siena, Italy.; Unit of General and Minimally Invasive Surgery, Surgery and Neuroscience; University of Siena, Viale Bracci 11, 53100 Siena, Italy.; Unit of Molecular Therapy and Pharmacogenomic, AO Azienda Istituti Ospitalieri di Cremona, Viale Concordia 1, 26100 Cremona, Italy.; General, Minimally Invasive and Robotic Surgery, Department of Surgery, &amp;quot;San Matteo degli Infermi&amp;quot; Hospital, ASL Umbria 2, 06049 Spoleto, Italy.; Medical Oncology Unit, Policlinico Umberto I Hospital, University of Rome, Rome 00161, Italy.; Department of Medical, Surgery and Health Sciences, University of Trieste, Piazza Ospitale 1, 34129 Trieste, Italy.; Unit of Molecular Therapy and Pharmacogenomic, AO Azienda Istituti Ospitalieri di Cremona, Viale Concordia 1, 26100 Cremona, Italy; Department of Medical, Surgical and Neurosciences, Section of Advanced Surgical Oncology, University of Siena, Viale Bracci 11, 53100, Italy.&lt;/_author_adr&gt;&lt;_created&gt;62269436&lt;/_created&gt;&lt;_date&gt;2016-06-01&lt;/_date&gt;&lt;_date_display&gt;2016 Jun&lt;/_date_display&gt;&lt;_doi&gt;10.1016/j.critrevonc.2016.04.001&lt;/_doi&gt;&lt;_impact_factor&gt;   4.495&lt;/_impact_factor&gt;&lt;_isbn&gt;1879-0461 (Electronic); 1040-8428 (Linking)&lt;/_isbn&gt;&lt;_journal&gt;Crit Rev Oncol Hematol&lt;/_journal&gt;&lt;_keywords&gt;Antineoplastic Combined Chemotherapy Protocols/*therapeutic use; Epirubicin/*administration &amp;amp; dosage/adverse effects; Humans; Neoplasm Staging; Stomach Neoplasms/*drug therapy/pathology; Taxoids/*administration &amp;amp; dosage/adverse effects; Treatment OutcomeChemotherapy; Docetaxel; Epirubicin; Gastric cancer&lt;/_keywords&gt;&lt;_language&gt;eng&lt;/_language&gt;&lt;_modified&gt;62373399&lt;/_modified&gt;&lt;_ori_publication&gt;Copyright (c) 2016 Elsevier Ireland Ltd. All rights reserved.&lt;/_ori_publication&gt;&lt;_pages&gt;82-8&lt;/_pages&gt;&lt;_tertiary_title&gt;Critical reviews in oncology/hematology&lt;/_tertiary_title&gt;&lt;_type_work&gt;Comparative Study; Journal Article; Meta-Analysis; Review&lt;/_type_work&gt;&lt;_url&gt;http://www.ncbi.nlm.nih.gov/entrez/query.fcgi?cmd=Retrieve&amp;amp;db=pubmed&amp;amp;dopt=Abstract&amp;amp;list_uids=27083592&amp;amp;query_hl=1&lt;/_url&gt;&lt;_volume&gt;102&lt;/_volume&gt;&lt;/Details&gt;&lt;Extra&gt;&lt;DBUID&gt;{F96A950B-833F-4880-A151-76DA2D6A2879}&lt;/DBUID&gt;&lt;/Extra&gt;&lt;/Item&gt;&lt;/References&gt;&lt;/Group&gt;&lt;Group&gt;&lt;References&gt;&lt;Item&gt;&lt;ID&gt;1281&lt;/ID&gt;&lt;UID&gt;{43CC075D-FBE7-4BC1-9D2A-701D8DEF5ECC}&lt;/UID&gt;&lt;Title&gt;In the nick of time: arterial thrombosis on starting combination chemotherapy in  metastatic gastric adenocarcinoma&lt;/Title&gt;&lt;Template&gt;Journal Article&lt;/Template&gt;&lt;Star&gt;0&lt;/Star&gt;&lt;Tag&gt;0&lt;/Tag&gt;&lt;Author&gt;Boon, I S; Boon, C S&lt;/Author&gt;&lt;Year&gt;2016&lt;/Year&gt;&lt;Details&gt;&lt;_accession_num&gt;26917797&lt;/_accession_num&gt;&lt;_author_adr&gt;University Hospitals Birmingham NHS Foundation Trust, Birmingham, UK.; Oncology Department, Worcestershire Acute NHS Trust, Worcester, UK.&lt;/_author_adr&gt;&lt;_created&gt;62269436&lt;/_created&gt;&lt;_date&gt;2016-02-25&lt;/_date&gt;&lt;_date_display&gt;2016 Feb 25&lt;/_date_display&gt;&lt;_doi&gt;10.1136/bcr-2015-214236&lt;/_doi&gt;&lt;_isbn&gt;1757-790X (Electronic); 1757-790X (Linking)&lt;/_isbn&gt;&lt;_journal&gt;BMJ Case Rep&lt;/_journal&gt;&lt;_keywords&gt;Aged; Anticoagulants/administration &amp;amp; dosage; Antineoplastic Combined Chemotherapy Protocols/*adverse effects/therapeutic use; Enoxaparin/administration &amp;amp; dosage; Humans; Male; Palliative Care; Stomach Neoplasms/blood/*diagnostic imaging/*drug therapy; Thrombosis/*chemically induced/*drug therapy&lt;/_keywords&gt;&lt;_language&gt;eng&lt;/_language&gt;&lt;_modified&gt;62382165&lt;/_modified&gt;&lt;_ori_publication&gt;2016 BMJ Publishing Group Ltd.&lt;/_ori_publication&gt;&lt;_tertiary_title&gt;BMJ case reports&lt;/_tertiary_title&gt;&lt;_type_work&gt;Case Reports; Journal Article&lt;/_type_work&gt;&lt;_url&gt;http://www.ncbi.nlm.nih.gov/entrez/query.fcgi?cmd=Retrieve&amp;amp;db=pubmed&amp;amp;dopt=Abstract&amp;amp;list_uids=26917797&amp;amp;query_hl=1&lt;/_url&gt;&lt;_volume&gt;2016&lt;/_volume&gt;&lt;/Details&gt;&lt;Extra&gt;&lt;DBUID&gt;{F96A950B-833F-4880-A151-76DA2D6A2879}&lt;/DBUID&gt;&lt;/Extra&gt;&lt;/Item&gt;&lt;/References&gt;&lt;/Group&gt;&lt;Group&gt;&lt;References&gt;&lt;Item&gt;&lt;ID&gt;1282&lt;/ID&gt;&lt;UID&gt;{C4108A0E-BEAF-4EFD-BE1C-AD9EDAC2691F}&lt;/UID&gt;&lt;Title&gt;Association between Chemotherapy-Response Assays and Subsets of Tumor-Infiltrating Lymphocytes in Gastric Cancer: A Pilot Study&lt;/Title&gt;&lt;Template&gt;Journal Article&lt;/Template&gt;&lt;Star&gt;0&lt;/Star&gt;&lt;Tag&gt;0&lt;/Tag&gt;&lt;Author&gt;Lee, J Y; Son, T; Cheong, J H; Hyung, W J; Noh, S H; Kim, C B; Park, C G; Kim, H I&lt;/Author&gt;&lt;Year&gt;2015&lt;/Year&gt;&lt;Details&gt;&lt;_accession_num&gt;26819801&lt;/_accession_num&gt;&lt;_author_adr&gt;Department of Surgery, Yonsei University Health System, Yonsei University College of Medicine, Seoul, Korea.; Department of Surgery, Yonsei University Health System, Yonsei University College of Medicine, Seoul, Korea.; Department of Surgery, Yonsei University Health System, Yonsei University College of Medicine, Seoul, Korea.; Department of Surgery, Yonsei University Health System, Yonsei University College of Medicine, Seoul, Korea.; Department of Surgery, Yonsei University Health System, Yonsei University College of Medicine, Seoul, Korea.; Department of Surgery, Yonsei University Health System, Yonsei University College of Medicine, Seoul, Korea.; Translational Xenotransplantation Research Center, Seoul, Korea.; Department of Microbiology and Immunology, Seoul, Korea.; Cancer Research Institute, Seoul National University College of Medicine, Seoul, Korea.; Department of Surgery, Yonsei University Health System, Yonsei University College of Medicine, Seoul, Korea.; Translational Xenotransplantation Research Center, Seoul, Korea.; Department of Microbiology and Immunology, Seoul, Korea.; Cancer Research Institute, Seoul National University College of Medicine, Seoul, Korea.; Open NBI Convergence Technology Research Laboratory, Severance Hospital, Yonsei University Health System, Seoul, Korea.&lt;/_author_adr&gt;&lt;_created&gt;62269436&lt;/_created&gt;&lt;_date&gt;2015-12-01&lt;/_date&gt;&lt;_date_display&gt;2015 Dec&lt;/_date_display&gt;&lt;_doi&gt;10.5230/jgc.2015.15.4.223&lt;/_doi&gt;&lt;_impact_factor&gt;   1.400&lt;/_impact_factor&gt;&lt;_isbn&gt;2093-582X (Print); 1598-1320 (Linking)&lt;/_isbn&gt;&lt;_issue&gt;4&lt;/_issue&gt;&lt;_journal&gt;J Gastric Cancer&lt;/_journal&gt;&lt;_keywords&gt;Adenosine triphosphate; Chemotherapy response assay; Drug screening assays, antitumor; Lymphocytes, tumor-infiltrating; Stomach neoplasms&lt;/_keywords&gt;&lt;_language&gt;eng&lt;/_language&gt;&lt;_modified&gt;62373405&lt;/_modified&gt;&lt;_pages&gt;223-30&lt;/_pages&gt;&lt;_tertiary_title&gt;Journal of gastric cancer&lt;/_tertiary_title&gt;&lt;_type_work&gt;Journal Article&lt;/_type_work&gt;&lt;_url&gt;http://www.ncbi.nlm.nih.gov/entrez/query.fcgi?cmd=Retrieve&amp;amp;db=pubmed&amp;amp;dopt=Abstract&amp;amp;list_uids=26819801&amp;amp;query_hl=1&lt;/_url&gt;&lt;_volume&gt;15&lt;/_volume&gt;&lt;/Details&gt;&lt;Extra&gt;&lt;DBUID&gt;{F96A950B-833F-4880-A151-76DA2D6A2879}&lt;/DBUID&gt;&lt;/Extra&gt;&lt;/Item&gt;&lt;/References&gt;&lt;/Group&gt;&lt;Group&gt;&lt;References&gt;&lt;Item&gt;&lt;ID&gt;1284&lt;/ID&gt;&lt;UID&gt;{6B1F2FD7-294A-48DA-AD33-C75B1E8C29A7}&lt;/UID&gt;&lt;Title&gt;Comparison of efficacy and safety of first-line palliative chemotherapy with EOX  and mDCF regimens in patients with locally advanced inoperable or metastatic HER2-negative gastric or gastroesophageal junction adenocarcinoma: a randomized phase 3 trial&lt;/Title&gt;&lt;Template&gt;Journal Article&lt;/Template&gt;&lt;Star&gt;1&lt;/Star&gt;&lt;Tag&gt;0&lt;/Tag&gt;&lt;Author&gt;Ochenduszko, S; Puskulluoglu, M; Konopka, K; Fijorek, K; Urbanczyk, K; Budzynski, A; Matlok, M; Lazar, A; Sinczak-Kuta, A; Pedziwiatr, M; Krzemieniecki, K&lt;/Author&gt;&lt;Year&gt;2015&lt;/Year&gt;&lt;Details&gt;&lt;_accession_num&gt;26354521&lt;/_accession_num&gt;&lt;_author_adr&gt;Department of Oncology, Jagiellonian University Medical College, Ul.Sniadeckich 10, 31-531, Krakow, Poland. sebaochenduszko@gmail.com.; Department of Oncology, Jagiellonian University Medical College, Ul.Sniadeckich 10, 31-531, Krakow, Poland.; Department of Clinical Oncology, University Hospital in Krakow, Krakow, Poland.; Department of Statistics, Cracow University of Economics, Krakow, Poland.; Department of Pathology, Jagiellonian University Medical College, Krakow, Poland.; 2nd Department of General Surgery, Jagiellonian University Medical College, Krakow, Poland.; 2nd Department of General Surgery, Jagiellonian University Medical College, Krakow, Poland.; Department of Pathology, Jagiellonian University Medical College, Krakow, Poland.; Department of Pathology, Jagiellonian University Medical College, Krakow, Poland.; 2nd Department of General Surgery, Jagiellonian University Medical College, Krakow, Poland.; Department of Oncology, Jagiellonian University Medical College, Ul.Sniadeckich 10, 31-531, Krakow, Poland.&lt;/_author_adr&gt;&lt;_collection_scope&gt;SCIE;&lt;/_collection_scope&gt;&lt;_created&gt;62269436&lt;/_created&gt;&lt;_date&gt;2015-10-01&lt;/_date&gt;&lt;_date_display&gt;2015 Oct&lt;/_date_display&gt;&lt;_doi&gt;10.1007/s12032-015-0687-7&lt;/_doi&gt;&lt;_impact_factor&gt;   2.920&lt;/_impact_factor&gt;&lt;_isbn&gt;1559-131X (Electronic); 1357-0560 (Linking)&lt;/_isbn&gt;&lt;_issue&gt;10&lt;/_issue&gt;&lt;_journal&gt;Med Oncol&lt;/_journal&gt;&lt;_keywords&gt;Adenocarcinoma/*drug therapy/secondary; Antineoplastic Combined Chemotherapy Protocols/*therapeutic use; Capecitabine/administration &amp;amp; dosage/adverse effects; Cisplatin/administration &amp;amp; dosage/adverse effects; Disease-Free Survival; Epirubicin/administration &amp;amp; dosage/adverse effects; Esophageal Neoplasms/*drug therapy; *Esophagogastric Junction; Female; Fluorouracil/administration &amp;amp; dosage/adverse effects; Humans; Kaplan-Meier Estimate; Leucovorin/administration &amp;amp; dosage/adverse effects; Male; Middle Aged; Organoplatinum Compounds/administration &amp;amp; dosage/adverse effects; *Palliative Care; Receptor, ErbB-2; Stomach Neoplasms/*drug therapyEOX; Gastric cancer; Palliative chemotherapy; Safety; Toxicity; mDCF&lt;/_keywords&gt;&lt;_language&gt;eng&lt;/_language&gt;&lt;_modified&gt;62373406&lt;/_modified&gt;&lt;_pages&gt;242&lt;/_pages&gt;&lt;_tertiary_title&gt;Medical oncology (Northwood, London, England)&lt;/_tertiary_title&gt;&lt;_type_work&gt;Clinical Trial, Phase III; Journal Article; Randomized Controlled Trial&lt;/_type_work&gt;&lt;_url&gt;http://www.ncbi.nlm.nih.gov/entrez/query.fcgi?cmd=Retrieve&amp;amp;db=pubmed&amp;amp;dopt=Abstract&amp;amp;list_uids=26354521&amp;amp;query_hl=1&lt;/_url&gt;&lt;_volume&gt;32&lt;/_volume&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104B37"/>
    <w:rsid w:val="000019ED"/>
    <w:rsid w:val="000023A6"/>
    <w:rsid w:val="00003001"/>
    <w:rsid w:val="0000400D"/>
    <w:rsid w:val="00004DC0"/>
    <w:rsid w:val="00006326"/>
    <w:rsid w:val="000157E8"/>
    <w:rsid w:val="00021357"/>
    <w:rsid w:val="00021364"/>
    <w:rsid w:val="00021D99"/>
    <w:rsid w:val="00022017"/>
    <w:rsid w:val="00022568"/>
    <w:rsid w:val="00022E64"/>
    <w:rsid w:val="00023011"/>
    <w:rsid w:val="00024702"/>
    <w:rsid w:val="00025B74"/>
    <w:rsid w:val="00026FB3"/>
    <w:rsid w:val="0003017E"/>
    <w:rsid w:val="00030211"/>
    <w:rsid w:val="0003269E"/>
    <w:rsid w:val="00035A03"/>
    <w:rsid w:val="0003729E"/>
    <w:rsid w:val="00040F85"/>
    <w:rsid w:val="000413C0"/>
    <w:rsid w:val="00043FF8"/>
    <w:rsid w:val="00044283"/>
    <w:rsid w:val="00047638"/>
    <w:rsid w:val="00050F95"/>
    <w:rsid w:val="000525E8"/>
    <w:rsid w:val="00054BDA"/>
    <w:rsid w:val="000613D2"/>
    <w:rsid w:val="00061492"/>
    <w:rsid w:val="000652C8"/>
    <w:rsid w:val="00065F17"/>
    <w:rsid w:val="00066A00"/>
    <w:rsid w:val="0006742E"/>
    <w:rsid w:val="000736BA"/>
    <w:rsid w:val="00075FA8"/>
    <w:rsid w:val="00080EBC"/>
    <w:rsid w:val="00081EDE"/>
    <w:rsid w:val="000855D5"/>
    <w:rsid w:val="000868C7"/>
    <w:rsid w:val="0008724B"/>
    <w:rsid w:val="00090EA1"/>
    <w:rsid w:val="000918BE"/>
    <w:rsid w:val="00095900"/>
    <w:rsid w:val="000A4521"/>
    <w:rsid w:val="000A4786"/>
    <w:rsid w:val="000A6FFE"/>
    <w:rsid w:val="000B02F2"/>
    <w:rsid w:val="000B46E3"/>
    <w:rsid w:val="000B4C42"/>
    <w:rsid w:val="000B64CD"/>
    <w:rsid w:val="000C02A3"/>
    <w:rsid w:val="000C1B51"/>
    <w:rsid w:val="000C4C44"/>
    <w:rsid w:val="000C7EFB"/>
    <w:rsid w:val="000D18EB"/>
    <w:rsid w:val="000D3F06"/>
    <w:rsid w:val="000D5065"/>
    <w:rsid w:val="000D6316"/>
    <w:rsid w:val="000D6BB0"/>
    <w:rsid w:val="000D7378"/>
    <w:rsid w:val="000D7DBE"/>
    <w:rsid w:val="000E413C"/>
    <w:rsid w:val="000E70F9"/>
    <w:rsid w:val="000F13A3"/>
    <w:rsid w:val="000F3CAF"/>
    <w:rsid w:val="00100503"/>
    <w:rsid w:val="00100B4A"/>
    <w:rsid w:val="00101607"/>
    <w:rsid w:val="00102456"/>
    <w:rsid w:val="00104317"/>
    <w:rsid w:val="001047C5"/>
    <w:rsid w:val="00104B37"/>
    <w:rsid w:val="0010569D"/>
    <w:rsid w:val="00105C42"/>
    <w:rsid w:val="001102E8"/>
    <w:rsid w:val="00111D54"/>
    <w:rsid w:val="00113E3F"/>
    <w:rsid w:val="00115438"/>
    <w:rsid w:val="001162BB"/>
    <w:rsid w:val="00120FA1"/>
    <w:rsid w:val="001211A9"/>
    <w:rsid w:val="001220D5"/>
    <w:rsid w:val="00122B1D"/>
    <w:rsid w:val="001251F6"/>
    <w:rsid w:val="001305F3"/>
    <w:rsid w:val="00130A0C"/>
    <w:rsid w:val="00130BA8"/>
    <w:rsid w:val="00130DB5"/>
    <w:rsid w:val="00137218"/>
    <w:rsid w:val="00137CE0"/>
    <w:rsid w:val="00140214"/>
    <w:rsid w:val="00157D9A"/>
    <w:rsid w:val="00160167"/>
    <w:rsid w:val="00161541"/>
    <w:rsid w:val="001634F2"/>
    <w:rsid w:val="001648D8"/>
    <w:rsid w:val="00164A3A"/>
    <w:rsid w:val="001677DA"/>
    <w:rsid w:val="001709B3"/>
    <w:rsid w:val="00176476"/>
    <w:rsid w:val="00176933"/>
    <w:rsid w:val="00177491"/>
    <w:rsid w:val="0018133C"/>
    <w:rsid w:val="00181496"/>
    <w:rsid w:val="001815E2"/>
    <w:rsid w:val="001825BB"/>
    <w:rsid w:val="00192291"/>
    <w:rsid w:val="001930B9"/>
    <w:rsid w:val="0019336D"/>
    <w:rsid w:val="00195746"/>
    <w:rsid w:val="00195F8F"/>
    <w:rsid w:val="001A0A0E"/>
    <w:rsid w:val="001A0CED"/>
    <w:rsid w:val="001A5E50"/>
    <w:rsid w:val="001A7669"/>
    <w:rsid w:val="001A7A30"/>
    <w:rsid w:val="001B3748"/>
    <w:rsid w:val="001B4B9F"/>
    <w:rsid w:val="001C31BA"/>
    <w:rsid w:val="001C54AF"/>
    <w:rsid w:val="001D41DC"/>
    <w:rsid w:val="001D6227"/>
    <w:rsid w:val="001E0B17"/>
    <w:rsid w:val="001E6A4B"/>
    <w:rsid w:val="001F1575"/>
    <w:rsid w:val="001F1DDE"/>
    <w:rsid w:val="001F7341"/>
    <w:rsid w:val="001F7372"/>
    <w:rsid w:val="001F7C69"/>
    <w:rsid w:val="002001D7"/>
    <w:rsid w:val="0020492B"/>
    <w:rsid w:val="00206FEA"/>
    <w:rsid w:val="002114F1"/>
    <w:rsid w:val="0021197E"/>
    <w:rsid w:val="00212C45"/>
    <w:rsid w:val="00214F03"/>
    <w:rsid w:val="00215A4A"/>
    <w:rsid w:val="00217E7B"/>
    <w:rsid w:val="00221A0E"/>
    <w:rsid w:val="00221E90"/>
    <w:rsid w:val="00224ADA"/>
    <w:rsid w:val="00227520"/>
    <w:rsid w:val="00227781"/>
    <w:rsid w:val="00233BF2"/>
    <w:rsid w:val="002356A1"/>
    <w:rsid w:val="00235BFE"/>
    <w:rsid w:val="00235E96"/>
    <w:rsid w:val="002422AC"/>
    <w:rsid w:val="00242D46"/>
    <w:rsid w:val="002434C7"/>
    <w:rsid w:val="00245912"/>
    <w:rsid w:val="0025266E"/>
    <w:rsid w:val="0025398E"/>
    <w:rsid w:val="00255A52"/>
    <w:rsid w:val="00257280"/>
    <w:rsid w:val="002639A6"/>
    <w:rsid w:val="00267F8C"/>
    <w:rsid w:val="00270151"/>
    <w:rsid w:val="00271857"/>
    <w:rsid w:val="00271935"/>
    <w:rsid w:val="00271B31"/>
    <w:rsid w:val="002724A6"/>
    <w:rsid w:val="0028138F"/>
    <w:rsid w:val="00281CF4"/>
    <w:rsid w:val="0029073D"/>
    <w:rsid w:val="00291A24"/>
    <w:rsid w:val="002929A5"/>
    <w:rsid w:val="002939CE"/>
    <w:rsid w:val="0029713F"/>
    <w:rsid w:val="002A0EFB"/>
    <w:rsid w:val="002A1083"/>
    <w:rsid w:val="002A55B8"/>
    <w:rsid w:val="002A61BA"/>
    <w:rsid w:val="002B2E6B"/>
    <w:rsid w:val="002B4954"/>
    <w:rsid w:val="002B4C0B"/>
    <w:rsid w:val="002B59FE"/>
    <w:rsid w:val="002B6514"/>
    <w:rsid w:val="002C11F6"/>
    <w:rsid w:val="002C1EA5"/>
    <w:rsid w:val="002C2C66"/>
    <w:rsid w:val="002C3CF9"/>
    <w:rsid w:val="002C46D3"/>
    <w:rsid w:val="002C4978"/>
    <w:rsid w:val="002C53C2"/>
    <w:rsid w:val="002C684D"/>
    <w:rsid w:val="002C7165"/>
    <w:rsid w:val="002C7F05"/>
    <w:rsid w:val="002D0428"/>
    <w:rsid w:val="002D1AD5"/>
    <w:rsid w:val="002D3154"/>
    <w:rsid w:val="002D370C"/>
    <w:rsid w:val="002D403F"/>
    <w:rsid w:val="002E2290"/>
    <w:rsid w:val="002E258C"/>
    <w:rsid w:val="002E6446"/>
    <w:rsid w:val="002F1CBE"/>
    <w:rsid w:val="002F323C"/>
    <w:rsid w:val="002F475E"/>
    <w:rsid w:val="00300201"/>
    <w:rsid w:val="00301C6E"/>
    <w:rsid w:val="00303AAF"/>
    <w:rsid w:val="003061A8"/>
    <w:rsid w:val="00315574"/>
    <w:rsid w:val="00315B73"/>
    <w:rsid w:val="00316F09"/>
    <w:rsid w:val="00317C8C"/>
    <w:rsid w:val="00317DCC"/>
    <w:rsid w:val="0032024A"/>
    <w:rsid w:val="00320374"/>
    <w:rsid w:val="00320A8A"/>
    <w:rsid w:val="00320ABA"/>
    <w:rsid w:val="00323127"/>
    <w:rsid w:val="003238CF"/>
    <w:rsid w:val="003273DE"/>
    <w:rsid w:val="003275F9"/>
    <w:rsid w:val="00331AAA"/>
    <w:rsid w:val="00331FC9"/>
    <w:rsid w:val="003327E1"/>
    <w:rsid w:val="00334B40"/>
    <w:rsid w:val="00335594"/>
    <w:rsid w:val="00341C96"/>
    <w:rsid w:val="003438DB"/>
    <w:rsid w:val="003461D9"/>
    <w:rsid w:val="00351E32"/>
    <w:rsid w:val="00351E99"/>
    <w:rsid w:val="00354378"/>
    <w:rsid w:val="00354898"/>
    <w:rsid w:val="00356E85"/>
    <w:rsid w:val="0035755B"/>
    <w:rsid w:val="00361C4E"/>
    <w:rsid w:val="003638DB"/>
    <w:rsid w:val="00373898"/>
    <w:rsid w:val="00374AFE"/>
    <w:rsid w:val="003756FB"/>
    <w:rsid w:val="00375B1B"/>
    <w:rsid w:val="00377C8C"/>
    <w:rsid w:val="00380D99"/>
    <w:rsid w:val="00383922"/>
    <w:rsid w:val="00384046"/>
    <w:rsid w:val="003846CA"/>
    <w:rsid w:val="00384F02"/>
    <w:rsid w:val="003853F1"/>
    <w:rsid w:val="003863D8"/>
    <w:rsid w:val="00390534"/>
    <w:rsid w:val="003905C2"/>
    <w:rsid w:val="003917C8"/>
    <w:rsid w:val="00396A4E"/>
    <w:rsid w:val="003A31AB"/>
    <w:rsid w:val="003A5D50"/>
    <w:rsid w:val="003B0A45"/>
    <w:rsid w:val="003B1467"/>
    <w:rsid w:val="003B5A58"/>
    <w:rsid w:val="003B7469"/>
    <w:rsid w:val="003C06BF"/>
    <w:rsid w:val="003C191D"/>
    <w:rsid w:val="003C4A2D"/>
    <w:rsid w:val="003C710B"/>
    <w:rsid w:val="003D0EAB"/>
    <w:rsid w:val="003D1AA4"/>
    <w:rsid w:val="003D6A72"/>
    <w:rsid w:val="003E1FBD"/>
    <w:rsid w:val="003E31C6"/>
    <w:rsid w:val="003E5DD6"/>
    <w:rsid w:val="003F065A"/>
    <w:rsid w:val="003F267F"/>
    <w:rsid w:val="003F54D4"/>
    <w:rsid w:val="003F7286"/>
    <w:rsid w:val="0041364F"/>
    <w:rsid w:val="004200A9"/>
    <w:rsid w:val="0042111A"/>
    <w:rsid w:val="00426271"/>
    <w:rsid w:val="004264C8"/>
    <w:rsid w:val="00427F56"/>
    <w:rsid w:val="00431D8D"/>
    <w:rsid w:val="0043558B"/>
    <w:rsid w:val="00440146"/>
    <w:rsid w:val="004433AC"/>
    <w:rsid w:val="004521E2"/>
    <w:rsid w:val="00463364"/>
    <w:rsid w:val="00465EA1"/>
    <w:rsid w:val="00466F06"/>
    <w:rsid w:val="004674F5"/>
    <w:rsid w:val="0047121A"/>
    <w:rsid w:val="004737EA"/>
    <w:rsid w:val="0047395E"/>
    <w:rsid w:val="00474946"/>
    <w:rsid w:val="0048024E"/>
    <w:rsid w:val="0048175F"/>
    <w:rsid w:val="004823CE"/>
    <w:rsid w:val="004838BE"/>
    <w:rsid w:val="00483EBF"/>
    <w:rsid w:val="00486936"/>
    <w:rsid w:val="004917C4"/>
    <w:rsid w:val="00491F74"/>
    <w:rsid w:val="00492894"/>
    <w:rsid w:val="004947CB"/>
    <w:rsid w:val="004A2C74"/>
    <w:rsid w:val="004A3996"/>
    <w:rsid w:val="004A46D2"/>
    <w:rsid w:val="004A4E05"/>
    <w:rsid w:val="004A53A7"/>
    <w:rsid w:val="004A62FF"/>
    <w:rsid w:val="004A68FA"/>
    <w:rsid w:val="004A79C7"/>
    <w:rsid w:val="004B01BD"/>
    <w:rsid w:val="004B02E9"/>
    <w:rsid w:val="004B17DE"/>
    <w:rsid w:val="004B50F9"/>
    <w:rsid w:val="004B5D89"/>
    <w:rsid w:val="004B78FD"/>
    <w:rsid w:val="004C50C0"/>
    <w:rsid w:val="004C5D4B"/>
    <w:rsid w:val="004C6DFF"/>
    <w:rsid w:val="004C6FEB"/>
    <w:rsid w:val="004C7500"/>
    <w:rsid w:val="004D076C"/>
    <w:rsid w:val="004D1D25"/>
    <w:rsid w:val="004D38A5"/>
    <w:rsid w:val="004D3A91"/>
    <w:rsid w:val="004E0375"/>
    <w:rsid w:val="004E0408"/>
    <w:rsid w:val="004E2A52"/>
    <w:rsid w:val="004E43BD"/>
    <w:rsid w:val="004E45BE"/>
    <w:rsid w:val="004E5C9B"/>
    <w:rsid w:val="004E6E83"/>
    <w:rsid w:val="004E743A"/>
    <w:rsid w:val="004F0580"/>
    <w:rsid w:val="004F4D66"/>
    <w:rsid w:val="004F56E5"/>
    <w:rsid w:val="004F6055"/>
    <w:rsid w:val="00500EC3"/>
    <w:rsid w:val="00501837"/>
    <w:rsid w:val="00502B3C"/>
    <w:rsid w:val="005033F5"/>
    <w:rsid w:val="00505221"/>
    <w:rsid w:val="00511541"/>
    <w:rsid w:val="00512087"/>
    <w:rsid w:val="00512DC1"/>
    <w:rsid w:val="00512EED"/>
    <w:rsid w:val="0051352F"/>
    <w:rsid w:val="005153CA"/>
    <w:rsid w:val="005200B8"/>
    <w:rsid w:val="005202A1"/>
    <w:rsid w:val="0052041F"/>
    <w:rsid w:val="005210B5"/>
    <w:rsid w:val="00522EC8"/>
    <w:rsid w:val="00525929"/>
    <w:rsid w:val="00525D95"/>
    <w:rsid w:val="00530CDD"/>
    <w:rsid w:val="0053348F"/>
    <w:rsid w:val="00535768"/>
    <w:rsid w:val="005363FD"/>
    <w:rsid w:val="00541193"/>
    <w:rsid w:val="005433DB"/>
    <w:rsid w:val="00544D27"/>
    <w:rsid w:val="00551DA2"/>
    <w:rsid w:val="005536D7"/>
    <w:rsid w:val="00553752"/>
    <w:rsid w:val="005544B5"/>
    <w:rsid w:val="0055466B"/>
    <w:rsid w:val="005577E6"/>
    <w:rsid w:val="005578A6"/>
    <w:rsid w:val="005600F0"/>
    <w:rsid w:val="00560C28"/>
    <w:rsid w:val="00562A01"/>
    <w:rsid w:val="0056372E"/>
    <w:rsid w:val="005640BA"/>
    <w:rsid w:val="00564641"/>
    <w:rsid w:val="005650F6"/>
    <w:rsid w:val="00565291"/>
    <w:rsid w:val="0057652B"/>
    <w:rsid w:val="00577787"/>
    <w:rsid w:val="00577D79"/>
    <w:rsid w:val="00583E8D"/>
    <w:rsid w:val="0058432E"/>
    <w:rsid w:val="005843B5"/>
    <w:rsid w:val="00584C61"/>
    <w:rsid w:val="00585691"/>
    <w:rsid w:val="0058660F"/>
    <w:rsid w:val="00587F9F"/>
    <w:rsid w:val="0059316E"/>
    <w:rsid w:val="005949BE"/>
    <w:rsid w:val="00596906"/>
    <w:rsid w:val="00597040"/>
    <w:rsid w:val="00597D2E"/>
    <w:rsid w:val="005A02BE"/>
    <w:rsid w:val="005A041E"/>
    <w:rsid w:val="005A1456"/>
    <w:rsid w:val="005A19B0"/>
    <w:rsid w:val="005A215B"/>
    <w:rsid w:val="005A4E8E"/>
    <w:rsid w:val="005B0248"/>
    <w:rsid w:val="005B0BDD"/>
    <w:rsid w:val="005B3614"/>
    <w:rsid w:val="005B7749"/>
    <w:rsid w:val="005B7E58"/>
    <w:rsid w:val="005C3AC7"/>
    <w:rsid w:val="005C428E"/>
    <w:rsid w:val="005C7739"/>
    <w:rsid w:val="005C7E6B"/>
    <w:rsid w:val="005E27F7"/>
    <w:rsid w:val="005E488D"/>
    <w:rsid w:val="005E4FA9"/>
    <w:rsid w:val="00600727"/>
    <w:rsid w:val="00601074"/>
    <w:rsid w:val="00604EDE"/>
    <w:rsid w:val="00605072"/>
    <w:rsid w:val="0060656C"/>
    <w:rsid w:val="006067FE"/>
    <w:rsid w:val="00606B69"/>
    <w:rsid w:val="006071F7"/>
    <w:rsid w:val="00612718"/>
    <w:rsid w:val="006147A5"/>
    <w:rsid w:val="00615CDC"/>
    <w:rsid w:val="0062001A"/>
    <w:rsid w:val="0062090D"/>
    <w:rsid w:val="00620CBB"/>
    <w:rsid w:val="006220FF"/>
    <w:rsid w:val="00627BFD"/>
    <w:rsid w:val="006303E2"/>
    <w:rsid w:val="0063771D"/>
    <w:rsid w:val="006403D2"/>
    <w:rsid w:val="006431CB"/>
    <w:rsid w:val="006462B2"/>
    <w:rsid w:val="00657149"/>
    <w:rsid w:val="006571B7"/>
    <w:rsid w:val="00660EE7"/>
    <w:rsid w:val="00663A30"/>
    <w:rsid w:val="006643AE"/>
    <w:rsid w:val="00670152"/>
    <w:rsid w:val="0067785F"/>
    <w:rsid w:val="00680C4F"/>
    <w:rsid w:val="00681C4D"/>
    <w:rsid w:val="00683FB2"/>
    <w:rsid w:val="00691181"/>
    <w:rsid w:val="006919F4"/>
    <w:rsid w:val="00691BF8"/>
    <w:rsid w:val="006958A9"/>
    <w:rsid w:val="0069674A"/>
    <w:rsid w:val="006A07B3"/>
    <w:rsid w:val="006A0FA7"/>
    <w:rsid w:val="006A117F"/>
    <w:rsid w:val="006A4D09"/>
    <w:rsid w:val="006A4E80"/>
    <w:rsid w:val="006A66BB"/>
    <w:rsid w:val="006B42DA"/>
    <w:rsid w:val="006B447F"/>
    <w:rsid w:val="006C6D77"/>
    <w:rsid w:val="006D31C0"/>
    <w:rsid w:val="006D3314"/>
    <w:rsid w:val="006D4CFF"/>
    <w:rsid w:val="006E0558"/>
    <w:rsid w:val="006E60C6"/>
    <w:rsid w:val="006F1408"/>
    <w:rsid w:val="006F2D8A"/>
    <w:rsid w:val="006F4DAC"/>
    <w:rsid w:val="006F54D8"/>
    <w:rsid w:val="00700D0A"/>
    <w:rsid w:val="00705FD1"/>
    <w:rsid w:val="00713C8A"/>
    <w:rsid w:val="00715439"/>
    <w:rsid w:val="00716888"/>
    <w:rsid w:val="007175D9"/>
    <w:rsid w:val="00717746"/>
    <w:rsid w:val="00720BDD"/>
    <w:rsid w:val="00720D0B"/>
    <w:rsid w:val="00721291"/>
    <w:rsid w:val="0072295C"/>
    <w:rsid w:val="007230C1"/>
    <w:rsid w:val="0072464E"/>
    <w:rsid w:val="00726569"/>
    <w:rsid w:val="00731932"/>
    <w:rsid w:val="00731A56"/>
    <w:rsid w:val="00735D91"/>
    <w:rsid w:val="0074254B"/>
    <w:rsid w:val="0074377A"/>
    <w:rsid w:val="00744F6D"/>
    <w:rsid w:val="00745FE9"/>
    <w:rsid w:val="007535D1"/>
    <w:rsid w:val="007600AB"/>
    <w:rsid w:val="00760DDF"/>
    <w:rsid w:val="007616EC"/>
    <w:rsid w:val="00762DDF"/>
    <w:rsid w:val="00763F3C"/>
    <w:rsid w:val="00767BEF"/>
    <w:rsid w:val="00770DC2"/>
    <w:rsid w:val="00775B3F"/>
    <w:rsid w:val="00776831"/>
    <w:rsid w:val="00783301"/>
    <w:rsid w:val="00783EE6"/>
    <w:rsid w:val="007845E9"/>
    <w:rsid w:val="00785042"/>
    <w:rsid w:val="00794791"/>
    <w:rsid w:val="00794A64"/>
    <w:rsid w:val="007962F1"/>
    <w:rsid w:val="007A147F"/>
    <w:rsid w:val="007A2101"/>
    <w:rsid w:val="007A4450"/>
    <w:rsid w:val="007A626F"/>
    <w:rsid w:val="007A7267"/>
    <w:rsid w:val="007B0858"/>
    <w:rsid w:val="007B5CB3"/>
    <w:rsid w:val="007B7930"/>
    <w:rsid w:val="007C0674"/>
    <w:rsid w:val="007C38D8"/>
    <w:rsid w:val="007C6AA6"/>
    <w:rsid w:val="007D34B7"/>
    <w:rsid w:val="007E026A"/>
    <w:rsid w:val="007E3190"/>
    <w:rsid w:val="007F2B15"/>
    <w:rsid w:val="007F7327"/>
    <w:rsid w:val="007F795E"/>
    <w:rsid w:val="007F7F2A"/>
    <w:rsid w:val="00801452"/>
    <w:rsid w:val="00801F82"/>
    <w:rsid w:val="0080237B"/>
    <w:rsid w:val="00804A9E"/>
    <w:rsid w:val="00804D6E"/>
    <w:rsid w:val="008066EF"/>
    <w:rsid w:val="00807F53"/>
    <w:rsid w:val="00807FF8"/>
    <w:rsid w:val="00815D56"/>
    <w:rsid w:val="00816843"/>
    <w:rsid w:val="00816FFE"/>
    <w:rsid w:val="0081728B"/>
    <w:rsid w:val="00817342"/>
    <w:rsid w:val="00817F46"/>
    <w:rsid w:val="0082227C"/>
    <w:rsid w:val="00826B05"/>
    <w:rsid w:val="008302E2"/>
    <w:rsid w:val="0083176F"/>
    <w:rsid w:val="00831D7E"/>
    <w:rsid w:val="00832147"/>
    <w:rsid w:val="00833292"/>
    <w:rsid w:val="0083525B"/>
    <w:rsid w:val="008406F7"/>
    <w:rsid w:val="00841DD6"/>
    <w:rsid w:val="0084492F"/>
    <w:rsid w:val="0084649F"/>
    <w:rsid w:val="00846D5A"/>
    <w:rsid w:val="00847565"/>
    <w:rsid w:val="008510D1"/>
    <w:rsid w:val="008537B3"/>
    <w:rsid w:val="008566A6"/>
    <w:rsid w:val="00860260"/>
    <w:rsid w:val="00860E69"/>
    <w:rsid w:val="00863DF3"/>
    <w:rsid w:val="00866BDB"/>
    <w:rsid w:val="008735BA"/>
    <w:rsid w:val="00874067"/>
    <w:rsid w:val="00874151"/>
    <w:rsid w:val="0087597D"/>
    <w:rsid w:val="00875BE6"/>
    <w:rsid w:val="00875F6C"/>
    <w:rsid w:val="00881C2D"/>
    <w:rsid w:val="0088250F"/>
    <w:rsid w:val="008837DF"/>
    <w:rsid w:val="00883845"/>
    <w:rsid w:val="00885C5A"/>
    <w:rsid w:val="00891FC1"/>
    <w:rsid w:val="00895F46"/>
    <w:rsid w:val="008A09D6"/>
    <w:rsid w:val="008A0AC0"/>
    <w:rsid w:val="008A17E3"/>
    <w:rsid w:val="008A1995"/>
    <w:rsid w:val="008A39BE"/>
    <w:rsid w:val="008A4669"/>
    <w:rsid w:val="008A5609"/>
    <w:rsid w:val="008A6BED"/>
    <w:rsid w:val="008B4251"/>
    <w:rsid w:val="008B5A14"/>
    <w:rsid w:val="008B6862"/>
    <w:rsid w:val="008B6871"/>
    <w:rsid w:val="008B68F8"/>
    <w:rsid w:val="008B6BE9"/>
    <w:rsid w:val="008B7913"/>
    <w:rsid w:val="008B7D08"/>
    <w:rsid w:val="008C085C"/>
    <w:rsid w:val="008C11C5"/>
    <w:rsid w:val="008C1FEC"/>
    <w:rsid w:val="008C2713"/>
    <w:rsid w:val="008C2CAE"/>
    <w:rsid w:val="008C43BA"/>
    <w:rsid w:val="008C44BE"/>
    <w:rsid w:val="008C573A"/>
    <w:rsid w:val="008C6044"/>
    <w:rsid w:val="008C7C54"/>
    <w:rsid w:val="008D1DDC"/>
    <w:rsid w:val="008D695A"/>
    <w:rsid w:val="008E0D56"/>
    <w:rsid w:val="008E1DB3"/>
    <w:rsid w:val="008E663E"/>
    <w:rsid w:val="008F0200"/>
    <w:rsid w:val="008F1BF1"/>
    <w:rsid w:val="008F5385"/>
    <w:rsid w:val="008F68C7"/>
    <w:rsid w:val="00902CD4"/>
    <w:rsid w:val="0090356A"/>
    <w:rsid w:val="009061A3"/>
    <w:rsid w:val="009065E8"/>
    <w:rsid w:val="00907D17"/>
    <w:rsid w:val="009103E5"/>
    <w:rsid w:val="00913E09"/>
    <w:rsid w:val="00914738"/>
    <w:rsid w:val="00917F9C"/>
    <w:rsid w:val="00920080"/>
    <w:rsid w:val="009220BA"/>
    <w:rsid w:val="00922F59"/>
    <w:rsid w:val="009341FC"/>
    <w:rsid w:val="00943912"/>
    <w:rsid w:val="00944257"/>
    <w:rsid w:val="009454C2"/>
    <w:rsid w:val="00947B1B"/>
    <w:rsid w:val="00952BEC"/>
    <w:rsid w:val="009534EB"/>
    <w:rsid w:val="00954A1C"/>
    <w:rsid w:val="00955142"/>
    <w:rsid w:val="009552CC"/>
    <w:rsid w:val="009557AB"/>
    <w:rsid w:val="009557CD"/>
    <w:rsid w:val="00955986"/>
    <w:rsid w:val="009565A0"/>
    <w:rsid w:val="00956C3D"/>
    <w:rsid w:val="00961FF5"/>
    <w:rsid w:val="00962C2F"/>
    <w:rsid w:val="00964467"/>
    <w:rsid w:val="00964B2B"/>
    <w:rsid w:val="00966FEB"/>
    <w:rsid w:val="0096725B"/>
    <w:rsid w:val="00967A1C"/>
    <w:rsid w:val="009745A3"/>
    <w:rsid w:val="00975E27"/>
    <w:rsid w:val="00976BC8"/>
    <w:rsid w:val="00976E72"/>
    <w:rsid w:val="00981BC9"/>
    <w:rsid w:val="00982504"/>
    <w:rsid w:val="009825D9"/>
    <w:rsid w:val="0098678D"/>
    <w:rsid w:val="00987B5D"/>
    <w:rsid w:val="00990AEE"/>
    <w:rsid w:val="0099376A"/>
    <w:rsid w:val="0099376C"/>
    <w:rsid w:val="009949FA"/>
    <w:rsid w:val="00994FB9"/>
    <w:rsid w:val="009A1731"/>
    <w:rsid w:val="009A4249"/>
    <w:rsid w:val="009A462C"/>
    <w:rsid w:val="009A5F64"/>
    <w:rsid w:val="009A65CD"/>
    <w:rsid w:val="009B5CB6"/>
    <w:rsid w:val="009B6997"/>
    <w:rsid w:val="009B6F55"/>
    <w:rsid w:val="009C1A1C"/>
    <w:rsid w:val="009C561B"/>
    <w:rsid w:val="009C65A9"/>
    <w:rsid w:val="009D266D"/>
    <w:rsid w:val="009D3432"/>
    <w:rsid w:val="009D3816"/>
    <w:rsid w:val="009D3FB7"/>
    <w:rsid w:val="009D660E"/>
    <w:rsid w:val="009E680E"/>
    <w:rsid w:val="009E6DB7"/>
    <w:rsid w:val="009F0A6F"/>
    <w:rsid w:val="009F1C40"/>
    <w:rsid w:val="009F223A"/>
    <w:rsid w:val="009F6D73"/>
    <w:rsid w:val="009F7CCB"/>
    <w:rsid w:val="00A022C0"/>
    <w:rsid w:val="00A02ABE"/>
    <w:rsid w:val="00A055A6"/>
    <w:rsid w:val="00A07C9D"/>
    <w:rsid w:val="00A10E3D"/>
    <w:rsid w:val="00A11D20"/>
    <w:rsid w:val="00A13376"/>
    <w:rsid w:val="00A13734"/>
    <w:rsid w:val="00A2052B"/>
    <w:rsid w:val="00A27C67"/>
    <w:rsid w:val="00A32BEC"/>
    <w:rsid w:val="00A40378"/>
    <w:rsid w:val="00A41402"/>
    <w:rsid w:val="00A42CA2"/>
    <w:rsid w:val="00A4351A"/>
    <w:rsid w:val="00A4399C"/>
    <w:rsid w:val="00A50249"/>
    <w:rsid w:val="00A53474"/>
    <w:rsid w:val="00A609C9"/>
    <w:rsid w:val="00A62336"/>
    <w:rsid w:val="00A62F69"/>
    <w:rsid w:val="00A63E3E"/>
    <w:rsid w:val="00A6688E"/>
    <w:rsid w:val="00A74182"/>
    <w:rsid w:val="00A7578C"/>
    <w:rsid w:val="00A762B5"/>
    <w:rsid w:val="00A7710E"/>
    <w:rsid w:val="00A7761E"/>
    <w:rsid w:val="00A808CD"/>
    <w:rsid w:val="00A86355"/>
    <w:rsid w:val="00A903C7"/>
    <w:rsid w:val="00A9273F"/>
    <w:rsid w:val="00A92CCE"/>
    <w:rsid w:val="00A92F14"/>
    <w:rsid w:val="00A94927"/>
    <w:rsid w:val="00A96E45"/>
    <w:rsid w:val="00AA028A"/>
    <w:rsid w:val="00AA0AB8"/>
    <w:rsid w:val="00AA164E"/>
    <w:rsid w:val="00AA206C"/>
    <w:rsid w:val="00AA34B9"/>
    <w:rsid w:val="00AA359E"/>
    <w:rsid w:val="00AA3D7A"/>
    <w:rsid w:val="00AA49E6"/>
    <w:rsid w:val="00AA5A26"/>
    <w:rsid w:val="00AA6DA2"/>
    <w:rsid w:val="00AA77DF"/>
    <w:rsid w:val="00AB0158"/>
    <w:rsid w:val="00AB1553"/>
    <w:rsid w:val="00AB2122"/>
    <w:rsid w:val="00AB3095"/>
    <w:rsid w:val="00AB3D0C"/>
    <w:rsid w:val="00AB4BB0"/>
    <w:rsid w:val="00AB5B71"/>
    <w:rsid w:val="00AB76DB"/>
    <w:rsid w:val="00AC0427"/>
    <w:rsid w:val="00AC3A5A"/>
    <w:rsid w:val="00AC7F3A"/>
    <w:rsid w:val="00AD5FEA"/>
    <w:rsid w:val="00AD6AD4"/>
    <w:rsid w:val="00AE12D1"/>
    <w:rsid w:val="00AE5377"/>
    <w:rsid w:val="00AE5FC7"/>
    <w:rsid w:val="00AE6821"/>
    <w:rsid w:val="00AE6FC1"/>
    <w:rsid w:val="00AE79AA"/>
    <w:rsid w:val="00AF0BE8"/>
    <w:rsid w:val="00AF1064"/>
    <w:rsid w:val="00AF3426"/>
    <w:rsid w:val="00AF4352"/>
    <w:rsid w:val="00B00984"/>
    <w:rsid w:val="00B11388"/>
    <w:rsid w:val="00B1147E"/>
    <w:rsid w:val="00B1284E"/>
    <w:rsid w:val="00B147D3"/>
    <w:rsid w:val="00B14E1D"/>
    <w:rsid w:val="00B1604F"/>
    <w:rsid w:val="00B222C2"/>
    <w:rsid w:val="00B22AC8"/>
    <w:rsid w:val="00B23EA8"/>
    <w:rsid w:val="00B27D84"/>
    <w:rsid w:val="00B310C0"/>
    <w:rsid w:val="00B31545"/>
    <w:rsid w:val="00B3258F"/>
    <w:rsid w:val="00B32690"/>
    <w:rsid w:val="00B34F68"/>
    <w:rsid w:val="00B36A77"/>
    <w:rsid w:val="00B37871"/>
    <w:rsid w:val="00B37D3F"/>
    <w:rsid w:val="00B4384A"/>
    <w:rsid w:val="00B43F7B"/>
    <w:rsid w:val="00B4575F"/>
    <w:rsid w:val="00B52748"/>
    <w:rsid w:val="00B527A8"/>
    <w:rsid w:val="00B615AF"/>
    <w:rsid w:val="00B66926"/>
    <w:rsid w:val="00B70F4A"/>
    <w:rsid w:val="00B71A52"/>
    <w:rsid w:val="00B8342B"/>
    <w:rsid w:val="00B83C94"/>
    <w:rsid w:val="00B85F7B"/>
    <w:rsid w:val="00B8729F"/>
    <w:rsid w:val="00B8766C"/>
    <w:rsid w:val="00B87854"/>
    <w:rsid w:val="00B9406B"/>
    <w:rsid w:val="00B96CE1"/>
    <w:rsid w:val="00BA2E7B"/>
    <w:rsid w:val="00BA2EB8"/>
    <w:rsid w:val="00BA509E"/>
    <w:rsid w:val="00BA6A6E"/>
    <w:rsid w:val="00BB1A0E"/>
    <w:rsid w:val="00BB666B"/>
    <w:rsid w:val="00BB6F24"/>
    <w:rsid w:val="00BB72A2"/>
    <w:rsid w:val="00BC16AD"/>
    <w:rsid w:val="00BC19D5"/>
    <w:rsid w:val="00BC2276"/>
    <w:rsid w:val="00BC229B"/>
    <w:rsid w:val="00BC245E"/>
    <w:rsid w:val="00BC3FC8"/>
    <w:rsid w:val="00BC699D"/>
    <w:rsid w:val="00BC721D"/>
    <w:rsid w:val="00BD07FF"/>
    <w:rsid w:val="00BD2DD1"/>
    <w:rsid w:val="00BD56B0"/>
    <w:rsid w:val="00BE1052"/>
    <w:rsid w:val="00BE226D"/>
    <w:rsid w:val="00BE3849"/>
    <w:rsid w:val="00BE59DF"/>
    <w:rsid w:val="00BF179D"/>
    <w:rsid w:val="00BF3044"/>
    <w:rsid w:val="00BF3D5E"/>
    <w:rsid w:val="00BF404F"/>
    <w:rsid w:val="00BF71D3"/>
    <w:rsid w:val="00C0366F"/>
    <w:rsid w:val="00C04769"/>
    <w:rsid w:val="00C056B5"/>
    <w:rsid w:val="00C118B0"/>
    <w:rsid w:val="00C11E34"/>
    <w:rsid w:val="00C150E5"/>
    <w:rsid w:val="00C27911"/>
    <w:rsid w:val="00C33719"/>
    <w:rsid w:val="00C338DB"/>
    <w:rsid w:val="00C35EFB"/>
    <w:rsid w:val="00C47096"/>
    <w:rsid w:val="00C54095"/>
    <w:rsid w:val="00C637ED"/>
    <w:rsid w:val="00C6430B"/>
    <w:rsid w:val="00C6499A"/>
    <w:rsid w:val="00C65B43"/>
    <w:rsid w:val="00C667B3"/>
    <w:rsid w:val="00C66DB2"/>
    <w:rsid w:val="00C71DBC"/>
    <w:rsid w:val="00C7224F"/>
    <w:rsid w:val="00C758E6"/>
    <w:rsid w:val="00C759DE"/>
    <w:rsid w:val="00C77713"/>
    <w:rsid w:val="00C83F4E"/>
    <w:rsid w:val="00C84070"/>
    <w:rsid w:val="00C847E8"/>
    <w:rsid w:val="00C856E4"/>
    <w:rsid w:val="00C862A1"/>
    <w:rsid w:val="00C86721"/>
    <w:rsid w:val="00C86C7A"/>
    <w:rsid w:val="00C87D98"/>
    <w:rsid w:val="00C90A58"/>
    <w:rsid w:val="00C90CE1"/>
    <w:rsid w:val="00C927F4"/>
    <w:rsid w:val="00C93578"/>
    <w:rsid w:val="00C94295"/>
    <w:rsid w:val="00C9440B"/>
    <w:rsid w:val="00C94F9E"/>
    <w:rsid w:val="00C95F7A"/>
    <w:rsid w:val="00C97939"/>
    <w:rsid w:val="00C97D63"/>
    <w:rsid w:val="00CA0CD4"/>
    <w:rsid w:val="00CA23E6"/>
    <w:rsid w:val="00CA4528"/>
    <w:rsid w:val="00CB2346"/>
    <w:rsid w:val="00CB2419"/>
    <w:rsid w:val="00CB37E0"/>
    <w:rsid w:val="00CB5AB5"/>
    <w:rsid w:val="00CB740B"/>
    <w:rsid w:val="00CC4359"/>
    <w:rsid w:val="00CD274A"/>
    <w:rsid w:val="00CD2CEE"/>
    <w:rsid w:val="00CD332C"/>
    <w:rsid w:val="00CD63AF"/>
    <w:rsid w:val="00CD73E6"/>
    <w:rsid w:val="00CE3ADA"/>
    <w:rsid w:val="00CE40FC"/>
    <w:rsid w:val="00CF0522"/>
    <w:rsid w:val="00CF3EDD"/>
    <w:rsid w:val="00CF4D7F"/>
    <w:rsid w:val="00D00AEF"/>
    <w:rsid w:val="00D011EB"/>
    <w:rsid w:val="00D01ACF"/>
    <w:rsid w:val="00D07455"/>
    <w:rsid w:val="00D11B23"/>
    <w:rsid w:val="00D14C21"/>
    <w:rsid w:val="00D14CAC"/>
    <w:rsid w:val="00D20784"/>
    <w:rsid w:val="00D224F0"/>
    <w:rsid w:val="00D24217"/>
    <w:rsid w:val="00D25F29"/>
    <w:rsid w:val="00D26233"/>
    <w:rsid w:val="00D2765F"/>
    <w:rsid w:val="00D3180B"/>
    <w:rsid w:val="00D3350D"/>
    <w:rsid w:val="00D40957"/>
    <w:rsid w:val="00D40CF4"/>
    <w:rsid w:val="00D419CB"/>
    <w:rsid w:val="00D44305"/>
    <w:rsid w:val="00D44ECA"/>
    <w:rsid w:val="00D46BCC"/>
    <w:rsid w:val="00D516E3"/>
    <w:rsid w:val="00D51D71"/>
    <w:rsid w:val="00D55308"/>
    <w:rsid w:val="00D55E4B"/>
    <w:rsid w:val="00D55EA3"/>
    <w:rsid w:val="00D56D33"/>
    <w:rsid w:val="00D57E99"/>
    <w:rsid w:val="00D61E4B"/>
    <w:rsid w:val="00D62635"/>
    <w:rsid w:val="00D65C40"/>
    <w:rsid w:val="00D65C4B"/>
    <w:rsid w:val="00D66A1F"/>
    <w:rsid w:val="00D72138"/>
    <w:rsid w:val="00D72E78"/>
    <w:rsid w:val="00D764EA"/>
    <w:rsid w:val="00D802B4"/>
    <w:rsid w:val="00D8398D"/>
    <w:rsid w:val="00D85E60"/>
    <w:rsid w:val="00D85F57"/>
    <w:rsid w:val="00D87164"/>
    <w:rsid w:val="00D93064"/>
    <w:rsid w:val="00D96FC2"/>
    <w:rsid w:val="00DA00E7"/>
    <w:rsid w:val="00DB1E5B"/>
    <w:rsid w:val="00DB5B4B"/>
    <w:rsid w:val="00DB615F"/>
    <w:rsid w:val="00DC1CB2"/>
    <w:rsid w:val="00DC1F85"/>
    <w:rsid w:val="00DC36B7"/>
    <w:rsid w:val="00DC489E"/>
    <w:rsid w:val="00DC48DE"/>
    <w:rsid w:val="00DC4DAA"/>
    <w:rsid w:val="00DC64BF"/>
    <w:rsid w:val="00DC67C6"/>
    <w:rsid w:val="00DD330A"/>
    <w:rsid w:val="00DD3981"/>
    <w:rsid w:val="00DD6E22"/>
    <w:rsid w:val="00DE24AC"/>
    <w:rsid w:val="00DE3CB3"/>
    <w:rsid w:val="00DE3E8B"/>
    <w:rsid w:val="00DE554E"/>
    <w:rsid w:val="00DE671C"/>
    <w:rsid w:val="00DE6935"/>
    <w:rsid w:val="00DE7626"/>
    <w:rsid w:val="00DF132B"/>
    <w:rsid w:val="00DF4572"/>
    <w:rsid w:val="00E01D3C"/>
    <w:rsid w:val="00E04EFB"/>
    <w:rsid w:val="00E12A7F"/>
    <w:rsid w:val="00E149BD"/>
    <w:rsid w:val="00E15475"/>
    <w:rsid w:val="00E15EE2"/>
    <w:rsid w:val="00E17103"/>
    <w:rsid w:val="00E2040E"/>
    <w:rsid w:val="00E22C30"/>
    <w:rsid w:val="00E24A39"/>
    <w:rsid w:val="00E27685"/>
    <w:rsid w:val="00E34AB7"/>
    <w:rsid w:val="00E352AD"/>
    <w:rsid w:val="00E36D97"/>
    <w:rsid w:val="00E41022"/>
    <w:rsid w:val="00E417A1"/>
    <w:rsid w:val="00E510C4"/>
    <w:rsid w:val="00E51133"/>
    <w:rsid w:val="00E51A5D"/>
    <w:rsid w:val="00E564FB"/>
    <w:rsid w:val="00E56E06"/>
    <w:rsid w:val="00E61BF3"/>
    <w:rsid w:val="00E63A96"/>
    <w:rsid w:val="00E64687"/>
    <w:rsid w:val="00E73F7D"/>
    <w:rsid w:val="00E75F24"/>
    <w:rsid w:val="00E8189F"/>
    <w:rsid w:val="00E82B9F"/>
    <w:rsid w:val="00E8568F"/>
    <w:rsid w:val="00E86A97"/>
    <w:rsid w:val="00E8784C"/>
    <w:rsid w:val="00E941BA"/>
    <w:rsid w:val="00E964CA"/>
    <w:rsid w:val="00E97B82"/>
    <w:rsid w:val="00EA023D"/>
    <w:rsid w:val="00EA03E2"/>
    <w:rsid w:val="00EA256E"/>
    <w:rsid w:val="00EA336A"/>
    <w:rsid w:val="00EA3539"/>
    <w:rsid w:val="00EA3B62"/>
    <w:rsid w:val="00EB1FDF"/>
    <w:rsid w:val="00EB2161"/>
    <w:rsid w:val="00EB3810"/>
    <w:rsid w:val="00EB6FD4"/>
    <w:rsid w:val="00EB758F"/>
    <w:rsid w:val="00EC1089"/>
    <w:rsid w:val="00EC356D"/>
    <w:rsid w:val="00EC3DF5"/>
    <w:rsid w:val="00EC3FD6"/>
    <w:rsid w:val="00EC6B4C"/>
    <w:rsid w:val="00EC7425"/>
    <w:rsid w:val="00ED163E"/>
    <w:rsid w:val="00ED1FCD"/>
    <w:rsid w:val="00ED6A39"/>
    <w:rsid w:val="00ED7D57"/>
    <w:rsid w:val="00EE0F9D"/>
    <w:rsid w:val="00EE1721"/>
    <w:rsid w:val="00EE3342"/>
    <w:rsid w:val="00EF1886"/>
    <w:rsid w:val="00EF290C"/>
    <w:rsid w:val="00EF2C4A"/>
    <w:rsid w:val="00EF6064"/>
    <w:rsid w:val="00EF6FD3"/>
    <w:rsid w:val="00F00271"/>
    <w:rsid w:val="00F0118C"/>
    <w:rsid w:val="00F0249B"/>
    <w:rsid w:val="00F02A48"/>
    <w:rsid w:val="00F03906"/>
    <w:rsid w:val="00F05201"/>
    <w:rsid w:val="00F0596E"/>
    <w:rsid w:val="00F074E2"/>
    <w:rsid w:val="00F10501"/>
    <w:rsid w:val="00F14E2C"/>
    <w:rsid w:val="00F14FBC"/>
    <w:rsid w:val="00F1652D"/>
    <w:rsid w:val="00F174BA"/>
    <w:rsid w:val="00F17EE3"/>
    <w:rsid w:val="00F216A6"/>
    <w:rsid w:val="00F23211"/>
    <w:rsid w:val="00F25C1F"/>
    <w:rsid w:val="00F269E7"/>
    <w:rsid w:val="00F3274F"/>
    <w:rsid w:val="00F337F6"/>
    <w:rsid w:val="00F34455"/>
    <w:rsid w:val="00F3683D"/>
    <w:rsid w:val="00F40F0A"/>
    <w:rsid w:val="00F41416"/>
    <w:rsid w:val="00F457D4"/>
    <w:rsid w:val="00F45D34"/>
    <w:rsid w:val="00F5077C"/>
    <w:rsid w:val="00F54D80"/>
    <w:rsid w:val="00F55467"/>
    <w:rsid w:val="00F61890"/>
    <w:rsid w:val="00F62152"/>
    <w:rsid w:val="00F6253E"/>
    <w:rsid w:val="00F64D3A"/>
    <w:rsid w:val="00F65954"/>
    <w:rsid w:val="00F66F07"/>
    <w:rsid w:val="00F714B3"/>
    <w:rsid w:val="00F75E44"/>
    <w:rsid w:val="00F77336"/>
    <w:rsid w:val="00F85F4C"/>
    <w:rsid w:val="00F90E91"/>
    <w:rsid w:val="00F929B6"/>
    <w:rsid w:val="00F97190"/>
    <w:rsid w:val="00FA0EFA"/>
    <w:rsid w:val="00FA17F3"/>
    <w:rsid w:val="00FA1A2A"/>
    <w:rsid w:val="00FB3169"/>
    <w:rsid w:val="00FB4DE2"/>
    <w:rsid w:val="00FC718E"/>
    <w:rsid w:val="00FD091D"/>
    <w:rsid w:val="00FD38BB"/>
    <w:rsid w:val="00FD58D4"/>
    <w:rsid w:val="00FE1504"/>
    <w:rsid w:val="00FE7204"/>
    <w:rsid w:val="00FF2C6E"/>
    <w:rsid w:val="00FF4C6E"/>
    <w:rsid w:val="00FF77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60EDC"/>
  <w15:docId w15:val="{461F6F0E-C495-4EC3-91D5-28B40462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104B37"/>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104B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104B37"/>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B37"/>
    <w:rPr>
      <w:b/>
      <w:bCs/>
      <w:kern w:val="44"/>
      <w:sz w:val="44"/>
      <w:szCs w:val="44"/>
    </w:rPr>
  </w:style>
  <w:style w:type="character" w:customStyle="1" w:styleId="Heading2Char">
    <w:name w:val="Heading 2 Char"/>
    <w:basedOn w:val="DefaultParagraphFont"/>
    <w:link w:val="Heading2"/>
    <w:uiPriority w:val="9"/>
    <w:rsid w:val="00104B37"/>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104B37"/>
    <w:rPr>
      <w:b/>
      <w:bCs/>
      <w:sz w:val="32"/>
      <w:szCs w:val="32"/>
    </w:rPr>
  </w:style>
  <w:style w:type="paragraph" w:styleId="ListParagraph">
    <w:name w:val="List Paragraph"/>
    <w:basedOn w:val="Normal"/>
    <w:uiPriority w:val="34"/>
    <w:qFormat/>
    <w:rsid w:val="00D55E4B"/>
    <w:pPr>
      <w:ind w:firstLineChars="200" w:firstLine="420"/>
    </w:pPr>
  </w:style>
  <w:style w:type="paragraph" w:styleId="BalloonText">
    <w:name w:val="Balloon Text"/>
    <w:basedOn w:val="Normal"/>
    <w:link w:val="BalloonTextChar"/>
    <w:uiPriority w:val="99"/>
    <w:semiHidden/>
    <w:unhideWhenUsed/>
    <w:rsid w:val="00955986"/>
    <w:rPr>
      <w:sz w:val="18"/>
      <w:szCs w:val="18"/>
    </w:rPr>
  </w:style>
  <w:style w:type="character" w:customStyle="1" w:styleId="BalloonTextChar">
    <w:name w:val="Balloon Text Char"/>
    <w:basedOn w:val="DefaultParagraphFont"/>
    <w:link w:val="BalloonText"/>
    <w:uiPriority w:val="99"/>
    <w:semiHidden/>
    <w:rsid w:val="00955986"/>
    <w:rPr>
      <w:sz w:val="18"/>
      <w:szCs w:val="18"/>
    </w:rPr>
  </w:style>
  <w:style w:type="table" w:styleId="TableGrid">
    <w:name w:val="Table Grid"/>
    <w:basedOn w:val="TableNormal"/>
    <w:uiPriority w:val="59"/>
    <w:rsid w:val="00426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basedOn w:val="TableNormal"/>
    <w:uiPriority w:val="60"/>
    <w:rsid w:val="002D40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9440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9440B"/>
    <w:rPr>
      <w:sz w:val="18"/>
      <w:szCs w:val="18"/>
    </w:rPr>
  </w:style>
  <w:style w:type="paragraph" w:styleId="Footer">
    <w:name w:val="footer"/>
    <w:basedOn w:val="Normal"/>
    <w:link w:val="FooterChar"/>
    <w:uiPriority w:val="99"/>
    <w:unhideWhenUsed/>
    <w:rsid w:val="00C9440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9440B"/>
    <w:rPr>
      <w:sz w:val="18"/>
      <w:szCs w:val="18"/>
    </w:rPr>
  </w:style>
  <w:style w:type="character" w:styleId="Hyperlink">
    <w:name w:val="Hyperlink"/>
    <w:uiPriority w:val="99"/>
    <w:unhideWhenUsed/>
    <w:rsid w:val="005B7749"/>
    <w:rPr>
      <w:color w:val="0000FF"/>
      <w:u w:val="single"/>
    </w:rPr>
  </w:style>
  <w:style w:type="character" w:styleId="LineNumber">
    <w:name w:val="line number"/>
    <w:basedOn w:val="DefaultParagraphFont"/>
    <w:uiPriority w:val="99"/>
    <w:semiHidden/>
    <w:unhideWhenUsed/>
    <w:rsid w:val="005B7749"/>
  </w:style>
  <w:style w:type="character" w:styleId="PageNumber">
    <w:name w:val="page number"/>
    <w:uiPriority w:val="99"/>
    <w:semiHidden/>
    <w:unhideWhenUsed/>
    <w:rsid w:val="00AA206C"/>
  </w:style>
  <w:style w:type="paragraph" w:customStyle="1" w:styleId="EndNoteBibliography">
    <w:name w:val="EndNote Bibliography"/>
    <w:basedOn w:val="Normal"/>
    <w:link w:val="EndNoteBibliographyChar"/>
    <w:rsid w:val="004433AC"/>
    <w:rPr>
      <w:rFonts w:ascii="Calibri" w:eastAsia="SimSun" w:hAnsi="Calibri" w:cs="Times New Roman"/>
      <w:noProof/>
      <w:kern w:val="0"/>
      <w:sz w:val="20"/>
      <w:szCs w:val="20"/>
    </w:rPr>
  </w:style>
  <w:style w:type="character" w:customStyle="1" w:styleId="EndNoteBibliographyChar">
    <w:name w:val="EndNote Bibliography Char"/>
    <w:link w:val="EndNoteBibliography"/>
    <w:rsid w:val="004433AC"/>
    <w:rPr>
      <w:rFonts w:ascii="Calibri" w:eastAsia="SimSun" w:hAnsi="Calibri" w:cs="Times New Roman"/>
      <w:noProof/>
      <w:kern w:val="0"/>
      <w:sz w:val="20"/>
      <w:szCs w:val="20"/>
    </w:rPr>
  </w:style>
  <w:style w:type="character" w:customStyle="1" w:styleId="highlight">
    <w:name w:val="highlight"/>
    <w:basedOn w:val="DefaultParagraphFont"/>
    <w:rsid w:val="00794A64"/>
  </w:style>
  <w:style w:type="paragraph" w:styleId="CommentText">
    <w:name w:val="annotation text"/>
    <w:basedOn w:val="Normal"/>
    <w:link w:val="CommentTextChar"/>
    <w:uiPriority w:val="99"/>
    <w:semiHidden/>
    <w:unhideWhenUsed/>
    <w:rsid w:val="000157E8"/>
    <w:rPr>
      <w:sz w:val="20"/>
      <w:szCs w:val="20"/>
    </w:rPr>
  </w:style>
  <w:style w:type="character" w:customStyle="1" w:styleId="CommentTextChar">
    <w:name w:val="Comment Text Char"/>
    <w:basedOn w:val="DefaultParagraphFont"/>
    <w:link w:val="CommentText"/>
    <w:uiPriority w:val="99"/>
    <w:semiHidden/>
    <w:rsid w:val="000157E8"/>
    <w:rPr>
      <w:sz w:val="20"/>
      <w:szCs w:val="20"/>
    </w:rPr>
  </w:style>
  <w:style w:type="paragraph" w:styleId="CommentSubject">
    <w:name w:val="annotation subject"/>
    <w:basedOn w:val="CommentText"/>
    <w:next w:val="CommentText"/>
    <w:link w:val="CommentSubjectChar"/>
    <w:uiPriority w:val="99"/>
    <w:semiHidden/>
    <w:unhideWhenUsed/>
    <w:rsid w:val="000157E8"/>
    <w:rPr>
      <w:b/>
      <w:bCs/>
    </w:rPr>
  </w:style>
  <w:style w:type="character" w:customStyle="1" w:styleId="CommentSubjectChar">
    <w:name w:val="Comment Subject Char"/>
    <w:basedOn w:val="CommentTextChar"/>
    <w:link w:val="CommentSubject"/>
    <w:uiPriority w:val="99"/>
    <w:semiHidden/>
    <w:rsid w:val="000157E8"/>
    <w:rPr>
      <w:b/>
      <w:bCs/>
      <w:sz w:val="20"/>
      <w:szCs w:val="20"/>
    </w:rPr>
  </w:style>
  <w:style w:type="character" w:styleId="CommentReference">
    <w:name w:val="annotation reference"/>
    <w:basedOn w:val="DefaultParagraphFont"/>
    <w:uiPriority w:val="99"/>
    <w:semiHidden/>
    <w:unhideWhenUsed/>
    <w:rsid w:val="000157E8"/>
    <w:rPr>
      <w:sz w:val="16"/>
      <w:szCs w:val="16"/>
    </w:rPr>
  </w:style>
  <w:style w:type="paragraph" w:styleId="Revision">
    <w:name w:val="Revision"/>
    <w:hidden/>
    <w:uiPriority w:val="99"/>
    <w:semiHidden/>
    <w:rsid w:val="000157E8"/>
  </w:style>
  <w:style w:type="character" w:customStyle="1" w:styleId="fontstyle01">
    <w:name w:val="fontstyle01"/>
    <w:basedOn w:val="DefaultParagraphFont"/>
    <w:rsid w:val="002D370C"/>
    <w:rPr>
      <w:rFonts w:ascii="Book Antiqua" w:hAnsi="Book Antiqua" w:hint="default"/>
      <w:b/>
      <w:bCs/>
      <w:i w:val="0"/>
      <w:iCs w:val="0"/>
      <w:color w:val="000000"/>
      <w:sz w:val="24"/>
      <w:szCs w:val="24"/>
    </w:rPr>
  </w:style>
  <w:style w:type="character" w:customStyle="1" w:styleId="fontstyle21">
    <w:name w:val="fontstyle21"/>
    <w:basedOn w:val="DefaultParagraphFont"/>
    <w:rsid w:val="00F62152"/>
    <w:rPr>
      <w:rFonts w:ascii="Book Antiqua" w:hAnsi="Book Antiqua" w:hint="default"/>
      <w:b w:val="0"/>
      <w:bCs w:val="0"/>
      <w:i w:val="0"/>
      <w:iCs w:val="0"/>
      <w:color w:val="000000"/>
      <w:sz w:val="24"/>
      <w:szCs w:val="24"/>
    </w:rPr>
  </w:style>
  <w:style w:type="paragraph" w:styleId="Title">
    <w:name w:val="Title"/>
    <w:basedOn w:val="Normal"/>
    <w:next w:val="Normal"/>
    <w:link w:val="TitleChar"/>
    <w:uiPriority w:val="10"/>
    <w:qFormat/>
    <w:rsid w:val="000F3CAF"/>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0F3CAF"/>
    <w:rPr>
      <w:rFonts w:asciiTheme="majorHAnsi" w:eastAsiaTheme="majorEastAsia" w:hAnsiTheme="majorHAnsi" w:cstheme="majorBidi"/>
      <w:b/>
      <w:bCs/>
      <w:sz w:val="32"/>
      <w:szCs w:val="32"/>
    </w:rPr>
  </w:style>
  <w:style w:type="paragraph" w:styleId="PlainText">
    <w:name w:val="Plain Text"/>
    <w:basedOn w:val="Normal"/>
    <w:link w:val="PlainTextChar"/>
    <w:unhideWhenUsed/>
    <w:rsid w:val="00691BF8"/>
    <w:rPr>
      <w:rFonts w:ascii="SimSun" w:eastAsia="SimSun" w:hAnsi="Courier New" w:cs="Courier New"/>
      <w:szCs w:val="21"/>
    </w:rPr>
  </w:style>
  <w:style w:type="character" w:customStyle="1" w:styleId="PlainTextChar">
    <w:name w:val="Plain Text Char"/>
    <w:basedOn w:val="DefaultParagraphFont"/>
    <w:link w:val="PlainText"/>
    <w:rsid w:val="00691BF8"/>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8314">
      <w:bodyDiv w:val="1"/>
      <w:marLeft w:val="0"/>
      <w:marRight w:val="0"/>
      <w:marTop w:val="0"/>
      <w:marBottom w:val="0"/>
      <w:divBdr>
        <w:top w:val="none" w:sz="0" w:space="0" w:color="auto"/>
        <w:left w:val="none" w:sz="0" w:space="0" w:color="auto"/>
        <w:bottom w:val="none" w:sz="0" w:space="0" w:color="auto"/>
        <w:right w:val="none" w:sz="0" w:space="0" w:color="auto"/>
      </w:divBdr>
    </w:div>
    <w:div w:id="177357788">
      <w:bodyDiv w:val="1"/>
      <w:marLeft w:val="0"/>
      <w:marRight w:val="0"/>
      <w:marTop w:val="0"/>
      <w:marBottom w:val="0"/>
      <w:divBdr>
        <w:top w:val="none" w:sz="0" w:space="0" w:color="auto"/>
        <w:left w:val="none" w:sz="0" w:space="0" w:color="auto"/>
        <w:bottom w:val="none" w:sz="0" w:space="0" w:color="auto"/>
        <w:right w:val="none" w:sz="0" w:space="0" w:color="auto"/>
      </w:divBdr>
    </w:div>
    <w:div w:id="186530755">
      <w:bodyDiv w:val="1"/>
      <w:marLeft w:val="0"/>
      <w:marRight w:val="0"/>
      <w:marTop w:val="0"/>
      <w:marBottom w:val="0"/>
      <w:divBdr>
        <w:top w:val="none" w:sz="0" w:space="0" w:color="auto"/>
        <w:left w:val="none" w:sz="0" w:space="0" w:color="auto"/>
        <w:bottom w:val="none" w:sz="0" w:space="0" w:color="auto"/>
        <w:right w:val="none" w:sz="0" w:space="0" w:color="auto"/>
      </w:divBdr>
    </w:div>
    <w:div w:id="207760669">
      <w:bodyDiv w:val="1"/>
      <w:marLeft w:val="0"/>
      <w:marRight w:val="0"/>
      <w:marTop w:val="0"/>
      <w:marBottom w:val="0"/>
      <w:divBdr>
        <w:top w:val="none" w:sz="0" w:space="0" w:color="auto"/>
        <w:left w:val="none" w:sz="0" w:space="0" w:color="auto"/>
        <w:bottom w:val="none" w:sz="0" w:space="0" w:color="auto"/>
        <w:right w:val="none" w:sz="0" w:space="0" w:color="auto"/>
      </w:divBdr>
    </w:div>
    <w:div w:id="248539848">
      <w:bodyDiv w:val="1"/>
      <w:marLeft w:val="0"/>
      <w:marRight w:val="0"/>
      <w:marTop w:val="0"/>
      <w:marBottom w:val="0"/>
      <w:divBdr>
        <w:top w:val="none" w:sz="0" w:space="0" w:color="auto"/>
        <w:left w:val="none" w:sz="0" w:space="0" w:color="auto"/>
        <w:bottom w:val="none" w:sz="0" w:space="0" w:color="auto"/>
        <w:right w:val="none" w:sz="0" w:space="0" w:color="auto"/>
      </w:divBdr>
    </w:div>
    <w:div w:id="289241509">
      <w:bodyDiv w:val="1"/>
      <w:marLeft w:val="0"/>
      <w:marRight w:val="0"/>
      <w:marTop w:val="0"/>
      <w:marBottom w:val="0"/>
      <w:divBdr>
        <w:top w:val="none" w:sz="0" w:space="0" w:color="auto"/>
        <w:left w:val="none" w:sz="0" w:space="0" w:color="auto"/>
        <w:bottom w:val="none" w:sz="0" w:space="0" w:color="auto"/>
        <w:right w:val="none" w:sz="0" w:space="0" w:color="auto"/>
      </w:divBdr>
    </w:div>
    <w:div w:id="322705111">
      <w:bodyDiv w:val="1"/>
      <w:marLeft w:val="0"/>
      <w:marRight w:val="0"/>
      <w:marTop w:val="0"/>
      <w:marBottom w:val="0"/>
      <w:divBdr>
        <w:top w:val="none" w:sz="0" w:space="0" w:color="auto"/>
        <w:left w:val="none" w:sz="0" w:space="0" w:color="auto"/>
        <w:bottom w:val="none" w:sz="0" w:space="0" w:color="auto"/>
        <w:right w:val="none" w:sz="0" w:space="0" w:color="auto"/>
      </w:divBdr>
    </w:div>
    <w:div w:id="351615035">
      <w:bodyDiv w:val="1"/>
      <w:marLeft w:val="0"/>
      <w:marRight w:val="0"/>
      <w:marTop w:val="0"/>
      <w:marBottom w:val="0"/>
      <w:divBdr>
        <w:top w:val="none" w:sz="0" w:space="0" w:color="auto"/>
        <w:left w:val="none" w:sz="0" w:space="0" w:color="auto"/>
        <w:bottom w:val="none" w:sz="0" w:space="0" w:color="auto"/>
        <w:right w:val="none" w:sz="0" w:space="0" w:color="auto"/>
      </w:divBdr>
    </w:div>
    <w:div w:id="384377901">
      <w:bodyDiv w:val="1"/>
      <w:marLeft w:val="0"/>
      <w:marRight w:val="0"/>
      <w:marTop w:val="0"/>
      <w:marBottom w:val="0"/>
      <w:divBdr>
        <w:top w:val="none" w:sz="0" w:space="0" w:color="auto"/>
        <w:left w:val="none" w:sz="0" w:space="0" w:color="auto"/>
        <w:bottom w:val="none" w:sz="0" w:space="0" w:color="auto"/>
        <w:right w:val="none" w:sz="0" w:space="0" w:color="auto"/>
      </w:divBdr>
    </w:div>
    <w:div w:id="409427602">
      <w:bodyDiv w:val="1"/>
      <w:marLeft w:val="0"/>
      <w:marRight w:val="0"/>
      <w:marTop w:val="0"/>
      <w:marBottom w:val="0"/>
      <w:divBdr>
        <w:top w:val="none" w:sz="0" w:space="0" w:color="auto"/>
        <w:left w:val="none" w:sz="0" w:space="0" w:color="auto"/>
        <w:bottom w:val="none" w:sz="0" w:space="0" w:color="auto"/>
        <w:right w:val="none" w:sz="0" w:space="0" w:color="auto"/>
      </w:divBdr>
    </w:div>
    <w:div w:id="465782708">
      <w:bodyDiv w:val="1"/>
      <w:marLeft w:val="0"/>
      <w:marRight w:val="0"/>
      <w:marTop w:val="0"/>
      <w:marBottom w:val="0"/>
      <w:divBdr>
        <w:top w:val="none" w:sz="0" w:space="0" w:color="auto"/>
        <w:left w:val="none" w:sz="0" w:space="0" w:color="auto"/>
        <w:bottom w:val="none" w:sz="0" w:space="0" w:color="auto"/>
        <w:right w:val="none" w:sz="0" w:space="0" w:color="auto"/>
      </w:divBdr>
    </w:div>
    <w:div w:id="563376937">
      <w:bodyDiv w:val="1"/>
      <w:marLeft w:val="0"/>
      <w:marRight w:val="0"/>
      <w:marTop w:val="0"/>
      <w:marBottom w:val="0"/>
      <w:divBdr>
        <w:top w:val="none" w:sz="0" w:space="0" w:color="auto"/>
        <w:left w:val="none" w:sz="0" w:space="0" w:color="auto"/>
        <w:bottom w:val="none" w:sz="0" w:space="0" w:color="auto"/>
        <w:right w:val="none" w:sz="0" w:space="0" w:color="auto"/>
      </w:divBdr>
    </w:div>
    <w:div w:id="568927675">
      <w:bodyDiv w:val="1"/>
      <w:marLeft w:val="0"/>
      <w:marRight w:val="0"/>
      <w:marTop w:val="0"/>
      <w:marBottom w:val="0"/>
      <w:divBdr>
        <w:top w:val="none" w:sz="0" w:space="0" w:color="auto"/>
        <w:left w:val="none" w:sz="0" w:space="0" w:color="auto"/>
        <w:bottom w:val="none" w:sz="0" w:space="0" w:color="auto"/>
        <w:right w:val="none" w:sz="0" w:space="0" w:color="auto"/>
      </w:divBdr>
    </w:div>
    <w:div w:id="616110242">
      <w:bodyDiv w:val="1"/>
      <w:marLeft w:val="0"/>
      <w:marRight w:val="0"/>
      <w:marTop w:val="0"/>
      <w:marBottom w:val="0"/>
      <w:divBdr>
        <w:top w:val="none" w:sz="0" w:space="0" w:color="auto"/>
        <w:left w:val="none" w:sz="0" w:space="0" w:color="auto"/>
        <w:bottom w:val="none" w:sz="0" w:space="0" w:color="auto"/>
        <w:right w:val="none" w:sz="0" w:space="0" w:color="auto"/>
      </w:divBdr>
    </w:div>
    <w:div w:id="661273093">
      <w:bodyDiv w:val="1"/>
      <w:marLeft w:val="0"/>
      <w:marRight w:val="0"/>
      <w:marTop w:val="0"/>
      <w:marBottom w:val="0"/>
      <w:divBdr>
        <w:top w:val="none" w:sz="0" w:space="0" w:color="auto"/>
        <w:left w:val="none" w:sz="0" w:space="0" w:color="auto"/>
        <w:bottom w:val="none" w:sz="0" w:space="0" w:color="auto"/>
        <w:right w:val="none" w:sz="0" w:space="0" w:color="auto"/>
      </w:divBdr>
    </w:div>
    <w:div w:id="820081469">
      <w:bodyDiv w:val="1"/>
      <w:marLeft w:val="0"/>
      <w:marRight w:val="0"/>
      <w:marTop w:val="0"/>
      <w:marBottom w:val="0"/>
      <w:divBdr>
        <w:top w:val="none" w:sz="0" w:space="0" w:color="auto"/>
        <w:left w:val="none" w:sz="0" w:space="0" w:color="auto"/>
        <w:bottom w:val="none" w:sz="0" w:space="0" w:color="auto"/>
        <w:right w:val="none" w:sz="0" w:space="0" w:color="auto"/>
      </w:divBdr>
    </w:div>
    <w:div w:id="875433826">
      <w:bodyDiv w:val="1"/>
      <w:marLeft w:val="0"/>
      <w:marRight w:val="0"/>
      <w:marTop w:val="0"/>
      <w:marBottom w:val="0"/>
      <w:divBdr>
        <w:top w:val="none" w:sz="0" w:space="0" w:color="auto"/>
        <w:left w:val="none" w:sz="0" w:space="0" w:color="auto"/>
        <w:bottom w:val="none" w:sz="0" w:space="0" w:color="auto"/>
        <w:right w:val="none" w:sz="0" w:space="0" w:color="auto"/>
      </w:divBdr>
    </w:div>
    <w:div w:id="950745779">
      <w:bodyDiv w:val="1"/>
      <w:marLeft w:val="0"/>
      <w:marRight w:val="0"/>
      <w:marTop w:val="0"/>
      <w:marBottom w:val="0"/>
      <w:divBdr>
        <w:top w:val="none" w:sz="0" w:space="0" w:color="auto"/>
        <w:left w:val="none" w:sz="0" w:space="0" w:color="auto"/>
        <w:bottom w:val="none" w:sz="0" w:space="0" w:color="auto"/>
        <w:right w:val="none" w:sz="0" w:space="0" w:color="auto"/>
      </w:divBdr>
    </w:div>
    <w:div w:id="965310013">
      <w:bodyDiv w:val="1"/>
      <w:marLeft w:val="0"/>
      <w:marRight w:val="0"/>
      <w:marTop w:val="0"/>
      <w:marBottom w:val="0"/>
      <w:divBdr>
        <w:top w:val="none" w:sz="0" w:space="0" w:color="auto"/>
        <w:left w:val="none" w:sz="0" w:space="0" w:color="auto"/>
        <w:bottom w:val="none" w:sz="0" w:space="0" w:color="auto"/>
        <w:right w:val="none" w:sz="0" w:space="0" w:color="auto"/>
      </w:divBdr>
    </w:div>
    <w:div w:id="1120998671">
      <w:bodyDiv w:val="1"/>
      <w:marLeft w:val="0"/>
      <w:marRight w:val="0"/>
      <w:marTop w:val="0"/>
      <w:marBottom w:val="0"/>
      <w:divBdr>
        <w:top w:val="none" w:sz="0" w:space="0" w:color="auto"/>
        <w:left w:val="none" w:sz="0" w:space="0" w:color="auto"/>
        <w:bottom w:val="none" w:sz="0" w:space="0" w:color="auto"/>
        <w:right w:val="none" w:sz="0" w:space="0" w:color="auto"/>
      </w:divBdr>
    </w:div>
    <w:div w:id="1123426514">
      <w:bodyDiv w:val="1"/>
      <w:marLeft w:val="0"/>
      <w:marRight w:val="0"/>
      <w:marTop w:val="0"/>
      <w:marBottom w:val="0"/>
      <w:divBdr>
        <w:top w:val="none" w:sz="0" w:space="0" w:color="auto"/>
        <w:left w:val="none" w:sz="0" w:space="0" w:color="auto"/>
        <w:bottom w:val="none" w:sz="0" w:space="0" w:color="auto"/>
        <w:right w:val="none" w:sz="0" w:space="0" w:color="auto"/>
      </w:divBdr>
    </w:div>
    <w:div w:id="1222717393">
      <w:bodyDiv w:val="1"/>
      <w:marLeft w:val="0"/>
      <w:marRight w:val="0"/>
      <w:marTop w:val="0"/>
      <w:marBottom w:val="0"/>
      <w:divBdr>
        <w:top w:val="none" w:sz="0" w:space="0" w:color="auto"/>
        <w:left w:val="none" w:sz="0" w:space="0" w:color="auto"/>
        <w:bottom w:val="none" w:sz="0" w:space="0" w:color="auto"/>
        <w:right w:val="none" w:sz="0" w:space="0" w:color="auto"/>
      </w:divBdr>
    </w:div>
    <w:div w:id="1297492410">
      <w:bodyDiv w:val="1"/>
      <w:marLeft w:val="0"/>
      <w:marRight w:val="0"/>
      <w:marTop w:val="0"/>
      <w:marBottom w:val="0"/>
      <w:divBdr>
        <w:top w:val="none" w:sz="0" w:space="0" w:color="auto"/>
        <w:left w:val="none" w:sz="0" w:space="0" w:color="auto"/>
        <w:bottom w:val="none" w:sz="0" w:space="0" w:color="auto"/>
        <w:right w:val="none" w:sz="0" w:space="0" w:color="auto"/>
      </w:divBdr>
    </w:div>
    <w:div w:id="1307591668">
      <w:bodyDiv w:val="1"/>
      <w:marLeft w:val="0"/>
      <w:marRight w:val="0"/>
      <w:marTop w:val="0"/>
      <w:marBottom w:val="0"/>
      <w:divBdr>
        <w:top w:val="none" w:sz="0" w:space="0" w:color="auto"/>
        <w:left w:val="none" w:sz="0" w:space="0" w:color="auto"/>
        <w:bottom w:val="none" w:sz="0" w:space="0" w:color="auto"/>
        <w:right w:val="none" w:sz="0" w:space="0" w:color="auto"/>
      </w:divBdr>
    </w:div>
    <w:div w:id="1340891160">
      <w:bodyDiv w:val="1"/>
      <w:marLeft w:val="0"/>
      <w:marRight w:val="0"/>
      <w:marTop w:val="0"/>
      <w:marBottom w:val="0"/>
      <w:divBdr>
        <w:top w:val="none" w:sz="0" w:space="0" w:color="auto"/>
        <w:left w:val="none" w:sz="0" w:space="0" w:color="auto"/>
        <w:bottom w:val="none" w:sz="0" w:space="0" w:color="auto"/>
        <w:right w:val="none" w:sz="0" w:space="0" w:color="auto"/>
      </w:divBdr>
    </w:div>
    <w:div w:id="1384791268">
      <w:bodyDiv w:val="1"/>
      <w:marLeft w:val="0"/>
      <w:marRight w:val="0"/>
      <w:marTop w:val="0"/>
      <w:marBottom w:val="0"/>
      <w:divBdr>
        <w:top w:val="none" w:sz="0" w:space="0" w:color="auto"/>
        <w:left w:val="none" w:sz="0" w:space="0" w:color="auto"/>
        <w:bottom w:val="none" w:sz="0" w:space="0" w:color="auto"/>
        <w:right w:val="none" w:sz="0" w:space="0" w:color="auto"/>
      </w:divBdr>
    </w:div>
    <w:div w:id="1388842180">
      <w:bodyDiv w:val="1"/>
      <w:marLeft w:val="0"/>
      <w:marRight w:val="0"/>
      <w:marTop w:val="0"/>
      <w:marBottom w:val="0"/>
      <w:divBdr>
        <w:top w:val="none" w:sz="0" w:space="0" w:color="auto"/>
        <w:left w:val="none" w:sz="0" w:space="0" w:color="auto"/>
        <w:bottom w:val="none" w:sz="0" w:space="0" w:color="auto"/>
        <w:right w:val="none" w:sz="0" w:space="0" w:color="auto"/>
      </w:divBdr>
    </w:div>
    <w:div w:id="1390759791">
      <w:bodyDiv w:val="1"/>
      <w:marLeft w:val="0"/>
      <w:marRight w:val="0"/>
      <w:marTop w:val="0"/>
      <w:marBottom w:val="0"/>
      <w:divBdr>
        <w:top w:val="none" w:sz="0" w:space="0" w:color="auto"/>
        <w:left w:val="none" w:sz="0" w:space="0" w:color="auto"/>
        <w:bottom w:val="none" w:sz="0" w:space="0" w:color="auto"/>
        <w:right w:val="none" w:sz="0" w:space="0" w:color="auto"/>
      </w:divBdr>
    </w:div>
    <w:div w:id="1405761902">
      <w:bodyDiv w:val="1"/>
      <w:marLeft w:val="0"/>
      <w:marRight w:val="0"/>
      <w:marTop w:val="0"/>
      <w:marBottom w:val="0"/>
      <w:divBdr>
        <w:top w:val="none" w:sz="0" w:space="0" w:color="auto"/>
        <w:left w:val="none" w:sz="0" w:space="0" w:color="auto"/>
        <w:bottom w:val="none" w:sz="0" w:space="0" w:color="auto"/>
        <w:right w:val="none" w:sz="0" w:space="0" w:color="auto"/>
      </w:divBdr>
    </w:div>
    <w:div w:id="1471896650">
      <w:bodyDiv w:val="1"/>
      <w:marLeft w:val="0"/>
      <w:marRight w:val="0"/>
      <w:marTop w:val="0"/>
      <w:marBottom w:val="0"/>
      <w:divBdr>
        <w:top w:val="none" w:sz="0" w:space="0" w:color="auto"/>
        <w:left w:val="none" w:sz="0" w:space="0" w:color="auto"/>
        <w:bottom w:val="none" w:sz="0" w:space="0" w:color="auto"/>
        <w:right w:val="none" w:sz="0" w:space="0" w:color="auto"/>
      </w:divBdr>
    </w:div>
    <w:div w:id="1483305517">
      <w:bodyDiv w:val="1"/>
      <w:marLeft w:val="0"/>
      <w:marRight w:val="0"/>
      <w:marTop w:val="0"/>
      <w:marBottom w:val="0"/>
      <w:divBdr>
        <w:top w:val="none" w:sz="0" w:space="0" w:color="auto"/>
        <w:left w:val="none" w:sz="0" w:space="0" w:color="auto"/>
        <w:bottom w:val="none" w:sz="0" w:space="0" w:color="auto"/>
        <w:right w:val="none" w:sz="0" w:space="0" w:color="auto"/>
      </w:divBdr>
    </w:div>
    <w:div w:id="1487894026">
      <w:bodyDiv w:val="1"/>
      <w:marLeft w:val="0"/>
      <w:marRight w:val="0"/>
      <w:marTop w:val="0"/>
      <w:marBottom w:val="0"/>
      <w:divBdr>
        <w:top w:val="none" w:sz="0" w:space="0" w:color="auto"/>
        <w:left w:val="none" w:sz="0" w:space="0" w:color="auto"/>
        <w:bottom w:val="none" w:sz="0" w:space="0" w:color="auto"/>
        <w:right w:val="none" w:sz="0" w:space="0" w:color="auto"/>
      </w:divBdr>
    </w:div>
    <w:div w:id="1511723889">
      <w:bodyDiv w:val="1"/>
      <w:marLeft w:val="0"/>
      <w:marRight w:val="0"/>
      <w:marTop w:val="0"/>
      <w:marBottom w:val="0"/>
      <w:divBdr>
        <w:top w:val="none" w:sz="0" w:space="0" w:color="auto"/>
        <w:left w:val="none" w:sz="0" w:space="0" w:color="auto"/>
        <w:bottom w:val="none" w:sz="0" w:space="0" w:color="auto"/>
        <w:right w:val="none" w:sz="0" w:space="0" w:color="auto"/>
      </w:divBdr>
    </w:div>
    <w:div w:id="1598708159">
      <w:bodyDiv w:val="1"/>
      <w:marLeft w:val="0"/>
      <w:marRight w:val="0"/>
      <w:marTop w:val="0"/>
      <w:marBottom w:val="0"/>
      <w:divBdr>
        <w:top w:val="none" w:sz="0" w:space="0" w:color="auto"/>
        <w:left w:val="none" w:sz="0" w:space="0" w:color="auto"/>
        <w:bottom w:val="none" w:sz="0" w:space="0" w:color="auto"/>
        <w:right w:val="none" w:sz="0" w:space="0" w:color="auto"/>
      </w:divBdr>
    </w:div>
    <w:div w:id="1690372669">
      <w:bodyDiv w:val="1"/>
      <w:marLeft w:val="0"/>
      <w:marRight w:val="0"/>
      <w:marTop w:val="0"/>
      <w:marBottom w:val="0"/>
      <w:divBdr>
        <w:top w:val="none" w:sz="0" w:space="0" w:color="auto"/>
        <w:left w:val="none" w:sz="0" w:space="0" w:color="auto"/>
        <w:bottom w:val="none" w:sz="0" w:space="0" w:color="auto"/>
        <w:right w:val="none" w:sz="0" w:space="0" w:color="auto"/>
      </w:divBdr>
      <w:divsChild>
        <w:div w:id="1397049335">
          <w:marLeft w:val="0"/>
          <w:marRight w:val="0"/>
          <w:marTop w:val="0"/>
          <w:marBottom w:val="0"/>
          <w:divBdr>
            <w:top w:val="none" w:sz="0" w:space="0" w:color="auto"/>
            <w:left w:val="none" w:sz="0" w:space="0" w:color="auto"/>
            <w:bottom w:val="none" w:sz="0" w:space="0" w:color="auto"/>
            <w:right w:val="none" w:sz="0" w:space="0" w:color="auto"/>
          </w:divBdr>
        </w:div>
      </w:divsChild>
    </w:div>
    <w:div w:id="1699165226">
      <w:bodyDiv w:val="1"/>
      <w:marLeft w:val="0"/>
      <w:marRight w:val="0"/>
      <w:marTop w:val="0"/>
      <w:marBottom w:val="0"/>
      <w:divBdr>
        <w:top w:val="none" w:sz="0" w:space="0" w:color="auto"/>
        <w:left w:val="none" w:sz="0" w:space="0" w:color="auto"/>
        <w:bottom w:val="none" w:sz="0" w:space="0" w:color="auto"/>
        <w:right w:val="none" w:sz="0" w:space="0" w:color="auto"/>
      </w:divBdr>
    </w:div>
    <w:div w:id="1707951811">
      <w:bodyDiv w:val="1"/>
      <w:marLeft w:val="0"/>
      <w:marRight w:val="0"/>
      <w:marTop w:val="0"/>
      <w:marBottom w:val="0"/>
      <w:divBdr>
        <w:top w:val="none" w:sz="0" w:space="0" w:color="auto"/>
        <w:left w:val="none" w:sz="0" w:space="0" w:color="auto"/>
        <w:bottom w:val="none" w:sz="0" w:space="0" w:color="auto"/>
        <w:right w:val="none" w:sz="0" w:space="0" w:color="auto"/>
      </w:divBdr>
    </w:div>
    <w:div w:id="1728336842">
      <w:bodyDiv w:val="1"/>
      <w:marLeft w:val="0"/>
      <w:marRight w:val="0"/>
      <w:marTop w:val="0"/>
      <w:marBottom w:val="0"/>
      <w:divBdr>
        <w:top w:val="none" w:sz="0" w:space="0" w:color="auto"/>
        <w:left w:val="none" w:sz="0" w:space="0" w:color="auto"/>
        <w:bottom w:val="none" w:sz="0" w:space="0" w:color="auto"/>
        <w:right w:val="none" w:sz="0" w:space="0" w:color="auto"/>
      </w:divBdr>
    </w:div>
    <w:div w:id="1870754316">
      <w:bodyDiv w:val="1"/>
      <w:marLeft w:val="0"/>
      <w:marRight w:val="0"/>
      <w:marTop w:val="0"/>
      <w:marBottom w:val="0"/>
      <w:divBdr>
        <w:top w:val="none" w:sz="0" w:space="0" w:color="auto"/>
        <w:left w:val="none" w:sz="0" w:space="0" w:color="auto"/>
        <w:bottom w:val="none" w:sz="0" w:space="0" w:color="auto"/>
        <w:right w:val="none" w:sz="0" w:space="0" w:color="auto"/>
      </w:divBdr>
    </w:div>
    <w:div w:id="1884368740">
      <w:bodyDiv w:val="1"/>
      <w:marLeft w:val="0"/>
      <w:marRight w:val="0"/>
      <w:marTop w:val="0"/>
      <w:marBottom w:val="0"/>
      <w:divBdr>
        <w:top w:val="none" w:sz="0" w:space="0" w:color="auto"/>
        <w:left w:val="none" w:sz="0" w:space="0" w:color="auto"/>
        <w:bottom w:val="none" w:sz="0" w:space="0" w:color="auto"/>
        <w:right w:val="none" w:sz="0" w:space="0" w:color="auto"/>
      </w:divBdr>
    </w:div>
    <w:div w:id="1920554547">
      <w:bodyDiv w:val="1"/>
      <w:marLeft w:val="0"/>
      <w:marRight w:val="0"/>
      <w:marTop w:val="0"/>
      <w:marBottom w:val="0"/>
      <w:divBdr>
        <w:top w:val="none" w:sz="0" w:space="0" w:color="auto"/>
        <w:left w:val="none" w:sz="0" w:space="0" w:color="auto"/>
        <w:bottom w:val="none" w:sz="0" w:space="0" w:color="auto"/>
        <w:right w:val="none" w:sz="0" w:space="0" w:color="auto"/>
      </w:divBdr>
    </w:div>
    <w:div w:id="2046638483">
      <w:bodyDiv w:val="1"/>
      <w:marLeft w:val="0"/>
      <w:marRight w:val="0"/>
      <w:marTop w:val="0"/>
      <w:marBottom w:val="0"/>
      <w:divBdr>
        <w:top w:val="none" w:sz="0" w:space="0" w:color="auto"/>
        <w:left w:val="none" w:sz="0" w:space="0" w:color="auto"/>
        <w:bottom w:val="none" w:sz="0" w:space="0" w:color="auto"/>
        <w:right w:val="none" w:sz="0" w:space="0" w:color="auto"/>
      </w:divBdr>
    </w:div>
    <w:div w:id="2070111580">
      <w:bodyDiv w:val="1"/>
      <w:marLeft w:val="0"/>
      <w:marRight w:val="0"/>
      <w:marTop w:val="0"/>
      <w:marBottom w:val="0"/>
      <w:divBdr>
        <w:top w:val="none" w:sz="0" w:space="0" w:color="auto"/>
        <w:left w:val="none" w:sz="0" w:space="0" w:color="auto"/>
        <w:bottom w:val="none" w:sz="0" w:space="0" w:color="auto"/>
        <w:right w:val="none" w:sz="0" w:space="0" w:color="auto"/>
      </w:divBdr>
    </w:div>
    <w:div w:id="2081948860">
      <w:bodyDiv w:val="1"/>
      <w:marLeft w:val="0"/>
      <w:marRight w:val="0"/>
      <w:marTop w:val="0"/>
      <w:marBottom w:val="0"/>
      <w:divBdr>
        <w:top w:val="none" w:sz="0" w:space="0" w:color="auto"/>
        <w:left w:val="none" w:sz="0" w:space="0" w:color="auto"/>
        <w:bottom w:val="none" w:sz="0" w:space="0" w:color="auto"/>
        <w:right w:val="none" w:sz="0" w:space="0" w:color="auto"/>
      </w:divBdr>
    </w:div>
    <w:div w:id="20832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C03D27-96FB-4500-A3E1-FE87CE231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6495</Words>
  <Characters>37022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dc:description>NE.Rep</dc:description>
  <cp:lastModifiedBy>Lian-Sheng Ma</cp:lastModifiedBy>
  <cp:revision>2</cp:revision>
  <dcterms:created xsi:type="dcterms:W3CDTF">2018-12-30T00:39:00Z</dcterms:created>
  <dcterms:modified xsi:type="dcterms:W3CDTF">2018-12-30T00:39:00Z</dcterms:modified>
</cp:coreProperties>
</file>