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C37A" w14:textId="77777777" w:rsidR="001835B3" w:rsidRPr="00BF0ED0" w:rsidRDefault="001835B3" w:rsidP="00484E7F">
      <w:pPr>
        <w:pStyle w:val="CorpoA"/>
        <w:adjustRightInd w:val="0"/>
        <w:snapToGrid w:val="0"/>
        <w:spacing w:after="0" w:line="360" w:lineRule="auto"/>
        <w:ind w:firstLine="0"/>
        <w:outlineLvl w:val="0"/>
        <w:rPr>
          <w:rFonts w:ascii="Book Antiqua" w:eastAsia="Book Antiqua" w:hAnsi="Book Antiqua" w:cs="Times New Roman"/>
          <w:b/>
          <w:bCs/>
          <w:i/>
          <w:sz w:val="24"/>
          <w:szCs w:val="24"/>
          <w:lang w:val="en-US"/>
        </w:rPr>
      </w:pPr>
      <w:r w:rsidRPr="00BF0ED0">
        <w:rPr>
          <w:rFonts w:ascii="Book Antiqua" w:hAnsi="Book Antiqua" w:cs="Times New Roman"/>
          <w:b/>
          <w:bCs/>
          <w:sz w:val="24"/>
          <w:szCs w:val="24"/>
          <w:lang w:val="en-US"/>
        </w:rPr>
        <w:t xml:space="preserve">Name of Journal: </w:t>
      </w:r>
      <w:r w:rsidRPr="00BF0ED0">
        <w:rPr>
          <w:rFonts w:ascii="Book Antiqua" w:hAnsi="Book Antiqua" w:cs="Times New Roman"/>
          <w:b/>
          <w:bCs/>
          <w:i/>
          <w:sz w:val="24"/>
          <w:szCs w:val="24"/>
          <w:lang w:val="en-US"/>
        </w:rPr>
        <w:t>World Journal of Hepatology</w:t>
      </w:r>
    </w:p>
    <w:p w14:paraId="5449D8B7" w14:textId="6AE94DA0" w:rsidR="001835B3" w:rsidRPr="00BF0ED0" w:rsidRDefault="001835B3" w:rsidP="00484E7F">
      <w:pPr>
        <w:pStyle w:val="CorpoA"/>
        <w:adjustRightInd w:val="0"/>
        <w:snapToGrid w:val="0"/>
        <w:spacing w:after="0" w:line="360" w:lineRule="auto"/>
        <w:ind w:firstLine="0"/>
        <w:outlineLvl w:val="0"/>
        <w:rPr>
          <w:rFonts w:ascii="Book Antiqua" w:eastAsia="Book Antiqua" w:hAnsi="Book Antiqua" w:cs="Times New Roman"/>
          <w:b/>
          <w:bCs/>
          <w:sz w:val="24"/>
          <w:szCs w:val="24"/>
          <w:lang w:val="en-US" w:eastAsia="zh-CN"/>
        </w:rPr>
      </w:pPr>
      <w:r w:rsidRPr="00BF0ED0">
        <w:rPr>
          <w:rFonts w:ascii="Book Antiqua" w:hAnsi="Book Antiqua" w:cs="Times New Roman"/>
          <w:b/>
          <w:bCs/>
          <w:sz w:val="24"/>
          <w:szCs w:val="24"/>
          <w:lang w:val="en-US"/>
        </w:rPr>
        <w:t xml:space="preserve">Manuscript ID: </w:t>
      </w:r>
      <w:r w:rsidR="001C5655" w:rsidRPr="00BF0ED0">
        <w:rPr>
          <w:rFonts w:ascii="Book Antiqua" w:hAnsi="Book Antiqua" w:cs="Times New Roman"/>
          <w:b/>
          <w:bCs/>
          <w:sz w:val="24"/>
          <w:szCs w:val="24"/>
          <w:lang w:val="en-US" w:eastAsia="zh-CN"/>
        </w:rPr>
        <w:t>43243</w:t>
      </w:r>
    </w:p>
    <w:p w14:paraId="300BC391" w14:textId="77777777" w:rsidR="001835B3" w:rsidRPr="00BF0ED0" w:rsidRDefault="001835B3" w:rsidP="00484E7F">
      <w:pPr>
        <w:pStyle w:val="CorpoA"/>
        <w:adjustRightInd w:val="0"/>
        <w:snapToGrid w:val="0"/>
        <w:spacing w:after="0" w:line="360" w:lineRule="auto"/>
        <w:ind w:firstLine="0"/>
        <w:outlineLvl w:val="0"/>
        <w:rPr>
          <w:rFonts w:ascii="Book Antiqua" w:eastAsia="Book Antiqua" w:hAnsi="Book Antiqua" w:cs="Times New Roman"/>
          <w:b/>
          <w:bCs/>
          <w:sz w:val="24"/>
          <w:szCs w:val="24"/>
          <w:lang w:val="en-US"/>
        </w:rPr>
      </w:pPr>
      <w:r w:rsidRPr="00BF0ED0">
        <w:rPr>
          <w:rFonts w:ascii="Book Antiqua" w:hAnsi="Book Antiqua" w:cs="Times New Roman"/>
          <w:b/>
          <w:bCs/>
          <w:sz w:val="24"/>
          <w:szCs w:val="24"/>
          <w:lang w:val="en-US"/>
        </w:rPr>
        <w:t>Manuscript Type: ORIGINAL ARTICLE</w:t>
      </w:r>
    </w:p>
    <w:p w14:paraId="4E5A5868" w14:textId="77777777" w:rsidR="001835B3" w:rsidRPr="00BF0ED0" w:rsidRDefault="001835B3" w:rsidP="00484E7F">
      <w:pPr>
        <w:adjustRightInd w:val="0"/>
        <w:snapToGrid w:val="0"/>
        <w:spacing w:line="360" w:lineRule="auto"/>
        <w:jc w:val="both"/>
        <w:rPr>
          <w:rFonts w:ascii="Book Antiqua" w:hAnsi="Book Antiqua"/>
          <w:b/>
          <w:bCs/>
        </w:rPr>
      </w:pPr>
    </w:p>
    <w:p w14:paraId="7AFE799A" w14:textId="77777777" w:rsidR="001835B3" w:rsidRPr="00BF0ED0" w:rsidRDefault="001835B3" w:rsidP="00484E7F">
      <w:pPr>
        <w:adjustRightInd w:val="0"/>
        <w:snapToGrid w:val="0"/>
        <w:spacing w:line="360" w:lineRule="auto"/>
        <w:jc w:val="both"/>
        <w:outlineLvl w:val="0"/>
        <w:rPr>
          <w:rFonts w:ascii="Book Antiqua" w:hAnsi="Book Antiqua"/>
          <w:b/>
          <w:bCs/>
          <w:i/>
        </w:rPr>
      </w:pPr>
      <w:r w:rsidRPr="00BF0ED0">
        <w:rPr>
          <w:rFonts w:ascii="Book Antiqua" w:hAnsi="Book Antiqua"/>
          <w:b/>
          <w:bCs/>
          <w:i/>
        </w:rPr>
        <w:t>Observational Study</w:t>
      </w:r>
    </w:p>
    <w:p w14:paraId="0F8BF166" w14:textId="3145B915" w:rsidR="001835B3" w:rsidRPr="00BF0ED0" w:rsidRDefault="001835B3" w:rsidP="00484E7F">
      <w:pPr>
        <w:adjustRightInd w:val="0"/>
        <w:snapToGrid w:val="0"/>
        <w:spacing w:line="360" w:lineRule="auto"/>
        <w:jc w:val="both"/>
        <w:outlineLvl w:val="0"/>
        <w:rPr>
          <w:rFonts w:ascii="Book Antiqua" w:hAnsi="Book Antiqua"/>
          <w:b/>
        </w:rPr>
      </w:pPr>
      <w:bookmarkStart w:id="0" w:name="OLE_LINK269"/>
      <w:bookmarkStart w:id="1" w:name="OLE_LINK270"/>
      <w:r w:rsidRPr="00BF0ED0">
        <w:rPr>
          <w:rFonts w:ascii="Book Antiqua" w:hAnsi="Book Antiqua"/>
          <w:b/>
        </w:rPr>
        <w:t>High prevalence of occult hepatitis C infection in predialysis patients</w:t>
      </w:r>
      <w:r w:rsidR="005F570E" w:rsidRPr="00BF0ED0">
        <w:rPr>
          <w:rFonts w:ascii="Book Antiqua" w:hAnsi="Book Antiqua"/>
          <w:b/>
        </w:rPr>
        <w:t xml:space="preserve"> </w:t>
      </w:r>
      <w:bookmarkEnd w:id="0"/>
      <w:bookmarkEnd w:id="1"/>
    </w:p>
    <w:p w14:paraId="06B891A0" w14:textId="77777777" w:rsidR="001835B3" w:rsidRPr="00BF0ED0" w:rsidRDefault="001835B3" w:rsidP="00484E7F">
      <w:pPr>
        <w:adjustRightInd w:val="0"/>
        <w:snapToGrid w:val="0"/>
        <w:spacing w:line="360" w:lineRule="auto"/>
        <w:jc w:val="both"/>
        <w:rPr>
          <w:rFonts w:ascii="Book Antiqua" w:hAnsi="Book Antiqua"/>
          <w:color w:val="222222"/>
          <w:shd w:val="clear" w:color="auto" w:fill="FFFFFF"/>
        </w:rPr>
      </w:pPr>
    </w:p>
    <w:p w14:paraId="71B76A1C"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color w:val="222222"/>
          <w:shd w:val="clear" w:color="auto" w:fill="FFFFFF"/>
        </w:rPr>
        <w:t xml:space="preserve">Sette LHBC </w:t>
      </w:r>
      <w:r w:rsidRPr="00BF0ED0">
        <w:rPr>
          <w:rFonts w:ascii="Book Antiqua" w:hAnsi="Book Antiqua"/>
          <w:i/>
          <w:color w:val="222222"/>
          <w:shd w:val="clear" w:color="auto" w:fill="FFFFFF"/>
        </w:rPr>
        <w:t>et al</w:t>
      </w:r>
      <w:r w:rsidRPr="00BF0ED0">
        <w:rPr>
          <w:rFonts w:ascii="Book Antiqua" w:hAnsi="Book Antiqua"/>
          <w:color w:val="222222"/>
          <w:shd w:val="clear" w:color="auto" w:fill="FFFFFF"/>
        </w:rPr>
        <w:t xml:space="preserve">. </w:t>
      </w:r>
      <w:bookmarkStart w:id="2" w:name="OLE_LINK271"/>
      <w:bookmarkStart w:id="3" w:name="OLE_LINK272"/>
      <w:r w:rsidRPr="00BF0ED0">
        <w:rPr>
          <w:rFonts w:ascii="Book Antiqua" w:hAnsi="Book Antiqua"/>
          <w:color w:val="222222"/>
          <w:shd w:val="clear" w:color="auto" w:fill="FFFFFF"/>
        </w:rPr>
        <w:t>High prevalence OCI in predialysis patients</w:t>
      </w:r>
      <w:bookmarkEnd w:id="2"/>
      <w:bookmarkEnd w:id="3"/>
    </w:p>
    <w:p w14:paraId="246E9CD9" w14:textId="77777777" w:rsidR="001835B3" w:rsidRPr="00BF0ED0" w:rsidRDefault="001835B3" w:rsidP="00484E7F">
      <w:pPr>
        <w:adjustRightInd w:val="0"/>
        <w:snapToGrid w:val="0"/>
        <w:spacing w:line="360" w:lineRule="auto"/>
        <w:jc w:val="both"/>
        <w:rPr>
          <w:rFonts w:ascii="Book Antiqua" w:hAnsi="Book Antiqua"/>
        </w:rPr>
      </w:pPr>
    </w:p>
    <w:p w14:paraId="4284013B"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Luís Henrique Bezerra Cavalcanti Sette, Edmundo Pessoa de Almeida</w:t>
      </w:r>
      <w:r w:rsidRPr="00BF0ED0">
        <w:rPr>
          <w:rFonts w:ascii="Book Antiqua" w:hAnsi="Book Antiqua"/>
          <w:vertAlign w:val="superscript"/>
        </w:rPr>
        <w:t xml:space="preserve"> </w:t>
      </w:r>
      <w:r w:rsidRPr="00BF0ED0">
        <w:rPr>
          <w:rFonts w:ascii="Book Antiqua" w:hAnsi="Book Antiqua"/>
        </w:rPr>
        <w:t>Lopes, Nathália Campello Guedes dos Anjos, Lucila Maria Valente, Sávio Augusto Vieira de Oliveira, Norma Lucena-Silva</w:t>
      </w:r>
    </w:p>
    <w:p w14:paraId="5D300A73" w14:textId="77777777" w:rsidR="001835B3" w:rsidRPr="00BF0ED0" w:rsidRDefault="001835B3" w:rsidP="00484E7F">
      <w:pPr>
        <w:adjustRightInd w:val="0"/>
        <w:snapToGrid w:val="0"/>
        <w:spacing w:line="360" w:lineRule="auto"/>
        <w:jc w:val="both"/>
        <w:rPr>
          <w:rFonts w:ascii="Book Antiqua" w:hAnsi="Book Antiqua"/>
        </w:rPr>
      </w:pPr>
    </w:p>
    <w:p w14:paraId="170DCBB3" w14:textId="5DDB5038"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Luís Henrique Bezerra Cavalcanti Sette, Nathália Campello Guedes dos Anjos, Lucila Maria Valente,</w:t>
      </w:r>
      <w:r w:rsidRPr="00BF0ED0">
        <w:rPr>
          <w:rFonts w:ascii="Book Antiqua" w:hAnsi="Book Antiqua"/>
        </w:rPr>
        <w:t xml:space="preserve"> Nephrology-Department of Clinical Medicine, Federal University of Pernambuco, Pernambuco</w:t>
      </w:r>
      <w:r w:rsidR="009403EC" w:rsidRPr="00BF0ED0">
        <w:rPr>
          <w:rFonts w:ascii="Book Antiqua" w:hAnsi="Book Antiqua"/>
        </w:rPr>
        <w:t xml:space="preserve"> 50670-90</w:t>
      </w:r>
      <w:bookmarkStart w:id="4" w:name="OLE_LINK5"/>
      <w:bookmarkStart w:id="5" w:name="OLE_LINK6"/>
      <w:r w:rsidR="009403EC" w:rsidRPr="00BF0ED0">
        <w:rPr>
          <w:rFonts w:ascii="Book Antiqua" w:hAnsi="Book Antiqua"/>
        </w:rPr>
        <w:t>1,</w:t>
      </w:r>
      <w:r w:rsidRPr="00BF0ED0">
        <w:rPr>
          <w:rFonts w:ascii="Book Antiqua" w:hAnsi="Book Antiqua"/>
        </w:rPr>
        <w:t xml:space="preserve"> </w:t>
      </w:r>
      <w:bookmarkEnd w:id="4"/>
      <w:bookmarkEnd w:id="5"/>
      <w:r w:rsidRPr="00BF0ED0">
        <w:rPr>
          <w:rFonts w:ascii="Book Antiqua" w:hAnsi="Book Antiqua"/>
        </w:rPr>
        <w:t>Brazil</w:t>
      </w:r>
    </w:p>
    <w:p w14:paraId="074C576A" w14:textId="41A16868" w:rsidR="001835B3" w:rsidRPr="00BF0ED0" w:rsidRDefault="001835B3" w:rsidP="00484E7F">
      <w:pPr>
        <w:tabs>
          <w:tab w:val="left" w:pos="6547"/>
        </w:tabs>
        <w:adjustRightInd w:val="0"/>
        <w:snapToGrid w:val="0"/>
        <w:spacing w:line="360" w:lineRule="auto"/>
        <w:jc w:val="both"/>
        <w:rPr>
          <w:rFonts w:ascii="Book Antiqua" w:hAnsi="Book Antiqua"/>
        </w:rPr>
      </w:pPr>
    </w:p>
    <w:p w14:paraId="16C238A1" w14:textId="714D5C04"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Edmundo Pessoa de Almeida</w:t>
      </w:r>
      <w:r w:rsidRPr="00BF0ED0">
        <w:rPr>
          <w:rFonts w:ascii="Book Antiqua" w:hAnsi="Book Antiqua"/>
          <w:b/>
          <w:vertAlign w:val="superscript"/>
        </w:rPr>
        <w:t xml:space="preserve"> </w:t>
      </w:r>
      <w:r w:rsidRPr="00BF0ED0">
        <w:rPr>
          <w:rFonts w:ascii="Book Antiqua" w:hAnsi="Book Antiqua"/>
          <w:b/>
        </w:rPr>
        <w:t>Lopes,</w:t>
      </w:r>
      <w:r w:rsidRPr="00BF0ED0">
        <w:rPr>
          <w:rFonts w:ascii="Book Antiqua" w:hAnsi="Book Antiqua"/>
        </w:rPr>
        <w:t xml:space="preserve"> Gastroenterology-Department of Clinical Medicine, Federal University of Pernambuco, Pernambuco</w:t>
      </w:r>
      <w:r w:rsidR="009403EC" w:rsidRPr="00BF0ED0">
        <w:rPr>
          <w:rFonts w:ascii="Book Antiqua" w:hAnsi="Book Antiqua"/>
        </w:rPr>
        <w:t xml:space="preserve"> 50670-900</w:t>
      </w:r>
      <w:r w:rsidRPr="00BF0ED0">
        <w:rPr>
          <w:rFonts w:ascii="Book Antiqua" w:hAnsi="Book Antiqua"/>
        </w:rPr>
        <w:t>, Brazil</w:t>
      </w:r>
    </w:p>
    <w:p w14:paraId="34033807" w14:textId="77777777" w:rsidR="001835B3" w:rsidRPr="00BF0ED0" w:rsidRDefault="001835B3" w:rsidP="00484E7F">
      <w:pPr>
        <w:adjustRightInd w:val="0"/>
        <w:snapToGrid w:val="0"/>
        <w:spacing w:line="360" w:lineRule="auto"/>
        <w:jc w:val="both"/>
        <w:rPr>
          <w:rFonts w:ascii="Book Antiqua" w:hAnsi="Book Antiqua"/>
        </w:rPr>
      </w:pPr>
    </w:p>
    <w:p w14:paraId="7A893F94" w14:textId="3FCFF386"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Sávio Augusto Vieira de Oliveira, Norma Lucena-Silva,</w:t>
      </w:r>
      <w:r w:rsidRPr="00BF0ED0">
        <w:rPr>
          <w:rFonts w:ascii="Book Antiqua" w:hAnsi="Book Antiqua"/>
          <w:b/>
          <w:vertAlign w:val="superscript"/>
        </w:rPr>
        <w:t xml:space="preserve"> </w:t>
      </w:r>
      <w:r w:rsidRPr="00BF0ED0">
        <w:rPr>
          <w:rFonts w:ascii="Book Antiqua" w:hAnsi="Book Antiqua"/>
        </w:rPr>
        <w:t>Laboratory of Immunogenetics of the Aggeu Magalhães Institute - Fiocruz Pernambuco, Pernambuco</w:t>
      </w:r>
      <w:r w:rsidR="009403EC" w:rsidRPr="00BF0ED0">
        <w:rPr>
          <w:rFonts w:ascii="Book Antiqua" w:hAnsi="Book Antiqua"/>
          <w:lang w:eastAsia="zh-CN"/>
        </w:rPr>
        <w:t xml:space="preserve"> 50670-420</w:t>
      </w:r>
      <w:r w:rsidR="009403EC" w:rsidRPr="00BF0ED0">
        <w:rPr>
          <w:rFonts w:ascii="Book Antiqua" w:hAnsi="Book Antiqua"/>
        </w:rPr>
        <w:t xml:space="preserve">, </w:t>
      </w:r>
      <w:r w:rsidRPr="00BF0ED0">
        <w:rPr>
          <w:rFonts w:ascii="Book Antiqua" w:hAnsi="Book Antiqua"/>
        </w:rPr>
        <w:t>Brazil</w:t>
      </w:r>
    </w:p>
    <w:p w14:paraId="7E590533" w14:textId="77777777" w:rsidR="001835B3" w:rsidRPr="00BF0ED0" w:rsidRDefault="001835B3" w:rsidP="00484E7F">
      <w:pPr>
        <w:adjustRightInd w:val="0"/>
        <w:snapToGrid w:val="0"/>
        <w:spacing w:line="360" w:lineRule="auto"/>
        <w:jc w:val="both"/>
        <w:rPr>
          <w:rFonts w:ascii="Book Antiqua" w:hAnsi="Book Antiqua"/>
          <w:b/>
        </w:rPr>
      </w:pPr>
    </w:p>
    <w:p w14:paraId="38298038"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bCs/>
        </w:rPr>
        <w:t xml:space="preserve">ORCID number: </w:t>
      </w:r>
      <w:r w:rsidRPr="00BF0ED0">
        <w:rPr>
          <w:rFonts w:ascii="Book Antiqua" w:hAnsi="Book Antiqua"/>
          <w:color w:val="212121"/>
          <w:shd w:val="clear" w:color="auto" w:fill="FFFFFF"/>
        </w:rPr>
        <w:t>Luis Henrique Bezerra Cavalcanti Sette (0000-0002-1137-6412); Edmundo Pessoa de Almeida Lopes (0000-0002-3470-1564); N</w:t>
      </w:r>
      <w:r w:rsidRPr="00BF0ED0">
        <w:rPr>
          <w:rFonts w:ascii="Book Antiqua" w:hAnsi="Book Antiqua"/>
        </w:rPr>
        <w:t>athália</w:t>
      </w:r>
      <w:r w:rsidRPr="00BF0ED0">
        <w:rPr>
          <w:rFonts w:ascii="Book Antiqua" w:hAnsi="Book Antiqua"/>
          <w:color w:val="212121"/>
          <w:shd w:val="clear" w:color="auto" w:fill="FFFFFF"/>
        </w:rPr>
        <w:t xml:space="preserve"> Campello (0000-0003-1574-5059); Lucila Maria Valente (0000-0003-2908-4212); Sávio Augusto Vieira de Oliveira (0000-0002-4320-4789); Norma Lucena-Silva (0000-0002-6140-1794).</w:t>
      </w:r>
    </w:p>
    <w:p w14:paraId="2B28C694" w14:textId="77777777" w:rsidR="001835B3" w:rsidRPr="00BF0ED0" w:rsidRDefault="001835B3" w:rsidP="00484E7F">
      <w:pPr>
        <w:adjustRightInd w:val="0"/>
        <w:snapToGrid w:val="0"/>
        <w:spacing w:line="360" w:lineRule="auto"/>
        <w:jc w:val="both"/>
        <w:rPr>
          <w:rFonts w:ascii="Book Antiqua" w:hAnsi="Book Antiqua"/>
          <w:b/>
          <w:bCs/>
        </w:rPr>
      </w:pPr>
    </w:p>
    <w:p w14:paraId="5656D443" w14:textId="4FE62544" w:rsidR="001835B3" w:rsidRPr="00BF0ED0" w:rsidRDefault="001835B3" w:rsidP="00484E7F">
      <w:pPr>
        <w:pStyle w:val="Default"/>
        <w:snapToGrid w:val="0"/>
        <w:spacing w:line="360" w:lineRule="auto"/>
        <w:jc w:val="both"/>
        <w:rPr>
          <w:shd w:val="clear" w:color="auto" w:fill="FFFFFF"/>
        </w:rPr>
      </w:pPr>
      <w:r w:rsidRPr="00BF0ED0">
        <w:rPr>
          <w:rFonts w:cs="Times New Roman"/>
          <w:b/>
          <w:bCs/>
        </w:rPr>
        <w:lastRenderedPageBreak/>
        <w:t xml:space="preserve">Author contributions: </w:t>
      </w:r>
      <w:r w:rsidRPr="00BF0ED0">
        <w:t xml:space="preserve">Sette LHBC </w:t>
      </w:r>
      <w:r w:rsidRPr="00BF0ED0">
        <w:rPr>
          <w:rFonts w:eastAsia="Times New Roman"/>
          <w:lang w:eastAsia="pt-BR"/>
        </w:rPr>
        <w:t xml:space="preserve">conceived of the presented idea, </w:t>
      </w:r>
      <w:r w:rsidRPr="00BF0ED0">
        <w:t>designed the report, collected and analyzed the clinical data, and wrote the paper;</w:t>
      </w:r>
      <w:r w:rsidRPr="00BF0ED0">
        <w:rPr>
          <w:rFonts w:eastAsia="Times New Roman"/>
          <w:lang w:eastAsia="pt-BR"/>
        </w:rPr>
        <w:t xml:space="preserve"> </w:t>
      </w:r>
      <w:r w:rsidRPr="00BF0ED0">
        <w:t xml:space="preserve">Lopes EPA </w:t>
      </w:r>
      <w:r w:rsidRPr="00BF0ED0">
        <w:rPr>
          <w:rFonts w:eastAsia="Times New Roman"/>
          <w:lang w:eastAsia="pt-BR"/>
        </w:rPr>
        <w:t xml:space="preserve">conceived of the presented idea, </w:t>
      </w:r>
      <w:r w:rsidRPr="00BF0ED0">
        <w:t>designed the report, analyzed the data and wrote the paper; Guedes dos Anjos</w:t>
      </w:r>
      <w:r w:rsidRPr="00BF0ED0">
        <w:rPr>
          <w:rFonts w:eastAsia="Times New Roman"/>
          <w:color w:val="212121"/>
          <w:shd w:val="clear" w:color="auto" w:fill="FFFFFF"/>
          <w:lang w:eastAsia="pt-BR"/>
        </w:rPr>
        <w:t xml:space="preserve"> NC </w:t>
      </w:r>
      <w:r w:rsidRPr="00BF0ED0">
        <w:t xml:space="preserve">designed the report and collected the clinical data; </w:t>
      </w:r>
      <w:r w:rsidRPr="00BF0ED0">
        <w:rPr>
          <w:color w:val="212121"/>
          <w:shd w:val="clear" w:color="auto" w:fill="FFFFFF"/>
        </w:rPr>
        <w:t xml:space="preserve">Valente LM </w:t>
      </w:r>
      <w:r w:rsidRPr="00BF0ED0">
        <w:t xml:space="preserve">conceived of the presented idea, </w:t>
      </w:r>
      <w:r w:rsidRPr="00BF0ED0">
        <w:rPr>
          <w:bCs/>
        </w:rPr>
        <w:t xml:space="preserve">and analyzed the data; </w:t>
      </w:r>
      <w:r w:rsidRPr="00BF0ED0">
        <w:rPr>
          <w:shd w:val="clear" w:color="auto" w:fill="FFFFFF"/>
        </w:rPr>
        <w:t xml:space="preserve">Vieira de Oliveira SA performed the biochemical and PCR testing; </w:t>
      </w:r>
      <w:proofErr w:type="spellStart"/>
      <w:r w:rsidRPr="00BF0ED0">
        <w:rPr>
          <w:shd w:val="clear" w:color="auto" w:fill="FFFFFF"/>
        </w:rPr>
        <w:t>Lucena</w:t>
      </w:r>
      <w:proofErr w:type="spellEnd"/>
      <w:r w:rsidRPr="00BF0ED0">
        <w:rPr>
          <w:shd w:val="clear" w:color="auto" w:fill="FFFFFF"/>
        </w:rPr>
        <w:t>-Silva N</w:t>
      </w:r>
      <w:r w:rsidRPr="00BF0ED0">
        <w:t xml:space="preserve"> conceived of the presented idea,</w:t>
      </w:r>
      <w:r w:rsidRPr="00BF0ED0">
        <w:rPr>
          <w:shd w:val="clear" w:color="auto" w:fill="FFFFFF"/>
        </w:rPr>
        <w:t xml:space="preserve"> performed the biochemical and PCR testing, </w:t>
      </w:r>
      <w:r w:rsidRPr="00BF0ED0">
        <w:rPr>
          <w:bCs/>
        </w:rPr>
        <w:t>analyzed the data, and wrote the paper.</w:t>
      </w:r>
    </w:p>
    <w:p w14:paraId="5C19E687" w14:textId="77777777" w:rsidR="001835B3" w:rsidRPr="00BF0ED0" w:rsidRDefault="001835B3" w:rsidP="00484E7F">
      <w:pPr>
        <w:adjustRightInd w:val="0"/>
        <w:snapToGrid w:val="0"/>
        <w:spacing w:line="360" w:lineRule="auto"/>
        <w:jc w:val="both"/>
        <w:rPr>
          <w:rFonts w:ascii="Book Antiqua" w:hAnsi="Book Antiqua"/>
          <w:bCs/>
        </w:rPr>
      </w:pPr>
    </w:p>
    <w:p w14:paraId="68ADC13A" w14:textId="6E39861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bCs/>
        </w:rPr>
        <w:t>Supported</w:t>
      </w:r>
      <w:r w:rsidRPr="00BF0ED0">
        <w:rPr>
          <w:rFonts w:ascii="Book Antiqua" w:hAnsi="Book Antiqua"/>
          <w:b/>
        </w:rPr>
        <w:t xml:space="preserve"> by</w:t>
      </w:r>
      <w:r w:rsidRPr="00BF0ED0">
        <w:rPr>
          <w:rFonts w:ascii="Book Antiqua" w:hAnsi="Book Antiqua"/>
        </w:rPr>
        <w:t xml:space="preserve"> </w:t>
      </w:r>
      <w:bookmarkStart w:id="6" w:name="OLE_LINK285"/>
      <w:bookmarkStart w:id="7" w:name="OLE_LINK286"/>
      <w:r w:rsidRPr="00BF0ED0">
        <w:rPr>
          <w:rFonts w:ascii="Book Antiqua" w:hAnsi="Book Antiqua"/>
        </w:rPr>
        <w:t>the National Council for Scientific and Technological Development (CNPq)</w:t>
      </w:r>
      <w:bookmarkEnd w:id="6"/>
      <w:bookmarkEnd w:id="7"/>
      <w:r w:rsidR="00CC3914" w:rsidRPr="00BF0ED0">
        <w:rPr>
          <w:rFonts w:ascii="Book Antiqua" w:eastAsiaTheme="minorEastAsia" w:hAnsi="Book Antiqua"/>
          <w:lang w:eastAsia="zh-CN"/>
        </w:rPr>
        <w:t>,</w:t>
      </w:r>
      <w:r w:rsidRPr="00BF0ED0">
        <w:rPr>
          <w:rFonts w:ascii="Book Antiqua" w:hAnsi="Book Antiqua"/>
        </w:rPr>
        <w:t xml:space="preserve"> </w:t>
      </w:r>
      <w:r w:rsidR="00CC3914" w:rsidRPr="00BF0ED0">
        <w:rPr>
          <w:rFonts w:ascii="Book Antiqua" w:eastAsiaTheme="minorEastAsia" w:hAnsi="Book Antiqua"/>
          <w:lang w:eastAsia="zh-CN"/>
        </w:rPr>
        <w:t>No.</w:t>
      </w:r>
      <w:r w:rsidRPr="00BF0ED0">
        <w:rPr>
          <w:rFonts w:ascii="Book Antiqua" w:hAnsi="Book Antiqua"/>
        </w:rPr>
        <w:t xml:space="preserve"> </w:t>
      </w:r>
      <w:bookmarkStart w:id="8" w:name="OLE_LINK287"/>
      <w:bookmarkStart w:id="9" w:name="OLE_LINK289"/>
      <w:r w:rsidRPr="00BF0ED0">
        <w:rPr>
          <w:rFonts w:ascii="Book Antiqua" w:hAnsi="Book Antiqua"/>
        </w:rPr>
        <w:t>429736-2016/9</w:t>
      </w:r>
      <w:bookmarkEnd w:id="8"/>
      <w:bookmarkEnd w:id="9"/>
      <w:r w:rsidRPr="00BF0ED0">
        <w:rPr>
          <w:rFonts w:ascii="Book Antiqua" w:hAnsi="Book Antiqua"/>
        </w:rPr>
        <w:t>.</w:t>
      </w:r>
    </w:p>
    <w:p w14:paraId="6CDAB565" w14:textId="77777777" w:rsidR="001835B3" w:rsidRPr="00BF0ED0" w:rsidRDefault="001835B3" w:rsidP="00484E7F">
      <w:pPr>
        <w:adjustRightInd w:val="0"/>
        <w:snapToGrid w:val="0"/>
        <w:spacing w:line="360" w:lineRule="auto"/>
        <w:jc w:val="both"/>
        <w:rPr>
          <w:rFonts w:ascii="Book Antiqua" w:hAnsi="Book Antiqua"/>
          <w:b/>
        </w:rPr>
      </w:pPr>
    </w:p>
    <w:p w14:paraId="1D6DD00A"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Institutional review board statement:</w:t>
      </w:r>
      <w:r w:rsidRPr="00BF0ED0">
        <w:rPr>
          <w:rFonts w:ascii="Book Antiqua" w:hAnsi="Book Antiqua"/>
        </w:rPr>
        <w:t xml:space="preserve"> The Federal University of Pernambuco Institutional Review Board provided approval for this study (IRB No. 50121315.3.0000.5208).</w:t>
      </w:r>
    </w:p>
    <w:p w14:paraId="18D2DC4A" w14:textId="77777777" w:rsidR="001835B3" w:rsidRPr="00BF0ED0" w:rsidRDefault="001835B3" w:rsidP="00484E7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b/>
          <w:bCs/>
          <w:color w:val="333333"/>
          <w:sz w:val="24"/>
          <w:szCs w:val="24"/>
          <w:u w:color="333333"/>
          <w:shd w:val="clear" w:color="auto" w:fill="FFFFFF"/>
        </w:rPr>
      </w:pPr>
    </w:p>
    <w:p w14:paraId="6C59AF63" w14:textId="77777777" w:rsidR="001835B3" w:rsidRPr="00BF0ED0" w:rsidRDefault="001835B3" w:rsidP="00484E7F">
      <w:pPr>
        <w:pStyle w:val="HTMLPreformatted"/>
        <w:shd w:val="clear" w:color="auto" w:fill="FFFFFF"/>
        <w:adjustRightInd w:val="0"/>
        <w:snapToGrid w:val="0"/>
        <w:spacing w:line="360" w:lineRule="auto"/>
        <w:jc w:val="both"/>
        <w:rPr>
          <w:rFonts w:ascii="Book Antiqua" w:eastAsia="Times New Roman" w:hAnsi="Book Antiqua" w:cs="Times New Roman"/>
          <w:color w:val="212121"/>
          <w:sz w:val="24"/>
          <w:szCs w:val="24"/>
          <w:lang w:val="en-US" w:eastAsia="pt-BR"/>
        </w:rPr>
      </w:pPr>
      <w:r w:rsidRPr="00BF0ED0">
        <w:rPr>
          <w:rFonts w:ascii="Book Antiqua" w:hAnsi="Book Antiqua" w:cs="Times New Roman"/>
          <w:b/>
          <w:bCs/>
          <w:color w:val="333333"/>
          <w:sz w:val="24"/>
          <w:szCs w:val="24"/>
          <w:u w:color="333333"/>
          <w:shd w:val="clear" w:color="auto" w:fill="FFFFFF"/>
          <w:lang w:val="en-US"/>
        </w:rPr>
        <w:t xml:space="preserve">Informed consent statement: </w:t>
      </w:r>
      <w:r w:rsidRPr="00BF0ED0">
        <w:rPr>
          <w:rFonts w:ascii="Book Antiqua" w:hAnsi="Book Antiqua" w:cs="Times New Roman"/>
          <w:bCs/>
          <w:color w:val="333333"/>
          <w:sz w:val="24"/>
          <w:szCs w:val="24"/>
          <w:u w:color="333333"/>
          <w:shd w:val="clear" w:color="auto" w:fill="FFFFFF"/>
          <w:lang w:val="en-US"/>
        </w:rPr>
        <w:t>Written informed consent was given by each study participant</w:t>
      </w:r>
      <w:r w:rsidRPr="00BF0ED0">
        <w:rPr>
          <w:rFonts w:ascii="Book Antiqua" w:eastAsia="Times New Roman" w:hAnsi="Book Antiqua" w:cs="Times New Roman"/>
          <w:color w:val="212121"/>
          <w:sz w:val="24"/>
          <w:szCs w:val="24"/>
          <w:lang w:val="en-US" w:eastAsia="pt-BR"/>
        </w:rPr>
        <w:t xml:space="preserve">. </w:t>
      </w:r>
    </w:p>
    <w:p w14:paraId="47AA651F" w14:textId="77777777" w:rsidR="001835B3" w:rsidRPr="00BF0ED0" w:rsidRDefault="001835B3" w:rsidP="00484E7F">
      <w:pPr>
        <w:adjustRightInd w:val="0"/>
        <w:snapToGrid w:val="0"/>
        <w:spacing w:line="360" w:lineRule="auto"/>
        <w:jc w:val="both"/>
        <w:rPr>
          <w:rFonts w:ascii="Book Antiqua" w:hAnsi="Book Antiqua"/>
          <w:b/>
        </w:rPr>
      </w:pPr>
    </w:p>
    <w:p w14:paraId="6EF62F59" w14:textId="2FDA0BCE"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Conflict-of-interest statement:</w:t>
      </w:r>
      <w:r w:rsidRPr="00BF0ED0">
        <w:rPr>
          <w:rFonts w:ascii="Book Antiqua" w:hAnsi="Book Antiqua"/>
        </w:rPr>
        <w:t xml:space="preserve"> All of the authors declare no conflicts of interest. </w:t>
      </w:r>
    </w:p>
    <w:p w14:paraId="75836868" w14:textId="77777777" w:rsidR="001835B3" w:rsidRPr="00BF0ED0" w:rsidRDefault="001835B3" w:rsidP="00484E7F">
      <w:pPr>
        <w:adjustRightInd w:val="0"/>
        <w:snapToGrid w:val="0"/>
        <w:spacing w:line="360" w:lineRule="auto"/>
        <w:jc w:val="both"/>
        <w:rPr>
          <w:rFonts w:ascii="Book Antiqua" w:hAnsi="Book Antiqua"/>
          <w:b/>
          <w:bCs/>
        </w:rPr>
      </w:pPr>
    </w:p>
    <w:p w14:paraId="4D496061" w14:textId="77777777" w:rsidR="001835B3" w:rsidRPr="00BF0ED0" w:rsidRDefault="001835B3" w:rsidP="00484E7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auto"/>
          <w:sz w:val="24"/>
          <w:szCs w:val="24"/>
          <w:shd w:val="clear" w:color="auto" w:fill="FFFFFF"/>
        </w:rPr>
      </w:pPr>
      <w:r w:rsidRPr="00BF0ED0">
        <w:rPr>
          <w:rFonts w:ascii="Book Antiqua" w:hAnsi="Book Antiqua" w:cs="Times New Roman"/>
          <w:b/>
          <w:bCs/>
          <w:color w:val="333333"/>
          <w:sz w:val="24"/>
          <w:szCs w:val="24"/>
          <w:u w:color="333333"/>
          <w:shd w:val="clear" w:color="auto" w:fill="FFFFFF"/>
        </w:rPr>
        <w:t xml:space="preserve">Data sharing statement: </w:t>
      </w:r>
      <w:r w:rsidRPr="00BF0ED0">
        <w:rPr>
          <w:rFonts w:ascii="Book Antiqua" w:hAnsi="Book Antiqua" w:cs="Times New Roman"/>
          <w:bCs/>
          <w:color w:val="333333"/>
          <w:sz w:val="24"/>
          <w:szCs w:val="24"/>
          <w:u w:color="333333"/>
          <w:shd w:val="clear" w:color="auto" w:fill="FFFFFF"/>
        </w:rPr>
        <w:t xml:space="preserve">The dataset is </w:t>
      </w:r>
      <w:r w:rsidRPr="00BF0ED0">
        <w:rPr>
          <w:rFonts w:ascii="Book Antiqua" w:hAnsi="Book Antiqua" w:cs="Times New Roman"/>
          <w:bCs/>
          <w:color w:val="auto"/>
          <w:sz w:val="24"/>
          <w:szCs w:val="24"/>
          <w:shd w:val="clear" w:color="auto" w:fill="FFFFFF"/>
        </w:rPr>
        <w:t>available upon request made to the main investigator, Luis Henrique Bezerra Cavalcanti Sette (</w:t>
      </w:r>
      <w:hyperlink r:id="rId8" w:history="1">
        <w:r w:rsidRPr="002F1DE0">
          <w:rPr>
            <w:rStyle w:val="Hyperlink"/>
            <w:rFonts w:ascii="Book Antiqua" w:hAnsi="Book Antiqua" w:cs="Times New Roman"/>
            <w:bCs/>
            <w:color w:val="auto"/>
            <w:sz w:val="24"/>
            <w:szCs w:val="24"/>
            <w:u w:val="none"/>
            <w:shd w:val="clear" w:color="auto" w:fill="FFFFFF"/>
          </w:rPr>
          <w:t>luis.sette@ufpe.br</w:t>
        </w:r>
      </w:hyperlink>
      <w:r w:rsidRPr="002F727E">
        <w:rPr>
          <w:rFonts w:ascii="Book Antiqua" w:hAnsi="Book Antiqua" w:cs="Times New Roman"/>
          <w:bCs/>
          <w:color w:val="auto"/>
          <w:sz w:val="24"/>
          <w:szCs w:val="24"/>
          <w:shd w:val="clear" w:color="auto" w:fill="FFFFFF"/>
        </w:rPr>
        <w:t>).</w:t>
      </w:r>
    </w:p>
    <w:p w14:paraId="13035A29" w14:textId="77777777" w:rsidR="001835B3" w:rsidRPr="00BF0ED0" w:rsidRDefault="001835B3" w:rsidP="00484E7F">
      <w:pPr>
        <w:adjustRightInd w:val="0"/>
        <w:snapToGrid w:val="0"/>
        <w:spacing w:line="360" w:lineRule="auto"/>
        <w:jc w:val="both"/>
        <w:rPr>
          <w:rFonts w:ascii="Book Antiqua" w:hAnsi="Book Antiqua"/>
        </w:rPr>
      </w:pPr>
    </w:p>
    <w:p w14:paraId="02A6801C" w14:textId="77777777" w:rsidR="001835B3" w:rsidRPr="00BF0ED0" w:rsidRDefault="001835B3" w:rsidP="00484E7F">
      <w:pPr>
        <w:adjustRightInd w:val="0"/>
        <w:snapToGrid w:val="0"/>
        <w:spacing w:line="360" w:lineRule="auto"/>
        <w:jc w:val="both"/>
        <w:rPr>
          <w:rFonts w:ascii="Book Antiqua" w:hAnsi="Book Antiqua"/>
          <w:b/>
        </w:rPr>
      </w:pPr>
      <w:r w:rsidRPr="00BF0ED0">
        <w:rPr>
          <w:rFonts w:ascii="Book Antiqua" w:hAnsi="Book Antiqua"/>
          <w:b/>
        </w:rPr>
        <w:t xml:space="preserve">STROBE statement: </w:t>
      </w:r>
      <w:r w:rsidRPr="00BF0ED0">
        <w:rPr>
          <w:rFonts w:ascii="Book Antiqua" w:hAnsi="Book Antiqua"/>
        </w:rPr>
        <w:t>The authors have read the STROBE Statement – checklist of items, and the manuscript was prepared and revised according to the STROBE Statement – checklist of items.</w:t>
      </w:r>
    </w:p>
    <w:p w14:paraId="488D61E7" w14:textId="77777777" w:rsidR="001835B3" w:rsidRPr="00BF0ED0" w:rsidRDefault="001835B3" w:rsidP="00484E7F">
      <w:pPr>
        <w:adjustRightInd w:val="0"/>
        <w:snapToGrid w:val="0"/>
        <w:spacing w:line="360" w:lineRule="auto"/>
        <w:jc w:val="both"/>
        <w:rPr>
          <w:rFonts w:ascii="Book Antiqua" w:hAnsi="Book Antiqua"/>
        </w:rPr>
      </w:pPr>
    </w:p>
    <w:p w14:paraId="72F1A971" w14:textId="77777777" w:rsidR="001835B3" w:rsidRPr="00BF0ED0" w:rsidRDefault="001835B3" w:rsidP="00484E7F">
      <w:pPr>
        <w:adjustRightInd w:val="0"/>
        <w:snapToGrid w:val="0"/>
        <w:spacing w:line="360" w:lineRule="auto"/>
        <w:jc w:val="both"/>
        <w:rPr>
          <w:rFonts w:ascii="Book Antiqua" w:eastAsia="MS Mincho" w:hAnsi="Book Antiqua"/>
          <w:b/>
          <w:color w:val="000000"/>
          <w:lang w:eastAsia="it-IT"/>
        </w:rPr>
      </w:pPr>
      <w:r w:rsidRPr="00BF0ED0">
        <w:rPr>
          <w:rFonts w:ascii="Book Antiqua" w:eastAsia="MS Mincho" w:hAnsi="Book Antiqua"/>
          <w:b/>
          <w:color w:val="000000"/>
          <w:lang w:eastAsia="it-IT"/>
        </w:rPr>
        <w:t xml:space="preserve">Open-Access: </w:t>
      </w:r>
      <w:r w:rsidRPr="00BF0ED0">
        <w:rPr>
          <w:rFonts w:ascii="Book Antiqua" w:eastAsia="MS Mincho" w:hAnsi="Book Antiqua"/>
          <w:color w:val="000000"/>
          <w:lang w:eastAsia="it-IT"/>
        </w:rPr>
        <w:t xml:space="preserve">This article is an open-access article which was selected by an in-house editor and fully peer-reviewed by external reviewers. It is distributed in </w:t>
      </w:r>
      <w:r w:rsidRPr="00BF0ED0">
        <w:rPr>
          <w:rFonts w:ascii="Book Antiqua" w:eastAsia="MS Mincho" w:hAnsi="Book Antiqua"/>
          <w:color w:val="000000"/>
          <w:lang w:eastAsia="it-IT"/>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FE52AE" w14:textId="77777777" w:rsidR="001835B3" w:rsidRPr="00BF0ED0" w:rsidRDefault="001835B3" w:rsidP="00484E7F">
      <w:pPr>
        <w:adjustRightInd w:val="0"/>
        <w:snapToGrid w:val="0"/>
        <w:spacing w:line="360" w:lineRule="auto"/>
        <w:jc w:val="both"/>
        <w:rPr>
          <w:rFonts w:ascii="Book Antiqua" w:eastAsia="SimSun" w:hAnsi="Book Antiqua"/>
          <w:b/>
        </w:rPr>
      </w:pPr>
    </w:p>
    <w:p w14:paraId="26B6B627" w14:textId="77777777" w:rsidR="001835B3" w:rsidRPr="00BF0ED0" w:rsidRDefault="001835B3" w:rsidP="00484E7F">
      <w:pPr>
        <w:adjustRightInd w:val="0"/>
        <w:snapToGrid w:val="0"/>
        <w:spacing w:line="360" w:lineRule="auto"/>
        <w:jc w:val="both"/>
        <w:outlineLvl w:val="0"/>
        <w:rPr>
          <w:rFonts w:ascii="Book Antiqua" w:hAnsi="Book Antiqua"/>
          <w:color w:val="222222"/>
          <w:shd w:val="clear" w:color="auto" w:fill="FFFFFF"/>
        </w:rPr>
      </w:pPr>
      <w:r w:rsidRPr="00BF0ED0">
        <w:rPr>
          <w:rFonts w:ascii="Book Antiqua" w:eastAsia="SimSun" w:hAnsi="Book Antiqua"/>
          <w:b/>
        </w:rPr>
        <w:t>Manuscript source:</w:t>
      </w:r>
      <w:r w:rsidRPr="00BF0ED0">
        <w:rPr>
          <w:rFonts w:ascii="Book Antiqua" w:eastAsia="SimSun" w:hAnsi="Book Antiqua"/>
        </w:rPr>
        <w:t> </w:t>
      </w:r>
      <w:r w:rsidRPr="00BF0ED0">
        <w:rPr>
          <w:rFonts w:ascii="Book Antiqua" w:hAnsi="Book Antiqua"/>
          <w:color w:val="222222"/>
          <w:shd w:val="clear" w:color="auto" w:fill="FFFFFF"/>
        </w:rPr>
        <w:t xml:space="preserve">Unsolicited manuscript </w:t>
      </w:r>
    </w:p>
    <w:p w14:paraId="4A76C0F2" w14:textId="77777777" w:rsidR="001835B3" w:rsidRPr="00BF0ED0" w:rsidRDefault="001835B3" w:rsidP="00484E7F">
      <w:pPr>
        <w:adjustRightInd w:val="0"/>
        <w:snapToGrid w:val="0"/>
        <w:spacing w:line="360" w:lineRule="auto"/>
        <w:jc w:val="both"/>
        <w:rPr>
          <w:rFonts w:ascii="Book Antiqua" w:hAnsi="Book Antiqua"/>
          <w:color w:val="222222"/>
          <w:shd w:val="clear" w:color="auto" w:fill="FFFFFF"/>
        </w:rPr>
      </w:pPr>
    </w:p>
    <w:p w14:paraId="48D4E865" w14:textId="61EDCB15" w:rsidR="001835B3" w:rsidRPr="00BF0ED0" w:rsidRDefault="00586EDE" w:rsidP="00484E7F">
      <w:pPr>
        <w:adjustRightInd w:val="0"/>
        <w:snapToGrid w:val="0"/>
        <w:spacing w:line="360" w:lineRule="auto"/>
        <w:jc w:val="both"/>
        <w:rPr>
          <w:rFonts w:ascii="Book Antiqua" w:hAnsi="Book Antiqua"/>
          <w:bCs/>
          <w:color w:val="333333"/>
          <w:u w:color="333333"/>
          <w:shd w:val="clear" w:color="auto" w:fill="FFFFFF"/>
        </w:rPr>
      </w:pPr>
      <w:r w:rsidRPr="00BF0ED0">
        <w:rPr>
          <w:rFonts w:ascii="Book Antiqua" w:hAnsi="Book Antiqua"/>
          <w:b/>
        </w:rPr>
        <w:t>Corresponding author</w:t>
      </w:r>
      <w:r w:rsidR="001835B3" w:rsidRPr="00BF0ED0">
        <w:rPr>
          <w:rFonts w:ascii="Book Antiqua" w:hAnsi="Book Antiqua"/>
          <w:b/>
        </w:rPr>
        <w:t>:</w:t>
      </w:r>
      <w:r w:rsidR="001835B3" w:rsidRPr="00BF0ED0">
        <w:rPr>
          <w:rFonts w:ascii="Book Antiqua" w:hAnsi="Book Antiqua"/>
        </w:rPr>
        <w:t xml:space="preserve"> </w:t>
      </w:r>
      <w:r w:rsidR="001835B3" w:rsidRPr="00BF0ED0">
        <w:rPr>
          <w:rFonts w:ascii="Book Antiqua" w:hAnsi="Book Antiqua"/>
          <w:b/>
        </w:rPr>
        <w:t xml:space="preserve">Luís Henrique Bezerra Cavalcanti </w:t>
      </w:r>
      <w:proofErr w:type="spellStart"/>
      <w:r w:rsidR="001835B3" w:rsidRPr="00BF0ED0">
        <w:rPr>
          <w:rFonts w:ascii="Book Antiqua" w:hAnsi="Book Antiqua"/>
          <w:b/>
        </w:rPr>
        <w:t>Sette</w:t>
      </w:r>
      <w:proofErr w:type="spellEnd"/>
      <w:r w:rsidR="001835B3" w:rsidRPr="00BF0ED0">
        <w:rPr>
          <w:rFonts w:ascii="Book Antiqua" w:hAnsi="Book Antiqua"/>
          <w:b/>
        </w:rPr>
        <w:t>, MD,</w:t>
      </w:r>
      <w:r w:rsidR="00696A64" w:rsidRPr="00BF0ED0">
        <w:rPr>
          <w:rFonts w:ascii="Book Antiqua" w:hAnsi="Book Antiqua"/>
          <w:b/>
        </w:rPr>
        <w:t xml:space="preserve"> PhD, </w:t>
      </w:r>
      <w:proofErr w:type="spellStart"/>
      <w:r w:rsidR="00556AC3" w:rsidRPr="00BF0ED0">
        <w:rPr>
          <w:rFonts w:ascii="Book Antiqua" w:hAnsi="Book Antiqua"/>
          <w:b/>
        </w:rPr>
        <w:t>Research</w:t>
      </w:r>
      <w:proofErr w:type="spellEnd"/>
      <w:r w:rsidR="00556AC3" w:rsidRPr="00BF0ED0">
        <w:rPr>
          <w:rFonts w:ascii="Book Antiqua" w:hAnsi="Book Antiqua"/>
          <w:b/>
        </w:rPr>
        <w:t xml:space="preserve"> </w:t>
      </w:r>
      <w:proofErr w:type="spellStart"/>
      <w:r w:rsidR="00556AC3" w:rsidRPr="00BF0ED0">
        <w:rPr>
          <w:rFonts w:ascii="Book Antiqua" w:hAnsi="Book Antiqua"/>
          <w:b/>
        </w:rPr>
        <w:t>Assistant</w:t>
      </w:r>
      <w:proofErr w:type="spellEnd"/>
      <w:r w:rsidR="00556AC3" w:rsidRPr="00BF0ED0">
        <w:rPr>
          <w:rFonts w:ascii="Book Antiqua" w:hAnsi="Book Antiqua"/>
          <w:b/>
        </w:rPr>
        <w:t xml:space="preserve"> Professor</w:t>
      </w:r>
      <w:r w:rsidR="00696A64" w:rsidRPr="00BF0ED0">
        <w:rPr>
          <w:rFonts w:ascii="Book Antiqua" w:hAnsi="Book Antiqua"/>
          <w:b/>
        </w:rPr>
        <w:t xml:space="preserve">, </w:t>
      </w:r>
      <w:bookmarkStart w:id="10" w:name="OLE_LINK273"/>
      <w:bookmarkStart w:id="11" w:name="OLE_LINK274"/>
      <w:proofErr w:type="spellStart"/>
      <w:r w:rsidR="002F6951" w:rsidRPr="00BF0ED0">
        <w:rPr>
          <w:rFonts w:ascii="Book Antiqua" w:hAnsi="Book Antiqua"/>
        </w:rPr>
        <w:t>Nephrology-Department</w:t>
      </w:r>
      <w:proofErr w:type="spellEnd"/>
      <w:r w:rsidR="002F6951" w:rsidRPr="00BF0ED0">
        <w:rPr>
          <w:rFonts w:ascii="Book Antiqua" w:hAnsi="Book Antiqua"/>
        </w:rPr>
        <w:t xml:space="preserve"> of Clinical Medicine</w:t>
      </w:r>
      <w:bookmarkEnd w:id="10"/>
      <w:bookmarkEnd w:id="11"/>
      <w:r w:rsidR="002F6951" w:rsidRPr="00BF0ED0">
        <w:rPr>
          <w:rFonts w:ascii="Book Antiqua" w:hAnsi="Book Antiqua"/>
        </w:rPr>
        <w:t xml:space="preserve">, </w:t>
      </w:r>
      <w:bookmarkStart w:id="12" w:name="OLE_LINK275"/>
      <w:bookmarkStart w:id="13" w:name="OLE_LINK276"/>
      <w:r w:rsidR="002F6951" w:rsidRPr="00BF0ED0">
        <w:rPr>
          <w:rFonts w:ascii="Book Antiqua" w:hAnsi="Book Antiqua"/>
        </w:rPr>
        <w:t>Federa</w:t>
      </w:r>
      <w:r w:rsidR="00696A64" w:rsidRPr="00BF0ED0">
        <w:rPr>
          <w:rFonts w:ascii="Book Antiqua" w:hAnsi="Book Antiqua"/>
        </w:rPr>
        <w:t>l University of Pernambuco</w:t>
      </w:r>
      <w:bookmarkEnd w:id="12"/>
      <w:bookmarkEnd w:id="13"/>
      <w:r w:rsidR="00696A64" w:rsidRPr="00BF0ED0">
        <w:rPr>
          <w:rFonts w:ascii="Book Antiqua" w:hAnsi="Book Antiqua"/>
        </w:rPr>
        <w:t xml:space="preserve">, </w:t>
      </w:r>
      <w:bookmarkStart w:id="14" w:name="OLE_LINK277"/>
      <w:bookmarkStart w:id="15" w:name="OLE_LINK278"/>
      <w:r w:rsidR="00696A64" w:rsidRPr="00BF0ED0">
        <w:rPr>
          <w:rFonts w:ascii="Book Antiqua" w:hAnsi="Book Antiqua"/>
        </w:rPr>
        <w:t>1235 Moraes Rego av</w:t>
      </w:r>
      <w:r w:rsidR="002F6951" w:rsidRPr="00BF0ED0">
        <w:rPr>
          <w:rFonts w:ascii="Book Antiqua" w:hAnsi="Book Antiqua"/>
        </w:rPr>
        <w:t>enue</w:t>
      </w:r>
      <w:r w:rsidR="00696A64" w:rsidRPr="00BF0ED0">
        <w:rPr>
          <w:rFonts w:ascii="Book Antiqua" w:hAnsi="Book Antiqua"/>
        </w:rPr>
        <w:t xml:space="preserve">, </w:t>
      </w:r>
      <w:r w:rsidR="001835B3" w:rsidRPr="00BF0ED0">
        <w:rPr>
          <w:rFonts w:ascii="Book Antiqua" w:hAnsi="Book Antiqua"/>
        </w:rPr>
        <w:t>Recife</w:t>
      </w:r>
      <w:bookmarkEnd w:id="14"/>
      <w:bookmarkEnd w:id="15"/>
      <w:r w:rsidR="00696A64" w:rsidRPr="00BF0ED0">
        <w:rPr>
          <w:rFonts w:ascii="Book Antiqua" w:hAnsi="Book Antiqua"/>
        </w:rPr>
        <w:t xml:space="preserve">, </w:t>
      </w:r>
      <w:bookmarkStart w:id="16" w:name="OLE_LINK279"/>
      <w:bookmarkStart w:id="17" w:name="OLE_LINK280"/>
      <w:r w:rsidR="001835B3" w:rsidRPr="00BF0ED0">
        <w:rPr>
          <w:rFonts w:ascii="Book Antiqua" w:hAnsi="Book Antiqua"/>
        </w:rPr>
        <w:t xml:space="preserve">Pernambuco </w:t>
      </w:r>
      <w:bookmarkStart w:id="18" w:name="OLE_LINK281"/>
      <w:bookmarkStart w:id="19" w:name="OLE_LINK282"/>
      <w:bookmarkEnd w:id="16"/>
      <w:bookmarkEnd w:id="17"/>
      <w:r w:rsidR="001835B3" w:rsidRPr="00BF0ED0">
        <w:rPr>
          <w:rFonts w:ascii="Book Antiqua" w:hAnsi="Book Antiqua"/>
        </w:rPr>
        <w:t>5</w:t>
      </w:r>
      <w:r w:rsidR="00696A64" w:rsidRPr="00BF0ED0">
        <w:rPr>
          <w:rFonts w:ascii="Book Antiqua" w:hAnsi="Book Antiqua"/>
        </w:rPr>
        <w:t>0670</w:t>
      </w:r>
      <w:r w:rsidR="001835B3" w:rsidRPr="00BF0ED0">
        <w:rPr>
          <w:rFonts w:ascii="Book Antiqua" w:hAnsi="Book Antiqua"/>
        </w:rPr>
        <w:t>-</w:t>
      </w:r>
      <w:r w:rsidR="00696A64" w:rsidRPr="00BF0ED0">
        <w:rPr>
          <w:rFonts w:ascii="Book Antiqua" w:hAnsi="Book Antiqua"/>
        </w:rPr>
        <w:t>901</w:t>
      </w:r>
      <w:bookmarkEnd w:id="18"/>
      <w:bookmarkEnd w:id="19"/>
      <w:r w:rsidR="001835B3" w:rsidRPr="00BF0ED0">
        <w:rPr>
          <w:rFonts w:ascii="Book Antiqua" w:hAnsi="Book Antiqua"/>
        </w:rPr>
        <w:t xml:space="preserve">, Brazil. </w:t>
      </w:r>
      <w:bookmarkStart w:id="20" w:name="OLE_LINK283"/>
      <w:bookmarkStart w:id="21" w:name="OLE_LINK284"/>
      <w:r w:rsidR="001835B3" w:rsidRPr="00BF0ED0">
        <w:rPr>
          <w:rFonts w:ascii="Book Antiqua" w:hAnsi="Book Antiqua"/>
          <w:bCs/>
          <w:shd w:val="clear" w:color="auto" w:fill="FFFFFF"/>
        </w:rPr>
        <w:t>luis.sette@ufpe.br</w:t>
      </w:r>
      <w:bookmarkEnd w:id="20"/>
      <w:bookmarkEnd w:id="21"/>
    </w:p>
    <w:p w14:paraId="2AE4346C" w14:textId="480416C3" w:rsidR="001835B3" w:rsidRPr="00BF0ED0" w:rsidRDefault="001835B3" w:rsidP="00484E7F">
      <w:pPr>
        <w:adjustRightInd w:val="0"/>
        <w:snapToGrid w:val="0"/>
        <w:spacing w:line="360" w:lineRule="auto"/>
        <w:jc w:val="both"/>
        <w:rPr>
          <w:rFonts w:ascii="Book Antiqua" w:hAnsi="Book Antiqua"/>
          <w:bCs/>
        </w:rPr>
      </w:pPr>
      <w:r w:rsidRPr="00BF0ED0">
        <w:rPr>
          <w:rFonts w:ascii="Book Antiqua" w:hAnsi="Book Antiqua"/>
          <w:b/>
          <w:bCs/>
        </w:rPr>
        <w:t>Telephone:</w:t>
      </w:r>
      <w:r w:rsidR="00D14058" w:rsidRPr="00BF0ED0">
        <w:rPr>
          <w:rFonts w:ascii="Book Antiqua" w:eastAsiaTheme="minorEastAsia" w:hAnsi="Book Antiqua"/>
          <w:bCs/>
          <w:lang w:eastAsia="zh-CN"/>
        </w:rPr>
        <w:t>+</w:t>
      </w:r>
      <w:r w:rsidRPr="00BF0ED0">
        <w:rPr>
          <w:rFonts w:ascii="Book Antiqua" w:hAnsi="Book Antiqua"/>
          <w:bCs/>
        </w:rPr>
        <w:t>55</w:t>
      </w:r>
      <w:r w:rsidR="00D14058" w:rsidRPr="00BF0ED0">
        <w:rPr>
          <w:rFonts w:ascii="Book Antiqua" w:eastAsiaTheme="minorEastAsia" w:hAnsi="Book Antiqua"/>
          <w:bCs/>
          <w:lang w:eastAsia="zh-CN"/>
        </w:rPr>
        <w:t>-</w:t>
      </w:r>
      <w:r w:rsidRPr="00BF0ED0">
        <w:rPr>
          <w:rFonts w:ascii="Book Antiqua" w:hAnsi="Book Antiqua"/>
          <w:bCs/>
        </w:rPr>
        <w:t>819</w:t>
      </w:r>
      <w:r w:rsidR="00D14058" w:rsidRPr="00BF0ED0">
        <w:rPr>
          <w:rFonts w:ascii="Book Antiqua" w:eastAsiaTheme="minorEastAsia" w:hAnsi="Book Antiqua"/>
          <w:bCs/>
          <w:lang w:eastAsia="zh-CN"/>
        </w:rPr>
        <w:t>-</w:t>
      </w:r>
      <w:r w:rsidRPr="00BF0ED0">
        <w:rPr>
          <w:rFonts w:ascii="Book Antiqua" w:hAnsi="Book Antiqua"/>
          <w:bCs/>
        </w:rPr>
        <w:t>97477777</w:t>
      </w:r>
    </w:p>
    <w:p w14:paraId="0FBBE2E3" w14:textId="4CE339C5" w:rsidR="001835B3" w:rsidRPr="00BF0ED0" w:rsidRDefault="001835B3" w:rsidP="00484E7F">
      <w:pPr>
        <w:adjustRightInd w:val="0"/>
        <w:snapToGrid w:val="0"/>
        <w:spacing w:line="360" w:lineRule="auto"/>
        <w:jc w:val="both"/>
        <w:outlineLvl w:val="0"/>
        <w:rPr>
          <w:rFonts w:ascii="Book Antiqua" w:hAnsi="Book Antiqua"/>
          <w:bCs/>
        </w:rPr>
      </w:pPr>
      <w:r w:rsidRPr="00BF0ED0">
        <w:rPr>
          <w:rFonts w:ascii="Book Antiqua" w:hAnsi="Book Antiqua"/>
          <w:b/>
          <w:bCs/>
        </w:rPr>
        <w:t>Fax:</w:t>
      </w:r>
      <w:r w:rsidRPr="00BF0ED0">
        <w:rPr>
          <w:rFonts w:ascii="Book Antiqua" w:hAnsi="Book Antiqua"/>
          <w:bCs/>
        </w:rPr>
        <w:t xml:space="preserve"> </w:t>
      </w:r>
      <w:r w:rsidR="00D14058" w:rsidRPr="00BF0ED0">
        <w:rPr>
          <w:rFonts w:ascii="Book Antiqua" w:eastAsiaTheme="minorEastAsia" w:hAnsi="Book Antiqua"/>
          <w:bCs/>
          <w:lang w:eastAsia="zh-CN"/>
        </w:rPr>
        <w:t>+</w:t>
      </w:r>
      <w:r w:rsidRPr="00BF0ED0">
        <w:rPr>
          <w:rFonts w:ascii="Book Antiqua" w:hAnsi="Book Antiqua"/>
          <w:bCs/>
        </w:rPr>
        <w:t>55</w:t>
      </w:r>
      <w:r w:rsidR="00D14058" w:rsidRPr="00BF0ED0">
        <w:rPr>
          <w:rFonts w:ascii="Book Antiqua" w:eastAsiaTheme="minorEastAsia" w:hAnsi="Book Antiqua"/>
          <w:bCs/>
          <w:lang w:eastAsia="zh-CN"/>
        </w:rPr>
        <w:t>-</w:t>
      </w:r>
      <w:r w:rsidRPr="00BF0ED0">
        <w:rPr>
          <w:rFonts w:ascii="Book Antiqua" w:hAnsi="Book Antiqua"/>
          <w:bCs/>
        </w:rPr>
        <w:t>812</w:t>
      </w:r>
      <w:r w:rsidR="00D14058" w:rsidRPr="00BF0ED0">
        <w:rPr>
          <w:rFonts w:ascii="Book Antiqua" w:eastAsiaTheme="minorEastAsia" w:hAnsi="Book Antiqua"/>
          <w:bCs/>
          <w:lang w:eastAsia="zh-CN"/>
        </w:rPr>
        <w:t>-</w:t>
      </w:r>
      <w:r w:rsidRPr="00BF0ED0">
        <w:rPr>
          <w:rFonts w:ascii="Book Antiqua" w:hAnsi="Book Antiqua"/>
          <w:bCs/>
        </w:rPr>
        <w:t>1263733</w:t>
      </w:r>
    </w:p>
    <w:p w14:paraId="35FBD52A" w14:textId="77777777" w:rsidR="001835B3" w:rsidRPr="00BF0ED0" w:rsidRDefault="001835B3" w:rsidP="00484E7F">
      <w:pPr>
        <w:adjustRightInd w:val="0"/>
        <w:snapToGrid w:val="0"/>
        <w:spacing w:line="360" w:lineRule="auto"/>
        <w:jc w:val="both"/>
        <w:rPr>
          <w:rFonts w:ascii="Book Antiqua" w:hAnsi="Book Antiqua"/>
          <w:vertAlign w:val="superscript"/>
        </w:rPr>
      </w:pPr>
    </w:p>
    <w:p w14:paraId="192D76AA" w14:textId="1A6A4F45"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SimSun" w:hAnsi="Book Antiqua"/>
          <w:b/>
          <w:color w:val="000000"/>
          <w:kern w:val="2"/>
        </w:rPr>
        <w:t>Received:</w:t>
      </w:r>
      <w:r w:rsidRPr="00BF0ED0">
        <w:rPr>
          <w:rFonts w:ascii="Book Antiqua" w:eastAsia="SimSun" w:hAnsi="Book Antiqua"/>
          <w:color w:val="000000"/>
          <w:kern w:val="2"/>
        </w:rPr>
        <w:t xml:space="preserve"> </w:t>
      </w:r>
      <w:bookmarkStart w:id="22" w:name="OLE_LINK14"/>
      <w:bookmarkStart w:id="23" w:name="OLE_LINK15"/>
      <w:r w:rsidR="00600980" w:rsidRPr="00BF0ED0">
        <w:rPr>
          <w:rFonts w:ascii="Book Antiqua" w:hAnsi="Book Antiqua"/>
        </w:rPr>
        <w:t>October</w:t>
      </w:r>
      <w:bookmarkEnd w:id="22"/>
      <w:bookmarkEnd w:id="23"/>
      <w:r w:rsidR="00600980" w:rsidRPr="00BF0ED0">
        <w:rPr>
          <w:rFonts w:ascii="Book Antiqua" w:eastAsiaTheme="minorEastAsia" w:hAnsi="Book Antiqua"/>
          <w:lang w:eastAsia="zh-CN"/>
        </w:rPr>
        <w:t xml:space="preserve"> 30, 018</w:t>
      </w:r>
    </w:p>
    <w:p w14:paraId="002E1966" w14:textId="0C3CA757"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SimSun" w:hAnsi="Book Antiqua"/>
          <w:b/>
          <w:color w:val="000000"/>
          <w:kern w:val="2"/>
        </w:rPr>
        <w:t>Peer-review started:</w:t>
      </w:r>
      <w:r w:rsidRPr="00BF0ED0">
        <w:rPr>
          <w:rFonts w:ascii="Book Antiqua" w:eastAsia="SimSun" w:hAnsi="Book Antiqua"/>
          <w:color w:val="000000"/>
          <w:kern w:val="2"/>
        </w:rPr>
        <w:t xml:space="preserve"> </w:t>
      </w:r>
      <w:r w:rsidR="00600980" w:rsidRPr="00BF0ED0">
        <w:rPr>
          <w:rFonts w:ascii="Book Antiqua" w:hAnsi="Book Antiqua"/>
        </w:rPr>
        <w:t>October</w:t>
      </w:r>
      <w:r w:rsidR="00600980" w:rsidRPr="00BF0ED0">
        <w:rPr>
          <w:rFonts w:ascii="Book Antiqua" w:eastAsiaTheme="minorEastAsia" w:hAnsi="Book Antiqua"/>
          <w:lang w:eastAsia="zh-CN"/>
        </w:rPr>
        <w:t xml:space="preserve"> 31, 2018</w:t>
      </w:r>
    </w:p>
    <w:p w14:paraId="03911608" w14:textId="2898A534"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SimSun" w:hAnsi="Book Antiqua"/>
          <w:b/>
          <w:color w:val="000000"/>
          <w:kern w:val="2"/>
        </w:rPr>
        <w:t>First decision:</w:t>
      </w:r>
      <w:r w:rsidRPr="00BF0ED0">
        <w:rPr>
          <w:rFonts w:ascii="Book Antiqua" w:eastAsia="SimSun" w:hAnsi="Book Antiqua"/>
          <w:color w:val="000000"/>
          <w:kern w:val="2"/>
        </w:rPr>
        <w:t xml:space="preserve"> </w:t>
      </w:r>
      <w:r w:rsidR="00E01059" w:rsidRPr="00BF0ED0">
        <w:rPr>
          <w:rFonts w:ascii="Book Antiqua" w:hAnsi="Book Antiqua"/>
        </w:rPr>
        <w:t>December</w:t>
      </w:r>
      <w:r w:rsidR="00E01059" w:rsidRPr="00BF0ED0">
        <w:rPr>
          <w:rFonts w:ascii="Book Antiqua" w:eastAsiaTheme="minorEastAsia" w:hAnsi="Book Antiqua"/>
          <w:lang w:eastAsia="zh-CN"/>
        </w:rPr>
        <w:t xml:space="preserve"> 9, 2018</w:t>
      </w:r>
    </w:p>
    <w:p w14:paraId="7006D851" w14:textId="2BF357E7"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SimSun" w:hAnsi="Book Antiqua"/>
          <w:b/>
          <w:color w:val="000000"/>
          <w:kern w:val="2"/>
        </w:rPr>
        <w:t>Revised:</w:t>
      </w:r>
      <w:r w:rsidRPr="00BF0ED0">
        <w:rPr>
          <w:rFonts w:ascii="Book Antiqua" w:eastAsia="SimSun" w:hAnsi="Book Antiqua"/>
          <w:color w:val="000000"/>
          <w:kern w:val="2"/>
        </w:rPr>
        <w:t xml:space="preserve"> </w:t>
      </w:r>
      <w:r w:rsidR="00E01059" w:rsidRPr="00BF0ED0">
        <w:rPr>
          <w:rFonts w:ascii="Book Antiqua" w:hAnsi="Book Antiqua"/>
        </w:rPr>
        <w:t>December</w:t>
      </w:r>
      <w:r w:rsidR="00E01059" w:rsidRPr="00BF0ED0">
        <w:rPr>
          <w:rFonts w:ascii="Book Antiqua" w:eastAsiaTheme="minorEastAsia" w:hAnsi="Book Antiqua"/>
          <w:lang w:eastAsia="zh-CN"/>
        </w:rPr>
        <w:t xml:space="preserve"> 20, 2018</w:t>
      </w:r>
    </w:p>
    <w:p w14:paraId="51A59877" w14:textId="7A94D71E" w:rsidR="001835B3" w:rsidRPr="002F1DE0" w:rsidRDefault="001835B3" w:rsidP="00484E7F">
      <w:pPr>
        <w:adjustRightInd w:val="0"/>
        <w:snapToGrid w:val="0"/>
        <w:spacing w:line="360" w:lineRule="auto"/>
        <w:jc w:val="both"/>
        <w:outlineLvl w:val="0"/>
        <w:rPr>
          <w:rFonts w:ascii="Book Antiqua" w:eastAsia="SimSun" w:hAnsi="Book Antiqua"/>
          <w:color w:val="000000"/>
          <w:kern w:val="2"/>
          <w:lang w:val="en-US"/>
        </w:rPr>
      </w:pPr>
      <w:proofErr w:type="spellStart"/>
      <w:r w:rsidRPr="00BF0ED0">
        <w:rPr>
          <w:rFonts w:ascii="Book Antiqua" w:eastAsia="SimSun" w:hAnsi="Book Antiqua"/>
          <w:b/>
          <w:color w:val="000000"/>
          <w:kern w:val="2"/>
        </w:rPr>
        <w:t>Accepted</w:t>
      </w:r>
      <w:proofErr w:type="spellEnd"/>
      <w:r w:rsidRPr="00BF0ED0">
        <w:rPr>
          <w:rFonts w:ascii="Book Antiqua" w:eastAsia="SimSun" w:hAnsi="Book Antiqua"/>
          <w:b/>
          <w:color w:val="000000"/>
          <w:kern w:val="2"/>
        </w:rPr>
        <w:t>:</w:t>
      </w:r>
      <w:r w:rsidR="002F727E">
        <w:rPr>
          <w:rFonts w:ascii="Book Antiqua" w:hAnsi="Book Antiqua"/>
          <w:lang w:val="en-US"/>
        </w:rPr>
        <w:t xml:space="preserve"> January 3, 2019</w:t>
      </w:r>
    </w:p>
    <w:p w14:paraId="58D6FCA6" w14:textId="77777777" w:rsidR="001835B3" w:rsidRPr="00BF0ED0" w:rsidRDefault="001835B3" w:rsidP="00484E7F">
      <w:pPr>
        <w:adjustRightInd w:val="0"/>
        <w:snapToGrid w:val="0"/>
        <w:spacing w:line="360" w:lineRule="auto"/>
        <w:jc w:val="both"/>
        <w:outlineLvl w:val="0"/>
        <w:rPr>
          <w:rFonts w:ascii="Book Antiqua" w:eastAsia="SimSun" w:hAnsi="Book Antiqua"/>
          <w:b/>
          <w:color w:val="000000"/>
          <w:kern w:val="2"/>
        </w:rPr>
      </w:pPr>
      <w:proofErr w:type="spellStart"/>
      <w:r w:rsidRPr="00BF0ED0">
        <w:rPr>
          <w:rFonts w:ascii="Book Antiqua" w:eastAsia="SimSun" w:hAnsi="Book Antiqua"/>
          <w:b/>
          <w:color w:val="000000"/>
          <w:kern w:val="2"/>
        </w:rPr>
        <w:t>Article</w:t>
      </w:r>
      <w:proofErr w:type="spellEnd"/>
      <w:r w:rsidRPr="00BF0ED0">
        <w:rPr>
          <w:rFonts w:ascii="Book Antiqua" w:eastAsia="SimSun" w:hAnsi="Book Antiqua"/>
          <w:b/>
          <w:color w:val="000000"/>
          <w:kern w:val="2"/>
        </w:rPr>
        <w:t xml:space="preserve"> in </w:t>
      </w:r>
      <w:proofErr w:type="spellStart"/>
      <w:r w:rsidRPr="00BF0ED0">
        <w:rPr>
          <w:rFonts w:ascii="Book Antiqua" w:eastAsia="SimSun" w:hAnsi="Book Antiqua"/>
          <w:b/>
          <w:color w:val="000000"/>
          <w:kern w:val="2"/>
        </w:rPr>
        <w:t>press</w:t>
      </w:r>
      <w:proofErr w:type="spellEnd"/>
      <w:r w:rsidRPr="00BF0ED0">
        <w:rPr>
          <w:rFonts w:ascii="Book Antiqua" w:eastAsia="SimSun" w:hAnsi="Book Antiqua"/>
          <w:b/>
          <w:color w:val="000000"/>
          <w:kern w:val="2"/>
        </w:rPr>
        <w:t>:</w:t>
      </w:r>
    </w:p>
    <w:p w14:paraId="4AA749F7" w14:textId="77777777" w:rsidR="001835B3" w:rsidRPr="00BF0ED0" w:rsidRDefault="001835B3" w:rsidP="00484E7F">
      <w:pPr>
        <w:adjustRightInd w:val="0"/>
        <w:snapToGrid w:val="0"/>
        <w:spacing w:line="360" w:lineRule="auto"/>
        <w:jc w:val="both"/>
        <w:outlineLvl w:val="0"/>
        <w:rPr>
          <w:rFonts w:ascii="Book Antiqua" w:eastAsia="SimSun" w:hAnsi="Book Antiqua"/>
          <w:b/>
          <w:color w:val="000000"/>
          <w:kern w:val="2"/>
        </w:rPr>
      </w:pPr>
      <w:r w:rsidRPr="00BF0ED0">
        <w:rPr>
          <w:rFonts w:ascii="Book Antiqua" w:eastAsia="SimSun" w:hAnsi="Book Antiqua"/>
          <w:b/>
          <w:color w:val="000000"/>
          <w:kern w:val="2"/>
        </w:rPr>
        <w:t>Published online:</w:t>
      </w:r>
    </w:p>
    <w:p w14:paraId="0ECD6485" w14:textId="77777777" w:rsidR="001835B3" w:rsidRPr="00BF0ED0" w:rsidRDefault="001835B3" w:rsidP="00484E7F">
      <w:pPr>
        <w:adjustRightInd w:val="0"/>
        <w:snapToGrid w:val="0"/>
        <w:spacing w:line="360" w:lineRule="auto"/>
        <w:jc w:val="both"/>
        <w:rPr>
          <w:rFonts w:ascii="Book Antiqua" w:hAnsi="Book Antiqua"/>
        </w:rPr>
      </w:pPr>
    </w:p>
    <w:p w14:paraId="78960958"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br w:type="page"/>
      </w:r>
      <w:r w:rsidRPr="00BF0ED0">
        <w:rPr>
          <w:rFonts w:ascii="Book Antiqua" w:hAnsi="Book Antiqua"/>
          <w:b/>
        </w:rPr>
        <w:lastRenderedPageBreak/>
        <w:t>Abstract</w:t>
      </w:r>
    </w:p>
    <w:p w14:paraId="2EF17CAA" w14:textId="7C35BFC6" w:rsidR="00D15BA9" w:rsidRPr="00BF0ED0" w:rsidRDefault="00D15BA9" w:rsidP="00484E7F">
      <w:pPr>
        <w:adjustRightInd w:val="0"/>
        <w:snapToGrid w:val="0"/>
        <w:spacing w:line="360" w:lineRule="auto"/>
        <w:rPr>
          <w:rFonts w:ascii="Book Antiqua" w:hAnsi="Book Antiqua"/>
          <w:color w:val="000000" w:themeColor="text1"/>
        </w:rPr>
      </w:pPr>
      <w:r w:rsidRPr="00BF0ED0">
        <w:rPr>
          <w:rFonts w:ascii="Book Antiqua" w:hAnsi="Book Antiqua"/>
          <w:b/>
          <w:i/>
          <w:color w:val="000000" w:themeColor="text1"/>
        </w:rPr>
        <w:t>BACKGROUND</w:t>
      </w:r>
    </w:p>
    <w:p w14:paraId="05EB6AAF" w14:textId="64A8E7FA" w:rsidR="00492EDA" w:rsidRPr="00BF0ED0" w:rsidRDefault="00492EDA" w:rsidP="00484E7F">
      <w:pPr>
        <w:adjustRightInd w:val="0"/>
        <w:snapToGrid w:val="0"/>
        <w:spacing w:line="360" w:lineRule="auto"/>
        <w:jc w:val="both"/>
        <w:rPr>
          <w:rFonts w:ascii="Book Antiqua" w:hAnsi="Book Antiqua"/>
        </w:rPr>
      </w:pPr>
      <w:r w:rsidRPr="00BF0ED0">
        <w:rPr>
          <w:rFonts w:ascii="Book Antiqua" w:hAnsi="Book Antiqua"/>
        </w:rPr>
        <w:t xml:space="preserve">Occult hepatitis C </w:t>
      </w:r>
      <w:r w:rsidR="00695F9E" w:rsidRPr="00BF0ED0">
        <w:rPr>
          <w:rFonts w:ascii="Book Antiqua" w:hAnsi="Book Antiqua"/>
        </w:rPr>
        <w:t xml:space="preserve">virus </w:t>
      </w:r>
      <w:r w:rsidRPr="00BF0ED0">
        <w:rPr>
          <w:rFonts w:ascii="Book Antiqua" w:hAnsi="Book Antiqua"/>
        </w:rPr>
        <w:t>(HCV) infection (OCI) may be associated with extrahepatic diseases and it is known that the patients with chronic kidney disease (CKD) who are on hemodialysis (HD) present a higher prevalence of this type of infection than the general population, with a worse clinical outcome. However, there are no data in the literature to assess the presence of OCI in patients prior to the initiation of renal replacement therapy (RRT). Therefore, this study aimed to evaluate the occurrence and epidemiological aspects of OCI in patients with Predialysis CKD. We hypothesize that this infection could occur before RRT initiation.</w:t>
      </w:r>
    </w:p>
    <w:p w14:paraId="01485DCD" w14:textId="77777777" w:rsidR="00D15BA9" w:rsidRPr="00BF0ED0" w:rsidRDefault="00D15BA9" w:rsidP="00484E7F">
      <w:pPr>
        <w:adjustRightInd w:val="0"/>
        <w:snapToGrid w:val="0"/>
        <w:spacing w:line="360" w:lineRule="auto"/>
        <w:jc w:val="both"/>
        <w:outlineLvl w:val="0"/>
        <w:rPr>
          <w:rFonts w:ascii="Book Antiqua" w:hAnsi="Book Antiqua"/>
          <w:b/>
          <w:i/>
          <w:lang w:eastAsia="zh-CN"/>
        </w:rPr>
      </w:pPr>
    </w:p>
    <w:p w14:paraId="5043455B"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AIM</w:t>
      </w:r>
      <w:r w:rsidRPr="00BF0ED0">
        <w:rPr>
          <w:rFonts w:ascii="Book Antiqua" w:hAnsi="Book Antiqua"/>
          <w:i/>
        </w:rPr>
        <w:t xml:space="preserve"> </w:t>
      </w:r>
    </w:p>
    <w:p w14:paraId="3FC8A3A1" w14:textId="23B63FD8" w:rsidR="001835B3" w:rsidRPr="00BF0ED0" w:rsidRDefault="004D6E56" w:rsidP="00484E7F">
      <w:pPr>
        <w:adjustRightInd w:val="0"/>
        <w:snapToGrid w:val="0"/>
        <w:spacing w:line="360" w:lineRule="auto"/>
        <w:jc w:val="both"/>
        <w:rPr>
          <w:rFonts w:ascii="Book Antiqua" w:hAnsi="Book Antiqua"/>
        </w:rPr>
      </w:pPr>
      <w:r w:rsidRPr="00BF0ED0">
        <w:rPr>
          <w:rFonts w:ascii="Book Antiqua" w:eastAsiaTheme="minorEastAsia" w:hAnsi="Book Antiqua"/>
          <w:lang w:eastAsia="zh-CN"/>
        </w:rPr>
        <w:t xml:space="preserve">To research the status in </w:t>
      </w:r>
      <w:r w:rsidRPr="00BF0ED0">
        <w:rPr>
          <w:rFonts w:ascii="Book Antiqua" w:hAnsi="Book Antiqua"/>
        </w:rPr>
        <w:t>predialysis patients</w:t>
      </w:r>
      <w:r w:rsidRPr="00BF0ED0">
        <w:rPr>
          <w:rFonts w:ascii="Book Antiqua" w:eastAsiaTheme="minorEastAsia" w:hAnsi="Book Antiqua"/>
          <w:lang w:eastAsia="zh-CN"/>
        </w:rPr>
        <w:t xml:space="preserve"> </w:t>
      </w:r>
      <w:r w:rsidR="00847630" w:rsidRPr="00BF0ED0">
        <w:rPr>
          <w:rFonts w:ascii="Book Antiqua" w:eastAsiaTheme="minorEastAsia" w:hAnsi="Book Antiqua"/>
          <w:lang w:eastAsia="zh-CN"/>
        </w:rPr>
        <w:t xml:space="preserve">when </w:t>
      </w:r>
      <w:r w:rsidR="00781EF4" w:rsidRPr="00BF0ED0">
        <w:rPr>
          <w:rFonts w:ascii="Book Antiqua" w:hAnsi="Book Antiqua"/>
        </w:rPr>
        <w:t>HD</w:t>
      </w:r>
      <w:r w:rsidR="001835B3" w:rsidRPr="00BF0ED0">
        <w:rPr>
          <w:rFonts w:ascii="Book Antiqua" w:hAnsi="Book Antiqua"/>
        </w:rPr>
        <w:t xml:space="preserve"> patients have high prevalence of </w:t>
      </w:r>
      <w:r w:rsidR="00002D06" w:rsidRPr="00BF0ED0">
        <w:rPr>
          <w:rFonts w:ascii="Book Antiqua" w:hAnsi="Book Antiqua"/>
        </w:rPr>
        <w:t>OCI</w:t>
      </w:r>
      <w:r w:rsidR="001835B3" w:rsidRPr="00BF0ED0">
        <w:rPr>
          <w:rFonts w:ascii="Book Antiqua" w:hAnsi="Book Antiqua"/>
        </w:rPr>
        <w:t xml:space="preserve">. </w:t>
      </w:r>
    </w:p>
    <w:p w14:paraId="0F3A2830" w14:textId="77777777" w:rsidR="001835B3" w:rsidRPr="00BF0ED0" w:rsidRDefault="001835B3" w:rsidP="00484E7F">
      <w:pPr>
        <w:adjustRightInd w:val="0"/>
        <w:snapToGrid w:val="0"/>
        <w:spacing w:line="360" w:lineRule="auto"/>
        <w:jc w:val="both"/>
        <w:rPr>
          <w:rFonts w:ascii="Book Antiqua" w:hAnsi="Book Antiqua"/>
          <w:b/>
        </w:rPr>
      </w:pPr>
    </w:p>
    <w:p w14:paraId="452484F7"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METHODS</w:t>
      </w:r>
      <w:r w:rsidRPr="00BF0ED0">
        <w:rPr>
          <w:rFonts w:ascii="Book Antiqua" w:hAnsi="Book Antiqua"/>
          <w:i/>
        </w:rPr>
        <w:t xml:space="preserve"> </w:t>
      </w:r>
    </w:p>
    <w:p w14:paraId="250DD52B" w14:textId="62DF140F"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A cross-sectional study was conducted between 2015 and 2017. Adults with creatinine clearance &lt; 60 mL/min</w:t>
      </w:r>
      <w:r w:rsidR="008B3CCC" w:rsidRPr="00BF0ED0">
        <w:rPr>
          <w:rFonts w:ascii="Book Antiqua" w:hAnsi="Book Antiqua"/>
        </w:rPr>
        <w:t>·</w:t>
      </w:r>
      <w:r w:rsidRPr="00BF0ED0">
        <w:rPr>
          <w:rFonts w:ascii="Book Antiqua" w:hAnsi="Book Antiqua"/>
        </w:rPr>
        <w:t>1.73m</w:t>
      </w:r>
      <w:r w:rsidRPr="00BF0ED0">
        <w:rPr>
          <w:rFonts w:ascii="Book Antiqua" w:hAnsi="Book Antiqua"/>
          <w:vertAlign w:val="superscript"/>
        </w:rPr>
        <w:t>2</w:t>
      </w:r>
      <w:r w:rsidRPr="00BF0ED0">
        <w:rPr>
          <w:rFonts w:ascii="Book Antiqua" w:hAnsi="Book Antiqua"/>
        </w:rPr>
        <w:t xml:space="preserve"> (predialysis patients) were recruited to the study. Pregnant and postpartum women, patients with glomerulopathies, and patients showing positivity for serological markers of hepatitis B virus</w:t>
      </w:r>
      <w:r w:rsidR="008B3CCC" w:rsidRPr="00BF0ED0">
        <w:rPr>
          <w:rFonts w:ascii="Book Antiqua" w:eastAsiaTheme="minorEastAsia" w:hAnsi="Book Antiqua"/>
          <w:lang w:eastAsia="zh-CN"/>
        </w:rPr>
        <w:t xml:space="preserve"> (HBV)</w:t>
      </w:r>
      <w:r w:rsidRPr="00BF0ED0">
        <w:rPr>
          <w:rFonts w:ascii="Book Antiqua" w:hAnsi="Book Antiqua"/>
        </w:rPr>
        <w:t>, HCV or human immunodeficiency virus infection were excluded. Patients were diagnosed with OCI according to test results of anti-HCV antibody negativity and HCV RNA positivity in either ultracentrifuged serum or, if serum-negative, in peripheral blood mononuclear cells.</w:t>
      </w:r>
    </w:p>
    <w:p w14:paraId="1EB79981" w14:textId="77777777" w:rsidR="001835B3" w:rsidRPr="00BF0ED0" w:rsidRDefault="001835B3" w:rsidP="00484E7F">
      <w:pPr>
        <w:adjustRightInd w:val="0"/>
        <w:snapToGrid w:val="0"/>
        <w:spacing w:line="360" w:lineRule="auto"/>
        <w:jc w:val="both"/>
        <w:rPr>
          <w:rFonts w:ascii="Book Antiqua" w:hAnsi="Book Antiqua"/>
          <w:b/>
        </w:rPr>
      </w:pPr>
    </w:p>
    <w:p w14:paraId="0488BD43"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RESULTS</w:t>
      </w:r>
    </w:p>
    <w:p w14:paraId="0CD16D30" w14:textId="79EE894F"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Among the 91 total patients included in the study, the prevalence of OCI was 16.5%. Among these 15 total OCI patients, 1 was diagnosed by 14 ultracentrifuged serum</w:t>
      </w:r>
      <w:r w:rsidRPr="00BF0ED0" w:rsidDel="009B2B2D">
        <w:rPr>
          <w:rFonts w:ascii="Book Antiqua" w:hAnsi="Book Antiqua"/>
        </w:rPr>
        <w:t xml:space="preserve"> </w:t>
      </w:r>
      <w:r w:rsidRPr="00BF0ED0">
        <w:rPr>
          <w:rFonts w:ascii="Book Antiqua" w:hAnsi="Book Antiqua"/>
        </w:rPr>
        <w:t xml:space="preserve">results and 14 were diagnosed by peripheral blood </w:t>
      </w:r>
      <w:r w:rsidRPr="00BF0ED0">
        <w:rPr>
          <w:rFonts w:ascii="Book Antiqua" w:hAnsi="Book Antiqua"/>
        </w:rPr>
        <w:lastRenderedPageBreak/>
        <w:t>mononuclear cell results. Compared to the non-OCI group, the OCI patients presented higher frequency of older age (</w:t>
      </w:r>
      <w:r w:rsidRPr="00BF0ED0">
        <w:rPr>
          <w:rFonts w:ascii="Book Antiqua" w:hAnsi="Book Antiqua"/>
          <w:i/>
        </w:rPr>
        <w:t>P</w:t>
      </w:r>
      <w:r w:rsidRPr="00BF0ED0">
        <w:rPr>
          <w:rFonts w:ascii="Book Antiqua" w:hAnsi="Book Antiqua"/>
        </w:rPr>
        <w:t xml:space="preserve"> = 0.002), patients with </w:t>
      </w:r>
      <w:r w:rsidR="00781EF4" w:rsidRPr="00BF0ED0">
        <w:rPr>
          <w:rFonts w:ascii="Book Antiqua" w:hAnsi="Book Antiqua"/>
        </w:rPr>
        <w:t>CKD</w:t>
      </w:r>
      <w:r w:rsidRPr="00BF0ED0">
        <w:rPr>
          <w:rFonts w:ascii="Book Antiqua" w:hAnsi="Book Antiqua"/>
        </w:rPr>
        <w:t xml:space="preserve"> of mixed etiology (</w:t>
      </w:r>
      <w:r w:rsidRPr="00BF0ED0">
        <w:rPr>
          <w:rFonts w:ascii="Book Antiqua" w:hAnsi="Book Antiqua"/>
          <w:i/>
        </w:rPr>
        <w:t>P</w:t>
      </w:r>
      <w:r w:rsidRPr="00BF0ED0">
        <w:rPr>
          <w:rFonts w:ascii="Book Antiqua" w:hAnsi="Book Antiqua"/>
        </w:rPr>
        <w:t xml:space="preserve"> = 0.019), and patients with markers of previous </w:t>
      </w:r>
      <w:r w:rsidR="00E576B2" w:rsidRPr="00BF0ED0">
        <w:rPr>
          <w:rFonts w:ascii="Book Antiqua" w:eastAsiaTheme="minorEastAsia" w:hAnsi="Book Antiqua"/>
          <w:lang w:eastAsia="zh-CN"/>
        </w:rPr>
        <w:t>HBV</w:t>
      </w:r>
      <w:r w:rsidRPr="00BF0ED0">
        <w:rPr>
          <w:rFonts w:ascii="Book Antiqua" w:hAnsi="Book Antiqua"/>
        </w:rPr>
        <w:t xml:space="preserve"> infection (</w:t>
      </w:r>
      <w:r w:rsidRPr="00BF0ED0">
        <w:rPr>
          <w:rFonts w:ascii="Book Antiqua" w:hAnsi="Book Antiqua"/>
          <w:i/>
        </w:rPr>
        <w:t>i.e</w:t>
      </w:r>
      <w:r w:rsidRPr="00BF0ED0">
        <w:rPr>
          <w:rFonts w:ascii="Book Antiqua" w:hAnsi="Book Antiqua"/>
        </w:rPr>
        <w:t>.</w:t>
      </w:r>
      <w:r w:rsidR="00E576B2" w:rsidRPr="00BF0ED0">
        <w:rPr>
          <w:rFonts w:ascii="Book Antiqua" w:eastAsiaTheme="minorEastAsia" w:hAnsi="Book Antiqua"/>
          <w:lang w:eastAsia="zh-CN"/>
        </w:rPr>
        <w:t>,</w:t>
      </w:r>
      <w:r w:rsidRPr="00BF0ED0">
        <w:rPr>
          <w:rFonts w:ascii="Book Antiqua" w:hAnsi="Book Antiqua"/>
        </w:rPr>
        <w:t xml:space="preserve"> combined positivity for anti-hepatitis B core protein antibody and anti-hepatitis B surface protein antibody) (</w:t>
      </w:r>
      <w:r w:rsidRPr="00BF0ED0">
        <w:rPr>
          <w:rFonts w:ascii="Book Antiqua" w:hAnsi="Book Antiqua"/>
          <w:i/>
        </w:rPr>
        <w:t>P</w:t>
      </w:r>
      <w:r w:rsidRPr="00BF0ED0">
        <w:rPr>
          <w:rFonts w:ascii="Book Antiqua" w:hAnsi="Book Antiqua"/>
        </w:rPr>
        <w:t xml:space="preserve"> = 0.001). </w:t>
      </w:r>
    </w:p>
    <w:p w14:paraId="5956869B" w14:textId="77777777" w:rsidR="001835B3" w:rsidRPr="00BF0ED0" w:rsidRDefault="001835B3" w:rsidP="00484E7F">
      <w:pPr>
        <w:adjustRightInd w:val="0"/>
        <w:snapToGrid w:val="0"/>
        <w:spacing w:line="360" w:lineRule="auto"/>
        <w:jc w:val="both"/>
        <w:rPr>
          <w:rFonts w:ascii="Book Antiqua" w:hAnsi="Book Antiqua"/>
        </w:rPr>
      </w:pPr>
    </w:p>
    <w:p w14:paraId="6776BCAD"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CONCLUSION</w:t>
      </w:r>
    </w:p>
    <w:p w14:paraId="513126EB" w14:textId="1F0ABC82"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Among predialysis patients, OCI involved the elderly, patients with </w:t>
      </w:r>
      <w:r w:rsidR="00781EF4" w:rsidRPr="00BF0ED0">
        <w:rPr>
          <w:rFonts w:ascii="Book Antiqua" w:hAnsi="Book Antiqua"/>
        </w:rPr>
        <w:t>CKD</w:t>
      </w:r>
      <w:r w:rsidRPr="00BF0ED0">
        <w:rPr>
          <w:rFonts w:ascii="Book Antiqua" w:hAnsi="Book Antiqua"/>
        </w:rPr>
        <w:t xml:space="preserve"> of mixed etiology, and patients </w:t>
      </w:r>
      <w:r w:rsidRPr="00BF0ED0">
        <w:rPr>
          <w:rFonts w:ascii="Book Antiqua" w:hAnsi="Book Antiqua"/>
          <w:color w:val="0D0D0D"/>
        </w:rPr>
        <w:t xml:space="preserve">with </w:t>
      </w:r>
      <w:r w:rsidRPr="00BF0ED0">
        <w:rPr>
          <w:rFonts w:ascii="Book Antiqua" w:hAnsi="Book Antiqua"/>
        </w:rPr>
        <w:t xml:space="preserve">previous </w:t>
      </w:r>
      <w:r w:rsidR="00E576B2" w:rsidRPr="00BF0ED0">
        <w:rPr>
          <w:rFonts w:ascii="Book Antiqua" w:eastAsiaTheme="minorEastAsia" w:hAnsi="Book Antiqua"/>
          <w:lang w:eastAsia="zh-CN"/>
        </w:rPr>
        <w:t>HBV</w:t>
      </w:r>
      <w:r w:rsidR="005F570E" w:rsidRPr="00BF0ED0">
        <w:rPr>
          <w:rFonts w:ascii="Book Antiqua" w:hAnsi="Book Antiqua"/>
        </w:rPr>
        <w:t xml:space="preserve"> infection</w:t>
      </w:r>
      <w:r w:rsidRPr="00BF0ED0">
        <w:rPr>
          <w:rFonts w:ascii="Book Antiqua" w:hAnsi="Book Antiqua"/>
        </w:rPr>
        <w:t>.</w:t>
      </w:r>
    </w:p>
    <w:p w14:paraId="65AED8B0" w14:textId="77777777" w:rsidR="001835B3" w:rsidRPr="00BF0ED0" w:rsidRDefault="001835B3" w:rsidP="00484E7F">
      <w:pPr>
        <w:adjustRightInd w:val="0"/>
        <w:snapToGrid w:val="0"/>
        <w:spacing w:line="360" w:lineRule="auto"/>
        <w:jc w:val="both"/>
        <w:rPr>
          <w:rFonts w:ascii="Book Antiqua" w:hAnsi="Book Antiqua"/>
        </w:rPr>
      </w:pPr>
    </w:p>
    <w:p w14:paraId="7FBBD789" w14:textId="0FE7E1FB" w:rsidR="001835B3" w:rsidRPr="00BF0ED0" w:rsidRDefault="001835B3"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b/>
        </w:rPr>
        <w:t>Key words:</w:t>
      </w:r>
      <w:r w:rsidRPr="00BF0ED0">
        <w:rPr>
          <w:rFonts w:ascii="Book Antiqua" w:hAnsi="Book Antiqua"/>
        </w:rPr>
        <w:t xml:space="preserve"> Occult hepatitis infection; Chronic hepatitis C; Chronic kidney disease; Hemodialysis; </w:t>
      </w:r>
      <w:r w:rsidR="00851284" w:rsidRPr="00BF0ED0">
        <w:rPr>
          <w:rFonts w:ascii="Book Antiqua" w:hAnsi="Book Antiqua"/>
          <w:caps/>
          <w:color w:val="212121"/>
          <w:lang w:val="en-US"/>
        </w:rPr>
        <w:t>h</w:t>
      </w:r>
      <w:r w:rsidR="00851284" w:rsidRPr="00BF0ED0">
        <w:rPr>
          <w:rFonts w:ascii="Book Antiqua" w:hAnsi="Book Antiqua"/>
          <w:color w:val="212121"/>
          <w:lang w:val="en-US"/>
        </w:rPr>
        <w:t>epatitis C virus</w:t>
      </w:r>
      <w:r w:rsidRPr="00BF0ED0">
        <w:rPr>
          <w:rFonts w:ascii="Book Antiqua" w:hAnsi="Book Antiqua"/>
        </w:rPr>
        <w:t>-RNA; Per</w:t>
      </w:r>
      <w:r w:rsidR="00B34B68" w:rsidRPr="00BF0ED0">
        <w:rPr>
          <w:rFonts w:ascii="Book Antiqua" w:hAnsi="Book Antiqua"/>
        </w:rPr>
        <w:t>ipheral blood mononuclear cells</w:t>
      </w:r>
    </w:p>
    <w:p w14:paraId="6448AFC8" w14:textId="77777777" w:rsidR="001835B3" w:rsidRPr="00BF0ED0" w:rsidRDefault="001835B3" w:rsidP="00484E7F">
      <w:pPr>
        <w:adjustRightInd w:val="0"/>
        <w:snapToGrid w:val="0"/>
        <w:spacing w:line="360" w:lineRule="auto"/>
        <w:jc w:val="both"/>
        <w:rPr>
          <w:rFonts w:ascii="Book Antiqua" w:hAnsi="Book Antiqua"/>
        </w:rPr>
      </w:pPr>
    </w:p>
    <w:p w14:paraId="538C862A" w14:textId="6B182AB5" w:rsidR="001835B3" w:rsidRPr="00BF0ED0" w:rsidRDefault="001835B3" w:rsidP="00484E7F">
      <w:pPr>
        <w:adjustRightInd w:val="0"/>
        <w:snapToGrid w:val="0"/>
        <w:spacing w:line="360" w:lineRule="auto"/>
        <w:jc w:val="both"/>
        <w:rPr>
          <w:rFonts w:ascii="Book Antiqua" w:eastAsia="SimSun" w:hAnsi="Book Antiqua" w:cs="Tahoma"/>
          <w:color w:val="000000"/>
          <w:kern w:val="2"/>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BF0ED0">
        <w:rPr>
          <w:rFonts w:ascii="Book Antiqua" w:eastAsia="SimSun" w:hAnsi="Book Antiqua" w:cs="Tahoma"/>
          <w:b/>
          <w:color w:val="000000"/>
          <w:kern w:val="2"/>
          <w:lang w:eastAsia="ja-JP"/>
        </w:rPr>
        <w:t xml:space="preserve">© The Author(s) </w:t>
      </w:r>
      <w:bookmarkStart w:id="34" w:name="_GoBack"/>
      <w:r w:rsidRPr="00BF0ED0">
        <w:rPr>
          <w:rFonts w:ascii="Book Antiqua" w:eastAsia="SimSun" w:hAnsi="Book Antiqua" w:cs="Tahoma"/>
          <w:b/>
          <w:color w:val="000000"/>
          <w:kern w:val="2"/>
          <w:lang w:eastAsia="ja-JP"/>
        </w:rPr>
        <w:t>201</w:t>
      </w:r>
      <w:r w:rsidR="00851284" w:rsidRPr="00BF0ED0">
        <w:rPr>
          <w:rFonts w:ascii="Book Antiqua" w:eastAsia="SimSun" w:hAnsi="Book Antiqua" w:cs="Tahoma"/>
          <w:b/>
          <w:color w:val="000000"/>
          <w:kern w:val="2"/>
          <w:lang w:eastAsia="zh-CN"/>
        </w:rPr>
        <w:t>9</w:t>
      </w:r>
      <w:bookmarkEnd w:id="34"/>
      <w:r w:rsidRPr="00BF0ED0">
        <w:rPr>
          <w:rFonts w:ascii="Book Antiqua" w:eastAsia="SimSun" w:hAnsi="Book Antiqua" w:cs="Tahoma"/>
          <w:b/>
          <w:color w:val="000000"/>
          <w:kern w:val="2"/>
          <w:lang w:eastAsia="ja-JP"/>
        </w:rPr>
        <w:t>.</w:t>
      </w:r>
      <w:r w:rsidRPr="00BF0ED0">
        <w:rPr>
          <w:rFonts w:ascii="Book Antiqua" w:eastAsia="SimSun" w:hAnsi="Book Antiqua" w:cs="Tahoma"/>
          <w:color w:val="000000"/>
          <w:kern w:val="2"/>
          <w:lang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14:paraId="5103D26C" w14:textId="77777777" w:rsidR="001835B3" w:rsidRPr="00BF0ED0" w:rsidRDefault="001835B3" w:rsidP="00484E7F">
      <w:pPr>
        <w:adjustRightInd w:val="0"/>
        <w:snapToGrid w:val="0"/>
        <w:spacing w:line="360" w:lineRule="auto"/>
        <w:jc w:val="both"/>
        <w:rPr>
          <w:rFonts w:ascii="Book Antiqua" w:hAnsi="Book Antiqua"/>
        </w:rPr>
      </w:pPr>
    </w:p>
    <w:p w14:paraId="1AAC58EC" w14:textId="1CA0BA29" w:rsidR="001835B3" w:rsidRPr="00BF0ED0" w:rsidRDefault="001835B3" w:rsidP="00484E7F">
      <w:pPr>
        <w:pStyle w:val="HTMLPreformatted"/>
        <w:shd w:val="clear" w:color="auto" w:fill="FFFFFF"/>
        <w:adjustRightInd w:val="0"/>
        <w:snapToGrid w:val="0"/>
        <w:spacing w:line="360" w:lineRule="auto"/>
        <w:jc w:val="both"/>
        <w:rPr>
          <w:rFonts w:ascii="Book Antiqua" w:eastAsia="Times New Roman" w:hAnsi="Book Antiqua" w:cs="Times New Roman"/>
          <w:color w:val="212121"/>
          <w:sz w:val="24"/>
          <w:szCs w:val="24"/>
          <w:lang w:val="en-US" w:eastAsia="pt-BR"/>
        </w:rPr>
      </w:pPr>
      <w:r w:rsidRPr="00BF0ED0">
        <w:rPr>
          <w:rFonts w:ascii="Book Antiqua" w:hAnsi="Book Antiqua"/>
          <w:b/>
          <w:sz w:val="24"/>
          <w:szCs w:val="24"/>
          <w:lang w:val="en-US"/>
        </w:rPr>
        <w:t>Core tip:</w:t>
      </w:r>
      <w:r w:rsidRPr="00BF0ED0">
        <w:rPr>
          <w:rFonts w:ascii="Book Antiqua" w:hAnsi="Book Antiqua"/>
          <w:color w:val="212121"/>
          <w:sz w:val="24"/>
          <w:szCs w:val="24"/>
          <w:lang w:val="en-US"/>
        </w:rPr>
        <w:t xml:space="preserve"> </w:t>
      </w:r>
      <w:r w:rsidRPr="00BF0ED0">
        <w:rPr>
          <w:rFonts w:ascii="Book Antiqua" w:eastAsia="Times New Roman" w:hAnsi="Book Antiqua" w:cs="Times New Roman"/>
          <w:color w:val="212121"/>
          <w:sz w:val="24"/>
          <w:szCs w:val="24"/>
          <w:lang w:val="en-US" w:eastAsia="pt-BR"/>
        </w:rPr>
        <w:t>Evaluation of patients with chronic renal disease and glomerular filtration rate lower than 30 mL/min</w:t>
      </w:r>
      <w:r w:rsidR="00851284" w:rsidRPr="00BF0ED0">
        <w:rPr>
          <w:rFonts w:ascii="Book Antiqua" w:eastAsia="Times New Roman" w:hAnsi="Book Antiqua" w:cs="Times New Roman"/>
          <w:color w:val="212121"/>
          <w:sz w:val="24"/>
          <w:szCs w:val="24"/>
          <w:lang w:val="en-US" w:eastAsia="pt-BR"/>
        </w:rPr>
        <w:t>·</w:t>
      </w:r>
      <w:r w:rsidRPr="00BF0ED0">
        <w:rPr>
          <w:rFonts w:ascii="Book Antiqua" w:eastAsia="Times New Roman" w:hAnsi="Book Antiqua" w:cs="Times New Roman"/>
          <w:color w:val="212121"/>
          <w:sz w:val="24"/>
          <w:szCs w:val="24"/>
          <w:lang w:val="en-US" w:eastAsia="pt-BR"/>
        </w:rPr>
        <w:t>1.73</w:t>
      </w:r>
      <w:r w:rsidR="00851284" w:rsidRPr="00BF0ED0">
        <w:rPr>
          <w:rFonts w:ascii="Book Antiqua" w:hAnsi="Book Antiqua" w:cs="Times New Roman"/>
          <w:color w:val="212121"/>
          <w:sz w:val="24"/>
          <w:szCs w:val="24"/>
          <w:lang w:val="en-US" w:eastAsia="zh-CN"/>
        </w:rPr>
        <w:t xml:space="preserve"> </w:t>
      </w:r>
      <w:r w:rsidRPr="00BF0ED0">
        <w:rPr>
          <w:rFonts w:ascii="Book Antiqua" w:eastAsia="Times New Roman" w:hAnsi="Book Antiqua" w:cs="Times New Roman"/>
          <w:color w:val="212121"/>
          <w:sz w:val="24"/>
          <w:szCs w:val="24"/>
          <w:lang w:val="en-US" w:eastAsia="pt-BR"/>
        </w:rPr>
        <w:t>m</w:t>
      </w:r>
      <w:r w:rsidRPr="00BF0ED0">
        <w:rPr>
          <w:rFonts w:ascii="Book Antiqua" w:eastAsia="Times New Roman" w:hAnsi="Book Antiqua" w:cs="Times New Roman"/>
          <w:color w:val="212121"/>
          <w:sz w:val="24"/>
          <w:szCs w:val="24"/>
          <w:vertAlign w:val="superscript"/>
          <w:lang w:val="en-US" w:eastAsia="pt-BR"/>
        </w:rPr>
        <w:t>2</w:t>
      </w:r>
      <w:r w:rsidRPr="00BF0ED0">
        <w:rPr>
          <w:rFonts w:ascii="Book Antiqua" w:eastAsia="Times New Roman" w:hAnsi="Book Antiqua" w:cs="Times New Roman"/>
          <w:color w:val="212121"/>
          <w:sz w:val="24"/>
          <w:szCs w:val="24"/>
          <w:lang w:val="en-US" w:eastAsia="pt-BR"/>
        </w:rPr>
        <w:t xml:space="preserve"> showed high occurrence of </w:t>
      </w:r>
      <w:r w:rsidRPr="00BF0ED0">
        <w:rPr>
          <w:rFonts w:ascii="Book Antiqua" w:hAnsi="Book Antiqua"/>
          <w:sz w:val="24"/>
          <w:szCs w:val="24"/>
          <w:lang w:val="en-US"/>
        </w:rPr>
        <w:t>occult hepatitis C virus infection (OCI)</w:t>
      </w:r>
      <w:r w:rsidRPr="00BF0ED0">
        <w:rPr>
          <w:rFonts w:ascii="Book Antiqua" w:eastAsia="Times New Roman" w:hAnsi="Book Antiqua" w:cs="Times New Roman"/>
          <w:color w:val="212121"/>
          <w:sz w:val="24"/>
          <w:szCs w:val="24"/>
          <w:lang w:val="en-US" w:eastAsia="pt-BR"/>
        </w:rPr>
        <w:t xml:space="preserve">. In addition, the study population showed higher occurrence of OCI among patients who were older, had </w:t>
      </w:r>
      <w:r w:rsidRPr="00BF0ED0">
        <w:rPr>
          <w:rFonts w:ascii="Book Antiqua" w:hAnsi="Book Antiqua"/>
          <w:sz w:val="24"/>
          <w:szCs w:val="24"/>
          <w:lang w:val="en-US"/>
        </w:rPr>
        <w:t xml:space="preserve">chronic kidney disease </w:t>
      </w:r>
      <w:r w:rsidR="00781EF4" w:rsidRPr="00BF0ED0">
        <w:rPr>
          <w:rFonts w:ascii="Book Antiqua" w:hAnsi="Book Antiqua"/>
          <w:sz w:val="24"/>
          <w:szCs w:val="24"/>
          <w:lang w:val="en-US" w:eastAsia="zh-CN"/>
        </w:rPr>
        <w:t>(</w:t>
      </w:r>
      <w:r w:rsidR="00781EF4" w:rsidRPr="00BF0ED0">
        <w:rPr>
          <w:rFonts w:ascii="Book Antiqua" w:hAnsi="Book Antiqua"/>
          <w:sz w:val="24"/>
          <w:szCs w:val="24"/>
        </w:rPr>
        <w:t>CKD</w:t>
      </w:r>
      <w:r w:rsidR="00781EF4" w:rsidRPr="00BF0ED0">
        <w:rPr>
          <w:rFonts w:ascii="Book Antiqua" w:hAnsi="Book Antiqua"/>
          <w:sz w:val="24"/>
          <w:szCs w:val="24"/>
          <w:lang w:val="en-US" w:eastAsia="zh-CN"/>
        </w:rPr>
        <w:t xml:space="preserve">) </w:t>
      </w:r>
      <w:r w:rsidRPr="00BF0ED0">
        <w:rPr>
          <w:rFonts w:ascii="Book Antiqua" w:eastAsia="Times New Roman" w:hAnsi="Book Antiqua" w:cs="Times New Roman"/>
          <w:color w:val="212121"/>
          <w:sz w:val="24"/>
          <w:szCs w:val="24"/>
          <w:lang w:val="en-US" w:eastAsia="pt-BR"/>
        </w:rPr>
        <w:t xml:space="preserve">of multifactorial etiology, and had prior contact with the hepatitis B virus. Further studies will be needed to clarify the pathophysiology of renal injury caused by OCI, the influence of this type of infection on the transmissibility of hepatitis C virus, and the role of treatment for patients with OCI and </w:t>
      </w:r>
      <w:r w:rsidR="00781EF4" w:rsidRPr="00BF0ED0">
        <w:rPr>
          <w:rFonts w:ascii="Book Antiqua" w:hAnsi="Book Antiqua"/>
          <w:sz w:val="24"/>
          <w:szCs w:val="24"/>
        </w:rPr>
        <w:t>CKD</w:t>
      </w:r>
      <w:r w:rsidRPr="00BF0ED0">
        <w:rPr>
          <w:rFonts w:ascii="Book Antiqua" w:eastAsia="Times New Roman" w:hAnsi="Book Antiqua" w:cs="Times New Roman"/>
          <w:color w:val="212121"/>
          <w:sz w:val="24"/>
          <w:szCs w:val="24"/>
          <w:lang w:val="en-US" w:eastAsia="pt-BR"/>
        </w:rPr>
        <w:t>.</w:t>
      </w:r>
    </w:p>
    <w:p w14:paraId="5A5B22C9" w14:textId="77777777" w:rsidR="00D15BA9" w:rsidRPr="00BF0ED0" w:rsidRDefault="00D15BA9" w:rsidP="00484E7F">
      <w:pPr>
        <w:adjustRightInd w:val="0"/>
        <w:snapToGrid w:val="0"/>
        <w:spacing w:line="360" w:lineRule="auto"/>
        <w:jc w:val="both"/>
        <w:rPr>
          <w:rFonts w:ascii="Book Antiqua" w:eastAsiaTheme="minorEastAsia" w:hAnsi="Book Antiqua"/>
          <w:lang w:eastAsia="zh-CN"/>
        </w:rPr>
      </w:pPr>
    </w:p>
    <w:p w14:paraId="73E4F514" w14:textId="53786BF7" w:rsidR="001835B3" w:rsidRPr="00BF0ED0" w:rsidRDefault="001835B3"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rPr>
        <w:t xml:space="preserve">Sette LHBC, Lopes EPA, Guedes dos Anjos NC, Valente LM, Vieira de Oliveira SA, Lucena-Silva N. High prevalence of occult hepatitis C infection in predialysis patients. </w:t>
      </w:r>
      <w:r w:rsidRPr="00BF0ED0">
        <w:rPr>
          <w:rFonts w:ascii="Book Antiqua" w:hAnsi="Book Antiqua"/>
          <w:i/>
        </w:rPr>
        <w:t>World J Hepatol</w:t>
      </w:r>
      <w:r w:rsidRPr="00BF0ED0">
        <w:rPr>
          <w:rFonts w:ascii="Book Antiqua" w:hAnsi="Book Antiqua"/>
        </w:rPr>
        <w:t xml:space="preserve"> 201</w:t>
      </w:r>
      <w:r w:rsidR="00851284" w:rsidRPr="00BF0ED0">
        <w:rPr>
          <w:rFonts w:ascii="Book Antiqua" w:eastAsiaTheme="minorEastAsia" w:hAnsi="Book Antiqua"/>
          <w:lang w:eastAsia="zh-CN"/>
        </w:rPr>
        <w:t>9</w:t>
      </w:r>
      <w:r w:rsidRPr="00BF0ED0">
        <w:rPr>
          <w:rFonts w:ascii="Book Antiqua" w:hAnsi="Book Antiqua"/>
        </w:rPr>
        <w:t>;</w:t>
      </w:r>
      <w:r w:rsidR="00851284" w:rsidRPr="00BF0ED0">
        <w:rPr>
          <w:rFonts w:ascii="Book Antiqua" w:eastAsiaTheme="minorEastAsia" w:hAnsi="Book Antiqua"/>
          <w:lang w:eastAsia="zh-CN"/>
        </w:rPr>
        <w:t xml:space="preserve"> In press</w:t>
      </w:r>
    </w:p>
    <w:p w14:paraId="319AEB31"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br w:type="page"/>
      </w:r>
      <w:r w:rsidRPr="00BF0ED0">
        <w:rPr>
          <w:rFonts w:ascii="Book Antiqua" w:hAnsi="Book Antiqua"/>
          <w:b/>
        </w:rPr>
        <w:lastRenderedPageBreak/>
        <w:t>INTRODUCTION</w:t>
      </w:r>
    </w:p>
    <w:p w14:paraId="1F3D7212" w14:textId="24839AC9"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Occult hepatitis C virus (HCV) infection (OCI) is characterized by presence of HCV genetic material (HCV RNA) in a patient’s peripheral blood mononuclear cells (PBMCs), ultracentrifuged serum, or hepatic tissue, along with the absence of HCV antibodies (anti-HCV) and HCV RNA in the non-ultracentrifuged serum</w:t>
      </w:r>
      <w:r w:rsidRPr="00BF0ED0">
        <w:rPr>
          <w:rFonts w:ascii="Book Antiqua" w:hAnsi="Book Antiqua"/>
        </w:rPr>
        <w:fldChar w:fldCharType="begin" w:fldLock="1"/>
      </w:r>
      <w:r w:rsidR="00292AFA" w:rsidRPr="00BF0ED0">
        <w:rPr>
          <w:rFonts w:ascii="Book Antiqua" w:hAnsi="Book Antiqua"/>
        </w:rPr>
        <w:instrText>ADDIN CSL_CITATION {"citationItems":[{"id":"ITEM-1","itemData":{"DOI":"10.1086/380202","ISSN":"0022-1899","PMID":"14702147","abstract":"BACKGROUND: There are patients in whom the etiology of long-standing abnormal results of liver-function tests is unknown (ALF-EU) after exclusion of all known causes of liver diseases. We analyzed the presence of hepatitis C virus (HCV) RNA in liver-biopsy specimens from 100 patients who were negative for anti-HCV antibodies and for serum HCV RNA and who had ALF-EU. METHODS: HCV RNA status was tested by reverse-transcription polymerase chain reaction (RT-PCR) and by in situ hybridization, in liver and peripheral-blood mononuclear cells (PBMCs). RESULTS: HCV RNA was detected in liver-biopsy specimens from 57 of 100 patients negative for anti-HCV antibodies and for serum HCV RNA (i.e., who had occult HCV infection). HCV RNA of negative polarity was found in the liver of 48 (84.2%) of these 57 patients with occult HCV infection. Nucleotide-sequence analysis confirmed the specificity of detection of HCV RNA and that patients were infected with the HCV 1b genotype. Of these 57 patients with intrahepatic HCV RNA, 40 (70%) had viral RNA in their PBMCs. With regard to liver histology, patients with occult HCV infection were more likely to have necroinflammatory activity (P=.017) and fibrosis (P=.022) than were patients without intrahepatic HCV RNA. CONCLUSIONS: Patients with ALF-EU may have intrahepatic HCV RNA in the absence of anti-HCV antibodies and of serum HCV RNA.","author":[{"dropping-particle":"","family":"Castillo","given":"Inmaculada","non-dropping-particle":"","parse-names":false,"suffix":""},{"dropping-particle":"","family":"Pardo","given":"Margarita","non-dropping-particle":"","parse-names":false,"suffix":""},{"dropping-particle":"","family":"Bartolomé","given":"Javier","non-dropping-particle":"","parse-names":false,"suffix":""},{"dropping-particle":"","family":"Ortiz</w:instrText>
      </w:r>
      <w:r w:rsidR="00292AFA" w:rsidRPr="00BF0ED0">
        <w:rPr>
          <w:rFonts w:ascii="SimSun" w:eastAsia="SimSun" w:hAnsi="SimSun" w:cs="SimSun" w:hint="eastAsia"/>
        </w:rPr>
        <w:instrText>‐</w:instrText>
      </w:r>
      <w:r w:rsidR="00292AFA" w:rsidRPr="00BF0ED0">
        <w:rPr>
          <w:rFonts w:ascii="Book Antiqua" w:hAnsi="Book Antiqua"/>
        </w:rPr>
        <w:instrText>Movilla","given":"Nuria","non-dropping-particle":"","parse-names":false,"suffix":""},{"dropping-particle":"","family":"Rodríguez</w:instrText>
      </w:r>
      <w:r w:rsidR="00292AFA" w:rsidRPr="00BF0ED0">
        <w:rPr>
          <w:rFonts w:ascii="SimSun" w:eastAsia="SimSun" w:hAnsi="SimSun" w:cs="SimSun" w:hint="eastAsia"/>
        </w:rPr>
        <w:instrText>‐</w:instrText>
      </w:r>
      <w:r w:rsidR="00292AFA" w:rsidRPr="00BF0ED0">
        <w:rPr>
          <w:rFonts w:ascii="Book Antiqua" w:hAnsi="Book Antiqua"/>
        </w:rPr>
        <w:instrText>I</w:instrText>
      </w:r>
      <w:r w:rsidR="00292AFA" w:rsidRPr="00BF0ED0">
        <w:rPr>
          <w:rFonts w:ascii="Book Antiqua" w:hAnsi="Book Antiqua" w:cs="Book Antiqua"/>
        </w:rPr>
        <w:instrText>ñ</w:instrText>
      </w:r>
      <w:r w:rsidR="00292AFA" w:rsidRPr="00BF0ED0">
        <w:rPr>
          <w:rFonts w:ascii="Book Antiqua" w:hAnsi="Book Antiqua"/>
        </w:rPr>
        <w:instrText>igo","given":"Elena","non-dropping-particle":"","parse-names":false,"suffix":""},{"dropping-particle":"de","family":"Lucas","given":"Susana","non-dropping-particle":"","parse-names":false,"suffix":""},{"dropping-particle":"","family":"Salas","given":"Clara","non-dropping-particle":"","parse-names":false,"suffix":""},{"dropping-particle":"","family":"Jiménez</w:instrText>
      </w:r>
      <w:r w:rsidR="00292AFA" w:rsidRPr="00BF0ED0">
        <w:rPr>
          <w:rFonts w:ascii="SimSun" w:eastAsia="SimSun" w:hAnsi="SimSun" w:cs="SimSun" w:hint="eastAsia"/>
        </w:rPr>
        <w:instrText>‐</w:instrText>
      </w:r>
      <w:r w:rsidR="00292AFA" w:rsidRPr="00BF0ED0">
        <w:rPr>
          <w:rFonts w:ascii="Book Antiqua" w:hAnsi="Book Antiqua"/>
        </w:rPr>
        <w:instrText>Heffernan","given":"Jose A.","non-dropping-particle":"","parse-names":false,"suffix":""},{"dropping-particle":"","family":"Pérez</w:instrText>
      </w:r>
      <w:r w:rsidR="00292AFA" w:rsidRPr="00BF0ED0">
        <w:rPr>
          <w:rFonts w:ascii="SimSun" w:eastAsia="SimSun" w:hAnsi="SimSun" w:cs="SimSun" w:hint="eastAsia"/>
        </w:rPr>
        <w:instrText>‐</w:instrText>
      </w:r>
      <w:r w:rsidR="00292AFA" w:rsidRPr="00BF0ED0">
        <w:rPr>
          <w:rFonts w:ascii="Book Antiqua" w:hAnsi="Book Antiqua"/>
        </w:rPr>
        <w:instrText>Mota","given":"Arturo","non-dropping-particle":"","parse-names":false,"suffix":""},{"dropping-particle":"","family":"Graus","given":"Javier","non-dropping-particle":"","parse-names":false,"suffix":""},{"dropping-particle":"","family":"López</w:instrText>
      </w:r>
      <w:r w:rsidR="00292AFA" w:rsidRPr="00BF0ED0">
        <w:rPr>
          <w:rFonts w:ascii="SimSun" w:eastAsia="SimSun" w:hAnsi="SimSun" w:cs="SimSun" w:hint="eastAsia"/>
        </w:rPr>
        <w:instrText>‐</w:instrText>
      </w:r>
      <w:r w:rsidR="00292AFA" w:rsidRPr="00BF0ED0">
        <w:rPr>
          <w:rFonts w:ascii="Book Antiqua" w:hAnsi="Book Antiqua"/>
        </w:rPr>
        <w:instrText>Alcorocho","given":"Juan Manuel","non-dropping-particle":"","parse-names":false,"suffix":""},{"dropping-particle":"","family":"Carreño","given":"Vicente","non-dropping-particle":"","parse-names":false,"suffix":""}],"container-title":"The Journal of Infectious Diseases","id":"ITEM-1","issue":"1","issued":{"date-parts":[["2004","1","1"]]},"page":"7-14","title":"Occult Hepatitis C Virus Infection in Patients in Whom the Etiology of Persistently Abnormal Results of Liver</w:instrText>
      </w:r>
      <w:r w:rsidR="00292AFA" w:rsidRPr="00BF0ED0">
        <w:rPr>
          <w:rFonts w:ascii="SimSun" w:eastAsia="SimSun" w:hAnsi="SimSun" w:cs="SimSun" w:hint="eastAsia"/>
        </w:rPr>
        <w:instrText>‐</w:instrText>
      </w:r>
      <w:r w:rsidR="00292AFA" w:rsidRPr="00BF0ED0">
        <w:rPr>
          <w:rFonts w:ascii="Book Antiqua" w:hAnsi="Book Antiqua"/>
        </w:rPr>
        <w:instrText>Function Tests Is Unknown","type":"article-journal","volume":"189"},"uris":["http://www.mendeley.com/documents/?uuid=c8758209-8ae3-4fb7-bc7d-bd9717420966"]}],"mendeley":{"formattedCitation":"&lt;sup&gt;[1]&lt;/sup&gt;","plainTextFormattedCitation":"[1]","previouslyFormattedCitation":"&lt;sup&gt;[1]&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w:t>
      </w:r>
      <w:r w:rsidRPr="00BF0ED0">
        <w:rPr>
          <w:rFonts w:ascii="Book Antiqua" w:hAnsi="Book Antiqua"/>
        </w:rPr>
        <w:fldChar w:fldCharType="end"/>
      </w:r>
      <w:r w:rsidRPr="00BF0ED0">
        <w:rPr>
          <w:rFonts w:ascii="Book Antiqua" w:hAnsi="Book Antiqua"/>
        </w:rPr>
        <w:t>. This form of viral hepatitis may be associated with tissue damage in the liver (</w:t>
      </w:r>
      <w:r w:rsidRPr="00BF0ED0">
        <w:rPr>
          <w:rFonts w:ascii="Book Antiqua" w:hAnsi="Book Antiqua"/>
          <w:i/>
        </w:rPr>
        <w:t>i.e</w:t>
      </w:r>
      <w:r w:rsidRPr="00BF0ED0">
        <w:rPr>
          <w:rFonts w:ascii="Book Antiqua" w:hAnsi="Book Antiqua"/>
        </w:rPr>
        <w:t>.</w:t>
      </w:r>
      <w:r w:rsidR="002A5B2C" w:rsidRPr="00BF0ED0">
        <w:rPr>
          <w:rFonts w:ascii="Book Antiqua" w:eastAsiaTheme="minorEastAsia" w:hAnsi="Book Antiqua"/>
          <w:lang w:eastAsia="zh-CN"/>
        </w:rPr>
        <w:t>,</w:t>
      </w:r>
      <w:r w:rsidRPr="00BF0ED0">
        <w:rPr>
          <w:rFonts w:ascii="Book Antiqua" w:hAnsi="Book Antiqua"/>
        </w:rPr>
        <w:t xml:space="preserve"> chronic cryptogenic liver disease and nonalcoholic fatty liver disease)</w:t>
      </w:r>
      <w:r w:rsidRPr="00BF0ED0">
        <w:rPr>
          <w:rFonts w:ascii="Book Antiqua" w:hAnsi="Book Antiqua"/>
        </w:rPr>
        <w:fldChar w:fldCharType="begin" w:fldLock="1"/>
      </w:r>
      <w:r w:rsidR="00292AFA" w:rsidRPr="00BF0ED0">
        <w:rPr>
          <w:rFonts w:ascii="Book Antiqua" w:hAnsi="Book Antiqua"/>
        </w:rPr>
        <w:instrText>ADDIN CSL_CITATION {"citationItems":[{"id":"ITEM-1","itemData":{"DOI":"10.4103/0973-6247.95046","ISSN":"1998-3565","PMID":"22623838","abstract":"BACKGROUND/AIM: The immunopathogenesis of occult Hepatitis C virus (HCV) infection is a matter of great controversy and has been suggested to involve a complex balance between cytokines with pro- and anti-inflammatory activity. This work aimed at studying the serum Th1 and Th2 cytokine production in patients with occult HCV infection. MATERIALS AND METHODS: Serum levels of cytokines of Th1 (interleukin [IL]-2, INF-γ) and Th2 (IL-4) were measured in 27 patients with occult HCV infection and 28 patients with chronic hepatitis C infection. RESULTS: The levels of IL-2 and interferon-γ were highly significantly increased in patients with chronic HCV infection (P&lt;0.001). IL-4 was highly significantly increased in occult HCV infection (P&lt;0.001). Significant increases were noted in chronic HCV infection regarding bilirubin (P&lt;0.001), ALT (P = 0.009), AST (P = 0.013), AFP (P&lt;0.001), while serum albumin was significantly higher in occult HCV infection (P&lt;0.001). Necroinflammation (P&lt;0.001), fibrosis (P&lt;0.001), and cirrhosis (P = 0.03) were significantly increased in chronic HCV infection. CONCLUSION: Our data revealed a high prevalence of occult HCV infection (25%) in patients with unexplained persistently abnormal liver function test results. Those patients exhibited a distinct immunoregulatory cytokine pattern, favoring viral persistence and explaining the less aggressive course of this disease entity than chronic HCV infection.","author":[{"dropping-particle":"","family":"Gad","given":"Yahia Z","non-dropping-particle":"","parse-names":false,"suffix":""},{"dropping-particle":"","family":"Mouas","given":"Narres","non-dropping-particle":"","parse-names":false,"suffix":""},{"dropping-particle":"","family":"Abdel-Aziz","given":"Azza","non-dropping-particle":"","parse-names":false,"suffix":""},{"dropping-particle":"","family":"Abousmra","given":"Nashwa","non-dropping-particle":"","parse-names":false,"suffix":""},{"dropping-particle":"","family":"Elhadidy","given":"Mona","non-dropping-particle":"","parse-names":false,"suffix":""}],"container-title":"Asian journal of transfusion science","id":"ITEM-1","issue":"1","issued":{"date-parts":[["2012","1"]]},"page":"24-8","title":"Distinct immunoregulatory cytokine pattern in Egyptian patients with occult Hepatitis C infection and unexplained persistently elevated liver transaminases.","type":"article-journal","volume":"6"},"uris":["http://www.mendeley.com/documents/?uuid=afa9384e-348b-4930-91d4-4df26b1fa777"]},{"id":"ITEM-2","itemData":{"DOI":"10.1016/S1590-8658(11)60083-2","ISSN":"15908658","author":[{"dropping-particle":"","family":"Granieri","given":"C.","non-dropping-particle":"","parse-names":false,"suffix":""},{"dropping-particle":"","family":"Bagaglio","given":"S.","non-dropping-particle":"","parse-names":false,"suffix":""},{"dropping-particle":"","family":"Loggi","given":"E.","non-dropping-particle":"","parse-names":false,"suffix":""},{"dropping-particle":"","family":"Porrino","given":"L.","non-dropping-particle":"","parse-names":false,"suffix":""},{"dropping-particle":"","family":"Cursaro","given":"C.","non-dropping-particle":"","parse-names":false,"suffix":""},{"dropping-particle":"","family":"Micco","given":"L.","non-dropping-particle":"","parse-names":false,"suffix":""},{"dropping-particle":"","family":"Grandini","given":"E.","non-dropping-particle":"","parse-names":false,"suffix":""},{"dropping-particle":"","family":"Bernardi","given":"M.","non-dropping-particle":"","parse-names":false,"suffix":""},{"dropping-particle":"","family":"Morsica","given":"G.","non-dropping-particle":"","parse-names":false,"suffix":""},{"dropping-particle":"","family":"Andreone","given":"P.","non-dropping-particle":"","parse-names":false,"suffix":""}],"container-title":"Digestive and Liver Disease","id":"ITEM-2","issued":{"date-parts":[["2011","2"]]},"page":"S91-S92","title":"T-47 High prevalence of occult hepatitis C virus infection in non alcholic steatohepatitis and cryptogenetic liver diseases","type":"article-journal","volume":"43"},"uris":["http://www.mendeley.com/documents/?uuid=2840ac78-cc05-46da-847c-b7559124da95"]},{"id":"ITEM-3","itemData":{"DOI":"10.4236/ojim.2011.12009","ISSN":"2162-5972","author":[{"dropping-particle":"","family":"Saad","given":"Yasmin","non-dropping-particle":"","parse-names":false,"suffix":""}],"container-title":"Open Journal of Internal Medicine","id":"ITEM-3","issue":"02","issued":{"date-parts":[["2011"]]},"page":"33-37","title":"Prevalence of occult hepatitis C in egyptian patients with non alcoholic fatty liver disease","type":"article-journal","volume":"01"},"uris":["http://www.mendeley.com/documents/?uuid=ac3a5273-a35d-4de4-98ef-8d7113f80a5c"]}],"mendeley":{"formattedCitation":"&lt;sup&gt;[2–4]&lt;/sup&gt;","plainTextFormattedCitation":"[2–4]","previouslyFormattedCitation":"&lt;sup&gt;[2–4]&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[2–4]</w:t>
      </w:r>
      <w:r w:rsidRPr="00BF0ED0">
        <w:rPr>
          <w:rFonts w:ascii="Book Antiqua" w:hAnsi="Book Antiqua"/>
        </w:rPr>
        <w:fldChar w:fldCharType="end"/>
      </w:r>
      <w:r w:rsidRPr="00BF0ED0">
        <w:rPr>
          <w:rFonts w:ascii="Book Antiqua" w:hAnsi="Book Antiqua"/>
        </w:rPr>
        <w:t xml:space="preserve"> and extrahepatic diseases (</w:t>
      </w:r>
      <w:r w:rsidRPr="00BF0ED0">
        <w:rPr>
          <w:rFonts w:ascii="Book Antiqua" w:hAnsi="Book Antiqua"/>
          <w:i/>
        </w:rPr>
        <w:t>i.e</w:t>
      </w:r>
      <w:r w:rsidRPr="00BF0ED0">
        <w:rPr>
          <w:rFonts w:ascii="Book Antiqua" w:hAnsi="Book Antiqua"/>
        </w:rPr>
        <w:t>.</w:t>
      </w:r>
      <w:r w:rsidR="002A5B2C" w:rsidRPr="00BF0ED0">
        <w:rPr>
          <w:rFonts w:ascii="Book Antiqua" w:eastAsiaTheme="minorEastAsia" w:hAnsi="Book Antiqua"/>
          <w:lang w:eastAsia="zh-CN"/>
        </w:rPr>
        <w:t>,</w:t>
      </w:r>
      <w:r w:rsidRPr="00BF0ED0">
        <w:rPr>
          <w:rFonts w:ascii="Book Antiqua" w:hAnsi="Book Antiqua"/>
        </w:rPr>
        <w:t xml:space="preserve"> glomerulopathies, lymphoproliferative diseases, and end-stage renal disease)</w:t>
      </w:r>
      <w:r w:rsidRPr="00BF0ED0">
        <w:rPr>
          <w:rFonts w:ascii="Book Antiqua" w:hAnsi="Book Antiqua"/>
        </w:rPr>
        <w:fldChar w:fldCharType="begin" w:fldLock="1"/>
      </w:r>
      <w:r w:rsidR="00292AFA" w:rsidRPr="00BF0ED0">
        <w:rPr>
          <w:rFonts w:ascii="Book Antiqua" w:hAnsi="Book Antiqua"/>
        </w:rPr>
        <w:instrText>ADDIN CSL_CITATION {"citationItems":[{"id":"ITEM-1","itemData":{"DOI":"10.1038/ki.2014.68","ISSN":"00852538","PMID":"24646855","abstract":"The association of hepatitis C virus (HCV) infection and glomerulonephritis is well known. However, the relationship between immune-mediated glomerulonephritis and occult HCV, characterized by the presence of HCV-RNA in liver or in peripheral blood mononuclear cells in the absence of serological markers, is unknown. We tested this in 113 anti-HCV-negative patients; 87 with immune-mediated glomerulonephritis and 26 controls with hereditary glomerular nephropathies. All patients were serum HCV-RNA negative by conventional real-time PCR. Significantly, occult HCV-RNA (detectable viral RNA in peripheral blood mononuclear cells or in serum after ultracentrifugation) was found in 34 of 87 patients with immune-mediated glomerulonephritis versus 1 of 26 control patients. The serum creatinine levels were significantly higher in patients with immune-mediated glomerulonephritis with than in those without occult HCV (1.5 versus 1.1 mg/dl, respectively). A multivariate analysis adjusted for gender showed a significantly increased risk of occult HCV in patients with immune-mediated glomerulonephritis versus the controls (odds ratio of 13.29). Progression to end-stage renal disease tended to be faster in patients with immune-mediated glomerulonephritis and occult HCV than in the negative cases. Thus, occult HCV is strongly associated with immune-mediated glomerulonephritis and may have a role in the progression of the disease.Kidney International advance online publication, 19 March 2014; doi:10.1038/ki.2014.68.","author":[{"dropping-particle":"","family":"Castillo","given":"Inmaculada","non-dropping-particle":"","parse-names":false,"suffix":""},{"dropping-particle":"","family":"Martinez-Ara","given":"Jorge","non-dropping-particle":"","parse-names":false,"suffix":""},{"dropping-particle":"","family":"Olea","given":"Teresa","non-dropping-particle":"","parse-names":false,"suffix":""},{"dropping-particle":"","family":"Bartolomé","given":"Javier","non-dropping-particle":"","parse-names":false,"suffix":""},{"dropping-particle":"","family":"Madero","given":"Rosario","non-dropping-particle":"","parse-names":false,"suffix":""},{"dropping-particle":"","family":"Hernández","given":"Eduardo","non-dropping-particle":"","parse-names":false,"suffix":""},{"dropping-particle":"","family":"Bernis","given":"Carmen","non-dropping-particle":"","parse-names":false,"suffix":""},{"dropping-particle":"","family":"Aguilar","given":"Ana","non-dropping-particle":"","parse-names":false,"suffix":""},{"dropping-particle":"","family":"Quiroga","given":"Juan a","non-dropping-particle":"","parse-names":false,"suffix":""},{"dropping-particle":"","family":"Carreño","given":"Vicente","non-dropping-particle":"","parse-names":false,"suffix":""},{"dropping-particle":"","family":"Selgas","given":"Rafael","non-dropping-particle":"","parse-names":false,"suffix":""}],"container-title":"Kidney International","id":"ITEM-1","issue":"3","issued":{"date-parts":[["2014","9","19"]]},"page":"619-624","title":"High prevalence of occult hepatitis C virus infection in patients with primary and secondary glomerular nephropathies","type":"article-journal","volume":"86"},"uris":["http://www.mendeley.com/documents/?uuid=684fdb11-7672-4879-b418-3ff53a131479"]},{"id":"ITEM-2","itemData":{"DOI":"10.1155/2012/429784","ISSN":"2090-1372","PMID":"23304473","abstract":"Background. Occult hepatitis C virus infection (OCI) was identified as a new form of Hepatitis C virus (HCV), characterized by undetectable HCV antibodies and HCV RNA in serum, while HCV RNA is detectable in liver and peripheral blood cells only. Aim. The aim of this study was to investigate the occurrence of OCI in Egyptian patients with lymphoproliferative disorders (LPDs) and to compare its prevalence with that of HCV in those patients. Subjects and Methods. The current study included 100 subjects, 50 of them were newly diagnosed cases having different lymphoproliferative disorders (patients group), and 50 were apparently healthy volunteers (controls group). HCV antibodies were detected by ELISA, HCV RNA was detected in serum and peripheral blood mononuclear cells (PBMCs) by reverse transcription polymerase chain reaction(RT-PCR), and HCV genotype was detected by INNO-LiPA. Results. OCI was detected in 20% of patients group, compared to only 4% OCI in controls group. HCV was detected in 26% of patients group with a slightly higher prevalence. There was a male predominance in both HCV and OCI. All HCV positive patients were genotype 4. Conclusion. Our data revealed occurrence of occult HCV infection in Egyptian LPD patients at a prevalence of 20% compared to 26% of HCV.","author":[{"dropping-particle":"","family":"Youssef","given":"Samar Samir","non-dropping-particle":"","parse-names":false,"suffix":""},{"dropping-particle":"","family":"Nasr","given":"Aml S","non-dropping-particle":"","parse-names":false,"suffix":""},{"dropping-particle":"","family":"Zanaty","given":"Taher","non-dropping-particle":"El","parse-names":false,"suffix":""},{"dropping-particle":"","family":"Rawi","given":"Rasha Sayed","non-dropping-particle":"El","parse-names":false,"suffix":""},{"dropping-particle":"","family":"Mattar","given":"Mervat M","non-dropping-particle":"","parse-names":false,"suffix":""}],"container-title":"Hepatitis research and treatment","id":"ITEM-2","issued":{"date-parts":[["2012","1"]]},"page":"429784","title":"Prevalence of occult hepatitis C virus in egyptian patients with chronic lymphoproliferative disorders.","type":"article-journal","volume":"2012"},"uris":["http://www.mendeley.com/documents/?uuid=cc63ea4b-3dc6-4320-a2a4-c5e5ffcad971"]},{"id":"ITEM-3","itemData":{"DOI":"10.1681/ASN.2008030293","ISSN":"1533-3450","PMID":"18684893","abstract":"Occult hepatitis C virus (HCV) infection (i.e., detectable HCV-RNA in the liver or peripheral blood mononuclear cells) in the absence of both serum HCV-RNA and anti-HCV antibodies has not been investigated in hemodialysis patients. In this study, real-time PCR and in situ hybridization was used to test for the presence of genomic and antigenomic HCV-RNA in peripheral blood mononuclear cells of 109 hemodialysis patients with abnormal levels of liver enzymes. Occult HCV infection, determined by the presence of genomic HCV-RNA, was found in 45% of the patients; 53% of these patients had ongoing HCV replication, indicated by the presence of antigenomic HCV-RNA. Patients with occult HCV infection had spent a significantly longer time on hemodialysis and had significantly higher mean alanine aminotransferase levels during the 6 mo before study entry. Logistic regression analysis revealed that mortality was associated with age &gt;60 yr (odds ratio 3.30; 95% confidence interval 1.05 to 10.33) and the presence of occult HCV infection (odds ratio 3.84; 95% confidence interval 1.29 to 11.43). In conclusion, the prevalence of occult HCV infection is high among hemodialysis patients with persistently abnormal values of liver enzymes of unknown cause. The clinical significance of occult HCV infection in these patients requires further study.","author":[{"dropping-particle":"","family":"Barril","given":"Guillermina","non-dropping-particle":"","parse-names":false,"suffix":""},{"dropping-particle":"","family":"Castillo","given":"Inmaculada","non-dropping-particle":"","parse-names":false,"suffix":""},{"dropping-particle":"","family":"Arenas","given":"María Dolores","non-dropping-particle":"","parse-names":false,"suffix":""},{"dropping-particle":"","family":"Espinosa","given":"Mario","non-dropping-particle":"","parse-names":false,"suffix":""},{"dropping-particle":"","family":"Garcia-Valdecasas","given":"Juan","non-dropping-particle":"","parse-names":false,"suffix":""},{"dropping-particle":"","family":"Garcia-Fernández","given":"Nuria","non-dropping-particle":"","parse-names":false,"suffix":""},{"dropping-particle":"","family":"González-Parra","given":"Emilio","non-dropping-particle":"","parse-names":false,"suffix":""},{"dropping-particle":"","family":"Alcazar","given":"José María","non-dropping-particle":"","parse-names":false,"suffix":""},{"dropping-particle":"","family":"Sánchez","given":"Carmen","non-dropping-particle":"","parse-names":false,"suffix":""},{"dropping-particle":"","family":"Diez-Baylón","given":"José Carlos","non-dropping-particle":"","parse-names":false,"suffix":""},{"dropping-particle":"","family":"Martinez","given":"Pilar","non-dropping-particle":"","parse-names":false,"suffix":""},{"dropping-particle":"","family":"Bartolomé","given":"Javier","non-dropping-particle":"","parse-names":false,"suffix":""},{"dropping-particle":"","family":"Carreño","given":"Vicente","non-dropping-particle":"","parse-names":false,"suffix":""}],"container-title":"Journal of the American Society of Nephrology : JASN","id":"ITEM-3","issue":"12","issued":{"date-parts":[["2008","12"]]},"page":"2288-92","title":"Occult hepatitis C virus infection among hemodialysis patients.","type":"article-journal","volume":"19"},"uris":["http://www.mendeley.com/documents/?uuid=13203573-a648-426d-b4c1-5657451e2319"]}],"mendeley":{"formattedCitation":"&lt;sup&gt;[5–7]&lt;/sup&gt;","plainTextFormattedCitation":"[5–7]","previouslyFormattedCitation":"&lt;sup&gt;[5–7]&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[5–7]</w:t>
      </w:r>
      <w:r w:rsidRPr="00BF0ED0">
        <w:rPr>
          <w:rFonts w:ascii="Book Antiqua" w:hAnsi="Book Antiqua"/>
        </w:rPr>
        <w:fldChar w:fldCharType="end"/>
      </w:r>
      <w:r w:rsidRPr="00BF0ED0">
        <w:rPr>
          <w:rFonts w:ascii="Book Antiqua" w:hAnsi="Book Antiqua"/>
        </w:rPr>
        <w:t>.</w:t>
      </w:r>
    </w:p>
    <w:p w14:paraId="134DEA05" w14:textId="3B9B1AB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It has been suggested that a specific cellular immune response underlies OCI, one that is less effective than the response in individuals without infection but which is more effective than that in individuals with the classic form of the disease (HCV RNA-positive serum)</w:t>
      </w:r>
      <w:r w:rsidRPr="00BF0ED0">
        <w:rPr>
          <w:rFonts w:ascii="Book Antiqua" w:hAnsi="Book Antiqua"/>
        </w:rPr>
        <w:fldChar w:fldCharType="begin" w:fldLock="1"/>
      </w:r>
      <w:r w:rsidR="00292AFA" w:rsidRPr="00BF0ED0">
        <w:rPr>
          <w:rFonts w:ascii="Book Antiqua" w:hAnsi="Book Antiqua"/>
        </w:rPr>
        <w:instrText>ADDIN CSL_CITATION {"citationItems":[{"id":"ITEM-1","itemData":{"DOI":"10.1128/JVI.00852-06","ISSN":"0022-538X","PMID":"17071928","abstract":"Occult hepatitis C virus (HCV) infection is a type of recently identified chronic infection that is evidenced only by detection of HCV RNA in liver; patients consistently test negative for antibodies to HCV and HCV RNA in serum. Using ex vivo and in vitro measures of T-cell responses, we have identified functional virus-specific memory CD4(+) and CD8(+) T cells in the peripheral blood of patients with occult HCV infection. The features of the virus-specific T cells were consistent with immune surveillance functions, supporting previous exposure to HCV. In addition, the magnitudes of CD4(+) and CD8(+) T-cell responses were in parallel and correlated inversely with the extent of liver HCV infection. The detection of HCV-specific T cells in individuals in whom HCV RNA can persist in the liver despite the absence of viremia and antibodies indicates that HCV replication is prolonged in the face of virus-specific CD4(+) and CD8(+) T-cell responses. These findings demonstrate that HCV-specific cellular immune responses are markers not only of previous exposure to and recovery from HCV but also of ongoing occult HCV infection.","author":[{"dropping-particle":"","family":"Quiroga","given":"Juan a","non-dropping-particle":"","parse-names":false,"suffix":""},{"dropping-particle":"","family":"Llorente","given":"Silvia","non-dropping-particle":"","parse-names":false,"suffix":""},{"dropping-particle":"","family":"Castillo","given":"Inmaculada","non-dropping-particle":"","parse-names":false,"suffix":""},{"dropping-particle":"","family":"Rodríguez-Iñigo","given":"Elena","non-dropping-particle":"","parse-names":false,"suffix":""},{"dropping-particle":"","family":"Pardo","given":"Margarita","non-dropping-particle":"","parse-names":false,"suffix":""},{"dropping-particle":"","family":"Carreño","given":"Vicente","non-dropping-particle":"","parse-names":false,"suffix":""}],"container-title":"Journal of virology","id":"ITEM-1","issue":"22","issued":{"date-parts":[["2006","11"]]},"page":"10972-9","title":"Cellular immune responses associated with occult hepatitis C virus infection of the liver.","type":"article-journal","volume":"80"},"uris":["http://www.mendeley.com/documents/?uuid=fc0f41cf-8c49-4fd6-988c-0d1bc7f8fbae"]}],"mendeley":{"formattedCitation":"&lt;sup&gt;[8]&lt;/sup&gt;","plainTextFormattedCitation":"[8]","previouslyFormattedCitation":"&lt;sup&gt;[8]&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[8]</w:t>
      </w:r>
      <w:r w:rsidRPr="00BF0ED0">
        <w:rPr>
          <w:rFonts w:ascii="Book Antiqua" w:hAnsi="Book Antiqua"/>
        </w:rPr>
        <w:fldChar w:fldCharType="end"/>
      </w:r>
      <w:r w:rsidRPr="00BF0ED0">
        <w:rPr>
          <w:rFonts w:ascii="Book Antiqua" w:hAnsi="Book Antiqua"/>
        </w:rPr>
        <w:t>. It is known that the patients with chronic kidney disease (CKD) who are on hemodialysis (HD) present a higher prevalence of HCV infection than the general population, both in its classical form</w:t>
      </w:r>
      <w:r w:rsidRPr="00BF0ED0">
        <w:rPr>
          <w:rFonts w:ascii="Book Antiqua" w:hAnsi="Book Antiqua"/>
        </w:rPr>
        <w:fldChar w:fldCharType="begin" w:fldLock="1"/>
      </w:r>
      <w:r w:rsidR="00292AFA" w:rsidRPr="00BF0ED0">
        <w:rPr>
          <w:rFonts w:ascii="Book Antiqua" w:hAnsi="Book Antiqua"/>
        </w:rPr>
        <w:instrText>ADDIN CSL_CITATION {"citationItems":[{"id":"ITEM-1","itemData":{"DOI":"10.1111/j.1523-1755.2004.00649.x","ISSN":"0085-2538","PMID":"15149347","abstract":"BACKGROUND: Hepatitis C virus (HCV) remains a problem within hemodialysis units. This study measures HCV prevalence and seroconversion rates across seven countries and investigates associations with facility-level practice patterns.\n\nMETHODS: The study sample was from the Dialysis Outcomes and Practice Patterns Study (DOPPS), a prospective, observational study of adult hemodialysis patients randomly selected from 308 representative dialysis facilities in France, Germany, Italy, Japan, Spain, the United Kingdom, and the United States. Logistic regression was used to model odds of HCV prevalence, and Cox regression was used to model time from study entry to HCV seroconversion.\n\nRESULTS: Mean HCV facility prevalence was 13.5% and varied among countries from 2.6% to 22.9%. Increased HCV prevalence was associated with longer time on dialysis, male gender, black race, diabetes, hepatitis B (HBV) infection, prior renal transplant, and alcohol or substance abuse in the previous 12 months. Approximately half of the facilities (55.6%) had no seroconversions during the study period. HCV seroconversion was associated with longer time on dialysis, human immunodeficiency virus/acquired immunodeficiency syndrome (HIV/AIDS), HBV infection, and recurrent cellulitis or gangrene. An increase in highly trained staff was associated with lower HCV prevalence (OR = 0.93 per 10% increase, P= 0.003) and risk of seroconversion (RR = 0.92, P= 0.07). Seroconversion was associated with an increase in facility HCV prevalence (RR = 1.36, P &lt; 0.0001), but not with isolation of HCV-infected patients (RR = 1.01, P= 0.99).\n\nCONCLUSION: There are differences in HCV prevalence and rate of seroconversion at the country and the hemodialysis facility level. The observed variation suggests opportunities for improved HCV outcomes.","author":[{"dropping-particle":"","family":"Fissell","given":"Rachel B","non-dropping-particle":"","parse-names":false,"suffix":""},{"dropping-particle":"","family":"Bragg-Gresham","given":"Jennifer L","non-dropping-particle":"","parse-names":false,"suffix":""},{"dropping-particle":"","family":"Woods","given":"John D","non-dropping-particle":"","parse-names":false,"suffix":""},{"dropping-particle":"","family":"Jadoul","given":"Michel","non-dropping-particle":"","parse-names":false,"suffix":""},{"dropping-particle":"","family":"Gillespie","given":"Brenda","non-dropping-particle":"","parse-names":false,"suffix":""},{"dropping-particle":"","family":"Hedderwick","given":"Sara a","non-dropping-particle":"","parse-names":false,"suffix":""},{"dropping-particle":"","family":"Rayner","given":"Hugh C","non-dropping-particle":"","parse-names":false,"suffix":""},{"dropping-particle":"","family":"Greenwood","given":"Roger N","non-dropping-particle":"","parse-names":false,"suffix":""},{"dropping-particle":"","family":"Akiba","given":"Takashi","non-dropping-particle":"","parse-names":false,"suffix":""},{"dropping-particle":"","family":"Young","given":"Eric W","non-dropping-particle":"","parse-names":false,"suffix":""}],"container-title":"Kidney international","id":"ITEM-1","issue":"6","issued":{"date-parts":[["2004","6"]]},"page":"2335-42","title":"Patterns of hepatitis C prevalence and seroconversion in hemodialysis units from three continents: the DOPPS.","type":"article-journal","volume":"65"},"uris":["http://www.mendeley.com/documents/?uuid=a0be5098-b4ec-4c17-9580-d5078ff036e9"]}],"mendeley":{"formattedCitation":"&lt;sup&gt;[9]&lt;/sup&gt;","plainTextFormattedCitation":"[9]","previouslyFormattedCitation":"&lt;sup&gt;[9]&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[9]</w:t>
      </w:r>
      <w:r w:rsidRPr="00BF0ED0">
        <w:rPr>
          <w:rFonts w:ascii="Book Antiqua" w:hAnsi="Book Antiqua"/>
        </w:rPr>
        <w:fldChar w:fldCharType="end"/>
      </w:r>
      <w:r w:rsidRPr="00BF0ED0">
        <w:rPr>
          <w:rFonts w:ascii="Book Antiqua" w:hAnsi="Book Antiqua"/>
        </w:rPr>
        <w:t xml:space="preserve"> and the occult form, reaching up to 45% prevalence among patients with OCI</w:t>
      </w:r>
      <w:r w:rsidRPr="00BF0ED0">
        <w:rPr>
          <w:rFonts w:ascii="Book Antiqua" w:hAnsi="Book Antiqua"/>
        </w:rPr>
        <w:fldChar w:fldCharType="begin" w:fldLock="1"/>
      </w:r>
      <w:r w:rsidR="00292AFA" w:rsidRPr="00BF0ED0">
        <w:rPr>
          <w:rFonts w:ascii="Book Antiqua" w:hAnsi="Book Antiqua"/>
        </w:rPr>
        <w:instrText>ADDIN CSL_CITATION {"citationItems":[{"id":"ITEM-1","itemData":{"DOI":"10.19082/1619","ISBN":"6133337370","ISSN":"20085842","PMID":"26767108","abstract":"INTRODUCTION Camel milk is the closest to a human mother's milk. Camel milk is different from other milks, however, having low sugar and cholesterol, high minerals (sodium, potassium, iron, copper, zinc and magnesium, and vitamin C). The milk is considered have medicinal characteristics as well. This systematic review is aimed at determining and reporting nutritional values and medicinal characteristics of camel milk in children. METHODS The search strategy of the current review is \"(camel AND milk) AND (autism OR food allergy OR milk allergy OR children OR diarrhea.\" The search was conducted via PubMed, Scopus, and Google scholar. Also two Persian scientific databases (SID and Iranmedex) and international congresses were investigated. Full-text papers and abstracts on the topic of camel milk, evaluating nutritional value and medicinal properties, were included in this systematic review. RESULTS Out of the 472 records found in the resources, 35 related studies were included in the final analysis. The result showed that camel milk is highly nutritious and is safe for consumption by children. CONCLUSION It seems that many researchers did not follow a specific guideline for reporting and confirming the therapeutic properties of camel milk in children, but there is evidence denoting the importance, trials, and investigations of its usability and benefits. Camel milk as a supplemental treatment seems less invasive and costly than specialist care, medications, alternative treatments, and behavioral interventions. Based on our findings, camel milk is safer for children, effective in the treatment of autism, improves general well-being, promotes body natural defenses, is a good nutritional source, and can helps the daily nutritional needs of humans.","author":[{"dropping-particle":"","family":"El-shishtawy","given":"Samya","non-dropping-particle":"","parse-names":false,"suffix":""},{"dropping-particle":"","family":"Sherif","given":"Nevine","non-dropping-particle":"","parse-names":false,"suffix":""},{"dropping-particle":"","family":"Abdallh","given":"Emad","non-dropping-particle":"","parse-names":false,"suffix":""},{"dropping-particle":"","family":"Kamel","given":"Laila","non-dropping-particle":"","parse-names":false,"suffix":""},{"dropping-particle":"","family":"Abbas","given":"Mohamed","non-dropping-particle":"","parse-names":false,"suffix":""},{"dropping-particle":"","family":"Ali Saleem","given":"Abdel Aziz","non-dropping-particle":"","parse-names":false,"suffix":""},{"dropping-particle":"","family":"Abdalla","given":"Haitham","non-dropping-particle":"","parse-names":false,"suffix":""},{"dropping-particle":"","family":"Gamal el Din","given":"Hesham","non-dropping-particle":"","parse-names":false,"suffix":""}],"container-title":"Electronic physician","id":"ITEM-1","issue":"8","issued":{"date-parts":[["2015","12","20"]]},"page":"1619-1625","title":"Occult Hepatitis C Virus Infection in Hemodialysis Patients; Single Center Study","type":"article-journal","volume":"7"},"uris":["http://www.mendeley.com/documents/?uuid=8ca70896-e3af-4d1d-bd6f-07ac8129b439"]},{"id":"ITEM-2","itemData":{"DOI":"10.1681/ASN.2008030293","ISSN":"1533-3450","PMID":"18684893","abstract":"Occult hepatitis C virus (HCV) infection (i.e., detectable HCV-RNA in the liver or peripheral blood mononuclear cells) in the absence of both serum HCV-RNA and anti-HCV antibodies has not been investigated in hemodialysis patients. In this study, real-time PCR and in situ hybridization was used to test for the presence of genomic and antigenomic HCV-RNA in peripheral blood mononuclear cells of 109 hemodialysis patients with abnormal levels of liver enzymes. Occult HCV infection, determined by the presence of genomic HCV-RNA, was found in 45% of the patients; 53% of these patients had ongoing HCV replication, indicated by the presence of antigenomic HCV-RNA. Patients with occult HCV infection had spent a significantly longer time on hemodialysis and had significantly higher mean alanine aminotransferase levels during the 6 mo before study entry. Logistic regression analysis revealed that mortality was associated with age &gt;60 yr (odds ratio 3.30; 95% confidence interval 1.05 to 10.33) and the presence of occult HCV infection (odds ratio 3.84; 95% confidence interval 1.29 to 11.43). In conclusion, the prevalence of occult HCV infection is high among hemodialysis patients with persistently abnormal values of liver enzymes of unknown cause. The clinical significance of occult HCV infection in these patients requires further study.","author":[{"dropping-particle":"","family":"Barril","given":"Guillermina","non-dropping-particle":"","parse-names":false,"suffix":""},{"dropping-particle":"","family":"Castillo","given":"Inmaculada","non-dropping-particle":"","parse-names":false,"suffix":""},{"dropping-particle":"","family":"Arenas","given":"María Dolores","non-dropping-particle":"","parse-names":false,"suffix":""},{"dropping-particle":"","family":"Espinosa","given":"Mario","non-dropping-particle":"","parse-names":false,"suffix":""},{"dropping-particle":"","family":"Garcia-Valdecasas","given":"Juan","non-dropping-particle":"","parse-names":false,"suffix":""},{"dropping-particle":"","family":"Garcia-Fernández","given":"Nuria","non-dropping-particle":"","parse-names":false,"suffix":""},{"dropping-particle":"","family":"González-Parra","given":"Emilio","non-dropping-particle":"","parse-names":false,"suffix":""},{"dropping-particle":"","family":"Alcazar","given":"José María","non-dropping-particle":"","parse-names":false,"suffix":""},{"dropping-particle":"","family":"Sánchez","given":"Carmen","non-dropping-particle":"","parse-names":false,"suffix":""},{"dropping-particle":"","family":"Diez-Baylón","given":"José Carlos","non-dropping-particle":"","parse-names":false,"suffix":""},{"dropping-particle":"","family":"Martinez","given":"Pilar","non-dropping-particle":"","parse-names":false,"suffix":""},{"dropping-particle":"","family":"Bartolomé","given":"Javier","non-dropping-particle":"","parse-names":false,"suffix":""},{"dropping-particle":"","family":"Carreño","given":"Vicente","non-dropping-particle":"","parse-names":false,"suffix":""}],"container-title":"Journal of the American Society of Nephrology : JASN","id":"ITEM-2","issue":"12","issued":{"date-parts":[["2008","12"]]},"page":"2288-92","title":"Occult hepatitis C virus infection among hemodialysis patients.","type":"article-journal","volume":"19"},"uris":["http://www.mendeley.com/documents/?uuid=13203573-a648-426d-b4c1-5657451e2319"]}],"mendeley":{"formattedCitation":"&lt;sup&gt;[7,10]&lt;/sup&gt;","plainTextFormattedCitation":"[7,10]","previouslyFormattedCitation":"&lt;sup&gt;[7,10]&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[7,10]</w:t>
      </w:r>
      <w:r w:rsidRPr="00BF0ED0">
        <w:rPr>
          <w:rFonts w:ascii="Book Antiqua" w:hAnsi="Book Antiqua"/>
        </w:rPr>
        <w:fldChar w:fldCharType="end"/>
      </w:r>
      <w:r w:rsidRPr="00BF0ED0">
        <w:rPr>
          <w:rFonts w:ascii="Book Antiqua" w:hAnsi="Book Antiqua"/>
        </w:rPr>
        <w:t>.</w:t>
      </w:r>
    </w:p>
    <w:p w14:paraId="2F176E40" w14:textId="6A333395"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Nowadays, due to universal precautions in HD units and the reduced need for blood transfusion, some authors suggest that HCV infection may occur in the predialytic period</w:t>
      </w:r>
      <w:r w:rsidRPr="00BF0ED0">
        <w:rPr>
          <w:rFonts w:ascii="Book Antiqua" w:hAnsi="Book Antiqua"/>
        </w:rPr>
        <w:fldChar w:fldCharType="begin" w:fldLock="1"/>
      </w:r>
      <w:r w:rsidR="00292AFA" w:rsidRPr="00BF0ED0">
        <w:rPr>
          <w:rFonts w:ascii="Book Antiqua" w:hAnsi="Book Antiqua"/>
        </w:rPr>
        <w:instrText>ADDIN CSL_CITATION {"citationItems":[{"id":"ITEM-1","itemData":{"DOI":"10.1053/j.ajkd.2004.12.014","ISSN":"1523-6838","PMID":"15806471","abstract":"BACKGROUND: Hepatitis C is more prevalent in patients with end-stage renal disease (ESRD) than in the general population. Previously, infection from nosocomial sources was an important cause for this increase. In the past decade, the risk from these sources has lessened, but the estimated percentage of patients with ESRD with hepatitis C virus (HCV) antibody (anti-HCV) has not changed. METHODS: This is a prospective observational study of hemodialysis patients in 4 urban units in Birmingham, AL. Testing for anti-HCV was performed at the initiation of dialysis therapy and then yearly from August 1998 through August 2004. Race, sex, age, ESRD date, comorbid conditions, and outcomes were recorded. RESULTS: The prevalence of anti-HCV was 16.8% in 860 patients (89% black). Patients new to ESRD had a prevalence of 14.4%. Seroconversion in previously anti-HCV-negative patients was 2.5%. Anti-HCV occurred in black men 3 times more than in black women (odds ratio, 3.3; 95% confidence interval, 2.2 to 5.0). Mean age at ESRD was significantly younger in anti-HCV-positive than HCV-negative patients (47.3 versus 54.1 years; P &lt; 0.0001). Age, race, sex, and history of drug abuse were predictors of anti-HCV positivity. CONCLUSION: The prevalence of anti-HCV among patients with ESRD varies from community to community. New patients are major contributors to the prevalence of anti-HCV in patients with ESRD, particularly those who are younger, male, black, or have a history of drug use. Measuring anti-HCV levels in patients with chronic kidney disease may help identify those at risk for additional disorders.","author":[{"dropping-particle":"","family":"Bergman","given":"Suzanne","non-dropping-particle":"","parse-names":false,"suffix":""},{"dropping-particle":"","family":"Accortt","given":"Neil","non-dropping-particle":"","parse-names":false,"suffix":""},{"dropping-particle":"","family":"Turner","given":"Alan","non-dropping-particle":"","parse-names":false,"suffix":""},{"dropping-particle":"","family":"Glaze","given":"Jeffery","non-dropping-particle":"","parse-names":false,"suffix":""}],"container-title":"American journal of kidney diseases : the official journal of the National Kidney Foundation","id":"ITEM-1","issue":"4","issued":{"date-parts":[["2005","4"]]},"page":"684-9","title":"Hepatitis C infection is acquired pre-ESRD.","type":"article-journal","volume":"45"},"uris":["http://www.mendeley.com/documents/?uuid=950ffc73-d13a-468c-8937-1169f4ba2fb4"]}],"mendeley":{"formattedCitation":"&lt;sup&gt;[11]&lt;/sup&gt;","plainTextFormattedCitation":"[11]","previouslyFormattedCitation":"&lt;sup&gt;[11]&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[11]</w:t>
      </w:r>
      <w:r w:rsidRPr="00BF0ED0">
        <w:rPr>
          <w:rFonts w:ascii="Book Antiqua" w:hAnsi="Book Antiqua"/>
        </w:rPr>
        <w:fldChar w:fldCharType="end"/>
      </w:r>
      <w:r w:rsidRPr="00BF0ED0">
        <w:rPr>
          <w:rFonts w:ascii="Book Antiqua" w:hAnsi="Book Antiqua"/>
        </w:rPr>
        <w:t>. Indeed, patients with predialysis (PD)CKD have a higher prevalence of infection with HCV and hepatitis B virus (HBV), as compared to the general population</w:t>
      </w:r>
      <w:r w:rsidRPr="00BF0ED0">
        <w:rPr>
          <w:rFonts w:ascii="Book Antiqua" w:hAnsi="Book Antiqua"/>
        </w:rPr>
        <w:fldChar w:fldCharType="begin" w:fldLock="1"/>
      </w:r>
      <w:r w:rsidR="00292AFA" w:rsidRPr="00BF0ED0">
        <w:rPr>
          <w:rFonts w:ascii="Book Antiqua" w:hAnsi="Book Antiqua"/>
        </w:rPr>
        <w:instrText>ADDIN CSL_CITATION {"citationItems":[{"id":"ITEM-1","itemData":{"DOI":"10.1159/000114452","ISSN":"1660-2110","PMID":"18230916","abstract":"BACKGROUND: The factors associated with hepatitis C virus (HCV) infection in predialysis patients need to be better investigated. The aims of this study were to evaluate the prevalence, risk factors, clinical, biochemical and virological characteristics of chronic HCV infection in predialysis patients. METHODS: Anti-HCV antibodies were determined in a large cohort of predialysis patients. Epidemiological and laboratorial characteristics of HCV infection were evaluated in predialysis patients and this group was matched to a control group consisting of predialysis patients without viral infection (1:3) and compared in terms of risk factors and alanine aminotransferase (ALT) levels. Logistic regression analysis was applied to identify variables independently associated with chronic HCV infection. RESULTS: A total of 1,041 patients (61% males) with a mean age of 61 +/- 15 years and mean creatinine clearance of 36 +/- 18 ml/min were included. Forty-one (3.9%) patients were anti-HCV positive and, of these, 39 (95%) presented viremia. Predialysis patients with HCV more frequently showed a history of blood transfusion before 1992 (66.7 vs. 10.3%; p &lt; 0.001) and major surgeries (53.8 vs. 17.1%; p &lt; 0.001), a higher proportion of undetermined etiology of kidney disease (43.6 vs. 17.1%; p = 0.001), and higher ALT levels (1.3 vs. 0.4 xULN; p &lt; 0.001). History of blood transfusion before 1992 (p &lt; 0.001; OR: 19), intravenous drug abuse (p = 0.002; OR: 69) and ALT levels (p &lt; 0.001; OR: 50) were the variables that were independently associated with chronic HCV infection. The accuracy of ALT in detecting HCV infection was 92%. The most prevalent HCV genotype was 1b (48.7%) and 56.5% of patients presented high HCV viral load. CONCLUSION: Chronic HCV infection among predialysis patients is related to increased parenteral exposure. Elevated ALT levels suggest the need for HCV screening as part of the predialysis care since ALT seems to be a good marker of this infection.","author":[{"dropping-particle":"","family":"Lemos","given":"Lara B","non-dropping-particle":"","parse-names":false,"suffix":""},{"dropping-particle":"","family":"Perez","given":"Renata M","non-dropping-particle":"","parse-names":false,"suffix":""},{"dropping-particle":"","family":"Lemos","given":"Marcelo M","non-dropping-particle":"","parse-names":false,"suffix":""},{"dropping-particle":"","family":"Draibe","given":"Sergio A","non-dropping-particle":"","parse-names":false,"suffix":""},{"dropping-particle":"","family":"Silva","given":"Ivonete S","non-dropping-particle":"","parse-names":false,"suffix":""},{"dropping-particle":"","family":"Silva","given":"Antonio Eduardo B","non-dropping-particle":"","parse-names":false,"suffix":""},{"dropping-particle":"","family":"Ferraz","given":"Maria Lucia G","non-dropping-particle":"","parse-names":false,"suffix":""}],"container-title":"Nephron. Clinical practice","id":"ITEM-1","issue":"2","issued":{"date-parts":[["2008","1"]]},"page":"c135-40","title":"Hepatitis C among predialysis patients: prevalence and characteristics in a large cohort of patients.","type":"article-journal","volume":"108"},"uris":["http://www.mendeley.com/documents/?uuid=43bad577-7775-401c-ab8f-71fff4d829b6"]},{"id":"ITEM-2","itemData":{"DOI":"10.1016/j.ijid.2011.04.001","ISSN":"1878-3511","PMID":"21680217","abstract":"Hepatitis C virus (HCV) infection is a never-ending public health problem. Many studies have investigated the incidence of HCV infection among dialysis patients, but there have only been a few epidemiological studies in renal conservative therapy. We studied 320 subjects with pre-dialysis chronic kidney disease living in Sicily, Italy. The incidence of HCV infection was 6.25%. In Europe, incidence ranges from 0.2% to 3.5%. It appears that the incidence of HCV infection is higher in the studied patient population than in the population as a whole.","author":[{"dropping-particle":"","family":"Li Cavoli","given":"Gioacchino","non-dropping-particle":"","parse-names":false,"suffix":""},{"dropping-particle":"","family":"Ferrantelli","given":"Angelo","non-dropping-particle":"","parse-names":false,"suffix":""},{"dropping-particle":"","family":"Bono","given":"Luisa","non-dropping-particle":"","parse-names":false,"suffix":""},{"dropping-particle":"","family":"Tortorici","given":"Calogera","non-dropping-particle":"","parse-names":false,"suffix":""},{"dropping-particle":"","family":"Giammarresi","given":"Carlo","non-dropping-particle":"","parse-names":false,"suffix":""},{"dropping-particle":"","family":"Zagarrigo","given":"Carmela","non-dropping-particle":"","parse-names":false,"suffix":""},{"dropping-particle":"","family":"Schillaci","given":"Onofrio","non-dropping-particle":"","parse-names":false,"suffix":""},{"dropping-particle":"","family":"Tralongo","given":"Angelo","non-dropping-particle":"","parse-names":false,"suffix":""},{"dropping-particle":"","family":"Soresi","given":"Maurizio","non-dropping-particle":"","parse-names":false,"suffix":""},{"dropping-particle":"","family":"Rotolo","given":"Ugo","non-dropping-particle":"","parse-names":false,"suffix":""}],"container-title":"International journal of infectious diseases : IJID : official publication of the International Society for Infectious Diseases","id":"ITEM-2","issue":"8","issued":{"date-parts":[["2011","8"]]},"page":"e514-6","publisher":"International Society for Infectious Diseases","title":"Incidence of hepatitis C virus infection in patients with chronic kidney disease on conservative therapy.","type":"article-journal","volume":"15"},"uris":["http://www.mendeley.com/documents/?uuid=d26719fd-7e36-43a8-b0ac-befae907d7b9"]},{"id":"ITEM-3","itemData":{"DOI":"10.1007/s10157-007-0005-6","ISBN":"1342-1751","ISSN":"1342-1751","PMID":"18175054","abstract":"BACKGROUND: Although hepatitis C virus (HCV) infection is a persistent public health concern in hemodialysis patients, there seem to have been only a few reports on the prevalence of HCV at the start of hemodialysis. In this study we investigated whether patients starting on hemodialysis therapy are positive for anti-HCV antibody or not. METHODS: The 400 patients who began regular hemodialysis between February 2003 and June 2007 were enrolled in this study. Clinical data such as age, anti-HCV antibody and primary cause of end-stage kidney disease (ESKD) were examined. As healthy controls we used 70,717 healthy blood donors in 2005 whose data were obtained from Tokyo Metropolitan Red Cross Blood Center. Anti-HCV antibody was used as an indicator of HCV infection. Since the prevalence of HCV infection is affected by age in Japan, we classified the patients by age group. RESULTS: The anti-HCV antibody prevalence rate among the patients who were new to hemodialysis was 7.3%, as opposed to 0.15% in the healthy volunteers. The prevalence of HCV in the 31-45-, 46-60-, and 61-year-old groups was significantly higher among the hemodialysis patients than among the healthy volunteers (P = 0.0209, &lt;0.0001, and &lt;0.0001, respectively). The prevalence rate of anti-HCV antibody was higher among men (10.0%) than among women (1.5%, P &lt; 0.0001) in the hemodialysis patients. The anti-HCV-antibody-positive patients were significantly older than the anti-HCV-antibody-negative patients (66.4 +/- 14.3 years versus 58.6+/-16.6 years; P = 0.0152). Diabetic nephropathy was a more frequent cause of ESKD among the anti-HCV-antibody-positive patients (30.4%) than among the anti-HCV-antibody-negative patients (19.9%, P = 0.0122). Among the anti-HCV-antibody-positive patients, 55.2% had received a blood transfusion. The rate was significantly higher than that among the anti-HCV-antibody-negative patients (19.4%, P &lt; 0.0001). CONCLUSION: The results showed a much higher rate of anti-HCV antibody positivity in patients new to hemodialysis than in healthy volunteers. Older age, blood transfusion, male gender, and diabetic nephropathy seemed to be risk factors for anti-HCV antibody positivity in Japan.","author":[{"dropping-particle":"","family":"Iwasa","given":"Yuko","non-dropping-particle":"","parse-names":false,"suffix":""},{"dropping-particle":"","family":"Otsubo","given":"Shigeru","non-dropping-particle":"","parse-names":false,"suffix":""},{"dropping-particle":"","family":"Sugi","given":"Orie","non-dropping-particle":"","parse-names":false,"suffix":""},{"dropping-particle":"","family":"Sato","given":"Keitaro","non-dropping-particle":"","parse-names":false,"suffix":""},{"dropping-particle":"","family":"Asamiya","given":"Yukari","non-dropping-particle":"","parse-names":false,"suffix":""},{"dropping-particle":"","family":"Eguchi","given":"Aya","non-dropping-particle":"","parse-names":false,"suffix":""},{"dropping-particle":"","family":"Iwasaki","given":"Tomihito","non-dropping-particle":"","parse-names":false,"suffix":""},{"dropping-particle":"","family":"Matsuda","given":"Nami","non-dropping-particle":"","parse-names":false,"suffix":""},{"dropping-particle":"","family":"Kikuchi","given":"Kan","non-dropping-particle":"","parse-names":false,"suffix":""},{"dropping-particle":"","family":"Ikebe","given":"Norisato","non-dropping-particle":"","parse-names":false,"suffix":""},{"dropping-particle":"","family":"Miwa","given":"Naoko","non-dropping-particle":"","parse-names":false,"suffix":""},{"dropping-particle":"","family":"Kimata","given":"Naoki","non-dropping-particle":"","parse-names":false,"suffix":""},{"dropping-particle":"","family":"Uchida","given":"Keiko","non-dropping-particle":"","parse-names":false,"suffix":""},{"dropping-particle":"","family":"Uchida","given":"Shigeharu","non-dropping-particle":"","parse-names":false,"suffix":""},{"dropping-particle":"","family":"Nitta","given":"Kosaku","non-dropping-particle":"","parse-names":false,"suffix":""},{"dropping-particle":"","family":"Akiba","given":"Takashi","non-dropping-particle":"","parse-names":false,"suffix":""}],"container-title":"Clinical and Experimental Nephrology","id":"ITEM-3","issue":"1","issued":{"date-parts":[["2008","2","5"]]},"page":"53-57","title":"Patterns in the prevalence of hepatitis C virus infection at the start of hemodialysis in Japan","type":"article-journal","volume":"12"},"uris":["http://www.mendeley.com/documents/?uuid=7f5e9b6e-62f7-451a-ad52-5835dcf21564"]}],"mendeley":{"formattedCitation":"&lt;sup&gt;[12–14]&lt;/sup&gt;","plainTextFormattedCitation":"[12–14]","previouslyFormattedCitation":"&lt;sup&gt;[12–14]&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[12–14]</w:t>
      </w:r>
      <w:r w:rsidRPr="00BF0ED0">
        <w:rPr>
          <w:rFonts w:ascii="Book Antiqua" w:hAnsi="Book Antiqua"/>
        </w:rPr>
        <w:fldChar w:fldCharType="end"/>
      </w:r>
      <w:r w:rsidRPr="00BF0ED0">
        <w:rPr>
          <w:rFonts w:ascii="Book Antiqua" w:hAnsi="Book Antiqua"/>
        </w:rPr>
        <w:t>. However, there are no data in the literature to assess the presence of OCI in patients prior to the initiation of renal replacement therapy.</w:t>
      </w:r>
    </w:p>
    <w:p w14:paraId="30ED5C13" w14:textId="1704961C"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The study of the epidemiology of OCI in patients with PDCKD is relevant according to: (</w:t>
      </w:r>
      <w:r w:rsidR="006B3762" w:rsidRPr="00BF0ED0">
        <w:rPr>
          <w:rFonts w:ascii="Book Antiqua" w:eastAsiaTheme="minorEastAsia" w:hAnsi="Book Antiqua"/>
          <w:lang w:eastAsia="zh-CN"/>
        </w:rPr>
        <w:t>1</w:t>
      </w:r>
      <w:r w:rsidRPr="00BF0ED0">
        <w:rPr>
          <w:rFonts w:ascii="Book Antiqua" w:hAnsi="Book Antiqua"/>
        </w:rPr>
        <w:t>) the higher prevalence of classic HCV infection in HD patients</w:t>
      </w:r>
      <w:r w:rsidRPr="00BF0ED0">
        <w:rPr>
          <w:rFonts w:ascii="Book Antiqua" w:hAnsi="Book Antiqua"/>
        </w:rPr>
        <w:fldChar w:fldCharType="begin" w:fldLock="1"/>
      </w:r>
      <w:r w:rsidR="00292AFA" w:rsidRPr="00BF0ED0">
        <w:rPr>
          <w:rFonts w:ascii="Book Antiqua" w:hAnsi="Book Antiqua"/>
        </w:rPr>
        <w:instrText>ADDIN CSL_CITATION {"citationItems":[{"id":"ITEM-1","itemData":{"DOI":"10.1111/j.1523-1755.2004.00649.x","ISSN":"0085-2538","PMID":"15149347","abstract":"BACKGROUND: Hepatitis C virus (HCV) remains a problem within hemodialysis units. This study measures HCV prevalence and seroconversion rates across seven countries and investigates associations with facility-level practice patterns.\n\nMETHODS: The study sample was from the Dialysis Outcomes and Practice Patterns Study (DOPPS), a prospective, observational study of adult hemodialysis patients randomly selected from 308 representative dialysis facilities in France, Germany, Italy, Japan, Spain, the United Kingdom, and the United States. Logistic regression was used to model odds of HCV prevalence, and Cox regression was used to model time from study entry to HCV seroconversion.\n\nRESULTS: Mean HCV facility prevalence was 13.5% and varied among countries from 2.6% to 22.9%. Increased HCV prevalence was associated with longer time on dialysis, male gender, black race, diabetes, hepatitis B (HBV) infection, prior renal transplant, and alcohol or substance abuse in the previous 12 months. Approximately half of the facilities (55.6%) had no seroconversions during the study period. HCV seroconversion was associated with longer time on dialysis, human immunodeficiency virus/acquired immunodeficiency syndrome (HIV/AIDS), HBV infection, and recurrent cellulitis or gangrene. An increase in highly trained staff was associated with lower HCV prevalence (OR = 0.93 per 10% increase, P= 0.003) and risk of seroconversion (RR = 0.92, P= 0.07). Seroconversion was associated with an increase in facility HCV prevalence (RR = 1.36, P &lt; 0.0001), but not with isolation of HCV-infected patients (RR = 1.01, P= 0.99).\n\nCONCLUSION: There are differences in HCV prevalence and rate of seroconversion at the country and the hemodialysis facility level. The observed variation suggests opportunities for improved HCV outcomes.","author":[{"dropping-particle":"","family":"Fissell","given":"Rachel B","non-dropping-particle":"","parse-names":false,"suffix":""},{"dropping-particle":"","family":"Bragg-Gresham","given":"Jennifer L","non-dropping-particle":"","parse-names":false,"suffix":""},{"dropping-particle":"","family":"Woods","given":"John D","non-dropping-particle":"","parse-names":false,"suffix":""},{"dropping-particle":"","family":"Jadoul","given":"Michel","non-dropping-particle":"","parse-names":false,"suffix":""},{"dropping-particle":"","family":"Gillespie","given":"Brenda","non-dropping-particle":"","parse-names":false,"suffix":""},{"dropping-particle":"","family":"Hedderwick","given":"Sara a","non-dropping-particle":"","parse-names":false,"suffix":""},{"dropping-particle":"","family":"Rayner","given":"Hugh C","non-dropping-particle":"","parse-names":false,"suffix":""},{"dropping-particle":"","family":"Greenwood","given":"Roger N","non-dropping-particle":"","parse-names":false,"suffix":""},{"dropping-particle":"","family":"Akiba","given":"Takashi","non-dropping-particle":"","parse-names":false,"suffix":""},{"dropping-particle":"","family":"Young","given":"Eric W","non-dropping-particle":"","parse-names":false,"suffix":""}],"container-title":"Kidney international","id":"ITEM-1","issue":"6","issued":{"date-parts":[["2004","6"]]},"page":"2335-42","title":"Patterns of hepatitis C prevalence and seroconversion in hemodialysis units from three continents: the DOPPS.","type":"article-journal","volume":"65"},"uris":["http://www.mendeley.com/documents/?uuid=a0be5098-b4ec-4c17-9580-d5078ff036e9"]},{"id":"ITEM-2","itemData":{"DOI":"10.1093/ndt/gfq696","ISBN":"1460-2385 (Electronic)\\r0931-0509 (Linking)","ISSN":"0931-0509","PMID":"21097646","abstract":"Background. A variety of epidemiological data provide evidence for the nosocomial transmission of hepatitis C virus (HCV) infections to haemodialysis patients. We conducted a multicentric study to determine the prevalence and incidence of HCV infection in French haemodialysis units.Methods. Patients undergoing chronic haemodialysis in 56 French units (4718 patients) were systematically screened for anti-HCV antibodies using third-generation tests. The incidence was estimated by detecting HCV RNA in seronegative patients using a standardized real-time PCR assay on pooled samples.Results. Testing for HCV antibodies identified 361 patients with anti-HCV antibodies, giving a prevalence of 7.7%. Multivariate analysis demonstrated that anti-HCV status was linked to the time on haemodialysis, previous kidney transplantation and the presence of anti-HBc antibodies, whereas erythropoietin therapy and carrying out dialysis in dedicated spaces seem to protect against HCV infection. Only two of the 4357 patients without anti-HCV antibodies tested positive for HCV RNA, giving an estimated incidence of 0.05% new HCV infections/year. Molecular analyses indicated that the two patients probably acquired HCV outside the haemodialysis unit.Conclusion. This decreased prevalence and incidence emphasizes the importance of adhering to the recommended universal infection-control precautions. Virological follow-up based on detecting anti-HCV antibodies with sensitive, specific new-generation serological tests could be adequate for dialysis units with few HCV infections. However, new infections in haemodialysis units should be identified by determining the HCV RNA status of seronegative patients. Standardized real-time PCR assays, plus pooling serum samples, make this a promising method for large-scale epidemiological studies.","author":[{"dropping-particle":"","family":"Saune","given":"K.","non-dropping-particle":"","parse-names":false,"suffix":""},{"dropping-particle":"","family":"Kamar","given":"Nassim","non-dropping-particle":"","parse-names":false,"suffix":""},{"dropping-particle":"","family":"Miedouge","given":"M.","non-dropping-particle":"","parse-names":false,"suffix":""},{"dropping-particle":"","family":"Weclawiak","given":"Hugo","non-dropping-particle":"","parse-names":false,"suffix":""},{"dropping-particle":"","family":"Dubois","given":"Martine","non-dropping-particle":"","parse-names":false,"suffix":""},{"dropping-particle":"","family":"Izopet","given":"Jacques","non-dropping-particle":"","parse-names":false,"suffix":""},{"dropping-particle":"","family":"Rostaing","given":"Lionel","non-dropping-particle":"","parse-names":false,"suffix":""}],"container-title":"Nephrology Dialysis Transplantation","id":"ITEM-2","issue":"7","issued":{"date-parts":[["2011","7","1"]]},"page":"2309-2316","title":"Decreased prevalence and incidence of HCV markers in haemodialysis units: a multicentric French survey","type":"article-journal","volume":"26"},"uris":["http://www.mendeley.com/documents/?uuid=34824aa0-fb3d-47ff-9589-e7dbb909766e"]}],"mendeley":{"formattedCitation":"&lt;sup&gt;[9,15]&lt;/sup&gt;","plainTextFormattedCitation":"[9,15]","previouslyFormattedCitation":"&lt;sup&gt;[9,15]&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[9,15]</w:t>
      </w:r>
      <w:r w:rsidRPr="00BF0ED0">
        <w:rPr>
          <w:rFonts w:ascii="Book Antiqua" w:hAnsi="Book Antiqua"/>
        </w:rPr>
        <w:fldChar w:fldCharType="end"/>
      </w:r>
      <w:r w:rsidRPr="00BF0ED0">
        <w:rPr>
          <w:rFonts w:ascii="Book Antiqua" w:hAnsi="Book Antiqua"/>
        </w:rPr>
        <w:t>; (</w:t>
      </w:r>
      <w:r w:rsidR="006B3762" w:rsidRPr="00BF0ED0">
        <w:rPr>
          <w:rFonts w:ascii="Book Antiqua" w:eastAsiaTheme="minorEastAsia" w:hAnsi="Book Antiqua"/>
          <w:lang w:eastAsia="zh-CN"/>
        </w:rPr>
        <w:t>2</w:t>
      </w:r>
      <w:r w:rsidRPr="00BF0ED0">
        <w:rPr>
          <w:rFonts w:ascii="Book Antiqua" w:hAnsi="Book Antiqua"/>
        </w:rPr>
        <w:t>) the outlook for the use of diagnostic OCI techniques in these patients before the onset of HD</w:t>
      </w:r>
      <w:r w:rsidRPr="00BF0ED0">
        <w:rPr>
          <w:rFonts w:ascii="Book Antiqua" w:hAnsi="Book Antiqua"/>
        </w:rPr>
        <w:fldChar w:fldCharType="begin" w:fldLock="1"/>
      </w:r>
      <w:r w:rsidR="00292AFA" w:rsidRPr="00BF0ED0">
        <w:rPr>
          <w:rFonts w:ascii="Book Antiqua" w:hAnsi="Book Antiqua"/>
        </w:rPr>
        <w:instrText>ADDIN CSL_CITATION {"citationItems":[{"id":"ITEM-1","itemData":{"DOI":"10.1086/380202","ISSN":"0022-1899","PMID":"14702147","abstract":"BACKGROUND: There are patients in whom the etiology of long-standing abnormal results of liver-function tests is unknown (ALF-EU) after exclusion of all known causes of liver diseases. We analyzed the presence of hepatitis C virus (HCV) RNA in liver-biopsy specimens from 100 patients who were negative for anti-HCV antibodies and for serum HCV RNA and who had ALF-EU. METHODS: HCV RNA status was tested by reverse-transcription polymerase chain reaction (RT-PCR) and by in situ hybridization, in liver and peripheral-blood mononuclear cells (PBMCs). RESULTS: HCV RNA was detected in liver-biopsy specimens from 57 of 100 patients negative for anti-HCV antibodies and for serum HCV RNA (i.e., who had occult HCV infection). HCV RNA of negative polarity was found in the liver of 48 (84.2%) of these 57 patients with occult HCV infection. Nucleotide-sequence analysis confirmed the specificity of detection of HCV RNA and that patients were infected with the HCV 1b genotype. Of these 57 patients with intrahepatic HCV RNA, 40 (70%) had viral RNA in their PBMCs. With regard to liver histology, patients with occult HCV infection were more likely to have necroinflammatory activity (P=.017) and fibrosis (P=.022) than were patients without intrahepatic HCV RNA. CONCLUSIONS: Patients with ALF-EU may have intrahepatic HCV RNA in the absence of anti-HCV antibodies and of serum HCV RNA.","author":[{"dropping-particle":"","family":"Castillo","given":"Inmaculada","non-dropping-particle":"","parse-names":false,"suffix":""},{"dropping-particle":"","family":"Pardo","given":"Margarita","non-dropping-particle":"","parse-names":false,"suffix":""},{"dropping-particle":"","family":"Bartolomé","given":"Javier","non-dropping-particle":"","parse-names":false,"suffix":""},{"dropping-particle":"","family":"Ortiz</w:instrText>
      </w:r>
      <w:r w:rsidR="00292AFA" w:rsidRPr="00BF0ED0">
        <w:rPr>
          <w:rFonts w:ascii="SimSun" w:eastAsia="SimSun" w:hAnsi="SimSun" w:cs="SimSun" w:hint="eastAsia"/>
        </w:rPr>
        <w:instrText>‐</w:instrText>
      </w:r>
      <w:r w:rsidR="00292AFA" w:rsidRPr="00BF0ED0">
        <w:rPr>
          <w:rFonts w:ascii="Book Antiqua" w:hAnsi="Book Antiqua"/>
        </w:rPr>
        <w:instrText>Movilla","given":"Nuria","non-dropping-particle":"","parse-names":false,"suffix":""},{"dropping-particle":"","family":"Rodr</w:instrText>
      </w:r>
      <w:r w:rsidR="00292AFA" w:rsidRPr="00BF0ED0">
        <w:rPr>
          <w:rFonts w:ascii="Book Antiqua" w:hAnsi="Book Antiqua" w:cs="Book Antiqua"/>
        </w:rPr>
        <w:instrText>í</w:instrText>
      </w:r>
      <w:r w:rsidR="00292AFA" w:rsidRPr="00BF0ED0">
        <w:rPr>
          <w:rFonts w:ascii="Book Antiqua" w:hAnsi="Book Antiqua"/>
        </w:rPr>
        <w:instrText>guez</w:instrText>
      </w:r>
      <w:r w:rsidR="00292AFA" w:rsidRPr="00BF0ED0">
        <w:rPr>
          <w:rFonts w:ascii="SimSun" w:eastAsia="SimSun" w:hAnsi="SimSun" w:cs="SimSun" w:hint="eastAsia"/>
        </w:rPr>
        <w:instrText>‐</w:instrText>
      </w:r>
      <w:r w:rsidR="00292AFA" w:rsidRPr="00BF0ED0">
        <w:rPr>
          <w:rFonts w:ascii="Book Antiqua" w:hAnsi="Book Antiqua"/>
        </w:rPr>
        <w:instrText>I</w:instrText>
      </w:r>
      <w:r w:rsidR="00292AFA" w:rsidRPr="00BF0ED0">
        <w:rPr>
          <w:rFonts w:ascii="Book Antiqua" w:hAnsi="Book Antiqua" w:cs="Book Antiqua"/>
        </w:rPr>
        <w:instrText>ñ</w:instrText>
      </w:r>
      <w:r w:rsidR="00292AFA" w:rsidRPr="00BF0ED0">
        <w:rPr>
          <w:rFonts w:ascii="Book Antiqua" w:hAnsi="Book Antiqua"/>
        </w:rPr>
        <w:instrText>igo","given":"Elena","non-dropping-particle":"","parse-names":false,"suffix":""},{"dropping-particle":"de","family":"Lucas","given":"Susana","non-dropping-particle":"","parse-names":false,"suffix":""},{"dropping-particle":"","family":"Salas","given":"Clara","non-dropping-particle":"","parse-names":false,"suffix":""},{"dropping-particle":"","family":"Jiménez</w:instrText>
      </w:r>
      <w:r w:rsidR="00292AFA" w:rsidRPr="00BF0ED0">
        <w:rPr>
          <w:rFonts w:ascii="SimSun" w:eastAsia="SimSun" w:hAnsi="SimSun" w:cs="SimSun" w:hint="eastAsia"/>
        </w:rPr>
        <w:instrText>‐</w:instrText>
      </w:r>
      <w:r w:rsidR="00292AFA" w:rsidRPr="00BF0ED0">
        <w:rPr>
          <w:rFonts w:ascii="Book Antiqua" w:hAnsi="Book Antiqua"/>
        </w:rPr>
        <w:instrText>Heffernan","given":"Jose A.","non-dropping-particle":"","parse-names":false,"suffix":""},{"dropping-particle":"","family":"P</w:instrText>
      </w:r>
      <w:r w:rsidR="00292AFA" w:rsidRPr="00BF0ED0">
        <w:rPr>
          <w:rFonts w:ascii="Book Antiqua" w:hAnsi="Book Antiqua" w:cs="Book Antiqua"/>
        </w:rPr>
        <w:instrText>é</w:instrText>
      </w:r>
      <w:r w:rsidR="00292AFA" w:rsidRPr="00BF0ED0">
        <w:rPr>
          <w:rFonts w:ascii="Book Antiqua" w:hAnsi="Book Antiqua"/>
        </w:rPr>
        <w:instrText>rez</w:instrText>
      </w:r>
      <w:r w:rsidR="00292AFA" w:rsidRPr="00BF0ED0">
        <w:rPr>
          <w:rFonts w:ascii="SimSun" w:eastAsia="SimSun" w:hAnsi="SimSun" w:cs="SimSun" w:hint="eastAsia"/>
        </w:rPr>
        <w:instrText>‐</w:instrText>
      </w:r>
      <w:r w:rsidR="00292AFA" w:rsidRPr="00BF0ED0">
        <w:rPr>
          <w:rFonts w:ascii="Book Antiqua" w:hAnsi="Book Antiqua"/>
        </w:rPr>
        <w:instrText>Mota","given":"Arturo","non-dropping-particle":"","parse-names":false,"suffix":""},{"dropping-particle":"","family":"Graus","given":"Javier","non-dropping-particle":"","parse-names":false,"suffix":""},{"dropping-particle":"","family":"López</w:instrText>
      </w:r>
      <w:r w:rsidR="00292AFA" w:rsidRPr="00BF0ED0">
        <w:rPr>
          <w:rFonts w:ascii="SimSun" w:eastAsia="SimSun" w:hAnsi="SimSun" w:cs="SimSun" w:hint="eastAsia"/>
        </w:rPr>
        <w:instrText>‐</w:instrText>
      </w:r>
      <w:r w:rsidR="00292AFA" w:rsidRPr="00BF0ED0">
        <w:rPr>
          <w:rFonts w:ascii="Book Antiqua" w:hAnsi="Book Antiqua"/>
        </w:rPr>
        <w:instrText>Alcorocho","given":"Juan Manuel","non-dropping-particle":"","parse-names":false,"suffix":""},{"dropping-particle":"","family":"Carreño","given":"Vicente","non-dropping-particle":"","parse-names":false,"suffix":""}],"container-title":"The Journal of Infectious Diseases","id":"ITEM-1","issue":"1","issued":{"date-parts":[["2004","1","1"]]},"page":"7-14","title":"Occult Hepatitis C Virus Infection in Patients in Whom the Etiology of Persistently Abnormal Results of Liver</w:instrText>
      </w:r>
      <w:r w:rsidR="00292AFA" w:rsidRPr="00BF0ED0">
        <w:rPr>
          <w:rFonts w:ascii="SimSun" w:eastAsia="SimSun" w:hAnsi="SimSun" w:cs="SimSun" w:hint="eastAsia"/>
        </w:rPr>
        <w:instrText>‐</w:instrText>
      </w:r>
      <w:r w:rsidR="00292AFA" w:rsidRPr="00BF0ED0">
        <w:rPr>
          <w:rFonts w:ascii="Book Antiqua" w:hAnsi="Book Antiqua"/>
        </w:rPr>
        <w:instrText>Function Tests Is Unknown","type":"article-journal","volume":"189"},"uris":["http://www.mendeley.com/documents/?uuid=c8758209-8ae3-4fb7-bc7d-bd9717420966"]}],"mendeley":{"formattedCitation":"&lt;sup&gt;[1]&lt;/sup&gt;","plainTextFormattedCitation":"[1]","previouslyFormattedCitation":"&lt;sup&gt;[1]&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w:t>
      </w:r>
      <w:r w:rsidRPr="00BF0ED0">
        <w:rPr>
          <w:rFonts w:ascii="Book Antiqua" w:hAnsi="Book Antiqua"/>
        </w:rPr>
        <w:fldChar w:fldCharType="end"/>
      </w:r>
      <w:r w:rsidRPr="00BF0ED0">
        <w:rPr>
          <w:rFonts w:ascii="Book Antiqua" w:hAnsi="Book Antiqua"/>
        </w:rPr>
        <w:t>; (</w:t>
      </w:r>
      <w:r w:rsidR="006B3762" w:rsidRPr="00BF0ED0">
        <w:rPr>
          <w:rFonts w:ascii="Book Antiqua" w:eastAsiaTheme="minorEastAsia" w:hAnsi="Book Antiqua"/>
          <w:lang w:eastAsia="zh-CN"/>
        </w:rPr>
        <w:t>3</w:t>
      </w:r>
      <w:r w:rsidRPr="00BF0ED0">
        <w:rPr>
          <w:rFonts w:ascii="Book Antiqua" w:hAnsi="Book Antiqua"/>
        </w:rPr>
        <w:t>) the greater difficulty in identifying hepatic aggression in patients with CKD due to reduced serum aminotransferase levels resulting from hemodilution</w:t>
      </w:r>
      <w:r w:rsidRPr="00BF0ED0">
        <w:rPr>
          <w:rFonts w:ascii="Book Antiqua" w:hAnsi="Book Antiqua"/>
        </w:rPr>
        <w:fldChar w:fldCharType="begin" w:fldLock="1"/>
      </w:r>
      <w:r w:rsidR="00292AFA" w:rsidRPr="00BF0ED0">
        <w:rPr>
          <w:rFonts w:ascii="Book Antiqua" w:hAnsi="Book Antiqua"/>
        </w:rPr>
        <w:instrText>ADDIN CSL_CITATION {"citationItems":[{"id":"ITEM-1","itemData":{"DOI":"10.6061/clinics/2014(04)09","ISSN":"18075932","author":[{"dropping-particle":"","family":"Sette","given":"LH","non-dropping-particle":"","parse-names":false,"suffix":""},{"dropping-particle":"","family":"Lopes","given":"EP","non-dropping-particle":"","parse-names":false,"suffix":""}],"container-title":"Clinics","id":"ITEM-1","issue":"4","issued":{"date-parts":[["2014","4","2"]]},"page":"271-278","title":"Liver enzymes serum levels in patients with chronic kidney disease on hemodialysis: a comprehensive review","type":"article-journal","volume":"69"},"uris":["http://www.mendeley.com/documents/?uuid=91fda63f-93a6-46ef-9acb-40a84c4476a8"]}],"mendeley":{"formattedCitation":"&lt;sup&gt;[16]&lt;/sup&gt;","plainTextFormattedCitation":"[16]","previouslyFormattedCitation":"&lt;sup&gt;[16]&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[16]</w:t>
      </w:r>
      <w:r w:rsidRPr="00BF0ED0">
        <w:rPr>
          <w:rFonts w:ascii="Book Antiqua" w:hAnsi="Book Antiqua"/>
        </w:rPr>
        <w:fldChar w:fldCharType="end"/>
      </w:r>
      <w:r w:rsidRPr="00BF0ED0">
        <w:rPr>
          <w:rFonts w:ascii="Book Antiqua" w:hAnsi="Book Antiqua"/>
        </w:rPr>
        <w:t>; and, finally</w:t>
      </w:r>
      <w:r w:rsidR="006B3762" w:rsidRPr="00BF0ED0">
        <w:rPr>
          <w:rFonts w:ascii="Book Antiqua" w:eastAsiaTheme="minorEastAsia" w:hAnsi="Book Antiqua"/>
          <w:lang w:eastAsia="zh-CN"/>
        </w:rPr>
        <w:t>; and</w:t>
      </w:r>
      <w:r w:rsidRPr="00BF0ED0">
        <w:rPr>
          <w:rFonts w:ascii="Book Antiqua" w:hAnsi="Book Antiqua"/>
        </w:rPr>
        <w:t xml:space="preserve"> (</w:t>
      </w:r>
      <w:r w:rsidR="006B3762" w:rsidRPr="00BF0ED0">
        <w:rPr>
          <w:rFonts w:ascii="Book Antiqua" w:eastAsiaTheme="minorEastAsia" w:hAnsi="Book Antiqua"/>
          <w:lang w:eastAsia="zh-CN"/>
        </w:rPr>
        <w:t>4</w:t>
      </w:r>
      <w:r w:rsidRPr="00BF0ED0">
        <w:rPr>
          <w:rFonts w:ascii="Book Antiqua" w:hAnsi="Book Antiqua"/>
        </w:rPr>
        <w:t xml:space="preserve">) the possibility of HCV </w:t>
      </w:r>
      <w:r w:rsidRPr="00BF0ED0">
        <w:rPr>
          <w:rFonts w:ascii="Book Antiqua" w:hAnsi="Book Antiqua"/>
        </w:rPr>
        <w:lastRenderedPageBreak/>
        <w:t>treatment with the new direct-acting antiviral agents that have few side effects and high efficacy</w:t>
      </w:r>
      <w:r w:rsidRPr="00BF0ED0">
        <w:rPr>
          <w:rFonts w:ascii="Book Antiqua" w:hAnsi="Book Antiqua"/>
        </w:rPr>
        <w:fldChar w:fldCharType="begin" w:fldLock="1"/>
      </w:r>
      <w:r w:rsidR="00292AFA" w:rsidRPr="00BF0ED0">
        <w:rPr>
          <w:rFonts w:ascii="Book Antiqua" w:hAnsi="Book Antiqua"/>
        </w:rPr>
        <w:instrText>ADDIN CSL_CITATION {"citationItems":[{"id":"ITEM-1","itemData":{"DOI":"10.1016/S0140-6736(15)00349-9","ISBN":"0140-6736","ISSN":"01406736","PMID":"26456905","abstract":"Summary Background Chronic hepatitis C virus (HCV) infection in patients with stage 4-5 chronic kidney disease increases the risk of death and renal graft failure, yet patients with hepatitis C and chronic kidney disease have few treatment options. This study assesses an all-oral, ribavirin-free regimen in patients with HCV genotype 1 infection and stage 4-5 chronic kidney disease. Methods In this phase 3 randomised study of safety and observational study of efficacy, patients with HCV genotype 1 infection and chronic kidney disease (stage 4-5 with or without haemodialysis dependence) were randomly assigned to receive grazoprevir (100 mg, NS3/4A protease inhibitor) and elbasvir (50 mg, NS5A inhibitor; immediate treatment group) or placebo (deferred treatment group) once daily for 12 weeks. Randomisation was done centrally with an interactive voice response system. An additional cohort of patients who were not randomised received the same regimen open-label and underwent intensive pharmacokinetic sampling. The primary efficacy outcome was a non-randomised comparison of sustained virological response at 12 weeks (SVR12) after the end of therapy for the combined immediate treatment group and the pharmacokinetic population with a historical control. The primary safety outcome was a randomised comparison between the immediate treatment group and the deferred treatment group. After 4 weeks of follow-up (study week 16), unmasking occurred and patients in the deferred treatment group received grazoprevir and elbasvir. The primary efficacy hypothesis was tested at a two-sided significance level (type I error) of 0·05 using an exact test for a binomial proportion. Safety event rates were compared between immediate treatment and deferred treatment groups using the stratified Miettinen and Nurminen method with baseline dialysis status as the strata. The study is registered at ClinicalTrials.gov, number NCT02092350. Findings 224 patients were randomly assigned to the immediate treatment group with grazoprevir and elbasvir (n=111) or the deferred treatment group (n=113), and 11 were assigned to the intensive pharmacokinetic population. Overall, 179 (76%) were haemodialysis-dependent, 122 (52%) had HCV genotype 1a infection, 189 (80%) were HCV treatment-naive, 14 (6%) were cirrhotic, and 108 (46%) were African American. Of the 122 patients receiving grazoprevir and elbasvir, six were excluded from the primary efficacy analysis for non-virological reasons (death, lost-…","author":[{"dropping-particle":"","family":"Roth","given":"David","non-dropping-particle":"","parse-names":false,"suffix":""},{"dropping-particle":"","family":"Nelson","given":"David R.","non-dropping-particle":"","parse-names":false,"suffix":""},{"dropping-particle":"","family":"Bruchfeld","given":"Annette","non-dropping-particle":"","parse-names":false,"suffix":""},{"dropping-particle":"","family":"Liapakis","given":"Annmarie","non-dropping-particle":"","parse-names":false,"suffix":""},{"dropping-particle":"","family":"Silva","given":"Marcelo","non-dropping-particle":"","parse-names":false,"suffix":""},{"dropping-particle":"","family":"Monsour","given":"Howard","non-dropping-particle":"","parse-names":false,"suffix":""},{"dropping-particle":"","family":"Martin","given":"Paul","non-dropping-particle":"","parse-names":false,"suffix":""},{"dropping-particle":"","family":"Pol","given":"Stanislas","non-dropping-particle":"","parse-names":false,"suffix":""},{"dropping-particle":"","family":"Londoño","given":"Maria-Carlota","non-dropping-particle":"","parse-names":false,"suffix":""},{"dropping-particle":"","family":"Hassanein","given":"Tarek","non-dropping-particle":"","parse-names":false,"suffix":""},{"dropping-particle":"","family":"Zamor","given":"Philippe J.","non-dropping-particle":"","parse-names":false,"suffix":""},{"dropping-particle":"","family":"Zuckerman","given":"Eli","non-dropping-particle":"","parse-names":false,"suffix":""},{"dropping-particle":"","family":"Wan","given":"Shuyan","non-dropping-particle":"","parse-names":false,"suffix":""},{"dropping-particle":"","family":"Jackson","given":"Beth","non-dropping-particle":"","parse-names":false,"suffix":""},{"dropping-particle":"","family":"Nguyen","given":"Bach-Yen","non-dropping-particle":"","parse-names":false,"suffix":""},{"dropping-particle":"","family":"Robertson","given":"Michael","non-dropping-particle":"","parse-names":false,"suffix":""},{"dropping-particle":"","family":"Barr","given":"Eliav","non-dropping-particle":"","parse-names":false,"suffix":""},{"dropping-particle":"","family":"Wahl","given":"Janice","non-dropping-particle":"","parse-names":false,"suffix":""},{"dropping-particle":"","family":"Greaves","given":"Wayne","non-dropping-particle":"","parse-names":false,"suffix":""}],"container-title":"The Lancet","id":"ITEM-1","issue":"10003","issued":{"date-parts":[["2015","10"]]},"page":"1537-1545","title":"Grazoprevir plus elbasvir in treatment-naive and treatment-experienced patients with hepatitis C virus genotype 1 infection and stage 4–5 chronic kidney disease (the C-SURFER study): a combination phase 3 study","type":"article-journal","volume":"386"},"uris":["http://www.mendeley.com/documents/?uuid=cd2322a7-2314-4688-8612-afeab3e93098"]}],"mendeley":{"formattedCitation":"&lt;sup&gt;[17]&lt;/sup&gt;","plainTextFormattedCitation":"[17]","previouslyFormattedCitation":"&lt;sup&gt;[17]&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[17]</w:t>
      </w:r>
      <w:r w:rsidRPr="00BF0ED0">
        <w:rPr>
          <w:rFonts w:ascii="Book Antiqua" w:hAnsi="Book Antiqua"/>
        </w:rPr>
        <w:fldChar w:fldCharType="end"/>
      </w:r>
      <w:r w:rsidRPr="00BF0ED0">
        <w:rPr>
          <w:rFonts w:ascii="Book Antiqua" w:hAnsi="Book Antiqua"/>
        </w:rPr>
        <w:t>.</w:t>
      </w:r>
    </w:p>
    <w:p w14:paraId="1CF2220A"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Therefore, this study aimed to evaluate the occurrence and epidemiological aspects of OCI in patients with PDCKD.</w:t>
      </w:r>
    </w:p>
    <w:p w14:paraId="1010AB02" w14:textId="77777777" w:rsidR="001835B3" w:rsidRPr="00BF0ED0" w:rsidRDefault="001835B3" w:rsidP="00484E7F">
      <w:pPr>
        <w:adjustRightInd w:val="0"/>
        <w:snapToGrid w:val="0"/>
        <w:spacing w:line="360" w:lineRule="auto"/>
        <w:jc w:val="both"/>
        <w:rPr>
          <w:rFonts w:ascii="Book Antiqua" w:hAnsi="Book Antiqua"/>
          <w:b/>
        </w:rPr>
      </w:pPr>
    </w:p>
    <w:p w14:paraId="6A7D293E" w14:textId="400A67C9" w:rsidR="001835B3" w:rsidRPr="00BF0ED0" w:rsidRDefault="008D77FC" w:rsidP="00484E7F">
      <w:pPr>
        <w:adjustRightInd w:val="0"/>
        <w:snapToGrid w:val="0"/>
        <w:spacing w:line="360" w:lineRule="auto"/>
        <w:jc w:val="both"/>
        <w:outlineLvl w:val="0"/>
        <w:rPr>
          <w:rFonts w:ascii="Book Antiqua" w:hAnsi="Book Antiqua"/>
          <w:b/>
        </w:rPr>
      </w:pPr>
      <w:r w:rsidRPr="00BF0ED0">
        <w:rPr>
          <w:rFonts w:ascii="Book Antiqua" w:hAnsi="Book Antiqua"/>
          <w:b/>
        </w:rPr>
        <w:t>MATERIALS AND METHODS</w:t>
      </w:r>
    </w:p>
    <w:p w14:paraId="5EA40E3B" w14:textId="77777777" w:rsidR="001835B3" w:rsidRPr="00BF0ED0" w:rsidRDefault="001835B3" w:rsidP="00484E7F">
      <w:pPr>
        <w:adjustRightInd w:val="0"/>
        <w:snapToGrid w:val="0"/>
        <w:spacing w:line="360" w:lineRule="auto"/>
        <w:jc w:val="both"/>
        <w:outlineLvl w:val="0"/>
        <w:rPr>
          <w:rFonts w:ascii="Book Antiqua" w:hAnsi="Book Antiqua"/>
          <w:b/>
          <w:i/>
        </w:rPr>
      </w:pPr>
      <w:r w:rsidRPr="00BF0ED0">
        <w:rPr>
          <w:rFonts w:ascii="Book Antiqua" w:hAnsi="Book Antiqua"/>
          <w:b/>
          <w:i/>
        </w:rPr>
        <w:t xml:space="preserve">Study design </w:t>
      </w:r>
    </w:p>
    <w:p w14:paraId="56C2DE0D" w14:textId="16931E7D"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A cross-sectional study was carried out from October 2015 to April 2017, in which patients with PDCKD were evaluated in the CKD Outpatient Clinic of the Nephrology Service of the Federal University of Pernambuco (Brazil). Adult patients with a follow-up period of more than 3 mo and with an estimated creatinine clearance of less than 60 mL/min</w:t>
      </w:r>
      <w:r w:rsidR="0053766D" w:rsidRPr="00BF0ED0">
        <w:rPr>
          <w:rFonts w:ascii="Book Antiqua" w:hAnsi="Book Antiqua"/>
        </w:rPr>
        <w:t>·</w:t>
      </w:r>
      <w:r w:rsidRPr="00BF0ED0">
        <w:rPr>
          <w:rFonts w:ascii="Book Antiqua" w:hAnsi="Book Antiqua"/>
        </w:rPr>
        <w:t>1.73m</w:t>
      </w:r>
      <w:r w:rsidRPr="00BF0ED0">
        <w:rPr>
          <w:rFonts w:ascii="Book Antiqua" w:hAnsi="Book Antiqua"/>
          <w:vertAlign w:val="superscript"/>
        </w:rPr>
        <w:t>2</w:t>
      </w:r>
      <w:r w:rsidRPr="00BF0ED0">
        <w:rPr>
          <w:rFonts w:ascii="Book Antiqua" w:hAnsi="Book Antiqua"/>
        </w:rPr>
        <w:t xml:space="preserve"> were included. Pregnant and postpartum women, patients with glomerulopathies, and patients with serological markers of infection with either HBV (hepatitis B surface antigen (HBsAg)-positive), HCV (anti-HCV-positive) or human immunodeficiency virus (commonly known as HIV) (anti-HIV-positive) were excluded. </w:t>
      </w:r>
    </w:p>
    <w:p w14:paraId="0CCD72CA" w14:textId="5BE5E77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bCs/>
          <w:color w:val="333333"/>
          <w:u w:color="333333"/>
          <w:shd w:val="clear" w:color="auto" w:fill="FFFFFF"/>
        </w:rPr>
        <w:t>Each study participant provided written informed consent following the e</w:t>
      </w:r>
      <w:r w:rsidRPr="00BF0ED0">
        <w:rPr>
          <w:rFonts w:ascii="Book Antiqua" w:hAnsi="Book Antiqua"/>
          <w:color w:val="212121"/>
        </w:rPr>
        <w:t>xplanation that study participation would: (</w:t>
      </w:r>
      <w:r w:rsidR="0053766D" w:rsidRPr="00BF0ED0">
        <w:rPr>
          <w:rFonts w:ascii="Book Antiqua" w:eastAsiaTheme="minorEastAsia" w:hAnsi="Book Antiqua"/>
          <w:color w:val="212121"/>
          <w:lang w:eastAsia="zh-CN"/>
        </w:rPr>
        <w:t>1</w:t>
      </w:r>
      <w:r w:rsidRPr="00BF0ED0">
        <w:rPr>
          <w:rFonts w:ascii="Book Antiqua" w:hAnsi="Book Antiqua"/>
          <w:color w:val="212121"/>
        </w:rPr>
        <w:t>) not disrupt the patient’s normal attendance at the outpatient clinic; (</w:t>
      </w:r>
      <w:r w:rsidR="0053766D" w:rsidRPr="00BF0ED0">
        <w:rPr>
          <w:rFonts w:ascii="Book Antiqua" w:eastAsiaTheme="minorEastAsia" w:hAnsi="Book Antiqua"/>
          <w:color w:val="212121"/>
          <w:lang w:eastAsia="zh-CN"/>
        </w:rPr>
        <w:t>2</w:t>
      </w:r>
      <w:r w:rsidRPr="00BF0ED0">
        <w:rPr>
          <w:rFonts w:ascii="Book Antiqua" w:hAnsi="Book Antiqua"/>
          <w:color w:val="212121"/>
        </w:rPr>
        <w:t xml:space="preserve">) include a copy of all exam results being placed in their medical record, so that the doctor accompanying the patient in clinic will know the results; </w:t>
      </w:r>
      <w:r w:rsidR="0053766D" w:rsidRPr="00BF0ED0">
        <w:rPr>
          <w:rFonts w:ascii="Book Antiqua" w:hAnsi="Book Antiqua"/>
          <w:color w:val="212121"/>
        </w:rPr>
        <w:t>and</w:t>
      </w:r>
      <w:r w:rsidRPr="00BF0ED0">
        <w:rPr>
          <w:rFonts w:ascii="Book Antiqua" w:hAnsi="Book Antiqua"/>
          <w:color w:val="212121"/>
        </w:rPr>
        <w:t xml:space="preserve"> (</w:t>
      </w:r>
      <w:r w:rsidR="0053766D" w:rsidRPr="00BF0ED0">
        <w:rPr>
          <w:rFonts w:ascii="Book Antiqua" w:eastAsiaTheme="minorEastAsia" w:hAnsi="Book Antiqua"/>
          <w:color w:val="212121"/>
          <w:lang w:eastAsia="zh-CN"/>
        </w:rPr>
        <w:t>3</w:t>
      </w:r>
      <w:r w:rsidRPr="00BF0ED0">
        <w:rPr>
          <w:rFonts w:ascii="Book Antiqua" w:hAnsi="Book Antiqua"/>
          <w:color w:val="212121"/>
        </w:rPr>
        <w:t>) provide information for research for publication, with any exam results being published without the patient name. The risks and benefits of study participation were also explained. Samples were only taken from patients after agreement to study participation and signing of the informed consent form.</w:t>
      </w:r>
    </w:p>
    <w:p w14:paraId="40B96F99" w14:textId="0B513C80"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Each study participant enrolled in the study filled out a questionnaire on demographic characteristics (sex, age, </w:t>
      </w:r>
      <w:r w:rsidR="003A20B8" w:rsidRPr="00BF0ED0">
        <w:rPr>
          <w:rFonts w:ascii="Book Antiqua" w:hAnsi="Book Antiqua"/>
        </w:rPr>
        <w:t>ethnicity</w:t>
      </w:r>
      <w:r w:rsidRPr="00BF0ED0">
        <w:rPr>
          <w:rFonts w:ascii="Book Antiqua" w:hAnsi="Book Antiqua"/>
        </w:rPr>
        <w:t xml:space="preserve">), clinical diagnoses of CKD (stage, etiology) and risk factors for viral hepatitis acquisition (transfusion, tattooing, piercing, intravenous drug use). A blood sample (20 mL in vacutainer </w:t>
      </w:r>
      <w:r w:rsidRPr="00BF0ED0">
        <w:rPr>
          <w:rFonts w:ascii="Book Antiqua" w:hAnsi="Book Antiqua"/>
        </w:rPr>
        <w:lastRenderedPageBreak/>
        <w:t>tube) was drawn from each participant’s peripheral vein, for use in biochemical, serological and virological laboratory tests.</w:t>
      </w:r>
    </w:p>
    <w:p w14:paraId="24FB0D9C" w14:textId="59579B0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Serum levels of aminotransferases (aspartate aminotransferase, alanine aminotransferase) and creatinine were determined by automated method (UV Diasys-Architect c8000; Abbott Diagnostics, Lake Forest, IL, United States). The creatinine clearance rate was evaluated by the Chronic Kidney Disease Epidemiology Collaboration formula (commonly known as the CKD-EPI equation)</w:t>
      </w:r>
      <w:r w:rsidRPr="00BF0ED0">
        <w:rPr>
          <w:rFonts w:ascii="Book Antiqua" w:hAnsi="Book Antiqua"/>
        </w:rPr>
        <w:fldChar w:fldCharType="begin" w:fldLock="1"/>
      </w:r>
      <w:r w:rsidR="00292AFA" w:rsidRPr="00BF0ED0">
        <w:rPr>
          <w:rFonts w:ascii="Book Antiqua" w:hAnsi="Book Antiqua"/>
        </w:rPr>
        <w:instrText>ADDIN CSL_CITATION {"citationItems":[{"id":"ITEM-1","itemData":{"DOI":"10.7326/0003-4819-150-9-200905050-00006","ISSN":"0003-4819","author":[{"dropping-particle":"","family":"Levey","given":"Andrew S","non-dropping-particle":"","parse-names":false,"suffix":""},{"dropping-particle":"","family":"Stevens","given":"Lesley A","non-dropping-particle":"","parse-names":false,"suffix":""},{"dropping-particle":"","family":"Schmid","given":"Christopher H","non-dropping-particle":"","parse-names":false,"suffix":""},{"dropping-particle":"","family":"Zhang","given":"Yaping Lucy","non-dropping-particle":"","parse-names":false,"suffix":""},{"dropping-particle":"","family":"Castro","given":"Alejandro F.","non-dropping-particle":"","parse-names":false,"suffix":""},{"dropping-particle":"","family":"Feldman","given":"Harold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family":"Lente","given":"Frederick","non-dropping-particle":"Van","parse-names":false,"suffix":""},{"dropping-particle":"","family":"Greene","given":"Tom","non-dropping-particle":"","parse-names":false,"suffix":""},{"dropping-particle":"","family":"Coresh","given":"Josef","non-dropping-particle":"","parse-names":false,"suffix":""}],"container-title":"Annals of Internal Medicine","id":"ITEM-1","issue":"9","issued":{"date-parts":[["2009","5","5"]]},"page":"604","title":"A New Equation to Estimate Glomerular Filtration Rate","type":"article-journal","volume":"150"},"uris":["http://www.mendeley.com/documents/?uuid=349b1376-a585-4418-91ec-7994acd7eb9e"]}],"mendeley":{"formattedCitation":"&lt;sup&gt;[18]&lt;/sup&gt;","plainTextFormattedCitation":"[18]","previouslyFormattedCitation":"&lt;sup&gt;[18]&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[18]</w:t>
      </w:r>
      <w:r w:rsidRPr="00BF0ED0">
        <w:rPr>
          <w:rFonts w:ascii="Book Antiqua" w:hAnsi="Book Antiqua"/>
        </w:rPr>
        <w:fldChar w:fldCharType="end"/>
      </w:r>
      <w:r w:rsidRPr="00BF0ED0">
        <w:rPr>
          <w:rFonts w:ascii="Book Antiqua" w:hAnsi="Book Antiqua"/>
        </w:rPr>
        <w:t>.</w:t>
      </w:r>
    </w:p>
    <w:p w14:paraId="4E45E905"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Evaluation of viral infections included third-generation ELISA serum screening for anti-HCV, rapid immunochromatographic assay for the qualitative determination of HBsAg, and immunoassays for anti-HBs detection by direct chemiluminescence (ADVIA Centaur</w:t>
      </w:r>
      <w:r w:rsidRPr="00BF0ED0">
        <w:rPr>
          <w:rFonts w:ascii="Book Antiqua" w:hAnsi="Book Antiqua"/>
          <w:vertAlign w:val="superscript"/>
        </w:rPr>
        <w:t>®</w:t>
      </w:r>
      <w:r w:rsidRPr="00BF0ED0">
        <w:rPr>
          <w:rFonts w:ascii="Book Antiqua" w:hAnsi="Book Antiqua"/>
        </w:rPr>
        <w:t xml:space="preserve"> automated system; Siemens Healthcare Diagnostics S.A., Sao Paulo, Brazil) and for total qualitative anti-hepatitis B core protein (HBc) (IMMUNITE 2000</w:t>
      </w:r>
      <w:r w:rsidRPr="00BF0ED0">
        <w:rPr>
          <w:rFonts w:ascii="Book Antiqua" w:hAnsi="Book Antiqua"/>
          <w:vertAlign w:val="superscript"/>
        </w:rPr>
        <w:t>®</w:t>
      </w:r>
      <w:r w:rsidRPr="00BF0ED0">
        <w:rPr>
          <w:rFonts w:ascii="Book Antiqua" w:hAnsi="Book Antiqua"/>
        </w:rPr>
        <w:t xml:space="preserve"> Imunoassay; Siemens Healthcare Diagnostics S.A.). Patients with negative results on anti-HCV and HBsAg screening were included in the study and evaluated for OCI.</w:t>
      </w:r>
    </w:p>
    <w:p w14:paraId="6B094C5D" w14:textId="1CB84CC9"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Patients were diagnosed with OCI if they were positive for HCV RNA by PCR screening of ultracentrifuged serum or PBMCs. If the screening was positive for HCV RNA in the ultracentrifuged serum, the patient’s sample of non-ultracentrifuged serum was screened using the same procedure to confirm the diagnosis of OCI.</w:t>
      </w:r>
    </w:p>
    <w:p w14:paraId="5EC38D09" w14:textId="77777777" w:rsidR="001835B3" w:rsidRPr="00BF0ED0" w:rsidRDefault="001835B3" w:rsidP="00484E7F">
      <w:pPr>
        <w:adjustRightInd w:val="0"/>
        <w:snapToGrid w:val="0"/>
        <w:spacing w:line="360" w:lineRule="auto"/>
        <w:jc w:val="both"/>
        <w:rPr>
          <w:rFonts w:ascii="Book Antiqua" w:hAnsi="Book Antiqua"/>
          <w:b/>
        </w:rPr>
      </w:pPr>
    </w:p>
    <w:p w14:paraId="0F0678DA" w14:textId="77777777" w:rsidR="001835B3" w:rsidRPr="00BF0ED0" w:rsidRDefault="001835B3" w:rsidP="00484E7F">
      <w:pPr>
        <w:adjustRightInd w:val="0"/>
        <w:snapToGrid w:val="0"/>
        <w:spacing w:line="360" w:lineRule="auto"/>
        <w:jc w:val="both"/>
        <w:outlineLvl w:val="0"/>
        <w:rPr>
          <w:rFonts w:ascii="Book Antiqua" w:hAnsi="Book Antiqua"/>
          <w:b/>
          <w:i/>
        </w:rPr>
      </w:pPr>
      <w:r w:rsidRPr="00BF0ED0">
        <w:rPr>
          <w:rFonts w:ascii="Book Antiqua" w:hAnsi="Book Antiqua"/>
          <w:b/>
          <w:i/>
        </w:rPr>
        <w:t>Detection of HCV RNA</w:t>
      </w:r>
    </w:p>
    <w:p w14:paraId="3AF76449" w14:textId="67F813DF" w:rsidR="00862F99" w:rsidRPr="00BF0ED0" w:rsidRDefault="001835B3" w:rsidP="00484E7F">
      <w:pPr>
        <w:adjustRightInd w:val="0"/>
        <w:snapToGrid w:val="0"/>
        <w:spacing w:line="360" w:lineRule="auto"/>
        <w:jc w:val="both"/>
        <w:rPr>
          <w:rFonts w:ascii="Book Antiqua" w:hAnsi="Book Antiqua" w:cs="Courier New"/>
          <w:color w:val="212121"/>
          <w:lang w:val="en"/>
        </w:rPr>
      </w:pPr>
      <w:r w:rsidRPr="00BF0ED0">
        <w:rPr>
          <w:rFonts w:ascii="Book Antiqua" w:hAnsi="Book Antiqua"/>
        </w:rPr>
        <w:t xml:space="preserve">Each peripheral blood sample was initially centrifuged at 3000 x </w:t>
      </w:r>
      <w:r w:rsidRPr="00BF0ED0">
        <w:rPr>
          <w:rFonts w:ascii="Book Antiqua" w:hAnsi="Book Antiqua"/>
          <w:i/>
        </w:rPr>
        <w:t>g</w:t>
      </w:r>
      <w:r w:rsidRPr="00BF0ED0">
        <w:rPr>
          <w:rFonts w:ascii="Book Antiqua" w:hAnsi="Book Antiqua"/>
        </w:rPr>
        <w:t xml:space="preserve"> for 7 min at room temperature, to obtain serum. Then, a 2 mL aliquot of the serum was overlaid by a 10% sucrose buffer, in a ratio of 1</w:t>
      </w:r>
      <w:r w:rsidR="00E120AB" w:rsidRPr="00BF0ED0">
        <w:rPr>
          <w:rFonts w:ascii="Book Antiqua" w:hAnsi="Book Antiqua"/>
        </w:rPr>
        <w:t>:1, and ultracentrifuged at 100</w:t>
      </w:r>
      <w:r w:rsidRPr="00BF0ED0">
        <w:rPr>
          <w:rFonts w:ascii="Book Antiqua" w:hAnsi="Book Antiqua"/>
        </w:rPr>
        <w:t xml:space="preserve">000 x </w:t>
      </w:r>
      <w:r w:rsidRPr="00BF0ED0">
        <w:rPr>
          <w:rFonts w:ascii="Book Antiqua" w:hAnsi="Book Antiqua"/>
          <w:i/>
        </w:rPr>
        <w:t>g</w:t>
      </w:r>
      <w:r w:rsidRPr="00BF0ED0">
        <w:rPr>
          <w:rFonts w:ascii="Book Antiqua" w:hAnsi="Book Antiqua"/>
        </w:rPr>
        <w:t xml:space="preserve"> for 17 h at 4 °C. The precipitate obtained by ultracentrifugation was eluted in 200 μL of diethylpyrocarbonate (DEPC; Invitrogen, Carlsbad, CA, United States), to generate an RNase-free sample. A separate aliquot of the peripheral blood with anticoagulant) was subjected to the density gradient centrifugation with Ficoll-</w:t>
      </w:r>
      <w:r w:rsidRPr="00BF0ED0">
        <w:rPr>
          <w:rFonts w:ascii="Book Antiqua" w:hAnsi="Book Antiqua"/>
        </w:rPr>
        <w:lastRenderedPageBreak/>
        <w:t>Paque (GE Healthcare, Little Chalfont, United Kingdom), to isolate PBMCs.</w:t>
      </w:r>
      <w:r w:rsidR="00205A72">
        <w:rPr>
          <w:rFonts w:ascii="Book Antiqua" w:hAnsi="Book Antiqua"/>
        </w:rPr>
        <w:t xml:space="preserve"> </w:t>
      </w:r>
      <w:r w:rsidR="00862F99" w:rsidRPr="00BF0ED0">
        <w:rPr>
          <w:rFonts w:ascii="Book Antiqua" w:hAnsi="Book Antiqua" w:cs="Courier New"/>
          <w:color w:val="212121"/>
          <w:lang w:val="en"/>
        </w:rPr>
        <w:t>The cDNA synthesis was performed with random primers having as template RNA strands extracted from peripheral blood mononuclear cells an</w:t>
      </w:r>
      <w:r w:rsidR="00E120AB" w:rsidRPr="00BF0ED0">
        <w:rPr>
          <w:rFonts w:ascii="Book Antiqua" w:hAnsi="Book Antiqua" w:cs="Courier New"/>
          <w:color w:val="212121"/>
          <w:lang w:val="en"/>
        </w:rPr>
        <w:t>d/</w:t>
      </w:r>
      <w:r w:rsidR="00862F99" w:rsidRPr="00BF0ED0">
        <w:rPr>
          <w:rFonts w:ascii="Book Antiqua" w:hAnsi="Book Antiqua" w:cs="Courier New"/>
          <w:color w:val="212121"/>
          <w:lang w:val="en"/>
        </w:rPr>
        <w:t xml:space="preserve">or ultracentrifuged serum, using the enzyme M-MVL reverse </w:t>
      </w:r>
      <w:r w:rsidR="00F57C66" w:rsidRPr="00BF0ED0">
        <w:rPr>
          <w:rFonts w:ascii="Book Antiqua" w:hAnsi="Book Antiqua" w:cs="Courier New"/>
          <w:color w:val="212121"/>
          <w:lang w:val="en"/>
        </w:rPr>
        <w:t>transcriptase</w:t>
      </w:r>
      <w:r w:rsidR="00862F99" w:rsidRPr="00BF0ED0">
        <w:rPr>
          <w:rFonts w:ascii="Book Antiqua" w:hAnsi="Book Antiqua" w:cs="Courier New"/>
          <w:color w:val="212121"/>
          <w:lang w:val="en"/>
        </w:rPr>
        <w:t xml:space="preserve"> (Invitrogen ™), following the manufacturer's specifications.</w:t>
      </w:r>
    </w:p>
    <w:p w14:paraId="4F566C45" w14:textId="3E2FCD23" w:rsidR="001835B3" w:rsidRPr="00BF0ED0" w:rsidRDefault="001835B3" w:rsidP="00484E7F">
      <w:pPr>
        <w:adjustRightInd w:val="0"/>
        <w:snapToGrid w:val="0"/>
        <w:spacing w:line="360" w:lineRule="auto"/>
        <w:ind w:firstLine="420"/>
        <w:jc w:val="both"/>
        <w:rPr>
          <w:rFonts w:ascii="Book Antiqua" w:hAnsi="Book Antiqua"/>
        </w:rPr>
      </w:pPr>
      <w:r w:rsidRPr="00BF0ED0">
        <w:rPr>
          <w:rFonts w:ascii="Book Antiqua" w:hAnsi="Book Antiqua"/>
        </w:rPr>
        <w:t>Detection of HCV RNA in the ultracentrifuged serum and PBMCs was performed by PCR prepared with 100 ng of cDNA, 5 μM of the primers specific for amplification of the HCV genome (UTRLC1: 5'-CAAGCACCCTATCAGGCAGT-3'; UTRLC2: 5'-CTTCACGCAGAAAGCGTCTA-3'), 1 x PCR Rxn buffer (Invitrogen), 5 m</w:t>
      </w:r>
      <w:r w:rsidR="00E120AB" w:rsidRPr="00BF0ED0">
        <w:rPr>
          <w:rFonts w:ascii="Book Antiqua" w:eastAsiaTheme="minorEastAsia" w:hAnsi="Book Antiqua"/>
          <w:lang w:eastAsia="zh-CN"/>
        </w:rPr>
        <w:t>mol/L</w:t>
      </w:r>
      <w:r w:rsidRPr="00BF0ED0">
        <w:rPr>
          <w:rFonts w:ascii="Book Antiqua" w:hAnsi="Book Antiqua"/>
        </w:rPr>
        <w:t xml:space="preserve"> MgCl</w:t>
      </w:r>
      <w:r w:rsidRPr="00BF0ED0">
        <w:rPr>
          <w:rFonts w:ascii="Book Antiqua" w:hAnsi="Book Antiqua"/>
          <w:vertAlign w:val="subscript"/>
        </w:rPr>
        <w:t>2</w:t>
      </w:r>
      <w:r w:rsidRPr="00BF0ED0">
        <w:rPr>
          <w:rFonts w:ascii="Book Antiqua" w:hAnsi="Book Antiqua"/>
        </w:rPr>
        <w:t xml:space="preserve">, and 10 pmol dNTPs. The reaction conditions consisted of an initial cycle of 10 min at 95 </w:t>
      </w:r>
      <w:r w:rsidRPr="00BF0ED0">
        <w:rPr>
          <w:rFonts w:ascii="Book Antiqua" w:hAnsi="Book Antiqua"/>
        </w:rPr>
        <w:sym w:font="Symbol" w:char="F0B0"/>
      </w:r>
      <w:r w:rsidRPr="00BF0ED0">
        <w:rPr>
          <w:rFonts w:ascii="Book Antiqua" w:hAnsi="Book Antiqua"/>
        </w:rPr>
        <w:t xml:space="preserve">C, followed by 30 cycles of 95 </w:t>
      </w:r>
      <w:r w:rsidRPr="00BF0ED0">
        <w:rPr>
          <w:rFonts w:ascii="Book Antiqua" w:hAnsi="Book Antiqua"/>
        </w:rPr>
        <w:sym w:font="Symbol" w:char="F0B0"/>
      </w:r>
      <w:r w:rsidRPr="00BF0ED0">
        <w:rPr>
          <w:rFonts w:ascii="Book Antiqua" w:hAnsi="Book Antiqua"/>
        </w:rPr>
        <w:t xml:space="preserve">C for 30 sec, 55 </w:t>
      </w:r>
      <w:r w:rsidRPr="00BF0ED0">
        <w:rPr>
          <w:rFonts w:ascii="Book Antiqua" w:hAnsi="Book Antiqua"/>
        </w:rPr>
        <w:sym w:font="Symbol" w:char="F0B0"/>
      </w:r>
      <w:r w:rsidRPr="00BF0ED0">
        <w:rPr>
          <w:rFonts w:ascii="Book Antiqua" w:hAnsi="Book Antiqua"/>
        </w:rPr>
        <w:t xml:space="preserve">C for 30 s and 72 </w:t>
      </w:r>
      <w:r w:rsidRPr="00BF0ED0">
        <w:rPr>
          <w:rFonts w:ascii="Book Antiqua" w:hAnsi="Book Antiqua"/>
        </w:rPr>
        <w:sym w:font="Symbol" w:char="F0B0"/>
      </w:r>
      <w:r w:rsidR="00C02A4D" w:rsidRPr="00BF0ED0">
        <w:rPr>
          <w:rFonts w:ascii="Book Antiqua" w:hAnsi="Book Antiqua"/>
        </w:rPr>
        <w:t>C for 30 s</w:t>
      </w:r>
      <w:r w:rsidRPr="00BF0ED0">
        <w:rPr>
          <w:rFonts w:ascii="Book Antiqua" w:hAnsi="Book Antiqua"/>
        </w:rPr>
        <w:t xml:space="preserve">, and with a final 5-min extension at 72 </w:t>
      </w:r>
      <w:r w:rsidRPr="00BF0ED0">
        <w:rPr>
          <w:rFonts w:ascii="Book Antiqua" w:hAnsi="Book Antiqua"/>
        </w:rPr>
        <w:sym w:font="Symbol" w:char="F0B0"/>
      </w:r>
      <w:r w:rsidRPr="00BF0ED0">
        <w:rPr>
          <w:rFonts w:ascii="Book Antiqua" w:hAnsi="Book Antiqua"/>
        </w:rPr>
        <w:t xml:space="preserve">C, performed in the SimpliAmp Thermal Cycler (Applied Biosystems Inc., Foster City, CA, United States). Positive and negative controls consisted of a sample of patients known to be positive for classic hepatitis C and the PCR mix without DNA addition, respectively. The amplified product was subjected to 2% agarose gel electrophoresis and visualized on the SYBR-safe gel through the L-PIX Transilluminator (Loccus, São Paulo, Brazil). The presence of a fragment of </w:t>
      </w:r>
      <w:r w:rsidR="00C02A4D" w:rsidRPr="00BF0ED0">
        <w:rPr>
          <w:rFonts w:ascii="Book Antiqua" w:eastAsiaTheme="minorEastAsia" w:hAnsi="Book Antiqua"/>
          <w:lang w:eastAsia="zh-CN"/>
        </w:rPr>
        <w:t>approxiately</w:t>
      </w:r>
      <w:r w:rsidRPr="00BF0ED0">
        <w:rPr>
          <w:rFonts w:ascii="Book Antiqua" w:hAnsi="Book Antiqua"/>
        </w:rPr>
        <w:t xml:space="preserve"> 230 base pairs in the absence of nonspecific bands was considered a positive result. The positive result was confirmed by a new PCR from another aliquot of the patient’s sample, using the same procedure.</w:t>
      </w:r>
    </w:p>
    <w:p w14:paraId="41847A9E" w14:textId="77777777" w:rsidR="001835B3" w:rsidRPr="00BF0ED0" w:rsidRDefault="001835B3" w:rsidP="00484E7F">
      <w:pPr>
        <w:adjustRightInd w:val="0"/>
        <w:snapToGrid w:val="0"/>
        <w:spacing w:line="360" w:lineRule="auto"/>
        <w:jc w:val="both"/>
        <w:rPr>
          <w:rFonts w:ascii="Book Antiqua" w:hAnsi="Book Antiqua"/>
          <w:b/>
        </w:rPr>
      </w:pPr>
    </w:p>
    <w:p w14:paraId="1260DA4A" w14:textId="77777777" w:rsidR="001835B3" w:rsidRPr="00BF0ED0" w:rsidRDefault="001835B3" w:rsidP="00484E7F">
      <w:pPr>
        <w:adjustRightInd w:val="0"/>
        <w:snapToGrid w:val="0"/>
        <w:spacing w:line="360" w:lineRule="auto"/>
        <w:jc w:val="both"/>
        <w:outlineLvl w:val="0"/>
        <w:rPr>
          <w:rFonts w:ascii="Book Antiqua" w:hAnsi="Book Antiqua"/>
          <w:b/>
          <w:i/>
        </w:rPr>
      </w:pPr>
      <w:r w:rsidRPr="00BF0ED0">
        <w:rPr>
          <w:rFonts w:ascii="Book Antiqua" w:hAnsi="Book Antiqua"/>
          <w:b/>
          <w:i/>
        </w:rPr>
        <w:t>Statistical analysis</w:t>
      </w:r>
    </w:p>
    <w:p w14:paraId="28A30906" w14:textId="5AD3660E" w:rsidR="001835B3" w:rsidRPr="00BF0ED0" w:rsidRDefault="001835B3" w:rsidP="0048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Courier New"/>
          <w:color w:val="212121"/>
          <w:lang w:val="en"/>
        </w:rPr>
      </w:pPr>
      <w:r w:rsidRPr="00BF0ED0">
        <w:rPr>
          <w:rFonts w:ascii="Book Antiqua" w:hAnsi="Book Antiqua" w:cs="Courier New"/>
          <w:color w:val="212121"/>
          <w:lang w:val="en"/>
        </w:rPr>
        <w:t xml:space="preserve">Numerical variables were represented by measures of central tendency and dispersion measures. </w:t>
      </w:r>
      <w:r w:rsidR="005C13D2" w:rsidRPr="00BF0ED0">
        <w:rPr>
          <w:rFonts w:ascii="Book Antiqua" w:hAnsi="Book Antiqua"/>
          <w:color w:val="212121"/>
          <w:lang w:val="en"/>
        </w:rPr>
        <w:t xml:space="preserve">The categorical variables were submitted to </w:t>
      </w:r>
      <w:r w:rsidR="007C1AF9" w:rsidRPr="00BF0ED0">
        <w:rPr>
          <w:rFonts w:ascii="Book Antiqua" w:hAnsi="Book Antiqua"/>
          <w:i/>
        </w:rPr>
        <w:t></w:t>
      </w:r>
      <w:r w:rsidR="007C1AF9" w:rsidRPr="00BF0ED0">
        <w:rPr>
          <w:rFonts w:ascii="Book Antiqua" w:hAnsi="Book Antiqua"/>
          <w:vertAlign w:val="superscript"/>
        </w:rPr>
        <w:t>2</w:t>
      </w:r>
      <w:r w:rsidR="005C13D2" w:rsidRPr="00BF0ED0">
        <w:rPr>
          <w:rFonts w:ascii="Book Antiqua" w:hAnsi="Book Antiqua"/>
          <w:color w:val="212121"/>
          <w:lang w:val="en"/>
        </w:rPr>
        <w:t xml:space="preserve"> test and Fisher's exact test to evaluate the occurrence of association between them. The Kolmogorov-Smirnov normality test was applied to the quantitative variables. When the normal distribution was evidenced, the Student t test was used. When the variable was non-normal the comparison was performed using Mann-</w:t>
      </w:r>
      <w:r w:rsidR="005C13D2" w:rsidRPr="00BF0ED0">
        <w:rPr>
          <w:rFonts w:ascii="Book Antiqua" w:hAnsi="Book Antiqua"/>
          <w:color w:val="212121"/>
          <w:lang w:val="en"/>
        </w:rPr>
        <w:lastRenderedPageBreak/>
        <w:t xml:space="preserve">Whitney (Non-Normal). </w:t>
      </w:r>
      <w:r w:rsidRPr="00BF0ED0">
        <w:rPr>
          <w:rFonts w:ascii="Book Antiqua" w:hAnsi="Book Antiqua" w:cs="Courier New"/>
          <w:color w:val="212121"/>
          <w:lang w:val="en"/>
        </w:rPr>
        <w:t>STATA/SE 12.0 and Excel 2010 were used for data storage and processing. In all tests, 95%</w:t>
      </w:r>
      <w:r w:rsidR="00BC0C6A" w:rsidRPr="00BF0ED0">
        <w:rPr>
          <w:rFonts w:ascii="Book Antiqua" w:hAnsi="Book Antiqua" w:cs="Courier New"/>
          <w:color w:val="212121"/>
          <w:lang w:val="en"/>
        </w:rPr>
        <w:t>CIs</w:t>
      </w:r>
      <w:r w:rsidRPr="00BF0ED0">
        <w:rPr>
          <w:rFonts w:ascii="Book Antiqua" w:hAnsi="Book Antiqua" w:cs="Courier New"/>
          <w:color w:val="212121"/>
          <w:lang w:val="en"/>
        </w:rPr>
        <w:t xml:space="preserve"> were applied.</w:t>
      </w:r>
    </w:p>
    <w:p w14:paraId="119DF13E" w14:textId="77777777" w:rsidR="001835B3" w:rsidRPr="00BF0ED0" w:rsidRDefault="001835B3" w:rsidP="00484E7F">
      <w:pPr>
        <w:adjustRightInd w:val="0"/>
        <w:snapToGrid w:val="0"/>
        <w:spacing w:line="360" w:lineRule="auto"/>
        <w:jc w:val="both"/>
        <w:outlineLvl w:val="0"/>
        <w:rPr>
          <w:rFonts w:ascii="Book Antiqua" w:hAnsi="Book Antiqua"/>
        </w:rPr>
      </w:pPr>
    </w:p>
    <w:p w14:paraId="733C84A1"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t>RESULTS</w:t>
      </w:r>
    </w:p>
    <w:p w14:paraId="73B8FBA9" w14:textId="5EBCD6AB"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We initially recruited 154 patients with creatinine clearance &lt; 60 mL/min</w:t>
      </w:r>
      <w:r w:rsidR="002542A6" w:rsidRPr="00BF0ED0">
        <w:rPr>
          <w:rFonts w:ascii="Book Antiqua" w:hAnsi="Book Antiqua"/>
        </w:rPr>
        <w:t>·</w:t>
      </w:r>
      <w:r w:rsidRPr="00BF0ED0">
        <w:rPr>
          <w:rFonts w:ascii="Book Antiqua" w:hAnsi="Book Antiqua"/>
        </w:rPr>
        <w:t>1.73m</w:t>
      </w:r>
      <w:r w:rsidRPr="00BF0ED0">
        <w:rPr>
          <w:rFonts w:ascii="Book Antiqua" w:hAnsi="Book Antiqua"/>
          <w:vertAlign w:val="superscript"/>
        </w:rPr>
        <w:t xml:space="preserve">2 </w:t>
      </w:r>
      <w:r w:rsidRPr="00BF0ED0">
        <w:rPr>
          <w:rFonts w:ascii="Book Antiqua" w:hAnsi="Book Antiqua"/>
        </w:rPr>
        <w:t>as potential participants for the study; of those, 130 were enrolled, including 24 patients who had follow-up time of &lt; 3 mo. Ultimately, 39 of the enrolled patients were excluded from study participation, for presence of glomerulopathies (</w:t>
      </w:r>
      <w:r w:rsidRPr="00BF0ED0">
        <w:rPr>
          <w:rFonts w:ascii="Book Antiqua" w:hAnsi="Book Antiqua"/>
          <w:i/>
        </w:rPr>
        <w:t>n</w:t>
      </w:r>
      <w:r w:rsidRPr="00BF0ED0">
        <w:rPr>
          <w:rFonts w:ascii="Book Antiqua" w:hAnsi="Book Antiqua"/>
        </w:rPr>
        <w:t xml:space="preserve"> = 23), refusal to participate (</w:t>
      </w:r>
      <w:r w:rsidRPr="00BF0ED0">
        <w:rPr>
          <w:rFonts w:ascii="Book Antiqua" w:hAnsi="Book Antiqua"/>
          <w:i/>
        </w:rPr>
        <w:t>n</w:t>
      </w:r>
      <w:r w:rsidRPr="00BF0ED0">
        <w:rPr>
          <w:rFonts w:ascii="Book Antiqua" w:hAnsi="Book Antiqua"/>
        </w:rPr>
        <w:t xml:space="preserve"> = 7), positivity in HIV serology (</w:t>
      </w:r>
      <w:r w:rsidRPr="00BF0ED0">
        <w:rPr>
          <w:rFonts w:ascii="Book Antiqua" w:hAnsi="Book Antiqua"/>
          <w:i/>
        </w:rPr>
        <w:t>n</w:t>
      </w:r>
      <w:r w:rsidRPr="00BF0ED0">
        <w:rPr>
          <w:rFonts w:ascii="Book Antiqua" w:hAnsi="Book Antiqua"/>
        </w:rPr>
        <w:t xml:space="preserve"> = 3), </w:t>
      </w:r>
      <w:r w:rsidRPr="00BF0ED0">
        <w:rPr>
          <w:rFonts w:ascii="Book Antiqua" w:hAnsi="Book Antiqua"/>
          <w:color w:val="0D0D0D"/>
        </w:rPr>
        <w:t xml:space="preserve">positivity for anti-HCV </w:t>
      </w:r>
      <w:r w:rsidRPr="00BF0ED0">
        <w:rPr>
          <w:rFonts w:ascii="Book Antiqua" w:hAnsi="Book Antiqua"/>
        </w:rPr>
        <w:t>(</w:t>
      </w:r>
      <w:r w:rsidRPr="00BF0ED0">
        <w:rPr>
          <w:rFonts w:ascii="Book Antiqua" w:hAnsi="Book Antiqua"/>
          <w:i/>
        </w:rPr>
        <w:t>n</w:t>
      </w:r>
      <w:r w:rsidRPr="00BF0ED0">
        <w:rPr>
          <w:rFonts w:ascii="Book Antiqua" w:hAnsi="Book Antiqua"/>
        </w:rPr>
        <w:t xml:space="preserve"> = 3), </w:t>
      </w:r>
      <w:r w:rsidRPr="00BF0ED0">
        <w:rPr>
          <w:rFonts w:ascii="Book Antiqua" w:hAnsi="Book Antiqua"/>
          <w:color w:val="0D0D0D"/>
        </w:rPr>
        <w:t>positivity for HBsAg</w:t>
      </w:r>
      <w:r w:rsidRPr="00BF0ED0">
        <w:rPr>
          <w:rFonts w:ascii="Book Antiqua" w:hAnsi="Book Antiqua"/>
        </w:rPr>
        <w:t xml:space="preserve"> (</w:t>
      </w:r>
      <w:r w:rsidRPr="00BF0ED0">
        <w:rPr>
          <w:rFonts w:ascii="Book Antiqua" w:hAnsi="Book Antiqua"/>
          <w:i/>
        </w:rPr>
        <w:t>n</w:t>
      </w:r>
      <w:r w:rsidRPr="00BF0ED0">
        <w:rPr>
          <w:rFonts w:ascii="Book Antiqua" w:hAnsi="Book Antiqua"/>
        </w:rPr>
        <w:t xml:space="preserve"> = 2), and impossibility of venipuncture (</w:t>
      </w:r>
      <w:r w:rsidRPr="00BF0ED0">
        <w:rPr>
          <w:rFonts w:ascii="Book Antiqua" w:hAnsi="Book Antiqua"/>
          <w:i/>
        </w:rPr>
        <w:t>n</w:t>
      </w:r>
      <w:r w:rsidRPr="00BF0ED0">
        <w:rPr>
          <w:rFonts w:ascii="Book Antiqua" w:hAnsi="Book Antiqua"/>
        </w:rPr>
        <w:t xml:space="preserve"> = 1).</w:t>
      </w:r>
      <w:r w:rsidR="003139EB" w:rsidRPr="00BF0ED0">
        <w:rPr>
          <w:rFonts w:ascii="Book Antiqua" w:hAnsi="Book Antiqua"/>
        </w:rPr>
        <w:t xml:space="preserve"> </w:t>
      </w:r>
    </w:p>
    <w:p w14:paraId="1A9B873F" w14:textId="2716FBDB"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The demographic, clinical and laboratory characteristics of the 91 study participants are described in Table 1. The prevalence of OCI among them was 16.5% (15/91), including 14 cases for who the HCV RNA positivity was identified in the PBMCs and 1 with positivity in the ultracentrifuged serum. </w:t>
      </w:r>
      <w:r w:rsidR="003139EB" w:rsidRPr="00BF0ED0">
        <w:rPr>
          <w:rFonts w:ascii="Book Antiqua" w:hAnsi="Book Antiqua"/>
        </w:rPr>
        <w:t>Figu</w:t>
      </w:r>
      <w:r w:rsidR="00F57C66" w:rsidRPr="00BF0ED0">
        <w:rPr>
          <w:rFonts w:ascii="Book Antiqua" w:hAnsi="Book Antiqua"/>
        </w:rPr>
        <w:t xml:space="preserve">re 1 shows an electrophoresis of a patients positive for OCI. </w:t>
      </w:r>
    </w:p>
    <w:p w14:paraId="5BA0314F" w14:textId="08B31FCF"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OCI showed an age relationship, since older patients presented a higher risk of infection compared to younger patients (69.4 ± 7.9 </w:t>
      </w:r>
      <w:r w:rsidRPr="00BF0ED0">
        <w:rPr>
          <w:rFonts w:ascii="Book Antiqua" w:hAnsi="Book Antiqua"/>
          <w:i/>
        </w:rPr>
        <w:t>vs</w:t>
      </w:r>
      <w:r w:rsidRPr="00BF0ED0">
        <w:rPr>
          <w:rFonts w:ascii="Book Antiqua" w:hAnsi="Book Antiqua"/>
        </w:rPr>
        <w:t xml:space="preserve"> 60.9 ± 13.5, </w:t>
      </w:r>
      <w:r w:rsidRPr="00BF0ED0">
        <w:rPr>
          <w:rFonts w:ascii="Book Antiqua" w:hAnsi="Book Antiqua"/>
          <w:i/>
        </w:rPr>
        <w:t>P</w:t>
      </w:r>
      <w:r w:rsidRPr="00BF0ED0">
        <w:rPr>
          <w:rFonts w:ascii="Book Antiqua" w:hAnsi="Book Antiqua"/>
        </w:rPr>
        <w:t xml:space="preserve"> = 0.002). CKD of mixed etiology was observed in 11 of the 15 cases (73.3%) of </w:t>
      </w:r>
      <w:r w:rsidR="00292AFA" w:rsidRPr="00BF0ED0">
        <w:rPr>
          <w:rFonts w:ascii="Book Antiqua" w:hAnsi="Book Antiqua"/>
        </w:rPr>
        <w:t>OCI and</w:t>
      </w:r>
      <w:r w:rsidRPr="00BF0ED0">
        <w:rPr>
          <w:rFonts w:ascii="Book Antiqua" w:hAnsi="Book Antiqua"/>
        </w:rPr>
        <w:t xml:space="preserve"> was much more frequent than in cases without OCI (</w:t>
      </w:r>
      <w:r w:rsidRPr="00BF0ED0">
        <w:rPr>
          <w:rFonts w:ascii="Book Antiqua" w:hAnsi="Book Antiqua"/>
          <w:i/>
        </w:rPr>
        <w:t>P</w:t>
      </w:r>
      <w:r w:rsidRPr="00BF0ED0">
        <w:rPr>
          <w:rFonts w:ascii="Book Antiqua" w:hAnsi="Book Antiqua"/>
        </w:rPr>
        <w:t xml:space="preserve"> = 0.019). No relationship was found between the occurrence of OCI and sex, skin color or stage of CKD. There was no difference between serum levels of aminotransferases between the groups with and without OCI</w:t>
      </w:r>
      <w:r w:rsidR="008D021D" w:rsidRPr="00BF0ED0">
        <w:rPr>
          <w:rFonts w:ascii="Book Antiqua" w:hAnsi="Book Antiqua"/>
        </w:rPr>
        <w:t xml:space="preserve"> neither with albumin, bilirubin </w:t>
      </w:r>
      <w:r w:rsidR="00BF1373" w:rsidRPr="00BF0ED0">
        <w:rPr>
          <w:rFonts w:ascii="Book Antiqua" w:hAnsi="Book Antiqua"/>
        </w:rPr>
        <w:t>or gamma glutamyl transferase serum levels.</w:t>
      </w:r>
    </w:p>
    <w:p w14:paraId="2B909119" w14:textId="04347E45" w:rsidR="001835B3" w:rsidRPr="00BF0ED0" w:rsidRDefault="001835B3" w:rsidP="00484E7F">
      <w:pPr>
        <w:adjustRightInd w:val="0"/>
        <w:snapToGrid w:val="0"/>
        <w:spacing w:line="360" w:lineRule="auto"/>
        <w:ind w:firstLine="720"/>
        <w:jc w:val="both"/>
        <w:rPr>
          <w:rFonts w:ascii="Book Antiqua" w:hAnsi="Book Antiqua"/>
          <w:bCs/>
          <w:color w:val="000000"/>
        </w:rPr>
      </w:pPr>
      <w:r w:rsidRPr="00BF0ED0">
        <w:rPr>
          <w:rFonts w:ascii="Book Antiqua" w:hAnsi="Book Antiqua"/>
        </w:rPr>
        <w:t xml:space="preserve">Risk factors associated with viral hepatitis transmission were also </w:t>
      </w:r>
      <w:r w:rsidR="00292AFA" w:rsidRPr="00BF0ED0">
        <w:rPr>
          <w:rFonts w:ascii="Book Antiqua" w:hAnsi="Book Antiqua"/>
        </w:rPr>
        <w:t>tested (</w:t>
      </w:r>
      <w:r w:rsidRPr="00BF0ED0">
        <w:rPr>
          <w:rFonts w:ascii="Book Antiqua" w:hAnsi="Book Antiqua"/>
          <w:bCs/>
          <w:color w:val="000000"/>
        </w:rPr>
        <w:t xml:space="preserve">previous HD, use of injectable drugs, occupational exposure, contaminated family member, history of hemotransfusion, piercing, tattoo, acupuncture, sexually transmitted infection, and condom use). </w:t>
      </w:r>
      <w:r w:rsidRPr="00BF0ED0">
        <w:rPr>
          <w:rFonts w:ascii="Book Antiqua" w:hAnsi="Book Antiqua"/>
        </w:rPr>
        <w:t xml:space="preserve">None showed an association to the occurrence of OCI. </w:t>
      </w:r>
    </w:p>
    <w:p w14:paraId="641B270C" w14:textId="6D7C5CB4" w:rsidR="001835B3" w:rsidRPr="00BF0ED0" w:rsidRDefault="001835B3" w:rsidP="00484E7F">
      <w:pPr>
        <w:adjustRightInd w:val="0"/>
        <w:snapToGrid w:val="0"/>
        <w:spacing w:line="360" w:lineRule="auto"/>
        <w:ind w:firstLine="720"/>
        <w:jc w:val="both"/>
        <w:rPr>
          <w:rFonts w:ascii="Book Antiqua" w:hAnsi="Book Antiqua"/>
          <w:color w:val="0D0D0D"/>
        </w:rPr>
      </w:pPr>
      <w:r w:rsidRPr="00BF0ED0">
        <w:rPr>
          <w:rFonts w:ascii="Book Antiqua" w:hAnsi="Book Antiqua"/>
          <w:color w:val="0D0D0D"/>
        </w:rPr>
        <w:lastRenderedPageBreak/>
        <w:t>Of the 91 total patients evaluated, 2 provided an insufficient sample for assessment of HBV antibodies.</w:t>
      </w:r>
      <w:r w:rsidRPr="00BF0ED0">
        <w:rPr>
          <w:rFonts w:ascii="Book Antiqua" w:hAnsi="Book Antiqua"/>
        </w:rPr>
        <w:t xml:space="preserve"> Thus, of the 89 patients analyzed, 75 (84.2%) were anti-HBc negative, 9 (9.8%) were anti-HBc positive, and 5 (5.5%) were undetermined. A total of 4 out of the 5 patients with undetermined anti-HBc were positive for anti-</w:t>
      </w:r>
      <w:r w:rsidRPr="00BF0ED0">
        <w:rPr>
          <w:rFonts w:ascii="Book Antiqua" w:hAnsi="Book Antiqua"/>
          <w:color w:val="0D0D0D"/>
        </w:rPr>
        <w:t>HBs and were considered as having had previous contact with HBV</w:t>
      </w:r>
      <w:r w:rsidRPr="00BF0ED0">
        <w:rPr>
          <w:rFonts w:ascii="Book Antiqua" w:hAnsi="Book Antiqua"/>
        </w:rPr>
        <w:t xml:space="preserve">. A total </w:t>
      </w:r>
      <w:r w:rsidRPr="00BF0ED0">
        <w:rPr>
          <w:rFonts w:ascii="Book Antiqua" w:hAnsi="Book Antiqua"/>
          <w:color w:val="0D0D0D"/>
        </w:rPr>
        <w:t>of 31 patients</w:t>
      </w:r>
      <w:r w:rsidRPr="00BF0ED0">
        <w:rPr>
          <w:rFonts w:ascii="Book Antiqua" w:hAnsi="Book Antiqua"/>
        </w:rPr>
        <w:t xml:space="preserve"> were anti-HBs </w:t>
      </w:r>
      <w:r w:rsidRPr="00BF0ED0">
        <w:rPr>
          <w:rFonts w:ascii="Book Antiqua" w:hAnsi="Book Antiqua"/>
          <w:color w:val="0D0D0D"/>
        </w:rPr>
        <w:t>positive only</w:t>
      </w:r>
      <w:r w:rsidRPr="00BF0ED0">
        <w:rPr>
          <w:rFonts w:ascii="Book Antiqua" w:hAnsi="Book Antiqua"/>
        </w:rPr>
        <w:t xml:space="preserve"> and this antibody </w:t>
      </w:r>
      <w:r w:rsidRPr="00BF0ED0">
        <w:rPr>
          <w:rFonts w:ascii="Book Antiqua" w:hAnsi="Book Antiqua"/>
          <w:color w:val="0D0D0D"/>
        </w:rPr>
        <w:t>was not found more</w:t>
      </w:r>
      <w:r w:rsidRPr="00BF0ED0">
        <w:rPr>
          <w:rFonts w:ascii="Book Antiqua" w:hAnsi="Book Antiqua"/>
        </w:rPr>
        <w:t xml:space="preserve"> frequently in OCI </w:t>
      </w:r>
      <w:r w:rsidRPr="00BF0ED0">
        <w:rPr>
          <w:rFonts w:ascii="Book Antiqua" w:hAnsi="Book Antiqua"/>
          <w:color w:val="0D0D0D"/>
        </w:rPr>
        <w:t>patients (</w:t>
      </w:r>
      <w:r w:rsidRPr="00BF0ED0">
        <w:rPr>
          <w:rFonts w:ascii="Book Antiqua" w:hAnsi="Book Antiqua"/>
          <w:i/>
        </w:rPr>
        <w:t>P</w:t>
      </w:r>
      <w:r w:rsidRPr="00BF0ED0">
        <w:rPr>
          <w:rFonts w:ascii="Book Antiqua" w:hAnsi="Book Antiqua"/>
          <w:color w:val="0D0D0D"/>
        </w:rPr>
        <w:t xml:space="preserve"> = 0.59); however, the</w:t>
      </w:r>
      <w:r w:rsidRPr="00BF0ED0">
        <w:rPr>
          <w:rFonts w:ascii="Book Antiqua" w:hAnsi="Book Antiqua"/>
        </w:rPr>
        <w:t xml:space="preserve"> presence of total anti-HBc and anti-HBs in combination (indicating previous HBV infection) was more frequent in patients with OCI, when compared to uninfected </w:t>
      </w:r>
      <w:r w:rsidRPr="00BF0ED0">
        <w:rPr>
          <w:rFonts w:ascii="Book Antiqua" w:hAnsi="Book Antiqua"/>
          <w:color w:val="0D0D0D"/>
        </w:rPr>
        <w:t>patients (</w:t>
      </w:r>
      <w:r w:rsidRPr="00BF0ED0">
        <w:rPr>
          <w:rFonts w:ascii="Book Antiqua" w:hAnsi="Book Antiqua"/>
          <w:i/>
          <w:color w:val="0D0D0D"/>
        </w:rPr>
        <w:t>P</w:t>
      </w:r>
      <w:r w:rsidRPr="00BF0ED0">
        <w:rPr>
          <w:rFonts w:ascii="Book Antiqua" w:hAnsi="Book Antiqua"/>
          <w:color w:val="0D0D0D"/>
        </w:rPr>
        <w:t xml:space="preserve"> = 0.001), as shown in Table 2.</w:t>
      </w:r>
      <w:r w:rsidR="003139EB" w:rsidRPr="00BF0ED0">
        <w:rPr>
          <w:rFonts w:ascii="Book Antiqua" w:hAnsi="Book Antiqua"/>
          <w:color w:val="0D0D0D"/>
        </w:rPr>
        <w:t xml:space="preserve"> </w:t>
      </w:r>
    </w:p>
    <w:p w14:paraId="00B5F5B1" w14:textId="77777777" w:rsidR="001835B3" w:rsidRPr="00BF0ED0" w:rsidRDefault="001835B3" w:rsidP="00484E7F">
      <w:pPr>
        <w:adjustRightInd w:val="0"/>
        <w:snapToGrid w:val="0"/>
        <w:spacing w:line="360" w:lineRule="auto"/>
        <w:jc w:val="both"/>
        <w:rPr>
          <w:rFonts w:ascii="Book Antiqua" w:hAnsi="Book Antiqua"/>
          <w:b/>
        </w:rPr>
      </w:pPr>
    </w:p>
    <w:p w14:paraId="5F9F4437"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t>DISCUSSION</w:t>
      </w:r>
    </w:p>
    <w:p w14:paraId="7C08E5AB" w14:textId="48E64243"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This was the first study to describe the occurrence of OCI in patients with PDCKD. It was previously known that patients with PDCKD present a higher occurrence of HCV infection in the classic form than the general population, with reported prevalence rates range from 3.9% to 7.3% and being up to seven times higher than in the control populations studied</w:t>
      </w:r>
      <w:r w:rsidRPr="00BF0ED0">
        <w:rPr>
          <w:rFonts w:ascii="Book Antiqua" w:hAnsi="Book Antiqua"/>
        </w:rPr>
        <w:fldChar w:fldCharType="begin" w:fldLock="1"/>
      </w:r>
      <w:r w:rsidR="00292AFA" w:rsidRPr="00BF0ED0">
        <w:rPr>
          <w:rFonts w:ascii="Book Antiqua" w:hAnsi="Book Antiqua"/>
        </w:rPr>
        <w:instrText>ADDIN CSL_CITATION {"citationItems":[{"id":"ITEM-1","itemData":{"DOI":"10.1159/000114452","ISSN":"1660-2110","PMID":"18230916","abstract":"BACKGROUND: The factors associated with hepatitis C virus (HCV) infection in predialysis patients need to be better investigated. The aims of this study were to evaluate the prevalence, risk factors, clinical, biochemical and virological characteristics of chronic HCV infection in predialysis patients. METHODS: Anti-HCV antibodies were determined in a large cohort of predialysis patients. Epidemiological and laboratorial characteristics of HCV infection were evaluated in predialysis patients and this group was matched to a control group consisting of predialysis patients without viral infection (1:3) and compared in terms of risk factors and alanine aminotransferase (ALT) levels. Logistic regression analysis was applied to identify variables independently associated with chronic HCV infection. RESULTS: A total of 1,041 patients (61% males) with a mean age of 61 +/- 15 years and mean creatinine clearance of 36 +/- 18 ml/min were included. Forty-one (3.9%) patients were anti-HCV positive and, of these, 39 (95%) presented viremia. Predialysis patients with HCV more frequently showed a history of blood transfusion before 1992 (66.7 vs. 10.3%; p &lt; 0.001) and major surgeries (53.8 vs. 17.1%; p &lt; 0.001), a higher proportion of undetermined etiology of kidney disease (43.6 vs. 17.1%; p = 0.001), and higher ALT levels (1.3 vs. 0.4 xULN; p &lt; 0.001). History of blood transfusion before 1992 (p &lt; 0.001; OR: 19), intravenous drug abuse (p = 0.002; OR: 69) and ALT levels (p &lt; 0.001; OR: 50) were the variables that were independently associated with chronic HCV infection. The accuracy of ALT in detecting HCV infection was 92%. The most prevalent HCV genotype was 1b (48.7%) and 56.5% of patients presented high HCV viral load. CONCLUSION: Chronic HCV infection among predialysis patients is related to increased parenteral exposure. Elevated ALT levels suggest the need for HCV screening as part of the predialysis care since ALT seems to be a good marker of this infection.","author":[{"dropping-particle":"","family":"Lemos","given":"Lara B","non-dropping-particle":"","parse-names":false,"suffix":""},{"dropping-particle":"","family":"Perez","given":"Renata M","non-dropping-particle":"","parse-names":false,"suffix":""},{"dropping-particle":"","family":"Lemos","given":"Marcelo M","non-dropping-particle":"","parse-names":false,"suffix":""},{"dropping-particle":"","family":"Draibe","given":"Sergio A","non-dropping-particle":"","parse-names":false,"suffix":""},{"dropping-particle":"","family":"Silva","given":"Ivonete S","non-dropping-particle":"","parse-names":false,"suffix":""},{"dropping-particle":"","family":"Silva","given":"Antonio Eduardo B","non-dropping-particle":"","parse-names":false,"suffix":""},{"dropping-particle":"","family":"Ferraz","given":"Maria Lucia G","non-dropping-particle":"","parse-names":false,"suffix":""}],"container-title":"Nephron. Clinical practice","id":"ITEM-1","issue":"2","issued":{"date-parts":[["2008","1"]]},"page":"c135-40","title":"Hepatitis C among predialysis patients: prevalence and characteristics in a large cohort of patients.","type":"article-journal","volume":"108"},"uris":["http://www.mendeley.com/documents/?uuid=43bad577-7775-401c-ab8f-71fff4d829b6"]},{"id":"ITEM-2","itemData":{"DOI":"10.1016/j.ijid.2011.04.001","ISSN":"1878-3511","PMID":"21680217","abstract":"Hepatitis C virus (HCV) infection is a never-ending public health problem. Many studies have investigated the incidence of HCV infection among dialysis patients, but there have only been a few epidemiological studies in renal conservative therapy. We studied 320 subjects with pre-dialysis chronic kidney disease living in Sicily, Italy. The incidence of HCV infection was 6.25%. In Europe, incidence ranges from 0.2% to 3.5%. It appears that the incidence of HCV infection is higher in the studied patient population than in the population as a whole.","author":[{"dropping-particle":"","family":"Li Cavoli","given":"Gioacchino","non-dropping-particle":"","parse-names":false,"suffix":""},{"dropping-particle":"","family":"Ferrantelli","given":"Angelo","non-dropping-particle":"","parse-names":false,"suffix":""},{"dropping-particle":"","family":"Bono","given":"Luisa","non-dropping-particle":"","parse-names":false,"suffix":""},{"dropping-particle":"","family":"Tortorici","given":"Calogera","non-dropping-particle":"","parse-names":false,"suffix":""},{"dropping-particle":"","family":"Giammarresi","given":"Carlo","non-dropping-particle":"","parse-names":false,"suffix":""},{"dropping-particle":"","family":"Zagarrigo","given":"Carmela","non-dropping-particle":"","parse-names":false,"suffix":""},{"dropping-particle":"","family":"Schillaci","given":"Onofrio","non-dropping-particle":"","parse-names":false,"suffix":""},{"dropping-particle":"","family":"Tralongo","given":"Angelo","non-dropping-particle":"","parse-names":false,"suffix":""},{"dropping-particle":"","family":"Soresi","given":"Maurizio","non-dropping-particle":"","parse-names":false,"suffix":""},{"dropping-particle":"","family":"Rotolo","given":"Ugo","non-dropping-particle":"","parse-names":false,"suffix":""}],"container-title":"International journal of infectious diseases : IJID : official publication of the International Society for Infectious Diseases","id":"ITEM-2","issue":"8","issued":{"date-parts":[["2011","8"]]},"page":"e514-6","publisher":"International Society for Infectious Diseases","title":"Incidence of hepatitis C virus infection in patients with chronic kidney disease on conservative therapy.","type":"article-journal","volume":"15"},"uris":["http://www.mendeley.com/documents/?uuid=d26719fd-7e36-43a8-b0ac-befae907d7b9"]},{"id":"ITEM-3","itemData":{"DOI":"10.1007/s10157-007-0005-6","ISBN":"1342-1751","ISSN":"1342-1751","PMID":"18175054","abstract":"BACKGROUND: Although hepatitis C virus (HCV) infection is a persistent public health concern in hemodialysis patients, there seem to have been only a few reports on the prevalence of HCV at the start of hemodialysis. In this study we investigated whether patients starting on hemodialysis therapy are positive for anti-HCV antibody or not. METHODS: The 400 patients who began regular hemodialysis between February 2003 and June 2007 were enrolled in this study. Clinical data such as age, anti-HCV antibody and primary cause of end-stage kidney disease (ESKD) were examined. As healthy controls we used 70,717 healthy blood donors in 2005 whose data were obtained from Tokyo Metropolitan Red Cross Blood Center. Anti-HCV antibody was used as an indicator of HCV infection. Since the prevalence of HCV infection is affected by age in Japan, we classified the patients by age group. RESULTS: The anti-HCV antibody prevalence rate among the patients who were new to hemodialysis was 7.3%, as opposed to 0.15% in the healthy volunteers. The prevalence of HCV in the 31-45-, 46-60-, and 61-year-old groups was significantly higher among the hemodialysis patients than among the healthy volunteers (P = 0.0209, &lt;0.0001, and &lt;0.0001, respectively). The prevalence rate of anti-HCV antibody was higher among men (10.0%) than among women (1.5%, P &lt; 0.0001) in the hemodialysis patients. The anti-HCV-antibody-positive patients were significantly older than the anti-HCV-antibody-negative patients (66.4 +/- 14.3 years versus 58.6+/-16.6 years; P = 0.0152). Diabetic nephropathy was a more frequent cause of ESKD among the anti-HCV-antibody-positive patients (30.4%) than among the anti-HCV-antibody-negative patients (19.9%, P = 0.0122). Among the anti-HCV-antibody-positive patients, 55.2% had received a blood transfusion. The rate was significantly higher than that among the anti-HCV-antibody-negative patients (19.4%, P &lt; 0.0001). CONCLUSION: The results showed a much higher rate of anti-HCV antibody positivity in patients new to hemodialysis than in healthy volunteers. Older age, blood transfusion, male gender, and diabetic nephropathy seemed to be risk factors for anti-HCV antibody positivity in Japan.","author":[{"dropping-particle":"","family":"Iwasa","given":"Yuko","non-dropping-particle":"","parse-names":false,"suffix":""},{"dropping-particle":"","family":"Otsubo","given":"Shigeru","non-dropping-particle":"","parse-names":false,"suffix":""},{"dropping-particle":"","family":"Sugi","given":"Orie","non-dropping-particle":"","parse-names":false,"suffix":""},{"dropping-particle":"","family":"Sato","given":"Keitaro","non-dropping-particle":"","parse-names":false,"suffix":""},{"dropping-particle":"","family":"Asamiya","given":"Yukari","non-dropping-particle":"","parse-names":false,"suffix":""},{"dropping-particle":"","family":"Eguchi","given":"Aya","non-dropping-particle":"","parse-names":false,"suffix":""},{"dropping-particle":"","family":"Iwasaki","given":"Tomihito","non-dropping-particle":"","parse-names":false,"suffix":""},{"dropping-particle":"","family":"Matsuda","given":"Nami","non-dropping-particle":"","parse-names":false,"suffix":""},{"dropping-particle":"","family":"Kikuchi","given":"Kan","non-dropping-particle":"","parse-names":false,"suffix":""},{"dropping-particle":"","family":"Ikebe","given":"Norisato","non-dropping-particle":"","parse-names":false,"suffix":""},{"dropping-particle":"","family":"Miwa","given":"Naoko","non-dropping-particle":"","parse-names":false,"suffix":""},{"dropping-particle":"","family":"Kimata","given":"Naoki","non-dropping-particle":"","parse-names":false,"suffix":""},{"dropping-particle":"","family":"Uchida","given":"Keiko","non-dropping-particle":"","parse-names":false,"suffix":""},{"dropping-particle":"","family":"Uchida","given":"Shigeharu","non-dropping-particle":"","parse-names":false,"suffix":""},{"dropping-particle":"","family":"Nitta","given":"Kosaku","non-dropping-particle":"","parse-names":false,"suffix":""},{"dropping-particle":"","family":"Akiba","given":"Takashi","non-dropping-particle":"","parse-names":false,"suffix":""}],"container-title":"Clinical and Experimental Nephrology","id":"ITEM-3","issue":"1","issued":{"date-parts":[["2008","2","5"]]},"page":"53-57","title":"Patterns in the prevalence of hepatitis C virus infection at the start of hemodialysis in Japan","type":"article-journal","volume":"12"},"uris":["http://www.mendeley.com/documents/?uuid=7f5e9b6e-62f7-451a-ad52-5835dcf21564"]}],"mendeley":{"formattedCitation":"&lt;sup&gt;[12–14]&lt;/sup&gt;","plainTextFormattedCitation":"[12–14]","previouslyFormattedCitation":"&lt;sup&gt;[12–14]&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[12–14]</w:t>
      </w:r>
      <w:r w:rsidRPr="00BF0ED0">
        <w:rPr>
          <w:rFonts w:ascii="Book Antiqua" w:hAnsi="Book Antiqua"/>
        </w:rPr>
        <w:fldChar w:fldCharType="end"/>
      </w:r>
      <w:r w:rsidRPr="00BF0ED0">
        <w:rPr>
          <w:rFonts w:ascii="Book Antiqua" w:hAnsi="Book Antiqua"/>
        </w:rPr>
        <w:t>.</w:t>
      </w:r>
    </w:p>
    <w:p w14:paraId="7C5FC7CE" w14:textId="7634730B"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One of the possible reasons underlying the high prevalence of OCI (16.5%) in our study could be the low sensitivity of the ELISA tests used, that is, false negative anti-HCV results. However, in this study, patients underwent at least two anti-HCV screenings, with the first one in the diagnosis of CKD and the second as an inclusion criterion for this study. Along with both having negative results, a third-generation immunoenzymatic assay was employed, which shows close to 100% accuracy</w:t>
      </w:r>
      <w:r w:rsidR="00ED3062" w:rsidRPr="00BF0ED0">
        <w:rPr>
          <w:rFonts w:ascii="Book Antiqua" w:hAnsi="Book Antiqua"/>
        </w:rPr>
        <w:fldChar w:fldCharType="begin" w:fldLock="1"/>
      </w:r>
      <w:r w:rsidR="00ED3062" w:rsidRPr="00BF0ED0">
        <w:rPr>
          <w:rFonts w:ascii="Book Antiqua" w:hAnsi="Book Antiqua"/>
        </w:rPr>
        <w:instrText>ADDIN CSL_CITATION {"citationItems":[{"id":"ITEM-1","itemData":{"DOI":"10.1007/s00430-010-0171-0","ISBN":"9781479986439","ISSN":"03008584","PMID":"20865278","abstract":"Early detection of hepatitis C virus (HCV) is an important step in preventing progression to cirrhosis and hepatocellular carcinoma. Serologic assays for anti-hepatitis C (anti-HCV) antibody are valuable first-line tests in the screening and diagnosis of HCV infection. The aim of this multicenter study was to compare the Elecsys(®) Anti-HCV assay with alternative CE-marked Anti-HCV antibody assays against a range of samples that included 1,138 blood donors, 3,553 unselected routine daily specimens, and 46 pre-selected seroconversion panels. Specificity of the Elecsys Anti-HCV assay was 99.5% with blood donor samples and 99.4% with routine clinical specimens. These were similar to those obtained with the Prism(®) Anti-HCV, Architect(®) Anti-HCV assay, ADVIA(®) Centaur Anti-HCV assay and Vitros(®) Eci aHCV assays. Seroconversion sensitivity for the Elecsys Anti-HCV assay was similar to that of the Architect Anti-HCV, AxSYM HCV version 3.0, ADVIA Centaur Anti-HCV, and Vitros Eci aHCV assays. In fact, seroconversion testing on 46 commercially available panels showed that the difference in first detecting a positive blood sample was less than one day between assays (not statistically significant). The Elecsys Anti-HCV assay as well as the Architect, Prism, and Vitros Anti-HCV immunoassays revealed a seroconversion sensitivity of 100%, whereas the ADVIA Centaur HCV immunoassay showed a sensitivity of only 97.5% (39/40). Overall, the performance of the Elecsys Anti-HCV assay was similar to the performances of the comparator CE-marked Anti-HCV antibody assays.","author":[{"dropping-particle":"","family":"Alborino","given":"F.","non-dropping-particle":"","parse-names":false,"suffix":""},{"dropping-particle":"","family":"Burighel","given":"A.","non-dropping-particle":"","parse-names":false,"suffix":""},{"dropping-particle":"","family":"Tiller","given":"F. W.","non-dropping-particle":"","parse-names":false,"suffix":""},{"dropping-particle":"","family":"Helden","given":"J.","non-dropping-particle":"Van","parse-names":false,"suffix":""},{"dropping-particle":"","family":"Gabriel","given":"C.","non-dropping-particle":"","parse-names":false,"suffix":""},{"dropping-particle":"","family":"Raineri","given":"A.","non-dropping-particle":"","parse-names":false,"suffix":""},{"dropping-particle":"","family":"Catapano","given":"R.","non-dropping-particle":"","parse-names":false,"suffix":""},{"dropping-particle":"","family":"Stekel","given":"H.","non-dropping-particle":"","parse-names":false,"suffix":""}],"container-title":"Medical Microbiology and Immunology","id":"ITEM-1","issue":"2","issued":{"date-parts":[["2011"]]},"page":"77-83","title":"Multicenter evaluation of a fully automated third-generation anti-HCV antibody screening test with excellent sensitivity and specificity","type":"article-journal","volume":"200"},"uris":["http://www.mendeley.com/documents/?uuid=108f755f-9913-4441-b178-45319c735aaf"]}],"mendeley":{"formattedCitation":"&lt;sup&gt;[19]&lt;/sup&gt;","plainTextFormattedCitation":"[19]","previouslyFormattedCitation":"&lt;sup&gt;[19]&lt;/sup&gt;"},"properties":{"noteIndex":0},"schema":"https://github.com/citation-style-language/schema/raw/master/csl-citation.json"}</w:instrText>
      </w:r>
      <w:r w:rsidR="00ED3062" w:rsidRPr="00BF0ED0">
        <w:rPr>
          <w:rFonts w:ascii="Book Antiqua" w:hAnsi="Book Antiqua"/>
        </w:rPr>
        <w:fldChar w:fldCharType="separate"/>
      </w:r>
      <w:r w:rsidR="00ED3062" w:rsidRPr="00BF0ED0">
        <w:rPr>
          <w:rFonts w:ascii="Book Antiqua" w:hAnsi="Book Antiqua"/>
          <w:noProof/>
          <w:vertAlign w:val="superscript"/>
        </w:rPr>
        <w:t>[19]</w:t>
      </w:r>
      <w:r w:rsidR="00ED3062" w:rsidRPr="00BF0ED0">
        <w:rPr>
          <w:rFonts w:ascii="Book Antiqua" w:hAnsi="Book Antiqua"/>
        </w:rPr>
        <w:fldChar w:fldCharType="end"/>
      </w:r>
      <w:r w:rsidRPr="00BF0ED0">
        <w:rPr>
          <w:rFonts w:ascii="Book Antiqua" w:hAnsi="Book Antiqua"/>
        </w:rPr>
        <w:t>. The other possibility would be the immunological deficiency of patients with PDCKD who would not be able to produce anti-HCV antibodies in detectable titers.</w:t>
      </w:r>
    </w:p>
    <w:p w14:paraId="01811F41"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We could still consider the possibility of a false positive result in the PCR reaction to detect the HCV RNA in the PBMCs or ultracentrifuged serum; however, this is unlikely since the different steps in the procedure were performed in different environments under laminar flow with quality reagents. </w:t>
      </w:r>
      <w:r w:rsidRPr="00BF0ED0">
        <w:rPr>
          <w:rFonts w:ascii="Book Antiqua" w:hAnsi="Book Antiqua"/>
        </w:rPr>
        <w:lastRenderedPageBreak/>
        <w:t xml:space="preserve">In addition, positive results were confirmed by a new PCR from another aliquot of the patient's blood sample, using the same technique for detection of HCV RNA. </w:t>
      </w:r>
    </w:p>
    <w:p w14:paraId="5198A600" w14:textId="50603F28"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color w:val="212121"/>
          <w:shd w:val="clear" w:color="auto" w:fill="FFFFFF"/>
        </w:rPr>
        <w:t xml:space="preserve">In this study, we did not perform HCV RNA screening by PCR in the serum (non-ultracentrifuged) of all patients since our objective was not to identify patients with serum anti-HCV negativity and HCV RNA positivity. However, HCV RNA screening was performed in all patients’ non-ultracentrifuged serum when HCV RNA was positive in PBMCs or in ultracentrifuged serum. Moreover, it would be unlikely to find patients with anti-HCV negativity and HCV RNA </w:t>
      </w:r>
      <w:r w:rsidRPr="00BF0ED0">
        <w:rPr>
          <w:rFonts w:ascii="Book Antiqua" w:hAnsi="Book Antiqua"/>
          <w:color w:val="0D0D0D"/>
          <w:shd w:val="clear" w:color="auto" w:fill="FFFFFF"/>
        </w:rPr>
        <w:t>negativity in both PBMCs and</w:t>
      </w:r>
      <w:r w:rsidRPr="00BF0ED0">
        <w:rPr>
          <w:rFonts w:ascii="Book Antiqua" w:hAnsi="Book Antiqua"/>
          <w:color w:val="212121"/>
          <w:shd w:val="clear" w:color="auto" w:fill="FFFFFF"/>
        </w:rPr>
        <w:t xml:space="preserve"> in ultracentrifuged serum, but with positivity in non–ultracentrifuged serum.</w:t>
      </w:r>
      <w:r w:rsidR="00205A72">
        <w:rPr>
          <w:rFonts w:ascii="Book Antiqua" w:hAnsi="Book Antiqua"/>
          <w:color w:val="212121"/>
          <w:shd w:val="clear" w:color="auto" w:fill="FFFFFF"/>
        </w:rPr>
        <w:t xml:space="preserve"> </w:t>
      </w:r>
      <w:r w:rsidRPr="00BF0ED0">
        <w:rPr>
          <w:rFonts w:ascii="Book Antiqua" w:hAnsi="Book Antiqua"/>
          <w:color w:val="212121"/>
          <w:shd w:val="clear" w:color="auto" w:fill="FFFFFF"/>
        </w:rPr>
        <w:t>According to these parameters, then, we question the need for performing the HCV RNA screening by PCR of serum before RNA screening of PBMCs and ultracentrifuged plasma for diagnostic confirmation of OCI.</w:t>
      </w:r>
    </w:p>
    <w:p w14:paraId="68254057" w14:textId="50CF4A91"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The practical relevance of the findings from our study is uncertain. However, the high frequency of OCI found in our study population may play a significant role in the transmissibility of the disease within HD units once the patients do not have detectable antibodies and circulating virions, when they could potentially be infectious</w:t>
      </w:r>
      <w:r w:rsidRPr="00BF0ED0">
        <w:rPr>
          <w:rFonts w:ascii="Book Antiqua" w:hAnsi="Book Antiqua"/>
        </w:rPr>
        <w:fldChar w:fldCharType="begin" w:fldLock="1"/>
      </w:r>
      <w:r w:rsidR="00ED3062" w:rsidRPr="00BF0ED0">
        <w:rPr>
          <w:rFonts w:ascii="Book Antiqua" w:hAnsi="Book Antiqua"/>
        </w:rPr>
        <w:instrText>ADDIN CSL_CITATION {"citationItems":[{"id":"ITEM-1","itemData":{"DOI":"10.1002/jmv.23979","ISBN":"2891321006","ISSN":"01466615","PMID":"21187455","abstract":"We report a syngeneic model of spontaneous metastatic B16-F10 mouse melanoma in C57/BL6 mice with a very high metastatic frequency that mimics clinical metastatic melanoma. The B16 melanoma cells were injected between the skin and cartilage on the dorsal side of the ear. The model generated lymphatic and visceral metastases in all of the tested animals. In mice with large primary tumors, tumor weight correlated with the tumor growth time and also with the number of metastases in lymph nodes and organs. The dorsal ear space between the skin and cartilage enables both lymphatic and hematogenous metastatic spread. The model should be useful to study the mechanism of melanoma metastasis and to develop therapy for this currently untreatable disease.","author":[{"dropping-particle":"","family":"Dzekova Vidimliski","given":"Pavlina","non-dropping-particle":"","parse-names":false,"suffix":""},{"dropping-particle":"","family":"Nikolov","given":"Igor","non-dropping-particle":"","parse-names":false,"suffix":""},{"dropping-particle":"","family":"Matevska Geshkovska","given":"Nadica","non-dropping-particle":"","parse-names":false,"suffix":""},{"dropping-particle":"","family":"Dimovski","given":"Aleksandar","non-dropping-particle":"","parse-names":false,"suffix":""},{"dropping-particle":"","family":"Rostaing","given":"Lionel","non-dropping-particle":"","parse-names":false,"suffix":""},{"dropping-particle":"","family":"Sikole","given":"Aleksandar","non-dropping-particle":"","parse-names":false,"suffix":""}],"container-title":"Journal of Medical Virology","id":"ITEM-1","issue":"9","issued":{"date-parts":[["2014","9"]]},"page":"1491-1498","title":"Review: Occult hepatitis C virus infection: Still remains a controversy","type":"article-journal","volume":"86"},"uris":["http://www.mendeley.com/documents/?uuid=624d0439-de0f-47ef-8d0d-d4c01f03d7d8"]}],"mendeley":{"formattedCitation":"&lt;sup&gt;[20]&lt;/sup&gt;","plainTextFormattedCitation":"[20]","previouslyFormattedCitation":"&lt;sup&gt;[20]&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[20]</w:t>
      </w:r>
      <w:r w:rsidRPr="00BF0ED0">
        <w:rPr>
          <w:rFonts w:ascii="Book Antiqua" w:hAnsi="Book Antiqua"/>
        </w:rPr>
        <w:fldChar w:fldCharType="end"/>
      </w:r>
      <w:r w:rsidRPr="00BF0ED0">
        <w:rPr>
          <w:rFonts w:ascii="Book Antiqua" w:hAnsi="Book Antiqua"/>
        </w:rPr>
        <w:t>. Moreover, the vast majority of patients (14/15) with OCI had viral genome components at detectable levels in PBMCs, making them potential transmitters of the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10.1136/gut.2004.057281","ISSN":"0017-5749","author":[{"dropping-particle":"","family":"Castillo","given":"I","non-dropping-particle":"","parse-names":false,"suffix":""}],"container-title":"Gut","id":"ITEM-1","issue":"5","issued":{"date-parts":[["2005","5","1"]]},"page":"682-685","title":"Hepatitis C virus replicates in peripheral blood mononuclear cells of patients with occult hepatitis C virus infection","type":"article-journal","volume":"54"},"uris":["http://www.mendeley.com/documents/?uuid=190b80d1-5515-4537-bc24-1d9572c6629c"]}],"mendeley":{"formattedCitation":"&lt;sup&gt;[21]&lt;/sup&gt;","plainTextFormattedCitation":"[21]","previouslyFormattedCitation":"&lt;sup&gt;[21]&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[21]</w:t>
      </w:r>
      <w:r w:rsidRPr="00BF0ED0">
        <w:rPr>
          <w:rFonts w:ascii="Book Antiqua" w:hAnsi="Book Antiqua"/>
        </w:rPr>
        <w:fldChar w:fldCharType="end"/>
      </w:r>
      <w:r w:rsidRPr="00BF0ED0">
        <w:rPr>
          <w:rFonts w:ascii="Book Antiqua" w:hAnsi="Book Antiqua"/>
        </w:rPr>
        <w:t>. These are intriguing findings since, in general, about 50% of HCV-infected patients do not have identifiable risk factors for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{"citationItems":[{"id":"ITEM-1","itemData":{"DOI":"10.1046/j.1365-2893.2002.00329.x","ISBN":"1352-0504 (Print)\\n1352-0504 (Linking)","ISSN":"13520504","PMID":"11876790","abstract":"The aim of the study was to analyse the current literature regarding the mode of transmission of HCV and its global prevalence in different groups of people. A systematic review of the literature on the epidemiology of hepatitis C from 1991 to 2000 using computerized bibliographic databases which include Medline, Current Content and Embase. The prevalence of hepatitis C virus (HCV) varies tremendously in different parts of the world, with the highest incidence in the Eastern parts of the globe compared with the Western parts. Furthermore, certain groups of individuals such as intravenous drug users are at increased risk of acquiring this disease irrespective of the geographical location. Although the main route of transmission is via contaminated blood, curiously enough in up to 50% of the cases no recognizable transmission factor/route could be identified. Therefore, a number of other routes of transmission such as sexual or household exposure to infected contacts have been investigated with conflicting results. Hepatitis C infection is an important public health issue globally. Better understanding of routes of transmission will help to combat the spread of disease. In order to prevent a world wide epidemic of this disease, urgent measures are required to (i) develop a strategy to inform and educate the public regarding this disease and (ii) expedite the efforts to develop a vaccine.","author":[{"dropping-particle":"","family":"Memon","given":"M. I.","non-dropping-particle":"","parse-names":false,"suffix":""},{"dropping-particle":"","family":"Memon","given":"M. A.","non-dropping-particle":"","parse-names":false,"suffix":""}],"container-title":"Journal of Viral Hepatitis","id":"ITEM-1","issue":"2","issued":{"date-parts":[["2002","3"]]},"page":"84-100","title":"Hepatitis C: an epidemiological review","type":"article-journal","volume":"9"},"uris":["http://www.mendeley.com/documents/?uuid=783f38df-5979-40a1-ab6d-13946bb17083"]}],"mendeley":{"formattedCitation":"&lt;sup&gt;[22]&lt;/sup&gt;","plainTextFormattedCitation":"[22]","previouslyFormattedCitation":"&lt;sup&gt;[22]&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[22]</w:t>
      </w:r>
      <w:r w:rsidRPr="00BF0ED0">
        <w:rPr>
          <w:rFonts w:ascii="Book Antiqua" w:hAnsi="Book Antiqua"/>
        </w:rPr>
        <w:fldChar w:fldCharType="end"/>
      </w:r>
      <w:r w:rsidRPr="00BF0ED0">
        <w:rPr>
          <w:rFonts w:ascii="Book Antiqua" w:hAnsi="Book Antiqua"/>
        </w:rPr>
        <w:t>.</w:t>
      </w:r>
    </w:p>
    <w:p w14:paraId="782235F3" w14:textId="1DA54F47" w:rsidR="001835B3" w:rsidRPr="00BF0ED0" w:rsidRDefault="001835B3" w:rsidP="00484E7F">
      <w:pPr>
        <w:pStyle w:val="HTMLPreformatted"/>
        <w:shd w:val="clear" w:color="auto" w:fill="FFFFFF"/>
        <w:adjustRightInd w:val="0"/>
        <w:snapToGrid w:val="0"/>
        <w:spacing w:line="360" w:lineRule="auto"/>
        <w:jc w:val="both"/>
        <w:rPr>
          <w:rFonts w:ascii="Book Antiqua" w:hAnsi="Book Antiqua" w:cs="Times New Roman"/>
          <w:color w:val="212121"/>
          <w:sz w:val="24"/>
          <w:szCs w:val="24"/>
          <w:lang w:val="en-US"/>
        </w:rPr>
      </w:pPr>
      <w:r w:rsidRPr="00BF0ED0">
        <w:rPr>
          <w:rFonts w:ascii="Book Antiqua" w:hAnsi="Book Antiqua" w:cs="Times New Roman"/>
          <w:sz w:val="24"/>
          <w:szCs w:val="24"/>
          <w:lang w:val="en-US"/>
        </w:rPr>
        <w:tab/>
        <w:t xml:space="preserve">Epidemiologically, a phylogenetic study conducted by Castillo </w:t>
      </w:r>
      <w:r w:rsidRPr="00BF0ED0">
        <w:rPr>
          <w:rFonts w:ascii="Book Antiqua" w:hAnsi="Book Antiqua" w:cs="Times New Roman"/>
          <w:i/>
          <w:sz w:val="24"/>
          <w:szCs w:val="24"/>
          <w:lang w:val="en-US"/>
        </w:rPr>
        <w:t>et al</w:t>
      </w:r>
      <w:r w:rsidRPr="00BF0ED0">
        <w:rPr>
          <w:rFonts w:ascii="Book Antiqua" w:hAnsi="Book Antiqua" w:cs="Times New Roman"/>
          <w:sz w:val="24"/>
          <w:szCs w:val="24"/>
          <w:lang w:val="en-US"/>
        </w:rPr>
        <w:fldChar w:fldCharType="begin" w:fldLock="1"/>
      </w:r>
      <w:r w:rsidR="00ED3062" w:rsidRPr="00BF0ED0">
        <w:rPr>
          <w:rFonts w:ascii="Book Antiqua" w:hAnsi="Book Antiqua" w:cs="Times New Roman"/>
          <w:sz w:val="24"/>
          <w:szCs w:val="24"/>
          <w:lang w:val="en-US"/>
        </w:rPr>
        <w:instrText>ADDIN CSL_CITATION {"citationItems":[{"id":"ITEM-1","itemData":{"DOI":"10.1002/jmv.21483","ISBN":"2891321006","ISSN":"01466615","PMID":"21187455","abstract":"We report a syngeneic model of spontaneous metastatic B16-F10 mouse melanoma in C57/BL6 mice with a very high metastatic frequency that mimics clinical metastatic melanoma. The B16 melanoma cells were injected between the skin and cartilage on the dorsal side of the ear. The model generated lymphatic and visceral metastases in all of the tested animals. In mice with large primary tumors, tumor weight correlated with the tumor growth time and also with the number of metastases in lymph nodes and organs. The dorsal ear space between the skin and cartilage enables both lymphatic and hematogenous metastatic spread. The model should be useful to study the mechanism of melanoma metastasis and to develop therapy for this currently untreatable disease.","author":[{"dropping-particle":"","family":"Castillo","given":"Inmaculada","non-dropping-particle":"","parse-names":false,"suffix":""},{"dropping-particle":"","family":"Bartolomé","given":"Javier","non-dropping-particle":"","parse-names":false,"suffix":""},{"dropping-particle":"","family":"Quiroga","given":"Juan Antonio","non-dropping-particle":"","parse-names":false,"suffix":""},{"dropping-particle":"","family":"Barril","given":"Guillermina","non-dropping-particle":"","parse-names":false,"suffix":""},{"dropping-particle":"","family":"Carreño","given":"Vicente","non-dropping-particle":"","parse-names":false,"suffix":""}],"container-title":"Journal of Medical Virology","id":"ITEM-1","issue":"7","issued":{"date-parts":[["2009","7"]]},"page":"1198-1203","title":"Hepatitis C virus infection in the family setting of patients with occult hepatitis C","type":"article-journal","volume":"81"},"uris":["http://www.mendeley.com/documents/?uuid=9cab62f8-ae84-49f6-9937-8028e78a32fe"]}],"mendeley":{"formattedCitation":"&lt;sup&gt;[23]&lt;/sup&gt;","plainTextFormattedCitation":"[23]","previouslyFormattedCitation":"&lt;sup&gt;[23]&lt;/sup&gt;"},"properties":{"noteIndex":0},"schema":"https://github.com/citation-style-language/schema/raw/master/csl-citation.json"}</w:instrText>
      </w:r>
      <w:r w:rsidRPr="00BF0ED0">
        <w:rPr>
          <w:rFonts w:ascii="Book Antiqua" w:hAnsi="Book Antiqua" w:cs="Times New Roman"/>
          <w:sz w:val="24"/>
          <w:szCs w:val="24"/>
          <w:lang w:val="en-US"/>
        </w:rPr>
        <w:fldChar w:fldCharType="separate"/>
      </w:r>
      <w:r w:rsidR="00ED3062" w:rsidRPr="00BF0ED0">
        <w:rPr>
          <w:rFonts w:ascii="Book Antiqua" w:hAnsi="Book Antiqua" w:cs="Times New Roman"/>
          <w:noProof/>
          <w:sz w:val="24"/>
          <w:szCs w:val="24"/>
          <w:vertAlign w:val="superscript"/>
          <w:lang w:val="en-US"/>
        </w:rPr>
        <w:t>[23]</w:t>
      </w:r>
      <w:r w:rsidRPr="00BF0ED0">
        <w:rPr>
          <w:rFonts w:ascii="Book Antiqua" w:hAnsi="Book Antiqua" w:cs="Times New Roman"/>
          <w:sz w:val="24"/>
          <w:szCs w:val="24"/>
          <w:lang w:val="en-US"/>
        </w:rPr>
        <w:fldChar w:fldCharType="end"/>
      </w:r>
      <w:r w:rsidRPr="00BF0ED0">
        <w:rPr>
          <w:rFonts w:ascii="Book Antiqua" w:hAnsi="Book Antiqua" w:cs="Times New Roman"/>
          <w:sz w:val="24"/>
          <w:szCs w:val="24"/>
          <w:lang w:val="en-US"/>
        </w:rPr>
        <w:t xml:space="preserve"> found that patients with OCI have high intrafamilial transmissibility. Moreover, Roque-Cuellar </w:t>
      </w:r>
      <w:r w:rsidRPr="00BF0ED0">
        <w:rPr>
          <w:rFonts w:ascii="Book Antiqua" w:hAnsi="Book Antiqua" w:cs="Times New Roman"/>
          <w:i/>
          <w:sz w:val="24"/>
          <w:szCs w:val="24"/>
          <w:lang w:val="en-US"/>
        </w:rPr>
        <w:t>et al</w:t>
      </w:r>
      <w:r w:rsidRPr="00BF0ED0">
        <w:rPr>
          <w:rFonts w:ascii="Book Antiqua" w:hAnsi="Book Antiqua" w:cs="Times New Roman"/>
          <w:sz w:val="24"/>
          <w:szCs w:val="24"/>
          <w:lang w:val="en-US"/>
        </w:rPr>
        <w:fldChar w:fldCharType="begin" w:fldLock="1"/>
      </w:r>
      <w:r w:rsidR="00ED3062" w:rsidRPr="00BF0ED0">
        <w:rPr>
          <w:rFonts w:ascii="Book Antiqua" w:hAnsi="Book Antiqua" w:cs="Times New Roman"/>
          <w:sz w:val="24"/>
          <w:szCs w:val="24"/>
          <w:lang w:val="en-US"/>
        </w:rPr>
        <w:instrText>ADDIN CSL_CITATION {"citationItems":[{"id":"ITEM-1","itemData":{"DOI":"10.1111/j.1365-2893.2011.01464.x","ISSN":"1365-2893","PMID":"21914075","abstract":"It is unknown whether hepatitis C virus (HCV)-specific cellular immune responses can develop in seronegative sexual partners of chronically HCV-infected patients and whether they have occult infection. Thirty-one heterosexual partners of patients with chronic HCV were studied, fifteen of them with HCV transmission risks. Ten healthy individuals and 17 anti-HCV seropositive patients, without viremia, were used as controls. Virus-specific CD4+ and CD8+ T-cell responses were measured by flow cytometry against six HCV peptides, situated within the nonstructural (NS) proteins NS3, NS4 and NS5, through intracellular detection of gamma interferon (IFN-γ) or interleukin 4 (IL-4) production and CD69 expression. Sexual partners had a higher production of IFN-γ and IL-4 by CD4+ cells against NS3-p124 (P = 0.003), NS5b-p257 (P = 0.005) and NS5b-p294 (P = 0.012), and CD8+ cells against NS3-p124 (P = 0.002), NS4b-p177 (P = 0.001) and NS3-p294 (P = 0.004) as compared with healthy controls. We observed elevated IFN-γ production by CD4+ T cells against NS5b-p257 (P = 0.042) and NS5b-p294 (P = 0.009) in the sexual partners with HCV transmission risks (sexual, professional and familial altogether) than in those without risks. RNA was extracted from peripheral blood mononuclear cells (PBMC), and detection of HCV-RNA positive and replicative (negative) strands was performed by strand-specific real-time PCR. In four sexual partners, the presence of positive and negative HCV- RNA strands in PBMC was confirmed. Hence, we found an HCV-specific cellular immune response as well as occult HCV infection in seronegative and aviremic sexual partners of chronically HCV-infected patients.","author":[{"dropping-particle":"","family":"Roque-Cuéllar","given":"M C","non-dropping-particle":"","parse-names":false,"suffix":""},{"dropping-particle":"","family":"Sánchez","given":"B","non-dropping-particle":"","parse-names":false,"suffix":""},{"dropping-particle":"","family":"García-Lozano","given":"J R","non-dropping-particle":"","parse-names":false,"suffix":""},{"dropping-particle":"","family":"Praena-Fernández","given":"J M","non-dropping-particle":"","parse-names":false,"suffix":""},{"dropping-particle":"","family":"Núñez-Roldán","given":"A","non-dropping-particle":"","parse-names":false,"suffix":""},{"dropping-particle":"","family":"Aguilar-Reina","given":"J","non-dropping-particle":"","parse-names":false,"suffix":""}],"container-title":"Journal of viral hepatitis","id":"ITEM-1","issue":"10","issued":{"date-parts":[["2011","10"]]},"page":"e541-9","title":"Cellular immune responses and occult infection in seronegative heterosexual partners of chronic hepatitis C patients.","type":"article-journal","volume":"18"},"uris":["http://www.mendeley.com/documents/?uuid=9e9a2959-d4a2-4dbb-b818-1a0fb9743487"]}],"mendeley":{"formattedCitation":"&lt;sup&gt;[24]&lt;/sup&gt;","plainTextFormattedCitation":"[24]","previouslyFormattedCitation":"&lt;sup&gt;[24]&lt;/sup&gt;"},"properties":{"noteIndex":0},"schema":"https://github.com/citation-style-language/schema/raw/master/csl-citation.json"}</w:instrText>
      </w:r>
      <w:r w:rsidRPr="00BF0ED0">
        <w:rPr>
          <w:rFonts w:ascii="Book Antiqua" w:hAnsi="Book Antiqua" w:cs="Times New Roman"/>
          <w:sz w:val="24"/>
          <w:szCs w:val="24"/>
          <w:lang w:val="en-US"/>
        </w:rPr>
        <w:fldChar w:fldCharType="separate"/>
      </w:r>
      <w:r w:rsidR="00ED3062" w:rsidRPr="00BF0ED0">
        <w:rPr>
          <w:rFonts w:ascii="Book Antiqua" w:hAnsi="Book Antiqua" w:cs="Times New Roman"/>
          <w:noProof/>
          <w:sz w:val="24"/>
          <w:szCs w:val="24"/>
          <w:vertAlign w:val="superscript"/>
          <w:lang w:val="en-US"/>
        </w:rPr>
        <w:t>[24]</w:t>
      </w:r>
      <w:r w:rsidRPr="00BF0ED0">
        <w:rPr>
          <w:rFonts w:ascii="Book Antiqua" w:hAnsi="Book Antiqua" w:cs="Times New Roman"/>
          <w:sz w:val="24"/>
          <w:szCs w:val="24"/>
          <w:lang w:val="en-US"/>
        </w:rPr>
        <w:fldChar w:fldCharType="end"/>
      </w:r>
      <w:r w:rsidRPr="00BF0ED0">
        <w:rPr>
          <w:rFonts w:ascii="Book Antiqua" w:hAnsi="Book Antiqua" w:cs="Times New Roman"/>
          <w:sz w:val="24"/>
          <w:szCs w:val="24"/>
          <w:lang w:val="en-US"/>
        </w:rPr>
        <w:t xml:space="preserve"> evaluated the immunological response in the presence of OCI in heterosexual partners of patients with the classic form of infection; they found a specific CD4+ and CD8+ immune response and a higher prevalence of OCI in the partners compared to those with uninfected heterosexual partners. These findings were corroborated by Shazly </w:t>
      </w:r>
      <w:r w:rsidRPr="00BF0ED0">
        <w:rPr>
          <w:rFonts w:ascii="Book Antiqua" w:hAnsi="Book Antiqua" w:cs="Times New Roman"/>
          <w:i/>
          <w:sz w:val="24"/>
          <w:szCs w:val="24"/>
          <w:lang w:val="en-US"/>
        </w:rPr>
        <w:t>et al</w:t>
      </w:r>
      <w:r w:rsidRPr="00BF0ED0">
        <w:rPr>
          <w:rFonts w:ascii="Book Antiqua" w:hAnsi="Book Antiqua" w:cs="Times New Roman"/>
          <w:color w:val="212121"/>
          <w:sz w:val="24"/>
          <w:szCs w:val="24"/>
          <w:lang w:val="en-US"/>
        </w:rPr>
        <w:fldChar w:fldCharType="begin" w:fldLock="1"/>
      </w:r>
      <w:r w:rsidR="00ED3062" w:rsidRPr="00BF0ED0">
        <w:rPr>
          <w:rFonts w:ascii="Book Antiqua" w:hAnsi="Book Antiqua" w:cs="Times New Roman"/>
          <w:color w:val="212121"/>
          <w:sz w:val="24"/>
          <w:szCs w:val="24"/>
          <w:lang w:val="en-US"/>
        </w:rPr>
        <w:instrText>ADDIN CSL_CITATION {"citationItems":[{"id":"ITEM-1","itemData":{"DOI":"10.1002/jmv.24074","ISSN":"1096-9071","PMID":"25185940","abstract":"The criterion standard for the diagnosis of occult hepatitis C virus (HCV) infection is detection of HCV-RNA in liver cells. However, because of the invasive nature of liver biopsy, other methods have been studied. The present study aimed to identify subjects with occult HCV-4 infection among healthy sexual partners of patients with chronic HCV-4 infection by detecting HCV-RNA in peripheral blood mononuclear cells (PBMCs) using real-time polymerase chain reaction (PCR). Fifty healthy Egyptian spouses of patients with chronic HCV-4 infection were included in this study. Real-time PCR was used to detect HCV-RNA in PBMCs in all the study subjects. The prevalence of occult HCV-4 infection was 4%, and a statistically significant higher prevalence was found among patients with a history of sexually transmitted infection. The results of the present study indicate the importance of intra-spousal transmission of HCV-4 infection, especially in subjects with a history of sexually transmitted infection. J. Med. Virol. © 2014 Wiley Periodicals, Inc.","author":[{"dropping-particle":"El","family":"Shazly","given":"Yahia","non-dropping-particle":"","parse-names":false,"suffix":""},{"dropping-particle":"","family":"Hemida","given":"Khaled","non-dropping-particle":"","parse-names":false,"suffix":""},{"dropping-particle":"","family":"Rafik","given":"Mona","non-dropping-particle":"","parse-names":false,"suffix":""},{"dropping-particle":"Al","family":"Swaff","given":"Reham","non-dropping-particle":"","parse-names":false,"suffix":""},{"dropping-particle":"","family":"Ali-Eldin","given":"Zainab A","non-dropping-particle":"","parse-names":false,"suffix":""},{"dropping-particle":"","family":"GadAllah","given":"Shaimaa","non-dropping-particle":"","parse-names":false,"suffix":""}],"container-title":"Journal of medical virology","id":"ITEM-1","issued":{"date-parts":[["2014","9","3"]]},"title":"Detection of occult hepatitis C virus among healthy spouses of patients with HCV infection.","type":"article-journal"},"uris":["http://www.mendeley.com/documents/?uuid=2c473aab-de08-4bd0-a031-d8a774b8b095"]}],"mendeley":{"formattedCitation":"&lt;sup&gt;[25]&lt;/sup&gt;","plainTextFormattedCitation":"[25]","previouslyFormattedCitation":"&lt;sup&gt;[25]&lt;/sup&gt;"},"properties":{"noteIndex":0},"schema":"https://github.com/citation-style-language/schema/raw/master/csl-citation.json"}</w:instrText>
      </w:r>
      <w:r w:rsidRPr="00BF0ED0">
        <w:rPr>
          <w:rFonts w:ascii="Book Antiqua" w:hAnsi="Book Antiqua" w:cs="Times New Roman"/>
          <w:color w:val="212121"/>
          <w:sz w:val="24"/>
          <w:szCs w:val="24"/>
          <w:lang w:val="en-US"/>
        </w:rPr>
        <w:fldChar w:fldCharType="separate"/>
      </w:r>
      <w:r w:rsidR="00ED3062" w:rsidRPr="00BF0ED0">
        <w:rPr>
          <w:rFonts w:ascii="Book Antiqua" w:hAnsi="Book Antiqua" w:cs="Times New Roman"/>
          <w:noProof/>
          <w:color w:val="212121"/>
          <w:sz w:val="24"/>
          <w:szCs w:val="24"/>
          <w:vertAlign w:val="superscript"/>
          <w:lang w:val="en-US"/>
        </w:rPr>
        <w:t>[25]</w:t>
      </w:r>
      <w:r w:rsidRPr="00BF0ED0">
        <w:rPr>
          <w:rFonts w:ascii="Book Antiqua" w:hAnsi="Book Antiqua" w:cs="Times New Roman"/>
          <w:color w:val="212121"/>
          <w:sz w:val="24"/>
          <w:szCs w:val="24"/>
          <w:lang w:val="en-US"/>
        </w:rPr>
        <w:fldChar w:fldCharType="end"/>
      </w:r>
      <w:r w:rsidRPr="00BF0ED0">
        <w:rPr>
          <w:rFonts w:ascii="Book Antiqua" w:hAnsi="Book Antiqua" w:cs="Times New Roman"/>
          <w:sz w:val="24"/>
          <w:szCs w:val="24"/>
          <w:lang w:val="en-US"/>
        </w:rPr>
        <w:t xml:space="preserve">, </w:t>
      </w:r>
      <w:r w:rsidRPr="00BF0ED0">
        <w:rPr>
          <w:rFonts w:ascii="Book Antiqua" w:hAnsi="Book Antiqua" w:cs="Times New Roman"/>
          <w:color w:val="0D0D0D"/>
          <w:sz w:val="24"/>
          <w:szCs w:val="24"/>
          <w:lang w:val="en-US"/>
        </w:rPr>
        <w:t xml:space="preserve">who </w:t>
      </w:r>
      <w:r w:rsidRPr="00BF0ED0">
        <w:rPr>
          <w:rFonts w:ascii="Book Antiqua" w:hAnsi="Book Antiqua" w:cs="Times New Roman"/>
          <w:color w:val="212121"/>
          <w:sz w:val="24"/>
          <w:szCs w:val="24"/>
          <w:lang w:val="en-US"/>
        </w:rPr>
        <w:t xml:space="preserve">evaluated 50 partners </w:t>
      </w:r>
      <w:r w:rsidRPr="00BF0ED0">
        <w:rPr>
          <w:rFonts w:ascii="Book Antiqua" w:hAnsi="Book Antiqua" w:cs="Times New Roman"/>
          <w:color w:val="212121"/>
          <w:sz w:val="24"/>
          <w:szCs w:val="24"/>
          <w:lang w:val="en-US"/>
        </w:rPr>
        <w:lastRenderedPageBreak/>
        <w:t xml:space="preserve">of patients with positive anti-HCV in serum and found a </w:t>
      </w:r>
      <w:r w:rsidR="002542A6" w:rsidRPr="00BF0ED0">
        <w:rPr>
          <w:rFonts w:ascii="Book Antiqua" w:hAnsi="Book Antiqua" w:cs="Times New Roman"/>
          <w:color w:val="212121"/>
          <w:sz w:val="24"/>
          <w:szCs w:val="24"/>
          <w:lang w:val="en-US" w:eastAsia="zh-CN"/>
        </w:rPr>
        <w:t>about</w:t>
      </w:r>
      <w:r w:rsidRPr="00BF0ED0">
        <w:rPr>
          <w:rFonts w:ascii="Book Antiqua" w:hAnsi="Book Antiqua" w:cs="Times New Roman"/>
          <w:color w:val="212121"/>
          <w:sz w:val="24"/>
          <w:szCs w:val="24"/>
          <w:lang w:val="en-US"/>
        </w:rPr>
        <w:t xml:space="preserve"> 4% prevalence rate for OCI, higher than expected in the general population.</w:t>
      </w:r>
    </w:p>
    <w:p w14:paraId="537C9E24" w14:textId="28698613"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addition to the exclusion of patients with glomerulopathies (since this group may present a prevalence of OCI of up to 39%), our results are strengthened by the fact that two techniques were used to identify OCI</w:t>
      </w:r>
      <w:r w:rsidRPr="00BF0ED0">
        <w:rPr>
          <w:rFonts w:ascii="Book Antiqua" w:hAnsi="Book Antiqua"/>
        </w:rPr>
        <w:sym w:font="Symbol" w:char="F0BE"/>
      </w:r>
      <w:r w:rsidRPr="00BF0ED0">
        <w:rPr>
          <w:rFonts w:ascii="Book Antiqua" w:hAnsi="Book Antiqua"/>
        </w:rPr>
        <w:t xml:space="preserve">both the serum ultracentrifugation and the identification of the viral genome in PBMCs, which increases the chance of detection of OCI. In fact, Castillo </w:t>
      </w:r>
      <w:r w:rsidRPr="00BF0ED0">
        <w:rPr>
          <w:rFonts w:ascii="Book Antiqua" w:hAnsi="Book Antiqua"/>
          <w:i/>
        </w:rPr>
        <w:t>et al</w:t>
      </w:r>
      <w:r w:rsidRPr="00BF0ED0">
        <w:rPr>
          <w:rFonts w:ascii="Book Antiqua" w:hAnsi="Book Antiqua"/>
        </w:rPr>
        <w:fldChar w:fldCharType="begin" w:fldLock="1"/>
      </w:r>
      <w:r w:rsidR="00292AFA" w:rsidRPr="00BF0ED0">
        <w:rPr>
          <w:rFonts w:ascii="Book Antiqua" w:hAnsi="Book Antiqua"/>
        </w:rPr>
        <w:instrText>ADDIN CSL_CITATION {"citationItems":[{"id":"ITEM-1","itemData":{"DOI":"10.1038/ki.2014.68","ISSN":"00852538","PMID":"24646855","abstract":"The association of hepatitis C virus (HCV) infection and glomerulonephritis is well known. However, the relationship between immune-mediated glomerulonephritis and occult HCV, characterized by the presence of HCV-RNA in liver or in peripheral blood mononuclear cells in the absence of serological markers, is unknown. We tested this in 113 anti-HCV-negative patients; 87 with immune-mediated glomerulonephritis and 26 controls with hereditary glomerular nephropathies. All patients were serum HCV-RNA negative by conventional real-time PCR. Significantly, occult HCV-RNA (detectable viral RNA in peripheral blood mononuclear cells or in serum after ultracentrifugation) was found in 34 of 87 patients with immune-mediated glomerulonephritis versus 1 of 26 control patients. The serum creatinine levels were significantly higher in patients with immune-mediated glomerulonephritis with than in those without occult HCV (1.5 versus 1.1 mg/dl, respectively). A multivariate analysis adjusted for gender showed a significantly increased risk of occult HCV in patients with immune-mediated glomerulonephritis versus the controls (odds ratio of 13.29). Progression to end-stage renal disease tended to be faster in patients with immune-mediated glomerulonephritis and occult HCV than in the negative cases. Thus, occult HCV is strongly associated with immune-mediated glomerulonephritis and may have a role in the progression of the disease.Kidney International advance online publication, 19 March 2014; doi:10.1038/ki.2014.68.","author":[{"dropping-particle":"","family":"Castillo","given":"Inmaculada","non-dropping-particle":"","parse-names":false,"suffix":""},{"dropping-particle":"","family":"Martinez-Ara","given":"Jorge","non-dropping-particle":"","parse-names":false,"suffix":""},{"dropping-particle":"","family":"Olea","given":"Teresa","non-dropping-particle":"","parse-names":false,"suffix":""},{"dropping-particle":"","family":"Bartolomé","given":"Javier","non-dropping-particle":"","parse-names":false,"suffix":""},{"dropping-particle":"","family":"Madero","given":"Rosario","non-dropping-particle":"","parse-names":false,"suffix":""},{"dropping-particle":"","family":"Hernández","given":"Eduardo","non-dropping-particle":"","parse-names":false,"suffix":""},{"dropping-particle":"","family":"Bernis","given":"Carmen","non-dropping-particle":"","parse-names":false,"suffix":""},{"dropping-particle":"","family":"Aguilar","given":"Ana","non-dropping-particle":"","parse-names":false,"suffix":""},{"dropping-particle":"","family":"Quiroga","given":"Juan a","non-dropping-particle":"","parse-names":false,"suffix":""},{"dropping-particle":"","family":"Carreño","given":"Vicente","non-dropping-particle":"","parse-names":false,"suffix":""},{"dropping-particle":"","family":"Selgas","given":"Rafael","non-dropping-particle":"","parse-names":false,"suffix":""}],"container-title":"Kidney International","id":"ITEM-1","issue":"3","issued":{"date-parts":[["2014","9","19"]]},"page":"619-624","title":"High prevalence of occult hepatitis C virus infection in patients with primary and secondary glomerular nephropathies","type":"article-journal","volume":"86"},"uris":["http://www.mendeley.com/documents/?uuid=684fdb11-7672-4879-b418-3ff53a131479"]}],"mendeley":{"formattedCitation":"&lt;sup&gt;[5]&lt;/sup&gt;","plainTextFormattedCitation":"[5]","previouslyFormattedCitation":"&lt;sup&gt;[5]&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[5]</w:t>
      </w:r>
      <w:r w:rsidRPr="00BF0ED0">
        <w:rPr>
          <w:rFonts w:ascii="Book Antiqua" w:hAnsi="Book Antiqua"/>
        </w:rPr>
        <w:fldChar w:fldCharType="end"/>
      </w:r>
      <w:r w:rsidRPr="00BF0ED0">
        <w:rPr>
          <w:rFonts w:ascii="Book Antiqua" w:hAnsi="Book Antiqua"/>
        </w:rPr>
        <w:t xml:space="preserve"> demonstrated that positivity for HCV in PBMCs by PCR corresponded to 82% of positive cases for OCI; in addition, when using ultracentrifugation, the number of positive patients increased. In none of the cases of that study was the examination of OCI positive by both techniques.</w:t>
      </w:r>
    </w:p>
    <w:p w14:paraId="6ECBB673"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our study, OCI was associated with age, mixed etiology CKD, and positivity for HBV antibodies (anti-HB</w:t>
      </w:r>
      <w:r w:rsidRPr="00BF0ED0">
        <w:rPr>
          <w:rFonts w:ascii="Book Antiqua" w:hAnsi="Book Antiqua"/>
          <w:color w:val="0D0D0D"/>
        </w:rPr>
        <w:t>c and anti-HBs), suggesting previous infection.</w:t>
      </w:r>
    </w:p>
    <w:p w14:paraId="18233EC9" w14:textId="26D1562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Certainly, older patients are more exposed to contamination during their longer lifetimes. These patients also have more comorbidities, as described in a meta-analysis published in 2016 by Alvarez </w:t>
      </w:r>
      <w:r w:rsidRPr="00BF0ED0">
        <w:rPr>
          <w:rFonts w:ascii="Book Antiqua" w:hAnsi="Book Antiqua"/>
          <w:i/>
        </w:rPr>
        <w:t>et al</w:t>
      </w:r>
      <w:r w:rsidRPr="00BF0ED0">
        <w:rPr>
          <w:rFonts w:ascii="Book Antiqua" w:hAnsi="Book Antiqua"/>
        </w:rPr>
        <w:fldChar w:fldCharType="begin" w:fldLock="1"/>
      </w:r>
      <w:r w:rsidR="00ED3062" w:rsidRPr="00BF0ED0">
        <w:rPr>
          <w:rFonts w:ascii="Book Antiqua" w:hAnsi="Book Antiqua"/>
        </w:rPr>
        <w:instrText>ADDIN CSL_CITATION {"citationItems":[{"id":"ITEM-1","itemData":{"DOI":"10.1007/s11908-016-0518-9","ISBN":"1523-3847 (Print)\\r1523-3847","ISSN":"1523-3847","PMID":"26915098","abstract":"Hepatitis C virus (HCV) infection is a significant cause of morbidity and mortality worldwide. The magnitude of the HCV burden has previously been the subject of debate, as representative data tend to exclude high-risk populations, including institutionalized persons. The purpose of this systematic review and meta-analysis was to estimate the prevalence of HCV infection among older adults in long-term care (LTC) and assess factors associated with the prevalence of HCV in this setting. The Preferred Reporting Items for Systematic Review and Meta-Analyses checklist was used as the methodological guide. Two reviewers independently assessed the study quality using a validated modified quality assessment tool. Six articles met inclusion criteria; the majority were cross-sectional studies (83.3 %) designed to estimate HCV infection prevalence rates and identify associated risk factors. HCV prevalence ranged from 1.4 to 11.8 %. A pooled HCV infection prevalence of 3.3 % (95 % confidence interval: 1.5-7.2 %) was estimated based on 1920 LTC residents with substantial heterogeneity noted (Q = 51.1, p &lt; 0.001; I (2) = 90.2). Three of six studies reported statistically significant factors associated with an increased risk for HCV infection, including older age, female gender, history of blood transfusions, short duration of LTC residence, and hepatitis B virus positivity. This study reports a higher prevalence of HCV infection among older adults in LTC settings compared to community-dwelling older adults; however, accurate estimation of prevalence is limited by heterogeneity between and within studies, variation in sampling and recruitment methodologies, and absence of the HCV-RNA test to confirm active infection.","author":[{"dropping-particle":"","family":"Alvarez","given":"Kimberly J","non-dropping-particle":"","parse-names":false,"suffix":""},{"dropping-particle":"","family":"Smaldone","given":"Arlene","non-dropping-particle":"","parse-names":false,"suffix":""},{"dropping-particle":"","family":"Larson","given":"Elaine L","non-dropping-particle":"","parse-names":false,"suffix":""}],"container-title":"Current Infectious Disease Reports","id":"ITEM-1","issue":"4","issued":{"date-parts":[["2016","4","25"]]},"page":"13","title":"Burden of Hepatitis C Virus Infection Among Older Adults in Long-Term Care Settings: a Systematic Review of the Literature and Meta-Analysis","type":"article-journal","volume":"18"},"uris":["http://www.mendeley.com/documents/?uuid=09be3077-71a1-4f65-9fe2-cc1b8fe6c081"]}],"mendeley":{"formattedCitation":"&lt;sup&gt;[26]&lt;/sup&gt;","plainTextFormattedCitation":"[26]","previouslyFormattedCitation":"&lt;sup&gt;[26]&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[26]</w:t>
      </w:r>
      <w:r w:rsidRPr="00BF0ED0">
        <w:rPr>
          <w:rFonts w:ascii="Book Antiqua" w:hAnsi="Book Antiqua"/>
        </w:rPr>
        <w:fldChar w:fldCharType="end"/>
      </w:r>
      <w:r w:rsidRPr="00BF0ED0">
        <w:rPr>
          <w:rFonts w:ascii="Book Antiqua" w:hAnsi="Book Antiqua"/>
        </w:rPr>
        <w:t>. Age has been characterized as an independent risk factor for acquisition of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{"citationItems":[{"id":"ITEM-1","itemData":{"ISSN":"15423565","author":[{"dropping-particle":"","family":"Mindikoglu","given":"Ayse L.","non-dropping-particle":"","parse-names":false,"suffix":""},{"dropping-particle":"","family":"Miller","given":"Ram R.","non-dropping-particle":"","parse-names":false,"suffix":""}],"container-title":"Clinical Gastroenterology and Hepatology","id":"ITEM-1","issue":"2","issued":{"date-parts":[["2009","2"]]},"page":"128-134","title":"Hepatitis C in the Elderly: Epidemiology, Natural History, and Treatment","type":"article-journal","volume":"7"},"uris":["http://www.mendeley.com/documents/?uuid=086b6a75-434c-4731-9c8c-594ed89421d8"]}],"mendeley":{"formattedCitation":"&lt;sup&gt;[27]&lt;/sup&gt;","plainTextFormattedCitation":"[27]","previouslyFormattedCitation":"&lt;sup&gt;[27]&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[27]</w:t>
      </w:r>
      <w:r w:rsidRPr="00BF0ED0">
        <w:rPr>
          <w:rFonts w:ascii="Book Antiqua" w:hAnsi="Book Antiqua"/>
        </w:rPr>
        <w:fldChar w:fldCharType="end"/>
      </w:r>
      <w:r w:rsidRPr="00BF0ED0">
        <w:rPr>
          <w:rFonts w:ascii="Book Antiqua" w:hAnsi="Book Antiqua"/>
        </w:rPr>
        <w:t xml:space="preserve">. In addition, a North American study found that </w:t>
      </w:r>
      <w:r w:rsidR="002542A6" w:rsidRPr="00BF0ED0">
        <w:rPr>
          <w:rFonts w:ascii="Book Antiqua" w:eastAsiaTheme="minorEastAsia" w:hAnsi="Book Antiqua"/>
          <w:lang w:eastAsia="zh-CN"/>
        </w:rPr>
        <w:t>about</w:t>
      </w:r>
      <w:r w:rsidRPr="00BF0ED0">
        <w:rPr>
          <w:rFonts w:ascii="Book Antiqua" w:hAnsi="Book Antiqua"/>
        </w:rPr>
        <w:t xml:space="preserve"> 75% of HCV-infected patients were born between the years of 1945 and 1965, representing the so-called Baby Boomer generation</w:t>
      </w:r>
      <w:r w:rsidRPr="00BF0ED0">
        <w:rPr>
          <w:rFonts w:ascii="Book Antiqua" w:hAnsi="Book Antiqua"/>
        </w:rPr>
        <w:fldChar w:fldCharType="begin" w:fldLock="1"/>
      </w:r>
      <w:r w:rsidR="00ED3062" w:rsidRPr="00BF0ED0">
        <w:rPr>
          <w:rFonts w:ascii="Book Antiqua" w:hAnsi="Book Antiqua"/>
        </w:rPr>
        <w:instrText>ADDIN CSL_CITATION {"citationItems":[{"id":"ITEM-1","itemData":{"DOI":"rr6104a1 [pii]","ISBN":"1545-8601","ISSN":"1545-8601","PMID":"22895429","abstract":"Hepatitis C virus (HCV) is an increasing cause of morbidity and mortality in the United States. Many of the 2.7-3.9 million persons living with HCV infection are unaware they are infected and do not receive care (e.g., education, counseling, and medical monitoring) and treatment. CDC estimates that although persons born during 1945-1965 comprise an estimated 27% of the population, they account for approximately three fourths of all HCV infections in the United States, 73% of HCV-associated mortality, and are at greatest risk for hepatocellular carcinoma and other HCV-related liver disease. With the advent of new therapies that can halt disease progression and provide a virologic cure (i.e., sustained viral clearance following completion of treatment) in most persons, targeted testing and linkage to care for infected persons in this birth cohort is expected to reduce HCV-related morbidity and mortality. CDC is augmenting previous recommendations for HCV testing (CDC. Recommendations for prevention and control of hepatitis C virus (HCV) infection and HCV-related chronic disease. MMWR 1998;47[No. RR-19]) to recommend one-time testing without prior ascertainment of HCV risk for persons born during 1945-1965, a population with a disproportionately high prevalence of HCV infection and related disease. Persons identified as having HCV infection should receive a brief screening for alcohol use and intervention as clinically indicated, followed by referral to appropriate care for HCV infection and related conditions. These recommendations do not replace previous guidelines for HCV testing that are based on known risk factors and clinical indications. Rather, they define an additional target population for testing: persons born during 1945-1965. CDC developed these recommendations with the assistance of a work group representing diverse expertise and perspectives. The recommendations are informed by the Grading of Recommendations Assessment, Development, and Evaluation (GRADE) framework, an approach that provides guidance and tools to define the research questions, conduct the systematic review, assess the overall quality of the evidence, and determine strength of the recommendations. This report is intended to serve as a resource for health-care professionals, public health officials, and organizations involved in the development, implementation, and evaluation of prevention and clinical services. These recommendations will be reviewed every 5 years and updated …","author":[{"dropping-particle":"","family":"Smith","given":"Bryce D","non-dropping-particle":"","parse-names":false,"suffix":""},{"dropping-particle":"","family":"Morgan","given":"Rebecca L","non-dropping-particle":"","parse-names":false,"suffix":""},{"dropping-particle":"","family":"Beckett","given":"Geoff a","non-dropping-particle":"","parse-names":false,"suffix":""},{"dropping-particle":"","family":"Falck-Ytter","given":"Yngve","non-dropping-particle":"","parse-names":false,"suffix":""},{"dropping-particle":"","family":"Holtzman","given":"Deborah","non-dropping-particle":"","parse-names":false,"suffix":""},{"dropping-particle":"","family":"Teo","given":"Chong-Gee","non-dropping-particle":"","parse-names":false,"suffix":""},{"dropping-particle":"","family":"Jewett","given":"Amy","non-dropping-particle":"","parse-names":false,"suffix":""},{"dropping-particle":"","family":"Baack","given":"Brittney","non-dropping-particle":"","parse-names":false,"suffix":""},{"dropping-particle":"","family":"Rein","given":"David B","non-dropping-particle":"","parse-names":false,"suffix":""},{"dropping-particle":"","family":"Patel","given":"Nita","non-dropping-particle":"","parse-names":false,"suffix":""},{"dropping-particle":"","family":"Alter","given":"Miriam","non-dropping-particle":"","parse-names":false,"suffix":""},{"dropping-particle":"","family":"Yartel","given":"Anthony","non-dropping-particle":"","parse-names":false,"suffix":""},{"dropping-particle":"","family":"Ward","given":"John W","non-dropping-particle":"","parse-names":false,"suffix":""}],"container-title":"Morbidity and mortality weekly report","id":"ITEM-1","issue":"RR-4","issued":{"date-parts":[["2012"]]},"page":"1-32","title":"Recommendations for the identification of chronic hepatitis C virus infection among persons born during 1945-1965.","type":"article-journal","volume":"61"},"uris":["http://www.mendeley.com/documents/?uuid=62280be1-abb4-4c94-9fdb-1716a61c9d9e"]}],"mendeley":{"formattedCitation":"&lt;sup&gt;[28]&lt;/sup&gt;","plainTextFormattedCitation":"[28]","previouslyFormattedCitation":"&lt;sup&gt;[28]&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[28]</w:t>
      </w:r>
      <w:r w:rsidRPr="00BF0ED0">
        <w:rPr>
          <w:rFonts w:ascii="Book Antiqua" w:hAnsi="Book Antiqua"/>
        </w:rPr>
        <w:fldChar w:fldCharType="end"/>
      </w:r>
      <w:r w:rsidRPr="00BF0ED0">
        <w:rPr>
          <w:rFonts w:ascii="Book Antiqua" w:hAnsi="Book Antiqua"/>
        </w:rPr>
        <w:t>.</w:t>
      </w:r>
    </w:p>
    <w:p w14:paraId="1B2C52CE" w14:textId="0364CB12"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Patients with CKD of mixed etiology are reported to have more comorbidities and, therefore, have greater chance of exposures to other diseased patients, such as those infected with hepatitis, in hospital settings and to diagnostic and therapeutic procedures, all known risk factors for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{"citationItems":[{"id":"ITEM-1","itemData":{"DOI":"10.1016/j.jhep.2007.07.031","ISBN":"0168-8278; 0168-8278","ISSN":"01688278","PMID":"17998149","abstract":"Background/Aims: Isolated cases of acute hepatitis C, as well as hepatitis C outbreaks transmitted by health-care related procedures, have drawn attention to nosocomial transmission of HCV. The aim of this study was to investigate the current relevance of nosocomial HCV infection. Methods: For this purpose, we performed a retrospective epidemiological analysis of all cases of acute hepatitis C diagnosed in 18 Spanish hospitals. Between 1998 and 2005, 109 cases were documented. Results: The most relevant risk factors registered during the 6-month period preceding the diagnosis of acute hepatitis C were: hospital admission in 73 (67%) cases, intravenous drug use in 9 (8%), accidental needlestick injury in 7 (6%) and sexual contact in 6 (5%). Among the 73 patients in whom hospital admission was the only risk factor, 33 underwent surgery and 24 were admitted to a medical emergency unit or a medical ward; the remaining 16 patients underwent an invasive diagnostic or therapeutic procedure. Sixty two patients underwent antiviral therapy and 51 (82%) achieved a sustained virological response. In 47 patients treatment was not indicated (in 24 due to spontaneous resolution of HCV infection). Conclusions: In most patients with acute hepatitis C the only documented risk factor associated with the infection is hospital admission. These results stress the need for strict adherence to universal precaution measures. Fortunately, most cases of acute hepatitis C either resolve spontaneously or after antiviral therapy. © 2007 European Association for the Study of the Liver.","author":[{"dropping-particle":"","family":"Martínez-Bauer","given":"Eva","non-dropping-particle":"","parse-names":false,"suffix":""},{"dropping-particle":"","family":"Forns","given":"Xavier","non-dropping-particle":"","parse-names":false,"suffix":""},{"dropping-particle":"","family":"Armelles","given":"Mercé","non-dropping-particle":"","parse-names":false,"suffix":""},{"dropping-particle":"","family":"Planas","given":"Ramon","non-dropping-particle":"","parse-names":false,"suffix":""},{"dropping-particle":"","family":"Solà","given":"Ricard","non-dropping-particle":"","parse-names":false,"suffix":""},{"dropping-particle":"","family":"Vergara","given":"Mercé","non-dropping-particle":"","parse-names":false,"suffix":""},{"dropping-particle":"","family":"Fàbregas","given":"Silvia","non-dropping-particle":"","parse-names":false,"suffix":""},{"dropping-particle":"","family":"Vega","given":"Roser","non-dropping-particle":"","parse-names":false,"suffix":""},{"dropping-particle":"","family":"Salmerón","given":"Javier","non-dropping-particle":"","parse-names":false,"suffix":""},{"dropping-particle":"","family":"Diago","given":"Moisés","non-dropping-particle":"","parse-names":false,"suffix":""},{"dropping-particle":"","family":"Sánchez-Tapias","given":"Jose María","non-dropping-particle":"","parse-names":false,"suffix":""},{"dropping-particle":"","family":"Bruguera","given":"Miquel","non-dropping-particle":"","parse-names":false,"suffix":""}],"container-title":"Journal of Hepatology","id":"ITEM-1","issue":"1","issued":{"date-parts":[["2008"]]},"page":"20-27","title":"Hospital admission is a relevant source of hepatitis C virus acquisition in Spain","type":"article-journal","volume":"48"},"uris":["http://www.mendeley.com/documents/?uuid=fd903368-22dd-42d2-b440-6f1aaacdc6ae"]}],"mendeley":{"formattedCitation":"&lt;sup&gt;[29]&lt;/sup&gt;","plainTextFormattedCitation":"[29]","previouslyFormattedCitation":"&lt;sup&gt;[29]&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[29]</w:t>
      </w:r>
      <w:r w:rsidRPr="00BF0ED0">
        <w:rPr>
          <w:rFonts w:ascii="Book Antiqua" w:hAnsi="Book Antiqua"/>
        </w:rPr>
        <w:fldChar w:fldCharType="end"/>
      </w:r>
      <w:r w:rsidRPr="00BF0ED0">
        <w:rPr>
          <w:rFonts w:ascii="Book Antiqua" w:hAnsi="Book Antiqua"/>
        </w:rPr>
        <w:t xml:space="preserve">. In fact, a case-control study conducted by Perez </w:t>
      </w:r>
      <w:r w:rsidRPr="00BF0ED0">
        <w:rPr>
          <w:rFonts w:ascii="Book Antiqua" w:hAnsi="Book Antiqua"/>
          <w:i/>
        </w:rPr>
        <w:t>et al</w:t>
      </w:r>
      <w:r w:rsidRPr="00BF0ED0">
        <w:rPr>
          <w:rFonts w:ascii="Book Antiqua" w:hAnsi="Book Antiqua"/>
        </w:rPr>
        <w:fldChar w:fldCharType="begin" w:fldLock="1"/>
      </w:r>
      <w:r w:rsidR="00ED3062" w:rsidRPr="00BF0ED0">
        <w:rPr>
          <w:rFonts w:ascii="Book Antiqua" w:hAnsi="Book Antiqua"/>
        </w:rPr>
        <w:instrText>ADDIN CSL_CITATION {"citationItems":[{"id":"ITEM-1","itemData":{"DOI":"10.1002/hep.25688","ISBN":"0270-9139","ISSN":"02709139","PMID":"22383058","abstract":"Reports of hepatitis B virus (HBV) and hepatitis C virus (HCV) transmission associated with unsafe medical practices have been increasing in the United States. However, the contribution of healthcare exposures to the burden of new infections is poorly understood outside of recognized outbreaks. We conducted a case-control study at three health departments that perform enhanced viral hepatitis surveillance in New York and Oregon. Reported cases of symptomatic acute hepatitis B and hepatitis C occurring in persons ≥55 years of age from 2006 to 2008 were enrolled. Controls were identified using telephone directories and matched to individual cases by age group (55-59, 60-69, and ≥70 years) and residential postal code. Data collection covered exposures within 6 months before symptom onset (cases) or date of interview (controls). Forty-eight (37 hepatitis B and 11 hepatitis C) case and 159 control patients were enrolled. Case patients were more likely than controls to report one or more behavioral risk exposures, including sexual or household contact with an HBV or HCV patient, &gt;1 sex partner, illicit drug use, or incarceration (21% of cases versus 4% of controls exposed; matched odds ratio [mOR] = 7.1; 95% confidence interval [CI]: 2.1, 24.1). Case patients were more likely than controls to report hemodialysis (8% of cases; mOR = 13.0; 95% CI: 1.5, 115), injections in a healthcare setting (58%; mOR = 2.7; 95% CI: 1.3, 5.3), and surgery (33%; mOR = 2.3; 95% CI: 1.1, 4.7). In a multivariate model, behavioral risks (adjusted OR [aOR] = 5.4; 95% CI: 1.5, 19.0; 17% attributable risk), injections (aOR = 2.7; 95% CI: 1.3, 5.8; 37% attributable risk), and hemodialysis (aOR = 11.5; 95% CI: 1.2, 107; 8% attributable risk) were associated with case status. Conclusion: Healthcare exposures may represent an important source of new HBV and HCV infections among older adults. (HEPATOLOGY 2012).","author":[{"dropping-particle":"","family":"Perz","given":"Joseph F.","non-dropping-particle":"","parse-names":false,"suffix":""},{"dropping-particle":"","family":"Grytdal","given":"Scott","non-dropping-particle":"","parse-names":false,"suffix":""},{"dropping-particle":"","family":"Beck","given":"Suzanne","non-dropping-particle":"","parse-names":false,"suffix":""},{"dropping-particle":"","family":"Fireteanu","given":"Ana Maria","non-dropping-particle":"","parse-names":false,"suffix":""},{"dropping-particle":"","family":"Poissant","given":"Tasha","non-dropping-particle":"","parse-names":false,"suffix":""},{"dropping-particle":"","family":"Rizzo","given":"Elena","non-dropping-particle":"","parse-names":false,"suffix":""},{"dropping-particle":"","family":"Bornschlegel","given":"Katherine","non-dropping-particle":"","parse-names":false,"suffix":""},{"dropping-particle":"","family":"Thomas","given":"Ann","non-dropping-particle":"","parse-names":false,"suffix":""},{"dropping-particle":"","family":"Balter","given":"Sharon","non-dropping-particle":"","parse-names":false,"suffix":""},{"dropping-particle":"","family":"Miller","given":"Jeremy","non-dropping-particle":"","parse-names":false,"suffix":""},{"dropping-particle":"","family":"Klevens","given":"R. Monina","non-dropping-particle":"","parse-names":false,"suffix":""},{"dropping-particle":"","family":"Finelli","given":"Lyn","non-dropping-particle":"","parse-names":false,"suffix":""}],"container-title":"Hepatology","id":"ITEM-1","issue":"3","issued":{"date-parts":[["2013","3"]]},"page":"917-924","title":"Case-control study of hepatitis B and hepatitis C in older adults: Do healthcare exposures contribute to burden of new infections?","type":"article-journal","volume":"57"},"uris":["http://www.mendeley.com/documents/?uuid=46c75808-f238-476e-b5aa-1e2166d8fc49"]}],"mendeley":{"formattedCitation":"&lt;sup&gt;[30]&lt;/sup&gt;","plainTextFormattedCitation":"[30]","previouslyFormattedCitation":"&lt;sup&gt;[30]&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[30]</w:t>
      </w:r>
      <w:r w:rsidRPr="00BF0ED0">
        <w:rPr>
          <w:rFonts w:ascii="Book Antiqua" w:hAnsi="Book Antiqua"/>
        </w:rPr>
        <w:fldChar w:fldCharType="end"/>
      </w:r>
      <w:r w:rsidRPr="00BF0ED0">
        <w:rPr>
          <w:rFonts w:ascii="Book Antiqua" w:hAnsi="Book Antiqua"/>
        </w:rPr>
        <w:t xml:space="preserve"> in the United States, involving acute and symptomatic HCV infections in individuals over 55 years of age, found that exposure in a healthcare environment with intravenous drug infusion was related to a higher risk of HCV infection; namely, 2.7-fold </w:t>
      </w:r>
      <w:r w:rsidRPr="00BF0ED0">
        <w:rPr>
          <w:rFonts w:ascii="Book Antiqua" w:hAnsi="Book Antiqua"/>
        </w:rPr>
        <w:lastRenderedPageBreak/>
        <w:t>higher than in the controls, with risk attributable to exposure of 37% (</w:t>
      </w:r>
      <w:r w:rsidR="00BC0C6A" w:rsidRPr="00BF0ED0">
        <w:rPr>
          <w:rFonts w:ascii="Book Antiqua" w:eastAsiaTheme="minorEastAsia" w:hAnsi="Book Antiqua"/>
          <w:lang w:eastAsia="zh-CN"/>
        </w:rPr>
        <w:t>OR =</w:t>
      </w:r>
      <w:r w:rsidRPr="00BF0ED0">
        <w:rPr>
          <w:rFonts w:ascii="Book Antiqua" w:hAnsi="Book Antiqua"/>
        </w:rPr>
        <w:t xml:space="preserve"> 2.7, 95%</w:t>
      </w:r>
      <w:r w:rsidR="00BC0C6A" w:rsidRPr="00BF0ED0">
        <w:rPr>
          <w:rFonts w:ascii="Book Antiqua" w:eastAsiaTheme="minorEastAsia" w:hAnsi="Book Antiqua"/>
          <w:lang w:eastAsia="zh-CN"/>
        </w:rPr>
        <w:t>CI</w:t>
      </w:r>
      <w:r w:rsidRPr="00BF0ED0">
        <w:rPr>
          <w:rFonts w:ascii="Book Antiqua" w:hAnsi="Book Antiqua"/>
        </w:rPr>
        <w:t>: 1.3-5.8).</w:t>
      </w:r>
    </w:p>
    <w:p w14:paraId="0E715BA4" w14:textId="6493726F"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our study, patients with OCI showed a higher frequency of positivity for anti-HBc and anti-HBs, when compared to those not infected. It is also known that patients with HCV infection present a higher chance of HBV contamination, since the risk factors for transmission of these infections are similar</w:t>
      </w:r>
      <w:r w:rsidRPr="00BF0ED0">
        <w:rPr>
          <w:rFonts w:ascii="Book Antiqua" w:hAnsi="Book Antiqua"/>
        </w:rPr>
        <w:fldChar w:fldCharType="begin" w:fldLock="1"/>
      </w:r>
      <w:r w:rsidR="00ED3062" w:rsidRPr="00BF0ED0">
        <w:rPr>
          <w:rFonts w:ascii="Book Antiqua" w:hAnsi="Book Antiqua"/>
        </w:rPr>
        <w:instrText>ADDIN CSL_CITATION {"citationItems":[{"id":"ITEM-1","itemData":{"DOI":"10.1086/383155","ISSN":"1058-4838","author":[{"dropping-particle":"","family":"Cooper","given":"C.","non-dropping-particle":"","parse-names":false,"suffix":""},{"dropping-particle":"","family":"Kilby","given":"D.","non-dropping-particle":"","parse-names":false,"suffix":""}],"container-title":"Clinical Infectious Diseases","id":"ITEM-1","issue":"9","issued":{"date-parts":[["2004","5","1"]]},"page":"1335-1337","title":"Clinical Significance of Hepatitis B Core Antibody Positivity in HCV-Infected and HCV/HIV Coinfected Individuals","type":"article-journal","volume":"38"},"uris":["http://www.mendeley.com/documents/?uuid=3c465983-46b0-4497-9aa7-8e55a5fa254f"]}],"mendeley":{"formattedCitation":"&lt;sup&gt;[31]&lt;/sup&gt;","plainTextFormattedCitation":"[31]","previouslyFormattedCitation":"&lt;sup&gt;[31]&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[31]</w:t>
      </w:r>
      <w:r w:rsidRPr="00BF0ED0">
        <w:rPr>
          <w:rFonts w:ascii="Book Antiqua" w:hAnsi="Book Antiqua"/>
        </w:rPr>
        <w:fldChar w:fldCharType="end"/>
      </w:r>
      <w:r w:rsidRPr="00BF0ED0">
        <w:rPr>
          <w:rFonts w:ascii="Book Antiqua" w:hAnsi="Book Antiqua"/>
        </w:rPr>
        <w:t xml:space="preserve">. </w:t>
      </w:r>
    </w:p>
    <w:p w14:paraId="2DD55BE6" w14:textId="77777777" w:rsidR="001835B3" w:rsidRPr="00BF0ED0" w:rsidRDefault="001835B3" w:rsidP="00484E7F">
      <w:pPr>
        <w:adjustRightInd w:val="0"/>
        <w:snapToGrid w:val="0"/>
        <w:spacing w:line="360" w:lineRule="auto"/>
        <w:ind w:firstLine="720"/>
        <w:jc w:val="both"/>
        <w:rPr>
          <w:rFonts w:ascii="Book Antiqua" w:hAnsi="Book Antiqua"/>
          <w:color w:val="0D0D0D"/>
        </w:rPr>
      </w:pPr>
      <w:r w:rsidRPr="00BF0ED0">
        <w:rPr>
          <w:rFonts w:ascii="Book Antiqua" w:hAnsi="Book Antiqua"/>
        </w:rPr>
        <w:t xml:space="preserve">Our study had some limitations that must be considered when interpreting our findings. Specifically, by not quantifying the viral load and not genotyping the patients, the epidemiological and transmissibility factors could not be determined for our study population of </w:t>
      </w:r>
      <w:r w:rsidRPr="00BF0ED0">
        <w:rPr>
          <w:rFonts w:ascii="Book Antiqua" w:hAnsi="Book Antiqua"/>
          <w:color w:val="0D0D0D"/>
        </w:rPr>
        <w:t>patients with OCI.</w:t>
      </w:r>
    </w:p>
    <w:p w14:paraId="6D335EAB" w14:textId="7DA46CED" w:rsidR="001835B3" w:rsidRPr="00BF0ED0" w:rsidRDefault="001835B3" w:rsidP="00484E7F">
      <w:pPr>
        <w:adjustRightInd w:val="0"/>
        <w:snapToGrid w:val="0"/>
        <w:spacing w:line="360" w:lineRule="auto"/>
        <w:ind w:firstLine="720"/>
        <w:jc w:val="both"/>
        <w:rPr>
          <w:rFonts w:ascii="Book Antiqua" w:hAnsi="Book Antiqua"/>
          <w:color w:val="0D0D0D"/>
        </w:rPr>
      </w:pPr>
      <w:r w:rsidRPr="00BF0ED0">
        <w:rPr>
          <w:rFonts w:ascii="Book Antiqua" w:hAnsi="Book Antiqua"/>
        </w:rPr>
        <w:t>The reasons underlying the emergence of the occult form of HCV infection are not known. We can speculate that virus-related factors may be involved in this form of infection, as described in genomic studies where genetic variations between different viral strains of HCV constitute a mechanism of viral survival, contributing to their pathogenicity and resistance to the host's immune system</w:t>
      </w:r>
      <w:r w:rsidRPr="00BF0ED0">
        <w:rPr>
          <w:rFonts w:ascii="Book Antiqua" w:hAnsi="Book Antiqua"/>
        </w:rPr>
        <w:fldChar w:fldCharType="begin" w:fldLock="1"/>
      </w:r>
      <w:r w:rsidR="00ED3062" w:rsidRPr="00BF0ED0">
        <w:rPr>
          <w:rFonts w:ascii="Book Antiqua" w:hAnsi="Book Antiqua"/>
        </w:rPr>
        <w:instrText>ADDIN CSL_CITATION {"citationItems":[{"id":"ITEM-1","itemData":{"DOI":"10.1155/2014/85307","ISBN":"2314-6141 (Electronic)","ISSN":"2314-6133","PMID":"24999482","abstract":"Backgrounds. Hepatitis C virus (HCV) exists as population of closely related genetic variants known as quasispecies. HCV quasispecies diversity is strongly influenced by host immune pressure on virus. Quasispecies diversity is expected to decline as host immune response to HCV decreases over natural course of progressing from chronic hepatitis C (CHC) to hepatocellular carcinoma (HCC). Methods. Ultradeep pyrosequencing (UDPS) was used to evaluate degree of quasispecies diversity in 49 patients infected with HCV including 26 with CHC and 23 with HCC. Whole structural protein of HCV genome was subjected to UDPS. Results. Shannon’s indices for quasispecies diversity in HCV E1 were significantly lower in patients with HCC than in those with CHC. 14 amino acid positions differed significantly between two groups. Area under curve of ROC analysis for differentiating HCC from CHC was &gt;0.8 for all of 14 amino acid positions. Conclusion. HCV quasispecies diversity as indicator of declining host immune functions was easily assessed by UDPS technology. Shannon’s indices in 14 amino acid positions were found to differentiate between patients with CHC and those with HCC. Our data propose that degree of HCV quasispecies measured by UDPS might be useful to predict progression of HCC in chronic HCV patients.","author":[{"dropping-particle":"","family":"Park","given":"Chang-Wook","non-dropping-particle":"","parse-names":false,"suffix":""},{"dropping-particle":"","family":"Cho","given":"Min-Chul","non-dropping-particle":"","parse-names":false,"suffix":""},{"dropping-particle":"","family":"Hwang","given":"Keumrock","non-dropping-particle":"","parse-names":false,"suffix":""},{"dropping-particle":"","family":"Ko","given":"Sun-Young","non-dropping-particle":"","parse-names":false,"suffix":""},{"dropping-particle":"","family":"Oh","given":"Heung-Bum","non-dropping-particle":"","parse-names":false,"suffix":""},{"dropping-particle":"","family":"Lee","given":"Han Chu","non-dropping-particle":"","parse-names":false,"suffix":""}],"container-title":"BioMed Research International","id":"ITEM-1","issued":{"date-parts":[["2014"]]},"page":"1-11","title":"Comparison of Quasispecies Diversity of HCV between Chronic Hepatitis C and Hepatocellular Carcinoma by Ultradeep Pyrosequencing","type":"article-journal","volume":"2014"},"uris":["http://www.mendeley.com/documents/?uuid=c14705d8-a3d3-4202-9cec-9563d039283c"]},{"id":"ITEM-2","itemData":{"DOI":"10.1136/gutjnl-2011-300650","ISBN":"1468-3288 (Electronic)\\n0017-5749 (Linking)","ISSN":"0017-5749","PMID":"22337948","abstract":"BACKGROUND: Hepatitis C virus (HCV) genotype-3a infection is now the dominant strain in South Asia and the UK. Characteristic features include a favourable response to therapy; the reasons for this are unknown but may include distinct genotype-3a-specific T cell immunity. In contrast to genotype-1 infection, T cell immunity to this subtype is poorly defined.\\n\\nOBJECTIVES: The aims of the study were to (1) define the frequency, specificity and cross-reactivity of T cell immunity across the whole viral genome in genotype-3a infection and (2) assess the impact of interferon (IFN)-α/ribavirin on T cell immunity.\\n\\nDESIGN: T cell responses in chronic and resolved HCV genotype-3a were analysed in comparison with genotype-1 infection (total n=85) using specific peptide panels in IFN-γ ELISpot assays. T cell responses were followed longitudinally in a subset of genotype-3a infected patients receiving therapy. Responses were further defined by CD4 and CD8 subset analysis, sequencing of autologous virus and cross-reactivity of genotype-3a with genotype-1a/-1b antigens.\\n\\nRESULTS: CD8 T cell responses commonly targeted the non-structural (NS) proteins in chronic genotype-3a infection whereas in genotype-1 infection CD4 responses targeting HCV core predominated (p=0.0183). Resolved infection was associated with CD4 T cells targeting NS proteins. Paradoxically, a sustained response to therapy was associated with a brisk decline in virus-specific and total lymphocyte counts that recovered after treatment.\\n\\nCONCLUSION: HCV genotype-3a exhibits a distinct T cell specificity with implications for vaccine design. However, our data do not support the theory that genotype-3a viral clearance with therapy is associated with an enhanced antiviral T cell response. Paradoxically, a reduction in these responses may serve as a biomarker of IFN responsiveness.","author":[{"dropping-particle":"","family":"Humphreys","given":"Isla S","non-dropping-particle":"","parse-names":false,"suffix":""},{"dropping-particle":"","family":"Delft","given":"Annette","non-dropping-particle":"von","parse-names":false,"suffix":""},{"dropping-particle":"","family":"Brown","given":"Anthony","non-dropping-particle":"","parse-names":false,"suffix":""},{"dropping-particle":"","family":"Hibbert","given":"Linda","non-dropping-particle":"","parse-names":false,"suffix":""},{"dropping-particle":"","family":"Collier","given":"Jane D","non-dropping-particle":"","parse-names":false,"suffix":""},{"dropping-particle":"","family":"Foster","given":"Graham R","non-dropping-particle":"","parse-names":false,"suffix":""},{"dropping-particle":"","family":"Rahman","given":"Monira","non-dropping-particle":"","parse-names":false,"suffix":""},{"dropping-particle":"","family":"Christian","given":"Annabel","non-dropping-particle":"","parse-names":false,"suffix":""},{"dropping-particle":"","family":"Klenerman","given":"Paul","non-dropping-particle":"","parse-names":false,"suffix":""},{"dropping-particle":"","family":"Barnes","given":"Eleanor","non-dropping-particle":"","parse-names":false,"suffix":""}],"container-title":"Gut","id":"ITEM-2","issue":"11","issued":{"date-parts":[["2012"]]},"page":"1589-1599","title":"HCV genotype-3a T cell immunity: specificity, function and impact of therapy","type":"article-journal","volume":"61"},"uris":["http://www.mendeley.com/documents/?uuid=43536a93-f884-48d0-b5d5-ed9e965d2a06"]}],"mendeley":{"formattedCitation":"&lt;sup&gt;[32,33]&lt;/sup&gt;","plainTextFormattedCitation":"[32,33]","previouslyFormattedCitation":"&lt;sup&gt;[32,33]&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[32,33]</w:t>
      </w:r>
      <w:r w:rsidRPr="00BF0ED0">
        <w:rPr>
          <w:rFonts w:ascii="Book Antiqua" w:hAnsi="Book Antiqua"/>
        </w:rPr>
        <w:fldChar w:fldCharType="end"/>
      </w:r>
      <w:r w:rsidRPr="00BF0ED0">
        <w:rPr>
          <w:rFonts w:ascii="Book Antiqua" w:hAnsi="Book Antiqua"/>
        </w:rPr>
        <w:t>. We can also speculate that host-related factors may be involved in the occult form of HCV infection. Of course, the specific cellular immune response (CD4+ and CD8+) in patients with OCI would be less effective than in individuals without infection but more intense than in those with the classic form of disease, presenting with HCV RNA positivity in the serum</w:t>
      </w:r>
      <w:r w:rsidRPr="00BF0ED0">
        <w:rPr>
          <w:rFonts w:ascii="Book Antiqua" w:hAnsi="Book Antiqua"/>
        </w:rPr>
        <w:fldChar w:fldCharType="begin" w:fldLock="1"/>
      </w:r>
      <w:r w:rsidR="00292AFA" w:rsidRPr="00BF0ED0">
        <w:rPr>
          <w:rFonts w:ascii="Book Antiqua" w:hAnsi="Book Antiqua"/>
        </w:rPr>
        <w:instrText>ADDIN CSL_CITATION {"citationItems":[{"id":"ITEM-1","itemData":{"DOI":"10.1128/JVI.00852-06","ISSN":"0022-538X","PMID":"17071928","abstract":"Occult hepatitis C virus (HCV) infection is a type of recently identified chronic infection that is evidenced only by detection of HCV RNA in liver; patients consistently test negative for antibodies to HCV and HCV RNA in serum. Using ex vivo and in vitro measures of T-cell responses, we have identified functional virus-specific memory CD4(+) and CD8(+) T cells in the peripheral blood of patients with occult HCV infection. The features of the virus-specific T cells were consistent with immune surveillance functions, supporting previous exposure to HCV. In addition, the magnitudes of CD4(+) and CD8(+) T-cell responses were in parallel and correlated inversely with the extent of liver HCV infection. The detection of HCV-specific T cells in individuals in whom HCV RNA can persist in the liver despite the absence of viremia and antibodies indicates that HCV replication is prolonged in the face of virus-specific CD4(+) and CD8(+) T-cell responses. These findings demonstrate that HCV-specific cellular immune responses are markers not only of previous exposure to and recovery from HCV but also of ongoing occult HCV infection.","author":[{"dropping-particle":"","family":"Quiroga","given":"Juan a","non-dropping-particle":"","parse-names":false,"suffix":""},{"dropping-particle":"","family":"Llorente","given":"Silvia","non-dropping-particle":"","parse-names":false,"suffix":""},{"dropping-particle":"","family":"Castillo","given":"Inmaculada","non-dropping-particle":"","parse-names":false,"suffix":""},{"dropping-particle":"","family":"Rodríguez-Iñigo","given":"Elena","non-dropping-particle":"","parse-names":false,"suffix":""},{"dropping-particle":"","family":"Pardo","given":"Margarita","non-dropping-particle":"","parse-names":false,"suffix":""},{"dropping-particle":"","family":"Carreño","given":"Vicente","non-dropping-particle":"","parse-names":false,"suffix":""}],"container-title":"Journal of virology","id":"ITEM-1","issue":"22","issued":{"date-parts":[["2006","11"]]},"page":"10972-9","title":"Cellular immune responses associated with occult hepatitis C virus infection of the liver.","type":"article-journal","volume":"80"},"uris":["http://www.mendeley.com/documents/?uuid=fc0f41cf-8c49-4fd6-988c-0d1bc7f8fbae"]}],"mendeley":{"formattedCitation":"&lt;sup&gt;[8]&lt;/sup&gt;","plainTextFormattedCitation":"[8]","previouslyFormattedCitation":"&lt;sup&gt;[8]&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[8]</w:t>
      </w:r>
      <w:r w:rsidRPr="00BF0ED0">
        <w:rPr>
          <w:rFonts w:ascii="Book Antiqua" w:hAnsi="Book Antiqua"/>
        </w:rPr>
        <w:fldChar w:fldCharType="end"/>
      </w:r>
      <w:r w:rsidRPr="00BF0ED0">
        <w:rPr>
          <w:rFonts w:ascii="Book Antiqua" w:hAnsi="Book Antiqua"/>
        </w:rPr>
        <w:t>.</w:t>
      </w:r>
    </w:p>
    <w:p w14:paraId="66C3B756" w14:textId="5FEA5BE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addition, although most infected patients show a specific cellular immune response to HCV, only 20% of infected individuals are able to achieve viral clearance in the acute phase of the disease</w:t>
      </w:r>
      <w:r w:rsidRPr="00BF0ED0">
        <w:rPr>
          <w:rFonts w:ascii="Book Antiqua" w:hAnsi="Book Antiqua"/>
        </w:rPr>
        <w:fldChar w:fldCharType="begin" w:fldLock="1"/>
      </w:r>
      <w:r w:rsidR="00ED3062" w:rsidRPr="00BF0ED0">
        <w:rPr>
          <w:rFonts w:ascii="Book Antiqua" w:hAnsi="Book Antiqua"/>
        </w:rPr>
        <w:instrText>ADDIN CSL_CITATION {"citationItems":[{"id":"ITEM-1","itemData":{"DOI":"10.1084/jem.191.9.1499","ISBN":"0022-1007 (Print)","ISSN":"0022-1007","PMID":"10790425","abstract":"Although hepatitis C virus (HCV) infection is very common, identification of patients during acute infection is rare. Consequently, little is known about the immune response during this critical stage of the disease. We analyzed the T lymphocyte response during and after acute resolving HCV infection in three persons, using interferon (IFN)-gamma enzyme-linked immunospot (ELISPOT) and human histocompatibility leukocyte antigen (HLA) peptide tetramer assays. Acute infection was associated with a broadly directed T helper and cytotoxic T lymphocyte (CTL) response, which persisted after resolution of clinical hepatitis and clearance of viremia. At the earliest time point studied, highly activated CTL populations were observed that temporarily failed to secrete IFN-gamma, a \"stunned\" phenotype, from which they recovered as viremia declined. In long-term HCV-seropositive persons, CTL responses were more common in persons who had cleared viremia compared with those with persistent viremia, although the frequencies of HCV-specific CTLs were lower than those found in persons during and after resolution of acute HCV infection. These studies demonstrate a strong and persistent CTL response in resolving acute HCV infection, and provide rationale to explore immune augmentation as a therapeutic intervention in chronic HCV infection.","author":[{"dropping-particle":"","family":"Lechner","given":"F","non-dropping-particle":"","parse-names":false,"suffix":""},{"dropping-particle":"","family":"Wong","given":"D K","non-dropping-particle":"","parse-names":false,"suffix":""},{"dropping-particle":"","family":"Dunbar","given":"P R","non-dropping-particle":"","parse-names":false,"suffix":""},{"dropping-particle":"","family":"Chapman","given":"R","non-dropping-particle":"","parse-names":false,"suffix":""},{"dropping-particle":"","family":"Chung","given":"R T","non-dropping-particle":"","parse-names":false,"suffix":""},{"dropping-particle":"","family":"Dohrenwend","given":"P","non-dropping-particle":"","parse-names":false,"suffix":""},{"dropping-particle":"","family":"Robbins","given":"G","non-dropping-particle":"","parse-names":false,"suffix":""},{"dropping-particle":"","family":"Phillips","given":"R","non-dropping-particle":"","parse-names":false,"suffix":""},{"dropping-particle":"","family":"Klenerman","given":"P","non-dropping-particle":"","parse-names":false,"suffix":""},{"dropping-particle":"","family":"Walker","given":"B D","non-dropping-particle":"","parse-names":false,"suffix":""}],"container-title":"The Journal of experimental medicine","id":"ITEM-1","issue":"9","issued":{"date-parts":[["2000"]]},"page":"1499-1512","title":"Analysis of successful immune responses in persons infected with hepatitis C virus","type":"article-journal","volume":"191"},"uris":["http://www.mendeley.com/documents/?uuid=bf5cc36b-65c0-42c5-9444-174963553fc9"]},{"id":"ITEM-2","itemData":{"DOI":"10.1084/jem.20050121","ISBN":"0022-1007 (Print)\\n0022-1007 (Linking)","ISSN":"0022-1007","PMID":"15939790","abstract":"Hepatitis C virus (HCV) infection frequently persists despite substantial virus-specific cellular immune responses. To determine if immunologically driven sequence variation occurs with HCV persistence, we coordinately analyzed sequence evolution and CD8+ T cell responses to epitopes covering the entire HCV polyprotein in subjects who were followed prospectively from before infection to beyond the first year. There were no substitutions in T cell epitopes for a year after infection in a subject who cleared viremia. In contrast, in subjects with persistent viremia and detectable T cell responses, we observed substitutions in 69% of T cell epitopes, and every subject had a substitution in at least one epitope. In addition, amino acid substitutions occurred 13-fold more often within than outside T cell epitopes (P &lt; 0.001, range 5-38). T lymphocyte recognition of 8 of 10 mutant peptides was markedly reduced compared with the initial sequence, indicating viral escape. Of 16 nonenvelope substitutions that occurred outside of known T cell epitopes, 8 represented conversion to consensus (P = 0.015). These findings reveal two distinct mechanisms of sequence evolution involved in HCV persistence: viral escape from CD8+ T cell responses and optimization of replicative capacity.","author":[{"dropping-particle":"","family":"Cox","given":"Andrea L.","non-dropping-particle":"","parse-names":false,"suffix":""},{"dropping-particle":"","family":"Mosbruger","given":"Timothy","non-dropping-particle":"","parse-names":false,"suffix":""},{"dropping-particle":"","family":"Mao","given":"Qing","non-dropping-particle":"","parse-names":false,"suffix":""},{"dropping-particle":"","family":"Liu","given":"Zhi","non-dropping-particle":"","parse-names":false,"suffix":""},{"dropping-particle":"","family":"Wang","given":"Xiao-Hong","non-dropping-particle":"","parse-names":false,"suffix":""},{"dropping-particle":"","family":"Yang","given":"Hung-Chih","non-dropping-particle":"","parse-names":false,"suffix":""},{"dropping-particle":"","family":"Sidney","given":"John","non-dropping-particle":"","parse-names":false,"suffix":""},{"dropping-particle":"","family":"Sette","given":"Alessandro","non-dropping-particle":"","parse-names":false,"suffix":""},{"dropping-particle":"","family":"Pardoll","given":"Drew","non-dropping-particle":"","parse-names":false,"suffix":""},{"dropping-particle":"","family":"Thomas","given":"David L.","non-dropping-particle":"","parse-names":false,"suffix":""},{"dropping-particle":"","family":"Ray","given":"Stuart C.","non-dropping-particle":"","parse-names":false,"suffix":""}],"container-title":"The Journal of Experimental Medicine","id":"ITEM-2","issue":"11","issued":{"date-parts":[["2005","6","6"]]},"page":"1741-1752","title":"Cellular immune selection with hepatitis C virus persistence in humans","type":"article-journal","volume":"201"},"uris":["http://www.mendeley.com/documents/?uuid=df78751a-28ad-4f56-a545-0d2702e06ae4"]}],"mendeley":{"formattedCitation":"&lt;sup&gt;[34,35]&lt;/sup&gt;","plainTextFormattedCitation":"[34,35]","previouslyFormattedCitation":"&lt;sup&gt;[34,35]&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[34,35]</w:t>
      </w:r>
      <w:r w:rsidRPr="00BF0ED0">
        <w:rPr>
          <w:rFonts w:ascii="Book Antiqua" w:hAnsi="Book Antiqua"/>
        </w:rPr>
        <w:fldChar w:fldCharType="end"/>
      </w:r>
      <w:r w:rsidRPr="00BF0ED0">
        <w:rPr>
          <w:rFonts w:ascii="Book Antiqua" w:hAnsi="Book Antiqua"/>
        </w:rPr>
        <w:t xml:space="preserve">. Indeed, Burke </w:t>
      </w:r>
      <w:r w:rsidRPr="00BF0ED0">
        <w:rPr>
          <w:rFonts w:ascii="Book Antiqua" w:hAnsi="Book Antiqua"/>
          <w:i/>
        </w:rPr>
        <w:t>et al</w:t>
      </w:r>
      <w:r w:rsidRPr="00BF0ED0">
        <w:rPr>
          <w:rFonts w:ascii="Book Antiqua" w:hAnsi="Book Antiqua"/>
        </w:rPr>
        <w:fldChar w:fldCharType="begin" w:fldLock="1"/>
      </w:r>
      <w:r w:rsidR="00ED3062" w:rsidRPr="00BF0ED0">
        <w:rPr>
          <w:rFonts w:ascii="Book Antiqua" w:hAnsi="Book Antiqua"/>
        </w:rPr>
        <w:instrText>ADDIN CSL_CITATION {"citationItems":[{"id":"ITEM-1","itemData":{"DOI":"10.1007/s12026-009-8152-3","ISBN":"4106147564","ISSN":"0257-277X","author":[{"dropping-particle":"","family":"Burke","given":"Kelly P","non-dropping-particle":"","parse-names":false,"suffix":""},{"dropping-particle":"","family":"Cox","given":"Andrea L","non-dropping-particle":"","parse-names":false,"suffix":""}],"container-title":"Immunologic Research","id":"ITEM-1","issue":"1-3","issued":{"date-parts":[["2010","7","12"]]},"page":"216-227","title":"Hepatitis C virus evasion of adaptive immune responses: a model for viral persistence","type":"article-journal","volume":"47"},"uris":["http://www.mendeley.com/documents/?uuid=8050ec5d-6f56-479f-a575-bd7c831f64cd"]}],"mendeley":{"formattedCitation":"&lt;sup&gt;[36]&lt;/sup&gt;","plainTextFormattedCitation":"[36]","previouslyFormattedCitation":"&lt;sup&gt;[36]&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[36]</w:t>
      </w:r>
      <w:r w:rsidRPr="00BF0ED0">
        <w:rPr>
          <w:rFonts w:ascii="Book Antiqua" w:hAnsi="Book Antiqua"/>
        </w:rPr>
        <w:fldChar w:fldCharType="end"/>
      </w:r>
      <w:r w:rsidRPr="00BF0ED0">
        <w:rPr>
          <w:rFonts w:ascii="Book Antiqua" w:hAnsi="Book Antiqua"/>
        </w:rPr>
        <w:t xml:space="preserve"> observed that patients who were unable to achieve viral clearance had lower cell responses and decreased numbers of CD4+ and CD8+ T lymphocytes. In addition, existing differences between the human leukocyte antigen (commonly known as HLA) molecules can target poorly effective immune responses, as some HLA super types affect the recognition and binding affinity of T lymphocytes to antigenic epitopes</w:t>
      </w:r>
      <w:r w:rsidRPr="00BF0ED0">
        <w:rPr>
          <w:rFonts w:ascii="Book Antiqua" w:hAnsi="Book Antiqua"/>
        </w:rPr>
        <w:fldChar w:fldCharType="begin" w:fldLock="1"/>
      </w:r>
      <w:r w:rsidR="00ED3062" w:rsidRPr="00BF0ED0">
        <w:rPr>
          <w:rFonts w:ascii="Book Antiqua" w:hAnsi="Book Antiqua"/>
        </w:rPr>
        <w:instrText>ADDIN CSL_CITATION {"citationItems":[{"id":"ITEM-1","itemData":{"DOI":"10.1002/hep.23515","ISSN":"02709139","author":[{"dropping-particle":"","family":"Kuniholm","given":"Mark H","non-dropping-particle":"","parse-names":false,"suffix":""},{"dropping-particle":"","family":"Kovacs","given":"Andrea","non-dropping-particle":"","parse-names":false,"suffix":""},{"dropping-particle":"","family":"Gao","given":"Xiaojiang","non-dropping-particle":"","parse-names":false,"suffix":""},{"dropping-particle":"","family":"Xue","given":"Xiaonan","non-dropping-particle":"","parse-names":false,"suffix":""},{"dropping-particle":"","family":"Marti","given":"Darlene","non-dropping-particle":"","parse-names":false,"suffix":""},{"dropping-particle":"","family":"Thio","given":"Chloe L.","non-dropping-particle":"","parse-names":false,"suffix":""},{"dropping-particle":"","family":"Peters","given":"Marion G","non-dropping-particle":"","parse-names":false,"suffix":""},{"dropping-particle":"","family":"Terrault","given":"Norah A","non-dropping-particle":"","parse-names":false,"suffix":""},{"dropping-particle":"","family":"Greenblatt","given":"Ruth M","non-dropping-particle":"","parse-names":false,"suffix":""},{"dropping-particle":"","family":"Goedert","given":"James J","non-dropping-particle":"","parse-names":false,"suffix":""},{"dropping-particle":"","family":"Cohen","given":"Mardge H","non-dropping-particle":"","parse-names":false,"suffix":""},{"dropping-particle":"","family":"Minkoff","given":"Howard","non-dropping-particle":"","parse-names":false,"suffix":""},{"dropping-particle":"","family":"Gange","given":"Stephen J","non-dropping-particle":"","parse-names":false,"suffix":""},{"dropping-particle":"","family":"Anastos","given":"Kathryn","non-dropping-particle":"","parse-names":false,"suffix":""},{"dropping-particle":"","family":"Fazzari","given":"Melissa","non-dropping-particle":"","parse-names":false,"suffix":""},{"dropping-particle":"","family":"Harris","given":"Tiffany G","non-dropping-particle":"","parse-names":false,"suffix":""},{"dropping-particle":"","family":"Young","given":"Mary A","non-dropping-particle":"","parse-names":false,"suffix":""},{"dropping-particle":"","family":"Strickler","given":"Howard D","non-dropping-particle":"","parse-names":false,"suffix":""},{"dropping-particle":"","family":"Carrington","given":"Mary","non-dropping-particle":"","parse-names":false,"suffix":""}],"container-title":"Hepatology","id":"ITEM-1","issue":"5","issued":{"date-parts":[["2010","5"]]},"page":"1514-1522","title":"Specific human leukocyte antigen class I and II alleles associated with hepatitis C virus viremia","type":"article-journal","volume":"51"},"uris":["http://www.mendeley.com/documents/?uuid=6966f90a-5d48-4800-9c4b-b52e597ffdac"]}],"mendeley":{"formattedCitation":"&lt;sup&gt;[37]&lt;/sup&gt;","plainTextFormattedCitation":"[37]","previouslyFormattedCitation":"&lt;sup&gt;[37]&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[37]</w:t>
      </w:r>
      <w:r w:rsidRPr="00BF0ED0">
        <w:rPr>
          <w:rFonts w:ascii="Book Antiqua" w:hAnsi="Book Antiqua"/>
        </w:rPr>
        <w:fldChar w:fldCharType="end"/>
      </w:r>
      <w:r w:rsidRPr="00BF0ED0">
        <w:rPr>
          <w:rFonts w:ascii="Book Antiqua" w:hAnsi="Book Antiqua"/>
        </w:rPr>
        <w:t>.</w:t>
      </w:r>
    </w:p>
    <w:p w14:paraId="7D5D49C3" w14:textId="6F8B080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lastRenderedPageBreak/>
        <w:t xml:space="preserve">Treatment of OCI can be performed with antiviral therapy, as reported by Pardo </w:t>
      </w:r>
      <w:r w:rsidRPr="00BF0ED0">
        <w:rPr>
          <w:rFonts w:ascii="Book Antiqua" w:hAnsi="Book Antiqua"/>
          <w:i/>
        </w:rPr>
        <w:t>et al</w:t>
      </w:r>
      <w:r w:rsidRPr="00BF0ED0">
        <w:rPr>
          <w:rFonts w:ascii="Book Antiqua" w:hAnsi="Book Antiqua"/>
          <w:vertAlign w:val="superscript"/>
        </w:rPr>
        <w:t>[38]</w:t>
      </w:r>
      <w:r w:rsidRPr="00BF0ED0">
        <w:rPr>
          <w:rFonts w:ascii="Book Antiqua" w:hAnsi="Book Antiqua"/>
        </w:rPr>
        <w:t>. Those authors administrated pegylated-interferon and ribavirin for 6 mo to 10 patients who presented with OCI and abnormalities in serum levels of aminotransferases that were associated with chronic hepatitis (diagnosed by biopsy). At the end of treatment, 6 patients presented normalization of the serum alanine aminotransferase levels and in 7 cases the HCV RNA was no longer detectable in the PBMCs, suggesting viral behavior similar to that of the classic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{"citationItems":[{"id":"ITEM-1","itemData":{"DOI":"10.1111/j.1365-2036.2006.02886.x","ISSN":"0269-2813","PMID":"16611276","abstract":"BACKGROUND: Occult hepatitis C virus infection is defined by the presence of hepatitis C virus-RNA in liver but with undetectable anti-hepatitis C virus and serum viral RNA.\n\nAIM: To study the response to anti-viral therapy in occult hepatitis C virus infection to assess the pathogenic effect of occult hepatitis C virus.\n\nMETHODS: Ten patients with occult hepatitis C virus infection were treated with pegylated-interferon plus ribavirin for 24 weeks and were followed-up 24 weeks after therapy. All patients had abnormal alanine aminotransferase, hepatitis C virus-RNA positive in peripheral blood mononuclear cells and liver necroinflammation.\n\nRESULTS: At the end of treatment and follow-up, the percentage of patients with normal alanine aminotransferase was 80% (95% CI: 48-96%) and 60% (95% CI: 31-84%) respectively, and hepatitis C virus-RNA in peripheral blood mononuclear cells was negative in 80% (95% CI: 48-96%) and 70% (95% CI: 40-90%) cases. At the end of follow-up sustained response was observed in 30% (95% CI: 11-61%) of cases. Five patients underwent a second liver biopsy. In all cases, liver hepatitis C virus-RNA persisted, although hepatitis C virus-RNA load was significantly lower (3.2 x 10(4) +/- 5.1 x 10(4) copies/microg RNA) than in the basal biopsy (2.4 x 10(5) +/- 3.8 x 10(5) copies/microg RNA); (P = 0.043). Necroinflammation and fibrosis decreased in three cases.\n\nCONCLUSION: The biochemical, virological and histological response to therapy achieved in patients with occult hepatitis C virus infection demonstrates the pathologic effects of occult hepatitis C virus.","author":[{"dropping-particle":"","family":"Pardo","given":"M","non-dropping-particle":"","parse-names":false,"suffix":""},{"dropping-particle":"","family":"López-Alcorocho","given":"J M","non-dropping-particle":"","parse-names":false,"suffix":""},{"dropping-particle":"","family":"Castillo","given":"I","non-dropping-particle":"","parse-names":false,"suffix":""},{"dropping-particle":"","family":"Rodríguez-Iñigo","given":"E","non-dropping-particle":"","parse-names":false,"suffix":""},{"dropping-particle":"","family":"Perez-Mota","given":"a","non-dropping-particle":"","parse-names":false,"suffix":""},{"dropping-particle":"","family":"Carreño","given":"V","non-dropping-particle":"","parse-names":false,"suffix":""}],"container-title":"Alimentary pharmacology &amp; therapeutics","id":"ITEM-1","issue":"8","issued":{"date-parts":[["2006","4","15"]]},"page":"1153-9","title":"Effect of anti-viral therapy for occult hepatitis C virus infection.","type":"article-journal","volume":"23"},"uris":["http://www.mendeley.com/documents/?uuid=4b7a1828-9722-4b63-89dd-9b13e033600b"]}],"mendeley":{"formattedCitation":"&lt;sup&gt;[38]&lt;/sup&gt;","plainTextFormattedCitation":"[38]","previouslyFormattedCitation":"&lt;sup&gt;[38]&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[38]</w:t>
      </w:r>
      <w:r w:rsidRPr="00BF0ED0">
        <w:rPr>
          <w:rFonts w:ascii="Book Antiqua" w:hAnsi="Book Antiqua"/>
        </w:rPr>
        <w:fldChar w:fldCharType="end"/>
      </w:r>
      <w:r w:rsidRPr="00BF0ED0">
        <w:rPr>
          <w:rFonts w:ascii="Book Antiqua" w:hAnsi="Book Antiqua"/>
        </w:rPr>
        <w:t>.</w:t>
      </w:r>
    </w:p>
    <w:p w14:paraId="5C7E6BAE" w14:textId="5C7221BB" w:rsidR="001835B3" w:rsidRPr="00BF0ED0" w:rsidRDefault="001835B3" w:rsidP="00484E7F">
      <w:pPr>
        <w:adjustRightInd w:val="0"/>
        <w:snapToGrid w:val="0"/>
        <w:spacing w:line="360" w:lineRule="auto"/>
        <w:ind w:firstLineChars="200" w:firstLine="480"/>
        <w:jc w:val="both"/>
        <w:outlineLvl w:val="0"/>
        <w:rPr>
          <w:rFonts w:ascii="Book Antiqua" w:hAnsi="Book Antiqua"/>
        </w:rPr>
      </w:pPr>
      <w:r w:rsidRPr="00BF0ED0">
        <w:rPr>
          <w:rFonts w:ascii="Book Antiqua" w:hAnsi="Book Antiqua"/>
        </w:rPr>
        <w:t>In our study, presented herein, occurrence of OCI was high among patients with PDCKD. OCI in this patient population was more common in the elderly, in patients with CKD of mixed etiology and in patients with serological markers of HBV (indicating previous infection). Further studies will be needed to evaluate the influence of this form of infection on the transmissibility of HCV in the HD setting and the role of treatment for HD patients with OCI.</w:t>
      </w:r>
    </w:p>
    <w:p w14:paraId="492D4EAD" w14:textId="2B154854" w:rsidR="001835B3" w:rsidRPr="00BF0ED0" w:rsidRDefault="001835B3" w:rsidP="00484E7F">
      <w:pPr>
        <w:adjustRightInd w:val="0"/>
        <w:snapToGrid w:val="0"/>
        <w:spacing w:line="360" w:lineRule="auto"/>
        <w:jc w:val="both"/>
        <w:rPr>
          <w:rFonts w:ascii="Book Antiqua" w:eastAsiaTheme="minorEastAsia" w:hAnsi="Book Antiqua"/>
          <w:lang w:eastAsia="zh-CN"/>
        </w:rPr>
      </w:pPr>
    </w:p>
    <w:p w14:paraId="6A30266D" w14:textId="773841E1" w:rsidR="001835B3" w:rsidRPr="00BF0ED0" w:rsidRDefault="00EC1BBE" w:rsidP="00484E7F">
      <w:pPr>
        <w:adjustRightInd w:val="0"/>
        <w:snapToGrid w:val="0"/>
        <w:spacing w:line="360" w:lineRule="auto"/>
        <w:jc w:val="both"/>
        <w:outlineLvl w:val="0"/>
        <w:rPr>
          <w:rFonts w:ascii="Book Antiqua" w:eastAsiaTheme="minorEastAsia" w:hAnsi="Book Antiqua"/>
          <w:lang w:eastAsia="zh-CN"/>
        </w:rPr>
      </w:pPr>
      <w:r w:rsidRPr="00BF0ED0">
        <w:rPr>
          <w:rFonts w:ascii="Book Antiqua" w:hAnsi="Book Antiqua"/>
          <w:b/>
          <w:bCs/>
        </w:rPr>
        <w:t>ARTICLE HIGHLIGHTS</w:t>
      </w:r>
    </w:p>
    <w:p w14:paraId="543F0CCC"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background</w:t>
      </w:r>
    </w:p>
    <w:p w14:paraId="11DAC8DA" w14:textId="43AACE56"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Patients with chronic kidney disease (CKD) and who are on hemodialysis </w:t>
      </w:r>
      <w:r w:rsidR="00781EF4" w:rsidRPr="00BF0ED0">
        <w:rPr>
          <w:rFonts w:ascii="Book Antiqua" w:eastAsiaTheme="minorEastAsia" w:hAnsi="Book Antiqua"/>
          <w:lang w:eastAsia="zh-CN"/>
        </w:rPr>
        <w:t>(</w:t>
      </w:r>
      <w:r w:rsidR="00781EF4" w:rsidRPr="00BF0ED0">
        <w:rPr>
          <w:rFonts w:ascii="Book Antiqua" w:hAnsi="Book Antiqua"/>
        </w:rPr>
        <w:t>HD</w:t>
      </w:r>
      <w:r w:rsidR="00781EF4" w:rsidRPr="00BF0ED0">
        <w:rPr>
          <w:rFonts w:ascii="Book Antiqua" w:eastAsiaTheme="minorEastAsia" w:hAnsi="Book Antiqua"/>
          <w:lang w:eastAsia="zh-CN"/>
        </w:rPr>
        <w:t xml:space="preserve">) </w:t>
      </w:r>
      <w:r w:rsidRPr="00BF0ED0">
        <w:rPr>
          <w:rFonts w:ascii="Book Antiqua" w:hAnsi="Book Antiqua"/>
        </w:rPr>
        <w:t xml:space="preserve">have a higher prevalence of hepatitis C virus (HCV) infection, both in its classical form and </w:t>
      </w:r>
      <w:r w:rsidRPr="00BF0ED0">
        <w:rPr>
          <w:rFonts w:ascii="Book Antiqua" w:hAnsi="Book Antiqua"/>
          <w:color w:val="0D0D0D"/>
        </w:rPr>
        <w:t>the occult (OCI) form</w:t>
      </w:r>
      <w:r w:rsidRPr="00BF0ED0">
        <w:rPr>
          <w:rFonts w:ascii="Book Antiqua" w:hAnsi="Book Antiqua"/>
        </w:rPr>
        <w:t>. However, no studies in the literature have evaluated the occurrence of OCI in predialysis patients.</w:t>
      </w:r>
    </w:p>
    <w:p w14:paraId="11580567" w14:textId="77777777" w:rsidR="001835B3" w:rsidRPr="00BF0ED0" w:rsidRDefault="001835B3" w:rsidP="00484E7F">
      <w:pPr>
        <w:adjustRightInd w:val="0"/>
        <w:snapToGrid w:val="0"/>
        <w:spacing w:line="360" w:lineRule="auto"/>
        <w:jc w:val="both"/>
        <w:rPr>
          <w:rFonts w:ascii="Book Antiqua" w:hAnsi="Book Antiqua"/>
          <w:b/>
          <w:bCs/>
          <w:i/>
          <w:iCs/>
        </w:rPr>
      </w:pPr>
    </w:p>
    <w:p w14:paraId="78D3E85A"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motivation</w:t>
      </w:r>
    </w:p>
    <w:p w14:paraId="7485BDC7"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The motivation of this study was borne of the new lines of evidence showing OCI having implications on transmissibility, prognosis and progression of CKD in patients on dialysis, and knowledge that this infection could be diagnosticated and treated before end-stage kidney disease is reached.</w:t>
      </w:r>
    </w:p>
    <w:p w14:paraId="49CE6983" w14:textId="77777777" w:rsidR="001835B3" w:rsidRPr="00BF0ED0" w:rsidRDefault="001835B3" w:rsidP="00484E7F">
      <w:pPr>
        <w:adjustRightInd w:val="0"/>
        <w:snapToGrid w:val="0"/>
        <w:spacing w:line="360" w:lineRule="auto"/>
        <w:jc w:val="both"/>
        <w:rPr>
          <w:rFonts w:ascii="Book Antiqua" w:hAnsi="Book Antiqua"/>
          <w:b/>
          <w:bCs/>
          <w:i/>
          <w:iCs/>
        </w:rPr>
      </w:pPr>
    </w:p>
    <w:p w14:paraId="0EB2A7ED"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objectives</w:t>
      </w:r>
    </w:p>
    <w:p w14:paraId="76E0E0B2"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lastRenderedPageBreak/>
        <w:t>The main objective of this study was to evaluate the prevalence of OCI in predialysis CKD patients. The findings of this study could help in future efforts to trace the transmissibility of OCI and even to develop a treatment to improve these patients’ prognosis.</w:t>
      </w:r>
    </w:p>
    <w:p w14:paraId="2C19164F" w14:textId="77777777" w:rsidR="001835B3" w:rsidRPr="00BF0ED0" w:rsidRDefault="001835B3" w:rsidP="00484E7F">
      <w:pPr>
        <w:adjustRightInd w:val="0"/>
        <w:snapToGrid w:val="0"/>
        <w:spacing w:line="360" w:lineRule="auto"/>
        <w:jc w:val="both"/>
        <w:rPr>
          <w:rFonts w:ascii="Book Antiqua" w:hAnsi="Book Antiqua"/>
          <w:b/>
          <w:bCs/>
          <w:i/>
          <w:iCs/>
        </w:rPr>
      </w:pPr>
    </w:p>
    <w:p w14:paraId="5979A219"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methods</w:t>
      </w:r>
    </w:p>
    <w:p w14:paraId="2A4C8B46" w14:textId="058B4B0A"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This was a cross-sectional study, wherein patients were allocated if they had glomerular filtration rate &lt; 60 mL/min</w:t>
      </w:r>
      <w:r w:rsidR="00EC1BBE" w:rsidRPr="00BF0ED0">
        <w:rPr>
          <w:rFonts w:ascii="Book Antiqua" w:hAnsi="Book Antiqua"/>
        </w:rPr>
        <w:t>·</w:t>
      </w:r>
      <w:r w:rsidRPr="00BF0ED0">
        <w:rPr>
          <w:rFonts w:ascii="Book Antiqua" w:hAnsi="Book Antiqua"/>
        </w:rPr>
        <w:t>1.73m</w:t>
      </w:r>
      <w:r w:rsidRPr="00BF0ED0">
        <w:rPr>
          <w:rFonts w:ascii="Book Antiqua" w:hAnsi="Book Antiqua"/>
          <w:vertAlign w:val="superscript"/>
        </w:rPr>
        <w:t>2</w:t>
      </w:r>
      <w:r w:rsidRPr="00BF0ED0">
        <w:rPr>
          <w:rFonts w:ascii="Book Antiqua" w:hAnsi="Book Antiqua"/>
        </w:rPr>
        <w:t xml:space="preserve"> and were anti-HCV negative. PCR was performed on patient samples of ultracentrifuged plasma and </w:t>
      </w:r>
      <w:r w:rsidR="00EC1BBE" w:rsidRPr="00BF0ED0">
        <w:rPr>
          <w:rFonts w:ascii="Book Antiqua" w:hAnsi="Book Antiqua"/>
        </w:rPr>
        <w:t>peripheral blood mononuclear cells</w:t>
      </w:r>
      <w:r w:rsidRPr="00BF0ED0">
        <w:rPr>
          <w:rFonts w:ascii="Book Antiqua" w:hAnsi="Book Antiqua"/>
        </w:rPr>
        <w:t xml:space="preserve">. </w:t>
      </w:r>
    </w:p>
    <w:p w14:paraId="5587CF60" w14:textId="77777777" w:rsidR="001835B3" w:rsidRPr="00BF0ED0" w:rsidRDefault="001835B3" w:rsidP="00484E7F">
      <w:pPr>
        <w:adjustRightInd w:val="0"/>
        <w:snapToGrid w:val="0"/>
        <w:spacing w:line="360" w:lineRule="auto"/>
        <w:jc w:val="both"/>
        <w:rPr>
          <w:rFonts w:ascii="Book Antiqua" w:hAnsi="Book Antiqua"/>
          <w:b/>
          <w:bCs/>
          <w:i/>
          <w:iCs/>
        </w:rPr>
      </w:pPr>
    </w:p>
    <w:p w14:paraId="562B72A3"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results</w:t>
      </w:r>
    </w:p>
    <w:p w14:paraId="5BD9AC1B"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OCI was found in 16.5% of the study population of CKD patients. It was more common in the elderly, in patients with CKD of mixed etiology, and in patients </w:t>
      </w:r>
      <w:r w:rsidRPr="00BF0ED0">
        <w:rPr>
          <w:rFonts w:ascii="Book Antiqua" w:hAnsi="Book Antiqua"/>
          <w:color w:val="0D0D0D"/>
        </w:rPr>
        <w:t xml:space="preserve">with </w:t>
      </w:r>
      <w:r w:rsidRPr="00BF0ED0">
        <w:rPr>
          <w:rFonts w:ascii="Book Antiqua" w:hAnsi="Book Antiqua"/>
        </w:rPr>
        <w:t xml:space="preserve">previous </w:t>
      </w:r>
      <w:r w:rsidRPr="00BF0ED0">
        <w:rPr>
          <w:rFonts w:ascii="Book Antiqua" w:hAnsi="Book Antiqua"/>
          <w:color w:val="0D0D0D"/>
        </w:rPr>
        <w:t>hepatitis B virus</w:t>
      </w:r>
      <w:r w:rsidRPr="00BF0ED0">
        <w:rPr>
          <w:rFonts w:ascii="Book Antiqua" w:hAnsi="Book Antiqua"/>
        </w:rPr>
        <w:t xml:space="preserve"> infection. </w:t>
      </w:r>
    </w:p>
    <w:p w14:paraId="48AC804B" w14:textId="77777777" w:rsidR="001835B3" w:rsidRPr="00BF0ED0" w:rsidRDefault="001835B3" w:rsidP="00484E7F">
      <w:pPr>
        <w:adjustRightInd w:val="0"/>
        <w:snapToGrid w:val="0"/>
        <w:spacing w:line="360" w:lineRule="auto"/>
        <w:jc w:val="both"/>
        <w:rPr>
          <w:rFonts w:ascii="Book Antiqua" w:hAnsi="Book Antiqua"/>
          <w:b/>
          <w:bCs/>
          <w:i/>
          <w:iCs/>
        </w:rPr>
      </w:pPr>
    </w:p>
    <w:p w14:paraId="1CC29A16"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conclusions</w:t>
      </w:r>
    </w:p>
    <w:p w14:paraId="709DF37D"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This study</w:t>
      </w:r>
      <w:r w:rsidRPr="00BF0ED0" w:rsidDel="007A6B36">
        <w:rPr>
          <w:rFonts w:ascii="Book Antiqua" w:hAnsi="Book Antiqua"/>
        </w:rPr>
        <w:t xml:space="preserve"> </w:t>
      </w:r>
      <w:r w:rsidRPr="00BF0ED0">
        <w:rPr>
          <w:rFonts w:ascii="Book Antiqua" w:hAnsi="Book Antiqua"/>
        </w:rPr>
        <w:t xml:space="preserve">found a high prevalence of OCI among CKD patients, suggesting that patients with low kidney function may be reservoirs for HCV. </w:t>
      </w:r>
      <w:r w:rsidRPr="00BF0ED0">
        <w:rPr>
          <w:rFonts w:ascii="Book Antiqua" w:hAnsi="Book Antiqua"/>
          <w:color w:val="212121"/>
          <w:shd w:val="clear" w:color="auto" w:fill="FFFFFF"/>
        </w:rPr>
        <w:t>This high prevalence appears to be associated with infection occurring before the beginning of dialysis.</w:t>
      </w:r>
      <w:r w:rsidRPr="00BF0ED0">
        <w:rPr>
          <w:rFonts w:ascii="Book Antiqua" w:hAnsi="Book Antiqua"/>
        </w:rPr>
        <w:t xml:space="preserve"> Moreover, OCI could be an important transmission route of HCV infection in dialysis centers. The collective findings from this study could help future studies evaluating the transmissibility of hepatitis infection and the progression of CKD to need for dialysis. </w:t>
      </w:r>
    </w:p>
    <w:p w14:paraId="7692F6C5" w14:textId="77777777" w:rsidR="001835B3" w:rsidRPr="00BF0ED0" w:rsidRDefault="001835B3" w:rsidP="00484E7F">
      <w:pPr>
        <w:adjustRightInd w:val="0"/>
        <w:snapToGrid w:val="0"/>
        <w:spacing w:line="360" w:lineRule="auto"/>
        <w:jc w:val="both"/>
        <w:rPr>
          <w:rFonts w:ascii="Book Antiqua" w:hAnsi="Book Antiqua"/>
        </w:rPr>
      </w:pPr>
    </w:p>
    <w:p w14:paraId="7F11E736"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perspectives</w:t>
      </w:r>
    </w:p>
    <w:p w14:paraId="6CE0085D" w14:textId="309B55F8" w:rsidR="001835B3" w:rsidRPr="00BF0ED0" w:rsidRDefault="001835B3" w:rsidP="00484E7F">
      <w:pPr>
        <w:pStyle w:val="HTMLPreformatted"/>
        <w:shd w:val="clear" w:color="auto" w:fill="FFFFFF"/>
        <w:adjustRightInd w:val="0"/>
        <w:snapToGrid w:val="0"/>
        <w:spacing w:line="360" w:lineRule="auto"/>
        <w:jc w:val="both"/>
        <w:rPr>
          <w:rFonts w:ascii="Book Antiqua" w:hAnsi="Book Antiqua"/>
          <w:sz w:val="24"/>
          <w:szCs w:val="24"/>
          <w:lang w:val="en-US"/>
        </w:rPr>
      </w:pPr>
      <w:r w:rsidRPr="00BF0ED0">
        <w:rPr>
          <w:rFonts w:ascii="Book Antiqua" w:hAnsi="Book Antiqua" w:cs="Times New Roman"/>
          <w:color w:val="212121"/>
          <w:sz w:val="24"/>
          <w:szCs w:val="24"/>
          <w:lang w:val="en-US"/>
        </w:rPr>
        <w:t xml:space="preserve">This is the first study to evaluate the prevalence of OCI in this specific group of patients, who are more vulnerable to viral infections. </w:t>
      </w:r>
      <w:r w:rsidRPr="00BF0ED0">
        <w:rPr>
          <w:rFonts w:ascii="Book Antiqua" w:hAnsi="Book Antiqua"/>
          <w:sz w:val="24"/>
          <w:szCs w:val="24"/>
          <w:lang w:val="en-US"/>
        </w:rPr>
        <w:t xml:space="preserve">Future research should evaluate the influence of this form of infection on the transmissibility of HCV in </w:t>
      </w:r>
      <w:r w:rsidRPr="00BF0ED0">
        <w:rPr>
          <w:rFonts w:ascii="Book Antiqua" w:hAnsi="Book Antiqua"/>
          <w:sz w:val="24"/>
          <w:szCs w:val="24"/>
          <w:lang w:val="en-US"/>
        </w:rPr>
        <w:lastRenderedPageBreak/>
        <w:t xml:space="preserve">the </w:t>
      </w:r>
      <w:r w:rsidR="00781EF4" w:rsidRPr="00BF0ED0">
        <w:rPr>
          <w:rFonts w:ascii="Book Antiqua" w:hAnsi="Book Antiqua"/>
          <w:sz w:val="24"/>
          <w:szCs w:val="24"/>
        </w:rPr>
        <w:t>HD</w:t>
      </w:r>
      <w:r w:rsidRPr="00BF0ED0">
        <w:rPr>
          <w:rFonts w:ascii="Book Antiqua" w:hAnsi="Book Antiqua"/>
          <w:sz w:val="24"/>
          <w:szCs w:val="24"/>
          <w:lang w:val="en-US"/>
        </w:rPr>
        <w:t xml:space="preserve"> setting and the role of treatment for these OCI patients. </w:t>
      </w:r>
      <w:r w:rsidR="009B2926" w:rsidRPr="00BF0ED0">
        <w:rPr>
          <w:rFonts w:ascii="Book Antiqua" w:hAnsi="Book Antiqua"/>
          <w:sz w:val="24"/>
          <w:szCs w:val="24"/>
          <w:lang w:val="en-US"/>
        </w:rPr>
        <w:t>A prospective</w:t>
      </w:r>
      <w:r w:rsidRPr="00BF0ED0">
        <w:rPr>
          <w:rFonts w:ascii="Book Antiqua" w:hAnsi="Book Antiqua"/>
          <w:sz w:val="24"/>
          <w:szCs w:val="24"/>
          <w:lang w:val="en-US"/>
        </w:rPr>
        <w:t xml:space="preserve"> study evaluating the clinical behavior of patients with OCI will be insightful.</w:t>
      </w:r>
    </w:p>
    <w:p w14:paraId="69ADBA77" w14:textId="77777777" w:rsidR="001835B3" w:rsidRPr="00BF0ED0" w:rsidRDefault="001835B3" w:rsidP="00484E7F">
      <w:pPr>
        <w:adjustRightInd w:val="0"/>
        <w:snapToGrid w:val="0"/>
        <w:spacing w:line="360" w:lineRule="auto"/>
        <w:jc w:val="both"/>
        <w:rPr>
          <w:rFonts w:ascii="Book Antiqua" w:eastAsiaTheme="minorEastAsia" w:hAnsi="Book Antiqua"/>
          <w:b/>
          <w:lang w:eastAsia="zh-CN"/>
        </w:rPr>
      </w:pPr>
    </w:p>
    <w:p w14:paraId="0D478A0B" w14:textId="77777777" w:rsidR="00EC1BBE" w:rsidRPr="00BF0ED0" w:rsidRDefault="00EC1BBE" w:rsidP="00484E7F">
      <w:pPr>
        <w:adjustRightInd w:val="0"/>
        <w:snapToGrid w:val="0"/>
        <w:spacing w:line="360" w:lineRule="auto"/>
        <w:jc w:val="both"/>
        <w:outlineLvl w:val="0"/>
        <w:rPr>
          <w:rFonts w:ascii="Book Antiqua" w:hAnsi="Book Antiqua"/>
          <w:b/>
        </w:rPr>
      </w:pPr>
      <w:r w:rsidRPr="00BF0ED0">
        <w:rPr>
          <w:rFonts w:ascii="Book Antiqua" w:hAnsi="Book Antiqua"/>
          <w:b/>
        </w:rPr>
        <w:t>ACKNOWLEDGMENTS</w:t>
      </w:r>
    </w:p>
    <w:p w14:paraId="44445A43" w14:textId="0C878956" w:rsidR="00EC1BBE" w:rsidRPr="00BF0ED0" w:rsidRDefault="00EC1BBE" w:rsidP="00484E7F">
      <w:pPr>
        <w:adjustRightInd w:val="0"/>
        <w:snapToGrid w:val="0"/>
        <w:spacing w:line="360" w:lineRule="auto"/>
        <w:jc w:val="both"/>
        <w:rPr>
          <w:rFonts w:ascii="Book Antiqua" w:eastAsiaTheme="minorEastAsia" w:hAnsi="Book Antiqua"/>
          <w:b/>
          <w:lang w:eastAsia="zh-CN"/>
        </w:rPr>
      </w:pPr>
      <w:r w:rsidRPr="00BF0ED0">
        <w:rPr>
          <w:rFonts w:ascii="Book Antiqua" w:hAnsi="Book Antiqua"/>
        </w:rPr>
        <w:t>We also thank the Aggeu Magalhães Laboratory, for making materials and staff available for this study.</w:t>
      </w:r>
    </w:p>
    <w:p w14:paraId="48D7499C" w14:textId="77777777" w:rsidR="001835B3" w:rsidRPr="00BF0ED0" w:rsidRDefault="001835B3" w:rsidP="00484E7F">
      <w:pPr>
        <w:adjustRightInd w:val="0"/>
        <w:snapToGrid w:val="0"/>
        <w:spacing w:line="360" w:lineRule="auto"/>
        <w:jc w:val="both"/>
        <w:outlineLvl w:val="0"/>
        <w:rPr>
          <w:rFonts w:ascii="Book Antiqua" w:eastAsiaTheme="minorEastAsia" w:hAnsi="Book Antiqua"/>
          <w:b/>
          <w:lang w:eastAsia="zh-CN"/>
        </w:rPr>
      </w:pPr>
      <w:r w:rsidRPr="00BF0ED0">
        <w:rPr>
          <w:rFonts w:ascii="Book Antiqua" w:hAnsi="Book Antiqua"/>
          <w:b/>
        </w:rPr>
        <w:br w:type="page"/>
      </w:r>
      <w:r w:rsidRPr="00BF0ED0">
        <w:rPr>
          <w:rFonts w:ascii="Book Antiqua" w:hAnsi="Book Antiqua"/>
          <w:b/>
        </w:rPr>
        <w:lastRenderedPageBreak/>
        <w:t>REFERENCES</w:t>
      </w:r>
    </w:p>
    <w:p w14:paraId="78DC95A0"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Pardo M, Bartolomé J, Ortiz-</w:t>
      </w:r>
      <w:proofErr w:type="spellStart"/>
      <w:r w:rsidRPr="001B5396">
        <w:rPr>
          <w:rFonts w:ascii="Book Antiqua" w:eastAsiaTheme="minorEastAsia" w:hAnsi="Book Antiqua" w:cstheme="minorBidi"/>
          <w:kern w:val="2"/>
          <w:lang w:val="en-US" w:eastAsia="zh-CN"/>
        </w:rPr>
        <w:t>Movilla</w:t>
      </w:r>
      <w:proofErr w:type="spellEnd"/>
      <w:r w:rsidRPr="001B5396">
        <w:rPr>
          <w:rFonts w:ascii="Book Antiqua" w:eastAsiaTheme="minorEastAsia" w:hAnsi="Book Antiqua" w:cstheme="minorBidi"/>
          <w:kern w:val="2"/>
          <w:lang w:val="en-US" w:eastAsia="zh-CN"/>
        </w:rPr>
        <w:t xml:space="preserve"> N, Rodríguez-</w:t>
      </w:r>
      <w:proofErr w:type="spellStart"/>
      <w:r w:rsidRPr="001B5396">
        <w:rPr>
          <w:rFonts w:ascii="Book Antiqua" w:eastAsiaTheme="minorEastAsia" w:hAnsi="Book Antiqua" w:cstheme="minorBidi"/>
          <w:kern w:val="2"/>
          <w:lang w:val="en-US" w:eastAsia="zh-CN"/>
        </w:rPr>
        <w:t>Iñigo</w:t>
      </w:r>
      <w:proofErr w:type="spellEnd"/>
      <w:r w:rsidRPr="001B5396">
        <w:rPr>
          <w:rFonts w:ascii="Book Antiqua" w:eastAsiaTheme="minorEastAsia" w:hAnsi="Book Antiqua" w:cstheme="minorBidi"/>
          <w:kern w:val="2"/>
          <w:lang w:val="en-US" w:eastAsia="zh-CN"/>
        </w:rPr>
        <w:t xml:space="preserve"> E, de Lucas S, Salas C, Jiménez-Heffernan JA, Pérez-</w:t>
      </w:r>
      <w:proofErr w:type="spellStart"/>
      <w:r w:rsidRPr="001B5396">
        <w:rPr>
          <w:rFonts w:ascii="Book Antiqua" w:eastAsiaTheme="minorEastAsia" w:hAnsi="Book Antiqua" w:cstheme="minorBidi"/>
          <w:kern w:val="2"/>
          <w:lang w:val="en-US" w:eastAsia="zh-CN"/>
        </w:rPr>
        <w:t>Mota</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Graus</w:t>
      </w:r>
      <w:proofErr w:type="spellEnd"/>
      <w:r w:rsidRPr="001B5396">
        <w:rPr>
          <w:rFonts w:ascii="Book Antiqua" w:eastAsiaTheme="minorEastAsia" w:hAnsi="Book Antiqua" w:cstheme="minorBidi"/>
          <w:kern w:val="2"/>
          <w:lang w:val="en-US" w:eastAsia="zh-CN"/>
        </w:rPr>
        <w:t xml:space="preserve"> J, López-</w:t>
      </w:r>
      <w:proofErr w:type="spellStart"/>
      <w:r w:rsidRPr="001B5396">
        <w:rPr>
          <w:rFonts w:ascii="Book Antiqua" w:eastAsiaTheme="minorEastAsia" w:hAnsi="Book Antiqua" w:cstheme="minorBidi"/>
          <w:kern w:val="2"/>
          <w:lang w:val="en-US" w:eastAsia="zh-CN"/>
        </w:rPr>
        <w:t>Alcorocho</w:t>
      </w:r>
      <w:proofErr w:type="spellEnd"/>
      <w:r w:rsidRPr="001B5396">
        <w:rPr>
          <w:rFonts w:ascii="Book Antiqua" w:eastAsiaTheme="minorEastAsia" w:hAnsi="Book Antiqua" w:cstheme="minorBidi"/>
          <w:kern w:val="2"/>
          <w:lang w:val="en-US" w:eastAsia="zh-CN"/>
        </w:rPr>
        <w:t xml:space="preserve"> JM,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Occult hepatitis C virus infection in patients in whom the etiology of persistently abnormal results of liver-function tests is unknown. </w:t>
      </w:r>
      <w:r w:rsidRPr="001B5396">
        <w:rPr>
          <w:rFonts w:ascii="Book Antiqua" w:eastAsiaTheme="minorEastAsia" w:hAnsi="Book Antiqua" w:cstheme="minorBidi"/>
          <w:i/>
          <w:kern w:val="2"/>
          <w:lang w:val="en-US" w:eastAsia="zh-CN"/>
        </w:rPr>
        <w:t>J Infect Dis</w:t>
      </w:r>
      <w:r w:rsidRPr="001B5396">
        <w:rPr>
          <w:rFonts w:ascii="Book Antiqua" w:eastAsiaTheme="minorEastAsia" w:hAnsi="Book Antiqua" w:cstheme="minorBidi"/>
          <w:kern w:val="2"/>
          <w:lang w:val="en-US" w:eastAsia="zh-CN"/>
        </w:rPr>
        <w:t xml:space="preserve"> 2004; </w:t>
      </w:r>
      <w:r w:rsidRPr="001B5396">
        <w:rPr>
          <w:rFonts w:ascii="Book Antiqua" w:eastAsiaTheme="minorEastAsia" w:hAnsi="Book Antiqua" w:cstheme="minorBidi"/>
          <w:b/>
          <w:kern w:val="2"/>
          <w:lang w:val="en-US" w:eastAsia="zh-CN"/>
        </w:rPr>
        <w:t>189</w:t>
      </w:r>
      <w:r w:rsidRPr="001B5396">
        <w:rPr>
          <w:rFonts w:ascii="Book Antiqua" w:eastAsiaTheme="minorEastAsia" w:hAnsi="Book Antiqua" w:cstheme="minorBidi"/>
          <w:kern w:val="2"/>
          <w:lang w:val="en-US" w:eastAsia="zh-CN"/>
        </w:rPr>
        <w:t>: 7-14 [PMID: 14702147 DOI: 10.1086/380202]</w:t>
      </w:r>
    </w:p>
    <w:p w14:paraId="41650AC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 </w:t>
      </w:r>
      <w:r w:rsidRPr="001B5396">
        <w:rPr>
          <w:rFonts w:ascii="Book Antiqua" w:eastAsiaTheme="minorEastAsia" w:hAnsi="Book Antiqua" w:cstheme="minorBidi"/>
          <w:b/>
          <w:kern w:val="2"/>
          <w:lang w:val="en-US" w:eastAsia="zh-CN"/>
        </w:rPr>
        <w:t>Gad YZ</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Mouas</w:t>
      </w:r>
      <w:proofErr w:type="spellEnd"/>
      <w:r w:rsidRPr="001B5396">
        <w:rPr>
          <w:rFonts w:ascii="Book Antiqua" w:eastAsiaTheme="minorEastAsia" w:hAnsi="Book Antiqua" w:cstheme="minorBidi"/>
          <w:kern w:val="2"/>
          <w:lang w:val="en-US" w:eastAsia="zh-CN"/>
        </w:rPr>
        <w:t xml:space="preserve"> N, Abdel-Aziz A, </w:t>
      </w:r>
      <w:proofErr w:type="spellStart"/>
      <w:r w:rsidRPr="001B5396">
        <w:rPr>
          <w:rFonts w:ascii="Book Antiqua" w:eastAsiaTheme="minorEastAsia" w:hAnsi="Book Antiqua" w:cstheme="minorBidi"/>
          <w:kern w:val="2"/>
          <w:lang w:val="en-US" w:eastAsia="zh-CN"/>
        </w:rPr>
        <w:t>Abousmra</w:t>
      </w:r>
      <w:proofErr w:type="spellEnd"/>
      <w:r w:rsidRPr="001B5396">
        <w:rPr>
          <w:rFonts w:ascii="Book Antiqua" w:eastAsiaTheme="minorEastAsia" w:hAnsi="Book Antiqua" w:cstheme="minorBidi"/>
          <w:kern w:val="2"/>
          <w:lang w:val="en-US" w:eastAsia="zh-CN"/>
        </w:rPr>
        <w:t xml:space="preserve"> N, </w:t>
      </w:r>
      <w:proofErr w:type="spellStart"/>
      <w:r w:rsidRPr="001B5396">
        <w:rPr>
          <w:rFonts w:ascii="Book Antiqua" w:eastAsiaTheme="minorEastAsia" w:hAnsi="Book Antiqua" w:cstheme="minorBidi"/>
          <w:kern w:val="2"/>
          <w:lang w:val="en-US" w:eastAsia="zh-CN"/>
        </w:rPr>
        <w:t>Elhadidy</w:t>
      </w:r>
      <w:proofErr w:type="spellEnd"/>
      <w:r w:rsidRPr="001B5396">
        <w:rPr>
          <w:rFonts w:ascii="Book Antiqua" w:eastAsiaTheme="minorEastAsia" w:hAnsi="Book Antiqua" w:cstheme="minorBidi"/>
          <w:kern w:val="2"/>
          <w:lang w:val="en-US" w:eastAsia="zh-CN"/>
        </w:rPr>
        <w:t xml:space="preserve"> M. Distinct immunoregulatory cytokine pattern in Egyptian patients with occult Hepatitis C infection and unexplained persistently elevated liver transaminases. </w:t>
      </w:r>
      <w:r w:rsidRPr="001B5396">
        <w:rPr>
          <w:rFonts w:ascii="Book Antiqua" w:eastAsiaTheme="minorEastAsia" w:hAnsi="Book Antiqua" w:cstheme="minorBidi"/>
          <w:i/>
          <w:kern w:val="2"/>
          <w:lang w:val="en-US" w:eastAsia="zh-CN"/>
        </w:rPr>
        <w:t xml:space="preserve">Asian J </w:t>
      </w:r>
      <w:proofErr w:type="spellStart"/>
      <w:r w:rsidRPr="001B5396">
        <w:rPr>
          <w:rFonts w:ascii="Book Antiqua" w:eastAsiaTheme="minorEastAsia" w:hAnsi="Book Antiqua" w:cstheme="minorBidi"/>
          <w:i/>
          <w:kern w:val="2"/>
          <w:lang w:val="en-US" w:eastAsia="zh-CN"/>
        </w:rPr>
        <w:t>Transfus</w:t>
      </w:r>
      <w:proofErr w:type="spellEnd"/>
      <w:r w:rsidRPr="001B5396">
        <w:rPr>
          <w:rFonts w:ascii="Book Antiqua" w:eastAsiaTheme="minorEastAsia" w:hAnsi="Book Antiqua" w:cstheme="minorBidi"/>
          <w:i/>
          <w:kern w:val="2"/>
          <w:lang w:val="en-US" w:eastAsia="zh-CN"/>
        </w:rPr>
        <w:t xml:space="preserve"> Sci</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6</w:t>
      </w:r>
      <w:r w:rsidRPr="001B5396">
        <w:rPr>
          <w:rFonts w:ascii="Book Antiqua" w:eastAsiaTheme="minorEastAsia" w:hAnsi="Book Antiqua" w:cstheme="minorBidi"/>
          <w:kern w:val="2"/>
          <w:lang w:val="en-US" w:eastAsia="zh-CN"/>
        </w:rPr>
        <w:t>: 24-28 [PMID: 22623838 DOI: 10.4103/0973-6247.95046]</w:t>
      </w:r>
    </w:p>
    <w:p w14:paraId="5C5AF3C4" w14:textId="68E6F3DF"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 </w:t>
      </w:r>
      <w:proofErr w:type="spellStart"/>
      <w:r w:rsidRPr="001B5396">
        <w:rPr>
          <w:rFonts w:ascii="Book Antiqua" w:eastAsiaTheme="minorEastAsia" w:hAnsi="Book Antiqua" w:cstheme="minorBidi"/>
          <w:b/>
          <w:kern w:val="2"/>
          <w:lang w:val="en-US" w:eastAsia="zh-CN"/>
        </w:rPr>
        <w:t>Granieri</w:t>
      </w:r>
      <w:proofErr w:type="spellEnd"/>
      <w:r w:rsidRPr="001B5396">
        <w:rPr>
          <w:rFonts w:ascii="Book Antiqua" w:eastAsiaTheme="minorEastAsia" w:hAnsi="Book Antiqua" w:cstheme="minorBidi"/>
          <w:b/>
          <w:kern w:val="2"/>
          <w:lang w:val="en-US" w:eastAsia="zh-CN"/>
        </w:rPr>
        <w:t xml:space="preserve"> C,</w:t>
      </w:r>
      <w:r w:rsidR="00205A72">
        <w:rPr>
          <w:rFonts w:ascii="Book Antiqua" w:eastAsiaTheme="minorEastAsia" w:hAnsi="Book Antiqua" w:cstheme="minorBidi"/>
          <w:kern w:val="2"/>
          <w:lang w:val="en-US" w:eastAsia="zh-CN"/>
        </w:rPr>
        <w:t xml:space="preserve"> </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Bagaglio</w:t>
      </w:r>
      <w:proofErr w:type="spellEnd"/>
      <w:r w:rsidRPr="001B5396">
        <w:rPr>
          <w:rFonts w:ascii="Book Antiqua" w:eastAsiaTheme="minorEastAsia" w:hAnsi="Book Antiqua" w:cstheme="minorBidi"/>
          <w:kern w:val="2"/>
          <w:lang w:val="en-US" w:eastAsia="zh-CN"/>
        </w:rPr>
        <w:t xml:space="preserve"> S, </w:t>
      </w:r>
      <w:proofErr w:type="spellStart"/>
      <w:r w:rsidRPr="001B5396">
        <w:rPr>
          <w:rFonts w:ascii="Book Antiqua" w:eastAsiaTheme="minorEastAsia" w:hAnsi="Book Antiqua" w:cstheme="minorBidi"/>
          <w:kern w:val="2"/>
          <w:lang w:val="en-US" w:eastAsia="zh-CN"/>
        </w:rPr>
        <w:t>Loggi</w:t>
      </w:r>
      <w:proofErr w:type="spellEnd"/>
      <w:r w:rsidRPr="001B5396">
        <w:rPr>
          <w:rFonts w:ascii="Book Antiqua" w:eastAsiaTheme="minorEastAsia" w:hAnsi="Book Antiqua" w:cstheme="minorBidi"/>
          <w:kern w:val="2"/>
          <w:lang w:val="en-US" w:eastAsia="zh-CN"/>
        </w:rPr>
        <w:t xml:space="preserve"> E, </w:t>
      </w:r>
      <w:proofErr w:type="spellStart"/>
      <w:r w:rsidRPr="001B5396">
        <w:rPr>
          <w:rFonts w:ascii="Book Antiqua" w:eastAsiaTheme="minorEastAsia" w:hAnsi="Book Antiqua" w:cstheme="minorBidi"/>
          <w:kern w:val="2"/>
          <w:lang w:val="en-US" w:eastAsia="zh-CN"/>
        </w:rPr>
        <w:t>Porrino</w:t>
      </w:r>
      <w:proofErr w:type="spellEnd"/>
      <w:r w:rsidRPr="001B5396">
        <w:rPr>
          <w:rFonts w:ascii="Book Antiqua" w:eastAsiaTheme="minorEastAsia" w:hAnsi="Book Antiqua" w:cstheme="minorBidi"/>
          <w:kern w:val="2"/>
          <w:lang w:val="en-US" w:eastAsia="zh-CN"/>
        </w:rPr>
        <w:t xml:space="preserve"> L, </w:t>
      </w:r>
      <w:proofErr w:type="spellStart"/>
      <w:r w:rsidRPr="001B5396">
        <w:rPr>
          <w:rFonts w:ascii="Book Antiqua" w:eastAsiaTheme="minorEastAsia" w:hAnsi="Book Antiqua" w:cstheme="minorBidi"/>
          <w:kern w:val="2"/>
          <w:lang w:val="en-US" w:eastAsia="zh-CN"/>
        </w:rPr>
        <w:t>Cursaro</w:t>
      </w:r>
      <w:proofErr w:type="spellEnd"/>
      <w:r w:rsidRPr="001B5396">
        <w:rPr>
          <w:rFonts w:ascii="Book Antiqua" w:eastAsiaTheme="minorEastAsia" w:hAnsi="Book Antiqua" w:cstheme="minorBidi"/>
          <w:kern w:val="2"/>
          <w:lang w:val="en-US" w:eastAsia="zh-CN"/>
        </w:rPr>
        <w:t xml:space="preserve"> C, </w:t>
      </w:r>
      <w:proofErr w:type="spellStart"/>
      <w:r w:rsidRPr="001B5396">
        <w:rPr>
          <w:rFonts w:ascii="Book Antiqua" w:eastAsiaTheme="minorEastAsia" w:hAnsi="Book Antiqua" w:cstheme="minorBidi"/>
          <w:kern w:val="2"/>
          <w:lang w:val="en-US" w:eastAsia="zh-CN"/>
        </w:rPr>
        <w:t>Micco</w:t>
      </w:r>
      <w:proofErr w:type="spellEnd"/>
      <w:r w:rsidRPr="001B5396">
        <w:rPr>
          <w:rFonts w:ascii="Book Antiqua" w:eastAsiaTheme="minorEastAsia" w:hAnsi="Book Antiqua" w:cstheme="minorBidi"/>
          <w:kern w:val="2"/>
          <w:lang w:val="en-US" w:eastAsia="zh-CN"/>
        </w:rPr>
        <w:t xml:space="preserve"> L, </w:t>
      </w:r>
      <w:proofErr w:type="spellStart"/>
      <w:r w:rsidRPr="001B5396">
        <w:rPr>
          <w:rFonts w:ascii="Book Antiqua" w:eastAsiaTheme="minorEastAsia" w:hAnsi="Book Antiqua" w:cstheme="minorBidi"/>
          <w:kern w:val="2"/>
          <w:lang w:val="en-US" w:eastAsia="zh-CN"/>
        </w:rPr>
        <w:t>Grandini</w:t>
      </w:r>
      <w:proofErr w:type="spellEnd"/>
      <w:r w:rsidRPr="001B5396">
        <w:rPr>
          <w:rFonts w:ascii="Book Antiqua" w:eastAsiaTheme="minorEastAsia" w:hAnsi="Book Antiqua" w:cstheme="minorBidi"/>
          <w:kern w:val="2"/>
          <w:lang w:val="en-US" w:eastAsia="zh-CN"/>
        </w:rPr>
        <w:t xml:space="preserve"> E, </w:t>
      </w:r>
      <w:proofErr w:type="spellStart"/>
      <w:r w:rsidRPr="001B5396">
        <w:rPr>
          <w:rFonts w:ascii="Book Antiqua" w:eastAsiaTheme="minorEastAsia" w:hAnsi="Book Antiqua" w:cstheme="minorBidi"/>
          <w:kern w:val="2"/>
          <w:lang w:val="en-US" w:eastAsia="zh-CN"/>
        </w:rPr>
        <w:t>Bernardi</w:t>
      </w:r>
      <w:proofErr w:type="spellEnd"/>
      <w:r w:rsidRPr="001B5396">
        <w:rPr>
          <w:rFonts w:ascii="Book Antiqua" w:eastAsiaTheme="minorEastAsia" w:hAnsi="Book Antiqua" w:cstheme="minorBidi"/>
          <w:kern w:val="2"/>
          <w:lang w:val="en-US" w:eastAsia="zh-CN"/>
        </w:rPr>
        <w:t xml:space="preserve"> M, </w:t>
      </w:r>
      <w:proofErr w:type="spellStart"/>
      <w:r w:rsidRPr="001B5396">
        <w:rPr>
          <w:rFonts w:ascii="Book Antiqua" w:eastAsiaTheme="minorEastAsia" w:hAnsi="Book Antiqua" w:cstheme="minorBidi"/>
          <w:kern w:val="2"/>
          <w:lang w:val="en-US" w:eastAsia="zh-CN"/>
        </w:rPr>
        <w:t>Morsica</w:t>
      </w:r>
      <w:proofErr w:type="spellEnd"/>
      <w:r w:rsidRPr="001B5396">
        <w:rPr>
          <w:rFonts w:ascii="Book Antiqua" w:eastAsiaTheme="minorEastAsia" w:hAnsi="Book Antiqua" w:cstheme="minorBidi"/>
          <w:kern w:val="2"/>
          <w:lang w:val="en-US" w:eastAsia="zh-CN"/>
        </w:rPr>
        <w:t xml:space="preserve"> G, </w:t>
      </w:r>
      <w:proofErr w:type="spellStart"/>
      <w:r w:rsidRPr="001B5396">
        <w:rPr>
          <w:rFonts w:ascii="Book Antiqua" w:eastAsiaTheme="minorEastAsia" w:hAnsi="Book Antiqua" w:cstheme="minorBidi"/>
          <w:kern w:val="2"/>
          <w:lang w:val="en-US" w:eastAsia="zh-CN"/>
        </w:rPr>
        <w:t>Andreone</w:t>
      </w:r>
      <w:proofErr w:type="spellEnd"/>
      <w:r w:rsidRPr="001B5396">
        <w:rPr>
          <w:rFonts w:ascii="Book Antiqua" w:eastAsiaTheme="minorEastAsia" w:hAnsi="Book Antiqua" w:cstheme="minorBidi"/>
          <w:kern w:val="2"/>
          <w:lang w:val="en-US" w:eastAsia="zh-CN"/>
        </w:rPr>
        <w:t xml:space="preserve"> P. High prevalence of occult hepatitis C virus infection in non </w:t>
      </w:r>
      <w:proofErr w:type="spellStart"/>
      <w:r w:rsidRPr="001B5396">
        <w:rPr>
          <w:rFonts w:ascii="Book Antiqua" w:eastAsiaTheme="minorEastAsia" w:hAnsi="Book Antiqua" w:cstheme="minorBidi"/>
          <w:kern w:val="2"/>
          <w:lang w:val="en-US" w:eastAsia="zh-CN"/>
        </w:rPr>
        <w:t>alcholic</w:t>
      </w:r>
      <w:proofErr w:type="spellEnd"/>
      <w:r w:rsidRPr="001B5396">
        <w:rPr>
          <w:rFonts w:ascii="Book Antiqua" w:eastAsiaTheme="minorEastAsia" w:hAnsi="Book Antiqua" w:cstheme="minorBidi"/>
          <w:kern w:val="2"/>
          <w:lang w:val="en-US" w:eastAsia="zh-CN"/>
        </w:rPr>
        <w:t xml:space="preserve"> steatohepatitis and </w:t>
      </w:r>
      <w:proofErr w:type="spellStart"/>
      <w:r w:rsidRPr="001B5396">
        <w:rPr>
          <w:rFonts w:ascii="Book Antiqua" w:eastAsiaTheme="minorEastAsia" w:hAnsi="Book Antiqua" w:cstheme="minorBidi"/>
          <w:kern w:val="2"/>
          <w:lang w:val="en-US" w:eastAsia="zh-CN"/>
        </w:rPr>
        <w:t>cryptogenetic</w:t>
      </w:r>
      <w:proofErr w:type="spellEnd"/>
      <w:r w:rsidRPr="001B5396">
        <w:rPr>
          <w:rFonts w:ascii="Book Antiqua" w:eastAsiaTheme="minorEastAsia" w:hAnsi="Book Antiqua" w:cstheme="minorBidi"/>
          <w:kern w:val="2"/>
          <w:lang w:val="en-US" w:eastAsia="zh-CN"/>
        </w:rPr>
        <w:t xml:space="preserve"> liver diseases. </w:t>
      </w:r>
      <w:r w:rsidRPr="001B5396">
        <w:rPr>
          <w:rFonts w:ascii="Book Antiqua" w:eastAsiaTheme="minorEastAsia" w:hAnsi="Book Antiqua" w:cstheme="minorBidi"/>
          <w:i/>
          <w:kern w:val="2"/>
          <w:lang w:val="en-US" w:eastAsia="zh-CN"/>
        </w:rPr>
        <w:t xml:space="preserve">Dig Liver Dis </w:t>
      </w:r>
      <w:r w:rsidRPr="001B5396">
        <w:rPr>
          <w:rFonts w:ascii="Book Antiqua" w:eastAsiaTheme="minorEastAsia" w:hAnsi="Book Antiqua" w:cstheme="minorBidi"/>
          <w:kern w:val="2"/>
          <w:lang w:val="en-US" w:eastAsia="zh-CN"/>
        </w:rPr>
        <w:t xml:space="preserve">2011; </w:t>
      </w:r>
      <w:r w:rsidRPr="001B5396">
        <w:rPr>
          <w:rFonts w:ascii="Book Antiqua" w:eastAsiaTheme="minorEastAsia" w:hAnsi="Book Antiqua" w:cstheme="minorBidi"/>
          <w:b/>
          <w:kern w:val="2"/>
          <w:lang w:val="en-US" w:eastAsia="zh-CN"/>
        </w:rPr>
        <w:t>43</w:t>
      </w:r>
      <w:r w:rsidRPr="001B5396">
        <w:rPr>
          <w:rFonts w:ascii="Book Antiqua" w:eastAsiaTheme="minorEastAsia" w:hAnsi="Book Antiqua" w:cstheme="minorBidi"/>
          <w:kern w:val="2"/>
          <w:lang w:val="en-US" w:eastAsia="zh-CN"/>
        </w:rPr>
        <w:t>: S91–92 [DOI: 10.1016/S1590-8658(11)60083-2]</w:t>
      </w:r>
    </w:p>
    <w:p w14:paraId="28469BF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4 </w:t>
      </w:r>
      <w:r w:rsidRPr="001B5396">
        <w:rPr>
          <w:rFonts w:ascii="Book Antiqua" w:eastAsiaTheme="minorEastAsia" w:hAnsi="Book Antiqua" w:cstheme="minorBidi"/>
          <w:b/>
          <w:kern w:val="2"/>
          <w:lang w:val="en-US" w:eastAsia="zh-CN"/>
        </w:rPr>
        <w:t>Saad Y</w:t>
      </w:r>
      <w:r w:rsidRPr="001B5396">
        <w:rPr>
          <w:rFonts w:ascii="Book Antiqua" w:eastAsiaTheme="minorEastAsia" w:hAnsi="Book Antiqua" w:cstheme="minorBidi"/>
          <w:kern w:val="2"/>
          <w:lang w:val="en-US" w:eastAsia="zh-CN"/>
        </w:rPr>
        <w:t xml:space="preserve">. Prevalence of occult hepatitis C in </w:t>
      </w:r>
      <w:proofErr w:type="spellStart"/>
      <w:r w:rsidRPr="001B5396">
        <w:rPr>
          <w:rFonts w:ascii="Book Antiqua" w:eastAsiaTheme="minorEastAsia" w:hAnsi="Book Antiqua" w:cstheme="minorBidi"/>
          <w:kern w:val="2"/>
          <w:lang w:val="en-US" w:eastAsia="zh-CN"/>
        </w:rPr>
        <w:t>egyptian</w:t>
      </w:r>
      <w:proofErr w:type="spellEnd"/>
      <w:r w:rsidRPr="001B5396">
        <w:rPr>
          <w:rFonts w:ascii="Book Antiqua" w:eastAsiaTheme="minorEastAsia" w:hAnsi="Book Antiqua" w:cstheme="minorBidi"/>
          <w:kern w:val="2"/>
          <w:lang w:val="en-US" w:eastAsia="zh-CN"/>
        </w:rPr>
        <w:t xml:space="preserve"> patients with </w:t>
      </w:r>
      <w:proofErr w:type="spellStart"/>
      <w:proofErr w:type="gramStart"/>
      <w:r w:rsidRPr="001B5396">
        <w:rPr>
          <w:rFonts w:ascii="Book Antiqua" w:eastAsiaTheme="minorEastAsia" w:hAnsi="Book Antiqua" w:cstheme="minorBidi"/>
          <w:kern w:val="2"/>
          <w:lang w:val="en-US" w:eastAsia="zh-CN"/>
        </w:rPr>
        <w:t>non alcoholic</w:t>
      </w:r>
      <w:proofErr w:type="spellEnd"/>
      <w:proofErr w:type="gramEnd"/>
      <w:r w:rsidRPr="001B5396">
        <w:rPr>
          <w:rFonts w:ascii="Book Antiqua" w:eastAsiaTheme="minorEastAsia" w:hAnsi="Book Antiqua" w:cstheme="minorBidi"/>
          <w:kern w:val="2"/>
          <w:lang w:val="en-US" w:eastAsia="zh-CN"/>
        </w:rPr>
        <w:t xml:space="preserve"> fatty liver disease.</w:t>
      </w:r>
      <w:r w:rsidRPr="001B5396">
        <w:rPr>
          <w:rFonts w:ascii="Book Antiqua" w:eastAsiaTheme="minorEastAsia" w:hAnsi="Book Antiqua" w:cstheme="minorBidi"/>
          <w:i/>
          <w:kern w:val="2"/>
          <w:lang w:val="en-US" w:eastAsia="zh-CN"/>
        </w:rPr>
        <w:t xml:space="preserve"> Open J Intern Med </w:t>
      </w:r>
      <w:r w:rsidRPr="001B5396">
        <w:rPr>
          <w:rFonts w:ascii="Book Antiqua" w:eastAsiaTheme="minorEastAsia" w:hAnsi="Book Antiqua" w:cstheme="minorBidi"/>
          <w:kern w:val="2"/>
          <w:lang w:val="en-US" w:eastAsia="zh-CN"/>
        </w:rPr>
        <w:t xml:space="preserve">2011; </w:t>
      </w:r>
      <w:r w:rsidRPr="001B5396">
        <w:rPr>
          <w:rFonts w:ascii="Book Antiqua" w:eastAsiaTheme="minorEastAsia" w:hAnsi="Book Antiqua" w:cstheme="minorBidi"/>
          <w:b/>
          <w:kern w:val="2"/>
          <w:lang w:val="en-US" w:eastAsia="zh-CN"/>
        </w:rPr>
        <w:t>1</w:t>
      </w:r>
      <w:r w:rsidRPr="001B5396">
        <w:rPr>
          <w:rFonts w:ascii="Book Antiqua" w:eastAsiaTheme="minorEastAsia" w:hAnsi="Book Antiqua" w:cstheme="minorBidi"/>
          <w:kern w:val="2"/>
          <w:lang w:val="en-US" w:eastAsia="zh-CN"/>
        </w:rPr>
        <w:t>: 33–37 [DOI: 10.4236/ojim.2011.12009]</w:t>
      </w:r>
    </w:p>
    <w:p w14:paraId="37DB276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5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xml:space="preserve">, Martinez-Ara J, Olea T, Bartolomé J, Madero R, Hernández E, </w:t>
      </w:r>
      <w:proofErr w:type="spellStart"/>
      <w:r w:rsidRPr="001B5396">
        <w:rPr>
          <w:rFonts w:ascii="Book Antiqua" w:eastAsiaTheme="minorEastAsia" w:hAnsi="Book Antiqua" w:cstheme="minorBidi"/>
          <w:kern w:val="2"/>
          <w:lang w:val="en-US" w:eastAsia="zh-CN"/>
        </w:rPr>
        <w:t>Bernis</w:t>
      </w:r>
      <w:proofErr w:type="spellEnd"/>
      <w:r w:rsidRPr="001B5396">
        <w:rPr>
          <w:rFonts w:ascii="Book Antiqua" w:eastAsiaTheme="minorEastAsia" w:hAnsi="Book Antiqua" w:cstheme="minorBidi"/>
          <w:kern w:val="2"/>
          <w:lang w:val="en-US" w:eastAsia="zh-CN"/>
        </w:rPr>
        <w:t xml:space="preserve"> C, Aguilar A, Quiroga JA,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w:t>
      </w:r>
      <w:proofErr w:type="spellStart"/>
      <w:r w:rsidRPr="001B5396">
        <w:rPr>
          <w:rFonts w:ascii="Book Antiqua" w:eastAsiaTheme="minorEastAsia" w:hAnsi="Book Antiqua" w:cstheme="minorBidi"/>
          <w:kern w:val="2"/>
          <w:lang w:val="en-US" w:eastAsia="zh-CN"/>
        </w:rPr>
        <w:t>Selgas</w:t>
      </w:r>
      <w:proofErr w:type="spellEnd"/>
      <w:r w:rsidRPr="001B5396">
        <w:rPr>
          <w:rFonts w:ascii="Book Antiqua" w:eastAsiaTheme="minorEastAsia" w:hAnsi="Book Antiqua" w:cstheme="minorBidi"/>
          <w:kern w:val="2"/>
          <w:lang w:val="en-US" w:eastAsia="zh-CN"/>
        </w:rPr>
        <w:t xml:space="preserve"> R. High prevalence of occult hepatitis C virus infection in patients with primary and secondary glomerular nephropathies. </w:t>
      </w:r>
      <w:r w:rsidRPr="001B5396">
        <w:rPr>
          <w:rFonts w:ascii="Book Antiqua" w:eastAsiaTheme="minorEastAsia" w:hAnsi="Book Antiqua" w:cstheme="minorBidi"/>
          <w:i/>
          <w:kern w:val="2"/>
          <w:lang w:val="en-US" w:eastAsia="zh-CN"/>
        </w:rPr>
        <w:t xml:space="preserve">Kidney </w:t>
      </w:r>
      <w:proofErr w:type="spellStart"/>
      <w:r w:rsidRPr="001B5396">
        <w:rPr>
          <w:rFonts w:ascii="Book Antiqua" w:eastAsiaTheme="minorEastAsia" w:hAnsi="Book Antiqua" w:cstheme="minorBidi"/>
          <w:i/>
          <w:kern w:val="2"/>
          <w:lang w:val="en-US" w:eastAsia="zh-CN"/>
        </w:rPr>
        <w:t>Int</w:t>
      </w:r>
      <w:proofErr w:type="spellEnd"/>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86</w:t>
      </w:r>
      <w:r w:rsidRPr="001B5396">
        <w:rPr>
          <w:rFonts w:ascii="Book Antiqua" w:eastAsiaTheme="minorEastAsia" w:hAnsi="Book Antiqua" w:cstheme="minorBidi"/>
          <w:kern w:val="2"/>
          <w:lang w:val="en-US" w:eastAsia="zh-CN"/>
        </w:rPr>
        <w:t>: 619-624 [PMID: 24646855 DOI: 10.1038/ki.2014.68]</w:t>
      </w:r>
    </w:p>
    <w:p w14:paraId="6D847DBA"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6 </w:t>
      </w:r>
      <w:r w:rsidRPr="001B5396">
        <w:rPr>
          <w:rFonts w:ascii="Book Antiqua" w:eastAsiaTheme="minorEastAsia" w:hAnsi="Book Antiqua" w:cstheme="minorBidi"/>
          <w:b/>
          <w:kern w:val="2"/>
          <w:lang w:val="en-US" w:eastAsia="zh-CN"/>
        </w:rPr>
        <w:t>Youssef SS</w:t>
      </w:r>
      <w:r w:rsidRPr="001B5396">
        <w:rPr>
          <w:rFonts w:ascii="Book Antiqua" w:eastAsiaTheme="minorEastAsia" w:hAnsi="Book Antiqua" w:cstheme="minorBidi"/>
          <w:kern w:val="2"/>
          <w:lang w:val="en-US" w:eastAsia="zh-CN"/>
        </w:rPr>
        <w:t xml:space="preserve">, Nasr AS, El </w:t>
      </w:r>
      <w:proofErr w:type="spellStart"/>
      <w:r w:rsidRPr="001B5396">
        <w:rPr>
          <w:rFonts w:ascii="Book Antiqua" w:eastAsiaTheme="minorEastAsia" w:hAnsi="Book Antiqua" w:cstheme="minorBidi"/>
          <w:kern w:val="2"/>
          <w:lang w:val="en-US" w:eastAsia="zh-CN"/>
        </w:rPr>
        <w:t>Zanaty</w:t>
      </w:r>
      <w:proofErr w:type="spellEnd"/>
      <w:r w:rsidRPr="001B5396">
        <w:rPr>
          <w:rFonts w:ascii="Book Antiqua" w:eastAsiaTheme="minorEastAsia" w:hAnsi="Book Antiqua" w:cstheme="minorBidi"/>
          <w:kern w:val="2"/>
          <w:lang w:val="en-US" w:eastAsia="zh-CN"/>
        </w:rPr>
        <w:t xml:space="preserve"> T, El </w:t>
      </w:r>
      <w:proofErr w:type="spellStart"/>
      <w:r w:rsidRPr="001B5396">
        <w:rPr>
          <w:rFonts w:ascii="Book Antiqua" w:eastAsiaTheme="minorEastAsia" w:hAnsi="Book Antiqua" w:cstheme="minorBidi"/>
          <w:kern w:val="2"/>
          <w:lang w:val="en-US" w:eastAsia="zh-CN"/>
        </w:rPr>
        <w:t>Rawi</w:t>
      </w:r>
      <w:proofErr w:type="spellEnd"/>
      <w:r w:rsidRPr="001B5396">
        <w:rPr>
          <w:rFonts w:ascii="Book Antiqua" w:eastAsiaTheme="minorEastAsia" w:hAnsi="Book Antiqua" w:cstheme="minorBidi"/>
          <w:kern w:val="2"/>
          <w:lang w:val="en-US" w:eastAsia="zh-CN"/>
        </w:rPr>
        <w:t xml:space="preserve"> RS, </w:t>
      </w:r>
      <w:proofErr w:type="spellStart"/>
      <w:r w:rsidRPr="001B5396">
        <w:rPr>
          <w:rFonts w:ascii="Book Antiqua" w:eastAsiaTheme="minorEastAsia" w:hAnsi="Book Antiqua" w:cstheme="minorBidi"/>
          <w:kern w:val="2"/>
          <w:lang w:val="en-US" w:eastAsia="zh-CN"/>
        </w:rPr>
        <w:t>Mattar</w:t>
      </w:r>
      <w:proofErr w:type="spellEnd"/>
      <w:r w:rsidRPr="001B5396">
        <w:rPr>
          <w:rFonts w:ascii="Book Antiqua" w:eastAsiaTheme="minorEastAsia" w:hAnsi="Book Antiqua" w:cstheme="minorBidi"/>
          <w:kern w:val="2"/>
          <w:lang w:val="en-US" w:eastAsia="zh-CN"/>
        </w:rPr>
        <w:t xml:space="preserve"> MM. Prevalence of occult hepatitis C virus in </w:t>
      </w:r>
      <w:proofErr w:type="spellStart"/>
      <w:r w:rsidRPr="001B5396">
        <w:rPr>
          <w:rFonts w:ascii="Book Antiqua" w:eastAsiaTheme="minorEastAsia" w:hAnsi="Book Antiqua" w:cstheme="minorBidi"/>
          <w:kern w:val="2"/>
          <w:lang w:val="en-US" w:eastAsia="zh-CN"/>
        </w:rPr>
        <w:t>egyptian</w:t>
      </w:r>
      <w:proofErr w:type="spellEnd"/>
      <w:r w:rsidRPr="001B5396">
        <w:rPr>
          <w:rFonts w:ascii="Book Antiqua" w:eastAsiaTheme="minorEastAsia" w:hAnsi="Book Antiqua" w:cstheme="minorBidi"/>
          <w:kern w:val="2"/>
          <w:lang w:val="en-US" w:eastAsia="zh-CN"/>
        </w:rPr>
        <w:t xml:space="preserve"> patients with chronic lymphoproliferative disorders. </w:t>
      </w:r>
      <w:proofErr w:type="spellStart"/>
      <w:r w:rsidRPr="001B5396">
        <w:rPr>
          <w:rFonts w:ascii="Book Antiqua" w:eastAsiaTheme="minorEastAsia" w:hAnsi="Book Antiqua" w:cstheme="minorBidi"/>
          <w:i/>
          <w:kern w:val="2"/>
          <w:lang w:val="en-US" w:eastAsia="zh-CN"/>
        </w:rPr>
        <w:t>Hepat</w:t>
      </w:r>
      <w:proofErr w:type="spellEnd"/>
      <w:r w:rsidRPr="001B5396">
        <w:rPr>
          <w:rFonts w:ascii="Book Antiqua" w:eastAsiaTheme="minorEastAsia" w:hAnsi="Book Antiqua" w:cstheme="minorBidi"/>
          <w:i/>
          <w:kern w:val="2"/>
          <w:lang w:val="en-US" w:eastAsia="zh-CN"/>
        </w:rPr>
        <w:t xml:space="preserve"> Res Treat</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2012</w:t>
      </w:r>
      <w:r w:rsidRPr="001B5396">
        <w:rPr>
          <w:rFonts w:ascii="Book Antiqua" w:eastAsiaTheme="minorEastAsia" w:hAnsi="Book Antiqua" w:cstheme="minorBidi"/>
          <w:kern w:val="2"/>
          <w:lang w:val="en-US" w:eastAsia="zh-CN"/>
        </w:rPr>
        <w:t>: 429784 [PMID: 23304473 DOI: 10.1155/2012/429784]</w:t>
      </w:r>
    </w:p>
    <w:p w14:paraId="0ED82F73"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7 </w:t>
      </w:r>
      <w:proofErr w:type="spellStart"/>
      <w:r w:rsidRPr="001B5396">
        <w:rPr>
          <w:rFonts w:ascii="Book Antiqua" w:eastAsiaTheme="minorEastAsia" w:hAnsi="Book Antiqua" w:cstheme="minorBidi"/>
          <w:b/>
          <w:kern w:val="2"/>
          <w:lang w:val="en-US" w:eastAsia="zh-CN"/>
        </w:rPr>
        <w:t>Barril</w:t>
      </w:r>
      <w:proofErr w:type="spellEnd"/>
      <w:r w:rsidRPr="001B5396">
        <w:rPr>
          <w:rFonts w:ascii="Book Antiqua" w:eastAsiaTheme="minorEastAsia" w:hAnsi="Book Antiqua" w:cstheme="minorBidi"/>
          <w:b/>
          <w:kern w:val="2"/>
          <w:lang w:val="en-US" w:eastAsia="zh-CN"/>
        </w:rPr>
        <w:t xml:space="preserve"> G</w:t>
      </w:r>
      <w:r w:rsidRPr="001B5396">
        <w:rPr>
          <w:rFonts w:ascii="Book Antiqua" w:eastAsiaTheme="minorEastAsia" w:hAnsi="Book Antiqua" w:cstheme="minorBidi"/>
          <w:kern w:val="2"/>
          <w:lang w:val="en-US" w:eastAsia="zh-CN"/>
        </w:rPr>
        <w:t>, Castillo I, Arenas MD, Espinosa M, Garcia-</w:t>
      </w:r>
      <w:proofErr w:type="spellStart"/>
      <w:r w:rsidRPr="001B5396">
        <w:rPr>
          <w:rFonts w:ascii="Book Antiqua" w:eastAsiaTheme="minorEastAsia" w:hAnsi="Book Antiqua" w:cstheme="minorBidi"/>
          <w:kern w:val="2"/>
          <w:lang w:val="en-US" w:eastAsia="zh-CN"/>
        </w:rPr>
        <w:t>Valdecasas</w:t>
      </w:r>
      <w:proofErr w:type="spellEnd"/>
      <w:r w:rsidRPr="001B5396">
        <w:rPr>
          <w:rFonts w:ascii="Book Antiqua" w:eastAsiaTheme="minorEastAsia" w:hAnsi="Book Antiqua" w:cstheme="minorBidi"/>
          <w:kern w:val="2"/>
          <w:lang w:val="en-US" w:eastAsia="zh-CN"/>
        </w:rPr>
        <w:t xml:space="preserve"> J, Garcia-Fernández N, González-Parra E, Alcazar JM, Sánchez C, Diez-</w:t>
      </w:r>
      <w:proofErr w:type="spellStart"/>
      <w:r w:rsidRPr="001B5396">
        <w:rPr>
          <w:rFonts w:ascii="Book Antiqua" w:eastAsiaTheme="minorEastAsia" w:hAnsi="Book Antiqua" w:cstheme="minorBidi"/>
          <w:kern w:val="2"/>
          <w:lang w:val="en-US" w:eastAsia="zh-CN"/>
        </w:rPr>
        <w:t>Baylón</w:t>
      </w:r>
      <w:proofErr w:type="spellEnd"/>
      <w:r w:rsidRPr="001B5396">
        <w:rPr>
          <w:rFonts w:ascii="Book Antiqua" w:eastAsiaTheme="minorEastAsia" w:hAnsi="Book Antiqua" w:cstheme="minorBidi"/>
          <w:kern w:val="2"/>
          <w:lang w:val="en-US" w:eastAsia="zh-CN"/>
        </w:rPr>
        <w:t xml:space="preserve"> JC, Martinez P, Bartolomé J,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Occult hepatitis C virus infection among hemodialysis patients. </w:t>
      </w:r>
      <w:r w:rsidRPr="001B5396">
        <w:rPr>
          <w:rFonts w:ascii="Book Antiqua" w:eastAsiaTheme="minorEastAsia" w:hAnsi="Book Antiqua" w:cstheme="minorBidi"/>
          <w:i/>
          <w:kern w:val="2"/>
          <w:lang w:val="en-US" w:eastAsia="zh-CN"/>
        </w:rPr>
        <w:t xml:space="preserve">J Am </w:t>
      </w:r>
      <w:proofErr w:type="spellStart"/>
      <w:r w:rsidRPr="001B5396">
        <w:rPr>
          <w:rFonts w:ascii="Book Antiqua" w:eastAsiaTheme="minorEastAsia" w:hAnsi="Book Antiqua" w:cstheme="minorBidi"/>
          <w:i/>
          <w:kern w:val="2"/>
          <w:lang w:val="en-US" w:eastAsia="zh-CN"/>
        </w:rPr>
        <w:t>Soc</w:t>
      </w:r>
      <w:proofErr w:type="spellEnd"/>
      <w:r w:rsidRPr="001B5396">
        <w:rPr>
          <w:rFonts w:ascii="Book Antiqua" w:eastAsiaTheme="minorEastAsia" w:hAnsi="Book Antiqua" w:cstheme="minorBidi"/>
          <w:i/>
          <w:kern w:val="2"/>
          <w:lang w:val="en-US" w:eastAsia="zh-CN"/>
        </w:rPr>
        <w:t xml:space="preserve"> </w:t>
      </w:r>
      <w:proofErr w:type="spellStart"/>
      <w:r w:rsidRPr="001B5396">
        <w:rPr>
          <w:rFonts w:ascii="Book Antiqua" w:eastAsiaTheme="minorEastAsia" w:hAnsi="Book Antiqua" w:cstheme="minorBidi"/>
          <w:i/>
          <w:kern w:val="2"/>
          <w:lang w:val="en-US" w:eastAsia="zh-CN"/>
        </w:rPr>
        <w:t>Nephrol</w:t>
      </w:r>
      <w:proofErr w:type="spellEnd"/>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19</w:t>
      </w:r>
      <w:r w:rsidRPr="001B5396">
        <w:rPr>
          <w:rFonts w:ascii="Book Antiqua" w:eastAsiaTheme="minorEastAsia" w:hAnsi="Book Antiqua" w:cstheme="minorBidi"/>
          <w:kern w:val="2"/>
          <w:lang w:val="en-US" w:eastAsia="zh-CN"/>
        </w:rPr>
        <w:t>: 2288-2292 [PMID: 18684893 DOI: 10.1681/ASN.2008030293]</w:t>
      </w:r>
    </w:p>
    <w:p w14:paraId="16A11164"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8 </w:t>
      </w:r>
      <w:r w:rsidRPr="001B5396">
        <w:rPr>
          <w:rFonts w:ascii="Book Antiqua" w:eastAsiaTheme="minorEastAsia" w:hAnsi="Book Antiqua" w:cstheme="minorBidi"/>
          <w:b/>
          <w:kern w:val="2"/>
          <w:lang w:val="en-US" w:eastAsia="zh-CN"/>
        </w:rPr>
        <w:t>Quiroga JA</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Llorente</w:t>
      </w:r>
      <w:proofErr w:type="spellEnd"/>
      <w:r w:rsidRPr="001B5396">
        <w:rPr>
          <w:rFonts w:ascii="Book Antiqua" w:eastAsiaTheme="minorEastAsia" w:hAnsi="Book Antiqua" w:cstheme="minorBidi"/>
          <w:kern w:val="2"/>
          <w:lang w:val="en-US" w:eastAsia="zh-CN"/>
        </w:rPr>
        <w:t xml:space="preserve"> S, Castillo I, Rodríguez-</w:t>
      </w:r>
      <w:proofErr w:type="spellStart"/>
      <w:r w:rsidRPr="001B5396">
        <w:rPr>
          <w:rFonts w:ascii="Book Antiqua" w:eastAsiaTheme="minorEastAsia" w:hAnsi="Book Antiqua" w:cstheme="minorBidi"/>
          <w:kern w:val="2"/>
          <w:lang w:val="en-US" w:eastAsia="zh-CN"/>
        </w:rPr>
        <w:t>Iñigo</w:t>
      </w:r>
      <w:proofErr w:type="spellEnd"/>
      <w:r w:rsidRPr="001B5396">
        <w:rPr>
          <w:rFonts w:ascii="Book Antiqua" w:eastAsiaTheme="minorEastAsia" w:hAnsi="Book Antiqua" w:cstheme="minorBidi"/>
          <w:kern w:val="2"/>
          <w:lang w:val="en-US" w:eastAsia="zh-CN"/>
        </w:rPr>
        <w:t xml:space="preserve"> E, Pardo M,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w:t>
      </w:r>
      <w:r w:rsidRPr="001B5396">
        <w:rPr>
          <w:rFonts w:ascii="Book Antiqua" w:eastAsiaTheme="minorEastAsia" w:hAnsi="Book Antiqua" w:cstheme="minorBidi"/>
          <w:kern w:val="2"/>
          <w:lang w:val="en-US" w:eastAsia="zh-CN"/>
        </w:rPr>
        <w:lastRenderedPageBreak/>
        <w:t xml:space="preserve">Cellular immune responses associated with occult hepatitis C virus infection of the liver. </w:t>
      </w:r>
      <w:r w:rsidRPr="001B5396">
        <w:rPr>
          <w:rFonts w:ascii="Book Antiqua" w:eastAsiaTheme="minorEastAsia" w:hAnsi="Book Antiqua" w:cstheme="minorBidi"/>
          <w:i/>
          <w:kern w:val="2"/>
          <w:lang w:val="en-US" w:eastAsia="zh-CN"/>
        </w:rPr>
        <w:t xml:space="preserve">J </w:t>
      </w:r>
      <w:proofErr w:type="spellStart"/>
      <w:r w:rsidRPr="001B5396">
        <w:rPr>
          <w:rFonts w:ascii="Book Antiqua" w:eastAsiaTheme="minorEastAsia" w:hAnsi="Book Antiqua" w:cstheme="minorBidi"/>
          <w:i/>
          <w:kern w:val="2"/>
          <w:lang w:val="en-US" w:eastAsia="zh-CN"/>
        </w:rPr>
        <w:t>Virol</w:t>
      </w:r>
      <w:proofErr w:type="spellEnd"/>
      <w:r w:rsidRPr="001B5396">
        <w:rPr>
          <w:rFonts w:ascii="Book Antiqua" w:eastAsiaTheme="minorEastAsia" w:hAnsi="Book Antiqua" w:cstheme="minorBidi"/>
          <w:kern w:val="2"/>
          <w:lang w:val="en-US" w:eastAsia="zh-CN"/>
        </w:rPr>
        <w:t xml:space="preserve"> 2006; </w:t>
      </w:r>
      <w:r w:rsidRPr="001B5396">
        <w:rPr>
          <w:rFonts w:ascii="Book Antiqua" w:eastAsiaTheme="minorEastAsia" w:hAnsi="Book Antiqua" w:cstheme="minorBidi"/>
          <w:b/>
          <w:kern w:val="2"/>
          <w:lang w:val="en-US" w:eastAsia="zh-CN"/>
        </w:rPr>
        <w:t>80</w:t>
      </w:r>
      <w:r w:rsidRPr="001B5396">
        <w:rPr>
          <w:rFonts w:ascii="Book Antiqua" w:eastAsiaTheme="minorEastAsia" w:hAnsi="Book Antiqua" w:cstheme="minorBidi"/>
          <w:kern w:val="2"/>
          <w:lang w:val="en-US" w:eastAsia="zh-CN"/>
        </w:rPr>
        <w:t>: 10972-10979 [PMID: 17071928 DOI: 10.1128/JVI.00852-06]</w:t>
      </w:r>
    </w:p>
    <w:p w14:paraId="3C24EF29"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9 </w:t>
      </w:r>
      <w:proofErr w:type="spellStart"/>
      <w:r w:rsidRPr="001B5396">
        <w:rPr>
          <w:rFonts w:ascii="Book Antiqua" w:eastAsiaTheme="minorEastAsia" w:hAnsi="Book Antiqua" w:cstheme="minorBidi"/>
          <w:b/>
          <w:kern w:val="2"/>
          <w:lang w:val="en-US" w:eastAsia="zh-CN"/>
        </w:rPr>
        <w:t>Fissell</w:t>
      </w:r>
      <w:proofErr w:type="spellEnd"/>
      <w:r w:rsidRPr="001B5396">
        <w:rPr>
          <w:rFonts w:ascii="Book Antiqua" w:eastAsiaTheme="minorEastAsia" w:hAnsi="Book Antiqua" w:cstheme="minorBidi"/>
          <w:b/>
          <w:kern w:val="2"/>
          <w:lang w:val="en-US" w:eastAsia="zh-CN"/>
        </w:rPr>
        <w:t xml:space="preserve"> RB</w:t>
      </w:r>
      <w:r w:rsidRPr="001B5396">
        <w:rPr>
          <w:rFonts w:ascii="Book Antiqua" w:eastAsiaTheme="minorEastAsia" w:hAnsi="Book Antiqua" w:cstheme="minorBidi"/>
          <w:kern w:val="2"/>
          <w:lang w:val="en-US" w:eastAsia="zh-CN"/>
        </w:rPr>
        <w:t xml:space="preserve">, Bragg-Gresham JL, Woods JD, </w:t>
      </w:r>
      <w:proofErr w:type="spellStart"/>
      <w:r w:rsidRPr="001B5396">
        <w:rPr>
          <w:rFonts w:ascii="Book Antiqua" w:eastAsiaTheme="minorEastAsia" w:hAnsi="Book Antiqua" w:cstheme="minorBidi"/>
          <w:kern w:val="2"/>
          <w:lang w:val="en-US" w:eastAsia="zh-CN"/>
        </w:rPr>
        <w:t>Jadoul</w:t>
      </w:r>
      <w:proofErr w:type="spellEnd"/>
      <w:r w:rsidRPr="001B5396">
        <w:rPr>
          <w:rFonts w:ascii="Book Antiqua" w:eastAsiaTheme="minorEastAsia" w:hAnsi="Book Antiqua" w:cstheme="minorBidi"/>
          <w:kern w:val="2"/>
          <w:lang w:val="en-US" w:eastAsia="zh-CN"/>
        </w:rPr>
        <w:t xml:space="preserve"> M, Gillespie B, </w:t>
      </w:r>
      <w:proofErr w:type="spellStart"/>
      <w:r w:rsidRPr="001B5396">
        <w:rPr>
          <w:rFonts w:ascii="Book Antiqua" w:eastAsiaTheme="minorEastAsia" w:hAnsi="Book Antiqua" w:cstheme="minorBidi"/>
          <w:kern w:val="2"/>
          <w:lang w:val="en-US" w:eastAsia="zh-CN"/>
        </w:rPr>
        <w:t>Hedderwick</w:t>
      </w:r>
      <w:proofErr w:type="spellEnd"/>
      <w:r w:rsidRPr="001B5396">
        <w:rPr>
          <w:rFonts w:ascii="Book Antiqua" w:eastAsiaTheme="minorEastAsia" w:hAnsi="Book Antiqua" w:cstheme="minorBidi"/>
          <w:kern w:val="2"/>
          <w:lang w:val="en-US" w:eastAsia="zh-CN"/>
        </w:rPr>
        <w:t xml:space="preserve"> SA, Rayner HC, Greenwood RN, Akiba T, Young EW. Patterns of hepatitis C prevalence and seroconversion in hemodialysis units from three continents: the DOPPS. </w:t>
      </w:r>
      <w:r w:rsidRPr="001B5396">
        <w:rPr>
          <w:rFonts w:ascii="Book Antiqua" w:eastAsiaTheme="minorEastAsia" w:hAnsi="Book Antiqua" w:cstheme="minorBidi"/>
          <w:i/>
          <w:kern w:val="2"/>
          <w:lang w:val="en-US" w:eastAsia="zh-CN"/>
        </w:rPr>
        <w:t xml:space="preserve">Kidney </w:t>
      </w:r>
      <w:proofErr w:type="spellStart"/>
      <w:r w:rsidRPr="001B5396">
        <w:rPr>
          <w:rFonts w:ascii="Book Antiqua" w:eastAsiaTheme="minorEastAsia" w:hAnsi="Book Antiqua" w:cstheme="minorBidi"/>
          <w:i/>
          <w:kern w:val="2"/>
          <w:lang w:val="en-US" w:eastAsia="zh-CN"/>
        </w:rPr>
        <w:t>Int</w:t>
      </w:r>
      <w:proofErr w:type="spellEnd"/>
      <w:r w:rsidRPr="001B5396">
        <w:rPr>
          <w:rFonts w:ascii="Book Antiqua" w:eastAsiaTheme="minorEastAsia" w:hAnsi="Book Antiqua" w:cstheme="minorBidi"/>
          <w:kern w:val="2"/>
          <w:lang w:val="en-US" w:eastAsia="zh-CN"/>
        </w:rPr>
        <w:t xml:space="preserve"> 2004; </w:t>
      </w:r>
      <w:r w:rsidRPr="001B5396">
        <w:rPr>
          <w:rFonts w:ascii="Book Antiqua" w:eastAsiaTheme="minorEastAsia" w:hAnsi="Book Antiqua" w:cstheme="minorBidi"/>
          <w:b/>
          <w:kern w:val="2"/>
          <w:lang w:val="en-US" w:eastAsia="zh-CN"/>
        </w:rPr>
        <w:t>65</w:t>
      </w:r>
      <w:r w:rsidRPr="001B5396">
        <w:rPr>
          <w:rFonts w:ascii="Book Antiqua" w:eastAsiaTheme="minorEastAsia" w:hAnsi="Book Antiqua" w:cstheme="minorBidi"/>
          <w:kern w:val="2"/>
          <w:lang w:val="en-US" w:eastAsia="zh-CN"/>
        </w:rPr>
        <w:t>: 2335-2342 [PMID: 15149347 DOI: 10.1111/j.1523-1755.2004.00649.x]</w:t>
      </w:r>
    </w:p>
    <w:p w14:paraId="6FF7DCD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10 </w:t>
      </w:r>
      <w:r w:rsidRPr="001B5396">
        <w:rPr>
          <w:rFonts w:ascii="Book Antiqua" w:eastAsiaTheme="minorEastAsia" w:hAnsi="Book Antiqua" w:cstheme="minorBidi"/>
          <w:b/>
          <w:kern w:val="2"/>
          <w:lang w:val="en-US" w:eastAsia="zh-CN"/>
        </w:rPr>
        <w:t>El-</w:t>
      </w:r>
      <w:proofErr w:type="spellStart"/>
      <w:r w:rsidRPr="001B5396">
        <w:rPr>
          <w:rFonts w:ascii="Book Antiqua" w:eastAsiaTheme="minorEastAsia" w:hAnsi="Book Antiqua" w:cstheme="minorBidi"/>
          <w:b/>
          <w:kern w:val="2"/>
          <w:lang w:val="en-US" w:eastAsia="zh-CN"/>
        </w:rPr>
        <w:t>Shishtawy</w:t>
      </w:r>
      <w:proofErr w:type="spellEnd"/>
      <w:r w:rsidRPr="001B5396">
        <w:rPr>
          <w:rFonts w:ascii="Book Antiqua" w:eastAsiaTheme="minorEastAsia" w:hAnsi="Book Antiqua" w:cstheme="minorBidi"/>
          <w:b/>
          <w:kern w:val="2"/>
          <w:lang w:val="en-US" w:eastAsia="zh-CN"/>
        </w:rPr>
        <w:t xml:space="preserve"> S</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Sherif</w:t>
      </w:r>
      <w:proofErr w:type="spellEnd"/>
      <w:r w:rsidRPr="001B5396">
        <w:rPr>
          <w:rFonts w:ascii="Book Antiqua" w:eastAsiaTheme="minorEastAsia" w:hAnsi="Book Antiqua" w:cstheme="minorBidi"/>
          <w:kern w:val="2"/>
          <w:lang w:val="en-US" w:eastAsia="zh-CN"/>
        </w:rPr>
        <w:t xml:space="preserve"> N, </w:t>
      </w:r>
      <w:proofErr w:type="spellStart"/>
      <w:r w:rsidRPr="001B5396">
        <w:rPr>
          <w:rFonts w:ascii="Book Antiqua" w:eastAsiaTheme="minorEastAsia" w:hAnsi="Book Antiqua" w:cstheme="minorBidi"/>
          <w:kern w:val="2"/>
          <w:lang w:val="en-US" w:eastAsia="zh-CN"/>
        </w:rPr>
        <w:t>Abdallh</w:t>
      </w:r>
      <w:proofErr w:type="spellEnd"/>
      <w:r w:rsidRPr="001B5396">
        <w:rPr>
          <w:rFonts w:ascii="Book Antiqua" w:eastAsiaTheme="minorEastAsia" w:hAnsi="Book Antiqua" w:cstheme="minorBidi"/>
          <w:kern w:val="2"/>
          <w:lang w:val="en-US" w:eastAsia="zh-CN"/>
        </w:rPr>
        <w:t xml:space="preserve"> E, </w:t>
      </w:r>
      <w:proofErr w:type="spellStart"/>
      <w:r w:rsidRPr="001B5396">
        <w:rPr>
          <w:rFonts w:ascii="Book Antiqua" w:eastAsiaTheme="minorEastAsia" w:hAnsi="Book Antiqua" w:cstheme="minorBidi"/>
          <w:kern w:val="2"/>
          <w:lang w:val="en-US" w:eastAsia="zh-CN"/>
        </w:rPr>
        <w:t>Kamel</w:t>
      </w:r>
      <w:proofErr w:type="spellEnd"/>
      <w:r w:rsidRPr="001B5396">
        <w:rPr>
          <w:rFonts w:ascii="Book Antiqua" w:eastAsiaTheme="minorEastAsia" w:hAnsi="Book Antiqua" w:cstheme="minorBidi"/>
          <w:kern w:val="2"/>
          <w:lang w:val="en-US" w:eastAsia="zh-CN"/>
        </w:rPr>
        <w:t xml:space="preserve"> L, </w:t>
      </w:r>
      <w:proofErr w:type="spellStart"/>
      <w:r w:rsidRPr="001B5396">
        <w:rPr>
          <w:rFonts w:ascii="Book Antiqua" w:eastAsiaTheme="minorEastAsia" w:hAnsi="Book Antiqua" w:cstheme="minorBidi"/>
          <w:kern w:val="2"/>
          <w:lang w:val="en-US" w:eastAsia="zh-CN"/>
        </w:rPr>
        <w:t>Shemis</w:t>
      </w:r>
      <w:proofErr w:type="spellEnd"/>
      <w:r w:rsidRPr="001B5396">
        <w:rPr>
          <w:rFonts w:ascii="Book Antiqua" w:eastAsiaTheme="minorEastAsia" w:hAnsi="Book Antiqua" w:cstheme="minorBidi"/>
          <w:kern w:val="2"/>
          <w:lang w:val="en-US" w:eastAsia="zh-CN"/>
        </w:rPr>
        <w:t xml:space="preserve"> M, Saleem AA, Abdalla H, El Din HG. Occult Hepatitis C Virus Infection in Hemodialysis Patients; Single Center Study. </w:t>
      </w:r>
      <w:r w:rsidRPr="001B5396">
        <w:rPr>
          <w:rFonts w:ascii="Book Antiqua" w:eastAsiaTheme="minorEastAsia" w:hAnsi="Book Antiqua" w:cstheme="minorBidi"/>
          <w:i/>
          <w:kern w:val="2"/>
          <w:lang w:val="en-US" w:eastAsia="zh-CN"/>
        </w:rPr>
        <w:t>Electron Physician</w:t>
      </w:r>
      <w:r w:rsidRPr="001B5396">
        <w:rPr>
          <w:rFonts w:ascii="Book Antiqua" w:eastAsiaTheme="minorEastAsia" w:hAnsi="Book Antiqua" w:cstheme="minorBidi"/>
          <w:kern w:val="2"/>
          <w:lang w:val="en-US" w:eastAsia="zh-CN"/>
        </w:rPr>
        <w:t xml:space="preserve"> 2015; </w:t>
      </w:r>
      <w:r w:rsidRPr="001B5396">
        <w:rPr>
          <w:rFonts w:ascii="Book Antiqua" w:eastAsiaTheme="minorEastAsia" w:hAnsi="Book Antiqua" w:cstheme="minorBidi"/>
          <w:b/>
          <w:kern w:val="2"/>
          <w:lang w:val="en-US" w:eastAsia="zh-CN"/>
        </w:rPr>
        <w:t>7</w:t>
      </w:r>
      <w:r w:rsidRPr="001B5396">
        <w:rPr>
          <w:rFonts w:ascii="Book Antiqua" w:eastAsiaTheme="minorEastAsia" w:hAnsi="Book Antiqua" w:cstheme="minorBidi"/>
          <w:kern w:val="2"/>
          <w:lang w:val="en-US" w:eastAsia="zh-CN"/>
        </w:rPr>
        <w:t>: 1619-1625 [PMID: 26816589 DOI: 10.19082/1619]</w:t>
      </w:r>
    </w:p>
    <w:p w14:paraId="12DF57D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11 </w:t>
      </w:r>
      <w:r w:rsidRPr="001B5396">
        <w:rPr>
          <w:rFonts w:ascii="Book Antiqua" w:eastAsiaTheme="minorEastAsia" w:hAnsi="Book Antiqua" w:cstheme="minorBidi"/>
          <w:b/>
          <w:kern w:val="2"/>
          <w:lang w:val="en-US" w:eastAsia="zh-CN"/>
        </w:rPr>
        <w:t>Bergman S</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Accortt</w:t>
      </w:r>
      <w:proofErr w:type="spellEnd"/>
      <w:r w:rsidRPr="001B5396">
        <w:rPr>
          <w:rFonts w:ascii="Book Antiqua" w:eastAsiaTheme="minorEastAsia" w:hAnsi="Book Antiqua" w:cstheme="minorBidi"/>
          <w:kern w:val="2"/>
          <w:lang w:val="en-US" w:eastAsia="zh-CN"/>
        </w:rPr>
        <w:t xml:space="preserve"> N, Turner A, Glaze J. Hepatitis C infection is acquired pre-ESRD. </w:t>
      </w:r>
      <w:r w:rsidRPr="001B5396">
        <w:rPr>
          <w:rFonts w:ascii="Book Antiqua" w:eastAsiaTheme="minorEastAsia" w:hAnsi="Book Antiqua" w:cstheme="minorBidi"/>
          <w:i/>
          <w:kern w:val="2"/>
          <w:lang w:val="en-US" w:eastAsia="zh-CN"/>
        </w:rPr>
        <w:t>Am J Kidney Dis</w:t>
      </w:r>
      <w:r w:rsidRPr="001B5396">
        <w:rPr>
          <w:rFonts w:ascii="Book Antiqua" w:eastAsiaTheme="minorEastAsia" w:hAnsi="Book Antiqua" w:cstheme="minorBidi"/>
          <w:kern w:val="2"/>
          <w:lang w:val="en-US" w:eastAsia="zh-CN"/>
        </w:rPr>
        <w:t xml:space="preserve"> 2005; </w:t>
      </w:r>
      <w:r w:rsidRPr="001B5396">
        <w:rPr>
          <w:rFonts w:ascii="Book Antiqua" w:eastAsiaTheme="minorEastAsia" w:hAnsi="Book Antiqua" w:cstheme="minorBidi"/>
          <w:b/>
          <w:kern w:val="2"/>
          <w:lang w:val="en-US" w:eastAsia="zh-CN"/>
        </w:rPr>
        <w:t>45</w:t>
      </w:r>
      <w:r w:rsidRPr="001B5396">
        <w:rPr>
          <w:rFonts w:ascii="Book Antiqua" w:eastAsiaTheme="minorEastAsia" w:hAnsi="Book Antiqua" w:cstheme="minorBidi"/>
          <w:kern w:val="2"/>
          <w:lang w:val="en-US" w:eastAsia="zh-CN"/>
        </w:rPr>
        <w:t>: 684-689 [PMID: 15806471 DOI: 10.1053/j.ajkd.2004.12.014]</w:t>
      </w:r>
    </w:p>
    <w:p w14:paraId="1D393D4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12 </w:t>
      </w:r>
      <w:proofErr w:type="spellStart"/>
      <w:r w:rsidRPr="001B5396">
        <w:rPr>
          <w:rFonts w:ascii="Book Antiqua" w:eastAsiaTheme="minorEastAsia" w:hAnsi="Book Antiqua" w:cstheme="minorBidi"/>
          <w:b/>
          <w:kern w:val="2"/>
          <w:lang w:val="en-US" w:eastAsia="zh-CN"/>
        </w:rPr>
        <w:t>Lemos</w:t>
      </w:r>
      <w:proofErr w:type="spellEnd"/>
      <w:r w:rsidRPr="001B5396">
        <w:rPr>
          <w:rFonts w:ascii="Book Antiqua" w:eastAsiaTheme="minorEastAsia" w:hAnsi="Book Antiqua" w:cstheme="minorBidi"/>
          <w:b/>
          <w:kern w:val="2"/>
          <w:lang w:val="en-US" w:eastAsia="zh-CN"/>
        </w:rPr>
        <w:t xml:space="preserve"> LB</w:t>
      </w:r>
      <w:r w:rsidRPr="001B5396">
        <w:rPr>
          <w:rFonts w:ascii="Book Antiqua" w:eastAsiaTheme="minorEastAsia" w:hAnsi="Book Antiqua" w:cstheme="minorBidi"/>
          <w:kern w:val="2"/>
          <w:lang w:val="en-US" w:eastAsia="zh-CN"/>
        </w:rPr>
        <w:t xml:space="preserve">, Perez RM, </w:t>
      </w:r>
      <w:proofErr w:type="spellStart"/>
      <w:r w:rsidRPr="001B5396">
        <w:rPr>
          <w:rFonts w:ascii="Book Antiqua" w:eastAsiaTheme="minorEastAsia" w:hAnsi="Book Antiqua" w:cstheme="minorBidi"/>
          <w:kern w:val="2"/>
          <w:lang w:val="en-US" w:eastAsia="zh-CN"/>
        </w:rPr>
        <w:t>Lemos</w:t>
      </w:r>
      <w:proofErr w:type="spellEnd"/>
      <w:r w:rsidRPr="001B5396">
        <w:rPr>
          <w:rFonts w:ascii="Book Antiqua" w:eastAsiaTheme="minorEastAsia" w:hAnsi="Book Antiqua" w:cstheme="minorBidi"/>
          <w:kern w:val="2"/>
          <w:lang w:val="en-US" w:eastAsia="zh-CN"/>
        </w:rPr>
        <w:t xml:space="preserve"> MM, </w:t>
      </w:r>
      <w:proofErr w:type="spellStart"/>
      <w:r w:rsidRPr="001B5396">
        <w:rPr>
          <w:rFonts w:ascii="Book Antiqua" w:eastAsiaTheme="minorEastAsia" w:hAnsi="Book Antiqua" w:cstheme="minorBidi"/>
          <w:kern w:val="2"/>
          <w:lang w:val="en-US" w:eastAsia="zh-CN"/>
        </w:rPr>
        <w:t>Draibe</w:t>
      </w:r>
      <w:proofErr w:type="spellEnd"/>
      <w:r w:rsidRPr="001B5396">
        <w:rPr>
          <w:rFonts w:ascii="Book Antiqua" w:eastAsiaTheme="minorEastAsia" w:hAnsi="Book Antiqua" w:cstheme="minorBidi"/>
          <w:kern w:val="2"/>
          <w:lang w:val="en-US" w:eastAsia="zh-CN"/>
        </w:rPr>
        <w:t xml:space="preserve"> SA, Silva IS, Silva AE, </w:t>
      </w:r>
      <w:proofErr w:type="spellStart"/>
      <w:r w:rsidRPr="001B5396">
        <w:rPr>
          <w:rFonts w:ascii="Book Antiqua" w:eastAsiaTheme="minorEastAsia" w:hAnsi="Book Antiqua" w:cstheme="minorBidi"/>
          <w:kern w:val="2"/>
          <w:lang w:val="en-US" w:eastAsia="zh-CN"/>
        </w:rPr>
        <w:t>Ferraz</w:t>
      </w:r>
      <w:proofErr w:type="spellEnd"/>
      <w:r w:rsidRPr="001B5396">
        <w:rPr>
          <w:rFonts w:ascii="Book Antiqua" w:eastAsiaTheme="minorEastAsia" w:hAnsi="Book Antiqua" w:cstheme="minorBidi"/>
          <w:kern w:val="2"/>
          <w:lang w:val="en-US" w:eastAsia="zh-CN"/>
        </w:rPr>
        <w:t xml:space="preserve"> ML. Hepatitis C among </w:t>
      </w:r>
      <w:proofErr w:type="spellStart"/>
      <w:r w:rsidRPr="001B5396">
        <w:rPr>
          <w:rFonts w:ascii="Book Antiqua" w:eastAsiaTheme="minorEastAsia" w:hAnsi="Book Antiqua" w:cstheme="minorBidi"/>
          <w:kern w:val="2"/>
          <w:lang w:val="en-US" w:eastAsia="zh-CN"/>
        </w:rPr>
        <w:t>predialysis</w:t>
      </w:r>
      <w:proofErr w:type="spellEnd"/>
      <w:r w:rsidRPr="001B5396">
        <w:rPr>
          <w:rFonts w:ascii="Book Antiqua" w:eastAsiaTheme="minorEastAsia" w:hAnsi="Book Antiqua" w:cstheme="minorBidi"/>
          <w:kern w:val="2"/>
          <w:lang w:val="en-US" w:eastAsia="zh-CN"/>
        </w:rPr>
        <w:t xml:space="preserve"> patients: prevalence and characteristics in a large cohort of patients. </w:t>
      </w:r>
      <w:r w:rsidRPr="001B5396">
        <w:rPr>
          <w:rFonts w:ascii="Book Antiqua" w:eastAsiaTheme="minorEastAsia" w:hAnsi="Book Antiqua" w:cstheme="minorBidi"/>
          <w:i/>
          <w:kern w:val="2"/>
          <w:lang w:val="en-US" w:eastAsia="zh-CN"/>
        </w:rPr>
        <w:t xml:space="preserve">Nephron </w:t>
      </w:r>
      <w:proofErr w:type="spellStart"/>
      <w:r w:rsidRPr="001B5396">
        <w:rPr>
          <w:rFonts w:ascii="Book Antiqua" w:eastAsiaTheme="minorEastAsia" w:hAnsi="Book Antiqua" w:cstheme="minorBidi"/>
          <w:i/>
          <w:kern w:val="2"/>
          <w:lang w:val="en-US" w:eastAsia="zh-CN"/>
        </w:rPr>
        <w:t>Clin</w:t>
      </w:r>
      <w:proofErr w:type="spellEnd"/>
      <w:r w:rsidRPr="001B5396">
        <w:rPr>
          <w:rFonts w:ascii="Book Antiqua" w:eastAsiaTheme="minorEastAsia" w:hAnsi="Book Antiqua" w:cstheme="minorBidi"/>
          <w:i/>
          <w:kern w:val="2"/>
          <w:lang w:val="en-US" w:eastAsia="zh-CN"/>
        </w:rPr>
        <w:t xml:space="preserve"> </w:t>
      </w:r>
      <w:proofErr w:type="spellStart"/>
      <w:r w:rsidRPr="001B5396">
        <w:rPr>
          <w:rFonts w:ascii="Book Antiqua" w:eastAsiaTheme="minorEastAsia" w:hAnsi="Book Antiqua" w:cstheme="minorBidi"/>
          <w:i/>
          <w:kern w:val="2"/>
          <w:lang w:val="en-US" w:eastAsia="zh-CN"/>
        </w:rPr>
        <w:t>Pract</w:t>
      </w:r>
      <w:proofErr w:type="spellEnd"/>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108</w:t>
      </w:r>
      <w:r w:rsidRPr="001B5396">
        <w:rPr>
          <w:rFonts w:ascii="Book Antiqua" w:eastAsiaTheme="minorEastAsia" w:hAnsi="Book Antiqua" w:cstheme="minorBidi"/>
          <w:kern w:val="2"/>
          <w:lang w:val="en-US" w:eastAsia="zh-CN"/>
        </w:rPr>
        <w:t>: c135-c140 [PMID: 18230916 DOI: 10.1159/000114452]</w:t>
      </w:r>
    </w:p>
    <w:p w14:paraId="37F19248"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13 </w:t>
      </w:r>
      <w:r w:rsidRPr="001B5396">
        <w:rPr>
          <w:rFonts w:ascii="Book Antiqua" w:eastAsiaTheme="minorEastAsia" w:hAnsi="Book Antiqua" w:cstheme="minorBidi"/>
          <w:b/>
          <w:kern w:val="2"/>
          <w:lang w:val="en-US" w:eastAsia="zh-CN"/>
        </w:rPr>
        <w:t xml:space="preserve">Li </w:t>
      </w:r>
      <w:proofErr w:type="spellStart"/>
      <w:r w:rsidRPr="001B5396">
        <w:rPr>
          <w:rFonts w:ascii="Book Antiqua" w:eastAsiaTheme="minorEastAsia" w:hAnsi="Book Antiqua" w:cstheme="minorBidi"/>
          <w:b/>
          <w:kern w:val="2"/>
          <w:lang w:val="en-US" w:eastAsia="zh-CN"/>
        </w:rPr>
        <w:t>Cavoli</w:t>
      </w:r>
      <w:proofErr w:type="spellEnd"/>
      <w:r w:rsidRPr="001B5396">
        <w:rPr>
          <w:rFonts w:ascii="Book Antiqua" w:eastAsiaTheme="minorEastAsia" w:hAnsi="Book Antiqua" w:cstheme="minorBidi"/>
          <w:b/>
          <w:kern w:val="2"/>
          <w:lang w:val="en-US" w:eastAsia="zh-CN"/>
        </w:rPr>
        <w:t xml:space="preserve"> G</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Ferrantelli</w:t>
      </w:r>
      <w:proofErr w:type="spellEnd"/>
      <w:r w:rsidRPr="001B5396">
        <w:rPr>
          <w:rFonts w:ascii="Book Antiqua" w:eastAsiaTheme="minorEastAsia" w:hAnsi="Book Antiqua" w:cstheme="minorBidi"/>
          <w:kern w:val="2"/>
          <w:lang w:val="en-US" w:eastAsia="zh-CN"/>
        </w:rPr>
        <w:t xml:space="preserve"> A, Bono L, </w:t>
      </w:r>
      <w:proofErr w:type="spellStart"/>
      <w:r w:rsidRPr="001B5396">
        <w:rPr>
          <w:rFonts w:ascii="Book Antiqua" w:eastAsiaTheme="minorEastAsia" w:hAnsi="Book Antiqua" w:cstheme="minorBidi"/>
          <w:kern w:val="2"/>
          <w:lang w:val="en-US" w:eastAsia="zh-CN"/>
        </w:rPr>
        <w:t>Tortorici</w:t>
      </w:r>
      <w:proofErr w:type="spellEnd"/>
      <w:r w:rsidRPr="001B5396">
        <w:rPr>
          <w:rFonts w:ascii="Book Antiqua" w:eastAsiaTheme="minorEastAsia" w:hAnsi="Book Antiqua" w:cstheme="minorBidi"/>
          <w:kern w:val="2"/>
          <w:lang w:val="en-US" w:eastAsia="zh-CN"/>
        </w:rPr>
        <w:t xml:space="preserve"> C, </w:t>
      </w:r>
      <w:proofErr w:type="spellStart"/>
      <w:r w:rsidRPr="001B5396">
        <w:rPr>
          <w:rFonts w:ascii="Book Antiqua" w:eastAsiaTheme="minorEastAsia" w:hAnsi="Book Antiqua" w:cstheme="minorBidi"/>
          <w:kern w:val="2"/>
          <w:lang w:val="en-US" w:eastAsia="zh-CN"/>
        </w:rPr>
        <w:t>Giammarresi</w:t>
      </w:r>
      <w:proofErr w:type="spellEnd"/>
      <w:r w:rsidRPr="001B5396">
        <w:rPr>
          <w:rFonts w:ascii="Book Antiqua" w:eastAsiaTheme="minorEastAsia" w:hAnsi="Book Antiqua" w:cstheme="minorBidi"/>
          <w:kern w:val="2"/>
          <w:lang w:val="en-US" w:eastAsia="zh-CN"/>
        </w:rPr>
        <w:t xml:space="preserve"> C, </w:t>
      </w:r>
      <w:proofErr w:type="spellStart"/>
      <w:r w:rsidRPr="001B5396">
        <w:rPr>
          <w:rFonts w:ascii="Book Antiqua" w:eastAsiaTheme="minorEastAsia" w:hAnsi="Book Antiqua" w:cstheme="minorBidi"/>
          <w:kern w:val="2"/>
          <w:lang w:val="en-US" w:eastAsia="zh-CN"/>
        </w:rPr>
        <w:t>Zagarrigo</w:t>
      </w:r>
      <w:proofErr w:type="spellEnd"/>
      <w:r w:rsidRPr="001B5396">
        <w:rPr>
          <w:rFonts w:ascii="Book Antiqua" w:eastAsiaTheme="minorEastAsia" w:hAnsi="Book Antiqua" w:cstheme="minorBidi"/>
          <w:kern w:val="2"/>
          <w:lang w:val="en-US" w:eastAsia="zh-CN"/>
        </w:rPr>
        <w:t xml:space="preserve"> C, </w:t>
      </w:r>
      <w:proofErr w:type="spellStart"/>
      <w:r w:rsidRPr="001B5396">
        <w:rPr>
          <w:rFonts w:ascii="Book Antiqua" w:eastAsiaTheme="minorEastAsia" w:hAnsi="Book Antiqua" w:cstheme="minorBidi"/>
          <w:kern w:val="2"/>
          <w:lang w:val="en-US" w:eastAsia="zh-CN"/>
        </w:rPr>
        <w:t>Schillaci</w:t>
      </w:r>
      <w:proofErr w:type="spellEnd"/>
      <w:r w:rsidRPr="001B5396">
        <w:rPr>
          <w:rFonts w:ascii="Book Antiqua" w:eastAsiaTheme="minorEastAsia" w:hAnsi="Book Antiqua" w:cstheme="minorBidi"/>
          <w:kern w:val="2"/>
          <w:lang w:val="en-US" w:eastAsia="zh-CN"/>
        </w:rPr>
        <w:t xml:space="preserve"> O, </w:t>
      </w:r>
      <w:proofErr w:type="spellStart"/>
      <w:r w:rsidRPr="001B5396">
        <w:rPr>
          <w:rFonts w:ascii="Book Antiqua" w:eastAsiaTheme="minorEastAsia" w:hAnsi="Book Antiqua" w:cstheme="minorBidi"/>
          <w:kern w:val="2"/>
          <w:lang w:val="en-US" w:eastAsia="zh-CN"/>
        </w:rPr>
        <w:t>Tralongo</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Soresi</w:t>
      </w:r>
      <w:proofErr w:type="spellEnd"/>
      <w:r w:rsidRPr="001B5396">
        <w:rPr>
          <w:rFonts w:ascii="Book Antiqua" w:eastAsiaTheme="minorEastAsia" w:hAnsi="Book Antiqua" w:cstheme="minorBidi"/>
          <w:kern w:val="2"/>
          <w:lang w:val="en-US" w:eastAsia="zh-CN"/>
        </w:rPr>
        <w:t xml:space="preserve"> M, Rotolo U. Incidence of hepatitis C virus infection in patients with chronic kidney disease on conservative therapy. </w:t>
      </w:r>
      <w:proofErr w:type="spellStart"/>
      <w:r w:rsidRPr="001B5396">
        <w:rPr>
          <w:rFonts w:ascii="Book Antiqua" w:eastAsiaTheme="minorEastAsia" w:hAnsi="Book Antiqua" w:cstheme="minorBidi"/>
          <w:i/>
          <w:kern w:val="2"/>
          <w:lang w:val="en-US" w:eastAsia="zh-CN"/>
        </w:rPr>
        <w:t>Int</w:t>
      </w:r>
      <w:proofErr w:type="spellEnd"/>
      <w:r w:rsidRPr="001B5396">
        <w:rPr>
          <w:rFonts w:ascii="Book Antiqua" w:eastAsiaTheme="minorEastAsia" w:hAnsi="Book Antiqua" w:cstheme="minorBidi"/>
          <w:i/>
          <w:kern w:val="2"/>
          <w:lang w:val="en-US" w:eastAsia="zh-CN"/>
        </w:rPr>
        <w:t xml:space="preserve"> J Infect Dis</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15</w:t>
      </w:r>
      <w:r w:rsidRPr="001B5396">
        <w:rPr>
          <w:rFonts w:ascii="Book Antiqua" w:eastAsiaTheme="minorEastAsia" w:hAnsi="Book Antiqua" w:cstheme="minorBidi"/>
          <w:kern w:val="2"/>
          <w:lang w:val="en-US" w:eastAsia="zh-CN"/>
        </w:rPr>
        <w:t>: e514-e516 [PMID: 21680217 DOI: 10.1016/j.ijid.2011.04.001]</w:t>
      </w:r>
    </w:p>
    <w:p w14:paraId="4985AFCB"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14 </w:t>
      </w:r>
      <w:proofErr w:type="spellStart"/>
      <w:r w:rsidRPr="001B5396">
        <w:rPr>
          <w:rFonts w:ascii="Book Antiqua" w:eastAsiaTheme="minorEastAsia" w:hAnsi="Book Antiqua" w:cstheme="minorBidi"/>
          <w:b/>
          <w:kern w:val="2"/>
          <w:lang w:val="en-US" w:eastAsia="zh-CN"/>
        </w:rPr>
        <w:t>Iwasa</w:t>
      </w:r>
      <w:proofErr w:type="spellEnd"/>
      <w:r w:rsidRPr="001B5396">
        <w:rPr>
          <w:rFonts w:ascii="Book Antiqua" w:eastAsiaTheme="minorEastAsia" w:hAnsi="Book Antiqua" w:cstheme="minorBidi"/>
          <w:b/>
          <w:kern w:val="2"/>
          <w:lang w:val="en-US" w:eastAsia="zh-CN"/>
        </w:rPr>
        <w:t xml:space="preserve"> Y</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Otsubo</w:t>
      </w:r>
      <w:proofErr w:type="spellEnd"/>
      <w:r w:rsidRPr="001B5396">
        <w:rPr>
          <w:rFonts w:ascii="Book Antiqua" w:eastAsiaTheme="minorEastAsia" w:hAnsi="Book Antiqua" w:cstheme="minorBidi"/>
          <w:kern w:val="2"/>
          <w:lang w:val="en-US" w:eastAsia="zh-CN"/>
        </w:rPr>
        <w:t xml:space="preserve"> S, </w:t>
      </w:r>
      <w:proofErr w:type="spellStart"/>
      <w:r w:rsidRPr="001B5396">
        <w:rPr>
          <w:rFonts w:ascii="Book Antiqua" w:eastAsiaTheme="minorEastAsia" w:hAnsi="Book Antiqua" w:cstheme="minorBidi"/>
          <w:kern w:val="2"/>
          <w:lang w:val="en-US" w:eastAsia="zh-CN"/>
        </w:rPr>
        <w:t>Sugi</w:t>
      </w:r>
      <w:proofErr w:type="spellEnd"/>
      <w:r w:rsidRPr="001B5396">
        <w:rPr>
          <w:rFonts w:ascii="Book Antiqua" w:eastAsiaTheme="minorEastAsia" w:hAnsi="Book Antiqua" w:cstheme="minorBidi"/>
          <w:kern w:val="2"/>
          <w:lang w:val="en-US" w:eastAsia="zh-CN"/>
        </w:rPr>
        <w:t xml:space="preserve"> O, Sato K, </w:t>
      </w:r>
      <w:proofErr w:type="spellStart"/>
      <w:r w:rsidRPr="001B5396">
        <w:rPr>
          <w:rFonts w:ascii="Book Antiqua" w:eastAsiaTheme="minorEastAsia" w:hAnsi="Book Antiqua" w:cstheme="minorBidi"/>
          <w:kern w:val="2"/>
          <w:lang w:val="en-US" w:eastAsia="zh-CN"/>
        </w:rPr>
        <w:t>Asamiya</w:t>
      </w:r>
      <w:proofErr w:type="spellEnd"/>
      <w:r w:rsidRPr="001B5396">
        <w:rPr>
          <w:rFonts w:ascii="Book Antiqua" w:eastAsiaTheme="minorEastAsia" w:hAnsi="Book Antiqua" w:cstheme="minorBidi"/>
          <w:kern w:val="2"/>
          <w:lang w:val="en-US" w:eastAsia="zh-CN"/>
        </w:rPr>
        <w:t xml:space="preserve"> Y, </w:t>
      </w:r>
      <w:proofErr w:type="spellStart"/>
      <w:r w:rsidRPr="001B5396">
        <w:rPr>
          <w:rFonts w:ascii="Book Antiqua" w:eastAsiaTheme="minorEastAsia" w:hAnsi="Book Antiqua" w:cstheme="minorBidi"/>
          <w:kern w:val="2"/>
          <w:lang w:val="en-US" w:eastAsia="zh-CN"/>
        </w:rPr>
        <w:t>Eguchi</w:t>
      </w:r>
      <w:proofErr w:type="spellEnd"/>
      <w:r w:rsidRPr="001B5396">
        <w:rPr>
          <w:rFonts w:ascii="Book Antiqua" w:eastAsiaTheme="minorEastAsia" w:hAnsi="Book Antiqua" w:cstheme="minorBidi"/>
          <w:kern w:val="2"/>
          <w:lang w:val="en-US" w:eastAsia="zh-CN"/>
        </w:rPr>
        <w:t xml:space="preserve"> A, Iwasaki T, Matsuda N, Kikuchi K, </w:t>
      </w:r>
      <w:proofErr w:type="spellStart"/>
      <w:r w:rsidRPr="001B5396">
        <w:rPr>
          <w:rFonts w:ascii="Book Antiqua" w:eastAsiaTheme="minorEastAsia" w:hAnsi="Book Antiqua" w:cstheme="minorBidi"/>
          <w:kern w:val="2"/>
          <w:lang w:val="en-US" w:eastAsia="zh-CN"/>
        </w:rPr>
        <w:t>Ikebe</w:t>
      </w:r>
      <w:proofErr w:type="spellEnd"/>
      <w:r w:rsidRPr="001B5396">
        <w:rPr>
          <w:rFonts w:ascii="Book Antiqua" w:eastAsiaTheme="minorEastAsia" w:hAnsi="Book Antiqua" w:cstheme="minorBidi"/>
          <w:kern w:val="2"/>
          <w:lang w:val="en-US" w:eastAsia="zh-CN"/>
        </w:rPr>
        <w:t xml:space="preserve"> N, Miwa N, </w:t>
      </w:r>
      <w:proofErr w:type="spellStart"/>
      <w:r w:rsidRPr="001B5396">
        <w:rPr>
          <w:rFonts w:ascii="Book Antiqua" w:eastAsiaTheme="minorEastAsia" w:hAnsi="Book Antiqua" w:cstheme="minorBidi"/>
          <w:kern w:val="2"/>
          <w:lang w:val="en-US" w:eastAsia="zh-CN"/>
        </w:rPr>
        <w:t>Kimata</w:t>
      </w:r>
      <w:proofErr w:type="spellEnd"/>
      <w:r w:rsidRPr="001B5396">
        <w:rPr>
          <w:rFonts w:ascii="Book Antiqua" w:eastAsiaTheme="minorEastAsia" w:hAnsi="Book Antiqua" w:cstheme="minorBidi"/>
          <w:kern w:val="2"/>
          <w:lang w:val="en-US" w:eastAsia="zh-CN"/>
        </w:rPr>
        <w:t xml:space="preserve"> N, Uchida K, Uchida S, Nitta K, Akiba T. Patterns in the prevalence of hepatitis C virus infection at the start of hemodialysis in Japan. </w:t>
      </w:r>
      <w:proofErr w:type="spellStart"/>
      <w:r w:rsidRPr="001B5396">
        <w:rPr>
          <w:rFonts w:ascii="Book Antiqua" w:eastAsiaTheme="minorEastAsia" w:hAnsi="Book Antiqua" w:cstheme="minorBidi"/>
          <w:i/>
          <w:kern w:val="2"/>
          <w:lang w:val="en-US" w:eastAsia="zh-CN"/>
        </w:rPr>
        <w:t>Clin</w:t>
      </w:r>
      <w:proofErr w:type="spellEnd"/>
      <w:r w:rsidRPr="001B5396">
        <w:rPr>
          <w:rFonts w:ascii="Book Antiqua" w:eastAsiaTheme="minorEastAsia" w:hAnsi="Book Antiqua" w:cstheme="minorBidi"/>
          <w:i/>
          <w:kern w:val="2"/>
          <w:lang w:val="en-US" w:eastAsia="zh-CN"/>
        </w:rPr>
        <w:t xml:space="preserve"> </w:t>
      </w:r>
      <w:proofErr w:type="spellStart"/>
      <w:r w:rsidRPr="001B5396">
        <w:rPr>
          <w:rFonts w:ascii="Book Antiqua" w:eastAsiaTheme="minorEastAsia" w:hAnsi="Book Antiqua" w:cstheme="minorBidi"/>
          <w:i/>
          <w:kern w:val="2"/>
          <w:lang w:val="en-US" w:eastAsia="zh-CN"/>
        </w:rPr>
        <w:t>Exp</w:t>
      </w:r>
      <w:proofErr w:type="spellEnd"/>
      <w:r w:rsidRPr="001B5396">
        <w:rPr>
          <w:rFonts w:ascii="Book Antiqua" w:eastAsiaTheme="minorEastAsia" w:hAnsi="Book Antiqua" w:cstheme="minorBidi"/>
          <w:i/>
          <w:kern w:val="2"/>
          <w:lang w:val="en-US" w:eastAsia="zh-CN"/>
        </w:rPr>
        <w:t xml:space="preserve"> </w:t>
      </w:r>
      <w:proofErr w:type="spellStart"/>
      <w:r w:rsidRPr="001B5396">
        <w:rPr>
          <w:rFonts w:ascii="Book Antiqua" w:eastAsiaTheme="minorEastAsia" w:hAnsi="Book Antiqua" w:cstheme="minorBidi"/>
          <w:i/>
          <w:kern w:val="2"/>
          <w:lang w:val="en-US" w:eastAsia="zh-CN"/>
        </w:rPr>
        <w:t>Nephrol</w:t>
      </w:r>
      <w:proofErr w:type="spellEnd"/>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12</w:t>
      </w:r>
      <w:r w:rsidRPr="001B5396">
        <w:rPr>
          <w:rFonts w:ascii="Book Antiqua" w:eastAsiaTheme="minorEastAsia" w:hAnsi="Book Antiqua" w:cstheme="minorBidi"/>
          <w:kern w:val="2"/>
          <w:lang w:val="en-US" w:eastAsia="zh-CN"/>
        </w:rPr>
        <w:t>: 53-57 [PMID: 18175054 DOI: 10.1007/s10157-007-0005-6]</w:t>
      </w:r>
    </w:p>
    <w:p w14:paraId="28B5DE3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15 </w:t>
      </w:r>
      <w:proofErr w:type="spellStart"/>
      <w:r w:rsidRPr="001B5396">
        <w:rPr>
          <w:rFonts w:ascii="Book Antiqua" w:eastAsiaTheme="minorEastAsia" w:hAnsi="Book Antiqua" w:cstheme="minorBidi"/>
          <w:b/>
          <w:kern w:val="2"/>
          <w:lang w:val="en-US" w:eastAsia="zh-CN"/>
        </w:rPr>
        <w:t>Sauné</w:t>
      </w:r>
      <w:proofErr w:type="spellEnd"/>
      <w:r w:rsidRPr="001B5396">
        <w:rPr>
          <w:rFonts w:ascii="Book Antiqua" w:eastAsiaTheme="minorEastAsia" w:hAnsi="Book Antiqua" w:cstheme="minorBidi"/>
          <w:b/>
          <w:kern w:val="2"/>
          <w:lang w:val="en-US" w:eastAsia="zh-CN"/>
        </w:rPr>
        <w:t xml:space="preserve"> K</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Kamar</w:t>
      </w:r>
      <w:proofErr w:type="spellEnd"/>
      <w:r w:rsidRPr="001B5396">
        <w:rPr>
          <w:rFonts w:ascii="Book Antiqua" w:eastAsiaTheme="minorEastAsia" w:hAnsi="Book Antiqua" w:cstheme="minorBidi"/>
          <w:kern w:val="2"/>
          <w:lang w:val="en-US" w:eastAsia="zh-CN"/>
        </w:rPr>
        <w:t xml:space="preserve"> N, </w:t>
      </w:r>
      <w:proofErr w:type="spellStart"/>
      <w:r w:rsidRPr="001B5396">
        <w:rPr>
          <w:rFonts w:ascii="Book Antiqua" w:eastAsiaTheme="minorEastAsia" w:hAnsi="Book Antiqua" w:cstheme="minorBidi"/>
          <w:kern w:val="2"/>
          <w:lang w:val="en-US" w:eastAsia="zh-CN"/>
        </w:rPr>
        <w:t>Miédougé</w:t>
      </w:r>
      <w:proofErr w:type="spellEnd"/>
      <w:r w:rsidRPr="001B5396">
        <w:rPr>
          <w:rFonts w:ascii="Book Antiqua" w:eastAsiaTheme="minorEastAsia" w:hAnsi="Book Antiqua" w:cstheme="minorBidi"/>
          <w:kern w:val="2"/>
          <w:lang w:val="en-US" w:eastAsia="zh-CN"/>
        </w:rPr>
        <w:t xml:space="preserve"> M, </w:t>
      </w:r>
      <w:proofErr w:type="spellStart"/>
      <w:r w:rsidRPr="001B5396">
        <w:rPr>
          <w:rFonts w:ascii="Book Antiqua" w:eastAsiaTheme="minorEastAsia" w:hAnsi="Book Antiqua" w:cstheme="minorBidi"/>
          <w:kern w:val="2"/>
          <w:lang w:val="en-US" w:eastAsia="zh-CN"/>
        </w:rPr>
        <w:t>Weclawiak</w:t>
      </w:r>
      <w:proofErr w:type="spellEnd"/>
      <w:r w:rsidRPr="001B5396">
        <w:rPr>
          <w:rFonts w:ascii="Book Antiqua" w:eastAsiaTheme="minorEastAsia" w:hAnsi="Book Antiqua" w:cstheme="minorBidi"/>
          <w:kern w:val="2"/>
          <w:lang w:val="en-US" w:eastAsia="zh-CN"/>
        </w:rPr>
        <w:t xml:space="preserve"> H, Dubois M, </w:t>
      </w:r>
      <w:proofErr w:type="spellStart"/>
      <w:r w:rsidRPr="001B5396">
        <w:rPr>
          <w:rFonts w:ascii="Book Antiqua" w:eastAsiaTheme="minorEastAsia" w:hAnsi="Book Antiqua" w:cstheme="minorBidi"/>
          <w:kern w:val="2"/>
          <w:lang w:val="en-US" w:eastAsia="zh-CN"/>
        </w:rPr>
        <w:t>Izopet</w:t>
      </w:r>
      <w:proofErr w:type="spellEnd"/>
      <w:r w:rsidRPr="001B5396">
        <w:rPr>
          <w:rFonts w:ascii="Book Antiqua" w:eastAsiaTheme="minorEastAsia" w:hAnsi="Book Antiqua" w:cstheme="minorBidi"/>
          <w:kern w:val="2"/>
          <w:lang w:val="en-US" w:eastAsia="zh-CN"/>
        </w:rPr>
        <w:t xml:space="preserve"> J, </w:t>
      </w:r>
      <w:proofErr w:type="spellStart"/>
      <w:r w:rsidRPr="001B5396">
        <w:rPr>
          <w:rFonts w:ascii="Book Antiqua" w:eastAsiaTheme="minorEastAsia" w:hAnsi="Book Antiqua" w:cstheme="minorBidi"/>
          <w:kern w:val="2"/>
          <w:lang w:val="en-US" w:eastAsia="zh-CN"/>
        </w:rPr>
        <w:t>Rostaing</w:t>
      </w:r>
      <w:proofErr w:type="spellEnd"/>
      <w:r w:rsidRPr="001B5396">
        <w:rPr>
          <w:rFonts w:ascii="Book Antiqua" w:eastAsiaTheme="minorEastAsia" w:hAnsi="Book Antiqua" w:cstheme="minorBidi"/>
          <w:kern w:val="2"/>
          <w:lang w:val="en-US" w:eastAsia="zh-CN"/>
        </w:rPr>
        <w:t xml:space="preserve"> L. Decreased prevalence and incidence of HCV markers in </w:t>
      </w:r>
      <w:proofErr w:type="spellStart"/>
      <w:r w:rsidRPr="001B5396">
        <w:rPr>
          <w:rFonts w:ascii="Book Antiqua" w:eastAsiaTheme="minorEastAsia" w:hAnsi="Book Antiqua" w:cstheme="minorBidi"/>
          <w:kern w:val="2"/>
          <w:lang w:val="en-US" w:eastAsia="zh-CN"/>
        </w:rPr>
        <w:t>haemodialysis</w:t>
      </w:r>
      <w:proofErr w:type="spellEnd"/>
      <w:r w:rsidRPr="001B5396">
        <w:rPr>
          <w:rFonts w:ascii="Book Antiqua" w:eastAsiaTheme="minorEastAsia" w:hAnsi="Book Antiqua" w:cstheme="minorBidi"/>
          <w:kern w:val="2"/>
          <w:lang w:val="en-US" w:eastAsia="zh-CN"/>
        </w:rPr>
        <w:t xml:space="preserve"> units: </w:t>
      </w:r>
      <w:r w:rsidRPr="001B5396">
        <w:rPr>
          <w:rFonts w:ascii="Book Antiqua" w:eastAsiaTheme="minorEastAsia" w:hAnsi="Book Antiqua" w:cstheme="minorBidi"/>
          <w:kern w:val="2"/>
          <w:lang w:val="en-US" w:eastAsia="zh-CN"/>
        </w:rPr>
        <w:lastRenderedPageBreak/>
        <w:t xml:space="preserve">a multicentric French survey. </w:t>
      </w:r>
      <w:proofErr w:type="spellStart"/>
      <w:r w:rsidRPr="001B5396">
        <w:rPr>
          <w:rFonts w:ascii="Book Antiqua" w:eastAsiaTheme="minorEastAsia" w:hAnsi="Book Antiqua" w:cstheme="minorBidi"/>
          <w:i/>
          <w:kern w:val="2"/>
          <w:lang w:val="en-US" w:eastAsia="zh-CN"/>
        </w:rPr>
        <w:t>Nephrol</w:t>
      </w:r>
      <w:proofErr w:type="spellEnd"/>
      <w:r w:rsidRPr="001B5396">
        <w:rPr>
          <w:rFonts w:ascii="Book Antiqua" w:eastAsiaTheme="minorEastAsia" w:hAnsi="Book Antiqua" w:cstheme="minorBidi"/>
          <w:i/>
          <w:kern w:val="2"/>
          <w:lang w:val="en-US" w:eastAsia="zh-CN"/>
        </w:rPr>
        <w:t xml:space="preserve"> Dial Transplant</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26</w:t>
      </w:r>
      <w:r w:rsidRPr="001B5396">
        <w:rPr>
          <w:rFonts w:ascii="Book Antiqua" w:eastAsiaTheme="minorEastAsia" w:hAnsi="Book Antiqua" w:cstheme="minorBidi"/>
          <w:kern w:val="2"/>
          <w:lang w:val="en-US" w:eastAsia="zh-CN"/>
        </w:rPr>
        <w:t>: 2309-2316 [PMID: 21097646 DOI: 10.1093/</w:t>
      </w:r>
      <w:proofErr w:type="spellStart"/>
      <w:r w:rsidRPr="001B5396">
        <w:rPr>
          <w:rFonts w:ascii="Book Antiqua" w:eastAsiaTheme="minorEastAsia" w:hAnsi="Book Antiqua" w:cstheme="minorBidi"/>
          <w:kern w:val="2"/>
          <w:lang w:val="en-US" w:eastAsia="zh-CN"/>
        </w:rPr>
        <w:t>ndt</w:t>
      </w:r>
      <w:proofErr w:type="spellEnd"/>
      <w:r w:rsidRPr="001B5396">
        <w:rPr>
          <w:rFonts w:ascii="Book Antiqua" w:eastAsiaTheme="minorEastAsia" w:hAnsi="Book Antiqua" w:cstheme="minorBidi"/>
          <w:kern w:val="2"/>
          <w:lang w:val="en-US" w:eastAsia="zh-CN"/>
        </w:rPr>
        <w:t>/gfq696]</w:t>
      </w:r>
    </w:p>
    <w:p w14:paraId="641A5A76"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16 </w:t>
      </w:r>
      <w:proofErr w:type="spellStart"/>
      <w:r w:rsidRPr="001B5396">
        <w:rPr>
          <w:rFonts w:ascii="Book Antiqua" w:eastAsiaTheme="minorEastAsia" w:hAnsi="Book Antiqua" w:cstheme="minorBidi"/>
          <w:b/>
          <w:kern w:val="2"/>
          <w:lang w:val="en-US" w:eastAsia="zh-CN"/>
        </w:rPr>
        <w:t>Sette</w:t>
      </w:r>
      <w:proofErr w:type="spellEnd"/>
      <w:r w:rsidRPr="001B5396">
        <w:rPr>
          <w:rFonts w:ascii="Book Antiqua" w:eastAsiaTheme="minorEastAsia" w:hAnsi="Book Antiqua" w:cstheme="minorBidi"/>
          <w:b/>
          <w:kern w:val="2"/>
          <w:lang w:val="en-US" w:eastAsia="zh-CN"/>
        </w:rPr>
        <w:t xml:space="preserve"> LH</w:t>
      </w:r>
      <w:r w:rsidRPr="001B5396">
        <w:rPr>
          <w:rFonts w:ascii="Book Antiqua" w:eastAsiaTheme="minorEastAsia" w:hAnsi="Book Antiqua" w:cstheme="minorBidi"/>
          <w:kern w:val="2"/>
          <w:lang w:val="en-US" w:eastAsia="zh-CN"/>
        </w:rPr>
        <w:t xml:space="preserve">, Almeida Lopes EP. Liver enzymes serum levels in patients with chronic kidney disease on hemodialysis: a comprehensive review. </w:t>
      </w:r>
      <w:r w:rsidRPr="001B5396">
        <w:rPr>
          <w:rFonts w:ascii="Book Antiqua" w:eastAsiaTheme="minorEastAsia" w:hAnsi="Book Antiqua" w:cstheme="minorBidi"/>
          <w:i/>
          <w:kern w:val="2"/>
          <w:lang w:val="en-US" w:eastAsia="zh-CN"/>
        </w:rPr>
        <w:t>Clinics (Sao Paulo)</w:t>
      </w:r>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69</w:t>
      </w:r>
      <w:r w:rsidRPr="001B5396">
        <w:rPr>
          <w:rFonts w:ascii="Book Antiqua" w:eastAsiaTheme="minorEastAsia" w:hAnsi="Book Antiqua" w:cstheme="minorBidi"/>
          <w:kern w:val="2"/>
          <w:lang w:val="en-US" w:eastAsia="zh-CN"/>
        </w:rPr>
        <w:t>: 271-278 [PMID: 24714836 DOI: 10.6061/clinics/2014(04)09]</w:t>
      </w:r>
    </w:p>
    <w:p w14:paraId="620D5E7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17 </w:t>
      </w:r>
      <w:r w:rsidRPr="001B5396">
        <w:rPr>
          <w:rFonts w:ascii="Book Antiqua" w:eastAsiaTheme="minorEastAsia" w:hAnsi="Book Antiqua" w:cstheme="minorBidi"/>
          <w:b/>
          <w:kern w:val="2"/>
          <w:lang w:val="en-US" w:eastAsia="zh-CN"/>
        </w:rPr>
        <w:t>Roth D</w:t>
      </w:r>
      <w:r w:rsidRPr="001B5396">
        <w:rPr>
          <w:rFonts w:ascii="Book Antiqua" w:eastAsiaTheme="minorEastAsia" w:hAnsi="Book Antiqua" w:cstheme="minorBidi"/>
          <w:kern w:val="2"/>
          <w:lang w:val="en-US" w:eastAsia="zh-CN"/>
        </w:rPr>
        <w:t xml:space="preserve">, Nelson DR, </w:t>
      </w:r>
      <w:proofErr w:type="spellStart"/>
      <w:r w:rsidRPr="001B5396">
        <w:rPr>
          <w:rFonts w:ascii="Book Antiqua" w:eastAsiaTheme="minorEastAsia" w:hAnsi="Book Antiqua" w:cstheme="minorBidi"/>
          <w:kern w:val="2"/>
          <w:lang w:val="en-US" w:eastAsia="zh-CN"/>
        </w:rPr>
        <w:t>Bruchfeld</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Liapakis</w:t>
      </w:r>
      <w:proofErr w:type="spellEnd"/>
      <w:r w:rsidRPr="001B5396">
        <w:rPr>
          <w:rFonts w:ascii="Book Antiqua" w:eastAsiaTheme="minorEastAsia" w:hAnsi="Book Antiqua" w:cstheme="minorBidi"/>
          <w:kern w:val="2"/>
          <w:lang w:val="en-US" w:eastAsia="zh-CN"/>
        </w:rPr>
        <w:t xml:space="preserve"> A, Silva M, </w:t>
      </w:r>
      <w:proofErr w:type="spellStart"/>
      <w:r w:rsidRPr="001B5396">
        <w:rPr>
          <w:rFonts w:ascii="Book Antiqua" w:eastAsiaTheme="minorEastAsia" w:hAnsi="Book Antiqua" w:cstheme="minorBidi"/>
          <w:kern w:val="2"/>
          <w:lang w:val="en-US" w:eastAsia="zh-CN"/>
        </w:rPr>
        <w:t>Monsour</w:t>
      </w:r>
      <w:proofErr w:type="spellEnd"/>
      <w:r w:rsidRPr="001B5396">
        <w:rPr>
          <w:rFonts w:ascii="Book Antiqua" w:eastAsiaTheme="minorEastAsia" w:hAnsi="Book Antiqua" w:cstheme="minorBidi"/>
          <w:kern w:val="2"/>
          <w:lang w:val="en-US" w:eastAsia="zh-CN"/>
        </w:rPr>
        <w:t xml:space="preserve"> H Jr, Martin P, Pol S, </w:t>
      </w:r>
      <w:proofErr w:type="spellStart"/>
      <w:r w:rsidRPr="001B5396">
        <w:rPr>
          <w:rFonts w:ascii="Book Antiqua" w:eastAsiaTheme="minorEastAsia" w:hAnsi="Book Antiqua" w:cstheme="minorBidi"/>
          <w:kern w:val="2"/>
          <w:lang w:val="en-US" w:eastAsia="zh-CN"/>
        </w:rPr>
        <w:t>Londoño</w:t>
      </w:r>
      <w:proofErr w:type="spellEnd"/>
      <w:r w:rsidRPr="001B5396">
        <w:rPr>
          <w:rFonts w:ascii="Book Antiqua" w:eastAsiaTheme="minorEastAsia" w:hAnsi="Book Antiqua" w:cstheme="minorBidi"/>
          <w:kern w:val="2"/>
          <w:lang w:val="en-US" w:eastAsia="zh-CN"/>
        </w:rPr>
        <w:t xml:space="preserve"> MC, </w:t>
      </w:r>
      <w:proofErr w:type="spellStart"/>
      <w:r w:rsidRPr="001B5396">
        <w:rPr>
          <w:rFonts w:ascii="Book Antiqua" w:eastAsiaTheme="minorEastAsia" w:hAnsi="Book Antiqua" w:cstheme="minorBidi"/>
          <w:kern w:val="2"/>
          <w:lang w:val="en-US" w:eastAsia="zh-CN"/>
        </w:rPr>
        <w:t>Hassanein</w:t>
      </w:r>
      <w:proofErr w:type="spellEnd"/>
      <w:r w:rsidRPr="001B5396">
        <w:rPr>
          <w:rFonts w:ascii="Book Antiqua" w:eastAsiaTheme="minorEastAsia" w:hAnsi="Book Antiqua" w:cstheme="minorBidi"/>
          <w:kern w:val="2"/>
          <w:lang w:val="en-US" w:eastAsia="zh-CN"/>
        </w:rPr>
        <w:t xml:space="preserve"> T, </w:t>
      </w:r>
      <w:proofErr w:type="spellStart"/>
      <w:r w:rsidRPr="001B5396">
        <w:rPr>
          <w:rFonts w:ascii="Book Antiqua" w:eastAsiaTheme="minorEastAsia" w:hAnsi="Book Antiqua" w:cstheme="minorBidi"/>
          <w:kern w:val="2"/>
          <w:lang w:val="en-US" w:eastAsia="zh-CN"/>
        </w:rPr>
        <w:t>Zamor</w:t>
      </w:r>
      <w:proofErr w:type="spellEnd"/>
      <w:r w:rsidRPr="001B5396">
        <w:rPr>
          <w:rFonts w:ascii="Book Antiqua" w:eastAsiaTheme="minorEastAsia" w:hAnsi="Book Antiqua" w:cstheme="minorBidi"/>
          <w:kern w:val="2"/>
          <w:lang w:val="en-US" w:eastAsia="zh-CN"/>
        </w:rPr>
        <w:t xml:space="preserve">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1B5396">
        <w:rPr>
          <w:rFonts w:ascii="Book Antiqua" w:eastAsiaTheme="minorEastAsia" w:hAnsi="Book Antiqua" w:cstheme="minorBidi"/>
          <w:i/>
          <w:kern w:val="2"/>
          <w:lang w:val="en-US" w:eastAsia="zh-CN"/>
        </w:rPr>
        <w:t>Lancet</w:t>
      </w:r>
      <w:r w:rsidRPr="001B5396">
        <w:rPr>
          <w:rFonts w:ascii="Book Antiqua" w:eastAsiaTheme="minorEastAsia" w:hAnsi="Book Antiqua" w:cstheme="minorBidi"/>
          <w:kern w:val="2"/>
          <w:lang w:val="en-US" w:eastAsia="zh-CN"/>
        </w:rPr>
        <w:t xml:space="preserve"> 2015; </w:t>
      </w:r>
      <w:r w:rsidRPr="001B5396">
        <w:rPr>
          <w:rFonts w:ascii="Book Antiqua" w:eastAsiaTheme="minorEastAsia" w:hAnsi="Book Antiqua" w:cstheme="minorBidi"/>
          <w:b/>
          <w:kern w:val="2"/>
          <w:lang w:val="en-US" w:eastAsia="zh-CN"/>
        </w:rPr>
        <w:t>386</w:t>
      </w:r>
      <w:r w:rsidRPr="001B5396">
        <w:rPr>
          <w:rFonts w:ascii="Book Antiqua" w:eastAsiaTheme="minorEastAsia" w:hAnsi="Book Antiqua" w:cstheme="minorBidi"/>
          <w:kern w:val="2"/>
          <w:lang w:val="en-US" w:eastAsia="zh-CN"/>
        </w:rPr>
        <w:t>: 1537-1545 [PMID: 26456905 DOI: 10.1016/S0140-6736(15)00349-9]</w:t>
      </w:r>
    </w:p>
    <w:p w14:paraId="35ED25BD"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18 </w:t>
      </w:r>
      <w:r w:rsidRPr="001B5396">
        <w:rPr>
          <w:rFonts w:ascii="Book Antiqua" w:eastAsiaTheme="minorEastAsia" w:hAnsi="Book Antiqua" w:cstheme="minorBidi"/>
          <w:b/>
          <w:kern w:val="2"/>
          <w:lang w:val="en-US" w:eastAsia="zh-CN"/>
        </w:rPr>
        <w:t>Levey AS</w:t>
      </w:r>
      <w:r w:rsidRPr="001B5396">
        <w:rPr>
          <w:rFonts w:ascii="Book Antiqua" w:eastAsiaTheme="minorEastAsia" w:hAnsi="Book Antiqua" w:cstheme="minorBidi"/>
          <w:kern w:val="2"/>
          <w:lang w:val="en-US" w:eastAsia="zh-CN"/>
        </w:rPr>
        <w:t xml:space="preserve">, Stevens LA, Schmid CH, Zhang YL, Castro AF 3rd, Feldman HI, </w:t>
      </w:r>
      <w:proofErr w:type="spellStart"/>
      <w:r w:rsidRPr="001B5396">
        <w:rPr>
          <w:rFonts w:ascii="Book Antiqua" w:eastAsiaTheme="minorEastAsia" w:hAnsi="Book Antiqua" w:cstheme="minorBidi"/>
          <w:kern w:val="2"/>
          <w:lang w:val="en-US" w:eastAsia="zh-CN"/>
        </w:rPr>
        <w:t>Kusek</w:t>
      </w:r>
      <w:proofErr w:type="spellEnd"/>
      <w:r w:rsidRPr="001B5396">
        <w:rPr>
          <w:rFonts w:ascii="Book Antiqua" w:eastAsiaTheme="minorEastAsia" w:hAnsi="Book Antiqua" w:cstheme="minorBidi"/>
          <w:kern w:val="2"/>
          <w:lang w:val="en-US" w:eastAsia="zh-CN"/>
        </w:rPr>
        <w:t xml:space="preserve"> JW, Eggers P, Van Lente F, Greene T, Coresh J; CKD-EPI (Chronic Kidney Disease Epidemiology Collaboration). A new equation to estimate glomerular filtration rate. </w:t>
      </w:r>
      <w:r w:rsidRPr="001B5396">
        <w:rPr>
          <w:rFonts w:ascii="Book Antiqua" w:eastAsiaTheme="minorEastAsia" w:hAnsi="Book Antiqua" w:cstheme="minorBidi"/>
          <w:i/>
          <w:kern w:val="2"/>
          <w:lang w:val="en-US" w:eastAsia="zh-CN"/>
        </w:rPr>
        <w:t>Ann Intern Med</w:t>
      </w:r>
      <w:r w:rsidRPr="001B5396">
        <w:rPr>
          <w:rFonts w:ascii="Book Antiqua" w:eastAsiaTheme="minorEastAsia" w:hAnsi="Book Antiqua" w:cstheme="minorBidi"/>
          <w:kern w:val="2"/>
          <w:lang w:val="en-US" w:eastAsia="zh-CN"/>
        </w:rPr>
        <w:t xml:space="preserve"> 2009; </w:t>
      </w:r>
      <w:r w:rsidRPr="001B5396">
        <w:rPr>
          <w:rFonts w:ascii="Book Antiqua" w:eastAsiaTheme="minorEastAsia" w:hAnsi="Book Antiqua" w:cstheme="minorBidi"/>
          <w:b/>
          <w:kern w:val="2"/>
          <w:lang w:val="en-US" w:eastAsia="zh-CN"/>
        </w:rPr>
        <w:t>150</w:t>
      </w:r>
      <w:r w:rsidRPr="001B5396">
        <w:rPr>
          <w:rFonts w:ascii="Book Antiqua" w:eastAsiaTheme="minorEastAsia" w:hAnsi="Book Antiqua" w:cstheme="minorBidi"/>
          <w:kern w:val="2"/>
          <w:lang w:val="en-US" w:eastAsia="zh-CN"/>
        </w:rPr>
        <w:t>: 604-612 [PMID: 19414839 DOI: 10.7326/0003-4819-150-9-200905050-00006]</w:t>
      </w:r>
    </w:p>
    <w:p w14:paraId="65CD93D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19 </w:t>
      </w:r>
      <w:proofErr w:type="spellStart"/>
      <w:r w:rsidRPr="001B5396">
        <w:rPr>
          <w:rFonts w:ascii="Book Antiqua" w:eastAsiaTheme="minorEastAsia" w:hAnsi="Book Antiqua" w:cstheme="minorBidi"/>
          <w:b/>
          <w:kern w:val="2"/>
          <w:lang w:val="en-US" w:eastAsia="zh-CN"/>
        </w:rPr>
        <w:t>Alborino</w:t>
      </w:r>
      <w:proofErr w:type="spellEnd"/>
      <w:r w:rsidRPr="001B5396">
        <w:rPr>
          <w:rFonts w:ascii="Book Antiqua" w:eastAsiaTheme="minorEastAsia" w:hAnsi="Book Antiqua" w:cstheme="minorBidi"/>
          <w:b/>
          <w:kern w:val="2"/>
          <w:lang w:val="en-US" w:eastAsia="zh-CN"/>
        </w:rPr>
        <w:t xml:space="preserve"> F</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Burighel</w:t>
      </w:r>
      <w:proofErr w:type="spellEnd"/>
      <w:r w:rsidRPr="001B5396">
        <w:rPr>
          <w:rFonts w:ascii="Book Antiqua" w:eastAsiaTheme="minorEastAsia" w:hAnsi="Book Antiqua" w:cstheme="minorBidi"/>
          <w:kern w:val="2"/>
          <w:lang w:val="en-US" w:eastAsia="zh-CN"/>
        </w:rPr>
        <w:t xml:space="preserve"> A, Tiller FW, van </w:t>
      </w:r>
      <w:proofErr w:type="spellStart"/>
      <w:r w:rsidRPr="001B5396">
        <w:rPr>
          <w:rFonts w:ascii="Book Antiqua" w:eastAsiaTheme="minorEastAsia" w:hAnsi="Book Antiqua" w:cstheme="minorBidi"/>
          <w:kern w:val="2"/>
          <w:lang w:val="en-US" w:eastAsia="zh-CN"/>
        </w:rPr>
        <w:t>Helden</w:t>
      </w:r>
      <w:proofErr w:type="spellEnd"/>
      <w:r w:rsidRPr="001B5396">
        <w:rPr>
          <w:rFonts w:ascii="Book Antiqua" w:eastAsiaTheme="minorEastAsia" w:hAnsi="Book Antiqua" w:cstheme="minorBidi"/>
          <w:kern w:val="2"/>
          <w:lang w:val="en-US" w:eastAsia="zh-CN"/>
        </w:rPr>
        <w:t xml:space="preserve"> J, Gabriel C, </w:t>
      </w:r>
      <w:proofErr w:type="spellStart"/>
      <w:r w:rsidRPr="001B5396">
        <w:rPr>
          <w:rFonts w:ascii="Book Antiqua" w:eastAsiaTheme="minorEastAsia" w:hAnsi="Book Antiqua" w:cstheme="minorBidi"/>
          <w:kern w:val="2"/>
          <w:lang w:val="en-US" w:eastAsia="zh-CN"/>
        </w:rPr>
        <w:t>Raineri</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Catapano</w:t>
      </w:r>
      <w:proofErr w:type="spellEnd"/>
      <w:r w:rsidRPr="001B5396">
        <w:rPr>
          <w:rFonts w:ascii="Book Antiqua" w:eastAsiaTheme="minorEastAsia" w:hAnsi="Book Antiqua" w:cstheme="minorBidi"/>
          <w:kern w:val="2"/>
          <w:lang w:val="en-US" w:eastAsia="zh-CN"/>
        </w:rPr>
        <w:t xml:space="preserve"> R, </w:t>
      </w:r>
      <w:proofErr w:type="spellStart"/>
      <w:r w:rsidRPr="001B5396">
        <w:rPr>
          <w:rFonts w:ascii="Book Antiqua" w:eastAsiaTheme="minorEastAsia" w:hAnsi="Book Antiqua" w:cstheme="minorBidi"/>
          <w:kern w:val="2"/>
          <w:lang w:val="en-US" w:eastAsia="zh-CN"/>
        </w:rPr>
        <w:t>Stekel</w:t>
      </w:r>
      <w:proofErr w:type="spellEnd"/>
      <w:r w:rsidRPr="001B5396">
        <w:rPr>
          <w:rFonts w:ascii="Book Antiqua" w:eastAsiaTheme="minorEastAsia" w:hAnsi="Book Antiqua" w:cstheme="minorBidi"/>
          <w:kern w:val="2"/>
          <w:lang w:val="en-US" w:eastAsia="zh-CN"/>
        </w:rPr>
        <w:t xml:space="preserve"> H. Multicenter evaluation of a fully automated third-generation anti-HCV antibody screening test with excellent sensitivity and specificity. </w:t>
      </w:r>
      <w:r w:rsidRPr="001B5396">
        <w:rPr>
          <w:rFonts w:ascii="Book Antiqua" w:eastAsiaTheme="minorEastAsia" w:hAnsi="Book Antiqua" w:cstheme="minorBidi"/>
          <w:i/>
          <w:kern w:val="2"/>
          <w:lang w:val="en-US" w:eastAsia="zh-CN"/>
        </w:rPr>
        <w:t xml:space="preserve">Med </w:t>
      </w:r>
      <w:proofErr w:type="spellStart"/>
      <w:r w:rsidRPr="001B5396">
        <w:rPr>
          <w:rFonts w:ascii="Book Antiqua" w:eastAsiaTheme="minorEastAsia" w:hAnsi="Book Antiqua" w:cstheme="minorBidi"/>
          <w:i/>
          <w:kern w:val="2"/>
          <w:lang w:val="en-US" w:eastAsia="zh-CN"/>
        </w:rPr>
        <w:t>Microbiol</w:t>
      </w:r>
      <w:proofErr w:type="spellEnd"/>
      <w:r w:rsidRPr="001B5396">
        <w:rPr>
          <w:rFonts w:ascii="Book Antiqua" w:eastAsiaTheme="minorEastAsia" w:hAnsi="Book Antiqua" w:cstheme="minorBidi"/>
          <w:i/>
          <w:kern w:val="2"/>
          <w:lang w:val="en-US" w:eastAsia="zh-CN"/>
        </w:rPr>
        <w:t xml:space="preserve"> Immunol</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200</w:t>
      </w:r>
      <w:r w:rsidRPr="001B5396">
        <w:rPr>
          <w:rFonts w:ascii="Book Antiqua" w:eastAsiaTheme="minorEastAsia" w:hAnsi="Book Antiqua" w:cstheme="minorBidi"/>
          <w:kern w:val="2"/>
          <w:lang w:val="en-US" w:eastAsia="zh-CN"/>
        </w:rPr>
        <w:t>: 77-83 [PMID: 20865278 DOI: 10.1007/s00430-010-0171-0]</w:t>
      </w:r>
    </w:p>
    <w:p w14:paraId="1AAD39DC"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20 </w:t>
      </w:r>
      <w:proofErr w:type="spellStart"/>
      <w:r w:rsidRPr="001B5396">
        <w:rPr>
          <w:rFonts w:ascii="Book Antiqua" w:eastAsiaTheme="minorEastAsia" w:hAnsi="Book Antiqua" w:cstheme="minorBidi"/>
          <w:b/>
          <w:kern w:val="2"/>
          <w:lang w:val="en-US" w:eastAsia="zh-CN"/>
        </w:rPr>
        <w:t>Vidimliski</w:t>
      </w:r>
      <w:proofErr w:type="spellEnd"/>
      <w:r w:rsidRPr="001B5396">
        <w:rPr>
          <w:rFonts w:ascii="Book Antiqua" w:eastAsiaTheme="minorEastAsia" w:hAnsi="Book Antiqua" w:cstheme="minorBidi"/>
          <w:b/>
          <w:kern w:val="2"/>
          <w:lang w:val="en-US" w:eastAsia="zh-CN"/>
        </w:rPr>
        <w:t xml:space="preserve"> PD</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Nikolov</w:t>
      </w:r>
      <w:proofErr w:type="spellEnd"/>
      <w:r w:rsidRPr="001B5396">
        <w:rPr>
          <w:rFonts w:ascii="Book Antiqua" w:eastAsiaTheme="minorEastAsia" w:hAnsi="Book Antiqua" w:cstheme="minorBidi"/>
          <w:kern w:val="2"/>
          <w:lang w:val="en-US" w:eastAsia="zh-CN"/>
        </w:rPr>
        <w:t xml:space="preserve"> I, </w:t>
      </w:r>
      <w:proofErr w:type="spellStart"/>
      <w:r w:rsidRPr="001B5396">
        <w:rPr>
          <w:rFonts w:ascii="Book Antiqua" w:eastAsiaTheme="minorEastAsia" w:hAnsi="Book Antiqua" w:cstheme="minorBidi"/>
          <w:kern w:val="2"/>
          <w:lang w:val="en-US" w:eastAsia="zh-CN"/>
        </w:rPr>
        <w:t>Geshkovska</w:t>
      </w:r>
      <w:proofErr w:type="spellEnd"/>
      <w:r w:rsidRPr="001B5396">
        <w:rPr>
          <w:rFonts w:ascii="Book Antiqua" w:eastAsiaTheme="minorEastAsia" w:hAnsi="Book Antiqua" w:cstheme="minorBidi"/>
          <w:kern w:val="2"/>
          <w:lang w:val="en-US" w:eastAsia="zh-CN"/>
        </w:rPr>
        <w:t xml:space="preserve"> NM, </w:t>
      </w:r>
      <w:proofErr w:type="spellStart"/>
      <w:r w:rsidRPr="001B5396">
        <w:rPr>
          <w:rFonts w:ascii="Book Antiqua" w:eastAsiaTheme="minorEastAsia" w:hAnsi="Book Antiqua" w:cstheme="minorBidi"/>
          <w:kern w:val="2"/>
          <w:lang w:val="en-US" w:eastAsia="zh-CN"/>
        </w:rPr>
        <w:t>Dimovski</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Rostaing</w:t>
      </w:r>
      <w:proofErr w:type="spellEnd"/>
      <w:r w:rsidRPr="001B5396">
        <w:rPr>
          <w:rFonts w:ascii="Book Antiqua" w:eastAsiaTheme="minorEastAsia" w:hAnsi="Book Antiqua" w:cstheme="minorBidi"/>
          <w:kern w:val="2"/>
          <w:lang w:val="en-US" w:eastAsia="zh-CN"/>
        </w:rPr>
        <w:t xml:space="preserve"> L, </w:t>
      </w:r>
      <w:proofErr w:type="spellStart"/>
      <w:r w:rsidRPr="001B5396">
        <w:rPr>
          <w:rFonts w:ascii="Book Antiqua" w:eastAsiaTheme="minorEastAsia" w:hAnsi="Book Antiqua" w:cstheme="minorBidi"/>
          <w:kern w:val="2"/>
          <w:lang w:val="en-US" w:eastAsia="zh-CN"/>
        </w:rPr>
        <w:t>Sikole</w:t>
      </w:r>
      <w:proofErr w:type="spellEnd"/>
      <w:r w:rsidRPr="001B5396">
        <w:rPr>
          <w:rFonts w:ascii="Book Antiqua" w:eastAsiaTheme="minorEastAsia" w:hAnsi="Book Antiqua" w:cstheme="minorBidi"/>
          <w:kern w:val="2"/>
          <w:lang w:val="en-US" w:eastAsia="zh-CN"/>
        </w:rPr>
        <w:t xml:space="preserve"> A. Review: Occult hepatitis C virus infection: still remains a controversy. </w:t>
      </w:r>
      <w:r w:rsidRPr="001B5396">
        <w:rPr>
          <w:rFonts w:ascii="Book Antiqua" w:eastAsiaTheme="minorEastAsia" w:hAnsi="Book Antiqua" w:cstheme="minorBidi"/>
          <w:i/>
          <w:kern w:val="2"/>
          <w:lang w:val="en-US" w:eastAsia="zh-CN"/>
        </w:rPr>
        <w:t xml:space="preserve">J Med </w:t>
      </w:r>
      <w:proofErr w:type="spellStart"/>
      <w:r w:rsidRPr="001B5396">
        <w:rPr>
          <w:rFonts w:ascii="Book Antiqua" w:eastAsiaTheme="minorEastAsia" w:hAnsi="Book Antiqua" w:cstheme="minorBidi"/>
          <w:i/>
          <w:kern w:val="2"/>
          <w:lang w:val="en-US" w:eastAsia="zh-CN"/>
        </w:rPr>
        <w:t>Virol</w:t>
      </w:r>
      <w:proofErr w:type="spellEnd"/>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86</w:t>
      </w:r>
      <w:r w:rsidRPr="001B5396">
        <w:rPr>
          <w:rFonts w:ascii="Book Antiqua" w:eastAsiaTheme="minorEastAsia" w:hAnsi="Book Antiqua" w:cstheme="minorBidi"/>
          <w:kern w:val="2"/>
          <w:lang w:val="en-US" w:eastAsia="zh-CN"/>
        </w:rPr>
        <w:t>: 1491-1498 [PMID: 24895180 DOI: 10.1002/jmv.23979]</w:t>
      </w:r>
    </w:p>
    <w:p w14:paraId="02915A7B"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21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Rodríguez-</w:t>
      </w:r>
      <w:proofErr w:type="spellStart"/>
      <w:r w:rsidRPr="001B5396">
        <w:rPr>
          <w:rFonts w:ascii="Book Antiqua" w:eastAsiaTheme="minorEastAsia" w:hAnsi="Book Antiqua" w:cstheme="minorBidi"/>
          <w:kern w:val="2"/>
          <w:lang w:val="en-US" w:eastAsia="zh-CN"/>
        </w:rPr>
        <w:t>Iñigo</w:t>
      </w:r>
      <w:proofErr w:type="spellEnd"/>
      <w:r w:rsidRPr="001B5396">
        <w:rPr>
          <w:rFonts w:ascii="Book Antiqua" w:eastAsiaTheme="minorEastAsia" w:hAnsi="Book Antiqua" w:cstheme="minorBidi"/>
          <w:kern w:val="2"/>
          <w:lang w:val="en-US" w:eastAsia="zh-CN"/>
        </w:rPr>
        <w:t xml:space="preserve"> E, Bartolomé J, de Lucas S, </w:t>
      </w:r>
      <w:proofErr w:type="spellStart"/>
      <w:r w:rsidRPr="001B5396">
        <w:rPr>
          <w:rFonts w:ascii="Book Antiqua" w:eastAsiaTheme="minorEastAsia" w:hAnsi="Book Antiqua" w:cstheme="minorBidi"/>
          <w:kern w:val="2"/>
          <w:lang w:val="en-US" w:eastAsia="zh-CN"/>
        </w:rPr>
        <w:t>Ortíz-Movilla</w:t>
      </w:r>
      <w:proofErr w:type="spellEnd"/>
      <w:r w:rsidRPr="001B5396">
        <w:rPr>
          <w:rFonts w:ascii="Book Antiqua" w:eastAsiaTheme="minorEastAsia" w:hAnsi="Book Antiqua" w:cstheme="minorBidi"/>
          <w:kern w:val="2"/>
          <w:lang w:val="en-US" w:eastAsia="zh-CN"/>
        </w:rPr>
        <w:t xml:space="preserve"> N, López-</w:t>
      </w:r>
      <w:proofErr w:type="spellStart"/>
      <w:r w:rsidRPr="001B5396">
        <w:rPr>
          <w:rFonts w:ascii="Book Antiqua" w:eastAsiaTheme="minorEastAsia" w:hAnsi="Book Antiqua" w:cstheme="minorBidi"/>
          <w:kern w:val="2"/>
          <w:lang w:val="en-US" w:eastAsia="zh-CN"/>
        </w:rPr>
        <w:t>Alcorocho</w:t>
      </w:r>
      <w:proofErr w:type="spellEnd"/>
      <w:r w:rsidRPr="001B5396">
        <w:rPr>
          <w:rFonts w:ascii="Book Antiqua" w:eastAsiaTheme="minorEastAsia" w:hAnsi="Book Antiqua" w:cstheme="minorBidi"/>
          <w:kern w:val="2"/>
          <w:lang w:val="en-US" w:eastAsia="zh-CN"/>
        </w:rPr>
        <w:t xml:space="preserve"> JM, Pardo M,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Hepatitis C virus replicates in peripheral blood mononuclear cells of patients with occult hepatitis C virus infection. </w:t>
      </w:r>
      <w:r w:rsidRPr="001B5396">
        <w:rPr>
          <w:rFonts w:ascii="Book Antiqua" w:eastAsiaTheme="minorEastAsia" w:hAnsi="Book Antiqua" w:cstheme="minorBidi"/>
          <w:i/>
          <w:kern w:val="2"/>
          <w:lang w:val="en-US" w:eastAsia="zh-CN"/>
        </w:rPr>
        <w:t>Gut</w:t>
      </w:r>
      <w:r w:rsidRPr="001B5396">
        <w:rPr>
          <w:rFonts w:ascii="Book Antiqua" w:eastAsiaTheme="minorEastAsia" w:hAnsi="Book Antiqua" w:cstheme="minorBidi"/>
          <w:kern w:val="2"/>
          <w:lang w:val="en-US" w:eastAsia="zh-CN"/>
        </w:rPr>
        <w:t xml:space="preserve"> 2005; </w:t>
      </w:r>
      <w:r w:rsidRPr="001B5396">
        <w:rPr>
          <w:rFonts w:ascii="Book Antiqua" w:eastAsiaTheme="minorEastAsia" w:hAnsi="Book Antiqua" w:cstheme="minorBidi"/>
          <w:b/>
          <w:kern w:val="2"/>
          <w:lang w:val="en-US" w:eastAsia="zh-CN"/>
        </w:rPr>
        <w:t>54</w:t>
      </w:r>
      <w:r w:rsidRPr="001B5396">
        <w:rPr>
          <w:rFonts w:ascii="Book Antiqua" w:eastAsiaTheme="minorEastAsia" w:hAnsi="Book Antiqua" w:cstheme="minorBidi"/>
          <w:kern w:val="2"/>
          <w:lang w:val="en-US" w:eastAsia="zh-CN"/>
        </w:rPr>
        <w:t>: 682-685 [PMID: 15831916 DOI: 10.1136/gut.2004.057281]</w:t>
      </w:r>
    </w:p>
    <w:p w14:paraId="1D48E4F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22 </w:t>
      </w:r>
      <w:proofErr w:type="spellStart"/>
      <w:r w:rsidRPr="001B5396">
        <w:rPr>
          <w:rFonts w:ascii="Book Antiqua" w:eastAsiaTheme="minorEastAsia" w:hAnsi="Book Antiqua" w:cstheme="minorBidi"/>
          <w:b/>
          <w:kern w:val="2"/>
          <w:lang w:val="en-US" w:eastAsia="zh-CN"/>
        </w:rPr>
        <w:t>Memon</w:t>
      </w:r>
      <w:proofErr w:type="spellEnd"/>
      <w:r w:rsidRPr="001B5396">
        <w:rPr>
          <w:rFonts w:ascii="Book Antiqua" w:eastAsiaTheme="minorEastAsia" w:hAnsi="Book Antiqua" w:cstheme="minorBidi"/>
          <w:b/>
          <w:kern w:val="2"/>
          <w:lang w:val="en-US" w:eastAsia="zh-CN"/>
        </w:rPr>
        <w:t xml:space="preserve"> MI</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Memon</w:t>
      </w:r>
      <w:proofErr w:type="spellEnd"/>
      <w:r w:rsidRPr="001B5396">
        <w:rPr>
          <w:rFonts w:ascii="Book Antiqua" w:eastAsiaTheme="minorEastAsia" w:hAnsi="Book Antiqua" w:cstheme="minorBidi"/>
          <w:kern w:val="2"/>
          <w:lang w:val="en-US" w:eastAsia="zh-CN"/>
        </w:rPr>
        <w:t xml:space="preserve"> MA. Hepatitis C: an epidemiological review. </w:t>
      </w:r>
      <w:r w:rsidRPr="001B5396">
        <w:rPr>
          <w:rFonts w:ascii="Book Antiqua" w:eastAsiaTheme="minorEastAsia" w:hAnsi="Book Antiqua" w:cstheme="minorBidi"/>
          <w:i/>
          <w:kern w:val="2"/>
          <w:lang w:val="en-US" w:eastAsia="zh-CN"/>
        </w:rPr>
        <w:t xml:space="preserve">J Viral </w:t>
      </w:r>
      <w:proofErr w:type="spellStart"/>
      <w:r w:rsidRPr="001B5396">
        <w:rPr>
          <w:rFonts w:ascii="Book Antiqua" w:eastAsiaTheme="minorEastAsia" w:hAnsi="Book Antiqua" w:cstheme="minorBidi"/>
          <w:i/>
          <w:kern w:val="2"/>
          <w:lang w:val="en-US" w:eastAsia="zh-CN"/>
        </w:rPr>
        <w:t>Hepat</w:t>
      </w:r>
      <w:proofErr w:type="spellEnd"/>
      <w:r w:rsidRPr="001B5396">
        <w:rPr>
          <w:rFonts w:ascii="Book Antiqua" w:eastAsiaTheme="minorEastAsia" w:hAnsi="Book Antiqua" w:cstheme="minorBidi"/>
          <w:kern w:val="2"/>
          <w:lang w:val="en-US" w:eastAsia="zh-CN"/>
        </w:rPr>
        <w:t xml:space="preserve"> </w:t>
      </w:r>
      <w:r w:rsidRPr="001B5396">
        <w:rPr>
          <w:rFonts w:ascii="Book Antiqua" w:eastAsiaTheme="minorEastAsia" w:hAnsi="Book Antiqua" w:cstheme="minorBidi"/>
          <w:kern w:val="2"/>
          <w:lang w:val="en-US" w:eastAsia="zh-CN"/>
        </w:rPr>
        <w:lastRenderedPageBreak/>
        <w:t xml:space="preserve">2002; </w:t>
      </w:r>
      <w:r w:rsidRPr="001B5396">
        <w:rPr>
          <w:rFonts w:ascii="Book Antiqua" w:eastAsiaTheme="minorEastAsia" w:hAnsi="Book Antiqua" w:cstheme="minorBidi"/>
          <w:b/>
          <w:kern w:val="2"/>
          <w:lang w:val="en-US" w:eastAsia="zh-CN"/>
        </w:rPr>
        <w:t>9</w:t>
      </w:r>
      <w:r w:rsidRPr="001B5396">
        <w:rPr>
          <w:rFonts w:ascii="Book Antiqua" w:eastAsiaTheme="minorEastAsia" w:hAnsi="Book Antiqua" w:cstheme="minorBidi"/>
          <w:kern w:val="2"/>
          <w:lang w:val="en-US" w:eastAsia="zh-CN"/>
        </w:rPr>
        <w:t>: 84-100 [PMID: 11876790 DOI: 10.1046/j.1365-2893.2002.00329.x]</w:t>
      </w:r>
    </w:p>
    <w:p w14:paraId="1083DD9A"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23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xml:space="preserve">, Bartolomé J, Quiroga JA, </w:t>
      </w:r>
      <w:proofErr w:type="spellStart"/>
      <w:r w:rsidRPr="001B5396">
        <w:rPr>
          <w:rFonts w:ascii="Book Antiqua" w:eastAsiaTheme="minorEastAsia" w:hAnsi="Book Antiqua" w:cstheme="minorBidi"/>
          <w:kern w:val="2"/>
          <w:lang w:val="en-US" w:eastAsia="zh-CN"/>
        </w:rPr>
        <w:t>Barril</w:t>
      </w:r>
      <w:proofErr w:type="spellEnd"/>
      <w:r w:rsidRPr="001B5396">
        <w:rPr>
          <w:rFonts w:ascii="Book Antiqua" w:eastAsiaTheme="minorEastAsia" w:hAnsi="Book Antiqua" w:cstheme="minorBidi"/>
          <w:kern w:val="2"/>
          <w:lang w:val="en-US" w:eastAsia="zh-CN"/>
        </w:rPr>
        <w:t xml:space="preserve"> G,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Hepatitis C virus infection in the family setting of patients with occult hepatitis C. </w:t>
      </w:r>
      <w:r w:rsidRPr="001B5396">
        <w:rPr>
          <w:rFonts w:ascii="Book Antiqua" w:eastAsiaTheme="minorEastAsia" w:hAnsi="Book Antiqua" w:cstheme="minorBidi"/>
          <w:i/>
          <w:kern w:val="2"/>
          <w:lang w:val="en-US" w:eastAsia="zh-CN"/>
        </w:rPr>
        <w:t xml:space="preserve">J Med </w:t>
      </w:r>
      <w:proofErr w:type="spellStart"/>
      <w:r w:rsidRPr="001B5396">
        <w:rPr>
          <w:rFonts w:ascii="Book Antiqua" w:eastAsiaTheme="minorEastAsia" w:hAnsi="Book Antiqua" w:cstheme="minorBidi"/>
          <w:i/>
          <w:kern w:val="2"/>
          <w:lang w:val="en-US" w:eastAsia="zh-CN"/>
        </w:rPr>
        <w:t>Virol</w:t>
      </w:r>
      <w:proofErr w:type="spellEnd"/>
      <w:r w:rsidRPr="001B5396">
        <w:rPr>
          <w:rFonts w:ascii="Book Antiqua" w:eastAsiaTheme="minorEastAsia" w:hAnsi="Book Antiqua" w:cstheme="minorBidi"/>
          <w:kern w:val="2"/>
          <w:lang w:val="en-US" w:eastAsia="zh-CN"/>
        </w:rPr>
        <w:t xml:space="preserve"> 2009; </w:t>
      </w:r>
      <w:r w:rsidRPr="001B5396">
        <w:rPr>
          <w:rFonts w:ascii="Book Antiqua" w:eastAsiaTheme="minorEastAsia" w:hAnsi="Book Antiqua" w:cstheme="minorBidi"/>
          <w:b/>
          <w:kern w:val="2"/>
          <w:lang w:val="en-US" w:eastAsia="zh-CN"/>
        </w:rPr>
        <w:t>81</w:t>
      </w:r>
      <w:r w:rsidRPr="001B5396">
        <w:rPr>
          <w:rFonts w:ascii="Book Antiqua" w:eastAsiaTheme="minorEastAsia" w:hAnsi="Book Antiqua" w:cstheme="minorBidi"/>
          <w:kern w:val="2"/>
          <w:lang w:val="en-US" w:eastAsia="zh-CN"/>
        </w:rPr>
        <w:t>: 1198-1203 [PMID: 19475603 DOI: 10.1002/jmv.21483]</w:t>
      </w:r>
    </w:p>
    <w:p w14:paraId="2DD92494"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24 </w:t>
      </w:r>
      <w:r w:rsidRPr="001B5396">
        <w:rPr>
          <w:rFonts w:ascii="Book Antiqua" w:eastAsiaTheme="minorEastAsia" w:hAnsi="Book Antiqua" w:cstheme="minorBidi"/>
          <w:b/>
          <w:kern w:val="2"/>
          <w:lang w:val="en-US" w:eastAsia="zh-CN"/>
        </w:rPr>
        <w:t>Roque-</w:t>
      </w:r>
      <w:proofErr w:type="spellStart"/>
      <w:r w:rsidRPr="001B5396">
        <w:rPr>
          <w:rFonts w:ascii="Book Antiqua" w:eastAsiaTheme="minorEastAsia" w:hAnsi="Book Antiqua" w:cstheme="minorBidi"/>
          <w:b/>
          <w:kern w:val="2"/>
          <w:lang w:val="en-US" w:eastAsia="zh-CN"/>
        </w:rPr>
        <w:t>Cuéllar</w:t>
      </w:r>
      <w:proofErr w:type="spellEnd"/>
      <w:r w:rsidRPr="001B5396">
        <w:rPr>
          <w:rFonts w:ascii="Book Antiqua" w:eastAsiaTheme="minorEastAsia" w:hAnsi="Book Antiqua" w:cstheme="minorBidi"/>
          <w:b/>
          <w:kern w:val="2"/>
          <w:lang w:val="en-US" w:eastAsia="zh-CN"/>
        </w:rPr>
        <w:t xml:space="preserve"> MC</w:t>
      </w:r>
      <w:r w:rsidRPr="001B5396">
        <w:rPr>
          <w:rFonts w:ascii="Book Antiqua" w:eastAsiaTheme="minorEastAsia" w:hAnsi="Book Antiqua" w:cstheme="minorBidi"/>
          <w:kern w:val="2"/>
          <w:lang w:val="en-US" w:eastAsia="zh-CN"/>
        </w:rPr>
        <w:t xml:space="preserve">, Sánchez B, García-Lozano JR, </w:t>
      </w:r>
      <w:proofErr w:type="spellStart"/>
      <w:r w:rsidRPr="001B5396">
        <w:rPr>
          <w:rFonts w:ascii="Book Antiqua" w:eastAsiaTheme="minorEastAsia" w:hAnsi="Book Antiqua" w:cstheme="minorBidi"/>
          <w:kern w:val="2"/>
          <w:lang w:val="en-US" w:eastAsia="zh-CN"/>
        </w:rPr>
        <w:t>Praena</w:t>
      </w:r>
      <w:proofErr w:type="spellEnd"/>
      <w:r w:rsidRPr="001B5396">
        <w:rPr>
          <w:rFonts w:ascii="Book Antiqua" w:eastAsiaTheme="minorEastAsia" w:hAnsi="Book Antiqua" w:cstheme="minorBidi"/>
          <w:kern w:val="2"/>
          <w:lang w:val="en-US" w:eastAsia="zh-CN"/>
        </w:rPr>
        <w:t xml:space="preserve">-Fernández JM, </w:t>
      </w:r>
      <w:proofErr w:type="spellStart"/>
      <w:r w:rsidRPr="001B5396">
        <w:rPr>
          <w:rFonts w:ascii="Book Antiqua" w:eastAsiaTheme="minorEastAsia" w:hAnsi="Book Antiqua" w:cstheme="minorBidi"/>
          <w:kern w:val="2"/>
          <w:lang w:val="en-US" w:eastAsia="zh-CN"/>
        </w:rPr>
        <w:t>Núñez-Roldán</w:t>
      </w:r>
      <w:proofErr w:type="spellEnd"/>
      <w:r w:rsidRPr="001B5396">
        <w:rPr>
          <w:rFonts w:ascii="Book Antiqua" w:eastAsiaTheme="minorEastAsia" w:hAnsi="Book Antiqua" w:cstheme="minorBidi"/>
          <w:kern w:val="2"/>
          <w:lang w:val="en-US" w:eastAsia="zh-CN"/>
        </w:rPr>
        <w:t xml:space="preserve"> A, Aguilar-Reina J. Cellular immune responses and occult infection in seronegative heterosexual partners of chronic hepatitis C patients. </w:t>
      </w:r>
      <w:r w:rsidRPr="001B5396">
        <w:rPr>
          <w:rFonts w:ascii="Book Antiqua" w:eastAsiaTheme="minorEastAsia" w:hAnsi="Book Antiqua" w:cstheme="minorBidi"/>
          <w:i/>
          <w:kern w:val="2"/>
          <w:lang w:val="en-US" w:eastAsia="zh-CN"/>
        </w:rPr>
        <w:t xml:space="preserve">J Viral </w:t>
      </w:r>
      <w:proofErr w:type="spellStart"/>
      <w:r w:rsidRPr="001B5396">
        <w:rPr>
          <w:rFonts w:ascii="Book Antiqua" w:eastAsiaTheme="minorEastAsia" w:hAnsi="Book Antiqua" w:cstheme="minorBidi"/>
          <w:i/>
          <w:kern w:val="2"/>
          <w:lang w:val="en-US" w:eastAsia="zh-CN"/>
        </w:rPr>
        <w:t>Hepat</w:t>
      </w:r>
      <w:proofErr w:type="spellEnd"/>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18</w:t>
      </w:r>
      <w:r w:rsidRPr="001B5396">
        <w:rPr>
          <w:rFonts w:ascii="Book Antiqua" w:eastAsiaTheme="minorEastAsia" w:hAnsi="Book Antiqua" w:cstheme="minorBidi"/>
          <w:kern w:val="2"/>
          <w:lang w:val="en-US" w:eastAsia="zh-CN"/>
        </w:rPr>
        <w:t>: e541-e549 [PMID: 21914075 DOI: 10.1111/j.1365-2893.2011.01464.x]</w:t>
      </w:r>
    </w:p>
    <w:p w14:paraId="7E5D0E1D"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25 </w:t>
      </w:r>
      <w:r w:rsidRPr="001B5396">
        <w:rPr>
          <w:rFonts w:ascii="Book Antiqua" w:eastAsiaTheme="minorEastAsia" w:hAnsi="Book Antiqua" w:cstheme="minorBidi"/>
          <w:b/>
          <w:kern w:val="2"/>
          <w:lang w:val="en-US" w:eastAsia="zh-CN"/>
        </w:rPr>
        <w:t xml:space="preserve">El </w:t>
      </w:r>
      <w:proofErr w:type="spellStart"/>
      <w:r w:rsidRPr="001B5396">
        <w:rPr>
          <w:rFonts w:ascii="Book Antiqua" w:eastAsiaTheme="minorEastAsia" w:hAnsi="Book Antiqua" w:cstheme="minorBidi"/>
          <w:b/>
          <w:kern w:val="2"/>
          <w:lang w:val="en-US" w:eastAsia="zh-CN"/>
        </w:rPr>
        <w:t>Shazly</w:t>
      </w:r>
      <w:proofErr w:type="spellEnd"/>
      <w:r w:rsidRPr="001B5396">
        <w:rPr>
          <w:rFonts w:ascii="Book Antiqua" w:eastAsiaTheme="minorEastAsia" w:hAnsi="Book Antiqua" w:cstheme="minorBidi"/>
          <w:b/>
          <w:kern w:val="2"/>
          <w:lang w:val="en-US" w:eastAsia="zh-CN"/>
        </w:rPr>
        <w:t xml:space="preserve"> Y</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Hemida</w:t>
      </w:r>
      <w:proofErr w:type="spellEnd"/>
      <w:r w:rsidRPr="001B5396">
        <w:rPr>
          <w:rFonts w:ascii="Book Antiqua" w:eastAsiaTheme="minorEastAsia" w:hAnsi="Book Antiqua" w:cstheme="minorBidi"/>
          <w:kern w:val="2"/>
          <w:lang w:val="en-US" w:eastAsia="zh-CN"/>
        </w:rPr>
        <w:t xml:space="preserve"> K, Rafik M, Al </w:t>
      </w:r>
      <w:proofErr w:type="spellStart"/>
      <w:r w:rsidRPr="001B5396">
        <w:rPr>
          <w:rFonts w:ascii="Book Antiqua" w:eastAsiaTheme="minorEastAsia" w:hAnsi="Book Antiqua" w:cstheme="minorBidi"/>
          <w:kern w:val="2"/>
          <w:lang w:val="en-US" w:eastAsia="zh-CN"/>
        </w:rPr>
        <w:t>Swaff</w:t>
      </w:r>
      <w:proofErr w:type="spellEnd"/>
      <w:r w:rsidRPr="001B5396">
        <w:rPr>
          <w:rFonts w:ascii="Book Antiqua" w:eastAsiaTheme="minorEastAsia" w:hAnsi="Book Antiqua" w:cstheme="minorBidi"/>
          <w:kern w:val="2"/>
          <w:lang w:val="en-US" w:eastAsia="zh-CN"/>
        </w:rPr>
        <w:t xml:space="preserve"> R, Ali-</w:t>
      </w:r>
      <w:proofErr w:type="spellStart"/>
      <w:r w:rsidRPr="001B5396">
        <w:rPr>
          <w:rFonts w:ascii="Book Antiqua" w:eastAsiaTheme="minorEastAsia" w:hAnsi="Book Antiqua" w:cstheme="minorBidi"/>
          <w:kern w:val="2"/>
          <w:lang w:val="en-US" w:eastAsia="zh-CN"/>
        </w:rPr>
        <w:t>Eldin</w:t>
      </w:r>
      <w:proofErr w:type="spellEnd"/>
      <w:r w:rsidRPr="001B5396">
        <w:rPr>
          <w:rFonts w:ascii="Book Antiqua" w:eastAsiaTheme="minorEastAsia" w:hAnsi="Book Antiqua" w:cstheme="minorBidi"/>
          <w:kern w:val="2"/>
          <w:lang w:val="en-US" w:eastAsia="zh-CN"/>
        </w:rPr>
        <w:t xml:space="preserve"> ZA, </w:t>
      </w:r>
      <w:proofErr w:type="spellStart"/>
      <w:r w:rsidRPr="001B5396">
        <w:rPr>
          <w:rFonts w:ascii="Book Antiqua" w:eastAsiaTheme="minorEastAsia" w:hAnsi="Book Antiqua" w:cstheme="minorBidi"/>
          <w:kern w:val="2"/>
          <w:lang w:val="en-US" w:eastAsia="zh-CN"/>
        </w:rPr>
        <w:t>GadAllah</w:t>
      </w:r>
      <w:proofErr w:type="spellEnd"/>
      <w:r w:rsidRPr="001B5396">
        <w:rPr>
          <w:rFonts w:ascii="Book Antiqua" w:eastAsiaTheme="minorEastAsia" w:hAnsi="Book Antiqua" w:cstheme="minorBidi"/>
          <w:kern w:val="2"/>
          <w:lang w:val="en-US" w:eastAsia="zh-CN"/>
        </w:rPr>
        <w:t xml:space="preserve"> S. Detection of occult hepatitis C virus among healthy spouses of patients with HCV infection. </w:t>
      </w:r>
      <w:r w:rsidRPr="001B5396">
        <w:rPr>
          <w:rFonts w:ascii="Book Antiqua" w:eastAsiaTheme="minorEastAsia" w:hAnsi="Book Antiqua" w:cstheme="minorBidi"/>
          <w:i/>
          <w:kern w:val="2"/>
          <w:lang w:val="en-US" w:eastAsia="zh-CN"/>
        </w:rPr>
        <w:t xml:space="preserve">J Med </w:t>
      </w:r>
      <w:proofErr w:type="spellStart"/>
      <w:r w:rsidRPr="001B5396">
        <w:rPr>
          <w:rFonts w:ascii="Book Antiqua" w:eastAsiaTheme="minorEastAsia" w:hAnsi="Book Antiqua" w:cstheme="minorBidi"/>
          <w:i/>
          <w:kern w:val="2"/>
          <w:lang w:val="en-US" w:eastAsia="zh-CN"/>
        </w:rPr>
        <w:t>Virol</w:t>
      </w:r>
      <w:proofErr w:type="spellEnd"/>
      <w:r w:rsidRPr="001B5396">
        <w:rPr>
          <w:rFonts w:ascii="Book Antiqua" w:eastAsiaTheme="minorEastAsia" w:hAnsi="Book Antiqua" w:cstheme="minorBidi"/>
          <w:kern w:val="2"/>
          <w:lang w:val="en-US" w:eastAsia="zh-CN"/>
        </w:rPr>
        <w:t xml:space="preserve"> 2015; </w:t>
      </w:r>
      <w:r w:rsidRPr="001B5396">
        <w:rPr>
          <w:rFonts w:ascii="Book Antiqua" w:eastAsiaTheme="minorEastAsia" w:hAnsi="Book Antiqua" w:cstheme="minorBidi"/>
          <w:b/>
          <w:kern w:val="2"/>
          <w:lang w:val="en-US" w:eastAsia="zh-CN"/>
        </w:rPr>
        <w:t>87</w:t>
      </w:r>
      <w:r w:rsidRPr="001B5396">
        <w:rPr>
          <w:rFonts w:ascii="Book Antiqua" w:eastAsiaTheme="minorEastAsia" w:hAnsi="Book Antiqua" w:cstheme="minorBidi"/>
          <w:kern w:val="2"/>
          <w:lang w:val="en-US" w:eastAsia="zh-CN"/>
        </w:rPr>
        <w:t>: 424-427 [PMID: 25185940 DOI: 10.1002/jmv.24074]</w:t>
      </w:r>
    </w:p>
    <w:p w14:paraId="52F3724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26 </w:t>
      </w:r>
      <w:r w:rsidRPr="001B5396">
        <w:rPr>
          <w:rFonts w:ascii="Book Antiqua" w:eastAsiaTheme="minorEastAsia" w:hAnsi="Book Antiqua" w:cstheme="minorBidi"/>
          <w:b/>
          <w:kern w:val="2"/>
          <w:lang w:val="en-US" w:eastAsia="zh-CN"/>
        </w:rPr>
        <w:t>Alvarez KJ</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Smaldone</w:t>
      </w:r>
      <w:proofErr w:type="spellEnd"/>
      <w:r w:rsidRPr="001B5396">
        <w:rPr>
          <w:rFonts w:ascii="Book Antiqua" w:eastAsiaTheme="minorEastAsia" w:hAnsi="Book Antiqua" w:cstheme="minorBidi"/>
          <w:kern w:val="2"/>
          <w:lang w:val="en-US" w:eastAsia="zh-CN"/>
        </w:rPr>
        <w:t xml:space="preserve"> A, Larson EL. Burden of Hepatitis C Virus Infection Among Older Adults in Long-Term Care Settings: </w:t>
      </w:r>
      <w:proofErr w:type="gramStart"/>
      <w:r w:rsidRPr="001B5396">
        <w:rPr>
          <w:rFonts w:ascii="Book Antiqua" w:eastAsiaTheme="minorEastAsia" w:hAnsi="Book Antiqua" w:cstheme="minorBidi"/>
          <w:kern w:val="2"/>
          <w:lang w:val="en-US" w:eastAsia="zh-CN"/>
        </w:rPr>
        <w:t>a</w:t>
      </w:r>
      <w:proofErr w:type="gramEnd"/>
      <w:r w:rsidRPr="001B5396">
        <w:rPr>
          <w:rFonts w:ascii="Book Antiqua" w:eastAsiaTheme="minorEastAsia" w:hAnsi="Book Antiqua" w:cstheme="minorBidi"/>
          <w:kern w:val="2"/>
          <w:lang w:val="en-US" w:eastAsia="zh-CN"/>
        </w:rPr>
        <w:t xml:space="preserve"> Systematic Review of the Literature and Meta-Analysis. </w:t>
      </w:r>
      <w:proofErr w:type="spellStart"/>
      <w:r w:rsidRPr="001B5396">
        <w:rPr>
          <w:rFonts w:ascii="Book Antiqua" w:eastAsiaTheme="minorEastAsia" w:hAnsi="Book Antiqua" w:cstheme="minorBidi"/>
          <w:i/>
          <w:kern w:val="2"/>
          <w:lang w:val="en-US" w:eastAsia="zh-CN"/>
        </w:rPr>
        <w:t>Curr</w:t>
      </w:r>
      <w:proofErr w:type="spellEnd"/>
      <w:r w:rsidRPr="001B5396">
        <w:rPr>
          <w:rFonts w:ascii="Book Antiqua" w:eastAsiaTheme="minorEastAsia" w:hAnsi="Book Antiqua" w:cstheme="minorBidi"/>
          <w:i/>
          <w:kern w:val="2"/>
          <w:lang w:val="en-US" w:eastAsia="zh-CN"/>
        </w:rPr>
        <w:t xml:space="preserve"> Infect Dis Rep</w:t>
      </w:r>
      <w:r w:rsidRPr="001B5396">
        <w:rPr>
          <w:rFonts w:ascii="Book Antiqua" w:eastAsiaTheme="minorEastAsia" w:hAnsi="Book Antiqua" w:cstheme="minorBidi"/>
          <w:kern w:val="2"/>
          <w:lang w:val="en-US" w:eastAsia="zh-CN"/>
        </w:rPr>
        <w:t xml:space="preserve"> 2016; </w:t>
      </w:r>
      <w:r w:rsidRPr="001B5396">
        <w:rPr>
          <w:rFonts w:ascii="Book Antiqua" w:eastAsiaTheme="minorEastAsia" w:hAnsi="Book Antiqua" w:cstheme="minorBidi"/>
          <w:b/>
          <w:kern w:val="2"/>
          <w:lang w:val="en-US" w:eastAsia="zh-CN"/>
        </w:rPr>
        <w:t>18</w:t>
      </w:r>
      <w:r w:rsidRPr="001B5396">
        <w:rPr>
          <w:rFonts w:ascii="Book Antiqua" w:eastAsiaTheme="minorEastAsia" w:hAnsi="Book Antiqua" w:cstheme="minorBidi"/>
          <w:kern w:val="2"/>
          <w:lang w:val="en-US" w:eastAsia="zh-CN"/>
        </w:rPr>
        <w:t>: 13 [PMID: 26915098 DOI: 10.1007/s11908-016-0518-9]</w:t>
      </w:r>
    </w:p>
    <w:p w14:paraId="60733441"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27 </w:t>
      </w:r>
      <w:proofErr w:type="spellStart"/>
      <w:r w:rsidRPr="001B5396">
        <w:rPr>
          <w:rFonts w:ascii="Book Antiqua" w:eastAsiaTheme="minorEastAsia" w:hAnsi="Book Antiqua" w:cstheme="minorBidi"/>
          <w:b/>
          <w:kern w:val="2"/>
          <w:lang w:val="en-US" w:eastAsia="zh-CN"/>
        </w:rPr>
        <w:t>Mindikoglu</w:t>
      </w:r>
      <w:proofErr w:type="spellEnd"/>
      <w:r w:rsidRPr="001B5396">
        <w:rPr>
          <w:rFonts w:ascii="Book Antiqua" w:eastAsiaTheme="minorEastAsia" w:hAnsi="Book Antiqua" w:cstheme="minorBidi"/>
          <w:b/>
          <w:kern w:val="2"/>
          <w:lang w:val="en-US" w:eastAsia="zh-CN"/>
        </w:rPr>
        <w:t xml:space="preserve"> AL</w:t>
      </w:r>
      <w:r w:rsidRPr="001B5396">
        <w:rPr>
          <w:rFonts w:ascii="Book Antiqua" w:eastAsiaTheme="minorEastAsia" w:hAnsi="Book Antiqua" w:cstheme="minorBidi"/>
          <w:kern w:val="2"/>
          <w:lang w:val="en-US" w:eastAsia="zh-CN"/>
        </w:rPr>
        <w:t xml:space="preserve">, Miller RR. Hepatitis C in the elderly: epidemiology, natural history, and treatment. </w:t>
      </w:r>
      <w:proofErr w:type="spellStart"/>
      <w:r w:rsidRPr="001B5396">
        <w:rPr>
          <w:rFonts w:ascii="Book Antiqua" w:eastAsiaTheme="minorEastAsia" w:hAnsi="Book Antiqua" w:cstheme="minorBidi"/>
          <w:i/>
          <w:kern w:val="2"/>
          <w:lang w:val="en-US" w:eastAsia="zh-CN"/>
        </w:rPr>
        <w:t>Clin</w:t>
      </w:r>
      <w:proofErr w:type="spellEnd"/>
      <w:r w:rsidRPr="001B5396">
        <w:rPr>
          <w:rFonts w:ascii="Book Antiqua" w:eastAsiaTheme="minorEastAsia" w:hAnsi="Book Antiqua" w:cstheme="minorBidi"/>
          <w:i/>
          <w:kern w:val="2"/>
          <w:lang w:val="en-US" w:eastAsia="zh-CN"/>
        </w:rPr>
        <w:t xml:space="preserve"> Gastroenterol </w:t>
      </w:r>
      <w:proofErr w:type="spellStart"/>
      <w:r w:rsidRPr="001B5396">
        <w:rPr>
          <w:rFonts w:ascii="Book Antiqua" w:eastAsiaTheme="minorEastAsia" w:hAnsi="Book Antiqua" w:cstheme="minorBidi"/>
          <w:i/>
          <w:kern w:val="2"/>
          <w:lang w:val="en-US" w:eastAsia="zh-CN"/>
        </w:rPr>
        <w:t>Hepatol</w:t>
      </w:r>
      <w:proofErr w:type="spellEnd"/>
      <w:r w:rsidRPr="001B5396">
        <w:rPr>
          <w:rFonts w:ascii="Book Antiqua" w:eastAsiaTheme="minorEastAsia" w:hAnsi="Book Antiqua" w:cstheme="minorBidi"/>
          <w:kern w:val="2"/>
          <w:lang w:val="en-US" w:eastAsia="zh-CN"/>
        </w:rPr>
        <w:t xml:space="preserve"> 2009; </w:t>
      </w:r>
      <w:r w:rsidRPr="001B5396">
        <w:rPr>
          <w:rFonts w:ascii="Book Antiqua" w:eastAsiaTheme="minorEastAsia" w:hAnsi="Book Antiqua" w:cstheme="minorBidi"/>
          <w:b/>
          <w:kern w:val="2"/>
          <w:lang w:val="en-US" w:eastAsia="zh-CN"/>
        </w:rPr>
        <w:t>7</w:t>
      </w:r>
      <w:r w:rsidRPr="001B5396">
        <w:rPr>
          <w:rFonts w:ascii="Book Antiqua" w:eastAsiaTheme="minorEastAsia" w:hAnsi="Book Antiqua" w:cstheme="minorBidi"/>
          <w:kern w:val="2"/>
          <w:lang w:val="en-US" w:eastAsia="zh-CN"/>
        </w:rPr>
        <w:t>: 128-34; quiz 124 [PMID: 19084480 DOI: 10.1016/j.cgh.2008.07.017]</w:t>
      </w:r>
    </w:p>
    <w:p w14:paraId="3EA87921"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28 </w:t>
      </w:r>
      <w:r w:rsidRPr="001B5396">
        <w:rPr>
          <w:rFonts w:ascii="Book Antiqua" w:eastAsiaTheme="minorEastAsia" w:hAnsi="Book Antiqua" w:cstheme="minorBidi"/>
          <w:b/>
          <w:kern w:val="2"/>
          <w:lang w:val="en-US" w:eastAsia="zh-CN"/>
        </w:rPr>
        <w:t>Smith BD</w:t>
      </w:r>
      <w:r w:rsidRPr="001B5396">
        <w:rPr>
          <w:rFonts w:ascii="Book Antiqua" w:eastAsiaTheme="minorEastAsia" w:hAnsi="Book Antiqua" w:cstheme="minorBidi"/>
          <w:kern w:val="2"/>
          <w:lang w:val="en-US" w:eastAsia="zh-CN"/>
        </w:rPr>
        <w:t>, Morgan RL, Beckett GA, Falck-</w:t>
      </w:r>
      <w:proofErr w:type="spellStart"/>
      <w:r w:rsidRPr="001B5396">
        <w:rPr>
          <w:rFonts w:ascii="Book Antiqua" w:eastAsiaTheme="minorEastAsia" w:hAnsi="Book Antiqua" w:cstheme="minorBidi"/>
          <w:kern w:val="2"/>
          <w:lang w:val="en-US" w:eastAsia="zh-CN"/>
        </w:rPr>
        <w:t>Ytter</w:t>
      </w:r>
      <w:proofErr w:type="spellEnd"/>
      <w:r w:rsidRPr="001B5396">
        <w:rPr>
          <w:rFonts w:ascii="Book Antiqua" w:eastAsiaTheme="minorEastAsia" w:hAnsi="Book Antiqua" w:cstheme="minorBidi"/>
          <w:kern w:val="2"/>
          <w:lang w:val="en-US" w:eastAsia="zh-CN"/>
        </w:rPr>
        <w:t xml:space="preserve"> Y, Holtzman D, </w:t>
      </w:r>
      <w:proofErr w:type="spellStart"/>
      <w:r w:rsidRPr="001B5396">
        <w:rPr>
          <w:rFonts w:ascii="Book Antiqua" w:eastAsiaTheme="minorEastAsia" w:hAnsi="Book Antiqua" w:cstheme="minorBidi"/>
          <w:kern w:val="2"/>
          <w:lang w:val="en-US" w:eastAsia="zh-CN"/>
        </w:rPr>
        <w:t>Teo</w:t>
      </w:r>
      <w:proofErr w:type="spellEnd"/>
      <w:r w:rsidRPr="001B5396">
        <w:rPr>
          <w:rFonts w:ascii="Book Antiqua" w:eastAsiaTheme="minorEastAsia" w:hAnsi="Book Antiqua" w:cstheme="minorBidi"/>
          <w:kern w:val="2"/>
          <w:lang w:val="en-US" w:eastAsia="zh-CN"/>
        </w:rPr>
        <w:t xml:space="preserve"> CG, Jewett A, </w:t>
      </w:r>
      <w:proofErr w:type="spellStart"/>
      <w:r w:rsidRPr="001B5396">
        <w:rPr>
          <w:rFonts w:ascii="Book Antiqua" w:eastAsiaTheme="minorEastAsia" w:hAnsi="Book Antiqua" w:cstheme="minorBidi"/>
          <w:kern w:val="2"/>
          <w:lang w:val="en-US" w:eastAsia="zh-CN"/>
        </w:rPr>
        <w:t>Baack</w:t>
      </w:r>
      <w:proofErr w:type="spellEnd"/>
      <w:r w:rsidRPr="001B5396">
        <w:rPr>
          <w:rFonts w:ascii="Book Antiqua" w:eastAsiaTheme="minorEastAsia" w:hAnsi="Book Antiqua" w:cstheme="minorBidi"/>
          <w:kern w:val="2"/>
          <w:lang w:val="en-US" w:eastAsia="zh-CN"/>
        </w:rPr>
        <w:t xml:space="preserve"> B, Rein DB, Patel N, Alter M, </w:t>
      </w:r>
      <w:proofErr w:type="spellStart"/>
      <w:r w:rsidRPr="001B5396">
        <w:rPr>
          <w:rFonts w:ascii="Book Antiqua" w:eastAsiaTheme="minorEastAsia" w:hAnsi="Book Antiqua" w:cstheme="minorBidi"/>
          <w:kern w:val="2"/>
          <w:lang w:val="en-US" w:eastAsia="zh-CN"/>
        </w:rPr>
        <w:t>Yartel</w:t>
      </w:r>
      <w:proofErr w:type="spellEnd"/>
      <w:r w:rsidRPr="001B5396">
        <w:rPr>
          <w:rFonts w:ascii="Book Antiqua" w:eastAsiaTheme="minorEastAsia" w:hAnsi="Book Antiqua" w:cstheme="minorBidi"/>
          <w:kern w:val="2"/>
          <w:lang w:val="en-US" w:eastAsia="zh-CN"/>
        </w:rPr>
        <w:t xml:space="preserve"> A, Ward JW; Centers for Disease Control and Prevention. Recommendations for the identification of chronic hepatitis C virus infection among persons born during 1945-1965. </w:t>
      </w:r>
      <w:r w:rsidRPr="001B5396">
        <w:rPr>
          <w:rFonts w:ascii="Book Antiqua" w:eastAsiaTheme="minorEastAsia" w:hAnsi="Book Antiqua" w:cstheme="minorBidi"/>
          <w:i/>
          <w:kern w:val="2"/>
          <w:lang w:val="en-US" w:eastAsia="zh-CN"/>
        </w:rPr>
        <w:t xml:space="preserve">MMWR </w:t>
      </w:r>
      <w:proofErr w:type="spellStart"/>
      <w:r w:rsidRPr="001B5396">
        <w:rPr>
          <w:rFonts w:ascii="Book Antiqua" w:eastAsiaTheme="minorEastAsia" w:hAnsi="Book Antiqua" w:cstheme="minorBidi"/>
          <w:i/>
          <w:kern w:val="2"/>
          <w:lang w:val="en-US" w:eastAsia="zh-CN"/>
        </w:rPr>
        <w:t>Recomm</w:t>
      </w:r>
      <w:proofErr w:type="spellEnd"/>
      <w:r w:rsidRPr="001B5396">
        <w:rPr>
          <w:rFonts w:ascii="Book Antiqua" w:eastAsiaTheme="minorEastAsia" w:hAnsi="Book Antiqua" w:cstheme="minorBidi"/>
          <w:i/>
          <w:kern w:val="2"/>
          <w:lang w:val="en-US" w:eastAsia="zh-CN"/>
        </w:rPr>
        <w:t xml:space="preserve"> Rep</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61</w:t>
      </w:r>
      <w:r w:rsidRPr="001B5396">
        <w:rPr>
          <w:rFonts w:ascii="Book Antiqua" w:eastAsiaTheme="minorEastAsia" w:hAnsi="Book Antiqua" w:cstheme="minorBidi"/>
          <w:kern w:val="2"/>
          <w:lang w:val="en-US" w:eastAsia="zh-CN"/>
        </w:rPr>
        <w:t>: 1-32 [PMID: 22895429]</w:t>
      </w:r>
    </w:p>
    <w:p w14:paraId="603BC6D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29 </w:t>
      </w:r>
      <w:r w:rsidRPr="001B5396">
        <w:rPr>
          <w:rFonts w:ascii="Book Antiqua" w:eastAsiaTheme="minorEastAsia" w:hAnsi="Book Antiqua" w:cstheme="minorBidi"/>
          <w:b/>
          <w:kern w:val="2"/>
          <w:lang w:val="en-US" w:eastAsia="zh-CN"/>
        </w:rPr>
        <w:t>Martínez-Bauer E</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Forns</w:t>
      </w:r>
      <w:proofErr w:type="spellEnd"/>
      <w:r w:rsidRPr="001B5396">
        <w:rPr>
          <w:rFonts w:ascii="Book Antiqua" w:eastAsiaTheme="minorEastAsia" w:hAnsi="Book Antiqua" w:cstheme="minorBidi"/>
          <w:kern w:val="2"/>
          <w:lang w:val="en-US" w:eastAsia="zh-CN"/>
        </w:rPr>
        <w:t xml:space="preserve"> X, </w:t>
      </w:r>
      <w:proofErr w:type="spellStart"/>
      <w:r w:rsidRPr="001B5396">
        <w:rPr>
          <w:rFonts w:ascii="Book Antiqua" w:eastAsiaTheme="minorEastAsia" w:hAnsi="Book Antiqua" w:cstheme="minorBidi"/>
          <w:kern w:val="2"/>
          <w:lang w:val="en-US" w:eastAsia="zh-CN"/>
        </w:rPr>
        <w:t>Armelles</w:t>
      </w:r>
      <w:proofErr w:type="spellEnd"/>
      <w:r w:rsidRPr="001B5396">
        <w:rPr>
          <w:rFonts w:ascii="Book Antiqua" w:eastAsiaTheme="minorEastAsia" w:hAnsi="Book Antiqua" w:cstheme="minorBidi"/>
          <w:kern w:val="2"/>
          <w:lang w:val="en-US" w:eastAsia="zh-CN"/>
        </w:rPr>
        <w:t xml:space="preserve"> M, </w:t>
      </w:r>
      <w:proofErr w:type="spellStart"/>
      <w:r w:rsidRPr="001B5396">
        <w:rPr>
          <w:rFonts w:ascii="Book Antiqua" w:eastAsiaTheme="minorEastAsia" w:hAnsi="Book Antiqua" w:cstheme="minorBidi"/>
          <w:kern w:val="2"/>
          <w:lang w:val="en-US" w:eastAsia="zh-CN"/>
        </w:rPr>
        <w:t>Planas</w:t>
      </w:r>
      <w:proofErr w:type="spellEnd"/>
      <w:r w:rsidRPr="001B5396">
        <w:rPr>
          <w:rFonts w:ascii="Book Antiqua" w:eastAsiaTheme="minorEastAsia" w:hAnsi="Book Antiqua" w:cstheme="minorBidi"/>
          <w:kern w:val="2"/>
          <w:lang w:val="en-US" w:eastAsia="zh-CN"/>
        </w:rPr>
        <w:t xml:space="preserve"> R, </w:t>
      </w:r>
      <w:proofErr w:type="spellStart"/>
      <w:r w:rsidRPr="001B5396">
        <w:rPr>
          <w:rFonts w:ascii="Book Antiqua" w:eastAsiaTheme="minorEastAsia" w:hAnsi="Book Antiqua" w:cstheme="minorBidi"/>
          <w:kern w:val="2"/>
          <w:lang w:val="en-US" w:eastAsia="zh-CN"/>
        </w:rPr>
        <w:t>Solà</w:t>
      </w:r>
      <w:proofErr w:type="spellEnd"/>
      <w:r w:rsidRPr="001B5396">
        <w:rPr>
          <w:rFonts w:ascii="Book Antiqua" w:eastAsiaTheme="minorEastAsia" w:hAnsi="Book Antiqua" w:cstheme="minorBidi"/>
          <w:kern w:val="2"/>
          <w:lang w:val="en-US" w:eastAsia="zh-CN"/>
        </w:rPr>
        <w:t xml:space="preserve"> R, Vergara M, </w:t>
      </w:r>
      <w:proofErr w:type="spellStart"/>
      <w:r w:rsidRPr="001B5396">
        <w:rPr>
          <w:rFonts w:ascii="Book Antiqua" w:eastAsiaTheme="minorEastAsia" w:hAnsi="Book Antiqua" w:cstheme="minorBidi"/>
          <w:kern w:val="2"/>
          <w:lang w:val="en-US" w:eastAsia="zh-CN"/>
        </w:rPr>
        <w:t>Fàbregas</w:t>
      </w:r>
      <w:proofErr w:type="spellEnd"/>
      <w:r w:rsidRPr="001B5396">
        <w:rPr>
          <w:rFonts w:ascii="Book Antiqua" w:eastAsiaTheme="minorEastAsia" w:hAnsi="Book Antiqua" w:cstheme="minorBidi"/>
          <w:kern w:val="2"/>
          <w:lang w:val="en-US" w:eastAsia="zh-CN"/>
        </w:rPr>
        <w:t xml:space="preserve"> S, Vega R, </w:t>
      </w:r>
      <w:proofErr w:type="spellStart"/>
      <w:r w:rsidRPr="001B5396">
        <w:rPr>
          <w:rFonts w:ascii="Book Antiqua" w:eastAsiaTheme="minorEastAsia" w:hAnsi="Book Antiqua" w:cstheme="minorBidi"/>
          <w:kern w:val="2"/>
          <w:lang w:val="en-US" w:eastAsia="zh-CN"/>
        </w:rPr>
        <w:t>Salmerón</w:t>
      </w:r>
      <w:proofErr w:type="spellEnd"/>
      <w:r w:rsidRPr="001B5396">
        <w:rPr>
          <w:rFonts w:ascii="Book Antiqua" w:eastAsiaTheme="minorEastAsia" w:hAnsi="Book Antiqua" w:cstheme="minorBidi"/>
          <w:kern w:val="2"/>
          <w:lang w:val="en-US" w:eastAsia="zh-CN"/>
        </w:rPr>
        <w:t xml:space="preserve"> J, </w:t>
      </w:r>
      <w:proofErr w:type="spellStart"/>
      <w:r w:rsidRPr="001B5396">
        <w:rPr>
          <w:rFonts w:ascii="Book Antiqua" w:eastAsiaTheme="minorEastAsia" w:hAnsi="Book Antiqua" w:cstheme="minorBidi"/>
          <w:kern w:val="2"/>
          <w:lang w:val="en-US" w:eastAsia="zh-CN"/>
        </w:rPr>
        <w:t>Diago</w:t>
      </w:r>
      <w:proofErr w:type="spellEnd"/>
      <w:r w:rsidRPr="001B5396">
        <w:rPr>
          <w:rFonts w:ascii="Book Antiqua" w:eastAsiaTheme="minorEastAsia" w:hAnsi="Book Antiqua" w:cstheme="minorBidi"/>
          <w:kern w:val="2"/>
          <w:lang w:val="en-US" w:eastAsia="zh-CN"/>
        </w:rPr>
        <w:t xml:space="preserve"> M, Sánchez-</w:t>
      </w:r>
      <w:proofErr w:type="spellStart"/>
      <w:r w:rsidRPr="001B5396">
        <w:rPr>
          <w:rFonts w:ascii="Book Antiqua" w:eastAsiaTheme="minorEastAsia" w:hAnsi="Book Antiqua" w:cstheme="minorBidi"/>
          <w:kern w:val="2"/>
          <w:lang w:val="en-US" w:eastAsia="zh-CN"/>
        </w:rPr>
        <w:t>Tapias</w:t>
      </w:r>
      <w:proofErr w:type="spellEnd"/>
      <w:r w:rsidRPr="001B5396">
        <w:rPr>
          <w:rFonts w:ascii="Book Antiqua" w:eastAsiaTheme="minorEastAsia" w:hAnsi="Book Antiqua" w:cstheme="minorBidi"/>
          <w:kern w:val="2"/>
          <w:lang w:val="en-US" w:eastAsia="zh-CN"/>
        </w:rPr>
        <w:t xml:space="preserve"> JM, </w:t>
      </w:r>
      <w:proofErr w:type="spellStart"/>
      <w:r w:rsidRPr="001B5396">
        <w:rPr>
          <w:rFonts w:ascii="Book Antiqua" w:eastAsiaTheme="minorEastAsia" w:hAnsi="Book Antiqua" w:cstheme="minorBidi"/>
          <w:kern w:val="2"/>
          <w:lang w:val="en-US" w:eastAsia="zh-CN"/>
        </w:rPr>
        <w:t>Bruguera</w:t>
      </w:r>
      <w:proofErr w:type="spellEnd"/>
      <w:r w:rsidRPr="001B5396">
        <w:rPr>
          <w:rFonts w:ascii="Book Antiqua" w:eastAsiaTheme="minorEastAsia" w:hAnsi="Book Antiqua" w:cstheme="minorBidi"/>
          <w:kern w:val="2"/>
          <w:lang w:val="en-US" w:eastAsia="zh-CN"/>
        </w:rPr>
        <w:t xml:space="preserve"> M; Spanish Acute HCV Study Group. Hospital admission is a relevant source of hepatitis C virus acquisition in Spain. </w:t>
      </w:r>
      <w:r w:rsidRPr="001B5396">
        <w:rPr>
          <w:rFonts w:ascii="Book Antiqua" w:eastAsiaTheme="minorEastAsia" w:hAnsi="Book Antiqua" w:cstheme="minorBidi"/>
          <w:i/>
          <w:kern w:val="2"/>
          <w:lang w:val="en-US" w:eastAsia="zh-CN"/>
        </w:rPr>
        <w:t xml:space="preserve">J </w:t>
      </w:r>
      <w:proofErr w:type="spellStart"/>
      <w:r w:rsidRPr="001B5396">
        <w:rPr>
          <w:rFonts w:ascii="Book Antiqua" w:eastAsiaTheme="minorEastAsia" w:hAnsi="Book Antiqua" w:cstheme="minorBidi"/>
          <w:i/>
          <w:kern w:val="2"/>
          <w:lang w:val="en-US" w:eastAsia="zh-CN"/>
        </w:rPr>
        <w:t>Hepatol</w:t>
      </w:r>
      <w:proofErr w:type="spellEnd"/>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48</w:t>
      </w:r>
      <w:r w:rsidRPr="001B5396">
        <w:rPr>
          <w:rFonts w:ascii="Book Antiqua" w:eastAsiaTheme="minorEastAsia" w:hAnsi="Book Antiqua" w:cstheme="minorBidi"/>
          <w:kern w:val="2"/>
          <w:lang w:val="en-US" w:eastAsia="zh-CN"/>
        </w:rPr>
        <w:t>: 20-27 [PMID: 17998149 DOI: 10.1016/j.jhep.2007.07.031]</w:t>
      </w:r>
    </w:p>
    <w:p w14:paraId="70474C57"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30 </w:t>
      </w:r>
      <w:proofErr w:type="spellStart"/>
      <w:r w:rsidRPr="001B5396">
        <w:rPr>
          <w:rFonts w:ascii="Book Antiqua" w:eastAsiaTheme="minorEastAsia" w:hAnsi="Book Antiqua" w:cstheme="minorBidi"/>
          <w:b/>
          <w:kern w:val="2"/>
          <w:lang w:val="en-US" w:eastAsia="zh-CN"/>
        </w:rPr>
        <w:t>Perz</w:t>
      </w:r>
      <w:proofErr w:type="spellEnd"/>
      <w:r w:rsidRPr="001B5396">
        <w:rPr>
          <w:rFonts w:ascii="Book Antiqua" w:eastAsiaTheme="minorEastAsia" w:hAnsi="Book Antiqua" w:cstheme="minorBidi"/>
          <w:b/>
          <w:kern w:val="2"/>
          <w:lang w:val="en-US" w:eastAsia="zh-CN"/>
        </w:rPr>
        <w:t xml:space="preserve"> JF</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Grytdal</w:t>
      </w:r>
      <w:proofErr w:type="spellEnd"/>
      <w:r w:rsidRPr="001B5396">
        <w:rPr>
          <w:rFonts w:ascii="Book Antiqua" w:eastAsiaTheme="minorEastAsia" w:hAnsi="Book Antiqua" w:cstheme="minorBidi"/>
          <w:kern w:val="2"/>
          <w:lang w:val="en-US" w:eastAsia="zh-CN"/>
        </w:rPr>
        <w:t xml:space="preserve"> S, Beck S, </w:t>
      </w:r>
      <w:proofErr w:type="spellStart"/>
      <w:r w:rsidRPr="001B5396">
        <w:rPr>
          <w:rFonts w:ascii="Book Antiqua" w:eastAsiaTheme="minorEastAsia" w:hAnsi="Book Antiqua" w:cstheme="minorBidi"/>
          <w:kern w:val="2"/>
          <w:lang w:val="en-US" w:eastAsia="zh-CN"/>
        </w:rPr>
        <w:t>Fireteanu</w:t>
      </w:r>
      <w:proofErr w:type="spellEnd"/>
      <w:r w:rsidRPr="001B5396">
        <w:rPr>
          <w:rFonts w:ascii="Book Antiqua" w:eastAsiaTheme="minorEastAsia" w:hAnsi="Book Antiqua" w:cstheme="minorBidi"/>
          <w:kern w:val="2"/>
          <w:lang w:val="en-US" w:eastAsia="zh-CN"/>
        </w:rPr>
        <w:t xml:space="preserve"> AM, </w:t>
      </w:r>
      <w:proofErr w:type="spellStart"/>
      <w:r w:rsidRPr="001B5396">
        <w:rPr>
          <w:rFonts w:ascii="Book Antiqua" w:eastAsiaTheme="minorEastAsia" w:hAnsi="Book Antiqua" w:cstheme="minorBidi"/>
          <w:kern w:val="2"/>
          <w:lang w:val="en-US" w:eastAsia="zh-CN"/>
        </w:rPr>
        <w:t>Poissant</w:t>
      </w:r>
      <w:proofErr w:type="spellEnd"/>
      <w:r w:rsidRPr="001B5396">
        <w:rPr>
          <w:rFonts w:ascii="Book Antiqua" w:eastAsiaTheme="minorEastAsia" w:hAnsi="Book Antiqua" w:cstheme="minorBidi"/>
          <w:kern w:val="2"/>
          <w:lang w:val="en-US" w:eastAsia="zh-CN"/>
        </w:rPr>
        <w:t xml:space="preserve"> T, Rizzo E, </w:t>
      </w:r>
      <w:proofErr w:type="spellStart"/>
      <w:r w:rsidRPr="001B5396">
        <w:rPr>
          <w:rFonts w:ascii="Book Antiqua" w:eastAsiaTheme="minorEastAsia" w:hAnsi="Book Antiqua" w:cstheme="minorBidi"/>
          <w:kern w:val="2"/>
          <w:lang w:val="en-US" w:eastAsia="zh-CN"/>
        </w:rPr>
        <w:t>Bornschlegel</w:t>
      </w:r>
      <w:proofErr w:type="spellEnd"/>
      <w:r w:rsidRPr="001B5396">
        <w:rPr>
          <w:rFonts w:ascii="Book Antiqua" w:eastAsiaTheme="minorEastAsia" w:hAnsi="Book Antiqua" w:cstheme="minorBidi"/>
          <w:kern w:val="2"/>
          <w:lang w:val="en-US" w:eastAsia="zh-CN"/>
        </w:rPr>
        <w:t xml:space="preserve"> K, </w:t>
      </w:r>
      <w:r w:rsidRPr="001B5396">
        <w:rPr>
          <w:rFonts w:ascii="Book Antiqua" w:eastAsiaTheme="minorEastAsia" w:hAnsi="Book Antiqua" w:cstheme="minorBidi"/>
          <w:kern w:val="2"/>
          <w:lang w:val="en-US" w:eastAsia="zh-CN"/>
        </w:rPr>
        <w:lastRenderedPageBreak/>
        <w:t xml:space="preserve">Thomas A, </w:t>
      </w:r>
      <w:proofErr w:type="spellStart"/>
      <w:r w:rsidRPr="001B5396">
        <w:rPr>
          <w:rFonts w:ascii="Book Antiqua" w:eastAsiaTheme="minorEastAsia" w:hAnsi="Book Antiqua" w:cstheme="minorBidi"/>
          <w:kern w:val="2"/>
          <w:lang w:val="en-US" w:eastAsia="zh-CN"/>
        </w:rPr>
        <w:t>Balter</w:t>
      </w:r>
      <w:proofErr w:type="spellEnd"/>
      <w:r w:rsidRPr="001B5396">
        <w:rPr>
          <w:rFonts w:ascii="Book Antiqua" w:eastAsiaTheme="minorEastAsia" w:hAnsi="Book Antiqua" w:cstheme="minorBidi"/>
          <w:kern w:val="2"/>
          <w:lang w:val="en-US" w:eastAsia="zh-CN"/>
        </w:rPr>
        <w:t xml:space="preserve"> S, Miller J, </w:t>
      </w:r>
      <w:proofErr w:type="spellStart"/>
      <w:r w:rsidRPr="001B5396">
        <w:rPr>
          <w:rFonts w:ascii="Book Antiqua" w:eastAsiaTheme="minorEastAsia" w:hAnsi="Book Antiqua" w:cstheme="minorBidi"/>
          <w:kern w:val="2"/>
          <w:lang w:val="en-US" w:eastAsia="zh-CN"/>
        </w:rPr>
        <w:t>Klevens</w:t>
      </w:r>
      <w:proofErr w:type="spellEnd"/>
      <w:r w:rsidRPr="001B5396">
        <w:rPr>
          <w:rFonts w:ascii="Book Antiqua" w:eastAsiaTheme="minorEastAsia" w:hAnsi="Book Antiqua" w:cstheme="minorBidi"/>
          <w:kern w:val="2"/>
          <w:lang w:val="en-US" w:eastAsia="zh-CN"/>
        </w:rPr>
        <w:t xml:space="preserve"> RM, </w:t>
      </w:r>
      <w:proofErr w:type="spellStart"/>
      <w:r w:rsidRPr="001B5396">
        <w:rPr>
          <w:rFonts w:ascii="Book Antiqua" w:eastAsiaTheme="minorEastAsia" w:hAnsi="Book Antiqua" w:cstheme="minorBidi"/>
          <w:kern w:val="2"/>
          <w:lang w:val="en-US" w:eastAsia="zh-CN"/>
        </w:rPr>
        <w:t>Finelli</w:t>
      </w:r>
      <w:proofErr w:type="spellEnd"/>
      <w:r w:rsidRPr="001B5396">
        <w:rPr>
          <w:rFonts w:ascii="Book Antiqua" w:eastAsiaTheme="minorEastAsia" w:hAnsi="Book Antiqua" w:cstheme="minorBidi"/>
          <w:kern w:val="2"/>
          <w:lang w:val="en-US" w:eastAsia="zh-CN"/>
        </w:rPr>
        <w:t xml:space="preserve"> L. Case-control study of hepatitis B and hepatitis C in older adults: Do healthcare exposures contribute to burden of new infections? </w:t>
      </w:r>
      <w:r w:rsidRPr="001B5396">
        <w:rPr>
          <w:rFonts w:ascii="Book Antiqua" w:eastAsiaTheme="minorEastAsia" w:hAnsi="Book Antiqua" w:cstheme="minorBidi"/>
          <w:i/>
          <w:kern w:val="2"/>
          <w:lang w:val="en-US" w:eastAsia="zh-CN"/>
        </w:rPr>
        <w:t>Hepatology</w:t>
      </w:r>
      <w:r w:rsidRPr="001B5396">
        <w:rPr>
          <w:rFonts w:ascii="Book Antiqua" w:eastAsiaTheme="minorEastAsia" w:hAnsi="Book Antiqua" w:cstheme="minorBidi"/>
          <w:kern w:val="2"/>
          <w:lang w:val="en-US" w:eastAsia="zh-CN"/>
        </w:rPr>
        <w:t xml:space="preserve"> 2013; </w:t>
      </w:r>
      <w:r w:rsidRPr="001B5396">
        <w:rPr>
          <w:rFonts w:ascii="Book Antiqua" w:eastAsiaTheme="minorEastAsia" w:hAnsi="Book Antiqua" w:cstheme="minorBidi"/>
          <w:b/>
          <w:kern w:val="2"/>
          <w:lang w:val="en-US" w:eastAsia="zh-CN"/>
        </w:rPr>
        <w:t>57</w:t>
      </w:r>
      <w:r w:rsidRPr="001B5396">
        <w:rPr>
          <w:rFonts w:ascii="Book Antiqua" w:eastAsiaTheme="minorEastAsia" w:hAnsi="Book Antiqua" w:cstheme="minorBidi"/>
          <w:kern w:val="2"/>
          <w:lang w:val="en-US" w:eastAsia="zh-CN"/>
        </w:rPr>
        <w:t>: 917-924 [PMID: 22383058 DOI: 10.1002/hep.25688]</w:t>
      </w:r>
    </w:p>
    <w:p w14:paraId="7A488E94"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31 </w:t>
      </w:r>
      <w:r w:rsidRPr="001B5396">
        <w:rPr>
          <w:rFonts w:ascii="Book Antiqua" w:eastAsiaTheme="minorEastAsia" w:hAnsi="Book Antiqua" w:cstheme="minorBidi"/>
          <w:b/>
          <w:kern w:val="2"/>
          <w:lang w:val="en-US" w:eastAsia="zh-CN"/>
        </w:rPr>
        <w:t>Cooper C</w:t>
      </w:r>
      <w:r w:rsidRPr="001B5396">
        <w:rPr>
          <w:rFonts w:ascii="Book Antiqua" w:eastAsiaTheme="minorEastAsia" w:hAnsi="Book Antiqua" w:cstheme="minorBidi"/>
          <w:kern w:val="2"/>
          <w:lang w:val="en-US" w:eastAsia="zh-CN"/>
        </w:rPr>
        <w:t xml:space="preserve">, Kilby D. Clinical significance of hepatitis B core antibody positivity in HCV-infected and HCV/HIV coinfected individuals. </w:t>
      </w:r>
      <w:proofErr w:type="spellStart"/>
      <w:r w:rsidRPr="001B5396">
        <w:rPr>
          <w:rFonts w:ascii="Book Antiqua" w:eastAsiaTheme="minorEastAsia" w:hAnsi="Book Antiqua" w:cstheme="minorBidi"/>
          <w:i/>
          <w:kern w:val="2"/>
          <w:lang w:val="en-US" w:eastAsia="zh-CN"/>
        </w:rPr>
        <w:t>Clin</w:t>
      </w:r>
      <w:proofErr w:type="spellEnd"/>
      <w:r w:rsidRPr="001B5396">
        <w:rPr>
          <w:rFonts w:ascii="Book Antiqua" w:eastAsiaTheme="minorEastAsia" w:hAnsi="Book Antiqua" w:cstheme="minorBidi"/>
          <w:i/>
          <w:kern w:val="2"/>
          <w:lang w:val="en-US" w:eastAsia="zh-CN"/>
        </w:rPr>
        <w:t xml:space="preserve"> Infect Dis</w:t>
      </w:r>
      <w:r w:rsidRPr="001B5396">
        <w:rPr>
          <w:rFonts w:ascii="Book Antiqua" w:eastAsiaTheme="minorEastAsia" w:hAnsi="Book Antiqua" w:cstheme="minorBidi"/>
          <w:kern w:val="2"/>
          <w:lang w:val="en-US" w:eastAsia="zh-CN"/>
        </w:rPr>
        <w:t xml:space="preserve"> 2004; </w:t>
      </w:r>
      <w:r w:rsidRPr="001B5396">
        <w:rPr>
          <w:rFonts w:ascii="Book Antiqua" w:eastAsiaTheme="minorEastAsia" w:hAnsi="Book Antiqua" w:cstheme="minorBidi"/>
          <w:b/>
          <w:kern w:val="2"/>
          <w:lang w:val="en-US" w:eastAsia="zh-CN"/>
        </w:rPr>
        <w:t>38</w:t>
      </w:r>
      <w:r w:rsidRPr="001B5396">
        <w:rPr>
          <w:rFonts w:ascii="Book Antiqua" w:eastAsiaTheme="minorEastAsia" w:hAnsi="Book Antiqua" w:cstheme="minorBidi"/>
          <w:kern w:val="2"/>
          <w:lang w:val="en-US" w:eastAsia="zh-CN"/>
        </w:rPr>
        <w:t>: 1335-1337 [PMID: 15127355 DOI: 10.1086/383155]</w:t>
      </w:r>
    </w:p>
    <w:p w14:paraId="4C92B009"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32 </w:t>
      </w:r>
      <w:r w:rsidRPr="001B5396">
        <w:rPr>
          <w:rFonts w:ascii="Book Antiqua" w:eastAsiaTheme="minorEastAsia" w:hAnsi="Book Antiqua" w:cstheme="minorBidi"/>
          <w:b/>
          <w:kern w:val="2"/>
          <w:lang w:val="en-US" w:eastAsia="zh-CN"/>
        </w:rPr>
        <w:t>Park CW</w:t>
      </w:r>
      <w:r w:rsidRPr="001B5396">
        <w:rPr>
          <w:rFonts w:ascii="Book Antiqua" w:eastAsiaTheme="minorEastAsia" w:hAnsi="Book Antiqua" w:cstheme="minorBidi"/>
          <w:kern w:val="2"/>
          <w:lang w:val="en-US" w:eastAsia="zh-CN"/>
        </w:rPr>
        <w:t xml:space="preserve">, Cho MC, Hwang K, </w:t>
      </w:r>
      <w:proofErr w:type="spellStart"/>
      <w:r w:rsidRPr="001B5396">
        <w:rPr>
          <w:rFonts w:ascii="Book Antiqua" w:eastAsiaTheme="minorEastAsia" w:hAnsi="Book Antiqua" w:cstheme="minorBidi"/>
          <w:kern w:val="2"/>
          <w:lang w:val="en-US" w:eastAsia="zh-CN"/>
        </w:rPr>
        <w:t>Ko</w:t>
      </w:r>
      <w:proofErr w:type="spellEnd"/>
      <w:r w:rsidRPr="001B5396">
        <w:rPr>
          <w:rFonts w:ascii="Book Antiqua" w:eastAsiaTheme="minorEastAsia" w:hAnsi="Book Antiqua" w:cstheme="minorBidi"/>
          <w:kern w:val="2"/>
          <w:lang w:val="en-US" w:eastAsia="zh-CN"/>
        </w:rPr>
        <w:t xml:space="preserve"> SY, Oh HB, Lee HC. Comparison of </w:t>
      </w:r>
      <w:proofErr w:type="spellStart"/>
      <w:r w:rsidRPr="001B5396">
        <w:rPr>
          <w:rFonts w:ascii="Book Antiqua" w:eastAsiaTheme="minorEastAsia" w:hAnsi="Book Antiqua" w:cstheme="minorBidi"/>
          <w:kern w:val="2"/>
          <w:lang w:val="en-US" w:eastAsia="zh-CN"/>
        </w:rPr>
        <w:t>quasispecies</w:t>
      </w:r>
      <w:proofErr w:type="spellEnd"/>
      <w:r w:rsidRPr="001B5396">
        <w:rPr>
          <w:rFonts w:ascii="Book Antiqua" w:eastAsiaTheme="minorEastAsia" w:hAnsi="Book Antiqua" w:cstheme="minorBidi"/>
          <w:kern w:val="2"/>
          <w:lang w:val="en-US" w:eastAsia="zh-CN"/>
        </w:rPr>
        <w:t xml:space="preserve"> diversity of HCV between chronic hepatitis c and hepatocellular carcinoma by Ultradeep pyrosequencing. </w:t>
      </w:r>
      <w:r w:rsidRPr="001B5396">
        <w:rPr>
          <w:rFonts w:ascii="Book Antiqua" w:eastAsiaTheme="minorEastAsia" w:hAnsi="Book Antiqua" w:cstheme="minorBidi"/>
          <w:i/>
          <w:kern w:val="2"/>
          <w:lang w:val="en-US" w:eastAsia="zh-CN"/>
        </w:rPr>
        <w:t xml:space="preserve">Biomed Res </w:t>
      </w:r>
      <w:proofErr w:type="spellStart"/>
      <w:r w:rsidRPr="001B5396">
        <w:rPr>
          <w:rFonts w:ascii="Book Antiqua" w:eastAsiaTheme="minorEastAsia" w:hAnsi="Book Antiqua" w:cstheme="minorBidi"/>
          <w:i/>
          <w:kern w:val="2"/>
          <w:lang w:val="en-US" w:eastAsia="zh-CN"/>
        </w:rPr>
        <w:t>Int</w:t>
      </w:r>
      <w:proofErr w:type="spellEnd"/>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2014</w:t>
      </w:r>
      <w:r w:rsidRPr="001B5396">
        <w:rPr>
          <w:rFonts w:ascii="Book Antiqua" w:eastAsiaTheme="minorEastAsia" w:hAnsi="Book Antiqua" w:cstheme="minorBidi"/>
          <w:kern w:val="2"/>
          <w:lang w:val="en-US" w:eastAsia="zh-CN"/>
        </w:rPr>
        <w:t>: 853076 [PMID: 24999482 DOI: 10.1155/2014/85307]</w:t>
      </w:r>
    </w:p>
    <w:p w14:paraId="3278353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33 </w:t>
      </w:r>
      <w:r w:rsidRPr="001B5396">
        <w:rPr>
          <w:rFonts w:ascii="Book Antiqua" w:eastAsiaTheme="minorEastAsia" w:hAnsi="Book Antiqua" w:cstheme="minorBidi"/>
          <w:b/>
          <w:kern w:val="2"/>
          <w:lang w:val="en-US" w:eastAsia="zh-CN"/>
        </w:rPr>
        <w:t>Humphreys IS</w:t>
      </w:r>
      <w:r w:rsidRPr="001B5396">
        <w:rPr>
          <w:rFonts w:ascii="Book Antiqua" w:eastAsiaTheme="minorEastAsia" w:hAnsi="Book Antiqua" w:cstheme="minorBidi"/>
          <w:kern w:val="2"/>
          <w:lang w:val="en-US" w:eastAsia="zh-CN"/>
        </w:rPr>
        <w:t xml:space="preserve">, von Delft A, Brown A, Hibbert L, Collier JD, Foster GR, Rahman M, Christian A, </w:t>
      </w:r>
      <w:proofErr w:type="spellStart"/>
      <w:r w:rsidRPr="001B5396">
        <w:rPr>
          <w:rFonts w:ascii="Book Antiqua" w:eastAsiaTheme="minorEastAsia" w:hAnsi="Book Antiqua" w:cstheme="minorBidi"/>
          <w:kern w:val="2"/>
          <w:lang w:val="en-US" w:eastAsia="zh-CN"/>
        </w:rPr>
        <w:t>Klenerman</w:t>
      </w:r>
      <w:proofErr w:type="spellEnd"/>
      <w:r w:rsidRPr="001B5396">
        <w:rPr>
          <w:rFonts w:ascii="Book Antiqua" w:eastAsiaTheme="minorEastAsia" w:hAnsi="Book Antiqua" w:cstheme="minorBidi"/>
          <w:kern w:val="2"/>
          <w:lang w:val="en-US" w:eastAsia="zh-CN"/>
        </w:rPr>
        <w:t xml:space="preserve"> P, Barnes E. HCV genotype-3a T cell immunity: specificity, function and impact of therapy. </w:t>
      </w:r>
      <w:r w:rsidRPr="001B5396">
        <w:rPr>
          <w:rFonts w:ascii="Book Antiqua" w:eastAsiaTheme="minorEastAsia" w:hAnsi="Book Antiqua" w:cstheme="minorBidi"/>
          <w:i/>
          <w:kern w:val="2"/>
          <w:lang w:val="en-US" w:eastAsia="zh-CN"/>
        </w:rPr>
        <w:t>Gut</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61</w:t>
      </w:r>
      <w:r w:rsidRPr="001B5396">
        <w:rPr>
          <w:rFonts w:ascii="Book Antiqua" w:eastAsiaTheme="minorEastAsia" w:hAnsi="Book Antiqua" w:cstheme="minorBidi"/>
          <w:kern w:val="2"/>
          <w:lang w:val="en-US" w:eastAsia="zh-CN"/>
        </w:rPr>
        <w:t>: 1589-1599 [PMID: 22337948 DOI: 10.1136/gutjnl-2011-300650]</w:t>
      </w:r>
    </w:p>
    <w:p w14:paraId="489F5B8C"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34 </w:t>
      </w:r>
      <w:r w:rsidRPr="001B5396">
        <w:rPr>
          <w:rFonts w:ascii="Book Antiqua" w:eastAsiaTheme="minorEastAsia" w:hAnsi="Book Antiqua" w:cstheme="minorBidi"/>
          <w:b/>
          <w:kern w:val="2"/>
          <w:lang w:val="en-US" w:eastAsia="zh-CN"/>
        </w:rPr>
        <w:t>Lechner F</w:t>
      </w:r>
      <w:r w:rsidRPr="001B5396">
        <w:rPr>
          <w:rFonts w:ascii="Book Antiqua" w:eastAsiaTheme="minorEastAsia" w:hAnsi="Book Antiqua" w:cstheme="minorBidi"/>
          <w:kern w:val="2"/>
          <w:lang w:val="en-US" w:eastAsia="zh-CN"/>
        </w:rPr>
        <w:t xml:space="preserve">, Wong DK, Dunbar PR, Chapman R, Chung RT, </w:t>
      </w:r>
      <w:proofErr w:type="spellStart"/>
      <w:r w:rsidRPr="001B5396">
        <w:rPr>
          <w:rFonts w:ascii="Book Antiqua" w:eastAsiaTheme="minorEastAsia" w:hAnsi="Book Antiqua" w:cstheme="minorBidi"/>
          <w:kern w:val="2"/>
          <w:lang w:val="en-US" w:eastAsia="zh-CN"/>
        </w:rPr>
        <w:t>Dohrenwend</w:t>
      </w:r>
      <w:proofErr w:type="spellEnd"/>
      <w:r w:rsidRPr="001B5396">
        <w:rPr>
          <w:rFonts w:ascii="Book Antiqua" w:eastAsiaTheme="minorEastAsia" w:hAnsi="Book Antiqua" w:cstheme="minorBidi"/>
          <w:kern w:val="2"/>
          <w:lang w:val="en-US" w:eastAsia="zh-CN"/>
        </w:rPr>
        <w:t xml:space="preserve"> P, Robbins G, Phillips R, </w:t>
      </w:r>
      <w:proofErr w:type="spellStart"/>
      <w:r w:rsidRPr="001B5396">
        <w:rPr>
          <w:rFonts w:ascii="Book Antiqua" w:eastAsiaTheme="minorEastAsia" w:hAnsi="Book Antiqua" w:cstheme="minorBidi"/>
          <w:kern w:val="2"/>
          <w:lang w:val="en-US" w:eastAsia="zh-CN"/>
        </w:rPr>
        <w:t>Klenerman</w:t>
      </w:r>
      <w:proofErr w:type="spellEnd"/>
      <w:r w:rsidRPr="001B5396">
        <w:rPr>
          <w:rFonts w:ascii="Book Antiqua" w:eastAsiaTheme="minorEastAsia" w:hAnsi="Book Antiqua" w:cstheme="minorBidi"/>
          <w:kern w:val="2"/>
          <w:lang w:val="en-US" w:eastAsia="zh-CN"/>
        </w:rPr>
        <w:t xml:space="preserve"> P, Walker BD. Analysis of successful immune responses in persons infected with hepatitis C virus. </w:t>
      </w:r>
      <w:r w:rsidRPr="001B5396">
        <w:rPr>
          <w:rFonts w:ascii="Book Antiqua" w:eastAsiaTheme="minorEastAsia" w:hAnsi="Book Antiqua" w:cstheme="minorBidi"/>
          <w:i/>
          <w:kern w:val="2"/>
          <w:lang w:val="en-US" w:eastAsia="zh-CN"/>
        </w:rPr>
        <w:t xml:space="preserve">J </w:t>
      </w:r>
      <w:proofErr w:type="spellStart"/>
      <w:r w:rsidRPr="001B5396">
        <w:rPr>
          <w:rFonts w:ascii="Book Antiqua" w:eastAsiaTheme="minorEastAsia" w:hAnsi="Book Antiqua" w:cstheme="minorBidi"/>
          <w:i/>
          <w:kern w:val="2"/>
          <w:lang w:val="en-US" w:eastAsia="zh-CN"/>
        </w:rPr>
        <w:t>Exp</w:t>
      </w:r>
      <w:proofErr w:type="spellEnd"/>
      <w:r w:rsidRPr="001B5396">
        <w:rPr>
          <w:rFonts w:ascii="Book Antiqua" w:eastAsiaTheme="minorEastAsia" w:hAnsi="Book Antiqua" w:cstheme="minorBidi"/>
          <w:i/>
          <w:kern w:val="2"/>
          <w:lang w:val="en-US" w:eastAsia="zh-CN"/>
        </w:rPr>
        <w:t xml:space="preserve"> Med</w:t>
      </w:r>
      <w:r w:rsidRPr="001B5396">
        <w:rPr>
          <w:rFonts w:ascii="Book Antiqua" w:eastAsiaTheme="minorEastAsia" w:hAnsi="Book Antiqua" w:cstheme="minorBidi"/>
          <w:kern w:val="2"/>
          <w:lang w:val="en-US" w:eastAsia="zh-CN"/>
        </w:rPr>
        <w:t xml:space="preserve"> 2000; </w:t>
      </w:r>
      <w:r w:rsidRPr="001B5396">
        <w:rPr>
          <w:rFonts w:ascii="Book Antiqua" w:eastAsiaTheme="minorEastAsia" w:hAnsi="Book Antiqua" w:cstheme="minorBidi"/>
          <w:b/>
          <w:kern w:val="2"/>
          <w:lang w:val="en-US" w:eastAsia="zh-CN"/>
        </w:rPr>
        <w:t>191</w:t>
      </w:r>
      <w:r w:rsidRPr="001B5396">
        <w:rPr>
          <w:rFonts w:ascii="Book Antiqua" w:eastAsiaTheme="minorEastAsia" w:hAnsi="Book Antiqua" w:cstheme="minorBidi"/>
          <w:kern w:val="2"/>
          <w:lang w:val="en-US" w:eastAsia="zh-CN"/>
        </w:rPr>
        <w:t>: 1499-1512 [PMID: 10790425 DOI: 10.1084/jem.191.9.1499]</w:t>
      </w:r>
    </w:p>
    <w:p w14:paraId="2487E367"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35 </w:t>
      </w:r>
      <w:r w:rsidRPr="001B5396">
        <w:rPr>
          <w:rFonts w:ascii="Book Antiqua" w:eastAsiaTheme="minorEastAsia" w:hAnsi="Book Antiqua" w:cstheme="minorBidi"/>
          <w:b/>
          <w:kern w:val="2"/>
          <w:lang w:val="en-US" w:eastAsia="zh-CN"/>
        </w:rPr>
        <w:t>Cox AL</w:t>
      </w:r>
      <w:r w:rsidRPr="001B5396">
        <w:rPr>
          <w:rFonts w:ascii="Book Antiqua" w:eastAsiaTheme="minorEastAsia" w:hAnsi="Book Antiqua" w:cstheme="minorBidi"/>
          <w:kern w:val="2"/>
          <w:lang w:val="en-US" w:eastAsia="zh-CN"/>
        </w:rPr>
        <w:t xml:space="preserve">, </w:t>
      </w:r>
      <w:proofErr w:type="spellStart"/>
      <w:r w:rsidRPr="001B5396">
        <w:rPr>
          <w:rFonts w:ascii="Book Antiqua" w:eastAsiaTheme="minorEastAsia" w:hAnsi="Book Antiqua" w:cstheme="minorBidi"/>
          <w:kern w:val="2"/>
          <w:lang w:val="en-US" w:eastAsia="zh-CN"/>
        </w:rPr>
        <w:t>Mosbruger</w:t>
      </w:r>
      <w:proofErr w:type="spellEnd"/>
      <w:r w:rsidRPr="001B5396">
        <w:rPr>
          <w:rFonts w:ascii="Book Antiqua" w:eastAsiaTheme="minorEastAsia" w:hAnsi="Book Antiqua" w:cstheme="minorBidi"/>
          <w:kern w:val="2"/>
          <w:lang w:val="en-US" w:eastAsia="zh-CN"/>
        </w:rPr>
        <w:t xml:space="preserve"> T, Mao Q, Liu Z, Wang XH, Yang HC, Sidney J, </w:t>
      </w:r>
      <w:proofErr w:type="spellStart"/>
      <w:r w:rsidRPr="001B5396">
        <w:rPr>
          <w:rFonts w:ascii="Book Antiqua" w:eastAsiaTheme="minorEastAsia" w:hAnsi="Book Antiqua" w:cstheme="minorBidi"/>
          <w:kern w:val="2"/>
          <w:lang w:val="en-US" w:eastAsia="zh-CN"/>
        </w:rPr>
        <w:t>Sette</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Pardoll</w:t>
      </w:r>
      <w:proofErr w:type="spellEnd"/>
      <w:r w:rsidRPr="001B5396">
        <w:rPr>
          <w:rFonts w:ascii="Book Antiqua" w:eastAsiaTheme="minorEastAsia" w:hAnsi="Book Antiqua" w:cstheme="minorBidi"/>
          <w:kern w:val="2"/>
          <w:lang w:val="en-US" w:eastAsia="zh-CN"/>
        </w:rPr>
        <w:t xml:space="preserve"> D, Thomas DL, Ray SC. Cellular immune selection with hepatitis C virus persistence in humans. </w:t>
      </w:r>
      <w:r w:rsidRPr="001B5396">
        <w:rPr>
          <w:rFonts w:ascii="Book Antiqua" w:eastAsiaTheme="minorEastAsia" w:hAnsi="Book Antiqua" w:cstheme="minorBidi"/>
          <w:i/>
          <w:kern w:val="2"/>
          <w:lang w:val="en-US" w:eastAsia="zh-CN"/>
        </w:rPr>
        <w:t xml:space="preserve">J </w:t>
      </w:r>
      <w:proofErr w:type="spellStart"/>
      <w:r w:rsidRPr="001B5396">
        <w:rPr>
          <w:rFonts w:ascii="Book Antiqua" w:eastAsiaTheme="minorEastAsia" w:hAnsi="Book Antiqua" w:cstheme="minorBidi"/>
          <w:i/>
          <w:kern w:val="2"/>
          <w:lang w:val="en-US" w:eastAsia="zh-CN"/>
        </w:rPr>
        <w:t>Exp</w:t>
      </w:r>
      <w:proofErr w:type="spellEnd"/>
      <w:r w:rsidRPr="001B5396">
        <w:rPr>
          <w:rFonts w:ascii="Book Antiqua" w:eastAsiaTheme="minorEastAsia" w:hAnsi="Book Antiqua" w:cstheme="minorBidi"/>
          <w:i/>
          <w:kern w:val="2"/>
          <w:lang w:val="en-US" w:eastAsia="zh-CN"/>
        </w:rPr>
        <w:t xml:space="preserve"> Med</w:t>
      </w:r>
      <w:r w:rsidRPr="001B5396">
        <w:rPr>
          <w:rFonts w:ascii="Book Antiqua" w:eastAsiaTheme="minorEastAsia" w:hAnsi="Book Antiqua" w:cstheme="minorBidi"/>
          <w:kern w:val="2"/>
          <w:lang w:val="en-US" w:eastAsia="zh-CN"/>
        </w:rPr>
        <w:t xml:space="preserve"> 2005; </w:t>
      </w:r>
      <w:r w:rsidRPr="001B5396">
        <w:rPr>
          <w:rFonts w:ascii="Book Antiqua" w:eastAsiaTheme="minorEastAsia" w:hAnsi="Book Antiqua" w:cstheme="minorBidi"/>
          <w:b/>
          <w:kern w:val="2"/>
          <w:lang w:val="en-US" w:eastAsia="zh-CN"/>
        </w:rPr>
        <w:t>201</w:t>
      </w:r>
      <w:r w:rsidRPr="001B5396">
        <w:rPr>
          <w:rFonts w:ascii="Book Antiqua" w:eastAsiaTheme="minorEastAsia" w:hAnsi="Book Antiqua" w:cstheme="minorBidi"/>
          <w:kern w:val="2"/>
          <w:lang w:val="en-US" w:eastAsia="zh-CN"/>
        </w:rPr>
        <w:t>: 1741-1752 [PMID: 15939790 DOI: 10.1084/jem.20050121]</w:t>
      </w:r>
    </w:p>
    <w:p w14:paraId="0C2B9C38"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36 </w:t>
      </w:r>
      <w:r w:rsidRPr="001B5396">
        <w:rPr>
          <w:rFonts w:ascii="Book Antiqua" w:eastAsiaTheme="minorEastAsia" w:hAnsi="Book Antiqua" w:cstheme="minorBidi"/>
          <w:b/>
          <w:kern w:val="2"/>
          <w:lang w:val="en-US" w:eastAsia="zh-CN"/>
        </w:rPr>
        <w:t>Burke KP</w:t>
      </w:r>
      <w:r w:rsidRPr="001B5396">
        <w:rPr>
          <w:rFonts w:ascii="Book Antiqua" w:eastAsiaTheme="minorEastAsia" w:hAnsi="Book Antiqua" w:cstheme="minorBidi"/>
          <w:kern w:val="2"/>
          <w:lang w:val="en-US" w:eastAsia="zh-CN"/>
        </w:rPr>
        <w:t xml:space="preserve">, Cox AL. Hepatitis C virus evasion of adaptive immune responses: a model for viral persistence. </w:t>
      </w:r>
      <w:r w:rsidRPr="001B5396">
        <w:rPr>
          <w:rFonts w:ascii="Book Antiqua" w:eastAsiaTheme="minorEastAsia" w:hAnsi="Book Antiqua" w:cstheme="minorBidi"/>
          <w:i/>
          <w:kern w:val="2"/>
          <w:lang w:val="en-US" w:eastAsia="zh-CN"/>
        </w:rPr>
        <w:t>Immunol Res</w:t>
      </w:r>
      <w:r w:rsidRPr="001B5396">
        <w:rPr>
          <w:rFonts w:ascii="Book Antiqua" w:eastAsiaTheme="minorEastAsia" w:hAnsi="Book Antiqua" w:cstheme="minorBidi"/>
          <w:kern w:val="2"/>
          <w:lang w:val="en-US" w:eastAsia="zh-CN"/>
        </w:rPr>
        <w:t xml:space="preserve"> 2010; </w:t>
      </w:r>
      <w:r w:rsidRPr="001B5396">
        <w:rPr>
          <w:rFonts w:ascii="Book Antiqua" w:eastAsiaTheme="minorEastAsia" w:hAnsi="Book Antiqua" w:cstheme="minorBidi"/>
          <w:b/>
          <w:kern w:val="2"/>
          <w:lang w:val="en-US" w:eastAsia="zh-CN"/>
        </w:rPr>
        <w:t>47</w:t>
      </w:r>
      <w:r w:rsidRPr="001B5396">
        <w:rPr>
          <w:rFonts w:ascii="Book Antiqua" w:eastAsiaTheme="minorEastAsia" w:hAnsi="Book Antiqua" w:cstheme="minorBidi"/>
          <w:kern w:val="2"/>
          <w:lang w:val="en-US" w:eastAsia="zh-CN"/>
        </w:rPr>
        <w:t>: 216-227 [PMID: 20066508 DOI: 10.1007/s12026-009-8152-3]</w:t>
      </w:r>
    </w:p>
    <w:p w14:paraId="0014D3DC"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37 </w:t>
      </w:r>
      <w:proofErr w:type="spellStart"/>
      <w:r w:rsidRPr="001B5396">
        <w:rPr>
          <w:rFonts w:ascii="Book Antiqua" w:eastAsiaTheme="minorEastAsia" w:hAnsi="Book Antiqua" w:cstheme="minorBidi"/>
          <w:b/>
          <w:kern w:val="2"/>
          <w:lang w:val="en-US" w:eastAsia="zh-CN"/>
        </w:rPr>
        <w:t>Kuniholm</w:t>
      </w:r>
      <w:proofErr w:type="spellEnd"/>
      <w:r w:rsidRPr="001B5396">
        <w:rPr>
          <w:rFonts w:ascii="Book Antiqua" w:eastAsiaTheme="minorEastAsia" w:hAnsi="Book Antiqua" w:cstheme="minorBidi"/>
          <w:b/>
          <w:kern w:val="2"/>
          <w:lang w:val="en-US" w:eastAsia="zh-CN"/>
        </w:rPr>
        <w:t xml:space="preserve"> MH</w:t>
      </w:r>
      <w:r w:rsidRPr="001B5396">
        <w:rPr>
          <w:rFonts w:ascii="Book Antiqua" w:eastAsiaTheme="minorEastAsia" w:hAnsi="Book Antiqua" w:cstheme="minorBidi"/>
          <w:kern w:val="2"/>
          <w:lang w:val="en-US" w:eastAsia="zh-CN"/>
        </w:rPr>
        <w:t xml:space="preserve">, Kovacs A, Gao X, </w:t>
      </w:r>
      <w:proofErr w:type="spellStart"/>
      <w:r w:rsidRPr="001B5396">
        <w:rPr>
          <w:rFonts w:ascii="Book Antiqua" w:eastAsiaTheme="minorEastAsia" w:hAnsi="Book Antiqua" w:cstheme="minorBidi"/>
          <w:kern w:val="2"/>
          <w:lang w:val="en-US" w:eastAsia="zh-CN"/>
        </w:rPr>
        <w:t>Xue</w:t>
      </w:r>
      <w:proofErr w:type="spellEnd"/>
      <w:r w:rsidRPr="001B5396">
        <w:rPr>
          <w:rFonts w:ascii="Book Antiqua" w:eastAsiaTheme="minorEastAsia" w:hAnsi="Book Antiqua" w:cstheme="minorBidi"/>
          <w:kern w:val="2"/>
          <w:lang w:val="en-US" w:eastAsia="zh-CN"/>
        </w:rPr>
        <w:t xml:space="preserve"> X, Marti D, </w:t>
      </w:r>
      <w:proofErr w:type="spellStart"/>
      <w:r w:rsidRPr="001B5396">
        <w:rPr>
          <w:rFonts w:ascii="Book Antiqua" w:eastAsiaTheme="minorEastAsia" w:hAnsi="Book Antiqua" w:cstheme="minorBidi"/>
          <w:kern w:val="2"/>
          <w:lang w:val="en-US" w:eastAsia="zh-CN"/>
        </w:rPr>
        <w:t>Thio</w:t>
      </w:r>
      <w:proofErr w:type="spellEnd"/>
      <w:r w:rsidRPr="001B5396">
        <w:rPr>
          <w:rFonts w:ascii="Book Antiqua" w:eastAsiaTheme="minorEastAsia" w:hAnsi="Book Antiqua" w:cstheme="minorBidi"/>
          <w:kern w:val="2"/>
          <w:lang w:val="en-US" w:eastAsia="zh-CN"/>
        </w:rPr>
        <w:t xml:space="preserve"> CL, Peters MG, </w:t>
      </w:r>
      <w:proofErr w:type="spellStart"/>
      <w:r w:rsidRPr="001B5396">
        <w:rPr>
          <w:rFonts w:ascii="Book Antiqua" w:eastAsiaTheme="minorEastAsia" w:hAnsi="Book Antiqua" w:cstheme="minorBidi"/>
          <w:kern w:val="2"/>
          <w:lang w:val="en-US" w:eastAsia="zh-CN"/>
        </w:rPr>
        <w:t>Terrault</w:t>
      </w:r>
      <w:proofErr w:type="spellEnd"/>
      <w:r w:rsidRPr="001B5396">
        <w:rPr>
          <w:rFonts w:ascii="Book Antiqua" w:eastAsiaTheme="minorEastAsia" w:hAnsi="Book Antiqua" w:cstheme="minorBidi"/>
          <w:kern w:val="2"/>
          <w:lang w:val="en-US" w:eastAsia="zh-CN"/>
        </w:rPr>
        <w:t xml:space="preserve"> NA, Greenblatt RM, </w:t>
      </w:r>
      <w:proofErr w:type="spellStart"/>
      <w:r w:rsidRPr="001B5396">
        <w:rPr>
          <w:rFonts w:ascii="Book Antiqua" w:eastAsiaTheme="minorEastAsia" w:hAnsi="Book Antiqua" w:cstheme="minorBidi"/>
          <w:kern w:val="2"/>
          <w:lang w:val="en-US" w:eastAsia="zh-CN"/>
        </w:rPr>
        <w:t>Goedert</w:t>
      </w:r>
      <w:proofErr w:type="spellEnd"/>
      <w:r w:rsidRPr="001B5396">
        <w:rPr>
          <w:rFonts w:ascii="Book Antiqua" w:eastAsiaTheme="minorEastAsia" w:hAnsi="Book Antiqua" w:cstheme="minorBidi"/>
          <w:kern w:val="2"/>
          <w:lang w:val="en-US" w:eastAsia="zh-CN"/>
        </w:rPr>
        <w:t xml:space="preserve"> JJ, Cohen MH, Minkoff H, </w:t>
      </w:r>
      <w:proofErr w:type="spellStart"/>
      <w:r w:rsidRPr="001B5396">
        <w:rPr>
          <w:rFonts w:ascii="Book Antiqua" w:eastAsiaTheme="minorEastAsia" w:hAnsi="Book Antiqua" w:cstheme="minorBidi"/>
          <w:kern w:val="2"/>
          <w:lang w:val="en-US" w:eastAsia="zh-CN"/>
        </w:rPr>
        <w:t>Gange</w:t>
      </w:r>
      <w:proofErr w:type="spellEnd"/>
      <w:r w:rsidRPr="001B5396">
        <w:rPr>
          <w:rFonts w:ascii="Book Antiqua" w:eastAsiaTheme="minorEastAsia" w:hAnsi="Book Antiqua" w:cstheme="minorBidi"/>
          <w:kern w:val="2"/>
          <w:lang w:val="en-US" w:eastAsia="zh-CN"/>
        </w:rPr>
        <w:t xml:space="preserve"> SJ, Anastos K, </w:t>
      </w:r>
      <w:proofErr w:type="spellStart"/>
      <w:r w:rsidRPr="001B5396">
        <w:rPr>
          <w:rFonts w:ascii="Book Antiqua" w:eastAsiaTheme="minorEastAsia" w:hAnsi="Book Antiqua" w:cstheme="minorBidi"/>
          <w:kern w:val="2"/>
          <w:lang w:val="en-US" w:eastAsia="zh-CN"/>
        </w:rPr>
        <w:t>Fazzari</w:t>
      </w:r>
      <w:proofErr w:type="spellEnd"/>
      <w:r w:rsidRPr="001B5396">
        <w:rPr>
          <w:rFonts w:ascii="Book Antiqua" w:eastAsiaTheme="minorEastAsia" w:hAnsi="Book Antiqua" w:cstheme="minorBidi"/>
          <w:kern w:val="2"/>
          <w:lang w:val="en-US" w:eastAsia="zh-CN"/>
        </w:rPr>
        <w:t xml:space="preserve"> M, Harris TG, Young MA, Strickler HD, Carrington M. Specific human leukocyte antigen class I and II alleles associated with hepatitis </w:t>
      </w:r>
      <w:r w:rsidRPr="001B5396">
        <w:rPr>
          <w:rFonts w:ascii="Book Antiqua" w:eastAsiaTheme="minorEastAsia" w:hAnsi="Book Antiqua" w:cstheme="minorBidi"/>
          <w:kern w:val="2"/>
          <w:lang w:val="en-US" w:eastAsia="zh-CN"/>
        </w:rPr>
        <w:lastRenderedPageBreak/>
        <w:t xml:space="preserve">C virus viremia. </w:t>
      </w:r>
      <w:r w:rsidRPr="001B5396">
        <w:rPr>
          <w:rFonts w:ascii="Book Antiqua" w:eastAsiaTheme="minorEastAsia" w:hAnsi="Book Antiqua" w:cstheme="minorBidi"/>
          <w:i/>
          <w:kern w:val="2"/>
          <w:lang w:val="en-US" w:eastAsia="zh-CN"/>
        </w:rPr>
        <w:t>Hepatology</w:t>
      </w:r>
      <w:r w:rsidRPr="001B5396">
        <w:rPr>
          <w:rFonts w:ascii="Book Antiqua" w:eastAsiaTheme="minorEastAsia" w:hAnsi="Book Antiqua" w:cstheme="minorBidi"/>
          <w:kern w:val="2"/>
          <w:lang w:val="en-US" w:eastAsia="zh-CN"/>
        </w:rPr>
        <w:t xml:space="preserve"> 2010; </w:t>
      </w:r>
      <w:r w:rsidRPr="001B5396">
        <w:rPr>
          <w:rFonts w:ascii="Book Antiqua" w:eastAsiaTheme="minorEastAsia" w:hAnsi="Book Antiqua" w:cstheme="minorBidi"/>
          <w:b/>
          <w:kern w:val="2"/>
          <w:lang w:val="en-US" w:eastAsia="zh-CN"/>
        </w:rPr>
        <w:t>51</w:t>
      </w:r>
      <w:r w:rsidRPr="001B5396">
        <w:rPr>
          <w:rFonts w:ascii="Book Antiqua" w:eastAsiaTheme="minorEastAsia" w:hAnsi="Book Antiqua" w:cstheme="minorBidi"/>
          <w:kern w:val="2"/>
          <w:lang w:val="en-US" w:eastAsia="zh-CN"/>
        </w:rPr>
        <w:t>: 1514-1522 [PMID: 20169624 DOI: 10.1002/hep.23515]</w:t>
      </w:r>
    </w:p>
    <w:p w14:paraId="3A104549"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38 </w:t>
      </w:r>
      <w:r w:rsidRPr="001B5396">
        <w:rPr>
          <w:rFonts w:ascii="Book Antiqua" w:eastAsiaTheme="minorEastAsia" w:hAnsi="Book Antiqua" w:cstheme="minorBidi"/>
          <w:b/>
          <w:kern w:val="2"/>
          <w:lang w:val="en-US" w:eastAsia="zh-CN"/>
        </w:rPr>
        <w:t>Pardo M</w:t>
      </w:r>
      <w:r w:rsidRPr="001B5396">
        <w:rPr>
          <w:rFonts w:ascii="Book Antiqua" w:eastAsiaTheme="minorEastAsia" w:hAnsi="Book Antiqua" w:cstheme="minorBidi"/>
          <w:kern w:val="2"/>
          <w:lang w:val="en-US" w:eastAsia="zh-CN"/>
        </w:rPr>
        <w:t>, López-</w:t>
      </w:r>
      <w:proofErr w:type="spellStart"/>
      <w:r w:rsidRPr="001B5396">
        <w:rPr>
          <w:rFonts w:ascii="Book Antiqua" w:eastAsiaTheme="minorEastAsia" w:hAnsi="Book Antiqua" w:cstheme="minorBidi"/>
          <w:kern w:val="2"/>
          <w:lang w:val="en-US" w:eastAsia="zh-CN"/>
        </w:rPr>
        <w:t>Alcorocho</w:t>
      </w:r>
      <w:proofErr w:type="spellEnd"/>
      <w:r w:rsidRPr="001B5396">
        <w:rPr>
          <w:rFonts w:ascii="Book Antiqua" w:eastAsiaTheme="minorEastAsia" w:hAnsi="Book Antiqua" w:cstheme="minorBidi"/>
          <w:kern w:val="2"/>
          <w:lang w:val="en-US" w:eastAsia="zh-CN"/>
        </w:rPr>
        <w:t xml:space="preserve"> JM, Castillo I, Rodríguez-</w:t>
      </w:r>
      <w:proofErr w:type="spellStart"/>
      <w:r w:rsidRPr="001B5396">
        <w:rPr>
          <w:rFonts w:ascii="Book Antiqua" w:eastAsiaTheme="minorEastAsia" w:hAnsi="Book Antiqua" w:cstheme="minorBidi"/>
          <w:kern w:val="2"/>
          <w:lang w:val="en-US" w:eastAsia="zh-CN"/>
        </w:rPr>
        <w:t>Iñigo</w:t>
      </w:r>
      <w:proofErr w:type="spellEnd"/>
      <w:r w:rsidRPr="001B5396">
        <w:rPr>
          <w:rFonts w:ascii="Book Antiqua" w:eastAsiaTheme="minorEastAsia" w:hAnsi="Book Antiqua" w:cstheme="minorBidi"/>
          <w:kern w:val="2"/>
          <w:lang w:val="en-US" w:eastAsia="zh-CN"/>
        </w:rPr>
        <w:t xml:space="preserve"> E, Perez-</w:t>
      </w:r>
      <w:proofErr w:type="spellStart"/>
      <w:r w:rsidRPr="001B5396">
        <w:rPr>
          <w:rFonts w:ascii="Book Antiqua" w:eastAsiaTheme="minorEastAsia" w:hAnsi="Book Antiqua" w:cstheme="minorBidi"/>
          <w:kern w:val="2"/>
          <w:lang w:val="en-US" w:eastAsia="zh-CN"/>
        </w:rPr>
        <w:t>Mota</w:t>
      </w:r>
      <w:proofErr w:type="spellEnd"/>
      <w:r w:rsidRPr="001B5396">
        <w:rPr>
          <w:rFonts w:ascii="Book Antiqua" w:eastAsiaTheme="minorEastAsia" w:hAnsi="Book Antiqua" w:cstheme="minorBidi"/>
          <w:kern w:val="2"/>
          <w:lang w:val="en-US" w:eastAsia="zh-CN"/>
        </w:rPr>
        <w:t xml:space="preserve"> A, </w:t>
      </w:r>
      <w:proofErr w:type="spellStart"/>
      <w:r w:rsidRPr="001B5396">
        <w:rPr>
          <w:rFonts w:ascii="Book Antiqua" w:eastAsiaTheme="minorEastAsia" w:hAnsi="Book Antiqua" w:cstheme="minorBidi"/>
          <w:kern w:val="2"/>
          <w:lang w:val="en-US" w:eastAsia="zh-CN"/>
        </w:rPr>
        <w:t>Carreño</w:t>
      </w:r>
      <w:proofErr w:type="spellEnd"/>
      <w:r w:rsidRPr="001B5396">
        <w:rPr>
          <w:rFonts w:ascii="Book Antiqua" w:eastAsiaTheme="minorEastAsia" w:hAnsi="Book Antiqua" w:cstheme="minorBidi"/>
          <w:kern w:val="2"/>
          <w:lang w:val="en-US" w:eastAsia="zh-CN"/>
        </w:rPr>
        <w:t xml:space="preserve"> V. Effect of anti-viral therapy for occult hepatitis C virus infection. </w:t>
      </w:r>
      <w:r w:rsidRPr="001B5396">
        <w:rPr>
          <w:rFonts w:ascii="Book Antiqua" w:eastAsiaTheme="minorEastAsia" w:hAnsi="Book Antiqua" w:cstheme="minorBidi"/>
          <w:i/>
          <w:kern w:val="2"/>
          <w:lang w:val="en-US" w:eastAsia="zh-CN"/>
        </w:rPr>
        <w:t xml:space="preserve">Aliment </w:t>
      </w:r>
      <w:proofErr w:type="spellStart"/>
      <w:r w:rsidRPr="001B5396">
        <w:rPr>
          <w:rFonts w:ascii="Book Antiqua" w:eastAsiaTheme="minorEastAsia" w:hAnsi="Book Antiqua" w:cstheme="minorBidi"/>
          <w:i/>
          <w:kern w:val="2"/>
          <w:lang w:val="en-US" w:eastAsia="zh-CN"/>
        </w:rPr>
        <w:t>Pharmacol</w:t>
      </w:r>
      <w:proofErr w:type="spellEnd"/>
      <w:r w:rsidRPr="001B5396">
        <w:rPr>
          <w:rFonts w:ascii="Book Antiqua" w:eastAsiaTheme="minorEastAsia" w:hAnsi="Book Antiqua" w:cstheme="minorBidi"/>
          <w:i/>
          <w:kern w:val="2"/>
          <w:lang w:val="en-US" w:eastAsia="zh-CN"/>
        </w:rPr>
        <w:t xml:space="preserve"> </w:t>
      </w:r>
      <w:proofErr w:type="spellStart"/>
      <w:r w:rsidRPr="001B5396">
        <w:rPr>
          <w:rFonts w:ascii="Book Antiqua" w:eastAsiaTheme="minorEastAsia" w:hAnsi="Book Antiqua" w:cstheme="minorBidi"/>
          <w:i/>
          <w:kern w:val="2"/>
          <w:lang w:val="en-US" w:eastAsia="zh-CN"/>
        </w:rPr>
        <w:t>Ther</w:t>
      </w:r>
      <w:proofErr w:type="spellEnd"/>
      <w:r w:rsidRPr="001B5396">
        <w:rPr>
          <w:rFonts w:ascii="Book Antiqua" w:eastAsiaTheme="minorEastAsia" w:hAnsi="Book Antiqua" w:cstheme="minorBidi"/>
          <w:kern w:val="2"/>
          <w:lang w:val="en-US" w:eastAsia="zh-CN"/>
        </w:rPr>
        <w:t xml:space="preserve"> 2006; </w:t>
      </w:r>
      <w:r w:rsidRPr="001B5396">
        <w:rPr>
          <w:rFonts w:ascii="Book Antiqua" w:eastAsiaTheme="minorEastAsia" w:hAnsi="Book Antiqua" w:cstheme="minorBidi"/>
          <w:b/>
          <w:kern w:val="2"/>
          <w:lang w:val="en-US" w:eastAsia="zh-CN"/>
        </w:rPr>
        <w:t>23</w:t>
      </w:r>
      <w:r w:rsidRPr="001B5396">
        <w:rPr>
          <w:rFonts w:ascii="Book Antiqua" w:eastAsiaTheme="minorEastAsia" w:hAnsi="Book Antiqua" w:cstheme="minorBidi"/>
          <w:kern w:val="2"/>
          <w:lang w:val="en-US" w:eastAsia="zh-CN"/>
        </w:rPr>
        <w:t>: 1153-1159 [PMID: 16611276 DOI: 10.1111/j.1365-2036.2006.02886.x]</w:t>
      </w:r>
    </w:p>
    <w:p w14:paraId="382474E4" w14:textId="77777777" w:rsidR="001B5396" w:rsidRPr="00BF0ED0" w:rsidRDefault="001B5396" w:rsidP="00484E7F">
      <w:pPr>
        <w:adjustRightInd w:val="0"/>
        <w:snapToGrid w:val="0"/>
        <w:spacing w:line="360" w:lineRule="auto"/>
        <w:jc w:val="both"/>
        <w:outlineLvl w:val="0"/>
        <w:rPr>
          <w:rFonts w:ascii="Book Antiqua" w:eastAsiaTheme="minorEastAsia" w:hAnsi="Book Antiqua"/>
          <w:b/>
          <w:lang w:eastAsia="zh-CN"/>
        </w:rPr>
      </w:pPr>
    </w:p>
    <w:p w14:paraId="5727C5AC" w14:textId="0645AB0F" w:rsidR="001835B3" w:rsidRPr="00BF0ED0" w:rsidRDefault="001835B3" w:rsidP="00484E7F">
      <w:pPr>
        <w:widowControl w:val="0"/>
        <w:autoSpaceDE w:val="0"/>
        <w:autoSpaceDN w:val="0"/>
        <w:adjustRightInd w:val="0"/>
        <w:snapToGrid w:val="0"/>
        <w:spacing w:line="360" w:lineRule="auto"/>
        <w:jc w:val="right"/>
        <w:outlineLvl w:val="0"/>
        <w:rPr>
          <w:rFonts w:ascii="Book Antiqua" w:hAnsi="Book Antiqua"/>
        </w:rPr>
      </w:pPr>
      <w:r w:rsidRPr="00BF0ED0">
        <w:rPr>
          <w:rFonts w:ascii="Book Antiqua" w:eastAsia="SimSun" w:hAnsi="Book Antiqua"/>
          <w:b/>
          <w:bCs/>
          <w:color w:val="000000"/>
          <w:kern w:val="2"/>
        </w:rPr>
        <w:t>P-Reviewer:</w:t>
      </w:r>
      <w:r w:rsidRPr="00BF0ED0">
        <w:rPr>
          <w:rFonts w:ascii="Book Antiqua" w:eastAsia="SimSun" w:hAnsi="Book Antiqua"/>
          <w:bCs/>
          <w:color w:val="000000"/>
          <w:kern w:val="2"/>
        </w:rPr>
        <w:t xml:space="preserve"> </w:t>
      </w:r>
      <w:r w:rsidR="00D11F4E" w:rsidRPr="00BF0ED0">
        <w:rPr>
          <w:rFonts w:ascii="Book Antiqua" w:eastAsia="SimSun" w:hAnsi="Book Antiqua"/>
          <w:bCs/>
          <w:color w:val="000000"/>
          <w:kern w:val="2"/>
        </w:rPr>
        <w:t>Cunha</w:t>
      </w:r>
      <w:r w:rsidR="00D11F4E" w:rsidRPr="00BF0ED0">
        <w:rPr>
          <w:rFonts w:ascii="Book Antiqua" w:eastAsia="SimSun" w:hAnsi="Book Antiqua"/>
          <w:bCs/>
          <w:color w:val="000000"/>
          <w:kern w:val="2"/>
          <w:lang w:eastAsia="zh-CN"/>
        </w:rPr>
        <w:t xml:space="preserve"> C, </w:t>
      </w:r>
      <w:r w:rsidR="003A6736" w:rsidRPr="00BF0ED0">
        <w:rPr>
          <w:rFonts w:ascii="Book Antiqua" w:eastAsia="SimSun" w:hAnsi="Book Antiqua"/>
          <w:bCs/>
          <w:color w:val="000000"/>
          <w:kern w:val="2"/>
          <w:lang w:eastAsia="zh-CN"/>
        </w:rPr>
        <w:t>Kamal SA, Milovanovic T</w:t>
      </w:r>
      <w:r w:rsidRPr="00BF0ED0">
        <w:rPr>
          <w:rFonts w:ascii="Book Antiqua" w:eastAsia="SimSun" w:hAnsi="Book Antiqua"/>
          <w:bCs/>
          <w:color w:val="000000"/>
          <w:kern w:val="2"/>
        </w:rPr>
        <w:t xml:space="preserve"> </w:t>
      </w:r>
      <w:r w:rsidRPr="00BF0ED0">
        <w:rPr>
          <w:rFonts w:ascii="Book Antiqua" w:eastAsia="SimSun" w:hAnsi="Book Antiqua"/>
          <w:b/>
          <w:bCs/>
          <w:color w:val="000000"/>
          <w:kern w:val="2"/>
        </w:rPr>
        <w:t xml:space="preserve">S-Editor: </w:t>
      </w:r>
      <w:r w:rsidR="001B5396" w:rsidRPr="00BF0ED0">
        <w:rPr>
          <w:rFonts w:ascii="Book Antiqua" w:eastAsia="SimSun" w:hAnsi="Book Antiqua"/>
          <w:bCs/>
          <w:color w:val="000000"/>
          <w:kern w:val="2"/>
          <w:lang w:eastAsia="zh-CN"/>
        </w:rPr>
        <w:t>Ma YJ</w:t>
      </w:r>
      <w:r w:rsidRPr="00BF0ED0">
        <w:rPr>
          <w:rFonts w:ascii="Book Antiqua" w:eastAsia="SimSun" w:hAnsi="Book Antiqua"/>
          <w:bCs/>
          <w:color w:val="000000"/>
          <w:kern w:val="2"/>
        </w:rPr>
        <w:t xml:space="preserve"> </w:t>
      </w:r>
      <w:r w:rsidRPr="00BF0ED0">
        <w:rPr>
          <w:rFonts w:ascii="Book Antiqua" w:eastAsia="SimSun" w:hAnsi="Book Antiqua"/>
          <w:b/>
          <w:bCs/>
          <w:color w:val="000000"/>
          <w:kern w:val="2"/>
        </w:rPr>
        <w:t>L-Editor:</w:t>
      </w:r>
      <w:r w:rsidR="00205A72">
        <w:rPr>
          <w:rFonts w:ascii="Book Antiqua" w:eastAsia="SimSun" w:hAnsi="Book Antiqua"/>
          <w:color w:val="000000"/>
          <w:kern w:val="2"/>
        </w:rPr>
        <w:t xml:space="preserve"> </w:t>
      </w:r>
      <w:r w:rsidRPr="00BF0ED0">
        <w:rPr>
          <w:rFonts w:ascii="Book Antiqua" w:eastAsia="SimSun" w:hAnsi="Book Antiqua"/>
          <w:b/>
          <w:bCs/>
          <w:color w:val="000000"/>
          <w:kern w:val="2"/>
        </w:rPr>
        <w:t>E-Editor:</w:t>
      </w:r>
    </w:p>
    <w:p w14:paraId="2BD72C88" w14:textId="77777777" w:rsidR="001835B3" w:rsidRPr="00BF0ED0" w:rsidRDefault="001835B3" w:rsidP="00484E7F">
      <w:pPr>
        <w:adjustRightInd w:val="0"/>
        <w:snapToGrid w:val="0"/>
        <w:spacing w:line="360" w:lineRule="auto"/>
        <w:jc w:val="both"/>
        <w:rPr>
          <w:rFonts w:ascii="Book Antiqua" w:eastAsia="MS Mincho" w:hAnsi="Book Antiqua"/>
          <w:b/>
        </w:rPr>
      </w:pPr>
    </w:p>
    <w:p w14:paraId="75CEC3DF" w14:textId="164C1575" w:rsidR="00E074D5" w:rsidRPr="00BF0ED0" w:rsidRDefault="00E074D5" w:rsidP="00484E7F">
      <w:pPr>
        <w:shd w:val="clear" w:color="auto" w:fill="FFFFFF"/>
        <w:adjustRightInd w:val="0"/>
        <w:snapToGrid w:val="0"/>
        <w:spacing w:line="360" w:lineRule="auto"/>
        <w:rPr>
          <w:rFonts w:ascii="Book Antiqua" w:hAnsi="Book Antiqua" w:cs="Helvetica"/>
          <w:b/>
        </w:rPr>
      </w:pPr>
      <w:r w:rsidRPr="00BF0ED0">
        <w:rPr>
          <w:rFonts w:ascii="Book Antiqua" w:hAnsi="Book Antiqua" w:cs="Helvetica"/>
          <w:b/>
        </w:rPr>
        <w:t xml:space="preserve">Specialty type: </w:t>
      </w:r>
      <w:r w:rsidRPr="00BF0ED0">
        <w:rPr>
          <w:rFonts w:ascii="Book Antiqua" w:hAnsi="Book Antiqua" w:cs="Helvetica"/>
        </w:rPr>
        <w:t>Gastroenterology and hepatology</w:t>
      </w:r>
    </w:p>
    <w:p w14:paraId="183D4583" w14:textId="3CFE5B1B"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b/>
        </w:rPr>
        <w:t>Country of origin:</w:t>
      </w:r>
      <w:r w:rsidRPr="00BF0ED0">
        <w:rPr>
          <w:rFonts w:ascii="Book Antiqua" w:hAnsi="Book Antiqua" w:cs="Helvetica"/>
        </w:rPr>
        <w:t xml:space="preserve"> </w:t>
      </w:r>
      <w:r w:rsidR="00F10286" w:rsidRPr="00BF0ED0">
        <w:rPr>
          <w:rFonts w:ascii="Book Antiqua" w:hAnsi="Book Antiqua" w:cs="Helvetica"/>
        </w:rPr>
        <w:t>Brazil</w:t>
      </w:r>
    </w:p>
    <w:p w14:paraId="01A0840B" w14:textId="77777777" w:rsidR="00E074D5" w:rsidRPr="00BF0ED0" w:rsidRDefault="00E074D5" w:rsidP="00484E7F">
      <w:pPr>
        <w:shd w:val="clear" w:color="auto" w:fill="FFFFFF"/>
        <w:adjustRightInd w:val="0"/>
        <w:snapToGrid w:val="0"/>
        <w:spacing w:line="360" w:lineRule="auto"/>
        <w:rPr>
          <w:rFonts w:ascii="Book Antiqua" w:hAnsi="Book Antiqua" w:cs="Helvetica"/>
          <w:b/>
        </w:rPr>
      </w:pPr>
      <w:r w:rsidRPr="00BF0ED0">
        <w:rPr>
          <w:rFonts w:ascii="Book Antiqua" w:hAnsi="Book Antiqua" w:cs="Helvetica"/>
          <w:b/>
        </w:rPr>
        <w:t>Peer-review report classification</w:t>
      </w:r>
    </w:p>
    <w:p w14:paraId="05F6381F" w14:textId="77777777"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A (Excellent): 0</w:t>
      </w:r>
    </w:p>
    <w:p w14:paraId="51D3B17D" w14:textId="5D7257E8"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B (Very good): B, B</w:t>
      </w:r>
    </w:p>
    <w:p w14:paraId="414CDE8A" w14:textId="77777777"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C (Good): C</w:t>
      </w:r>
    </w:p>
    <w:p w14:paraId="3D02395D" w14:textId="77777777"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D (Fair): 0</w:t>
      </w:r>
    </w:p>
    <w:p w14:paraId="195F6779" w14:textId="77777777" w:rsidR="00E074D5" w:rsidRPr="00BF0ED0" w:rsidRDefault="00E074D5" w:rsidP="00484E7F">
      <w:pPr>
        <w:adjustRightInd w:val="0"/>
        <w:snapToGrid w:val="0"/>
        <w:spacing w:line="360" w:lineRule="auto"/>
        <w:rPr>
          <w:rFonts w:ascii="Book Antiqua" w:hAnsi="Book Antiqua" w:cs="Helvetica"/>
        </w:rPr>
      </w:pPr>
      <w:r w:rsidRPr="00BF0ED0">
        <w:rPr>
          <w:rFonts w:ascii="Book Antiqua" w:hAnsi="Book Antiqua" w:cs="Helvetica"/>
        </w:rPr>
        <w:t>Grade E (Poor): 0</w:t>
      </w:r>
    </w:p>
    <w:p w14:paraId="7CA778D6" w14:textId="752DB6E7" w:rsidR="001835B3" w:rsidRPr="00BF0ED0" w:rsidRDefault="001835B3" w:rsidP="00484E7F">
      <w:pPr>
        <w:widowControl w:val="0"/>
        <w:autoSpaceDE w:val="0"/>
        <w:autoSpaceDN w:val="0"/>
        <w:adjustRightInd w:val="0"/>
        <w:snapToGrid w:val="0"/>
        <w:spacing w:line="360" w:lineRule="auto"/>
        <w:ind w:hanging="640"/>
        <w:jc w:val="both"/>
        <w:rPr>
          <w:rFonts w:ascii="Book Antiqua" w:hAnsi="Book Antiqua"/>
        </w:rPr>
      </w:pPr>
    </w:p>
    <w:p w14:paraId="3FD396D7" w14:textId="77777777" w:rsidR="001835B3" w:rsidRPr="00BF0ED0" w:rsidRDefault="001835B3" w:rsidP="00484E7F">
      <w:pPr>
        <w:widowControl w:val="0"/>
        <w:autoSpaceDE w:val="0"/>
        <w:autoSpaceDN w:val="0"/>
        <w:adjustRightInd w:val="0"/>
        <w:snapToGrid w:val="0"/>
        <w:spacing w:line="360" w:lineRule="auto"/>
        <w:ind w:hanging="640"/>
        <w:jc w:val="both"/>
        <w:rPr>
          <w:rFonts w:ascii="Book Antiqua" w:hAnsi="Book Antiqua"/>
        </w:rPr>
      </w:pPr>
    </w:p>
    <w:p w14:paraId="334E7B91" w14:textId="77777777" w:rsidR="001835B3" w:rsidRPr="00BF0ED0" w:rsidRDefault="001835B3" w:rsidP="00484E7F">
      <w:pPr>
        <w:adjustRightInd w:val="0"/>
        <w:snapToGrid w:val="0"/>
        <w:spacing w:line="360" w:lineRule="auto"/>
        <w:jc w:val="both"/>
        <w:rPr>
          <w:rFonts w:ascii="Book Antiqua" w:hAnsi="Book Antiqua"/>
          <w:b/>
        </w:rPr>
      </w:pPr>
    </w:p>
    <w:p w14:paraId="64E72BC3" w14:textId="77777777" w:rsidR="001835B3" w:rsidRPr="00BF0ED0" w:rsidRDefault="001835B3" w:rsidP="00484E7F">
      <w:pPr>
        <w:adjustRightInd w:val="0"/>
        <w:snapToGrid w:val="0"/>
        <w:spacing w:line="360" w:lineRule="auto"/>
        <w:jc w:val="both"/>
        <w:rPr>
          <w:rFonts w:ascii="Book Antiqua" w:hAnsi="Book Antiqua"/>
          <w:b/>
        </w:rPr>
        <w:sectPr w:rsidR="001835B3" w:rsidRPr="00BF0ED0" w:rsidSect="007F24AE">
          <w:footerReference w:type="even" r:id="rId9"/>
          <w:footerReference w:type="default" r:id="rId10"/>
          <w:pgSz w:w="12240" w:h="15840"/>
          <w:pgMar w:top="1417" w:right="2034" w:bottom="1417" w:left="1701" w:header="708" w:footer="708" w:gutter="0"/>
          <w:cols w:space="708"/>
          <w:docGrid w:linePitch="360"/>
        </w:sectPr>
      </w:pPr>
    </w:p>
    <w:p w14:paraId="1386B9A0" w14:textId="227002D4" w:rsidR="001835B3" w:rsidRPr="00BF0ED0" w:rsidRDefault="001835B3" w:rsidP="00484E7F">
      <w:pPr>
        <w:adjustRightInd w:val="0"/>
        <w:snapToGrid w:val="0"/>
        <w:spacing w:line="360" w:lineRule="auto"/>
        <w:jc w:val="both"/>
        <w:rPr>
          <w:rFonts w:ascii="Book Antiqua" w:hAnsi="Book Antiqua"/>
          <w:b/>
        </w:rPr>
      </w:pPr>
      <w:r w:rsidRPr="00BF0ED0">
        <w:rPr>
          <w:rFonts w:ascii="Book Antiqua" w:hAnsi="Book Antiqua"/>
          <w:b/>
        </w:rPr>
        <w:lastRenderedPageBreak/>
        <w:t xml:space="preserve">Table 1 Distribution of clinical parameters according to the occurrence of occult </w:t>
      </w:r>
      <w:r w:rsidR="00AB2C9A" w:rsidRPr="00BF0ED0">
        <w:rPr>
          <w:rFonts w:ascii="Book Antiqua" w:hAnsi="Book Antiqua"/>
          <w:b/>
        </w:rPr>
        <w:t xml:space="preserve">hepatitis C virus </w:t>
      </w:r>
      <w:r w:rsidRPr="00BF0ED0">
        <w:rPr>
          <w:rFonts w:ascii="Book Antiqua" w:hAnsi="Book Antiqua"/>
          <w:b/>
        </w:rPr>
        <w:t>infection in 91 patients with chronic kidney disease: 2015 to 2017</w:t>
      </w:r>
    </w:p>
    <w:tbl>
      <w:tblPr>
        <w:tblpPr w:leftFromText="141" w:rightFromText="141" w:vertAnchor="text" w:horzAnchor="margin" w:tblpY="87"/>
        <w:tblW w:w="13030" w:type="dxa"/>
        <w:tblLayout w:type="fixed"/>
        <w:tblCellMar>
          <w:left w:w="70" w:type="dxa"/>
          <w:right w:w="70" w:type="dxa"/>
        </w:tblCellMar>
        <w:tblLook w:val="0000" w:firstRow="0" w:lastRow="0" w:firstColumn="0" w:lastColumn="0" w:noHBand="0" w:noVBand="0"/>
      </w:tblPr>
      <w:tblGrid>
        <w:gridCol w:w="2552"/>
        <w:gridCol w:w="1118"/>
        <w:gridCol w:w="1800"/>
        <w:gridCol w:w="1350"/>
        <w:gridCol w:w="1530"/>
        <w:gridCol w:w="1710"/>
        <w:gridCol w:w="1710"/>
        <w:gridCol w:w="1260"/>
      </w:tblGrid>
      <w:tr w:rsidR="001835B3" w:rsidRPr="00BF0ED0" w14:paraId="7255529C" w14:textId="77777777" w:rsidTr="00B927F6">
        <w:trPr>
          <w:trHeight w:val="330"/>
        </w:trPr>
        <w:tc>
          <w:tcPr>
            <w:tcW w:w="2552" w:type="dxa"/>
            <w:tcBorders>
              <w:top w:val="single" w:sz="12" w:space="0" w:color="auto"/>
              <w:left w:val="nil"/>
              <w:bottom w:val="nil"/>
              <w:right w:val="nil"/>
            </w:tcBorders>
          </w:tcPr>
          <w:p w14:paraId="328BE42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18" w:type="dxa"/>
            <w:tcBorders>
              <w:top w:val="single" w:sz="12" w:space="0" w:color="auto"/>
              <w:left w:val="nil"/>
              <w:bottom w:val="nil"/>
              <w:right w:val="nil"/>
            </w:tcBorders>
          </w:tcPr>
          <w:p w14:paraId="3BBD5CE7"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color w:val="000000"/>
              </w:rPr>
              <w:t>Total (%),</w:t>
            </w:r>
          </w:p>
        </w:tc>
        <w:tc>
          <w:tcPr>
            <w:tcW w:w="1800" w:type="dxa"/>
            <w:tcBorders>
              <w:top w:val="single" w:sz="12" w:space="0" w:color="auto"/>
              <w:left w:val="nil"/>
              <w:bottom w:val="nil"/>
              <w:right w:val="nil"/>
            </w:tcBorders>
          </w:tcPr>
          <w:p w14:paraId="6AA1D97D"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6300" w:type="dxa"/>
            <w:gridSpan w:val="4"/>
            <w:tcBorders>
              <w:top w:val="single" w:sz="12" w:space="0" w:color="auto"/>
              <w:left w:val="nil"/>
              <w:bottom w:val="single" w:sz="12" w:space="0" w:color="auto"/>
              <w:right w:val="nil"/>
            </w:tcBorders>
            <w:vAlign w:val="center"/>
          </w:tcPr>
          <w:p w14:paraId="5E218CDD" w14:textId="48B50FCE"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 xml:space="preserve">Occult </w:t>
            </w:r>
            <w:r w:rsidR="00AB2C9A" w:rsidRPr="00BF0ED0">
              <w:rPr>
                <w:rFonts w:ascii="Book Antiqua" w:hAnsi="Book Antiqua"/>
                <w:b/>
                <w:bCs/>
                <w:color w:val="000000"/>
              </w:rPr>
              <w:t>he</w:t>
            </w:r>
            <w:r w:rsidRPr="00BF0ED0">
              <w:rPr>
                <w:rFonts w:ascii="Book Antiqua" w:hAnsi="Book Antiqua"/>
                <w:b/>
                <w:bCs/>
                <w:color w:val="000000"/>
              </w:rPr>
              <w:t xml:space="preserve">patitis C </w:t>
            </w:r>
            <w:r w:rsidR="00AB2C9A" w:rsidRPr="00BF0ED0">
              <w:rPr>
                <w:rFonts w:ascii="Book Antiqua" w:hAnsi="Book Antiqua"/>
                <w:b/>
                <w:bCs/>
                <w:color w:val="000000"/>
              </w:rPr>
              <w:t>i</w:t>
            </w:r>
            <w:r w:rsidRPr="00BF0ED0">
              <w:rPr>
                <w:rFonts w:ascii="Book Antiqua" w:hAnsi="Book Antiqua"/>
                <w:b/>
                <w:bCs/>
                <w:color w:val="000000"/>
              </w:rPr>
              <w:t>nfection</w:t>
            </w:r>
          </w:p>
        </w:tc>
        <w:tc>
          <w:tcPr>
            <w:tcW w:w="1260" w:type="dxa"/>
            <w:tcBorders>
              <w:top w:val="single" w:sz="12" w:space="0" w:color="auto"/>
              <w:left w:val="nil"/>
              <w:bottom w:val="nil"/>
              <w:right w:val="nil"/>
            </w:tcBorders>
          </w:tcPr>
          <w:p w14:paraId="4825EF2C" w14:textId="652C1DE3" w:rsidR="001835B3" w:rsidRPr="00BF0ED0" w:rsidRDefault="001835B3" w:rsidP="00484E7F">
            <w:pPr>
              <w:autoSpaceDE w:val="0"/>
              <w:autoSpaceDN w:val="0"/>
              <w:adjustRightInd w:val="0"/>
              <w:snapToGrid w:val="0"/>
              <w:spacing w:line="360" w:lineRule="auto"/>
              <w:jc w:val="both"/>
              <w:rPr>
                <w:rFonts w:ascii="Book Antiqua" w:eastAsiaTheme="minorEastAsia" w:hAnsi="Book Antiqua"/>
                <w:b/>
                <w:bCs/>
                <w:i/>
                <w:color w:val="000000"/>
                <w:lang w:eastAsia="zh-CN"/>
              </w:rPr>
            </w:pPr>
            <w:r w:rsidRPr="00BF0ED0">
              <w:rPr>
                <w:rFonts w:ascii="Book Antiqua" w:hAnsi="Book Antiqua"/>
                <w:b/>
                <w:bCs/>
                <w:i/>
                <w:color w:val="000000"/>
              </w:rPr>
              <w:t>P</w:t>
            </w:r>
            <w:r w:rsidR="00AB2C9A" w:rsidRPr="00BF0ED0">
              <w:rPr>
                <w:rFonts w:ascii="Book Antiqua" w:eastAsiaTheme="minorEastAsia" w:hAnsi="Book Antiqua"/>
                <w:b/>
                <w:bCs/>
                <w:i/>
                <w:color w:val="000000"/>
                <w:lang w:eastAsia="zh-CN"/>
              </w:rPr>
              <w:t>-</w:t>
            </w:r>
            <w:r w:rsidR="00AB2C9A" w:rsidRPr="00BF0ED0">
              <w:rPr>
                <w:rFonts w:ascii="Book Antiqua" w:eastAsiaTheme="minorEastAsia" w:hAnsi="Book Antiqua"/>
                <w:b/>
                <w:bCs/>
                <w:color w:val="000000"/>
                <w:lang w:eastAsia="zh-CN"/>
              </w:rPr>
              <w:t>value</w:t>
            </w:r>
          </w:p>
        </w:tc>
      </w:tr>
      <w:tr w:rsidR="001835B3" w:rsidRPr="00BF0ED0" w14:paraId="0D098907" w14:textId="77777777" w:rsidTr="00B927F6">
        <w:trPr>
          <w:trHeight w:val="241"/>
        </w:trPr>
        <w:tc>
          <w:tcPr>
            <w:tcW w:w="2552" w:type="dxa"/>
            <w:tcBorders>
              <w:top w:val="nil"/>
              <w:left w:val="nil"/>
              <w:bottom w:val="nil"/>
              <w:right w:val="nil"/>
            </w:tcBorders>
          </w:tcPr>
          <w:p w14:paraId="4E4F0C8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18" w:type="dxa"/>
            <w:tcBorders>
              <w:top w:val="nil"/>
              <w:left w:val="nil"/>
              <w:bottom w:val="nil"/>
              <w:right w:val="nil"/>
            </w:tcBorders>
          </w:tcPr>
          <w:p w14:paraId="49A07993"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91</w:t>
            </w:r>
          </w:p>
        </w:tc>
        <w:tc>
          <w:tcPr>
            <w:tcW w:w="1800" w:type="dxa"/>
            <w:tcBorders>
              <w:top w:val="nil"/>
              <w:left w:val="nil"/>
              <w:bottom w:val="nil"/>
              <w:right w:val="nil"/>
            </w:tcBorders>
          </w:tcPr>
          <w:p w14:paraId="2C64D0C6"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350" w:type="dxa"/>
            <w:tcBorders>
              <w:top w:val="single" w:sz="12" w:space="0" w:color="auto"/>
              <w:left w:val="nil"/>
              <w:bottom w:val="nil"/>
              <w:right w:val="nil"/>
            </w:tcBorders>
          </w:tcPr>
          <w:p w14:paraId="32AA03A3"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color w:val="000000"/>
              </w:rPr>
              <w:t>Yes (%),</w:t>
            </w:r>
          </w:p>
        </w:tc>
        <w:tc>
          <w:tcPr>
            <w:tcW w:w="1530" w:type="dxa"/>
            <w:tcBorders>
              <w:top w:val="single" w:sz="12" w:space="0" w:color="auto"/>
              <w:left w:val="nil"/>
              <w:bottom w:val="nil"/>
              <w:right w:val="nil"/>
            </w:tcBorders>
          </w:tcPr>
          <w:p w14:paraId="3F5A5789"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710" w:type="dxa"/>
            <w:tcBorders>
              <w:top w:val="single" w:sz="12" w:space="0" w:color="auto"/>
              <w:left w:val="nil"/>
              <w:bottom w:val="nil"/>
              <w:right w:val="nil"/>
            </w:tcBorders>
          </w:tcPr>
          <w:p w14:paraId="07DCFC03"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color w:val="000000"/>
              </w:rPr>
              <w:t>No (%),</w:t>
            </w:r>
          </w:p>
        </w:tc>
        <w:tc>
          <w:tcPr>
            <w:tcW w:w="1710" w:type="dxa"/>
            <w:tcBorders>
              <w:top w:val="single" w:sz="12" w:space="0" w:color="auto"/>
              <w:left w:val="nil"/>
              <w:bottom w:val="nil"/>
              <w:right w:val="nil"/>
            </w:tcBorders>
          </w:tcPr>
          <w:p w14:paraId="43BCBF61"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260" w:type="dxa"/>
            <w:tcBorders>
              <w:top w:val="nil"/>
              <w:left w:val="nil"/>
              <w:bottom w:val="nil"/>
              <w:right w:val="nil"/>
            </w:tcBorders>
          </w:tcPr>
          <w:p w14:paraId="3B06C03C"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3F10A978" w14:textId="77777777" w:rsidTr="00B927F6">
        <w:trPr>
          <w:trHeight w:val="330"/>
        </w:trPr>
        <w:tc>
          <w:tcPr>
            <w:tcW w:w="2552" w:type="dxa"/>
            <w:tcBorders>
              <w:top w:val="nil"/>
              <w:left w:val="nil"/>
              <w:bottom w:val="single" w:sz="12" w:space="0" w:color="auto"/>
              <w:right w:val="nil"/>
            </w:tcBorders>
          </w:tcPr>
          <w:p w14:paraId="41DA931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18" w:type="dxa"/>
            <w:tcBorders>
              <w:top w:val="nil"/>
              <w:left w:val="nil"/>
              <w:bottom w:val="single" w:sz="12" w:space="0" w:color="000000"/>
              <w:right w:val="nil"/>
            </w:tcBorders>
          </w:tcPr>
          <w:p w14:paraId="794A4A2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single" w:sz="12" w:space="0" w:color="000000"/>
              <w:right w:val="nil"/>
            </w:tcBorders>
          </w:tcPr>
          <w:p w14:paraId="320C723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single" w:sz="12" w:space="0" w:color="auto"/>
              <w:right w:val="nil"/>
            </w:tcBorders>
          </w:tcPr>
          <w:p w14:paraId="2287A2E5"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i/>
                <w:color w:val="000000"/>
              </w:rPr>
              <w:t xml:space="preserve">n </w:t>
            </w:r>
            <w:r w:rsidRPr="00BF0ED0">
              <w:rPr>
                <w:rFonts w:ascii="Book Antiqua" w:hAnsi="Book Antiqua"/>
                <w:b/>
                <w:bCs/>
                <w:color w:val="000000"/>
              </w:rPr>
              <w:t>= 15</w:t>
            </w:r>
          </w:p>
        </w:tc>
        <w:tc>
          <w:tcPr>
            <w:tcW w:w="1530" w:type="dxa"/>
            <w:tcBorders>
              <w:top w:val="nil"/>
              <w:left w:val="nil"/>
              <w:bottom w:val="single" w:sz="12" w:space="0" w:color="auto"/>
              <w:right w:val="nil"/>
            </w:tcBorders>
          </w:tcPr>
          <w:p w14:paraId="4880F406"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710" w:type="dxa"/>
            <w:tcBorders>
              <w:top w:val="nil"/>
              <w:left w:val="nil"/>
              <w:bottom w:val="single" w:sz="12" w:space="0" w:color="auto"/>
              <w:right w:val="nil"/>
            </w:tcBorders>
          </w:tcPr>
          <w:p w14:paraId="161E52F0"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76</w:t>
            </w:r>
          </w:p>
        </w:tc>
        <w:tc>
          <w:tcPr>
            <w:tcW w:w="1710" w:type="dxa"/>
            <w:tcBorders>
              <w:top w:val="nil"/>
              <w:left w:val="nil"/>
              <w:bottom w:val="single" w:sz="12" w:space="0" w:color="auto"/>
              <w:right w:val="nil"/>
            </w:tcBorders>
          </w:tcPr>
          <w:p w14:paraId="246082FA"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260" w:type="dxa"/>
            <w:tcBorders>
              <w:top w:val="nil"/>
              <w:left w:val="nil"/>
              <w:bottom w:val="single" w:sz="12" w:space="0" w:color="000000"/>
              <w:right w:val="nil"/>
            </w:tcBorders>
          </w:tcPr>
          <w:p w14:paraId="258D76BB"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5D31DA4B" w14:textId="77777777" w:rsidTr="00B927F6">
        <w:trPr>
          <w:trHeight w:val="310"/>
        </w:trPr>
        <w:tc>
          <w:tcPr>
            <w:tcW w:w="2552" w:type="dxa"/>
            <w:tcBorders>
              <w:top w:val="nil"/>
              <w:left w:val="nil"/>
              <w:bottom w:val="nil"/>
              <w:right w:val="nil"/>
            </w:tcBorders>
          </w:tcPr>
          <w:p w14:paraId="7D4229A5"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Age</w:t>
            </w:r>
          </w:p>
        </w:tc>
        <w:tc>
          <w:tcPr>
            <w:tcW w:w="1118" w:type="dxa"/>
            <w:tcBorders>
              <w:top w:val="single" w:sz="12" w:space="0" w:color="000000"/>
              <w:left w:val="nil"/>
              <w:bottom w:val="nil"/>
              <w:right w:val="nil"/>
            </w:tcBorders>
          </w:tcPr>
          <w:p w14:paraId="6E44A2F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62.4 ± 13.1</w:t>
            </w:r>
          </w:p>
        </w:tc>
        <w:tc>
          <w:tcPr>
            <w:tcW w:w="1800" w:type="dxa"/>
            <w:tcBorders>
              <w:top w:val="single" w:sz="12" w:space="0" w:color="000000"/>
              <w:left w:val="nil"/>
              <w:bottom w:val="nil"/>
              <w:right w:val="nil"/>
            </w:tcBorders>
          </w:tcPr>
          <w:p w14:paraId="5A2CB9A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single" w:sz="12" w:space="0" w:color="auto"/>
              <w:left w:val="nil"/>
              <w:bottom w:val="nil"/>
              <w:right w:val="nil"/>
            </w:tcBorders>
          </w:tcPr>
          <w:p w14:paraId="00DBAA2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69.4 ± 7.9</w:t>
            </w:r>
          </w:p>
        </w:tc>
        <w:tc>
          <w:tcPr>
            <w:tcW w:w="1530" w:type="dxa"/>
            <w:tcBorders>
              <w:top w:val="single" w:sz="12" w:space="0" w:color="auto"/>
              <w:left w:val="nil"/>
              <w:bottom w:val="nil"/>
              <w:right w:val="nil"/>
            </w:tcBorders>
          </w:tcPr>
          <w:p w14:paraId="061BED5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single" w:sz="12" w:space="0" w:color="auto"/>
              <w:left w:val="nil"/>
              <w:bottom w:val="nil"/>
              <w:right w:val="nil"/>
            </w:tcBorders>
          </w:tcPr>
          <w:p w14:paraId="786C110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60.9 ± 13.5</w:t>
            </w:r>
          </w:p>
        </w:tc>
        <w:tc>
          <w:tcPr>
            <w:tcW w:w="1710" w:type="dxa"/>
            <w:tcBorders>
              <w:top w:val="single" w:sz="12" w:space="0" w:color="auto"/>
              <w:left w:val="nil"/>
              <w:bottom w:val="nil"/>
              <w:right w:val="nil"/>
            </w:tcBorders>
          </w:tcPr>
          <w:p w14:paraId="64D5D4E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7A565618" w14:textId="41DD6578" w:rsidR="001835B3" w:rsidRPr="00BF0ED0" w:rsidRDefault="001835B3" w:rsidP="00484E7F">
            <w:pPr>
              <w:autoSpaceDE w:val="0"/>
              <w:autoSpaceDN w:val="0"/>
              <w:adjustRightInd w:val="0"/>
              <w:snapToGrid w:val="0"/>
              <w:spacing w:line="360" w:lineRule="auto"/>
              <w:jc w:val="both"/>
              <w:rPr>
                <w:rFonts w:ascii="Book Antiqua" w:eastAsiaTheme="minorEastAsia" w:hAnsi="Book Antiqua"/>
                <w:bCs/>
                <w:color w:val="000000"/>
                <w:lang w:eastAsia="zh-CN"/>
              </w:rPr>
            </w:pPr>
            <w:r w:rsidRPr="00BF0ED0">
              <w:rPr>
                <w:rFonts w:ascii="Book Antiqua" w:hAnsi="Book Antiqua"/>
                <w:bCs/>
                <w:color w:val="000000"/>
              </w:rPr>
              <w:t>0.002</w:t>
            </w:r>
            <w:r w:rsidR="00E074C9" w:rsidRPr="00BF0ED0">
              <w:rPr>
                <w:rFonts w:ascii="Book Antiqua" w:eastAsiaTheme="minorEastAsia" w:hAnsi="Book Antiqua"/>
                <w:vertAlign w:val="superscript"/>
                <w:lang w:eastAsia="zh-CN"/>
              </w:rPr>
              <w:t>1</w:t>
            </w:r>
          </w:p>
        </w:tc>
      </w:tr>
      <w:tr w:rsidR="001835B3" w:rsidRPr="00BF0ED0" w14:paraId="2C20337E" w14:textId="77777777" w:rsidTr="007F24AE">
        <w:trPr>
          <w:trHeight w:val="310"/>
        </w:trPr>
        <w:tc>
          <w:tcPr>
            <w:tcW w:w="3670" w:type="dxa"/>
            <w:gridSpan w:val="2"/>
            <w:tcBorders>
              <w:top w:val="nil"/>
              <w:left w:val="nil"/>
              <w:bottom w:val="nil"/>
              <w:right w:val="nil"/>
            </w:tcBorders>
          </w:tcPr>
          <w:p w14:paraId="5C904796" w14:textId="7B60036B" w:rsidR="001835B3" w:rsidRPr="00BF0ED0" w:rsidRDefault="00842D9B" w:rsidP="00484E7F">
            <w:pPr>
              <w:autoSpaceDE w:val="0"/>
              <w:autoSpaceDN w:val="0"/>
              <w:adjustRightInd w:val="0"/>
              <w:snapToGrid w:val="0"/>
              <w:spacing w:line="360" w:lineRule="auto"/>
              <w:jc w:val="both"/>
              <w:rPr>
                <w:rFonts w:ascii="Book Antiqua" w:eastAsiaTheme="minorEastAsia" w:hAnsi="Book Antiqua"/>
                <w:bCs/>
                <w:color w:val="000000"/>
                <w:lang w:eastAsia="zh-CN"/>
              </w:rPr>
            </w:pPr>
            <w:r w:rsidRPr="00BF0ED0">
              <w:rPr>
                <w:rFonts w:ascii="Book Antiqua" w:hAnsi="Book Antiqua"/>
                <w:bCs/>
                <w:color w:val="000000"/>
              </w:rPr>
              <w:t>Age ≥ 60 yr</w:t>
            </w:r>
          </w:p>
        </w:tc>
        <w:tc>
          <w:tcPr>
            <w:tcW w:w="1800" w:type="dxa"/>
            <w:tcBorders>
              <w:top w:val="nil"/>
              <w:left w:val="nil"/>
              <w:bottom w:val="nil"/>
              <w:right w:val="nil"/>
            </w:tcBorders>
          </w:tcPr>
          <w:p w14:paraId="2617254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60FCE75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614394F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78B7004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1F928C3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541B0874" w14:textId="7D287291"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0.001</w:t>
            </w:r>
            <w:r w:rsidR="00E074C9" w:rsidRPr="00BF0ED0">
              <w:rPr>
                <w:rFonts w:ascii="Book Antiqua" w:eastAsiaTheme="minorEastAsia" w:hAnsi="Book Antiqua"/>
                <w:vertAlign w:val="superscript"/>
                <w:lang w:eastAsia="zh-CN"/>
              </w:rPr>
              <w:t>1</w:t>
            </w:r>
          </w:p>
        </w:tc>
      </w:tr>
      <w:tr w:rsidR="001835B3" w:rsidRPr="00BF0ED0" w14:paraId="3C3C94D9" w14:textId="77777777" w:rsidTr="00B927F6">
        <w:trPr>
          <w:trHeight w:val="310"/>
        </w:trPr>
        <w:tc>
          <w:tcPr>
            <w:tcW w:w="2552" w:type="dxa"/>
            <w:tcBorders>
              <w:top w:val="nil"/>
              <w:left w:val="nil"/>
              <w:bottom w:val="nil"/>
              <w:right w:val="nil"/>
            </w:tcBorders>
          </w:tcPr>
          <w:p w14:paraId="6A642B1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Yes</w:t>
            </w:r>
          </w:p>
        </w:tc>
        <w:tc>
          <w:tcPr>
            <w:tcW w:w="1118" w:type="dxa"/>
            <w:tcBorders>
              <w:top w:val="nil"/>
              <w:left w:val="nil"/>
              <w:bottom w:val="nil"/>
              <w:right w:val="nil"/>
            </w:tcBorders>
          </w:tcPr>
          <w:p w14:paraId="1FD5BB5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59</w:t>
            </w:r>
          </w:p>
        </w:tc>
        <w:tc>
          <w:tcPr>
            <w:tcW w:w="1800" w:type="dxa"/>
            <w:tcBorders>
              <w:top w:val="nil"/>
              <w:left w:val="nil"/>
              <w:bottom w:val="nil"/>
              <w:right w:val="nil"/>
            </w:tcBorders>
          </w:tcPr>
          <w:p w14:paraId="657FE17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(64.8)</w:t>
            </w:r>
          </w:p>
        </w:tc>
        <w:tc>
          <w:tcPr>
            <w:tcW w:w="1350" w:type="dxa"/>
            <w:tcBorders>
              <w:top w:val="nil"/>
              <w:left w:val="nil"/>
              <w:bottom w:val="nil"/>
              <w:right w:val="nil"/>
            </w:tcBorders>
          </w:tcPr>
          <w:p w14:paraId="75F9D0F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15</w:t>
            </w:r>
          </w:p>
        </w:tc>
        <w:tc>
          <w:tcPr>
            <w:tcW w:w="1530" w:type="dxa"/>
            <w:tcBorders>
              <w:top w:val="nil"/>
              <w:left w:val="nil"/>
              <w:bottom w:val="nil"/>
              <w:right w:val="nil"/>
            </w:tcBorders>
          </w:tcPr>
          <w:p w14:paraId="0BD3B20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(100)</w:t>
            </w:r>
          </w:p>
        </w:tc>
        <w:tc>
          <w:tcPr>
            <w:tcW w:w="1710" w:type="dxa"/>
            <w:tcBorders>
              <w:top w:val="nil"/>
              <w:left w:val="nil"/>
              <w:bottom w:val="nil"/>
              <w:right w:val="nil"/>
            </w:tcBorders>
          </w:tcPr>
          <w:p w14:paraId="5360DBC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44</w:t>
            </w:r>
          </w:p>
        </w:tc>
        <w:tc>
          <w:tcPr>
            <w:tcW w:w="1710" w:type="dxa"/>
            <w:tcBorders>
              <w:top w:val="nil"/>
              <w:left w:val="nil"/>
              <w:bottom w:val="nil"/>
              <w:right w:val="nil"/>
            </w:tcBorders>
          </w:tcPr>
          <w:p w14:paraId="45DD48F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(57.9)</w:t>
            </w:r>
          </w:p>
        </w:tc>
        <w:tc>
          <w:tcPr>
            <w:tcW w:w="1260" w:type="dxa"/>
            <w:tcBorders>
              <w:top w:val="nil"/>
              <w:left w:val="nil"/>
              <w:bottom w:val="nil"/>
              <w:right w:val="nil"/>
            </w:tcBorders>
          </w:tcPr>
          <w:p w14:paraId="5544675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2C8F8B7D" w14:textId="77777777" w:rsidTr="00B927F6">
        <w:trPr>
          <w:trHeight w:val="310"/>
        </w:trPr>
        <w:tc>
          <w:tcPr>
            <w:tcW w:w="2552" w:type="dxa"/>
            <w:tcBorders>
              <w:top w:val="nil"/>
              <w:left w:val="nil"/>
              <w:bottom w:val="nil"/>
              <w:right w:val="nil"/>
            </w:tcBorders>
          </w:tcPr>
          <w:p w14:paraId="7B271D6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No</w:t>
            </w:r>
          </w:p>
        </w:tc>
        <w:tc>
          <w:tcPr>
            <w:tcW w:w="1118" w:type="dxa"/>
            <w:tcBorders>
              <w:top w:val="nil"/>
              <w:left w:val="nil"/>
              <w:bottom w:val="nil"/>
              <w:right w:val="nil"/>
            </w:tcBorders>
          </w:tcPr>
          <w:p w14:paraId="26A0BB3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w:t>
            </w:r>
          </w:p>
        </w:tc>
        <w:tc>
          <w:tcPr>
            <w:tcW w:w="1800" w:type="dxa"/>
            <w:tcBorders>
              <w:top w:val="nil"/>
              <w:left w:val="nil"/>
              <w:bottom w:val="nil"/>
              <w:right w:val="nil"/>
            </w:tcBorders>
          </w:tcPr>
          <w:p w14:paraId="7F3ACD9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(35.2)</w:t>
            </w:r>
          </w:p>
        </w:tc>
        <w:tc>
          <w:tcPr>
            <w:tcW w:w="1350" w:type="dxa"/>
            <w:tcBorders>
              <w:top w:val="nil"/>
              <w:left w:val="nil"/>
              <w:bottom w:val="nil"/>
              <w:right w:val="nil"/>
            </w:tcBorders>
          </w:tcPr>
          <w:p w14:paraId="0DED5AC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530" w:type="dxa"/>
            <w:tcBorders>
              <w:top w:val="nil"/>
              <w:left w:val="nil"/>
              <w:bottom w:val="nil"/>
              <w:right w:val="nil"/>
            </w:tcBorders>
          </w:tcPr>
          <w:p w14:paraId="65BFED7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710" w:type="dxa"/>
            <w:tcBorders>
              <w:top w:val="nil"/>
              <w:left w:val="nil"/>
              <w:bottom w:val="nil"/>
              <w:right w:val="nil"/>
            </w:tcBorders>
          </w:tcPr>
          <w:p w14:paraId="0F04D28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w:t>
            </w:r>
          </w:p>
        </w:tc>
        <w:tc>
          <w:tcPr>
            <w:tcW w:w="1710" w:type="dxa"/>
            <w:tcBorders>
              <w:top w:val="nil"/>
              <w:left w:val="nil"/>
              <w:bottom w:val="nil"/>
              <w:right w:val="nil"/>
            </w:tcBorders>
          </w:tcPr>
          <w:p w14:paraId="470D740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-42.1</w:t>
            </w:r>
          </w:p>
        </w:tc>
        <w:tc>
          <w:tcPr>
            <w:tcW w:w="1260" w:type="dxa"/>
            <w:tcBorders>
              <w:top w:val="nil"/>
              <w:left w:val="nil"/>
              <w:bottom w:val="nil"/>
              <w:right w:val="nil"/>
            </w:tcBorders>
          </w:tcPr>
          <w:p w14:paraId="6A28714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4454E3E4" w14:textId="77777777" w:rsidTr="00B927F6">
        <w:trPr>
          <w:trHeight w:val="310"/>
        </w:trPr>
        <w:tc>
          <w:tcPr>
            <w:tcW w:w="2552" w:type="dxa"/>
            <w:tcBorders>
              <w:top w:val="nil"/>
              <w:left w:val="nil"/>
              <w:bottom w:val="nil"/>
              <w:right w:val="nil"/>
            </w:tcBorders>
          </w:tcPr>
          <w:p w14:paraId="19E6FF32"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Sex</w:t>
            </w:r>
          </w:p>
        </w:tc>
        <w:tc>
          <w:tcPr>
            <w:tcW w:w="1118" w:type="dxa"/>
            <w:tcBorders>
              <w:top w:val="nil"/>
              <w:left w:val="nil"/>
              <w:bottom w:val="nil"/>
              <w:right w:val="nil"/>
            </w:tcBorders>
          </w:tcPr>
          <w:p w14:paraId="4DD8F14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nil"/>
              <w:right w:val="nil"/>
            </w:tcBorders>
          </w:tcPr>
          <w:p w14:paraId="16AC77D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717E97D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2095304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166943B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5F56D6D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217C9B0C" w14:textId="53C1C4E6"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 xml:space="preserve"> 0.323</w:t>
            </w:r>
            <w:r w:rsidR="00E074C9" w:rsidRPr="00BF0ED0">
              <w:rPr>
                <w:rFonts w:ascii="Book Antiqua" w:eastAsiaTheme="minorEastAsia" w:hAnsi="Book Antiqua"/>
                <w:vertAlign w:val="superscript"/>
                <w:lang w:eastAsia="zh-CN"/>
              </w:rPr>
              <w:t>2</w:t>
            </w:r>
          </w:p>
        </w:tc>
      </w:tr>
      <w:tr w:rsidR="001835B3" w:rsidRPr="00BF0ED0" w14:paraId="6C4BD4C2" w14:textId="77777777" w:rsidTr="00B927F6">
        <w:trPr>
          <w:trHeight w:val="310"/>
        </w:trPr>
        <w:tc>
          <w:tcPr>
            <w:tcW w:w="2552" w:type="dxa"/>
            <w:tcBorders>
              <w:top w:val="nil"/>
              <w:left w:val="nil"/>
              <w:bottom w:val="nil"/>
              <w:right w:val="nil"/>
            </w:tcBorders>
          </w:tcPr>
          <w:p w14:paraId="07B7751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Male</w:t>
            </w:r>
          </w:p>
        </w:tc>
        <w:tc>
          <w:tcPr>
            <w:tcW w:w="1118" w:type="dxa"/>
            <w:tcBorders>
              <w:top w:val="nil"/>
              <w:left w:val="nil"/>
              <w:bottom w:val="nil"/>
              <w:right w:val="nil"/>
            </w:tcBorders>
          </w:tcPr>
          <w:p w14:paraId="24132C2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44</w:t>
            </w:r>
          </w:p>
        </w:tc>
        <w:tc>
          <w:tcPr>
            <w:tcW w:w="1800" w:type="dxa"/>
            <w:tcBorders>
              <w:top w:val="nil"/>
              <w:left w:val="nil"/>
              <w:bottom w:val="nil"/>
              <w:right w:val="nil"/>
            </w:tcBorders>
          </w:tcPr>
          <w:p w14:paraId="0E927EC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(48.4)</w:t>
            </w:r>
          </w:p>
        </w:tc>
        <w:tc>
          <w:tcPr>
            <w:tcW w:w="1350" w:type="dxa"/>
            <w:tcBorders>
              <w:top w:val="nil"/>
              <w:left w:val="nil"/>
              <w:bottom w:val="nil"/>
              <w:right w:val="nil"/>
            </w:tcBorders>
          </w:tcPr>
          <w:p w14:paraId="2515AC1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9</w:t>
            </w:r>
          </w:p>
        </w:tc>
        <w:tc>
          <w:tcPr>
            <w:tcW w:w="1530" w:type="dxa"/>
            <w:tcBorders>
              <w:top w:val="nil"/>
              <w:left w:val="nil"/>
              <w:bottom w:val="nil"/>
              <w:right w:val="nil"/>
            </w:tcBorders>
          </w:tcPr>
          <w:p w14:paraId="4B7809D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(60)</w:t>
            </w:r>
          </w:p>
        </w:tc>
        <w:tc>
          <w:tcPr>
            <w:tcW w:w="1710" w:type="dxa"/>
            <w:tcBorders>
              <w:top w:val="nil"/>
              <w:left w:val="nil"/>
              <w:bottom w:val="nil"/>
              <w:right w:val="nil"/>
            </w:tcBorders>
          </w:tcPr>
          <w:p w14:paraId="571E068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35</w:t>
            </w:r>
          </w:p>
        </w:tc>
        <w:tc>
          <w:tcPr>
            <w:tcW w:w="1710" w:type="dxa"/>
            <w:tcBorders>
              <w:top w:val="nil"/>
              <w:left w:val="nil"/>
              <w:bottom w:val="nil"/>
              <w:right w:val="nil"/>
            </w:tcBorders>
          </w:tcPr>
          <w:p w14:paraId="35EDFE5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(46.1)</w:t>
            </w:r>
          </w:p>
        </w:tc>
        <w:tc>
          <w:tcPr>
            <w:tcW w:w="1260" w:type="dxa"/>
            <w:tcBorders>
              <w:top w:val="nil"/>
              <w:left w:val="nil"/>
              <w:bottom w:val="nil"/>
              <w:right w:val="nil"/>
            </w:tcBorders>
          </w:tcPr>
          <w:p w14:paraId="0643A63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59EC9509" w14:textId="77777777" w:rsidTr="00B927F6">
        <w:trPr>
          <w:trHeight w:val="310"/>
        </w:trPr>
        <w:tc>
          <w:tcPr>
            <w:tcW w:w="2552" w:type="dxa"/>
            <w:tcBorders>
              <w:top w:val="nil"/>
              <w:left w:val="nil"/>
              <w:bottom w:val="nil"/>
              <w:right w:val="nil"/>
            </w:tcBorders>
          </w:tcPr>
          <w:p w14:paraId="342DF55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Female</w:t>
            </w:r>
          </w:p>
        </w:tc>
        <w:tc>
          <w:tcPr>
            <w:tcW w:w="1118" w:type="dxa"/>
            <w:tcBorders>
              <w:top w:val="nil"/>
              <w:left w:val="nil"/>
              <w:bottom w:val="nil"/>
              <w:right w:val="nil"/>
            </w:tcBorders>
          </w:tcPr>
          <w:p w14:paraId="6229BC9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47</w:t>
            </w:r>
          </w:p>
        </w:tc>
        <w:tc>
          <w:tcPr>
            <w:tcW w:w="1800" w:type="dxa"/>
            <w:tcBorders>
              <w:top w:val="nil"/>
              <w:left w:val="nil"/>
              <w:bottom w:val="nil"/>
              <w:right w:val="nil"/>
            </w:tcBorders>
          </w:tcPr>
          <w:p w14:paraId="76347FE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(51.6)</w:t>
            </w:r>
          </w:p>
        </w:tc>
        <w:tc>
          <w:tcPr>
            <w:tcW w:w="1350" w:type="dxa"/>
            <w:tcBorders>
              <w:top w:val="nil"/>
              <w:left w:val="nil"/>
              <w:bottom w:val="nil"/>
              <w:right w:val="nil"/>
            </w:tcBorders>
          </w:tcPr>
          <w:p w14:paraId="571B068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530" w:type="dxa"/>
            <w:tcBorders>
              <w:top w:val="nil"/>
              <w:left w:val="nil"/>
              <w:bottom w:val="nil"/>
              <w:right w:val="nil"/>
            </w:tcBorders>
          </w:tcPr>
          <w:p w14:paraId="42D7160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(40)</w:t>
            </w:r>
          </w:p>
        </w:tc>
        <w:tc>
          <w:tcPr>
            <w:tcW w:w="1710" w:type="dxa"/>
            <w:tcBorders>
              <w:top w:val="nil"/>
              <w:left w:val="nil"/>
              <w:bottom w:val="nil"/>
              <w:right w:val="nil"/>
            </w:tcBorders>
          </w:tcPr>
          <w:p w14:paraId="5074FD5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41</w:t>
            </w:r>
          </w:p>
        </w:tc>
        <w:tc>
          <w:tcPr>
            <w:tcW w:w="1710" w:type="dxa"/>
            <w:tcBorders>
              <w:top w:val="nil"/>
              <w:left w:val="nil"/>
              <w:bottom w:val="nil"/>
              <w:right w:val="nil"/>
            </w:tcBorders>
          </w:tcPr>
          <w:p w14:paraId="33278A3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(53.9)</w:t>
            </w:r>
          </w:p>
        </w:tc>
        <w:tc>
          <w:tcPr>
            <w:tcW w:w="1260" w:type="dxa"/>
            <w:tcBorders>
              <w:top w:val="nil"/>
              <w:left w:val="nil"/>
              <w:bottom w:val="nil"/>
              <w:right w:val="nil"/>
            </w:tcBorders>
          </w:tcPr>
          <w:p w14:paraId="0EEDF56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52976F40" w14:textId="77777777" w:rsidTr="00B927F6">
        <w:trPr>
          <w:trHeight w:val="310"/>
        </w:trPr>
        <w:tc>
          <w:tcPr>
            <w:tcW w:w="2552" w:type="dxa"/>
            <w:tcBorders>
              <w:top w:val="nil"/>
              <w:left w:val="nil"/>
              <w:bottom w:val="nil"/>
              <w:right w:val="nil"/>
            </w:tcBorders>
          </w:tcPr>
          <w:p w14:paraId="641E5694" w14:textId="464043E0" w:rsidR="001835B3" w:rsidRPr="00BF0ED0" w:rsidRDefault="00B927F6"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color w:val="000000" w:themeColor="text1"/>
              </w:rPr>
              <w:t>Ethnicity</w:t>
            </w:r>
          </w:p>
        </w:tc>
        <w:tc>
          <w:tcPr>
            <w:tcW w:w="1118" w:type="dxa"/>
            <w:tcBorders>
              <w:top w:val="nil"/>
              <w:left w:val="nil"/>
              <w:bottom w:val="nil"/>
              <w:right w:val="nil"/>
            </w:tcBorders>
          </w:tcPr>
          <w:p w14:paraId="7AEC639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nil"/>
              <w:right w:val="nil"/>
            </w:tcBorders>
          </w:tcPr>
          <w:p w14:paraId="59B4E94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0C6516F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1D2FC07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4BF7D69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7DF1647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30A8B0E8" w14:textId="0D462F95"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0.719</w:t>
            </w:r>
            <w:r w:rsidR="00E074C9" w:rsidRPr="00BF0ED0">
              <w:rPr>
                <w:rFonts w:ascii="Book Antiqua" w:eastAsiaTheme="minorEastAsia" w:hAnsi="Book Antiqua"/>
                <w:vertAlign w:val="superscript"/>
                <w:lang w:eastAsia="zh-CN"/>
              </w:rPr>
              <w:t>1</w:t>
            </w:r>
          </w:p>
        </w:tc>
      </w:tr>
      <w:tr w:rsidR="001835B3" w:rsidRPr="00BF0ED0" w14:paraId="62590DF1" w14:textId="77777777" w:rsidTr="00B927F6">
        <w:trPr>
          <w:trHeight w:val="310"/>
        </w:trPr>
        <w:tc>
          <w:tcPr>
            <w:tcW w:w="2552" w:type="dxa"/>
            <w:tcBorders>
              <w:top w:val="nil"/>
              <w:left w:val="nil"/>
              <w:bottom w:val="nil"/>
              <w:right w:val="nil"/>
            </w:tcBorders>
          </w:tcPr>
          <w:p w14:paraId="1693C238" w14:textId="70B7C59E" w:rsidR="001835B3" w:rsidRPr="00BF0ED0" w:rsidRDefault="00B927F6"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Mixed</w:t>
            </w:r>
          </w:p>
        </w:tc>
        <w:tc>
          <w:tcPr>
            <w:tcW w:w="1118" w:type="dxa"/>
            <w:tcBorders>
              <w:top w:val="nil"/>
              <w:left w:val="nil"/>
              <w:bottom w:val="nil"/>
              <w:right w:val="nil"/>
            </w:tcBorders>
          </w:tcPr>
          <w:p w14:paraId="3D8E9B4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50</w:t>
            </w:r>
          </w:p>
        </w:tc>
        <w:tc>
          <w:tcPr>
            <w:tcW w:w="1800" w:type="dxa"/>
            <w:tcBorders>
              <w:top w:val="nil"/>
              <w:left w:val="nil"/>
              <w:bottom w:val="nil"/>
              <w:right w:val="nil"/>
            </w:tcBorders>
          </w:tcPr>
          <w:p w14:paraId="22E726A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(54.9)</w:t>
            </w:r>
          </w:p>
        </w:tc>
        <w:tc>
          <w:tcPr>
            <w:tcW w:w="1350" w:type="dxa"/>
            <w:tcBorders>
              <w:top w:val="nil"/>
              <w:left w:val="nil"/>
              <w:bottom w:val="nil"/>
              <w:right w:val="nil"/>
            </w:tcBorders>
          </w:tcPr>
          <w:p w14:paraId="18C332F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530" w:type="dxa"/>
            <w:tcBorders>
              <w:top w:val="nil"/>
              <w:left w:val="nil"/>
              <w:bottom w:val="nil"/>
              <w:right w:val="nil"/>
            </w:tcBorders>
          </w:tcPr>
          <w:p w14:paraId="13879E4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(46.7)</w:t>
            </w:r>
          </w:p>
        </w:tc>
        <w:tc>
          <w:tcPr>
            <w:tcW w:w="1710" w:type="dxa"/>
            <w:tcBorders>
              <w:top w:val="nil"/>
              <w:left w:val="nil"/>
              <w:bottom w:val="nil"/>
              <w:right w:val="nil"/>
            </w:tcBorders>
          </w:tcPr>
          <w:p w14:paraId="54CED9A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43</w:t>
            </w:r>
          </w:p>
        </w:tc>
        <w:tc>
          <w:tcPr>
            <w:tcW w:w="1710" w:type="dxa"/>
            <w:tcBorders>
              <w:top w:val="nil"/>
              <w:left w:val="nil"/>
              <w:bottom w:val="nil"/>
              <w:right w:val="nil"/>
            </w:tcBorders>
          </w:tcPr>
          <w:p w14:paraId="1E801AA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(56.6)</w:t>
            </w:r>
          </w:p>
        </w:tc>
        <w:tc>
          <w:tcPr>
            <w:tcW w:w="1260" w:type="dxa"/>
            <w:tcBorders>
              <w:top w:val="nil"/>
              <w:left w:val="nil"/>
              <w:bottom w:val="nil"/>
              <w:right w:val="nil"/>
            </w:tcBorders>
          </w:tcPr>
          <w:p w14:paraId="338A793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68A45C9F" w14:textId="77777777" w:rsidTr="00B927F6">
        <w:trPr>
          <w:trHeight w:val="310"/>
        </w:trPr>
        <w:tc>
          <w:tcPr>
            <w:tcW w:w="2552" w:type="dxa"/>
            <w:tcBorders>
              <w:top w:val="nil"/>
              <w:left w:val="nil"/>
              <w:bottom w:val="nil"/>
              <w:right w:val="nil"/>
            </w:tcBorders>
          </w:tcPr>
          <w:p w14:paraId="0D78C406" w14:textId="74EF11F7" w:rsidR="001835B3" w:rsidRPr="00BF0ED0" w:rsidRDefault="00B927F6"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Caucasian</w:t>
            </w:r>
          </w:p>
        </w:tc>
        <w:tc>
          <w:tcPr>
            <w:tcW w:w="1118" w:type="dxa"/>
            <w:tcBorders>
              <w:top w:val="nil"/>
              <w:left w:val="nil"/>
              <w:bottom w:val="nil"/>
              <w:right w:val="nil"/>
            </w:tcBorders>
          </w:tcPr>
          <w:p w14:paraId="6D04DC1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30</w:t>
            </w:r>
          </w:p>
        </w:tc>
        <w:tc>
          <w:tcPr>
            <w:tcW w:w="1800" w:type="dxa"/>
            <w:tcBorders>
              <w:top w:val="nil"/>
              <w:left w:val="nil"/>
              <w:bottom w:val="nil"/>
              <w:right w:val="nil"/>
            </w:tcBorders>
          </w:tcPr>
          <w:p w14:paraId="6E7D3EB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(33.0)</w:t>
            </w:r>
          </w:p>
        </w:tc>
        <w:tc>
          <w:tcPr>
            <w:tcW w:w="1350" w:type="dxa"/>
            <w:tcBorders>
              <w:top w:val="nil"/>
              <w:left w:val="nil"/>
              <w:bottom w:val="nil"/>
              <w:right w:val="nil"/>
            </w:tcBorders>
          </w:tcPr>
          <w:p w14:paraId="55DCE2C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530" w:type="dxa"/>
            <w:tcBorders>
              <w:top w:val="nil"/>
              <w:left w:val="nil"/>
              <w:bottom w:val="nil"/>
              <w:right w:val="nil"/>
            </w:tcBorders>
          </w:tcPr>
          <w:p w14:paraId="15F3D6F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(40.0)</w:t>
            </w:r>
          </w:p>
        </w:tc>
        <w:tc>
          <w:tcPr>
            <w:tcW w:w="1710" w:type="dxa"/>
            <w:tcBorders>
              <w:top w:val="nil"/>
              <w:left w:val="nil"/>
              <w:bottom w:val="nil"/>
              <w:right w:val="nil"/>
            </w:tcBorders>
          </w:tcPr>
          <w:p w14:paraId="468A74D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w:t>
            </w:r>
          </w:p>
        </w:tc>
        <w:tc>
          <w:tcPr>
            <w:tcW w:w="1710" w:type="dxa"/>
            <w:tcBorders>
              <w:top w:val="nil"/>
              <w:left w:val="nil"/>
              <w:bottom w:val="nil"/>
              <w:right w:val="nil"/>
            </w:tcBorders>
          </w:tcPr>
          <w:p w14:paraId="48B0E49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(31.6)</w:t>
            </w:r>
          </w:p>
        </w:tc>
        <w:tc>
          <w:tcPr>
            <w:tcW w:w="1260" w:type="dxa"/>
            <w:tcBorders>
              <w:top w:val="nil"/>
              <w:left w:val="nil"/>
              <w:bottom w:val="nil"/>
              <w:right w:val="nil"/>
            </w:tcBorders>
          </w:tcPr>
          <w:p w14:paraId="453DA30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15A79F42" w14:textId="77777777" w:rsidTr="00B927F6">
        <w:trPr>
          <w:trHeight w:val="310"/>
        </w:trPr>
        <w:tc>
          <w:tcPr>
            <w:tcW w:w="2552" w:type="dxa"/>
            <w:tcBorders>
              <w:top w:val="nil"/>
              <w:left w:val="nil"/>
              <w:bottom w:val="nil"/>
              <w:right w:val="nil"/>
            </w:tcBorders>
          </w:tcPr>
          <w:p w14:paraId="04821D20" w14:textId="723480C2" w:rsidR="001835B3" w:rsidRPr="00BF0ED0" w:rsidRDefault="00B927F6"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African Americans</w:t>
            </w:r>
          </w:p>
        </w:tc>
        <w:tc>
          <w:tcPr>
            <w:tcW w:w="1118" w:type="dxa"/>
            <w:tcBorders>
              <w:top w:val="nil"/>
              <w:left w:val="nil"/>
              <w:bottom w:val="nil"/>
              <w:right w:val="nil"/>
            </w:tcBorders>
          </w:tcPr>
          <w:p w14:paraId="0EA4148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11</w:t>
            </w:r>
          </w:p>
        </w:tc>
        <w:tc>
          <w:tcPr>
            <w:tcW w:w="1800" w:type="dxa"/>
            <w:tcBorders>
              <w:top w:val="nil"/>
              <w:left w:val="nil"/>
              <w:bottom w:val="nil"/>
              <w:right w:val="nil"/>
            </w:tcBorders>
          </w:tcPr>
          <w:p w14:paraId="47B4C9A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(12.1)</w:t>
            </w:r>
          </w:p>
        </w:tc>
        <w:tc>
          <w:tcPr>
            <w:tcW w:w="1350" w:type="dxa"/>
            <w:tcBorders>
              <w:top w:val="nil"/>
              <w:left w:val="nil"/>
              <w:bottom w:val="nil"/>
              <w:right w:val="nil"/>
            </w:tcBorders>
          </w:tcPr>
          <w:p w14:paraId="7DA8C52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w:t>
            </w:r>
          </w:p>
        </w:tc>
        <w:tc>
          <w:tcPr>
            <w:tcW w:w="1530" w:type="dxa"/>
            <w:tcBorders>
              <w:top w:val="nil"/>
              <w:left w:val="nil"/>
              <w:bottom w:val="nil"/>
              <w:right w:val="nil"/>
            </w:tcBorders>
          </w:tcPr>
          <w:p w14:paraId="4E9FB5C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(13.3)</w:t>
            </w:r>
          </w:p>
        </w:tc>
        <w:tc>
          <w:tcPr>
            <w:tcW w:w="1710" w:type="dxa"/>
            <w:tcBorders>
              <w:top w:val="nil"/>
              <w:left w:val="nil"/>
              <w:bottom w:val="nil"/>
              <w:right w:val="nil"/>
            </w:tcBorders>
          </w:tcPr>
          <w:p w14:paraId="600D095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9</w:t>
            </w:r>
          </w:p>
        </w:tc>
        <w:tc>
          <w:tcPr>
            <w:tcW w:w="1710" w:type="dxa"/>
            <w:tcBorders>
              <w:top w:val="nil"/>
              <w:left w:val="nil"/>
              <w:bottom w:val="nil"/>
              <w:right w:val="nil"/>
            </w:tcBorders>
          </w:tcPr>
          <w:p w14:paraId="6F2BAF4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(11.8)</w:t>
            </w:r>
          </w:p>
        </w:tc>
        <w:tc>
          <w:tcPr>
            <w:tcW w:w="1260" w:type="dxa"/>
            <w:tcBorders>
              <w:top w:val="nil"/>
              <w:left w:val="nil"/>
              <w:bottom w:val="nil"/>
              <w:right w:val="nil"/>
            </w:tcBorders>
          </w:tcPr>
          <w:p w14:paraId="79F0603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5945E817" w14:textId="77777777" w:rsidTr="00B927F6">
        <w:trPr>
          <w:trHeight w:val="310"/>
        </w:trPr>
        <w:tc>
          <w:tcPr>
            <w:tcW w:w="2552" w:type="dxa"/>
            <w:tcBorders>
              <w:top w:val="nil"/>
              <w:left w:val="nil"/>
              <w:bottom w:val="nil"/>
              <w:right w:val="nil"/>
            </w:tcBorders>
          </w:tcPr>
          <w:p w14:paraId="5A955DE6"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BMI</w:t>
            </w:r>
          </w:p>
        </w:tc>
        <w:tc>
          <w:tcPr>
            <w:tcW w:w="2918" w:type="dxa"/>
            <w:gridSpan w:val="2"/>
            <w:tcBorders>
              <w:top w:val="nil"/>
              <w:left w:val="nil"/>
              <w:bottom w:val="nil"/>
              <w:right w:val="nil"/>
            </w:tcBorders>
          </w:tcPr>
          <w:p w14:paraId="2F401FD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27.1 ± 4.4</w:t>
            </w:r>
          </w:p>
        </w:tc>
        <w:tc>
          <w:tcPr>
            <w:tcW w:w="2880" w:type="dxa"/>
            <w:gridSpan w:val="2"/>
            <w:tcBorders>
              <w:top w:val="nil"/>
              <w:left w:val="nil"/>
              <w:bottom w:val="nil"/>
              <w:right w:val="nil"/>
            </w:tcBorders>
          </w:tcPr>
          <w:p w14:paraId="4A133CE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27.4 ± 4.7</w:t>
            </w:r>
          </w:p>
        </w:tc>
        <w:tc>
          <w:tcPr>
            <w:tcW w:w="3420" w:type="dxa"/>
            <w:gridSpan w:val="2"/>
            <w:tcBorders>
              <w:top w:val="nil"/>
              <w:left w:val="nil"/>
              <w:bottom w:val="nil"/>
              <w:right w:val="nil"/>
            </w:tcBorders>
          </w:tcPr>
          <w:p w14:paraId="5F15093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27.0 ± 4.3</w:t>
            </w:r>
          </w:p>
        </w:tc>
        <w:tc>
          <w:tcPr>
            <w:tcW w:w="1260" w:type="dxa"/>
            <w:tcBorders>
              <w:top w:val="nil"/>
              <w:left w:val="nil"/>
              <w:bottom w:val="nil"/>
              <w:right w:val="nil"/>
            </w:tcBorders>
          </w:tcPr>
          <w:p w14:paraId="450E8660" w14:textId="7A6FFE8D"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0.750</w:t>
            </w:r>
            <w:r w:rsidR="00E074C9" w:rsidRPr="00BF0ED0">
              <w:rPr>
                <w:rFonts w:ascii="Book Antiqua" w:eastAsiaTheme="minorEastAsia" w:hAnsi="Book Antiqua"/>
                <w:vertAlign w:val="superscript"/>
                <w:lang w:eastAsia="zh-CN"/>
              </w:rPr>
              <w:t>1</w:t>
            </w:r>
          </w:p>
        </w:tc>
      </w:tr>
      <w:tr w:rsidR="001835B3" w:rsidRPr="00BF0ED0" w14:paraId="7EFF1E54" w14:textId="77777777" w:rsidTr="00B927F6">
        <w:trPr>
          <w:trHeight w:val="413"/>
        </w:trPr>
        <w:tc>
          <w:tcPr>
            <w:tcW w:w="2552" w:type="dxa"/>
            <w:tcBorders>
              <w:top w:val="nil"/>
              <w:left w:val="nil"/>
              <w:bottom w:val="nil"/>
              <w:right w:val="nil"/>
            </w:tcBorders>
          </w:tcPr>
          <w:p w14:paraId="69E5A4AD"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lastRenderedPageBreak/>
              <w:t xml:space="preserve">GFR </w:t>
            </w:r>
          </w:p>
        </w:tc>
        <w:tc>
          <w:tcPr>
            <w:tcW w:w="1118" w:type="dxa"/>
            <w:tcBorders>
              <w:top w:val="nil"/>
              <w:left w:val="nil"/>
              <w:bottom w:val="nil"/>
              <w:right w:val="nil"/>
            </w:tcBorders>
          </w:tcPr>
          <w:p w14:paraId="29EB776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21.6 ± 10.3</w:t>
            </w:r>
          </w:p>
        </w:tc>
        <w:tc>
          <w:tcPr>
            <w:tcW w:w="1800" w:type="dxa"/>
            <w:tcBorders>
              <w:top w:val="nil"/>
              <w:left w:val="nil"/>
              <w:bottom w:val="nil"/>
              <w:right w:val="nil"/>
            </w:tcBorders>
          </w:tcPr>
          <w:p w14:paraId="494FD21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163B1D3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24.6 ± 10.6</w:t>
            </w:r>
          </w:p>
        </w:tc>
        <w:tc>
          <w:tcPr>
            <w:tcW w:w="1530" w:type="dxa"/>
            <w:tcBorders>
              <w:top w:val="nil"/>
              <w:left w:val="nil"/>
              <w:bottom w:val="nil"/>
              <w:right w:val="nil"/>
            </w:tcBorders>
          </w:tcPr>
          <w:p w14:paraId="74DB7EB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3420" w:type="dxa"/>
            <w:gridSpan w:val="2"/>
            <w:tcBorders>
              <w:top w:val="nil"/>
              <w:left w:val="nil"/>
              <w:bottom w:val="nil"/>
              <w:right w:val="nil"/>
            </w:tcBorders>
          </w:tcPr>
          <w:p w14:paraId="23985EB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21.0 ± 10.2</w:t>
            </w:r>
          </w:p>
        </w:tc>
        <w:tc>
          <w:tcPr>
            <w:tcW w:w="1260" w:type="dxa"/>
            <w:tcBorders>
              <w:top w:val="nil"/>
              <w:left w:val="nil"/>
              <w:bottom w:val="nil"/>
              <w:right w:val="nil"/>
            </w:tcBorders>
          </w:tcPr>
          <w:p w14:paraId="27764343" w14:textId="5933F9E6"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0.231</w:t>
            </w:r>
            <w:r w:rsidR="00E074C9" w:rsidRPr="00BF0ED0">
              <w:rPr>
                <w:rFonts w:ascii="Book Antiqua" w:eastAsiaTheme="minorEastAsia" w:hAnsi="Book Antiqua"/>
                <w:vertAlign w:val="superscript"/>
                <w:lang w:eastAsia="zh-CN"/>
              </w:rPr>
              <w:t>1</w:t>
            </w:r>
          </w:p>
        </w:tc>
      </w:tr>
      <w:tr w:rsidR="001835B3" w:rsidRPr="00BF0ED0" w14:paraId="44DCB407" w14:textId="77777777" w:rsidTr="00B927F6">
        <w:trPr>
          <w:trHeight w:val="310"/>
        </w:trPr>
        <w:tc>
          <w:tcPr>
            <w:tcW w:w="2552" w:type="dxa"/>
            <w:tcBorders>
              <w:top w:val="nil"/>
              <w:left w:val="nil"/>
              <w:bottom w:val="nil"/>
              <w:right w:val="nil"/>
            </w:tcBorders>
          </w:tcPr>
          <w:p w14:paraId="1C3B772D"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CKD stage</w:t>
            </w:r>
          </w:p>
        </w:tc>
        <w:tc>
          <w:tcPr>
            <w:tcW w:w="1118" w:type="dxa"/>
            <w:tcBorders>
              <w:top w:val="nil"/>
              <w:left w:val="nil"/>
              <w:bottom w:val="nil"/>
              <w:right w:val="nil"/>
            </w:tcBorders>
          </w:tcPr>
          <w:p w14:paraId="3057BA2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nil"/>
              <w:right w:val="nil"/>
            </w:tcBorders>
          </w:tcPr>
          <w:p w14:paraId="308D954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42A5A61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67E137D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46270BA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62F66DB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22DAF459" w14:textId="2B555570"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0.580</w:t>
            </w:r>
            <w:r w:rsidR="00E074C9" w:rsidRPr="00BF0ED0">
              <w:rPr>
                <w:rFonts w:ascii="Book Antiqua" w:eastAsiaTheme="minorEastAsia" w:hAnsi="Book Antiqua"/>
                <w:vertAlign w:val="superscript"/>
                <w:lang w:eastAsia="zh-CN"/>
              </w:rPr>
              <w:t>2</w:t>
            </w:r>
          </w:p>
        </w:tc>
      </w:tr>
      <w:tr w:rsidR="001835B3" w:rsidRPr="00BF0ED0" w14:paraId="5F7A665B" w14:textId="77777777" w:rsidTr="00B927F6">
        <w:trPr>
          <w:trHeight w:val="310"/>
        </w:trPr>
        <w:tc>
          <w:tcPr>
            <w:tcW w:w="2552" w:type="dxa"/>
            <w:tcBorders>
              <w:top w:val="nil"/>
              <w:left w:val="nil"/>
              <w:bottom w:val="nil"/>
              <w:right w:val="nil"/>
            </w:tcBorders>
          </w:tcPr>
          <w:p w14:paraId="61F3452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IIIa</w:t>
            </w:r>
          </w:p>
        </w:tc>
        <w:tc>
          <w:tcPr>
            <w:tcW w:w="1118" w:type="dxa"/>
            <w:tcBorders>
              <w:top w:val="nil"/>
              <w:left w:val="nil"/>
              <w:bottom w:val="nil"/>
              <w:right w:val="nil"/>
            </w:tcBorders>
          </w:tcPr>
          <w:p w14:paraId="4CB02C5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w:t>
            </w:r>
          </w:p>
        </w:tc>
        <w:tc>
          <w:tcPr>
            <w:tcW w:w="1800" w:type="dxa"/>
            <w:tcBorders>
              <w:top w:val="nil"/>
              <w:left w:val="nil"/>
              <w:bottom w:val="nil"/>
              <w:right w:val="nil"/>
            </w:tcBorders>
          </w:tcPr>
          <w:p w14:paraId="1DA1597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(2.2)</w:t>
            </w:r>
          </w:p>
        </w:tc>
        <w:tc>
          <w:tcPr>
            <w:tcW w:w="1350" w:type="dxa"/>
            <w:tcBorders>
              <w:top w:val="nil"/>
              <w:left w:val="nil"/>
              <w:bottom w:val="nil"/>
              <w:right w:val="nil"/>
            </w:tcBorders>
          </w:tcPr>
          <w:p w14:paraId="51F2515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530" w:type="dxa"/>
            <w:tcBorders>
              <w:top w:val="nil"/>
              <w:left w:val="nil"/>
              <w:bottom w:val="nil"/>
              <w:right w:val="nil"/>
            </w:tcBorders>
          </w:tcPr>
          <w:p w14:paraId="582692E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710" w:type="dxa"/>
            <w:tcBorders>
              <w:top w:val="nil"/>
              <w:left w:val="nil"/>
              <w:bottom w:val="nil"/>
              <w:right w:val="nil"/>
            </w:tcBorders>
          </w:tcPr>
          <w:p w14:paraId="5ADD7E4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w:t>
            </w:r>
          </w:p>
        </w:tc>
        <w:tc>
          <w:tcPr>
            <w:tcW w:w="1710" w:type="dxa"/>
            <w:tcBorders>
              <w:top w:val="nil"/>
              <w:left w:val="nil"/>
              <w:bottom w:val="nil"/>
              <w:right w:val="nil"/>
            </w:tcBorders>
          </w:tcPr>
          <w:p w14:paraId="7E42610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w:t>
            </w:r>
          </w:p>
        </w:tc>
        <w:tc>
          <w:tcPr>
            <w:tcW w:w="1260" w:type="dxa"/>
            <w:tcBorders>
              <w:top w:val="nil"/>
              <w:left w:val="nil"/>
              <w:bottom w:val="nil"/>
              <w:right w:val="nil"/>
            </w:tcBorders>
          </w:tcPr>
          <w:p w14:paraId="53903CD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0E905D3E" w14:textId="77777777" w:rsidTr="00B927F6">
        <w:trPr>
          <w:trHeight w:val="310"/>
        </w:trPr>
        <w:tc>
          <w:tcPr>
            <w:tcW w:w="2552" w:type="dxa"/>
            <w:tcBorders>
              <w:top w:val="nil"/>
              <w:left w:val="nil"/>
              <w:bottom w:val="nil"/>
              <w:right w:val="nil"/>
            </w:tcBorders>
          </w:tcPr>
          <w:p w14:paraId="75B5ACF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IIIb</w:t>
            </w:r>
          </w:p>
        </w:tc>
        <w:tc>
          <w:tcPr>
            <w:tcW w:w="1118" w:type="dxa"/>
            <w:tcBorders>
              <w:top w:val="nil"/>
              <w:left w:val="nil"/>
              <w:bottom w:val="nil"/>
              <w:right w:val="nil"/>
            </w:tcBorders>
          </w:tcPr>
          <w:p w14:paraId="55BA506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22</w:t>
            </w:r>
          </w:p>
        </w:tc>
        <w:tc>
          <w:tcPr>
            <w:tcW w:w="1800" w:type="dxa"/>
            <w:tcBorders>
              <w:top w:val="nil"/>
              <w:left w:val="nil"/>
              <w:bottom w:val="nil"/>
              <w:right w:val="nil"/>
            </w:tcBorders>
          </w:tcPr>
          <w:p w14:paraId="67AA9DC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(24.4)</w:t>
            </w:r>
          </w:p>
        </w:tc>
        <w:tc>
          <w:tcPr>
            <w:tcW w:w="1350" w:type="dxa"/>
            <w:tcBorders>
              <w:top w:val="nil"/>
              <w:left w:val="nil"/>
              <w:bottom w:val="nil"/>
              <w:right w:val="nil"/>
            </w:tcBorders>
          </w:tcPr>
          <w:p w14:paraId="17740E3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530" w:type="dxa"/>
            <w:tcBorders>
              <w:top w:val="nil"/>
              <w:left w:val="nil"/>
              <w:bottom w:val="nil"/>
              <w:right w:val="nil"/>
            </w:tcBorders>
          </w:tcPr>
          <w:p w14:paraId="5A52714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(40.0)</w:t>
            </w:r>
          </w:p>
        </w:tc>
        <w:tc>
          <w:tcPr>
            <w:tcW w:w="1710" w:type="dxa"/>
            <w:tcBorders>
              <w:top w:val="nil"/>
              <w:left w:val="nil"/>
              <w:bottom w:val="nil"/>
              <w:right w:val="nil"/>
            </w:tcBorders>
          </w:tcPr>
          <w:p w14:paraId="27CFAE9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16</w:t>
            </w:r>
          </w:p>
        </w:tc>
        <w:tc>
          <w:tcPr>
            <w:tcW w:w="1710" w:type="dxa"/>
            <w:tcBorders>
              <w:top w:val="nil"/>
              <w:left w:val="nil"/>
              <w:bottom w:val="nil"/>
              <w:right w:val="nil"/>
            </w:tcBorders>
          </w:tcPr>
          <w:p w14:paraId="6568D65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(21.3)</w:t>
            </w:r>
          </w:p>
        </w:tc>
        <w:tc>
          <w:tcPr>
            <w:tcW w:w="1260" w:type="dxa"/>
            <w:tcBorders>
              <w:top w:val="nil"/>
              <w:left w:val="nil"/>
              <w:bottom w:val="nil"/>
              <w:right w:val="nil"/>
            </w:tcBorders>
          </w:tcPr>
          <w:p w14:paraId="01F4273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1E5693D3" w14:textId="77777777" w:rsidTr="00B927F6">
        <w:trPr>
          <w:trHeight w:val="310"/>
        </w:trPr>
        <w:tc>
          <w:tcPr>
            <w:tcW w:w="2552" w:type="dxa"/>
            <w:tcBorders>
              <w:top w:val="nil"/>
              <w:left w:val="nil"/>
              <w:bottom w:val="nil"/>
              <w:right w:val="nil"/>
            </w:tcBorders>
          </w:tcPr>
          <w:p w14:paraId="5355D03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IV</w:t>
            </w:r>
          </w:p>
        </w:tc>
        <w:tc>
          <w:tcPr>
            <w:tcW w:w="1118" w:type="dxa"/>
            <w:tcBorders>
              <w:top w:val="nil"/>
              <w:left w:val="nil"/>
              <w:bottom w:val="nil"/>
              <w:right w:val="nil"/>
            </w:tcBorders>
          </w:tcPr>
          <w:p w14:paraId="1E21C3C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38</w:t>
            </w:r>
          </w:p>
        </w:tc>
        <w:tc>
          <w:tcPr>
            <w:tcW w:w="1800" w:type="dxa"/>
            <w:tcBorders>
              <w:top w:val="nil"/>
              <w:left w:val="nil"/>
              <w:bottom w:val="nil"/>
              <w:right w:val="nil"/>
            </w:tcBorders>
          </w:tcPr>
          <w:p w14:paraId="106024B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(42.2)</w:t>
            </w:r>
          </w:p>
        </w:tc>
        <w:tc>
          <w:tcPr>
            <w:tcW w:w="1350" w:type="dxa"/>
            <w:tcBorders>
              <w:top w:val="nil"/>
              <w:left w:val="nil"/>
              <w:bottom w:val="nil"/>
              <w:right w:val="nil"/>
            </w:tcBorders>
          </w:tcPr>
          <w:p w14:paraId="536DA3F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w:t>
            </w:r>
          </w:p>
        </w:tc>
        <w:tc>
          <w:tcPr>
            <w:tcW w:w="1530" w:type="dxa"/>
            <w:tcBorders>
              <w:top w:val="nil"/>
              <w:left w:val="nil"/>
              <w:bottom w:val="nil"/>
              <w:right w:val="nil"/>
            </w:tcBorders>
          </w:tcPr>
          <w:p w14:paraId="30386E5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(33.3)</w:t>
            </w:r>
          </w:p>
        </w:tc>
        <w:tc>
          <w:tcPr>
            <w:tcW w:w="1710" w:type="dxa"/>
            <w:tcBorders>
              <w:top w:val="nil"/>
              <w:left w:val="nil"/>
              <w:bottom w:val="nil"/>
              <w:right w:val="nil"/>
            </w:tcBorders>
          </w:tcPr>
          <w:p w14:paraId="7FED9BC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33</w:t>
            </w:r>
          </w:p>
        </w:tc>
        <w:tc>
          <w:tcPr>
            <w:tcW w:w="1710" w:type="dxa"/>
            <w:tcBorders>
              <w:top w:val="nil"/>
              <w:left w:val="nil"/>
              <w:bottom w:val="nil"/>
              <w:right w:val="nil"/>
            </w:tcBorders>
          </w:tcPr>
          <w:p w14:paraId="597E068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(44.0)</w:t>
            </w:r>
          </w:p>
        </w:tc>
        <w:tc>
          <w:tcPr>
            <w:tcW w:w="1260" w:type="dxa"/>
            <w:tcBorders>
              <w:top w:val="nil"/>
              <w:left w:val="nil"/>
              <w:bottom w:val="nil"/>
              <w:right w:val="nil"/>
            </w:tcBorders>
          </w:tcPr>
          <w:p w14:paraId="52CD057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256D6967" w14:textId="77777777" w:rsidTr="00B927F6">
        <w:trPr>
          <w:trHeight w:val="310"/>
        </w:trPr>
        <w:tc>
          <w:tcPr>
            <w:tcW w:w="2552" w:type="dxa"/>
            <w:tcBorders>
              <w:top w:val="nil"/>
              <w:left w:val="nil"/>
              <w:bottom w:val="nil"/>
              <w:right w:val="nil"/>
            </w:tcBorders>
          </w:tcPr>
          <w:p w14:paraId="7A71BBF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V</w:t>
            </w:r>
          </w:p>
        </w:tc>
        <w:tc>
          <w:tcPr>
            <w:tcW w:w="1118" w:type="dxa"/>
            <w:tcBorders>
              <w:top w:val="nil"/>
              <w:left w:val="nil"/>
              <w:bottom w:val="nil"/>
              <w:right w:val="nil"/>
            </w:tcBorders>
          </w:tcPr>
          <w:p w14:paraId="784533B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28</w:t>
            </w:r>
          </w:p>
        </w:tc>
        <w:tc>
          <w:tcPr>
            <w:tcW w:w="1800" w:type="dxa"/>
            <w:tcBorders>
              <w:top w:val="nil"/>
              <w:left w:val="nil"/>
              <w:bottom w:val="nil"/>
              <w:right w:val="nil"/>
            </w:tcBorders>
          </w:tcPr>
          <w:p w14:paraId="11DEFCA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(31.1)</w:t>
            </w:r>
          </w:p>
        </w:tc>
        <w:tc>
          <w:tcPr>
            <w:tcW w:w="1350" w:type="dxa"/>
            <w:tcBorders>
              <w:top w:val="nil"/>
              <w:left w:val="nil"/>
              <w:bottom w:val="nil"/>
              <w:right w:val="nil"/>
            </w:tcBorders>
          </w:tcPr>
          <w:p w14:paraId="328E890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w:t>
            </w:r>
          </w:p>
        </w:tc>
        <w:tc>
          <w:tcPr>
            <w:tcW w:w="1530" w:type="dxa"/>
            <w:tcBorders>
              <w:top w:val="nil"/>
              <w:left w:val="nil"/>
              <w:bottom w:val="nil"/>
              <w:right w:val="nil"/>
            </w:tcBorders>
          </w:tcPr>
          <w:p w14:paraId="212B918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(26.7)</w:t>
            </w:r>
          </w:p>
        </w:tc>
        <w:tc>
          <w:tcPr>
            <w:tcW w:w="1710" w:type="dxa"/>
            <w:tcBorders>
              <w:top w:val="nil"/>
              <w:left w:val="nil"/>
              <w:bottom w:val="nil"/>
              <w:right w:val="nil"/>
            </w:tcBorders>
          </w:tcPr>
          <w:p w14:paraId="1F7AECE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w:t>
            </w:r>
          </w:p>
        </w:tc>
        <w:tc>
          <w:tcPr>
            <w:tcW w:w="1710" w:type="dxa"/>
            <w:tcBorders>
              <w:top w:val="nil"/>
              <w:left w:val="nil"/>
              <w:bottom w:val="nil"/>
              <w:right w:val="nil"/>
            </w:tcBorders>
          </w:tcPr>
          <w:p w14:paraId="49DEC28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(32.0)</w:t>
            </w:r>
          </w:p>
        </w:tc>
        <w:tc>
          <w:tcPr>
            <w:tcW w:w="1260" w:type="dxa"/>
            <w:tcBorders>
              <w:top w:val="nil"/>
              <w:left w:val="nil"/>
              <w:bottom w:val="nil"/>
              <w:right w:val="nil"/>
            </w:tcBorders>
          </w:tcPr>
          <w:p w14:paraId="01DA0E9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60FD6F57" w14:textId="77777777" w:rsidTr="007F24AE">
        <w:trPr>
          <w:trHeight w:val="310"/>
        </w:trPr>
        <w:tc>
          <w:tcPr>
            <w:tcW w:w="3670" w:type="dxa"/>
            <w:gridSpan w:val="2"/>
            <w:tcBorders>
              <w:top w:val="nil"/>
              <w:left w:val="nil"/>
              <w:bottom w:val="nil"/>
              <w:right w:val="nil"/>
            </w:tcBorders>
          </w:tcPr>
          <w:p w14:paraId="71716C02"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Etiology of CKD</w:t>
            </w:r>
          </w:p>
        </w:tc>
        <w:tc>
          <w:tcPr>
            <w:tcW w:w="1800" w:type="dxa"/>
            <w:tcBorders>
              <w:top w:val="nil"/>
              <w:left w:val="nil"/>
              <w:bottom w:val="nil"/>
              <w:right w:val="nil"/>
            </w:tcBorders>
          </w:tcPr>
          <w:p w14:paraId="2749868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4ABAE85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7F70691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167D3BA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5D663F7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369DDB93" w14:textId="189F0138" w:rsidR="001835B3" w:rsidRPr="00BF0ED0" w:rsidRDefault="00205A72" w:rsidP="00484E7F">
            <w:pPr>
              <w:autoSpaceDE w:val="0"/>
              <w:autoSpaceDN w:val="0"/>
              <w:adjustRightInd w:val="0"/>
              <w:snapToGrid w:val="0"/>
              <w:spacing w:line="360" w:lineRule="auto"/>
              <w:jc w:val="both"/>
              <w:rPr>
                <w:rFonts w:ascii="Book Antiqua" w:hAnsi="Book Antiqua"/>
                <w:bCs/>
                <w:color w:val="000000"/>
              </w:rPr>
            </w:pPr>
            <w:r>
              <w:rPr>
                <w:rFonts w:ascii="Book Antiqua" w:hAnsi="Book Antiqua"/>
                <w:bCs/>
                <w:color w:val="000000"/>
              </w:rPr>
              <w:t xml:space="preserve"> </w:t>
            </w:r>
            <w:r w:rsidR="001835B3" w:rsidRPr="00BF0ED0">
              <w:rPr>
                <w:rFonts w:ascii="Book Antiqua" w:hAnsi="Book Antiqua"/>
                <w:bCs/>
                <w:color w:val="000000"/>
              </w:rPr>
              <w:t>0.019</w:t>
            </w:r>
            <w:r w:rsidR="00E074C9" w:rsidRPr="00BF0ED0">
              <w:rPr>
                <w:rFonts w:ascii="Book Antiqua" w:eastAsiaTheme="minorEastAsia" w:hAnsi="Book Antiqua"/>
                <w:vertAlign w:val="superscript"/>
                <w:lang w:eastAsia="zh-CN"/>
              </w:rPr>
              <w:t>2</w:t>
            </w:r>
          </w:p>
        </w:tc>
      </w:tr>
      <w:tr w:rsidR="001835B3" w:rsidRPr="00BF0ED0" w14:paraId="23C06D9B" w14:textId="77777777" w:rsidTr="00B927F6">
        <w:trPr>
          <w:trHeight w:val="310"/>
        </w:trPr>
        <w:tc>
          <w:tcPr>
            <w:tcW w:w="2552" w:type="dxa"/>
            <w:tcBorders>
              <w:top w:val="nil"/>
              <w:left w:val="nil"/>
              <w:bottom w:val="nil"/>
              <w:right w:val="nil"/>
            </w:tcBorders>
          </w:tcPr>
          <w:p w14:paraId="75A54DB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Mixed</w:t>
            </w:r>
          </w:p>
        </w:tc>
        <w:tc>
          <w:tcPr>
            <w:tcW w:w="1118" w:type="dxa"/>
            <w:tcBorders>
              <w:top w:val="nil"/>
              <w:left w:val="nil"/>
              <w:bottom w:val="nil"/>
              <w:right w:val="nil"/>
            </w:tcBorders>
          </w:tcPr>
          <w:p w14:paraId="61A47CD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w:t>
            </w:r>
          </w:p>
        </w:tc>
        <w:tc>
          <w:tcPr>
            <w:tcW w:w="1800" w:type="dxa"/>
            <w:tcBorders>
              <w:top w:val="nil"/>
              <w:left w:val="nil"/>
              <w:bottom w:val="nil"/>
              <w:right w:val="nil"/>
            </w:tcBorders>
          </w:tcPr>
          <w:p w14:paraId="7E571A7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(34.1)</w:t>
            </w:r>
          </w:p>
        </w:tc>
        <w:tc>
          <w:tcPr>
            <w:tcW w:w="1350" w:type="dxa"/>
            <w:tcBorders>
              <w:top w:val="nil"/>
              <w:left w:val="nil"/>
              <w:bottom w:val="nil"/>
              <w:right w:val="nil"/>
            </w:tcBorders>
          </w:tcPr>
          <w:p w14:paraId="6E9EAAC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11</w:t>
            </w:r>
          </w:p>
        </w:tc>
        <w:tc>
          <w:tcPr>
            <w:tcW w:w="1530" w:type="dxa"/>
            <w:tcBorders>
              <w:top w:val="nil"/>
              <w:left w:val="nil"/>
              <w:bottom w:val="nil"/>
              <w:right w:val="nil"/>
            </w:tcBorders>
          </w:tcPr>
          <w:p w14:paraId="5809AD6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(73.3)</w:t>
            </w:r>
          </w:p>
        </w:tc>
        <w:tc>
          <w:tcPr>
            <w:tcW w:w="1710" w:type="dxa"/>
            <w:tcBorders>
              <w:top w:val="nil"/>
              <w:left w:val="nil"/>
              <w:bottom w:val="nil"/>
              <w:right w:val="nil"/>
            </w:tcBorders>
          </w:tcPr>
          <w:p w14:paraId="064EACB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20</w:t>
            </w:r>
          </w:p>
        </w:tc>
        <w:tc>
          <w:tcPr>
            <w:tcW w:w="1710" w:type="dxa"/>
            <w:tcBorders>
              <w:top w:val="nil"/>
              <w:left w:val="nil"/>
              <w:bottom w:val="nil"/>
              <w:right w:val="nil"/>
            </w:tcBorders>
          </w:tcPr>
          <w:p w14:paraId="134520A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(26.3)</w:t>
            </w:r>
          </w:p>
        </w:tc>
        <w:tc>
          <w:tcPr>
            <w:tcW w:w="1260" w:type="dxa"/>
            <w:tcBorders>
              <w:top w:val="nil"/>
              <w:left w:val="nil"/>
              <w:bottom w:val="nil"/>
              <w:right w:val="nil"/>
            </w:tcBorders>
          </w:tcPr>
          <w:p w14:paraId="5E0292A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155F89A5" w14:textId="77777777" w:rsidTr="00B927F6">
        <w:trPr>
          <w:trHeight w:val="310"/>
        </w:trPr>
        <w:tc>
          <w:tcPr>
            <w:tcW w:w="2552" w:type="dxa"/>
            <w:tcBorders>
              <w:top w:val="nil"/>
              <w:left w:val="nil"/>
              <w:bottom w:val="nil"/>
              <w:right w:val="nil"/>
            </w:tcBorders>
          </w:tcPr>
          <w:p w14:paraId="2839867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DM</w:t>
            </w:r>
          </w:p>
        </w:tc>
        <w:tc>
          <w:tcPr>
            <w:tcW w:w="1118" w:type="dxa"/>
            <w:tcBorders>
              <w:top w:val="nil"/>
              <w:left w:val="nil"/>
              <w:bottom w:val="nil"/>
              <w:right w:val="nil"/>
            </w:tcBorders>
          </w:tcPr>
          <w:p w14:paraId="41E91F3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26</w:t>
            </w:r>
          </w:p>
        </w:tc>
        <w:tc>
          <w:tcPr>
            <w:tcW w:w="1800" w:type="dxa"/>
            <w:tcBorders>
              <w:top w:val="nil"/>
              <w:left w:val="nil"/>
              <w:bottom w:val="nil"/>
              <w:right w:val="nil"/>
            </w:tcBorders>
          </w:tcPr>
          <w:p w14:paraId="275F1E2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(28.6)</w:t>
            </w:r>
          </w:p>
        </w:tc>
        <w:tc>
          <w:tcPr>
            <w:tcW w:w="1350" w:type="dxa"/>
            <w:tcBorders>
              <w:top w:val="nil"/>
              <w:left w:val="nil"/>
              <w:bottom w:val="nil"/>
              <w:right w:val="nil"/>
            </w:tcBorders>
          </w:tcPr>
          <w:p w14:paraId="0713A4B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w:t>
            </w:r>
          </w:p>
        </w:tc>
        <w:tc>
          <w:tcPr>
            <w:tcW w:w="1530" w:type="dxa"/>
            <w:tcBorders>
              <w:top w:val="nil"/>
              <w:left w:val="nil"/>
              <w:bottom w:val="nil"/>
              <w:right w:val="nil"/>
            </w:tcBorders>
          </w:tcPr>
          <w:p w14:paraId="17A2DA5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(6.70)</w:t>
            </w:r>
          </w:p>
        </w:tc>
        <w:tc>
          <w:tcPr>
            <w:tcW w:w="1710" w:type="dxa"/>
            <w:tcBorders>
              <w:top w:val="nil"/>
              <w:left w:val="nil"/>
              <w:bottom w:val="nil"/>
              <w:right w:val="nil"/>
            </w:tcBorders>
          </w:tcPr>
          <w:p w14:paraId="5D9E4D7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25</w:t>
            </w:r>
          </w:p>
        </w:tc>
        <w:tc>
          <w:tcPr>
            <w:tcW w:w="1710" w:type="dxa"/>
            <w:tcBorders>
              <w:top w:val="nil"/>
              <w:left w:val="nil"/>
              <w:bottom w:val="nil"/>
              <w:right w:val="nil"/>
            </w:tcBorders>
          </w:tcPr>
          <w:p w14:paraId="1D0E814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(32.9)</w:t>
            </w:r>
          </w:p>
        </w:tc>
        <w:tc>
          <w:tcPr>
            <w:tcW w:w="1260" w:type="dxa"/>
            <w:tcBorders>
              <w:top w:val="nil"/>
              <w:left w:val="nil"/>
              <w:bottom w:val="nil"/>
              <w:right w:val="nil"/>
            </w:tcBorders>
          </w:tcPr>
          <w:p w14:paraId="50818F3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7EC1499B" w14:textId="77777777" w:rsidTr="00B927F6">
        <w:trPr>
          <w:trHeight w:val="310"/>
        </w:trPr>
        <w:tc>
          <w:tcPr>
            <w:tcW w:w="2552" w:type="dxa"/>
            <w:tcBorders>
              <w:top w:val="nil"/>
              <w:left w:val="nil"/>
              <w:bottom w:val="nil"/>
              <w:right w:val="nil"/>
            </w:tcBorders>
          </w:tcPr>
          <w:p w14:paraId="0D304AE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HA</w:t>
            </w:r>
          </w:p>
        </w:tc>
        <w:tc>
          <w:tcPr>
            <w:tcW w:w="1118" w:type="dxa"/>
            <w:tcBorders>
              <w:top w:val="nil"/>
              <w:left w:val="nil"/>
              <w:bottom w:val="nil"/>
              <w:right w:val="nil"/>
            </w:tcBorders>
          </w:tcPr>
          <w:p w14:paraId="10B6FA4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19</w:t>
            </w:r>
          </w:p>
        </w:tc>
        <w:tc>
          <w:tcPr>
            <w:tcW w:w="1800" w:type="dxa"/>
            <w:tcBorders>
              <w:top w:val="nil"/>
              <w:left w:val="nil"/>
              <w:bottom w:val="nil"/>
              <w:right w:val="nil"/>
            </w:tcBorders>
          </w:tcPr>
          <w:p w14:paraId="56AB642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(20.9)</w:t>
            </w:r>
          </w:p>
        </w:tc>
        <w:tc>
          <w:tcPr>
            <w:tcW w:w="1350" w:type="dxa"/>
            <w:tcBorders>
              <w:top w:val="nil"/>
              <w:left w:val="nil"/>
              <w:bottom w:val="nil"/>
              <w:right w:val="nil"/>
            </w:tcBorders>
          </w:tcPr>
          <w:p w14:paraId="082D420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w:t>
            </w:r>
          </w:p>
        </w:tc>
        <w:tc>
          <w:tcPr>
            <w:tcW w:w="1530" w:type="dxa"/>
            <w:tcBorders>
              <w:top w:val="nil"/>
              <w:left w:val="nil"/>
              <w:bottom w:val="nil"/>
              <w:right w:val="nil"/>
            </w:tcBorders>
          </w:tcPr>
          <w:p w14:paraId="4B499EB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(20.0)</w:t>
            </w:r>
          </w:p>
        </w:tc>
        <w:tc>
          <w:tcPr>
            <w:tcW w:w="1710" w:type="dxa"/>
            <w:tcBorders>
              <w:top w:val="nil"/>
              <w:left w:val="nil"/>
              <w:bottom w:val="nil"/>
              <w:right w:val="nil"/>
            </w:tcBorders>
          </w:tcPr>
          <w:p w14:paraId="625AAC7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16</w:t>
            </w:r>
          </w:p>
        </w:tc>
        <w:tc>
          <w:tcPr>
            <w:tcW w:w="1710" w:type="dxa"/>
            <w:tcBorders>
              <w:top w:val="nil"/>
              <w:left w:val="nil"/>
              <w:bottom w:val="nil"/>
              <w:right w:val="nil"/>
            </w:tcBorders>
          </w:tcPr>
          <w:p w14:paraId="4B97573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(21.1)</w:t>
            </w:r>
          </w:p>
        </w:tc>
        <w:tc>
          <w:tcPr>
            <w:tcW w:w="1260" w:type="dxa"/>
            <w:tcBorders>
              <w:top w:val="nil"/>
              <w:left w:val="nil"/>
              <w:bottom w:val="nil"/>
              <w:right w:val="nil"/>
            </w:tcBorders>
          </w:tcPr>
          <w:p w14:paraId="07F9370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453047BF" w14:textId="77777777" w:rsidTr="00B927F6">
        <w:trPr>
          <w:trHeight w:val="310"/>
        </w:trPr>
        <w:tc>
          <w:tcPr>
            <w:tcW w:w="2552" w:type="dxa"/>
            <w:tcBorders>
              <w:top w:val="nil"/>
              <w:left w:val="nil"/>
              <w:bottom w:val="nil"/>
              <w:right w:val="nil"/>
            </w:tcBorders>
          </w:tcPr>
          <w:p w14:paraId="5831AA6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ADPKD</w:t>
            </w:r>
          </w:p>
        </w:tc>
        <w:tc>
          <w:tcPr>
            <w:tcW w:w="1118" w:type="dxa"/>
            <w:tcBorders>
              <w:top w:val="nil"/>
              <w:left w:val="nil"/>
              <w:bottom w:val="nil"/>
              <w:right w:val="nil"/>
            </w:tcBorders>
          </w:tcPr>
          <w:p w14:paraId="04623AC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800" w:type="dxa"/>
            <w:tcBorders>
              <w:top w:val="nil"/>
              <w:left w:val="nil"/>
              <w:bottom w:val="nil"/>
              <w:right w:val="nil"/>
            </w:tcBorders>
          </w:tcPr>
          <w:p w14:paraId="4776DC6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(7.70)</w:t>
            </w:r>
          </w:p>
        </w:tc>
        <w:tc>
          <w:tcPr>
            <w:tcW w:w="1350" w:type="dxa"/>
            <w:tcBorders>
              <w:top w:val="nil"/>
              <w:left w:val="nil"/>
              <w:bottom w:val="nil"/>
              <w:right w:val="nil"/>
            </w:tcBorders>
          </w:tcPr>
          <w:p w14:paraId="35F361D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530" w:type="dxa"/>
            <w:tcBorders>
              <w:top w:val="nil"/>
              <w:left w:val="nil"/>
              <w:bottom w:val="nil"/>
              <w:right w:val="nil"/>
            </w:tcBorders>
          </w:tcPr>
          <w:p w14:paraId="54FE6FC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710" w:type="dxa"/>
            <w:tcBorders>
              <w:top w:val="nil"/>
              <w:left w:val="nil"/>
              <w:bottom w:val="nil"/>
              <w:right w:val="nil"/>
            </w:tcBorders>
          </w:tcPr>
          <w:p w14:paraId="4013990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710" w:type="dxa"/>
            <w:tcBorders>
              <w:top w:val="nil"/>
              <w:left w:val="nil"/>
              <w:bottom w:val="nil"/>
              <w:right w:val="nil"/>
            </w:tcBorders>
          </w:tcPr>
          <w:p w14:paraId="4AE2C36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(9.20)</w:t>
            </w:r>
          </w:p>
        </w:tc>
        <w:tc>
          <w:tcPr>
            <w:tcW w:w="1260" w:type="dxa"/>
            <w:tcBorders>
              <w:top w:val="nil"/>
              <w:left w:val="nil"/>
              <w:bottom w:val="nil"/>
              <w:right w:val="nil"/>
            </w:tcBorders>
          </w:tcPr>
          <w:p w14:paraId="786E93F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3A20B8" w:rsidRPr="00BF0ED0" w14:paraId="1C451C02" w14:textId="77777777" w:rsidTr="00B927F6">
        <w:trPr>
          <w:trHeight w:val="310"/>
        </w:trPr>
        <w:tc>
          <w:tcPr>
            <w:tcW w:w="2552" w:type="dxa"/>
            <w:tcBorders>
              <w:top w:val="nil"/>
              <w:left w:val="nil"/>
              <w:bottom w:val="nil"/>
              <w:right w:val="nil"/>
            </w:tcBorders>
          </w:tcPr>
          <w:p w14:paraId="683D4785"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Others</w:t>
            </w:r>
          </w:p>
        </w:tc>
        <w:tc>
          <w:tcPr>
            <w:tcW w:w="1118" w:type="dxa"/>
            <w:tcBorders>
              <w:top w:val="nil"/>
              <w:left w:val="nil"/>
              <w:bottom w:val="nil"/>
              <w:right w:val="nil"/>
            </w:tcBorders>
          </w:tcPr>
          <w:p w14:paraId="11EDB10E"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w:t>
            </w:r>
          </w:p>
        </w:tc>
        <w:tc>
          <w:tcPr>
            <w:tcW w:w="1800" w:type="dxa"/>
            <w:tcBorders>
              <w:top w:val="nil"/>
              <w:left w:val="nil"/>
              <w:bottom w:val="nil"/>
              <w:right w:val="nil"/>
            </w:tcBorders>
          </w:tcPr>
          <w:p w14:paraId="66AE239A"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(1.1)</w:t>
            </w:r>
          </w:p>
        </w:tc>
        <w:tc>
          <w:tcPr>
            <w:tcW w:w="1350" w:type="dxa"/>
            <w:tcBorders>
              <w:top w:val="nil"/>
              <w:left w:val="nil"/>
              <w:bottom w:val="nil"/>
              <w:right w:val="nil"/>
            </w:tcBorders>
          </w:tcPr>
          <w:p w14:paraId="4198A9A8"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0</w:t>
            </w:r>
          </w:p>
        </w:tc>
        <w:tc>
          <w:tcPr>
            <w:tcW w:w="1530" w:type="dxa"/>
            <w:tcBorders>
              <w:top w:val="nil"/>
              <w:left w:val="nil"/>
              <w:bottom w:val="nil"/>
              <w:right w:val="nil"/>
            </w:tcBorders>
          </w:tcPr>
          <w:p w14:paraId="18B15C4A"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0</w:t>
            </w:r>
          </w:p>
        </w:tc>
        <w:tc>
          <w:tcPr>
            <w:tcW w:w="1710" w:type="dxa"/>
            <w:tcBorders>
              <w:top w:val="nil"/>
              <w:left w:val="nil"/>
              <w:bottom w:val="nil"/>
              <w:right w:val="nil"/>
            </w:tcBorders>
          </w:tcPr>
          <w:p w14:paraId="672E3695"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w:t>
            </w:r>
          </w:p>
        </w:tc>
        <w:tc>
          <w:tcPr>
            <w:tcW w:w="1710" w:type="dxa"/>
            <w:tcBorders>
              <w:top w:val="nil"/>
              <w:left w:val="nil"/>
              <w:bottom w:val="nil"/>
              <w:right w:val="nil"/>
            </w:tcBorders>
          </w:tcPr>
          <w:p w14:paraId="72F0D8B4"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(1.3)</w:t>
            </w:r>
          </w:p>
        </w:tc>
        <w:tc>
          <w:tcPr>
            <w:tcW w:w="1260" w:type="dxa"/>
            <w:tcBorders>
              <w:top w:val="nil"/>
              <w:left w:val="nil"/>
              <w:bottom w:val="nil"/>
              <w:right w:val="nil"/>
            </w:tcBorders>
          </w:tcPr>
          <w:p w14:paraId="1CB664C8" w14:textId="77777777" w:rsidR="001835B3" w:rsidRPr="00BF0ED0" w:rsidRDefault="001835B3" w:rsidP="00484E7F">
            <w:pPr>
              <w:autoSpaceDE w:val="0"/>
              <w:autoSpaceDN w:val="0"/>
              <w:adjustRightInd w:val="0"/>
              <w:snapToGrid w:val="0"/>
              <w:spacing w:line="360" w:lineRule="auto"/>
              <w:jc w:val="both"/>
              <w:rPr>
                <w:rFonts w:ascii="Book Antiqua" w:hAnsi="Book Antiqua"/>
              </w:rPr>
            </w:pPr>
          </w:p>
        </w:tc>
      </w:tr>
      <w:tr w:rsidR="003A20B8" w:rsidRPr="00BF0ED0" w14:paraId="027CE507" w14:textId="77777777" w:rsidTr="00B927F6">
        <w:trPr>
          <w:trHeight w:val="310"/>
        </w:trPr>
        <w:tc>
          <w:tcPr>
            <w:tcW w:w="2552" w:type="dxa"/>
            <w:tcBorders>
              <w:top w:val="nil"/>
              <w:left w:val="nil"/>
              <w:bottom w:val="nil"/>
              <w:right w:val="nil"/>
            </w:tcBorders>
          </w:tcPr>
          <w:p w14:paraId="225039EB" w14:textId="0D9336B1" w:rsidR="001835B3" w:rsidRPr="00BF0ED0" w:rsidRDefault="001835B3" w:rsidP="00484E7F">
            <w:pPr>
              <w:autoSpaceDE w:val="0"/>
              <w:autoSpaceDN w:val="0"/>
              <w:adjustRightInd w:val="0"/>
              <w:snapToGrid w:val="0"/>
              <w:spacing w:line="360" w:lineRule="auto"/>
              <w:jc w:val="both"/>
              <w:rPr>
                <w:rFonts w:ascii="Book Antiqua" w:hAnsi="Book Antiqua"/>
                <w:bCs/>
                <w:vertAlign w:val="superscript"/>
              </w:rPr>
            </w:pPr>
            <w:r w:rsidRPr="00BF0ED0">
              <w:rPr>
                <w:rFonts w:ascii="Book Antiqua" w:hAnsi="Book Antiqua"/>
                <w:bCs/>
              </w:rPr>
              <w:t>ALT</w:t>
            </w:r>
            <w:r w:rsidR="001939B4" w:rsidRPr="00BF0ED0">
              <w:rPr>
                <w:rFonts w:ascii="Book Antiqua" w:hAnsi="Book Antiqua"/>
                <w:bCs/>
                <w:vertAlign w:val="superscript"/>
              </w:rPr>
              <w:t>e</w:t>
            </w:r>
          </w:p>
        </w:tc>
        <w:tc>
          <w:tcPr>
            <w:tcW w:w="2918" w:type="dxa"/>
            <w:gridSpan w:val="2"/>
            <w:tcBorders>
              <w:top w:val="nil"/>
              <w:left w:val="nil"/>
              <w:bottom w:val="nil"/>
              <w:right w:val="nil"/>
            </w:tcBorders>
          </w:tcPr>
          <w:p w14:paraId="7ACAA0E4"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18.1 (14.2; 23.2)</w:t>
            </w:r>
          </w:p>
        </w:tc>
        <w:tc>
          <w:tcPr>
            <w:tcW w:w="2880" w:type="dxa"/>
            <w:gridSpan w:val="2"/>
            <w:tcBorders>
              <w:top w:val="nil"/>
              <w:left w:val="nil"/>
              <w:bottom w:val="nil"/>
              <w:right w:val="nil"/>
            </w:tcBorders>
          </w:tcPr>
          <w:p w14:paraId="4A8B57B1"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17.9 (15.2; 20.9)</w:t>
            </w:r>
          </w:p>
        </w:tc>
        <w:tc>
          <w:tcPr>
            <w:tcW w:w="3420" w:type="dxa"/>
            <w:gridSpan w:val="2"/>
            <w:tcBorders>
              <w:top w:val="nil"/>
              <w:left w:val="nil"/>
              <w:bottom w:val="nil"/>
              <w:right w:val="nil"/>
            </w:tcBorders>
          </w:tcPr>
          <w:p w14:paraId="5EB00DB8"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18.1 (14.2; 24.7)</w:t>
            </w:r>
          </w:p>
        </w:tc>
        <w:tc>
          <w:tcPr>
            <w:tcW w:w="1260" w:type="dxa"/>
            <w:tcBorders>
              <w:top w:val="nil"/>
              <w:left w:val="nil"/>
              <w:bottom w:val="nil"/>
              <w:right w:val="nil"/>
            </w:tcBorders>
          </w:tcPr>
          <w:p w14:paraId="230B45AE" w14:textId="77777777" w:rsidR="001835B3" w:rsidRPr="00BF0ED0" w:rsidRDefault="001835B3" w:rsidP="00484E7F">
            <w:pPr>
              <w:autoSpaceDE w:val="0"/>
              <w:autoSpaceDN w:val="0"/>
              <w:adjustRightInd w:val="0"/>
              <w:snapToGrid w:val="0"/>
              <w:spacing w:line="360" w:lineRule="auto"/>
              <w:jc w:val="both"/>
              <w:rPr>
                <w:rFonts w:ascii="Book Antiqua" w:hAnsi="Book Antiqua"/>
                <w:bCs/>
              </w:rPr>
            </w:pPr>
            <w:r w:rsidRPr="00BF0ED0">
              <w:rPr>
                <w:rFonts w:ascii="Book Antiqua" w:hAnsi="Book Antiqua"/>
                <w:bCs/>
              </w:rPr>
              <w:t xml:space="preserve"> 0.859</w:t>
            </w:r>
          </w:p>
        </w:tc>
      </w:tr>
      <w:tr w:rsidR="003A20B8" w:rsidRPr="00BF0ED0" w14:paraId="25275A56" w14:textId="77777777" w:rsidTr="00B927F6">
        <w:trPr>
          <w:trHeight w:val="394"/>
        </w:trPr>
        <w:tc>
          <w:tcPr>
            <w:tcW w:w="2552" w:type="dxa"/>
            <w:tcBorders>
              <w:top w:val="nil"/>
              <w:left w:val="nil"/>
              <w:bottom w:val="single" w:sz="12" w:space="0" w:color="auto"/>
              <w:right w:val="nil"/>
            </w:tcBorders>
          </w:tcPr>
          <w:p w14:paraId="0C6AF598" w14:textId="79500315" w:rsidR="001835B3" w:rsidRPr="00BF0ED0" w:rsidRDefault="001835B3" w:rsidP="00484E7F">
            <w:pPr>
              <w:autoSpaceDE w:val="0"/>
              <w:autoSpaceDN w:val="0"/>
              <w:adjustRightInd w:val="0"/>
              <w:snapToGrid w:val="0"/>
              <w:spacing w:line="360" w:lineRule="auto"/>
              <w:jc w:val="both"/>
              <w:rPr>
                <w:rFonts w:ascii="Book Antiqua" w:hAnsi="Book Antiqua"/>
                <w:bCs/>
                <w:vertAlign w:val="superscript"/>
              </w:rPr>
            </w:pPr>
            <w:r w:rsidRPr="00BF0ED0">
              <w:rPr>
                <w:rFonts w:ascii="Book Antiqua" w:hAnsi="Book Antiqua"/>
                <w:bCs/>
              </w:rPr>
              <w:t>AST</w:t>
            </w:r>
            <w:r w:rsidR="001939B4" w:rsidRPr="00BF0ED0">
              <w:rPr>
                <w:rFonts w:ascii="Book Antiqua" w:hAnsi="Book Antiqua"/>
                <w:bCs/>
                <w:vertAlign w:val="superscript"/>
              </w:rPr>
              <w:t>e</w:t>
            </w:r>
            <w:r w:rsidRPr="00BF0ED0">
              <w:rPr>
                <w:rFonts w:ascii="Book Antiqua" w:hAnsi="Book Antiqua"/>
                <w:bCs/>
              </w:rPr>
              <w:t xml:space="preserve"> </w:t>
            </w:r>
          </w:p>
        </w:tc>
        <w:tc>
          <w:tcPr>
            <w:tcW w:w="2918" w:type="dxa"/>
            <w:gridSpan w:val="2"/>
            <w:tcBorders>
              <w:top w:val="nil"/>
              <w:left w:val="nil"/>
              <w:bottom w:val="single" w:sz="12" w:space="0" w:color="auto"/>
              <w:right w:val="nil"/>
            </w:tcBorders>
          </w:tcPr>
          <w:p w14:paraId="7E5C7699"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19.5 (16.6; 24.8)</w:t>
            </w:r>
          </w:p>
        </w:tc>
        <w:tc>
          <w:tcPr>
            <w:tcW w:w="2880" w:type="dxa"/>
            <w:gridSpan w:val="2"/>
            <w:tcBorders>
              <w:top w:val="nil"/>
              <w:left w:val="nil"/>
              <w:bottom w:val="single" w:sz="12" w:space="0" w:color="auto"/>
              <w:right w:val="nil"/>
            </w:tcBorders>
          </w:tcPr>
          <w:p w14:paraId="3C3ECD20"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18.1 (17; 22.6)</w:t>
            </w:r>
          </w:p>
        </w:tc>
        <w:tc>
          <w:tcPr>
            <w:tcW w:w="3420" w:type="dxa"/>
            <w:gridSpan w:val="2"/>
            <w:tcBorders>
              <w:top w:val="nil"/>
              <w:left w:val="nil"/>
              <w:bottom w:val="single" w:sz="12" w:space="0" w:color="auto"/>
              <w:right w:val="nil"/>
            </w:tcBorders>
          </w:tcPr>
          <w:p w14:paraId="5050116D"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19.5 (16.6; 25.3)</w:t>
            </w:r>
          </w:p>
        </w:tc>
        <w:tc>
          <w:tcPr>
            <w:tcW w:w="1260" w:type="dxa"/>
            <w:tcBorders>
              <w:top w:val="nil"/>
              <w:left w:val="nil"/>
              <w:bottom w:val="single" w:sz="12" w:space="0" w:color="auto"/>
              <w:right w:val="nil"/>
            </w:tcBorders>
          </w:tcPr>
          <w:p w14:paraId="2AB96368" w14:textId="77777777" w:rsidR="001835B3" w:rsidRPr="00BF0ED0" w:rsidRDefault="001835B3" w:rsidP="00484E7F">
            <w:pPr>
              <w:autoSpaceDE w:val="0"/>
              <w:autoSpaceDN w:val="0"/>
              <w:adjustRightInd w:val="0"/>
              <w:snapToGrid w:val="0"/>
              <w:spacing w:line="360" w:lineRule="auto"/>
              <w:jc w:val="both"/>
              <w:rPr>
                <w:rFonts w:ascii="Book Antiqua" w:hAnsi="Book Antiqua"/>
                <w:bCs/>
              </w:rPr>
            </w:pPr>
            <w:r w:rsidRPr="00BF0ED0">
              <w:rPr>
                <w:rFonts w:ascii="Book Antiqua" w:hAnsi="Book Antiqua"/>
                <w:bCs/>
              </w:rPr>
              <w:t xml:space="preserve"> 0.713</w:t>
            </w:r>
          </w:p>
        </w:tc>
      </w:tr>
    </w:tbl>
    <w:p w14:paraId="71C148A4" w14:textId="77777777" w:rsidR="001835B3" w:rsidRPr="00BF0ED0" w:rsidRDefault="001835B3" w:rsidP="00484E7F">
      <w:pPr>
        <w:adjustRightInd w:val="0"/>
        <w:snapToGrid w:val="0"/>
        <w:spacing w:line="360" w:lineRule="auto"/>
        <w:jc w:val="both"/>
        <w:rPr>
          <w:rFonts w:ascii="Book Antiqua" w:hAnsi="Book Antiqua"/>
        </w:rPr>
      </w:pPr>
    </w:p>
    <w:p w14:paraId="1F0CACA6" w14:textId="52A35112" w:rsidR="001835B3" w:rsidRPr="00BF0ED0" w:rsidRDefault="00E074C9" w:rsidP="00484E7F">
      <w:pPr>
        <w:adjustRightInd w:val="0"/>
        <w:snapToGrid w:val="0"/>
        <w:spacing w:line="360" w:lineRule="auto"/>
        <w:jc w:val="both"/>
        <w:rPr>
          <w:rFonts w:ascii="Book Antiqua" w:eastAsiaTheme="minorEastAsia" w:hAnsi="Book Antiqua"/>
          <w:lang w:eastAsia="zh-CN"/>
        </w:rPr>
      </w:pPr>
      <w:r w:rsidRPr="00BF0ED0">
        <w:rPr>
          <w:rFonts w:ascii="Book Antiqua" w:eastAsiaTheme="minorEastAsia" w:hAnsi="Book Antiqua"/>
          <w:vertAlign w:val="superscript"/>
          <w:lang w:eastAsia="zh-CN"/>
        </w:rPr>
        <w:t>1</w:t>
      </w:r>
      <w:r w:rsidR="001835B3" w:rsidRPr="00BF0ED0">
        <w:rPr>
          <w:rFonts w:ascii="Book Antiqua" w:hAnsi="Book Antiqua"/>
        </w:rPr>
        <w:t xml:space="preserve">Student’s </w:t>
      </w:r>
      <w:r w:rsidR="001835B3" w:rsidRPr="00BF0ED0">
        <w:rPr>
          <w:rFonts w:ascii="Book Antiqua" w:hAnsi="Book Antiqua"/>
          <w:i/>
        </w:rPr>
        <w:t>t</w:t>
      </w:r>
      <w:r w:rsidR="001835B3" w:rsidRPr="00BF0ED0">
        <w:rPr>
          <w:rFonts w:ascii="Book Antiqua" w:hAnsi="Book Antiqua"/>
        </w:rPr>
        <w:t xml:space="preserve"> test; </w:t>
      </w:r>
      <w:r w:rsidRPr="00BF0ED0">
        <w:rPr>
          <w:rFonts w:ascii="Book Antiqua" w:eastAsiaTheme="minorEastAsia" w:hAnsi="Book Antiqua"/>
          <w:vertAlign w:val="superscript"/>
          <w:lang w:eastAsia="zh-CN"/>
        </w:rPr>
        <w:t>2</w:t>
      </w:r>
      <w:r w:rsidR="001835B3" w:rsidRPr="00BF0ED0">
        <w:rPr>
          <w:rFonts w:ascii="Book Antiqua" w:hAnsi="Book Antiqua"/>
        </w:rPr>
        <w:t>Fisher’s exact test;. ADPKD: Autosomal dominant polycystic kidney disease; ALT: Alanine aminotransferase; AST: Aspartate aminotransferase; BMI: Body mass index; CKD: Chronic kidney disease; DM: Diabetes mellitus; GFR: Glomerular filtration rate; HA: Hypertension</w:t>
      </w:r>
      <w:r w:rsidRPr="00BF0ED0">
        <w:rPr>
          <w:rFonts w:ascii="Book Antiqua" w:hAnsi="Book Antiqua"/>
        </w:rPr>
        <w:t>.</w:t>
      </w:r>
    </w:p>
    <w:p w14:paraId="44481387" w14:textId="77777777" w:rsidR="001835B3" w:rsidRPr="00BF0ED0" w:rsidRDefault="001835B3" w:rsidP="00484E7F">
      <w:pPr>
        <w:adjustRightInd w:val="0"/>
        <w:snapToGrid w:val="0"/>
        <w:spacing w:line="360" w:lineRule="auto"/>
        <w:jc w:val="both"/>
        <w:rPr>
          <w:rFonts w:ascii="Book Antiqua" w:hAnsi="Book Antiqua"/>
        </w:rPr>
        <w:sectPr w:rsidR="001835B3" w:rsidRPr="00BF0ED0" w:rsidSect="007F24AE">
          <w:pgSz w:w="15840" w:h="12240" w:orient="landscape"/>
          <w:pgMar w:top="2030" w:right="1411" w:bottom="1699" w:left="1411" w:header="706" w:footer="706" w:gutter="0"/>
          <w:cols w:space="708"/>
          <w:docGrid w:linePitch="360"/>
        </w:sectPr>
      </w:pPr>
    </w:p>
    <w:p w14:paraId="1C21F6DD" w14:textId="41D43DCB" w:rsidR="001835B3" w:rsidRPr="00BF0ED0" w:rsidRDefault="001835B3" w:rsidP="00484E7F">
      <w:pPr>
        <w:adjustRightInd w:val="0"/>
        <w:snapToGrid w:val="0"/>
        <w:spacing w:line="360" w:lineRule="auto"/>
        <w:jc w:val="both"/>
        <w:rPr>
          <w:rFonts w:ascii="Book Antiqua" w:hAnsi="Book Antiqua"/>
          <w:b/>
        </w:rPr>
      </w:pPr>
      <w:r w:rsidRPr="00BF0ED0">
        <w:rPr>
          <w:rFonts w:ascii="Book Antiqua" w:hAnsi="Book Antiqua"/>
          <w:b/>
        </w:rPr>
        <w:lastRenderedPageBreak/>
        <w:t xml:space="preserve">Table 2 Distribution of antibodies against </w:t>
      </w:r>
      <w:r w:rsidR="00AB2C9A" w:rsidRPr="00BF0ED0">
        <w:rPr>
          <w:rFonts w:ascii="Book Antiqua" w:hAnsi="Book Antiqua"/>
          <w:b/>
        </w:rPr>
        <w:t xml:space="preserve">hepatitis </w:t>
      </w:r>
      <w:r w:rsidR="00AB2C9A" w:rsidRPr="00BF0ED0">
        <w:rPr>
          <w:rFonts w:ascii="Book Antiqua" w:eastAsiaTheme="minorEastAsia" w:hAnsi="Book Antiqua"/>
          <w:b/>
          <w:lang w:eastAsia="zh-CN"/>
        </w:rPr>
        <w:t>B</w:t>
      </w:r>
      <w:r w:rsidR="00AB2C9A" w:rsidRPr="00BF0ED0">
        <w:rPr>
          <w:rFonts w:ascii="Book Antiqua" w:hAnsi="Book Antiqua"/>
          <w:b/>
        </w:rPr>
        <w:t xml:space="preserve"> virus </w:t>
      </w:r>
      <w:r w:rsidRPr="00BF0ED0">
        <w:rPr>
          <w:rFonts w:ascii="Book Antiqua" w:hAnsi="Book Antiqua"/>
          <w:b/>
        </w:rPr>
        <w:t xml:space="preserve">according to the occurrence of </w:t>
      </w:r>
      <w:r w:rsidR="00AB2C9A" w:rsidRPr="00BF0ED0">
        <w:rPr>
          <w:rFonts w:ascii="Book Antiqua" w:hAnsi="Book Antiqua"/>
          <w:b/>
        </w:rPr>
        <w:t xml:space="preserve">hepatitis C virus </w:t>
      </w:r>
      <w:r w:rsidRPr="00BF0ED0">
        <w:rPr>
          <w:rFonts w:ascii="Book Antiqua" w:hAnsi="Book Antiqua"/>
          <w:b/>
        </w:rPr>
        <w:t>occult infection in 89 patients with chronic kidney disease: 2015 to 2017</w:t>
      </w:r>
    </w:p>
    <w:tbl>
      <w:tblPr>
        <w:tblW w:w="0" w:type="auto"/>
        <w:tblInd w:w="40" w:type="dxa"/>
        <w:tblLayout w:type="fixed"/>
        <w:tblCellMar>
          <w:left w:w="70" w:type="dxa"/>
          <w:right w:w="70" w:type="dxa"/>
        </w:tblCellMar>
        <w:tblLook w:val="0000" w:firstRow="0" w:lastRow="0" w:firstColumn="0" w:lastColumn="0" w:noHBand="0" w:noVBand="0"/>
      </w:tblPr>
      <w:tblGrid>
        <w:gridCol w:w="2581"/>
        <w:gridCol w:w="837"/>
        <w:gridCol w:w="589"/>
        <w:gridCol w:w="343"/>
        <w:gridCol w:w="494"/>
        <w:gridCol w:w="1154"/>
        <w:gridCol w:w="602"/>
        <w:gridCol w:w="1188"/>
        <w:gridCol w:w="1062"/>
      </w:tblGrid>
      <w:tr w:rsidR="001835B3" w:rsidRPr="00BF0ED0" w14:paraId="340E60DC" w14:textId="77777777" w:rsidTr="007F24AE">
        <w:trPr>
          <w:trHeight w:val="318"/>
        </w:trPr>
        <w:tc>
          <w:tcPr>
            <w:tcW w:w="2581" w:type="dxa"/>
            <w:tcBorders>
              <w:top w:val="single" w:sz="12" w:space="0" w:color="auto"/>
              <w:left w:val="nil"/>
              <w:bottom w:val="nil"/>
              <w:right w:val="nil"/>
            </w:tcBorders>
          </w:tcPr>
          <w:p w14:paraId="5E08477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426" w:type="dxa"/>
            <w:gridSpan w:val="2"/>
            <w:vMerge w:val="restart"/>
            <w:tcBorders>
              <w:top w:val="single" w:sz="12" w:space="0" w:color="auto"/>
              <w:left w:val="nil"/>
              <w:right w:val="nil"/>
            </w:tcBorders>
            <w:vAlign w:val="bottom"/>
          </w:tcPr>
          <w:p w14:paraId="7EA974A4"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Total (%),</w:t>
            </w:r>
          </w:p>
          <w:p w14:paraId="45ECB96E"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89</w:t>
            </w:r>
          </w:p>
        </w:tc>
        <w:tc>
          <w:tcPr>
            <w:tcW w:w="3781" w:type="dxa"/>
            <w:gridSpan w:val="5"/>
            <w:tcBorders>
              <w:top w:val="single" w:sz="12" w:space="0" w:color="auto"/>
              <w:left w:val="nil"/>
              <w:bottom w:val="single" w:sz="4" w:space="0" w:color="auto"/>
              <w:right w:val="nil"/>
            </w:tcBorders>
            <w:vAlign w:val="center"/>
          </w:tcPr>
          <w:p w14:paraId="2592828F"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Occult HCV infection</w:t>
            </w:r>
          </w:p>
        </w:tc>
        <w:tc>
          <w:tcPr>
            <w:tcW w:w="1062" w:type="dxa"/>
            <w:vMerge w:val="restart"/>
            <w:tcBorders>
              <w:top w:val="single" w:sz="12" w:space="0" w:color="auto"/>
              <w:left w:val="nil"/>
              <w:right w:val="nil"/>
            </w:tcBorders>
            <w:vAlign w:val="bottom"/>
          </w:tcPr>
          <w:p w14:paraId="00A77A60" w14:textId="2351DC54" w:rsidR="001835B3" w:rsidRPr="00BF0ED0" w:rsidRDefault="001835B3" w:rsidP="00484E7F">
            <w:pPr>
              <w:autoSpaceDE w:val="0"/>
              <w:autoSpaceDN w:val="0"/>
              <w:adjustRightInd w:val="0"/>
              <w:snapToGrid w:val="0"/>
              <w:spacing w:line="360" w:lineRule="auto"/>
              <w:jc w:val="center"/>
              <w:rPr>
                <w:rFonts w:ascii="Book Antiqua" w:eastAsiaTheme="minorEastAsia" w:hAnsi="Book Antiqua"/>
                <w:b/>
                <w:bCs/>
                <w:i/>
                <w:color w:val="000000"/>
                <w:lang w:eastAsia="zh-CN"/>
              </w:rPr>
            </w:pPr>
            <w:r w:rsidRPr="00BF0ED0">
              <w:rPr>
                <w:rFonts w:ascii="Book Antiqua" w:hAnsi="Book Antiqua"/>
                <w:b/>
                <w:bCs/>
                <w:i/>
                <w:color w:val="000000"/>
              </w:rPr>
              <w:t>P</w:t>
            </w:r>
            <w:r w:rsidR="00873B03" w:rsidRPr="00BF0ED0">
              <w:rPr>
                <w:rFonts w:ascii="Book Antiqua" w:eastAsiaTheme="minorEastAsia" w:hAnsi="Book Antiqua"/>
                <w:b/>
                <w:bCs/>
                <w:i/>
                <w:color w:val="000000"/>
                <w:lang w:eastAsia="zh-CN"/>
              </w:rPr>
              <w:t>-</w:t>
            </w:r>
            <w:r w:rsidR="00873B03" w:rsidRPr="00BF0ED0">
              <w:rPr>
                <w:rFonts w:ascii="Book Antiqua" w:eastAsiaTheme="minorEastAsia" w:hAnsi="Book Antiqua"/>
                <w:b/>
                <w:bCs/>
                <w:color w:val="000000"/>
                <w:lang w:eastAsia="zh-CN"/>
              </w:rPr>
              <w:t>value</w:t>
            </w:r>
          </w:p>
        </w:tc>
      </w:tr>
      <w:tr w:rsidR="001835B3" w:rsidRPr="00BF0ED0" w14:paraId="7DDDEC83" w14:textId="77777777" w:rsidTr="007F24AE">
        <w:trPr>
          <w:trHeight w:val="298"/>
        </w:trPr>
        <w:tc>
          <w:tcPr>
            <w:tcW w:w="2581" w:type="dxa"/>
            <w:tcBorders>
              <w:top w:val="nil"/>
              <w:left w:val="nil"/>
              <w:bottom w:val="nil"/>
              <w:right w:val="nil"/>
            </w:tcBorders>
          </w:tcPr>
          <w:p w14:paraId="26A6A34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426" w:type="dxa"/>
            <w:gridSpan w:val="2"/>
            <w:vMerge/>
            <w:tcBorders>
              <w:left w:val="nil"/>
              <w:right w:val="nil"/>
            </w:tcBorders>
          </w:tcPr>
          <w:p w14:paraId="61D39BF9"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991" w:type="dxa"/>
            <w:gridSpan w:val="3"/>
            <w:vMerge w:val="restart"/>
            <w:tcBorders>
              <w:top w:val="single" w:sz="4" w:space="0" w:color="auto"/>
              <w:left w:val="nil"/>
              <w:right w:val="nil"/>
            </w:tcBorders>
            <w:vAlign w:val="center"/>
          </w:tcPr>
          <w:p w14:paraId="0E137D3C"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Yes (%),</w:t>
            </w:r>
          </w:p>
          <w:p w14:paraId="1CB81375"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14</w:t>
            </w:r>
          </w:p>
        </w:tc>
        <w:tc>
          <w:tcPr>
            <w:tcW w:w="1790" w:type="dxa"/>
            <w:gridSpan w:val="2"/>
            <w:tcBorders>
              <w:top w:val="single" w:sz="4" w:space="0" w:color="auto"/>
              <w:left w:val="nil"/>
              <w:bottom w:val="nil"/>
              <w:right w:val="nil"/>
            </w:tcBorders>
            <w:vAlign w:val="center"/>
          </w:tcPr>
          <w:p w14:paraId="5CCF2CDE"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No (%),</w:t>
            </w:r>
          </w:p>
        </w:tc>
        <w:tc>
          <w:tcPr>
            <w:tcW w:w="1062" w:type="dxa"/>
            <w:vMerge/>
            <w:tcBorders>
              <w:left w:val="nil"/>
              <w:right w:val="nil"/>
            </w:tcBorders>
          </w:tcPr>
          <w:p w14:paraId="12F937CA"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2FFD0998" w14:textId="77777777" w:rsidTr="007F24AE">
        <w:trPr>
          <w:trHeight w:val="318"/>
        </w:trPr>
        <w:tc>
          <w:tcPr>
            <w:tcW w:w="2581" w:type="dxa"/>
            <w:tcBorders>
              <w:top w:val="nil"/>
              <w:left w:val="nil"/>
              <w:bottom w:val="single" w:sz="12" w:space="0" w:color="000000"/>
              <w:right w:val="nil"/>
            </w:tcBorders>
          </w:tcPr>
          <w:p w14:paraId="45C75D4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426" w:type="dxa"/>
            <w:gridSpan w:val="2"/>
            <w:vMerge/>
            <w:tcBorders>
              <w:left w:val="nil"/>
              <w:bottom w:val="single" w:sz="12" w:space="0" w:color="000000"/>
              <w:right w:val="nil"/>
            </w:tcBorders>
          </w:tcPr>
          <w:p w14:paraId="0C51E75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991" w:type="dxa"/>
            <w:gridSpan w:val="3"/>
            <w:vMerge/>
            <w:tcBorders>
              <w:left w:val="nil"/>
              <w:bottom w:val="single" w:sz="12" w:space="0" w:color="auto"/>
              <w:right w:val="nil"/>
            </w:tcBorders>
          </w:tcPr>
          <w:p w14:paraId="3D242B07"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790" w:type="dxa"/>
            <w:gridSpan w:val="2"/>
            <w:tcBorders>
              <w:top w:val="nil"/>
              <w:left w:val="nil"/>
              <w:bottom w:val="single" w:sz="12" w:space="0" w:color="auto"/>
              <w:right w:val="nil"/>
            </w:tcBorders>
            <w:vAlign w:val="center"/>
          </w:tcPr>
          <w:p w14:paraId="2F937726"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75</w:t>
            </w:r>
          </w:p>
        </w:tc>
        <w:tc>
          <w:tcPr>
            <w:tcW w:w="1062" w:type="dxa"/>
            <w:vMerge/>
            <w:tcBorders>
              <w:left w:val="nil"/>
              <w:bottom w:val="single" w:sz="12" w:space="0" w:color="000000"/>
              <w:right w:val="nil"/>
            </w:tcBorders>
          </w:tcPr>
          <w:p w14:paraId="474EAAD8"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79ECE345" w14:textId="77777777" w:rsidTr="007F24AE">
        <w:trPr>
          <w:trHeight w:val="398"/>
        </w:trPr>
        <w:tc>
          <w:tcPr>
            <w:tcW w:w="4007" w:type="dxa"/>
            <w:gridSpan w:val="3"/>
            <w:tcBorders>
              <w:top w:val="nil"/>
              <w:left w:val="nil"/>
              <w:bottom w:val="nil"/>
              <w:right w:val="nil"/>
            </w:tcBorders>
          </w:tcPr>
          <w:p w14:paraId="1965DFF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bCs/>
                <w:color w:val="000000"/>
              </w:rPr>
              <w:t>Anti-HBs + anti-HBc total</w:t>
            </w:r>
          </w:p>
        </w:tc>
        <w:tc>
          <w:tcPr>
            <w:tcW w:w="837" w:type="dxa"/>
            <w:gridSpan w:val="2"/>
            <w:tcBorders>
              <w:top w:val="nil"/>
              <w:left w:val="nil"/>
              <w:bottom w:val="nil"/>
              <w:right w:val="nil"/>
            </w:tcBorders>
          </w:tcPr>
          <w:p w14:paraId="744EC99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54" w:type="dxa"/>
            <w:tcBorders>
              <w:top w:val="nil"/>
              <w:left w:val="nil"/>
              <w:bottom w:val="nil"/>
              <w:right w:val="nil"/>
            </w:tcBorders>
          </w:tcPr>
          <w:p w14:paraId="0D98C08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602" w:type="dxa"/>
            <w:tcBorders>
              <w:top w:val="nil"/>
              <w:left w:val="nil"/>
              <w:bottom w:val="nil"/>
              <w:right w:val="nil"/>
            </w:tcBorders>
          </w:tcPr>
          <w:p w14:paraId="381E117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88" w:type="dxa"/>
            <w:tcBorders>
              <w:top w:val="nil"/>
              <w:left w:val="nil"/>
              <w:bottom w:val="nil"/>
              <w:right w:val="nil"/>
            </w:tcBorders>
          </w:tcPr>
          <w:p w14:paraId="7491050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062" w:type="dxa"/>
            <w:tcBorders>
              <w:top w:val="nil"/>
              <w:left w:val="nil"/>
              <w:bottom w:val="nil"/>
              <w:right w:val="nil"/>
            </w:tcBorders>
          </w:tcPr>
          <w:p w14:paraId="7A7BC977" w14:textId="0ED97FAA" w:rsidR="001835B3" w:rsidRPr="00BF0ED0" w:rsidRDefault="00205A72" w:rsidP="00484E7F">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001835B3" w:rsidRPr="00BF0ED0">
              <w:rPr>
                <w:rFonts w:ascii="Book Antiqua" w:hAnsi="Book Antiqua"/>
                <w:color w:val="000000"/>
              </w:rPr>
              <w:t xml:space="preserve"> </w:t>
            </w:r>
          </w:p>
        </w:tc>
      </w:tr>
      <w:tr w:rsidR="001835B3" w:rsidRPr="00BF0ED0" w14:paraId="36DC6EEF" w14:textId="77777777" w:rsidTr="007F24AE">
        <w:trPr>
          <w:trHeight w:val="298"/>
        </w:trPr>
        <w:tc>
          <w:tcPr>
            <w:tcW w:w="2581" w:type="dxa"/>
            <w:tcBorders>
              <w:top w:val="nil"/>
              <w:left w:val="nil"/>
              <w:bottom w:val="nil"/>
              <w:right w:val="nil"/>
            </w:tcBorders>
          </w:tcPr>
          <w:p w14:paraId="0FD7D6D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Positive</w:t>
            </w:r>
          </w:p>
        </w:tc>
        <w:tc>
          <w:tcPr>
            <w:tcW w:w="837" w:type="dxa"/>
            <w:tcBorders>
              <w:top w:val="nil"/>
              <w:left w:val="nil"/>
              <w:bottom w:val="nil"/>
              <w:right w:val="nil"/>
            </w:tcBorders>
          </w:tcPr>
          <w:p w14:paraId="6658B01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13</w:t>
            </w:r>
          </w:p>
        </w:tc>
        <w:tc>
          <w:tcPr>
            <w:tcW w:w="932" w:type="dxa"/>
            <w:gridSpan w:val="2"/>
            <w:tcBorders>
              <w:top w:val="nil"/>
              <w:left w:val="nil"/>
              <w:bottom w:val="nil"/>
              <w:right w:val="nil"/>
            </w:tcBorders>
          </w:tcPr>
          <w:p w14:paraId="7367797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(14.6)</w:t>
            </w:r>
          </w:p>
        </w:tc>
        <w:tc>
          <w:tcPr>
            <w:tcW w:w="494" w:type="dxa"/>
            <w:tcBorders>
              <w:top w:val="nil"/>
              <w:left w:val="nil"/>
              <w:bottom w:val="nil"/>
              <w:right w:val="nil"/>
            </w:tcBorders>
          </w:tcPr>
          <w:p w14:paraId="63AB4BF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154" w:type="dxa"/>
            <w:tcBorders>
              <w:top w:val="nil"/>
              <w:left w:val="nil"/>
              <w:bottom w:val="nil"/>
              <w:right w:val="nil"/>
            </w:tcBorders>
          </w:tcPr>
          <w:p w14:paraId="3D8DB06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-50</w:t>
            </w:r>
          </w:p>
        </w:tc>
        <w:tc>
          <w:tcPr>
            <w:tcW w:w="602" w:type="dxa"/>
            <w:tcBorders>
              <w:top w:val="nil"/>
              <w:left w:val="nil"/>
              <w:bottom w:val="nil"/>
              <w:right w:val="nil"/>
            </w:tcBorders>
          </w:tcPr>
          <w:p w14:paraId="7FB4197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188" w:type="dxa"/>
            <w:tcBorders>
              <w:top w:val="nil"/>
              <w:left w:val="nil"/>
              <w:bottom w:val="nil"/>
              <w:right w:val="nil"/>
            </w:tcBorders>
          </w:tcPr>
          <w:p w14:paraId="3B417B6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-8</w:t>
            </w:r>
          </w:p>
        </w:tc>
        <w:tc>
          <w:tcPr>
            <w:tcW w:w="1062" w:type="dxa"/>
            <w:tcBorders>
              <w:top w:val="nil"/>
              <w:left w:val="nil"/>
              <w:bottom w:val="nil"/>
              <w:right w:val="nil"/>
            </w:tcBorders>
          </w:tcPr>
          <w:p w14:paraId="5A2775BB" w14:textId="1EFFE7BA" w:rsidR="001835B3" w:rsidRPr="00BF0ED0" w:rsidRDefault="001835B3" w:rsidP="00484E7F">
            <w:pPr>
              <w:autoSpaceDE w:val="0"/>
              <w:autoSpaceDN w:val="0"/>
              <w:adjustRightInd w:val="0"/>
              <w:snapToGrid w:val="0"/>
              <w:spacing w:line="360" w:lineRule="auto"/>
              <w:jc w:val="both"/>
              <w:rPr>
                <w:rFonts w:ascii="Book Antiqua" w:eastAsiaTheme="minorEastAsia" w:hAnsi="Book Antiqua"/>
                <w:color w:val="000000"/>
                <w:vertAlign w:val="superscript"/>
                <w:lang w:eastAsia="zh-CN"/>
              </w:rPr>
            </w:pPr>
            <w:r w:rsidRPr="00BF0ED0">
              <w:rPr>
                <w:rFonts w:ascii="Book Antiqua" w:hAnsi="Book Antiqua"/>
                <w:color w:val="000000"/>
              </w:rPr>
              <w:t>0.001</w:t>
            </w:r>
            <w:r w:rsidR="004F36D2" w:rsidRPr="00BF0ED0">
              <w:rPr>
                <w:rFonts w:ascii="Book Antiqua" w:hAnsi="Book Antiqua"/>
                <w:color w:val="000000"/>
                <w:vertAlign w:val="superscript"/>
              </w:rPr>
              <w:t>1</w:t>
            </w:r>
          </w:p>
        </w:tc>
      </w:tr>
      <w:tr w:rsidR="001835B3" w:rsidRPr="00BF0ED0" w14:paraId="5F73E243" w14:textId="77777777" w:rsidTr="007F24AE">
        <w:trPr>
          <w:trHeight w:val="398"/>
        </w:trPr>
        <w:tc>
          <w:tcPr>
            <w:tcW w:w="4007" w:type="dxa"/>
            <w:gridSpan w:val="3"/>
            <w:tcBorders>
              <w:top w:val="nil"/>
              <w:left w:val="nil"/>
              <w:bottom w:val="nil"/>
              <w:right w:val="nil"/>
            </w:tcBorders>
          </w:tcPr>
          <w:p w14:paraId="4198A529" w14:textId="2237BC4B"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bCs/>
                <w:color w:val="000000"/>
              </w:rPr>
              <w:t>Anti-HBs</w:t>
            </w:r>
            <w:r w:rsidR="00205A72">
              <w:rPr>
                <w:rFonts w:ascii="Book Antiqua" w:hAnsi="Book Antiqua"/>
                <w:bCs/>
                <w:color w:val="000000"/>
              </w:rPr>
              <w:t xml:space="preserve"> </w:t>
            </w:r>
            <w:r w:rsidRPr="00BF0ED0">
              <w:rPr>
                <w:rFonts w:ascii="Book Antiqua" w:hAnsi="Book Antiqua"/>
                <w:bCs/>
                <w:color w:val="000000"/>
              </w:rPr>
              <w:t>(anti-HBc negative)</w:t>
            </w:r>
          </w:p>
        </w:tc>
        <w:tc>
          <w:tcPr>
            <w:tcW w:w="837" w:type="dxa"/>
            <w:gridSpan w:val="2"/>
            <w:tcBorders>
              <w:top w:val="nil"/>
              <w:left w:val="nil"/>
              <w:bottom w:val="nil"/>
              <w:right w:val="nil"/>
            </w:tcBorders>
          </w:tcPr>
          <w:p w14:paraId="1804E3A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54" w:type="dxa"/>
            <w:tcBorders>
              <w:top w:val="nil"/>
              <w:left w:val="nil"/>
              <w:bottom w:val="nil"/>
              <w:right w:val="nil"/>
            </w:tcBorders>
          </w:tcPr>
          <w:p w14:paraId="0E9F05C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602" w:type="dxa"/>
            <w:tcBorders>
              <w:top w:val="nil"/>
              <w:left w:val="nil"/>
              <w:bottom w:val="nil"/>
              <w:right w:val="nil"/>
            </w:tcBorders>
          </w:tcPr>
          <w:p w14:paraId="05ADFB1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88" w:type="dxa"/>
            <w:tcBorders>
              <w:top w:val="nil"/>
              <w:left w:val="nil"/>
              <w:bottom w:val="nil"/>
              <w:right w:val="nil"/>
            </w:tcBorders>
          </w:tcPr>
          <w:p w14:paraId="7E8659A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062" w:type="dxa"/>
            <w:tcBorders>
              <w:top w:val="nil"/>
              <w:left w:val="nil"/>
              <w:bottom w:val="nil"/>
              <w:right w:val="nil"/>
            </w:tcBorders>
          </w:tcPr>
          <w:p w14:paraId="032938C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6F928E94" w14:textId="77777777" w:rsidTr="007F24AE">
        <w:trPr>
          <w:trHeight w:val="298"/>
        </w:trPr>
        <w:tc>
          <w:tcPr>
            <w:tcW w:w="2581" w:type="dxa"/>
            <w:tcBorders>
              <w:top w:val="nil"/>
              <w:left w:val="nil"/>
              <w:bottom w:val="nil"/>
              <w:right w:val="nil"/>
            </w:tcBorders>
          </w:tcPr>
          <w:p w14:paraId="7BBC187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Positive</w:t>
            </w:r>
          </w:p>
        </w:tc>
        <w:tc>
          <w:tcPr>
            <w:tcW w:w="837" w:type="dxa"/>
            <w:tcBorders>
              <w:top w:val="nil"/>
              <w:left w:val="nil"/>
              <w:bottom w:val="nil"/>
              <w:right w:val="nil"/>
            </w:tcBorders>
          </w:tcPr>
          <w:p w14:paraId="7A0405F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w:t>
            </w:r>
          </w:p>
        </w:tc>
        <w:tc>
          <w:tcPr>
            <w:tcW w:w="932" w:type="dxa"/>
            <w:gridSpan w:val="2"/>
            <w:tcBorders>
              <w:top w:val="nil"/>
              <w:left w:val="nil"/>
              <w:bottom w:val="nil"/>
              <w:right w:val="nil"/>
            </w:tcBorders>
          </w:tcPr>
          <w:p w14:paraId="0766BCE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(34.8)</w:t>
            </w:r>
          </w:p>
        </w:tc>
        <w:tc>
          <w:tcPr>
            <w:tcW w:w="494" w:type="dxa"/>
            <w:tcBorders>
              <w:top w:val="nil"/>
              <w:left w:val="nil"/>
              <w:bottom w:val="nil"/>
              <w:right w:val="nil"/>
            </w:tcBorders>
          </w:tcPr>
          <w:p w14:paraId="0B6A162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w:t>
            </w:r>
          </w:p>
        </w:tc>
        <w:tc>
          <w:tcPr>
            <w:tcW w:w="1154" w:type="dxa"/>
            <w:tcBorders>
              <w:top w:val="nil"/>
              <w:left w:val="nil"/>
              <w:bottom w:val="nil"/>
              <w:right w:val="nil"/>
            </w:tcBorders>
          </w:tcPr>
          <w:p w14:paraId="7FE1ACE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(28.6)</w:t>
            </w:r>
          </w:p>
        </w:tc>
        <w:tc>
          <w:tcPr>
            <w:tcW w:w="602" w:type="dxa"/>
            <w:tcBorders>
              <w:top w:val="nil"/>
              <w:left w:val="nil"/>
              <w:bottom w:val="nil"/>
              <w:right w:val="nil"/>
            </w:tcBorders>
          </w:tcPr>
          <w:p w14:paraId="0FB279E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w:t>
            </w:r>
          </w:p>
        </w:tc>
        <w:tc>
          <w:tcPr>
            <w:tcW w:w="1188" w:type="dxa"/>
            <w:tcBorders>
              <w:top w:val="nil"/>
              <w:left w:val="nil"/>
              <w:bottom w:val="nil"/>
              <w:right w:val="nil"/>
            </w:tcBorders>
          </w:tcPr>
          <w:p w14:paraId="4CFC3D8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-36</w:t>
            </w:r>
          </w:p>
        </w:tc>
        <w:tc>
          <w:tcPr>
            <w:tcW w:w="1062" w:type="dxa"/>
            <w:tcBorders>
              <w:top w:val="nil"/>
              <w:left w:val="nil"/>
              <w:bottom w:val="nil"/>
              <w:right w:val="nil"/>
            </w:tcBorders>
          </w:tcPr>
          <w:p w14:paraId="03D077DA" w14:textId="2070B1DB"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0.590</w:t>
            </w:r>
            <w:r w:rsidR="001939B4" w:rsidRPr="00BF0ED0">
              <w:rPr>
                <w:rFonts w:ascii="Book Antiqua" w:hAnsi="Book Antiqua"/>
                <w:color w:val="000000"/>
                <w:vertAlign w:val="superscript"/>
              </w:rPr>
              <w:t>1</w:t>
            </w:r>
          </w:p>
        </w:tc>
      </w:tr>
      <w:tr w:rsidR="001835B3" w:rsidRPr="00BF0ED0" w14:paraId="52B80A1D" w14:textId="77777777" w:rsidTr="007F24AE">
        <w:trPr>
          <w:trHeight w:val="398"/>
        </w:trPr>
        <w:tc>
          <w:tcPr>
            <w:tcW w:w="4007" w:type="dxa"/>
            <w:gridSpan w:val="3"/>
            <w:tcBorders>
              <w:top w:val="nil"/>
              <w:left w:val="nil"/>
              <w:bottom w:val="nil"/>
              <w:right w:val="nil"/>
            </w:tcBorders>
          </w:tcPr>
          <w:p w14:paraId="6474C04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bCs/>
                <w:color w:val="000000"/>
              </w:rPr>
              <w:t>Anti-HBs + anti-HBc total</w:t>
            </w:r>
          </w:p>
        </w:tc>
        <w:tc>
          <w:tcPr>
            <w:tcW w:w="837" w:type="dxa"/>
            <w:gridSpan w:val="2"/>
            <w:tcBorders>
              <w:top w:val="nil"/>
              <w:left w:val="nil"/>
              <w:bottom w:val="nil"/>
              <w:right w:val="nil"/>
            </w:tcBorders>
          </w:tcPr>
          <w:p w14:paraId="6E01F94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54" w:type="dxa"/>
            <w:tcBorders>
              <w:top w:val="nil"/>
              <w:left w:val="nil"/>
              <w:bottom w:val="nil"/>
              <w:right w:val="nil"/>
            </w:tcBorders>
          </w:tcPr>
          <w:p w14:paraId="5CC3FDB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602" w:type="dxa"/>
            <w:tcBorders>
              <w:top w:val="nil"/>
              <w:left w:val="nil"/>
              <w:bottom w:val="nil"/>
              <w:right w:val="nil"/>
            </w:tcBorders>
          </w:tcPr>
          <w:p w14:paraId="65E8497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88" w:type="dxa"/>
            <w:tcBorders>
              <w:top w:val="nil"/>
              <w:left w:val="nil"/>
              <w:bottom w:val="nil"/>
              <w:right w:val="nil"/>
            </w:tcBorders>
          </w:tcPr>
          <w:p w14:paraId="1B563B3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062" w:type="dxa"/>
            <w:tcBorders>
              <w:top w:val="nil"/>
              <w:left w:val="nil"/>
              <w:bottom w:val="nil"/>
              <w:right w:val="nil"/>
            </w:tcBorders>
          </w:tcPr>
          <w:p w14:paraId="562B35B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26517839" w14:textId="77777777" w:rsidTr="007F24AE">
        <w:trPr>
          <w:trHeight w:val="318"/>
        </w:trPr>
        <w:tc>
          <w:tcPr>
            <w:tcW w:w="2581" w:type="dxa"/>
            <w:tcBorders>
              <w:top w:val="nil"/>
              <w:left w:val="nil"/>
              <w:bottom w:val="single" w:sz="12" w:space="0" w:color="auto"/>
              <w:right w:val="nil"/>
            </w:tcBorders>
          </w:tcPr>
          <w:p w14:paraId="7968DE9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Negative</w:t>
            </w:r>
          </w:p>
        </w:tc>
        <w:tc>
          <w:tcPr>
            <w:tcW w:w="837" w:type="dxa"/>
            <w:tcBorders>
              <w:top w:val="nil"/>
              <w:left w:val="nil"/>
              <w:bottom w:val="single" w:sz="12" w:space="0" w:color="auto"/>
              <w:right w:val="nil"/>
            </w:tcBorders>
          </w:tcPr>
          <w:p w14:paraId="472F26F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45</w:t>
            </w:r>
          </w:p>
        </w:tc>
        <w:tc>
          <w:tcPr>
            <w:tcW w:w="932" w:type="dxa"/>
            <w:gridSpan w:val="2"/>
            <w:tcBorders>
              <w:top w:val="nil"/>
              <w:left w:val="nil"/>
              <w:bottom w:val="single" w:sz="12" w:space="0" w:color="auto"/>
              <w:right w:val="nil"/>
            </w:tcBorders>
          </w:tcPr>
          <w:p w14:paraId="76F66D8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(50.6)</w:t>
            </w:r>
          </w:p>
        </w:tc>
        <w:tc>
          <w:tcPr>
            <w:tcW w:w="494" w:type="dxa"/>
            <w:tcBorders>
              <w:top w:val="nil"/>
              <w:left w:val="nil"/>
              <w:bottom w:val="single" w:sz="12" w:space="0" w:color="auto"/>
              <w:right w:val="nil"/>
            </w:tcBorders>
          </w:tcPr>
          <w:p w14:paraId="66D4BCC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w:t>
            </w:r>
          </w:p>
        </w:tc>
        <w:tc>
          <w:tcPr>
            <w:tcW w:w="1154" w:type="dxa"/>
            <w:tcBorders>
              <w:top w:val="nil"/>
              <w:left w:val="nil"/>
              <w:bottom w:val="single" w:sz="12" w:space="0" w:color="auto"/>
              <w:right w:val="nil"/>
            </w:tcBorders>
          </w:tcPr>
          <w:p w14:paraId="0A5B8F3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(21.4)</w:t>
            </w:r>
          </w:p>
        </w:tc>
        <w:tc>
          <w:tcPr>
            <w:tcW w:w="602" w:type="dxa"/>
            <w:tcBorders>
              <w:top w:val="nil"/>
              <w:left w:val="nil"/>
              <w:bottom w:val="single" w:sz="12" w:space="0" w:color="auto"/>
              <w:right w:val="nil"/>
            </w:tcBorders>
          </w:tcPr>
          <w:p w14:paraId="7590FD4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42</w:t>
            </w:r>
          </w:p>
        </w:tc>
        <w:tc>
          <w:tcPr>
            <w:tcW w:w="1188" w:type="dxa"/>
            <w:tcBorders>
              <w:top w:val="nil"/>
              <w:left w:val="nil"/>
              <w:bottom w:val="single" w:sz="12" w:space="0" w:color="auto"/>
              <w:right w:val="nil"/>
            </w:tcBorders>
          </w:tcPr>
          <w:p w14:paraId="56525D2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-56</w:t>
            </w:r>
          </w:p>
        </w:tc>
        <w:tc>
          <w:tcPr>
            <w:tcW w:w="1062" w:type="dxa"/>
            <w:tcBorders>
              <w:top w:val="nil"/>
              <w:left w:val="nil"/>
              <w:bottom w:val="single" w:sz="12" w:space="0" w:color="auto"/>
              <w:right w:val="nil"/>
            </w:tcBorders>
          </w:tcPr>
          <w:p w14:paraId="30CC3D1E" w14:textId="5A699B1E" w:rsidR="001835B3" w:rsidRPr="00BF0ED0" w:rsidRDefault="001835B3" w:rsidP="00484E7F">
            <w:pPr>
              <w:autoSpaceDE w:val="0"/>
              <w:autoSpaceDN w:val="0"/>
              <w:adjustRightInd w:val="0"/>
              <w:snapToGrid w:val="0"/>
              <w:spacing w:line="360" w:lineRule="auto"/>
              <w:jc w:val="both"/>
              <w:rPr>
                <w:rFonts w:ascii="Book Antiqua" w:hAnsi="Book Antiqua"/>
                <w:color w:val="000000"/>
                <w:vertAlign w:val="superscript"/>
              </w:rPr>
            </w:pPr>
            <w:r w:rsidRPr="00BF0ED0">
              <w:rPr>
                <w:rFonts w:ascii="Book Antiqua" w:hAnsi="Book Antiqua"/>
                <w:color w:val="000000"/>
              </w:rPr>
              <w:t>0.01</w:t>
            </w:r>
            <w:r w:rsidR="001939B4" w:rsidRPr="00BF0ED0">
              <w:rPr>
                <w:rFonts w:ascii="Book Antiqua" w:hAnsi="Book Antiqua"/>
                <w:color w:val="000000"/>
                <w:vertAlign w:val="superscript"/>
              </w:rPr>
              <w:t>1</w:t>
            </w:r>
          </w:p>
        </w:tc>
      </w:tr>
    </w:tbl>
    <w:p w14:paraId="1E7DF1C2" w14:textId="1A7BC463" w:rsidR="001835B3" w:rsidRPr="00BF0ED0" w:rsidRDefault="001939B4" w:rsidP="00484E7F">
      <w:pPr>
        <w:adjustRightInd w:val="0"/>
        <w:snapToGrid w:val="0"/>
        <w:spacing w:line="360" w:lineRule="auto"/>
        <w:jc w:val="both"/>
        <w:rPr>
          <w:rFonts w:ascii="Book Antiqua" w:hAnsi="Book Antiqua"/>
        </w:rPr>
      </w:pPr>
      <w:r w:rsidRPr="00BF0ED0">
        <w:rPr>
          <w:rFonts w:ascii="Book Antiqua" w:hAnsi="Book Antiqua"/>
          <w:vertAlign w:val="superscript"/>
        </w:rPr>
        <w:t>1</w:t>
      </w:r>
      <w:r w:rsidR="00481467" w:rsidRPr="00BF0ED0">
        <w:rPr>
          <w:rFonts w:ascii="Book Antiqua" w:hAnsi="Book Antiqua"/>
        </w:rPr>
        <w:t>Fisher’s exact test</w:t>
      </w:r>
      <w:r w:rsidR="001835B3" w:rsidRPr="00BF0ED0">
        <w:rPr>
          <w:rFonts w:ascii="Book Antiqua" w:hAnsi="Book Antiqua"/>
        </w:rPr>
        <w:t>. HBc: Hepatitis B core protein; HBs: Hepatitis B surface protein; HBV: Hepatitis B virus;</w:t>
      </w:r>
      <w:r w:rsidR="001835B3" w:rsidRPr="00BF0ED0">
        <w:rPr>
          <w:rFonts w:ascii="Book Antiqua" w:hAnsi="Book Antiqua"/>
          <w:b/>
        </w:rPr>
        <w:t xml:space="preserve"> </w:t>
      </w:r>
      <w:r w:rsidR="001835B3" w:rsidRPr="00BF0ED0">
        <w:rPr>
          <w:rFonts w:ascii="Book Antiqua" w:hAnsi="Book Antiqua"/>
        </w:rPr>
        <w:t>HCV: Hepatitis C virus.</w:t>
      </w:r>
    </w:p>
    <w:p w14:paraId="60B06B27" w14:textId="37C8D920" w:rsidR="00FE4E40" w:rsidRPr="00BF0ED0" w:rsidRDefault="00FE4E40" w:rsidP="00484E7F">
      <w:pPr>
        <w:adjustRightInd w:val="0"/>
        <w:snapToGrid w:val="0"/>
        <w:spacing w:line="360" w:lineRule="auto"/>
        <w:rPr>
          <w:rFonts w:ascii="Book Antiqua" w:hAnsi="Book Antiqua"/>
        </w:rPr>
      </w:pPr>
    </w:p>
    <w:p w14:paraId="2F3E6EED" w14:textId="09324CD2" w:rsidR="00F57C66" w:rsidRPr="00BF0ED0" w:rsidRDefault="00F57C66" w:rsidP="00484E7F">
      <w:pPr>
        <w:adjustRightInd w:val="0"/>
        <w:snapToGrid w:val="0"/>
        <w:spacing w:line="360" w:lineRule="auto"/>
        <w:rPr>
          <w:rFonts w:ascii="Book Antiqua" w:hAnsi="Book Antiqua"/>
        </w:rPr>
      </w:pPr>
    </w:p>
    <w:p w14:paraId="69B9DC25" w14:textId="1A3F58B3" w:rsidR="00F57C66" w:rsidRPr="00BF0ED0" w:rsidRDefault="00F57C66" w:rsidP="00484E7F">
      <w:pPr>
        <w:adjustRightInd w:val="0"/>
        <w:snapToGrid w:val="0"/>
        <w:spacing w:line="360" w:lineRule="auto"/>
        <w:rPr>
          <w:rFonts w:ascii="Book Antiqua" w:hAnsi="Book Antiqua"/>
        </w:rPr>
      </w:pPr>
    </w:p>
    <w:p w14:paraId="0B3A9C07" w14:textId="62807994" w:rsidR="00F57C66" w:rsidRPr="00BF0ED0" w:rsidRDefault="00F57C66" w:rsidP="00484E7F">
      <w:pPr>
        <w:adjustRightInd w:val="0"/>
        <w:snapToGrid w:val="0"/>
        <w:spacing w:line="360" w:lineRule="auto"/>
        <w:rPr>
          <w:rFonts w:ascii="Book Antiqua" w:hAnsi="Book Antiqua"/>
        </w:rPr>
      </w:pPr>
    </w:p>
    <w:p w14:paraId="75C51614" w14:textId="24ECEC03" w:rsidR="00F57C66" w:rsidRPr="00BF0ED0" w:rsidRDefault="00F57C66" w:rsidP="00484E7F">
      <w:pPr>
        <w:adjustRightInd w:val="0"/>
        <w:snapToGrid w:val="0"/>
        <w:spacing w:line="360" w:lineRule="auto"/>
        <w:rPr>
          <w:rFonts w:ascii="Book Antiqua" w:hAnsi="Book Antiqua"/>
        </w:rPr>
      </w:pPr>
    </w:p>
    <w:p w14:paraId="3026F48D" w14:textId="6180874F" w:rsidR="00F57C66" w:rsidRPr="00BF0ED0" w:rsidRDefault="00F57C66" w:rsidP="00484E7F">
      <w:pPr>
        <w:adjustRightInd w:val="0"/>
        <w:snapToGrid w:val="0"/>
        <w:spacing w:line="360" w:lineRule="auto"/>
        <w:rPr>
          <w:rFonts w:ascii="Book Antiqua" w:hAnsi="Book Antiqua"/>
        </w:rPr>
      </w:pPr>
    </w:p>
    <w:p w14:paraId="1AD3C37C" w14:textId="48FF2119" w:rsidR="00F57C66" w:rsidRPr="00BF0ED0" w:rsidRDefault="00F57C66" w:rsidP="00484E7F">
      <w:pPr>
        <w:adjustRightInd w:val="0"/>
        <w:snapToGrid w:val="0"/>
        <w:spacing w:line="360" w:lineRule="auto"/>
        <w:rPr>
          <w:rFonts w:ascii="Book Antiqua" w:hAnsi="Book Antiqua"/>
        </w:rPr>
      </w:pPr>
    </w:p>
    <w:p w14:paraId="7EA586A2" w14:textId="2F2AEACA" w:rsidR="00F57C66" w:rsidRPr="00BF0ED0" w:rsidRDefault="00F57C66" w:rsidP="00484E7F">
      <w:pPr>
        <w:adjustRightInd w:val="0"/>
        <w:snapToGrid w:val="0"/>
        <w:spacing w:line="360" w:lineRule="auto"/>
        <w:rPr>
          <w:rFonts w:ascii="Book Antiqua" w:hAnsi="Book Antiqua"/>
        </w:rPr>
      </w:pPr>
    </w:p>
    <w:p w14:paraId="1C7E1DA1" w14:textId="2D435F97" w:rsidR="00F57C66" w:rsidRPr="00BF0ED0" w:rsidRDefault="00F57C66" w:rsidP="00484E7F">
      <w:pPr>
        <w:adjustRightInd w:val="0"/>
        <w:snapToGrid w:val="0"/>
        <w:spacing w:line="360" w:lineRule="auto"/>
        <w:rPr>
          <w:rFonts w:ascii="Book Antiqua" w:hAnsi="Book Antiqua"/>
        </w:rPr>
      </w:pPr>
    </w:p>
    <w:p w14:paraId="0CB6DCE1" w14:textId="5E445FFB" w:rsidR="00F57C66" w:rsidRPr="00BF0ED0" w:rsidRDefault="00F57C66" w:rsidP="00484E7F">
      <w:pPr>
        <w:adjustRightInd w:val="0"/>
        <w:snapToGrid w:val="0"/>
        <w:spacing w:line="360" w:lineRule="auto"/>
        <w:rPr>
          <w:rFonts w:ascii="Book Antiqua" w:hAnsi="Book Antiqua"/>
        </w:rPr>
      </w:pPr>
    </w:p>
    <w:p w14:paraId="0022FB87" w14:textId="59180744" w:rsidR="00F57C66" w:rsidRPr="00BF0ED0" w:rsidRDefault="00F57C66" w:rsidP="00484E7F">
      <w:pPr>
        <w:adjustRightInd w:val="0"/>
        <w:snapToGrid w:val="0"/>
        <w:spacing w:line="360" w:lineRule="auto"/>
        <w:rPr>
          <w:rFonts w:ascii="Book Antiqua" w:hAnsi="Book Antiqua"/>
        </w:rPr>
      </w:pPr>
    </w:p>
    <w:p w14:paraId="09DB8F67" w14:textId="47192029" w:rsidR="00F57C66" w:rsidRPr="00BF0ED0" w:rsidRDefault="00F57C66" w:rsidP="00484E7F">
      <w:pPr>
        <w:adjustRightInd w:val="0"/>
        <w:snapToGrid w:val="0"/>
        <w:spacing w:line="360" w:lineRule="auto"/>
        <w:rPr>
          <w:rFonts w:ascii="Book Antiqua" w:hAnsi="Book Antiqua"/>
        </w:rPr>
      </w:pPr>
    </w:p>
    <w:p w14:paraId="29F39226" w14:textId="003A79B3" w:rsidR="00F57C66" w:rsidRPr="00BF0ED0" w:rsidRDefault="00F57C66" w:rsidP="00484E7F">
      <w:pPr>
        <w:adjustRightInd w:val="0"/>
        <w:snapToGrid w:val="0"/>
        <w:spacing w:line="360" w:lineRule="auto"/>
        <w:rPr>
          <w:rFonts w:ascii="Book Antiqua" w:hAnsi="Book Antiqua"/>
        </w:rPr>
      </w:pPr>
    </w:p>
    <w:p w14:paraId="5E5B7CDA" w14:textId="76D19335" w:rsidR="00F57C66" w:rsidRPr="00BF0ED0" w:rsidRDefault="00F57C66" w:rsidP="00484E7F">
      <w:pPr>
        <w:adjustRightInd w:val="0"/>
        <w:snapToGrid w:val="0"/>
        <w:spacing w:line="360" w:lineRule="auto"/>
        <w:rPr>
          <w:rFonts w:ascii="Book Antiqua" w:hAnsi="Book Antiqua"/>
        </w:rPr>
      </w:pPr>
    </w:p>
    <w:p w14:paraId="61094293" w14:textId="3B4BF804" w:rsidR="00F57C66" w:rsidRPr="00BF0ED0" w:rsidRDefault="00F57C66" w:rsidP="00484E7F">
      <w:pPr>
        <w:adjustRightInd w:val="0"/>
        <w:snapToGrid w:val="0"/>
        <w:spacing w:line="360" w:lineRule="auto"/>
        <w:rPr>
          <w:rFonts w:ascii="Book Antiqua" w:hAnsi="Book Antiqua"/>
        </w:rPr>
      </w:pPr>
    </w:p>
    <w:p w14:paraId="6C767988" w14:textId="53F99C78" w:rsidR="00F57C66" w:rsidRPr="00BF0ED0" w:rsidRDefault="00F57C66" w:rsidP="00484E7F">
      <w:pPr>
        <w:adjustRightInd w:val="0"/>
        <w:snapToGrid w:val="0"/>
        <w:spacing w:line="360" w:lineRule="auto"/>
        <w:rPr>
          <w:rFonts w:ascii="Book Antiqua" w:hAnsi="Book Antiqua"/>
        </w:rPr>
      </w:pPr>
    </w:p>
    <w:p w14:paraId="29F493DE" w14:textId="26D9712F" w:rsidR="00F57C66" w:rsidRPr="00BF0ED0" w:rsidRDefault="00F57C66" w:rsidP="00484E7F">
      <w:pPr>
        <w:adjustRightInd w:val="0"/>
        <w:snapToGrid w:val="0"/>
        <w:spacing w:line="360" w:lineRule="auto"/>
        <w:rPr>
          <w:rFonts w:ascii="Book Antiqua" w:hAnsi="Book Antiqua"/>
        </w:rPr>
      </w:pPr>
    </w:p>
    <w:p w14:paraId="7ED7E120" w14:textId="3AE48CA6" w:rsidR="00F57C66" w:rsidRPr="00BF0ED0" w:rsidRDefault="00F57C66" w:rsidP="00484E7F">
      <w:pPr>
        <w:adjustRightInd w:val="0"/>
        <w:snapToGrid w:val="0"/>
        <w:spacing w:line="360" w:lineRule="auto"/>
        <w:rPr>
          <w:rFonts w:ascii="Book Antiqua" w:hAnsi="Book Antiqua"/>
        </w:rPr>
      </w:pPr>
    </w:p>
    <w:p w14:paraId="6CF4983D" w14:textId="7E81577D" w:rsidR="00F57C66" w:rsidRPr="00BF0ED0" w:rsidRDefault="00F57C66" w:rsidP="00484E7F">
      <w:pPr>
        <w:adjustRightInd w:val="0"/>
        <w:snapToGrid w:val="0"/>
        <w:spacing w:line="360" w:lineRule="auto"/>
        <w:rPr>
          <w:rFonts w:ascii="Book Antiqua" w:hAnsi="Book Antiqua"/>
        </w:rPr>
      </w:pPr>
    </w:p>
    <w:p w14:paraId="43065603" w14:textId="651E97D1" w:rsidR="00F57C66" w:rsidRPr="00BF0ED0" w:rsidRDefault="00F57C66" w:rsidP="00484E7F">
      <w:pPr>
        <w:adjustRightInd w:val="0"/>
        <w:snapToGrid w:val="0"/>
        <w:spacing w:line="360" w:lineRule="auto"/>
        <w:rPr>
          <w:rFonts w:ascii="Book Antiqua" w:hAnsi="Book Antiqua"/>
        </w:rPr>
      </w:pPr>
    </w:p>
    <w:p w14:paraId="61B307E3" w14:textId="2C427CF0" w:rsidR="00F57C66" w:rsidRPr="00BF0ED0" w:rsidRDefault="00F57C66" w:rsidP="00484E7F">
      <w:pPr>
        <w:adjustRightInd w:val="0"/>
        <w:snapToGrid w:val="0"/>
        <w:spacing w:line="360" w:lineRule="auto"/>
        <w:rPr>
          <w:rFonts w:ascii="Book Antiqua" w:hAnsi="Book Antiqua"/>
        </w:rPr>
      </w:pPr>
    </w:p>
    <w:p w14:paraId="0DBFC521" w14:textId="10FA3079" w:rsidR="00F57C66" w:rsidRPr="00BF0ED0" w:rsidRDefault="00F57C66" w:rsidP="00484E7F">
      <w:pPr>
        <w:adjustRightInd w:val="0"/>
        <w:snapToGrid w:val="0"/>
        <w:spacing w:line="360" w:lineRule="auto"/>
        <w:rPr>
          <w:rFonts w:ascii="Book Antiqua" w:hAnsi="Book Antiqua"/>
        </w:rPr>
      </w:pPr>
    </w:p>
    <w:p w14:paraId="69224F3F" w14:textId="77777777" w:rsidR="00F57C66" w:rsidRPr="00BF0ED0" w:rsidRDefault="00F57C66" w:rsidP="00484E7F">
      <w:pPr>
        <w:adjustRightInd w:val="0"/>
        <w:snapToGrid w:val="0"/>
        <w:spacing w:line="360" w:lineRule="auto"/>
        <w:rPr>
          <w:rFonts w:ascii="Book Antiqua" w:hAnsi="Book Antiqua"/>
        </w:rPr>
      </w:pPr>
    </w:p>
    <w:p w14:paraId="508341BF" w14:textId="1E0CAD1E" w:rsidR="00F57C66" w:rsidRPr="00BF0ED0" w:rsidRDefault="00F57C66" w:rsidP="00484E7F">
      <w:pPr>
        <w:adjustRightInd w:val="0"/>
        <w:snapToGrid w:val="0"/>
        <w:spacing w:line="360" w:lineRule="auto"/>
        <w:jc w:val="both"/>
        <w:rPr>
          <w:rFonts w:ascii="Book Antiqua" w:hAnsi="Book Antiqua"/>
          <w:lang w:val="en-US"/>
        </w:rPr>
      </w:pPr>
    </w:p>
    <w:p w14:paraId="2354F91B" w14:textId="77777777" w:rsidR="00F57C66" w:rsidRPr="00BF0ED0" w:rsidRDefault="00F57C66" w:rsidP="00484E7F">
      <w:pPr>
        <w:adjustRightInd w:val="0"/>
        <w:snapToGrid w:val="0"/>
        <w:spacing w:line="360" w:lineRule="auto"/>
        <w:jc w:val="both"/>
        <w:rPr>
          <w:rFonts w:ascii="Book Antiqua" w:hAnsi="Book Antiqua"/>
          <w:lang w:val="en-US"/>
        </w:rPr>
      </w:pPr>
    </w:p>
    <w:p w14:paraId="2DD01BA4" w14:textId="706918C7" w:rsidR="00F57C66" w:rsidRPr="00BF0ED0" w:rsidRDefault="00F57C66"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noProof/>
          <w:lang w:val="en-US" w:eastAsia="zh-CN"/>
        </w:rPr>
        <w:drawing>
          <wp:inline distT="0" distB="0" distL="0" distR="0" wp14:anchorId="0AE8828E" wp14:editId="58409128">
            <wp:extent cx="5311588" cy="4449620"/>
            <wp:effectExtent l="12700" t="12700" r="1016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2505" cy="4458765"/>
                    </a:xfrm>
                    <a:prstGeom prst="rect">
                      <a:avLst/>
                    </a:prstGeom>
                    <a:ln>
                      <a:solidFill>
                        <a:schemeClr val="accent1">
                          <a:alpha val="70000"/>
                        </a:schemeClr>
                      </a:solidFill>
                    </a:ln>
                  </pic:spPr>
                </pic:pic>
              </a:graphicData>
            </a:graphic>
          </wp:inline>
        </w:drawing>
      </w:r>
    </w:p>
    <w:p w14:paraId="675A0F1E" w14:textId="38DA1E9D" w:rsidR="00481467" w:rsidRPr="00BF0ED0" w:rsidRDefault="00481467"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b/>
          <w:lang w:val="en-US"/>
        </w:rPr>
        <w:t>Figure 1 Electrophoresis showing a positive sample visualized on the SYBR-safe gel through the L-PIX Transilluminator (</w:t>
      </w:r>
      <w:proofErr w:type="spellStart"/>
      <w:r w:rsidRPr="00BF0ED0">
        <w:rPr>
          <w:rFonts w:ascii="Book Antiqua" w:hAnsi="Book Antiqua"/>
          <w:b/>
          <w:lang w:val="en-US"/>
        </w:rPr>
        <w:t>Loccus</w:t>
      </w:r>
      <w:proofErr w:type="spellEnd"/>
      <w:r w:rsidRPr="00BF0ED0">
        <w:rPr>
          <w:rFonts w:ascii="Book Antiqua" w:hAnsi="Book Antiqua"/>
          <w:b/>
          <w:lang w:val="en-US"/>
        </w:rPr>
        <w:t>, São Paulo, Brazil).</w:t>
      </w:r>
    </w:p>
    <w:p w14:paraId="0502ED16" w14:textId="77777777" w:rsidR="00481467" w:rsidRPr="00BF0ED0" w:rsidRDefault="00481467" w:rsidP="00484E7F">
      <w:pPr>
        <w:adjustRightInd w:val="0"/>
        <w:snapToGrid w:val="0"/>
        <w:spacing w:line="360" w:lineRule="auto"/>
        <w:jc w:val="both"/>
        <w:rPr>
          <w:rFonts w:ascii="Book Antiqua" w:eastAsiaTheme="minorEastAsia" w:hAnsi="Book Antiqua"/>
          <w:lang w:eastAsia="zh-CN"/>
        </w:rPr>
      </w:pPr>
    </w:p>
    <w:sectPr w:rsidR="00481467" w:rsidRPr="00BF0E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C900" w14:textId="77777777" w:rsidR="003847BE" w:rsidRDefault="003847BE" w:rsidP="001835B3">
      <w:r>
        <w:separator/>
      </w:r>
    </w:p>
  </w:endnote>
  <w:endnote w:type="continuationSeparator" w:id="0">
    <w:p w14:paraId="67967290" w14:textId="77777777" w:rsidR="003847BE" w:rsidRDefault="003847BE" w:rsidP="0018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Droid Sans">
    <w:altName w:val="MS Mincho"/>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9EEA" w14:textId="77777777" w:rsidR="002F727E" w:rsidRDefault="002F727E" w:rsidP="007F2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0046F5" w14:textId="77777777" w:rsidR="002F727E" w:rsidRDefault="002F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A2B0" w14:textId="77777777" w:rsidR="002F727E" w:rsidRPr="00E53D2E" w:rsidRDefault="002F727E" w:rsidP="007F24AE">
    <w:pPr>
      <w:pStyle w:val="Footer"/>
      <w:framePr w:wrap="none" w:vAnchor="text" w:hAnchor="margin" w:xAlign="center" w:y="1"/>
      <w:rPr>
        <w:rStyle w:val="PageNumber"/>
        <w:rFonts w:ascii="Book Antiqua" w:hAnsi="Book Antiqua"/>
        <w:sz w:val="24"/>
        <w:szCs w:val="24"/>
      </w:rPr>
    </w:pPr>
    <w:r w:rsidRPr="00E53D2E">
      <w:rPr>
        <w:rStyle w:val="PageNumber"/>
        <w:rFonts w:ascii="Book Antiqua" w:hAnsi="Book Antiqua"/>
        <w:sz w:val="24"/>
        <w:szCs w:val="24"/>
      </w:rPr>
      <w:fldChar w:fldCharType="begin"/>
    </w:r>
    <w:r w:rsidRPr="00E53D2E">
      <w:rPr>
        <w:rStyle w:val="PageNumber"/>
        <w:rFonts w:ascii="Book Antiqua" w:hAnsi="Book Antiqua"/>
        <w:sz w:val="24"/>
        <w:szCs w:val="24"/>
      </w:rPr>
      <w:instrText xml:space="preserve"> PAGE </w:instrText>
    </w:r>
    <w:r w:rsidRPr="00E53D2E">
      <w:rPr>
        <w:rStyle w:val="PageNumber"/>
        <w:rFonts w:ascii="Book Antiqua" w:hAnsi="Book Antiqua"/>
        <w:sz w:val="24"/>
        <w:szCs w:val="24"/>
      </w:rPr>
      <w:fldChar w:fldCharType="separate"/>
    </w:r>
    <w:r>
      <w:rPr>
        <w:rStyle w:val="PageNumber"/>
        <w:rFonts w:ascii="Book Antiqua" w:hAnsi="Book Antiqua"/>
        <w:noProof/>
        <w:sz w:val="24"/>
        <w:szCs w:val="24"/>
      </w:rPr>
      <w:t>1</w:t>
    </w:r>
    <w:r w:rsidRPr="00E53D2E">
      <w:rPr>
        <w:rStyle w:val="PageNumber"/>
        <w:rFonts w:ascii="Book Antiqua" w:hAnsi="Book Antiqua"/>
        <w:sz w:val="24"/>
        <w:szCs w:val="24"/>
      </w:rPr>
      <w:fldChar w:fldCharType="end"/>
    </w:r>
  </w:p>
  <w:p w14:paraId="6DD9FD25" w14:textId="77777777" w:rsidR="002F727E" w:rsidRPr="00E53D2E" w:rsidRDefault="002F727E">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53DC" w14:textId="77777777" w:rsidR="003847BE" w:rsidRDefault="003847BE" w:rsidP="001835B3">
      <w:r>
        <w:separator/>
      </w:r>
    </w:p>
  </w:footnote>
  <w:footnote w:type="continuationSeparator" w:id="0">
    <w:p w14:paraId="7B880A9A" w14:textId="77777777" w:rsidR="003847BE" w:rsidRDefault="003847BE" w:rsidP="0018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80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A50C8D"/>
    <w:multiLevelType w:val="hybridMultilevel"/>
    <w:tmpl w:val="B07E7E16"/>
    <w:lvl w:ilvl="0" w:tplc="E30CDF00">
      <w:start w:val="56"/>
      <w:numFmt w:val="bullet"/>
      <w:lvlText w:val=""/>
      <w:lvlJc w:val="left"/>
      <w:pPr>
        <w:ind w:left="820" w:hanging="360"/>
      </w:pPr>
      <w:rPr>
        <w:rFonts w:ascii="Symbol" w:eastAsia="Calibri" w:hAnsi="Symbol" w:cs="Times New Roman"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204802"/>
    <w:multiLevelType w:val="multilevel"/>
    <w:tmpl w:val="628AD6F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BA"/>
    <w:rsid w:val="00002D06"/>
    <w:rsid w:val="000718BA"/>
    <w:rsid w:val="00086313"/>
    <w:rsid w:val="00104E05"/>
    <w:rsid w:val="001835B3"/>
    <w:rsid w:val="001939B4"/>
    <w:rsid w:val="00195189"/>
    <w:rsid w:val="001B5396"/>
    <w:rsid w:val="001C5655"/>
    <w:rsid w:val="00200E71"/>
    <w:rsid w:val="00205A72"/>
    <w:rsid w:val="002542A6"/>
    <w:rsid w:val="00292AFA"/>
    <w:rsid w:val="002A5B2C"/>
    <w:rsid w:val="002F1DE0"/>
    <w:rsid w:val="002F6951"/>
    <w:rsid w:val="002F727E"/>
    <w:rsid w:val="003139EB"/>
    <w:rsid w:val="003847BE"/>
    <w:rsid w:val="003A20B8"/>
    <w:rsid w:val="003A6736"/>
    <w:rsid w:val="00402B99"/>
    <w:rsid w:val="00481467"/>
    <w:rsid w:val="00484E7F"/>
    <w:rsid w:val="004869E5"/>
    <w:rsid w:val="00492EDA"/>
    <w:rsid w:val="004D5807"/>
    <w:rsid w:val="004D6E56"/>
    <w:rsid w:val="004E582D"/>
    <w:rsid w:val="004F36D2"/>
    <w:rsid w:val="0053766D"/>
    <w:rsid w:val="00556AC3"/>
    <w:rsid w:val="00586EDE"/>
    <w:rsid w:val="005C13D2"/>
    <w:rsid w:val="005E5D0B"/>
    <w:rsid w:val="005F570E"/>
    <w:rsid w:val="00600980"/>
    <w:rsid w:val="00616D41"/>
    <w:rsid w:val="00660730"/>
    <w:rsid w:val="00695F9E"/>
    <w:rsid w:val="00696A64"/>
    <w:rsid w:val="006B3762"/>
    <w:rsid w:val="00757972"/>
    <w:rsid w:val="00781B63"/>
    <w:rsid w:val="00781EF4"/>
    <w:rsid w:val="00797A15"/>
    <w:rsid w:val="007A4CED"/>
    <w:rsid w:val="007C1AF9"/>
    <w:rsid w:val="007F24AE"/>
    <w:rsid w:val="00827E14"/>
    <w:rsid w:val="00842D9B"/>
    <w:rsid w:val="00847630"/>
    <w:rsid w:val="00851284"/>
    <w:rsid w:val="00862F99"/>
    <w:rsid w:val="0087382A"/>
    <w:rsid w:val="00873B03"/>
    <w:rsid w:val="00897269"/>
    <w:rsid w:val="008B3CCC"/>
    <w:rsid w:val="008B4C1D"/>
    <w:rsid w:val="008D021D"/>
    <w:rsid w:val="008D2BB0"/>
    <w:rsid w:val="008D499D"/>
    <w:rsid w:val="008D77FC"/>
    <w:rsid w:val="008E579F"/>
    <w:rsid w:val="00923124"/>
    <w:rsid w:val="009346C1"/>
    <w:rsid w:val="009403EC"/>
    <w:rsid w:val="0098363C"/>
    <w:rsid w:val="009B2926"/>
    <w:rsid w:val="009C0CFF"/>
    <w:rsid w:val="00A2217C"/>
    <w:rsid w:val="00A36006"/>
    <w:rsid w:val="00A669F2"/>
    <w:rsid w:val="00A97C45"/>
    <w:rsid w:val="00AB2C9A"/>
    <w:rsid w:val="00B0009A"/>
    <w:rsid w:val="00B34B68"/>
    <w:rsid w:val="00B927F6"/>
    <w:rsid w:val="00BA63E0"/>
    <w:rsid w:val="00BB4BAE"/>
    <w:rsid w:val="00BC0C6A"/>
    <w:rsid w:val="00BC2C72"/>
    <w:rsid w:val="00BF0ED0"/>
    <w:rsid w:val="00BF1373"/>
    <w:rsid w:val="00C02A4D"/>
    <w:rsid w:val="00C97D6B"/>
    <w:rsid w:val="00CB2D5E"/>
    <w:rsid w:val="00CC3914"/>
    <w:rsid w:val="00CC56BB"/>
    <w:rsid w:val="00D11F4E"/>
    <w:rsid w:val="00D14058"/>
    <w:rsid w:val="00D15BA9"/>
    <w:rsid w:val="00D84C45"/>
    <w:rsid w:val="00DE00A8"/>
    <w:rsid w:val="00E01059"/>
    <w:rsid w:val="00E074C9"/>
    <w:rsid w:val="00E074D5"/>
    <w:rsid w:val="00E10ACE"/>
    <w:rsid w:val="00E120AB"/>
    <w:rsid w:val="00E45A85"/>
    <w:rsid w:val="00E576B2"/>
    <w:rsid w:val="00E93A33"/>
    <w:rsid w:val="00EC1BBE"/>
    <w:rsid w:val="00ED3062"/>
    <w:rsid w:val="00F10286"/>
    <w:rsid w:val="00F222F4"/>
    <w:rsid w:val="00F441EC"/>
    <w:rsid w:val="00F57C66"/>
    <w:rsid w:val="00F733AB"/>
    <w:rsid w:val="00F77FDE"/>
    <w:rsid w:val="00FC4BC1"/>
    <w:rsid w:val="00FE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7A261"/>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C66"/>
    <w:rPr>
      <w:rFonts w:ascii="Times New Roman" w:eastAsia="Times New Roman" w:hAnsi="Times New Roman" w:cs="Times New Roman"/>
      <w:kern w:val="0"/>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B3"/>
    <w:pPr>
      <w:pBdr>
        <w:bottom w:val="single" w:sz="6" w:space="1" w:color="auto"/>
      </w:pBdr>
      <w:tabs>
        <w:tab w:val="center" w:pos="4153"/>
        <w:tab w:val="right" w:pos="8306"/>
      </w:tabs>
      <w:snapToGrid w:val="0"/>
      <w:spacing w:after="160" w:line="259" w:lineRule="auto"/>
      <w:jc w:val="center"/>
    </w:pPr>
    <w:rPr>
      <w:rFonts w:ascii="Calibri" w:eastAsiaTheme="minorEastAsia" w:hAnsi="Calibri"/>
      <w:sz w:val="18"/>
      <w:szCs w:val="18"/>
      <w:lang w:val="en-US" w:eastAsia="en-US"/>
    </w:rPr>
  </w:style>
  <w:style w:type="character" w:customStyle="1" w:styleId="HeaderChar">
    <w:name w:val="Header Char"/>
    <w:basedOn w:val="DefaultParagraphFont"/>
    <w:link w:val="Header"/>
    <w:uiPriority w:val="99"/>
    <w:rsid w:val="001835B3"/>
    <w:rPr>
      <w:sz w:val="18"/>
      <w:szCs w:val="18"/>
    </w:rPr>
  </w:style>
  <w:style w:type="paragraph" w:styleId="Footer">
    <w:name w:val="footer"/>
    <w:basedOn w:val="Normal"/>
    <w:link w:val="FooterChar"/>
    <w:uiPriority w:val="99"/>
    <w:unhideWhenUsed/>
    <w:rsid w:val="001835B3"/>
    <w:pPr>
      <w:tabs>
        <w:tab w:val="center" w:pos="4153"/>
        <w:tab w:val="right" w:pos="8306"/>
      </w:tabs>
      <w:snapToGrid w:val="0"/>
      <w:spacing w:after="160" w:line="259" w:lineRule="auto"/>
    </w:pPr>
    <w:rPr>
      <w:rFonts w:ascii="Calibri" w:eastAsiaTheme="minorEastAsia" w:hAnsi="Calibri"/>
      <w:sz w:val="18"/>
      <w:szCs w:val="18"/>
      <w:lang w:val="en-US" w:eastAsia="en-US"/>
    </w:rPr>
  </w:style>
  <w:style w:type="character" w:customStyle="1" w:styleId="FooterChar">
    <w:name w:val="Footer Char"/>
    <w:basedOn w:val="DefaultParagraphFont"/>
    <w:link w:val="Footer"/>
    <w:uiPriority w:val="99"/>
    <w:rsid w:val="001835B3"/>
    <w:rPr>
      <w:sz w:val="18"/>
      <w:szCs w:val="18"/>
    </w:rPr>
  </w:style>
  <w:style w:type="character" w:styleId="Hyperlink">
    <w:name w:val="Hyperlink"/>
    <w:uiPriority w:val="99"/>
    <w:unhideWhenUsed/>
    <w:rsid w:val="001835B3"/>
    <w:rPr>
      <w:color w:val="0000FF"/>
      <w:u w:val="single"/>
    </w:rPr>
  </w:style>
  <w:style w:type="paragraph" w:styleId="HTMLPreformatted">
    <w:name w:val="HTML Preformatted"/>
    <w:basedOn w:val="Normal"/>
    <w:link w:val="HTMLPreformattedChar"/>
    <w:uiPriority w:val="99"/>
    <w:unhideWhenUsed/>
    <w:rsid w:val="0018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rsid w:val="001835B3"/>
    <w:rPr>
      <w:rFonts w:ascii="Courier" w:hAnsi="Courier" w:cs="Courier"/>
      <w:kern w:val="0"/>
      <w:sz w:val="20"/>
      <w:szCs w:val="20"/>
      <w:lang w:val="pt-BR" w:eastAsia="en-US"/>
    </w:rPr>
  </w:style>
  <w:style w:type="character" w:customStyle="1" w:styleId="MenoPendente1">
    <w:name w:val="Menção Pendente1"/>
    <w:uiPriority w:val="99"/>
    <w:semiHidden/>
    <w:unhideWhenUsed/>
    <w:rsid w:val="001835B3"/>
    <w:rPr>
      <w:color w:val="605E5C"/>
      <w:shd w:val="clear" w:color="auto" w:fill="E1DFDD"/>
    </w:rPr>
  </w:style>
  <w:style w:type="character" w:styleId="CommentReference">
    <w:name w:val="annotation reference"/>
    <w:unhideWhenUsed/>
    <w:rsid w:val="001835B3"/>
    <w:rPr>
      <w:sz w:val="16"/>
      <w:szCs w:val="16"/>
    </w:rPr>
  </w:style>
  <w:style w:type="paragraph" w:styleId="CommentText">
    <w:name w:val="annotation text"/>
    <w:basedOn w:val="Normal"/>
    <w:link w:val="CommentTextChar"/>
    <w:unhideWhenUsed/>
    <w:qFormat/>
    <w:rsid w:val="001835B3"/>
    <w:pPr>
      <w:spacing w:after="160"/>
    </w:pPr>
    <w:rPr>
      <w:rFonts w:ascii="Calibri" w:eastAsia="Calibri" w:hAnsi="Calibri"/>
      <w:sz w:val="20"/>
      <w:szCs w:val="20"/>
      <w:lang w:val="en-US" w:eastAsia="en-US"/>
    </w:rPr>
  </w:style>
  <w:style w:type="character" w:customStyle="1" w:styleId="CommentTextChar">
    <w:name w:val="Comment Text Char"/>
    <w:basedOn w:val="DefaultParagraphFont"/>
    <w:link w:val="CommentText"/>
    <w:qFormat/>
    <w:rsid w:val="001835B3"/>
    <w:rPr>
      <w:rFonts w:ascii="Calibri" w:eastAsia="Calibri" w:hAnsi="Calibri" w:cs="Times New Roman"/>
      <w:kern w:val="0"/>
      <w:sz w:val="20"/>
      <w:szCs w:val="20"/>
      <w:lang w:eastAsia="en-US"/>
    </w:rPr>
  </w:style>
  <w:style w:type="paragraph" w:customStyle="1" w:styleId="CorpoA">
    <w:name w:val="Corpo A"/>
    <w:rsid w:val="001835B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styleId="BalloonText">
    <w:name w:val="Balloon Text"/>
    <w:basedOn w:val="Normal"/>
    <w:link w:val="BalloonTextChar"/>
    <w:uiPriority w:val="99"/>
    <w:semiHidden/>
    <w:unhideWhenUsed/>
    <w:rsid w:val="001835B3"/>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1835B3"/>
    <w:rPr>
      <w:rFonts w:ascii="Times New Roman" w:hAnsi="Times New Roman" w:cs="Times New Roman"/>
      <w:kern w:val="0"/>
      <w:sz w:val="18"/>
      <w:szCs w:val="18"/>
      <w:lang w:eastAsia="en-US"/>
    </w:rPr>
  </w:style>
  <w:style w:type="paragraph" w:customStyle="1" w:styleId="Default">
    <w:name w:val="Default"/>
    <w:link w:val="Default0"/>
    <w:rsid w:val="001835B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1835B3"/>
    <w:rPr>
      <w:rFonts w:ascii="Book Antiqua" w:eastAsia="PMingLiU" w:hAnsi="Book Antiqua" w:cs="Book Antiqua"/>
      <w:color w:val="000000"/>
      <w:kern w:val="0"/>
      <w:sz w:val="24"/>
      <w:szCs w:val="24"/>
      <w:lang w:eastAsia="zh-TW"/>
    </w:rPr>
  </w:style>
  <w:style w:type="paragraph" w:customStyle="1" w:styleId="Padro">
    <w:name w:val="Padrão"/>
    <w:rsid w:val="001835B3"/>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paragraph" w:styleId="CommentSubject">
    <w:name w:val="annotation subject"/>
    <w:basedOn w:val="CommentText"/>
    <w:next w:val="CommentText"/>
    <w:link w:val="CommentSubjectChar"/>
    <w:uiPriority w:val="99"/>
    <w:semiHidden/>
    <w:unhideWhenUsed/>
    <w:rsid w:val="001835B3"/>
    <w:pPr>
      <w:spacing w:line="259" w:lineRule="auto"/>
    </w:pPr>
    <w:rPr>
      <w:b/>
      <w:bCs/>
    </w:rPr>
  </w:style>
  <w:style w:type="character" w:customStyle="1" w:styleId="CommentSubjectChar">
    <w:name w:val="Comment Subject Char"/>
    <w:basedOn w:val="CommentTextChar"/>
    <w:link w:val="CommentSubject"/>
    <w:uiPriority w:val="99"/>
    <w:semiHidden/>
    <w:rsid w:val="001835B3"/>
    <w:rPr>
      <w:rFonts w:ascii="Calibri" w:eastAsia="Calibri" w:hAnsi="Calibri" w:cs="Times New Roman"/>
      <w:b/>
      <w:bCs/>
      <w:kern w:val="0"/>
      <w:sz w:val="20"/>
      <w:szCs w:val="20"/>
      <w:lang w:eastAsia="en-US"/>
    </w:rPr>
  </w:style>
  <w:style w:type="character" w:styleId="PageNumber">
    <w:name w:val="page number"/>
    <w:uiPriority w:val="99"/>
    <w:semiHidden/>
    <w:unhideWhenUsed/>
    <w:rsid w:val="001835B3"/>
  </w:style>
  <w:style w:type="paragraph" w:styleId="Revision">
    <w:name w:val="Revision"/>
    <w:hidden/>
    <w:uiPriority w:val="99"/>
    <w:semiHidden/>
    <w:rsid w:val="001835B3"/>
    <w:rPr>
      <w:rFonts w:ascii="Calibri" w:hAnsi="Calibri" w:cs="Times New Roman"/>
      <w:kern w:val="0"/>
      <w:sz w:val="22"/>
      <w:lang w:eastAsia="en-US"/>
    </w:rPr>
  </w:style>
  <w:style w:type="paragraph" w:styleId="ListParagraph">
    <w:name w:val="List Paragraph"/>
    <w:basedOn w:val="Normal"/>
    <w:qFormat/>
    <w:rsid w:val="001835B3"/>
    <w:pPr>
      <w:tabs>
        <w:tab w:val="left" w:pos="708"/>
      </w:tabs>
      <w:suppressAutoHyphens/>
      <w:spacing w:after="200" w:line="276" w:lineRule="auto"/>
      <w:ind w:left="720"/>
    </w:pPr>
    <w:rPr>
      <w:rFonts w:ascii="Calibri" w:eastAsia="Droid Sans" w:hAnsi="Calibri" w:cs="Calibri"/>
      <w:sz w:val="22"/>
      <w:szCs w:val="22"/>
      <w:lang w:eastAsia="en-US"/>
    </w:rPr>
  </w:style>
  <w:style w:type="character" w:styleId="IntenseEmphasis">
    <w:name w:val="Intense Emphasis"/>
    <w:aliases w:val="4 titulos"/>
    <w:uiPriority w:val="21"/>
    <w:qFormat/>
    <w:rsid w:val="001835B3"/>
    <w:rPr>
      <w:rFonts w:ascii="Times New Roman" w:hAnsi="Times New Roman"/>
      <w:b/>
      <w:bCs/>
      <w:i w:val="0"/>
      <w:iCs/>
      <w:color w:val="0D0D0D"/>
      <w:u w:val="single"/>
    </w:rPr>
  </w:style>
  <w:style w:type="paragraph" w:styleId="NormalWeb">
    <w:name w:val="Normal (Web)"/>
    <w:basedOn w:val="Normal"/>
    <w:uiPriority w:val="99"/>
    <w:semiHidden/>
    <w:unhideWhenUsed/>
    <w:rsid w:val="00D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9764">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80449260">
      <w:bodyDiv w:val="1"/>
      <w:marLeft w:val="0"/>
      <w:marRight w:val="0"/>
      <w:marTop w:val="0"/>
      <w:marBottom w:val="0"/>
      <w:divBdr>
        <w:top w:val="none" w:sz="0" w:space="0" w:color="auto"/>
        <w:left w:val="none" w:sz="0" w:space="0" w:color="auto"/>
        <w:bottom w:val="none" w:sz="0" w:space="0" w:color="auto"/>
        <w:right w:val="none" w:sz="0" w:space="0" w:color="auto"/>
      </w:divBdr>
    </w:div>
    <w:div w:id="773671453">
      <w:bodyDiv w:val="1"/>
      <w:marLeft w:val="0"/>
      <w:marRight w:val="0"/>
      <w:marTop w:val="0"/>
      <w:marBottom w:val="0"/>
      <w:divBdr>
        <w:top w:val="none" w:sz="0" w:space="0" w:color="auto"/>
        <w:left w:val="none" w:sz="0" w:space="0" w:color="auto"/>
        <w:bottom w:val="none" w:sz="0" w:space="0" w:color="auto"/>
        <w:right w:val="none" w:sz="0" w:space="0" w:color="auto"/>
      </w:divBdr>
    </w:div>
    <w:div w:id="1686401590">
      <w:bodyDiv w:val="1"/>
      <w:marLeft w:val="0"/>
      <w:marRight w:val="0"/>
      <w:marTop w:val="0"/>
      <w:marBottom w:val="0"/>
      <w:divBdr>
        <w:top w:val="none" w:sz="0" w:space="0" w:color="auto"/>
        <w:left w:val="none" w:sz="0" w:space="0" w:color="auto"/>
        <w:bottom w:val="none" w:sz="0" w:space="0" w:color="auto"/>
        <w:right w:val="none" w:sz="0" w:space="0" w:color="auto"/>
      </w:divBdr>
    </w:div>
    <w:div w:id="20273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sette@ufpe.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6481-C490-594C-AEB0-CF289982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26576</Words>
  <Characters>151486</Characters>
  <Application>Microsoft Office Word</Application>
  <DocSecurity>0</DocSecurity>
  <Lines>1262</Lines>
  <Paragraphs>355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177707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5</cp:revision>
  <dcterms:created xsi:type="dcterms:W3CDTF">2019-01-04T00:12:00Z</dcterms:created>
  <dcterms:modified xsi:type="dcterms:W3CDTF">2019-01-04T00:23:00Z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http://www.zotero.org/styles/journal-of-clinical-virology</vt:lpwstr>
  </property>
  <property fmtid="{D5CDD505-2E9C-101B-9397-08002B2CF9AE}" pid="15" name="Mendeley Recent Style Name 6_1">
    <vt:lpwstr>Journal of Clinical Virology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http://www.zotero.org/styles/ndt-and-e-international</vt:lpwstr>
  </property>
  <property fmtid="{D5CDD505-2E9C-101B-9397-08002B2CF9AE}" pid="19" name="Mendeley Recent Style Name 8_1">
    <vt:lpwstr>NDT and E International</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c8c28c55-5a2b-373d-93dc-b09e8b9c75b5</vt:lpwstr>
  </property>
</Properties>
</file>