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4E" w:rsidRPr="00BE56E1" w:rsidRDefault="00E1014E" w:rsidP="00BE56E1">
      <w:pPr>
        <w:spacing w:line="360" w:lineRule="auto"/>
        <w:rPr>
          <w:rFonts w:ascii="Book Antiqua" w:hAnsi="Book Antiqua"/>
          <w:sz w:val="24"/>
        </w:rPr>
      </w:pPr>
      <w:bookmarkStart w:id="0" w:name="OLE_LINK12"/>
      <w:bookmarkStart w:id="1" w:name="OLE_LINK44"/>
      <w:bookmarkStart w:id="2" w:name="OLE_LINK1"/>
      <w:r w:rsidRPr="00BE56E1">
        <w:rPr>
          <w:rFonts w:ascii="Book Antiqua" w:hAnsi="Book Antiqua"/>
          <w:b/>
          <w:sz w:val="24"/>
        </w:rPr>
        <w:t xml:space="preserve">Name of Journal: </w:t>
      </w:r>
      <w:r w:rsidRPr="00BE56E1">
        <w:rPr>
          <w:rFonts w:ascii="Book Antiqua" w:hAnsi="Book Antiqua"/>
          <w:b/>
          <w:i/>
          <w:sz w:val="24"/>
        </w:rPr>
        <w:t>World Journal of Clinical Cases</w:t>
      </w:r>
    </w:p>
    <w:p w:rsidR="00E1014E" w:rsidRPr="00BE56E1" w:rsidRDefault="00E1014E" w:rsidP="00BE56E1">
      <w:pPr>
        <w:spacing w:line="360" w:lineRule="auto"/>
        <w:rPr>
          <w:rFonts w:ascii="Book Antiqua" w:hAnsi="Book Antiqua"/>
          <w:b/>
          <w:sz w:val="24"/>
        </w:rPr>
      </w:pPr>
      <w:r w:rsidRPr="00BE56E1">
        <w:rPr>
          <w:rFonts w:ascii="Book Antiqua" w:hAnsi="Book Antiqua"/>
          <w:b/>
          <w:sz w:val="24"/>
        </w:rPr>
        <w:t>Manuscript NO: 43260</w:t>
      </w:r>
    </w:p>
    <w:p w:rsidR="00E1014E" w:rsidRPr="00BE56E1" w:rsidRDefault="00E1014E" w:rsidP="00BE56E1">
      <w:pPr>
        <w:tabs>
          <w:tab w:val="center" w:pos="4320"/>
          <w:tab w:val="right" w:pos="8640"/>
        </w:tabs>
        <w:spacing w:line="360" w:lineRule="auto"/>
        <w:rPr>
          <w:rFonts w:ascii="Book Antiqua" w:hAnsi="Book Antiqua" w:cstheme="majorBidi"/>
          <w:b/>
          <w:bCs/>
          <w:sz w:val="24"/>
        </w:rPr>
      </w:pPr>
      <w:r w:rsidRPr="00BE56E1">
        <w:rPr>
          <w:rFonts w:ascii="Book Antiqua" w:hAnsi="Book Antiqua"/>
          <w:b/>
          <w:sz w:val="24"/>
        </w:rPr>
        <w:t>Manuscript Type:</w:t>
      </w:r>
      <w:r w:rsidRPr="00BE56E1">
        <w:rPr>
          <w:rFonts w:ascii="Book Antiqua" w:eastAsia="MS Mincho" w:hAnsi="Book Antiqua" w:cstheme="majorBidi"/>
          <w:b/>
          <w:bCs/>
          <w:sz w:val="24"/>
        </w:rPr>
        <w:t xml:space="preserve"> CASE REPORT</w:t>
      </w:r>
    </w:p>
    <w:p w:rsidR="00E1014E" w:rsidRPr="00BE56E1" w:rsidRDefault="00E1014E" w:rsidP="00BE56E1">
      <w:pPr>
        <w:pStyle w:val="Heading1"/>
        <w:spacing w:beforeAutospacing="0" w:afterAutospacing="0" w:line="360" w:lineRule="auto"/>
        <w:jc w:val="both"/>
        <w:rPr>
          <w:rFonts w:ascii="Book Antiqua" w:hAnsi="Book Antiqua" w:cs="Calibri" w:hint="default"/>
          <w:sz w:val="24"/>
          <w:szCs w:val="24"/>
        </w:rPr>
      </w:pPr>
    </w:p>
    <w:p w:rsidR="00E1014E" w:rsidRPr="00BE56E1" w:rsidRDefault="00F813D0" w:rsidP="00BE56E1">
      <w:pPr>
        <w:spacing w:line="360" w:lineRule="auto"/>
        <w:rPr>
          <w:rFonts w:ascii="Book Antiqua" w:hAnsi="Book Antiqua"/>
          <w:b/>
          <w:sz w:val="24"/>
        </w:rPr>
      </w:pPr>
      <w:r w:rsidRPr="00BE56E1">
        <w:rPr>
          <w:rFonts w:ascii="Book Antiqua" w:hAnsi="Book Antiqua" w:cs="Calibri"/>
          <w:b/>
          <w:sz w:val="24"/>
        </w:rPr>
        <w:t>Rhombencephalitis</w:t>
      </w:r>
      <w:bookmarkEnd w:id="0"/>
      <w:bookmarkEnd w:id="1"/>
      <w:r w:rsidRPr="00BE56E1">
        <w:rPr>
          <w:rFonts w:ascii="Book Antiqua" w:hAnsi="Book Antiqua" w:cs="Calibri"/>
          <w:b/>
          <w:sz w:val="24"/>
        </w:rPr>
        <w:t xml:space="preserve"> by</w:t>
      </w:r>
      <w:r w:rsidRPr="00BE56E1">
        <w:rPr>
          <w:rFonts w:ascii="Book Antiqua" w:hAnsi="Book Antiqua" w:cs="Calibri"/>
          <w:b/>
          <w:i/>
          <w:iCs/>
          <w:sz w:val="24"/>
        </w:rPr>
        <w:t xml:space="preserve"> </w:t>
      </w:r>
      <w:bookmarkStart w:id="3" w:name="OLE_LINK14"/>
      <w:r w:rsidRPr="00BE56E1">
        <w:rPr>
          <w:rFonts w:ascii="Book Antiqua" w:hAnsi="Book Antiqua" w:cs="Calibri"/>
          <w:b/>
          <w:i/>
          <w:iCs/>
          <w:sz w:val="24"/>
        </w:rPr>
        <w:t>Listeria monocytogenes</w:t>
      </w:r>
      <w:bookmarkEnd w:id="3"/>
      <w:r w:rsidRPr="00BE56E1">
        <w:rPr>
          <w:rFonts w:ascii="Book Antiqua" w:hAnsi="Book Antiqua" w:cs="Calibri"/>
          <w:b/>
          <w:sz w:val="24"/>
        </w:rPr>
        <w:t xml:space="preserve"> with hydrocephalus and intracranial hemorrhage: </w:t>
      </w:r>
      <w:bookmarkEnd w:id="2"/>
      <w:r w:rsidR="00E1014E" w:rsidRPr="00BE56E1">
        <w:rPr>
          <w:rFonts w:ascii="Book Antiqua" w:hAnsi="Book Antiqua"/>
          <w:b/>
          <w:sz w:val="24"/>
        </w:rPr>
        <w:t>A case report and review of literature</w:t>
      </w:r>
    </w:p>
    <w:p w:rsidR="00E75155" w:rsidRPr="00BE56E1" w:rsidRDefault="00E75155" w:rsidP="00BE56E1">
      <w:pPr>
        <w:pStyle w:val="Heading1"/>
        <w:spacing w:beforeAutospacing="0" w:afterAutospacing="0" w:line="360" w:lineRule="auto"/>
        <w:jc w:val="both"/>
        <w:rPr>
          <w:rFonts w:ascii="Book Antiqua" w:hAnsi="Book Antiqua" w:cs="Calibri" w:hint="default"/>
          <w:sz w:val="24"/>
          <w:szCs w:val="24"/>
        </w:rPr>
      </w:pPr>
    </w:p>
    <w:p w:rsidR="00E75155" w:rsidRPr="00BE56E1" w:rsidRDefault="00F813D0" w:rsidP="00BE56E1">
      <w:pPr>
        <w:spacing w:line="360" w:lineRule="auto"/>
        <w:rPr>
          <w:rFonts w:ascii="Book Antiqua" w:hAnsi="Book Antiqua" w:cs="Calibri"/>
          <w:sz w:val="24"/>
        </w:rPr>
      </w:pPr>
      <w:r w:rsidRPr="00BE56E1">
        <w:rPr>
          <w:rFonts w:ascii="Book Antiqua" w:eastAsia="SimSun" w:hAnsi="Book Antiqua" w:cs="Calibri"/>
          <w:sz w:val="24"/>
        </w:rPr>
        <w:t xml:space="preserve">Liang </w:t>
      </w:r>
      <w:r w:rsidR="00B87AA0" w:rsidRPr="00BE56E1">
        <w:rPr>
          <w:rFonts w:ascii="Book Antiqua" w:eastAsia="SimSun" w:hAnsi="Book Antiqua" w:cs="Calibri"/>
          <w:sz w:val="24"/>
        </w:rPr>
        <w:t xml:space="preserve">JJ </w:t>
      </w:r>
      <w:r w:rsidRPr="00BE56E1">
        <w:rPr>
          <w:rFonts w:ascii="Book Antiqua" w:eastAsia="SimSun" w:hAnsi="Book Antiqua" w:cs="Calibri"/>
          <w:i/>
          <w:iCs/>
          <w:sz w:val="24"/>
        </w:rPr>
        <w:t>et al</w:t>
      </w:r>
      <w:r w:rsidRPr="00BE56E1">
        <w:rPr>
          <w:rFonts w:ascii="Book Antiqua" w:eastAsia="SimSun" w:hAnsi="Book Antiqua" w:cs="Calibri"/>
          <w:sz w:val="24"/>
        </w:rPr>
        <w:t xml:space="preserve">. </w:t>
      </w:r>
      <w:bookmarkStart w:id="4" w:name="OLE_LINK16"/>
      <w:r w:rsidRPr="00BE56E1">
        <w:rPr>
          <w:rFonts w:ascii="Book Antiqua" w:eastAsia="SimSun" w:hAnsi="Book Antiqua" w:cs="Calibri"/>
          <w:i/>
          <w:iCs/>
          <w:sz w:val="24"/>
        </w:rPr>
        <w:t>Listeria</w:t>
      </w:r>
      <w:r w:rsidRPr="00BE56E1">
        <w:rPr>
          <w:rFonts w:ascii="Book Antiqua" w:eastAsia="SimSun" w:hAnsi="Book Antiqua" w:cs="Calibri"/>
          <w:sz w:val="24"/>
        </w:rPr>
        <w:t xml:space="preserve"> rhombencephalitis, </w:t>
      </w:r>
      <w:r w:rsidRPr="00BE56E1">
        <w:rPr>
          <w:rFonts w:ascii="Book Antiqua" w:hAnsi="Book Antiqua" w:cs="Calibri"/>
          <w:sz w:val="24"/>
        </w:rPr>
        <w:t>hydrocephalus and intracranial hemorrhage</w:t>
      </w:r>
      <w:bookmarkEnd w:id="4"/>
    </w:p>
    <w:p w:rsidR="00E1014E" w:rsidRPr="00BE56E1" w:rsidRDefault="00E1014E" w:rsidP="00BE56E1">
      <w:pPr>
        <w:spacing w:line="360" w:lineRule="auto"/>
        <w:rPr>
          <w:rFonts w:ascii="Book Antiqua" w:eastAsia="SimSun" w:hAnsi="Book Antiqua" w:cs="Calibri"/>
          <w:sz w:val="24"/>
        </w:rPr>
      </w:pPr>
    </w:p>
    <w:p w:rsidR="00E75155" w:rsidRPr="00BE56E1" w:rsidRDefault="00F813D0" w:rsidP="00BE56E1">
      <w:pPr>
        <w:spacing w:line="360" w:lineRule="auto"/>
        <w:rPr>
          <w:rFonts w:ascii="Book Antiqua" w:eastAsia="SimSun" w:hAnsi="Book Antiqua" w:cs="Calibri"/>
          <w:sz w:val="24"/>
        </w:rPr>
      </w:pPr>
      <w:r w:rsidRPr="00BE56E1">
        <w:rPr>
          <w:rFonts w:ascii="Book Antiqua" w:eastAsia="SimSun" w:hAnsi="Book Antiqua" w:cs="Calibri"/>
          <w:sz w:val="24"/>
        </w:rPr>
        <w:t>Jing</w:t>
      </w:r>
      <w:r w:rsidR="00E1014E" w:rsidRPr="00BE56E1">
        <w:rPr>
          <w:rFonts w:ascii="Book Antiqua" w:eastAsia="SimSun" w:hAnsi="Book Antiqua" w:cs="Calibri"/>
          <w:sz w:val="24"/>
        </w:rPr>
        <w:t xml:space="preserve">-Jing </w:t>
      </w:r>
      <w:r w:rsidRPr="00BE56E1">
        <w:rPr>
          <w:rFonts w:ascii="Book Antiqua" w:eastAsia="SimSun" w:hAnsi="Book Antiqua" w:cs="Calibri"/>
          <w:sz w:val="24"/>
        </w:rPr>
        <w:t>Liang, Xiao</w:t>
      </w:r>
      <w:r w:rsidR="00E1014E" w:rsidRPr="00BE56E1">
        <w:rPr>
          <w:rFonts w:ascii="Book Antiqua" w:eastAsia="SimSun" w:hAnsi="Book Antiqua" w:cs="Calibri"/>
          <w:sz w:val="24"/>
        </w:rPr>
        <w:t xml:space="preserve">-Yan </w:t>
      </w:r>
      <w:r w:rsidRPr="00BE56E1">
        <w:rPr>
          <w:rFonts w:ascii="Book Antiqua" w:eastAsia="SimSun" w:hAnsi="Book Antiqua" w:cs="Calibri"/>
          <w:sz w:val="24"/>
        </w:rPr>
        <w:t>He, Hong Ye</w:t>
      </w:r>
    </w:p>
    <w:p w:rsidR="00E1014E" w:rsidRPr="00BE56E1" w:rsidRDefault="00E1014E" w:rsidP="00BE56E1">
      <w:pPr>
        <w:spacing w:line="360" w:lineRule="auto"/>
        <w:rPr>
          <w:rFonts w:ascii="Book Antiqua" w:eastAsia="SimSun" w:hAnsi="Book Antiqua" w:cs="Calibri"/>
          <w:sz w:val="24"/>
        </w:rPr>
      </w:pPr>
    </w:p>
    <w:p w:rsidR="00E75155" w:rsidRPr="00BE56E1" w:rsidRDefault="00F813D0" w:rsidP="00BE56E1">
      <w:pPr>
        <w:spacing w:line="360" w:lineRule="auto"/>
        <w:rPr>
          <w:rFonts w:ascii="Book Antiqua" w:eastAsia="SimSun" w:hAnsi="Book Antiqua" w:cs="Calibri"/>
          <w:sz w:val="24"/>
        </w:rPr>
      </w:pPr>
      <w:r w:rsidRPr="00BE56E1">
        <w:rPr>
          <w:rFonts w:ascii="Book Antiqua" w:eastAsia="SimSun" w:hAnsi="Book Antiqua" w:cs="Calibri"/>
          <w:b/>
          <w:sz w:val="24"/>
        </w:rPr>
        <w:t>Jing</w:t>
      </w:r>
      <w:r w:rsidR="00B87AA0" w:rsidRPr="00BE56E1">
        <w:rPr>
          <w:rFonts w:ascii="Book Antiqua" w:eastAsia="SimSun" w:hAnsi="Book Antiqua" w:cs="Calibri"/>
          <w:b/>
          <w:sz w:val="24"/>
        </w:rPr>
        <w:t xml:space="preserve">-Jing </w:t>
      </w:r>
      <w:r w:rsidRPr="00BE56E1">
        <w:rPr>
          <w:rFonts w:ascii="Book Antiqua" w:eastAsia="SimSun" w:hAnsi="Book Antiqua" w:cs="Calibri"/>
          <w:b/>
          <w:sz w:val="24"/>
        </w:rPr>
        <w:t>Liang,</w:t>
      </w:r>
      <w:r w:rsidRPr="00BE56E1">
        <w:rPr>
          <w:rFonts w:ascii="Book Antiqua" w:eastAsia="SimSun" w:hAnsi="Book Antiqua" w:cs="Calibri"/>
          <w:sz w:val="24"/>
        </w:rPr>
        <w:t xml:space="preserve"> Department of Neurology, Renmin Hospital of Wuhan University, </w:t>
      </w:r>
      <w:bookmarkStart w:id="5" w:name="OLE_LINK82"/>
      <w:r w:rsidRPr="00BE56E1">
        <w:rPr>
          <w:rFonts w:ascii="Book Antiqua" w:eastAsia="SimSun" w:hAnsi="Book Antiqua" w:cs="Calibri"/>
          <w:sz w:val="24"/>
        </w:rPr>
        <w:t xml:space="preserve">Wuhan 430060, </w:t>
      </w:r>
      <w:bookmarkStart w:id="6" w:name="OLE_LINK19"/>
      <w:r w:rsidRPr="00BE56E1">
        <w:rPr>
          <w:rFonts w:ascii="Book Antiqua" w:eastAsia="SimSun" w:hAnsi="Book Antiqua" w:cs="Calibri"/>
          <w:sz w:val="24"/>
        </w:rPr>
        <w:t>Hubei Province, China</w:t>
      </w:r>
      <w:bookmarkEnd w:id="6"/>
    </w:p>
    <w:p w:rsidR="00B87AA0" w:rsidRPr="00BE56E1" w:rsidRDefault="00B87AA0" w:rsidP="00BE56E1">
      <w:pPr>
        <w:spacing w:line="360" w:lineRule="auto"/>
        <w:rPr>
          <w:rFonts w:ascii="Book Antiqua" w:eastAsia="SimSun" w:hAnsi="Book Antiqua" w:cs="Calibri"/>
          <w:sz w:val="24"/>
        </w:rPr>
      </w:pPr>
    </w:p>
    <w:bookmarkEnd w:id="5"/>
    <w:p w:rsidR="00E75155" w:rsidRPr="00BE56E1" w:rsidRDefault="00B87AA0" w:rsidP="00BE56E1">
      <w:pPr>
        <w:spacing w:line="360" w:lineRule="auto"/>
        <w:rPr>
          <w:rFonts w:ascii="Book Antiqua" w:eastAsia="SimSun" w:hAnsi="Book Antiqua" w:cs="Calibri"/>
          <w:sz w:val="24"/>
        </w:rPr>
      </w:pPr>
      <w:r w:rsidRPr="00BE56E1">
        <w:rPr>
          <w:rFonts w:ascii="Book Antiqua" w:eastAsia="SimSun" w:hAnsi="Book Antiqua" w:cs="Calibri"/>
          <w:b/>
          <w:sz w:val="24"/>
        </w:rPr>
        <w:t>Xiao-Yan He,</w:t>
      </w:r>
      <w:r w:rsidR="00F813D0" w:rsidRPr="00BE56E1">
        <w:rPr>
          <w:rFonts w:ascii="Book Antiqua" w:eastAsia="SimSun" w:hAnsi="Book Antiqua" w:cs="Calibri"/>
          <w:sz w:val="24"/>
        </w:rPr>
        <w:t xml:space="preserve"> </w:t>
      </w:r>
      <w:bookmarkStart w:id="7" w:name="OLE_LINK28"/>
      <w:r w:rsidR="00F813D0" w:rsidRPr="00BE56E1">
        <w:rPr>
          <w:rFonts w:ascii="Book Antiqua" w:eastAsia="SimSun" w:hAnsi="Book Antiqua" w:cs="Calibri"/>
          <w:sz w:val="24"/>
        </w:rPr>
        <w:t>Department of Neurology, Shijiazhuang Second Hospital, Shijiazhuang</w:t>
      </w:r>
      <w:bookmarkEnd w:id="7"/>
      <w:r w:rsidRPr="00BE56E1">
        <w:rPr>
          <w:rFonts w:ascii="Book Antiqua" w:eastAsia="SimSun" w:hAnsi="Book Antiqua" w:cs="Calibri"/>
          <w:sz w:val="24"/>
        </w:rPr>
        <w:t xml:space="preserve"> 050200, Hebei Province, China</w:t>
      </w:r>
    </w:p>
    <w:p w:rsidR="00B87AA0" w:rsidRPr="00BE56E1" w:rsidRDefault="00B87AA0" w:rsidP="00BE56E1">
      <w:pPr>
        <w:spacing w:line="360" w:lineRule="auto"/>
        <w:rPr>
          <w:rFonts w:ascii="Book Antiqua" w:eastAsia="SimSun" w:hAnsi="Book Antiqua" w:cs="Calibri"/>
          <w:sz w:val="24"/>
        </w:rPr>
      </w:pPr>
    </w:p>
    <w:p w:rsidR="00E75155" w:rsidRPr="00BE56E1" w:rsidRDefault="00F813D0" w:rsidP="00BE56E1">
      <w:pPr>
        <w:spacing w:line="360" w:lineRule="auto"/>
        <w:rPr>
          <w:rFonts w:ascii="Book Antiqua" w:eastAsia="SimSun" w:hAnsi="Book Antiqua" w:cs="Calibri"/>
          <w:sz w:val="24"/>
        </w:rPr>
      </w:pPr>
      <w:r w:rsidRPr="00BE56E1">
        <w:rPr>
          <w:rFonts w:ascii="Book Antiqua" w:eastAsia="SimSun" w:hAnsi="Book Antiqua" w:cs="Calibri"/>
          <w:b/>
          <w:sz w:val="24"/>
        </w:rPr>
        <w:t>Hong Ye,</w:t>
      </w:r>
      <w:r w:rsidRPr="00BE56E1">
        <w:rPr>
          <w:rFonts w:ascii="Book Antiqua" w:eastAsia="SimSun" w:hAnsi="Book Antiqua" w:cs="Calibri"/>
          <w:sz w:val="24"/>
        </w:rPr>
        <w:t xml:space="preserve"> Department of Neurology, Xuanwu Hospital, Capital Medical Universit</w:t>
      </w:r>
      <w:r w:rsidR="00B87AA0" w:rsidRPr="00BE56E1">
        <w:rPr>
          <w:rFonts w:ascii="Book Antiqua" w:eastAsia="SimSun" w:hAnsi="Book Antiqua" w:cs="Calibri"/>
          <w:sz w:val="24"/>
        </w:rPr>
        <w:t>y, Beijing 100053, China</w:t>
      </w:r>
    </w:p>
    <w:p w:rsidR="00C41BBA" w:rsidRPr="00BE56E1" w:rsidRDefault="00C41BBA" w:rsidP="00BE56E1">
      <w:pPr>
        <w:spacing w:line="360" w:lineRule="auto"/>
        <w:rPr>
          <w:rFonts w:ascii="Book Antiqua" w:eastAsia="SimSun" w:hAnsi="Book Antiqua" w:cs="Calibri"/>
          <w:sz w:val="24"/>
        </w:rPr>
      </w:pPr>
    </w:p>
    <w:p w:rsidR="00E75155" w:rsidRPr="00BE56E1" w:rsidRDefault="00C41BBA" w:rsidP="00BE56E1">
      <w:pPr>
        <w:spacing w:line="360" w:lineRule="auto"/>
        <w:rPr>
          <w:rFonts w:ascii="Book Antiqua" w:eastAsia="SimSun" w:hAnsi="Book Antiqua" w:cs="Calibri"/>
          <w:sz w:val="24"/>
        </w:rPr>
      </w:pPr>
      <w:r w:rsidRPr="00BE56E1">
        <w:rPr>
          <w:rFonts w:ascii="Book Antiqua" w:hAnsi="Book Antiqua"/>
          <w:b/>
          <w:kern w:val="0"/>
          <w:sz w:val="24"/>
        </w:rPr>
        <w:t xml:space="preserve">ORCID number: </w:t>
      </w:r>
      <w:r w:rsidRPr="00BE56E1">
        <w:rPr>
          <w:rFonts w:ascii="Book Antiqua" w:eastAsia="SimSun" w:hAnsi="Book Antiqua" w:cs="Calibri"/>
          <w:sz w:val="24"/>
        </w:rPr>
        <w:t>Jing-Jing Liang</w:t>
      </w:r>
      <w:r w:rsidR="00F813D0" w:rsidRPr="00BE56E1">
        <w:rPr>
          <w:rFonts w:ascii="Book Antiqua" w:eastAsia="SimSun" w:hAnsi="Book Antiqua" w:cs="Calibri"/>
          <w:sz w:val="24"/>
        </w:rPr>
        <w:t xml:space="preserve"> (0000-0001-7239-9813); </w:t>
      </w:r>
      <w:r w:rsidRPr="00BE56E1">
        <w:rPr>
          <w:rFonts w:ascii="Book Antiqua" w:eastAsia="SimSun" w:hAnsi="Book Antiqua" w:cs="Calibri"/>
          <w:sz w:val="24"/>
        </w:rPr>
        <w:t>Xiao-Yan He</w:t>
      </w:r>
      <w:r w:rsidR="00F813D0" w:rsidRPr="00BE56E1">
        <w:rPr>
          <w:rFonts w:ascii="Book Antiqua" w:eastAsia="SimSun" w:hAnsi="Book Antiqua" w:cs="Calibri"/>
          <w:sz w:val="24"/>
        </w:rPr>
        <w:t xml:space="preserve"> (</w:t>
      </w:r>
      <w:bookmarkStart w:id="8" w:name="OLE_LINK24"/>
      <w:r w:rsidR="00F813D0" w:rsidRPr="00BE56E1">
        <w:rPr>
          <w:rFonts w:ascii="Book Antiqua" w:eastAsia="SimSun" w:hAnsi="Book Antiqua" w:cs="Calibri"/>
          <w:sz w:val="24"/>
        </w:rPr>
        <w:t>0000-0002-9446-5292</w:t>
      </w:r>
      <w:bookmarkEnd w:id="8"/>
      <w:r w:rsidR="00F813D0" w:rsidRPr="00BE56E1">
        <w:rPr>
          <w:rFonts w:ascii="Book Antiqua" w:eastAsia="SimSun" w:hAnsi="Book Antiqua" w:cs="Calibri"/>
          <w:sz w:val="24"/>
        </w:rPr>
        <w:t>); Hong Ye (</w:t>
      </w:r>
      <w:bookmarkStart w:id="9" w:name="OLE_LINK29"/>
      <w:r w:rsidR="00F813D0" w:rsidRPr="00BE56E1">
        <w:rPr>
          <w:rFonts w:ascii="Book Antiqua" w:eastAsia="SimSun" w:hAnsi="Book Antiqua" w:cs="Calibri"/>
          <w:sz w:val="24"/>
        </w:rPr>
        <w:t>0000-0003-4238-7883</w:t>
      </w:r>
      <w:bookmarkEnd w:id="9"/>
      <w:r w:rsidR="00F813D0" w:rsidRPr="00BE56E1">
        <w:rPr>
          <w:rFonts w:ascii="Book Antiqua" w:eastAsia="SimSun" w:hAnsi="Book Antiqua" w:cs="Calibri"/>
          <w:sz w:val="24"/>
        </w:rPr>
        <w:t>)</w:t>
      </w:r>
      <w:r w:rsidRPr="00BE56E1">
        <w:rPr>
          <w:rFonts w:ascii="Book Antiqua" w:eastAsia="SimSun" w:hAnsi="Book Antiqua" w:cs="Calibri"/>
          <w:sz w:val="24"/>
        </w:rPr>
        <w:t>.</w:t>
      </w:r>
    </w:p>
    <w:p w:rsidR="00C41BBA" w:rsidRPr="00BE56E1" w:rsidRDefault="00C41BBA" w:rsidP="00BE56E1">
      <w:pPr>
        <w:spacing w:line="360" w:lineRule="auto"/>
        <w:rPr>
          <w:rFonts w:ascii="Book Antiqua" w:eastAsia="SimSun" w:hAnsi="Book Antiqua" w:cs="Calibri"/>
          <w:sz w:val="24"/>
        </w:rPr>
      </w:pPr>
    </w:p>
    <w:p w:rsidR="00E75155" w:rsidRPr="00BE56E1" w:rsidRDefault="00C41BBA" w:rsidP="00BE56E1">
      <w:pPr>
        <w:spacing w:line="360" w:lineRule="auto"/>
        <w:rPr>
          <w:rFonts w:ascii="Book Antiqua" w:eastAsia="SimSun" w:hAnsi="Book Antiqua" w:cs="Calibri"/>
          <w:sz w:val="24"/>
        </w:rPr>
      </w:pPr>
      <w:r w:rsidRPr="00BE56E1">
        <w:rPr>
          <w:rFonts w:ascii="Book Antiqua" w:hAnsi="Book Antiqua"/>
          <w:b/>
          <w:kern w:val="0"/>
          <w:sz w:val="24"/>
        </w:rPr>
        <w:t>Author contributions:</w:t>
      </w:r>
      <w:r w:rsidR="00F813D0" w:rsidRPr="00BE56E1">
        <w:rPr>
          <w:rFonts w:ascii="Book Antiqua" w:eastAsia="SimSun" w:hAnsi="Book Antiqua" w:cs="Calibri"/>
          <w:sz w:val="24"/>
        </w:rPr>
        <w:t xml:space="preserve"> Ye </w:t>
      </w:r>
      <w:r w:rsidRPr="00BE56E1">
        <w:rPr>
          <w:rFonts w:ascii="Book Antiqua" w:eastAsia="SimSun" w:hAnsi="Book Antiqua" w:cs="Calibri"/>
          <w:sz w:val="24"/>
        </w:rPr>
        <w:t xml:space="preserve">H </w:t>
      </w:r>
      <w:r w:rsidR="00F813D0" w:rsidRPr="00BE56E1">
        <w:rPr>
          <w:rFonts w:ascii="Book Antiqua" w:eastAsia="SimSun" w:hAnsi="Book Antiqua" w:cs="Calibri"/>
          <w:sz w:val="24"/>
        </w:rPr>
        <w:t xml:space="preserve">designed the report; He </w:t>
      </w:r>
      <w:r w:rsidRPr="00BE56E1">
        <w:rPr>
          <w:rFonts w:ascii="Book Antiqua" w:eastAsia="SimSun" w:hAnsi="Book Antiqua" w:cs="Calibri"/>
          <w:sz w:val="24"/>
        </w:rPr>
        <w:t xml:space="preserve">XY </w:t>
      </w:r>
      <w:r w:rsidR="00F813D0" w:rsidRPr="00BE56E1">
        <w:rPr>
          <w:rFonts w:ascii="Book Antiqua" w:eastAsia="SimSun" w:hAnsi="Book Antiqua" w:cs="Calibri"/>
          <w:sz w:val="24"/>
        </w:rPr>
        <w:t xml:space="preserve">collected the patient’s clinical data; Liang </w:t>
      </w:r>
      <w:r w:rsidRPr="00BE56E1">
        <w:rPr>
          <w:rFonts w:ascii="Book Antiqua" w:eastAsia="SimSun" w:hAnsi="Book Antiqua" w:cs="Calibri"/>
          <w:sz w:val="24"/>
        </w:rPr>
        <w:t xml:space="preserve">JJ </w:t>
      </w:r>
      <w:r w:rsidR="00F813D0" w:rsidRPr="00BE56E1">
        <w:rPr>
          <w:rFonts w:ascii="Book Antiqua" w:eastAsia="SimSun" w:hAnsi="Book Antiqua" w:cs="Calibri"/>
          <w:sz w:val="24"/>
        </w:rPr>
        <w:t>analyzed the data and wrote the paper.</w:t>
      </w:r>
      <w:r w:rsidR="00BE56E1" w:rsidRPr="00BE56E1">
        <w:rPr>
          <w:rFonts w:ascii="Book Antiqua" w:eastAsia="SimSun" w:hAnsi="Book Antiqua" w:cs="Calibri"/>
          <w:sz w:val="24"/>
        </w:rPr>
        <w:t xml:space="preserve"> </w:t>
      </w:r>
    </w:p>
    <w:p w:rsidR="00C41BBA" w:rsidRPr="00BE56E1" w:rsidRDefault="00C41BBA" w:rsidP="00BE56E1">
      <w:pPr>
        <w:spacing w:line="360" w:lineRule="auto"/>
        <w:rPr>
          <w:rFonts w:ascii="Book Antiqua" w:eastAsia="SimSun" w:hAnsi="Book Antiqua" w:cs="Calibri"/>
          <w:sz w:val="24"/>
        </w:rPr>
      </w:pPr>
    </w:p>
    <w:p w:rsidR="00E75155" w:rsidRPr="00BE56E1" w:rsidRDefault="00F813D0" w:rsidP="00BE56E1">
      <w:pPr>
        <w:spacing w:line="360" w:lineRule="auto"/>
        <w:rPr>
          <w:rFonts w:ascii="Book Antiqua" w:eastAsia="楷体" w:hAnsi="Book Antiqua" w:cs="Calibri"/>
          <w:sz w:val="24"/>
        </w:rPr>
      </w:pPr>
      <w:bookmarkStart w:id="10" w:name="OLE_LINK42"/>
      <w:r w:rsidRPr="00BE56E1">
        <w:rPr>
          <w:rFonts w:ascii="Book Antiqua" w:eastAsia="SimSun" w:hAnsi="Book Antiqua" w:cs="Calibri"/>
          <w:b/>
          <w:bCs/>
          <w:sz w:val="24"/>
        </w:rPr>
        <w:t>Supported by</w:t>
      </w:r>
      <w:r w:rsidRPr="00BE56E1">
        <w:rPr>
          <w:rFonts w:ascii="Book Antiqua" w:eastAsia="SimSun" w:hAnsi="Book Antiqua" w:cs="SimSun"/>
          <w:sz w:val="24"/>
        </w:rPr>
        <w:t xml:space="preserve"> </w:t>
      </w:r>
      <w:r w:rsidRPr="00BE56E1">
        <w:rPr>
          <w:rFonts w:ascii="Book Antiqua" w:eastAsia="楷体" w:hAnsi="Book Antiqua" w:cs="Calibri"/>
          <w:sz w:val="24"/>
        </w:rPr>
        <w:t xml:space="preserve">Young Teacher Foundation of Wuhan University, China, No. 2042017kf0142; </w:t>
      </w:r>
      <w:bookmarkStart w:id="11" w:name="OLE_LINK18"/>
      <w:r w:rsidR="00C41BBA" w:rsidRPr="00BE56E1">
        <w:rPr>
          <w:rFonts w:ascii="Book Antiqua" w:eastAsia="楷体" w:hAnsi="Book Antiqua" w:cs="Calibri"/>
          <w:sz w:val="24"/>
        </w:rPr>
        <w:t xml:space="preserve">and </w:t>
      </w:r>
      <w:r w:rsidRPr="00BE56E1">
        <w:rPr>
          <w:rFonts w:ascii="Book Antiqua" w:eastAsia="楷体" w:hAnsi="Book Antiqua" w:cs="Calibri"/>
          <w:sz w:val="24"/>
        </w:rPr>
        <w:t>Guidance Fund of Renmin Hospital of Wuhan University</w:t>
      </w:r>
      <w:bookmarkEnd w:id="11"/>
      <w:r w:rsidRPr="00BE56E1">
        <w:rPr>
          <w:rFonts w:ascii="Book Antiqua" w:eastAsia="楷体" w:hAnsi="Book Antiqua" w:cs="Calibri"/>
          <w:sz w:val="24"/>
        </w:rPr>
        <w:t xml:space="preserve">, China, No. </w:t>
      </w:r>
      <w:bookmarkStart w:id="12" w:name="OLE_LINK20"/>
      <w:r w:rsidRPr="00BE56E1">
        <w:rPr>
          <w:rFonts w:ascii="Book Antiqua" w:eastAsia="楷体" w:hAnsi="Book Antiqua" w:cs="Calibri"/>
          <w:sz w:val="24"/>
        </w:rPr>
        <w:t>RMYD2018M19</w:t>
      </w:r>
      <w:bookmarkEnd w:id="12"/>
      <w:r w:rsidRPr="00BE56E1">
        <w:rPr>
          <w:rFonts w:ascii="Book Antiqua" w:eastAsia="楷体" w:hAnsi="Book Antiqua" w:cs="Calibri"/>
          <w:sz w:val="24"/>
        </w:rPr>
        <w:t>.</w:t>
      </w:r>
    </w:p>
    <w:p w:rsidR="00C41BBA" w:rsidRPr="00BE56E1" w:rsidRDefault="00C41BBA" w:rsidP="00BE56E1">
      <w:pPr>
        <w:spacing w:line="360" w:lineRule="auto"/>
        <w:rPr>
          <w:rFonts w:ascii="Book Antiqua" w:eastAsia="楷体" w:hAnsi="Book Antiqua" w:cs="Calibri"/>
          <w:sz w:val="24"/>
        </w:rPr>
      </w:pPr>
    </w:p>
    <w:bookmarkEnd w:id="10"/>
    <w:p w:rsidR="00B04E55" w:rsidRPr="00BE56E1" w:rsidRDefault="00B04E55" w:rsidP="00BE56E1">
      <w:pPr>
        <w:spacing w:line="360" w:lineRule="auto"/>
        <w:rPr>
          <w:rFonts w:ascii="Book Antiqua" w:eastAsia="楷体" w:hAnsi="Book Antiqua" w:cs="Calibri"/>
          <w:sz w:val="24"/>
        </w:rPr>
      </w:pPr>
      <w:r w:rsidRPr="00BE56E1">
        <w:rPr>
          <w:rFonts w:ascii="Book Antiqua" w:hAnsi="Book Antiqua"/>
          <w:b/>
          <w:sz w:val="24"/>
        </w:rPr>
        <w:lastRenderedPageBreak/>
        <w:t>Informed consent statement</w:t>
      </w:r>
      <w:r w:rsidRPr="00BE56E1">
        <w:rPr>
          <w:rFonts w:ascii="Book Antiqua" w:hAnsi="Book Antiqua"/>
          <w:b/>
          <w:iCs/>
          <w:sz w:val="24"/>
        </w:rPr>
        <w:t>:</w:t>
      </w:r>
      <w:r w:rsidRPr="00BE56E1">
        <w:rPr>
          <w:rFonts w:ascii="Book Antiqua" w:hAnsi="Book Antiqua"/>
          <w:b/>
          <w:iCs/>
          <w:kern w:val="0"/>
          <w:sz w:val="24"/>
        </w:rPr>
        <w:t xml:space="preserve"> </w:t>
      </w:r>
      <w:r w:rsidRPr="00BE56E1">
        <w:rPr>
          <w:rFonts w:ascii="Book Antiqua" w:eastAsia="楷体" w:hAnsi="Book Antiqua" w:cs="Calibri"/>
          <w:sz w:val="24"/>
        </w:rPr>
        <w:t>Consent was obtained from relatives of the patient for publication of this report and any accompanying images.</w:t>
      </w:r>
    </w:p>
    <w:p w:rsidR="00B04E55" w:rsidRPr="00BE56E1" w:rsidRDefault="00B04E55" w:rsidP="00BE56E1">
      <w:pPr>
        <w:spacing w:line="360" w:lineRule="auto"/>
        <w:rPr>
          <w:rFonts w:ascii="Book Antiqua" w:hAnsi="Book Antiqua"/>
          <w:b/>
          <w:sz w:val="24"/>
        </w:rPr>
      </w:pP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Conflict-of-interest statement</w:t>
      </w:r>
      <w:r w:rsidRPr="00BE56E1">
        <w:rPr>
          <w:rFonts w:ascii="Book Antiqua" w:hAnsi="Book Antiqua" w:cs="TimesNewRomanPS-BoldItalicMT"/>
          <w:b/>
          <w:iCs/>
          <w:sz w:val="24"/>
        </w:rPr>
        <w:t xml:space="preserve">: </w:t>
      </w:r>
      <w:bookmarkStart w:id="13" w:name="OLE_LINK33"/>
      <w:bookmarkStart w:id="14" w:name="OLE_LINK41"/>
      <w:r w:rsidRPr="00BE56E1">
        <w:rPr>
          <w:rFonts w:ascii="Book Antiqua" w:eastAsia="楷体" w:hAnsi="Book Antiqua" w:cs="Calibri"/>
          <w:sz w:val="24"/>
        </w:rPr>
        <w:t>The authors declare that they have no conflict</w:t>
      </w:r>
      <w:bookmarkEnd w:id="13"/>
      <w:r w:rsidRPr="00BE56E1">
        <w:rPr>
          <w:rFonts w:ascii="Book Antiqua" w:eastAsia="楷体" w:hAnsi="Book Antiqua" w:cs="Calibri"/>
          <w:sz w:val="24"/>
        </w:rPr>
        <w:t>s of interest</w:t>
      </w:r>
      <w:bookmarkEnd w:id="14"/>
      <w:r w:rsidRPr="00BE56E1">
        <w:rPr>
          <w:rFonts w:ascii="Book Antiqua" w:eastAsia="楷体" w:hAnsi="Book Antiqua" w:cs="Calibri"/>
          <w:sz w:val="24"/>
        </w:rPr>
        <w:t>.</w:t>
      </w:r>
    </w:p>
    <w:p w:rsidR="00B04E55" w:rsidRPr="00BE56E1" w:rsidRDefault="00B04E55" w:rsidP="00BE56E1">
      <w:pPr>
        <w:snapToGrid w:val="0"/>
        <w:spacing w:line="360" w:lineRule="auto"/>
        <w:rPr>
          <w:rFonts w:ascii="Book Antiqua" w:hAnsi="Book Antiqua" w:cs="Book Antiqua"/>
          <w:sz w:val="24"/>
        </w:rPr>
      </w:pP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CARE Checklist (2016) statement:</w:t>
      </w:r>
      <w:r w:rsidRPr="00BE56E1">
        <w:rPr>
          <w:rFonts w:ascii="Book Antiqua" w:hAnsi="Book Antiqua" w:cs="Calibri"/>
          <w:bCs/>
          <w:sz w:val="24"/>
        </w:rPr>
        <w:t xml:space="preserve"> The authors have read the CARE Checklist (2016), and the manuscript was prepared and revised according to the CARE Checklist (2016)</w:t>
      </w:r>
      <w:r w:rsidRPr="00BE56E1">
        <w:rPr>
          <w:rFonts w:ascii="Book Antiqua" w:hAnsi="Book Antiqua" w:cs="Calibri"/>
          <w:b/>
          <w:bCs/>
          <w:sz w:val="24"/>
        </w:rPr>
        <w:t>.</w:t>
      </w:r>
    </w:p>
    <w:p w:rsidR="00B04E55" w:rsidRPr="00BE56E1" w:rsidRDefault="00B04E55" w:rsidP="00BE56E1">
      <w:pPr>
        <w:adjustRightInd w:val="0"/>
        <w:snapToGrid w:val="0"/>
        <w:spacing w:line="360" w:lineRule="auto"/>
        <w:rPr>
          <w:rFonts w:ascii="Book Antiqua" w:hAnsi="Book Antiqua"/>
          <w:sz w:val="24"/>
        </w:rPr>
      </w:pPr>
    </w:p>
    <w:p w:rsidR="00B04E55" w:rsidRPr="00BE56E1" w:rsidRDefault="00B04E55" w:rsidP="00BE56E1">
      <w:pPr>
        <w:widowControl/>
        <w:adjustRightInd w:val="0"/>
        <w:snapToGrid w:val="0"/>
        <w:spacing w:line="360" w:lineRule="auto"/>
        <w:rPr>
          <w:rFonts w:ascii="Book Antiqua" w:hAnsi="Book Antiqua"/>
          <w:sz w:val="24"/>
        </w:rPr>
      </w:pPr>
      <w:r w:rsidRPr="00BE56E1">
        <w:rPr>
          <w:rFonts w:ascii="Book Antiqua" w:hAnsi="Book Antiqua"/>
          <w:b/>
          <w:kern w:val="0"/>
          <w:sz w:val="24"/>
        </w:rPr>
        <w:t xml:space="preserve">Open-Access: </w:t>
      </w:r>
      <w:r w:rsidRPr="00BE56E1">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E56E1">
          <w:rPr>
            <w:rStyle w:val="Hyperlink"/>
            <w:rFonts w:ascii="Book Antiqua" w:hAnsi="Book Antiqua"/>
            <w:color w:val="auto"/>
            <w:sz w:val="24"/>
            <w:u w:val="none"/>
          </w:rPr>
          <w:t>http://creativecommons.org/licenses/by-nc/4.0/</w:t>
        </w:r>
      </w:hyperlink>
    </w:p>
    <w:p w:rsidR="00B04E55" w:rsidRPr="00BE56E1" w:rsidRDefault="00B04E55" w:rsidP="00BE56E1">
      <w:pPr>
        <w:spacing w:line="360" w:lineRule="auto"/>
        <w:rPr>
          <w:rFonts w:ascii="Book Antiqua" w:hAnsi="Book Antiqua"/>
          <w:sz w:val="24"/>
        </w:rPr>
      </w:pPr>
    </w:p>
    <w:p w:rsidR="00B04E55" w:rsidRPr="00BE56E1" w:rsidRDefault="00B04E55" w:rsidP="00BE56E1">
      <w:pPr>
        <w:spacing w:line="360" w:lineRule="auto"/>
        <w:rPr>
          <w:rFonts w:ascii="Book Antiqua" w:eastAsia="SimSun" w:hAnsi="Book Antiqua" w:cs="SimSun"/>
          <w:kern w:val="0"/>
          <w:sz w:val="24"/>
        </w:rPr>
      </w:pPr>
      <w:r w:rsidRPr="00BE56E1">
        <w:rPr>
          <w:rFonts w:ascii="Book Antiqua" w:eastAsia="SimSun" w:hAnsi="Book Antiqua" w:cs="SimSun"/>
          <w:b/>
          <w:kern w:val="0"/>
          <w:sz w:val="24"/>
        </w:rPr>
        <w:t>Manuscript source:</w:t>
      </w:r>
      <w:r w:rsidRPr="00BE56E1">
        <w:rPr>
          <w:rFonts w:ascii="Book Antiqua" w:eastAsia="SimSun" w:hAnsi="Book Antiqua" w:cs="SimSun"/>
          <w:kern w:val="0"/>
          <w:sz w:val="24"/>
        </w:rPr>
        <w:t> Unsolicited manuscript</w:t>
      </w:r>
    </w:p>
    <w:p w:rsidR="00B04E55" w:rsidRPr="00BE56E1" w:rsidRDefault="00B04E55" w:rsidP="00BE56E1">
      <w:pPr>
        <w:spacing w:line="360" w:lineRule="auto"/>
        <w:rPr>
          <w:rFonts w:ascii="Book Antiqua" w:hAnsi="Book Antiqua"/>
          <w:sz w:val="24"/>
        </w:rPr>
      </w:pPr>
    </w:p>
    <w:p w:rsidR="00C41BBA" w:rsidRPr="00BE56E1" w:rsidRDefault="00C41BBA" w:rsidP="00BE56E1">
      <w:pPr>
        <w:spacing w:line="360" w:lineRule="auto"/>
        <w:rPr>
          <w:rFonts w:ascii="Book Antiqua" w:eastAsia="楷体" w:hAnsi="Book Antiqua" w:cs="Calibri"/>
          <w:sz w:val="24"/>
        </w:rPr>
      </w:pPr>
      <w:bookmarkStart w:id="15" w:name="OLE_LINK83"/>
      <w:r w:rsidRPr="00BE56E1">
        <w:rPr>
          <w:rFonts w:ascii="Book Antiqua" w:hAnsi="Book Antiqua"/>
          <w:b/>
          <w:kern w:val="0"/>
          <w:sz w:val="24"/>
        </w:rPr>
        <w:t>Corresponding author:</w:t>
      </w:r>
      <w:r w:rsidR="00F813D0" w:rsidRPr="00BE56E1">
        <w:rPr>
          <w:rFonts w:ascii="Book Antiqua" w:eastAsia="楷体" w:hAnsi="Book Antiqua" w:cs="Calibri"/>
          <w:sz w:val="24"/>
        </w:rPr>
        <w:t xml:space="preserve"> </w:t>
      </w:r>
      <w:r w:rsidR="00F813D0" w:rsidRPr="00BE56E1">
        <w:rPr>
          <w:rFonts w:ascii="Book Antiqua" w:eastAsia="楷体" w:hAnsi="Book Antiqua" w:cs="Calibri"/>
          <w:b/>
          <w:sz w:val="24"/>
        </w:rPr>
        <w:t xml:space="preserve">Hong Ye, MD, </w:t>
      </w:r>
      <w:bookmarkStart w:id="16" w:name="OLE_LINK23"/>
      <w:r w:rsidR="00F813D0" w:rsidRPr="00BE56E1">
        <w:rPr>
          <w:rFonts w:ascii="Book Antiqua" w:eastAsia="楷体" w:hAnsi="Book Antiqua" w:cs="Calibri"/>
          <w:b/>
          <w:sz w:val="24"/>
        </w:rPr>
        <w:t xml:space="preserve">Attending </w:t>
      </w:r>
      <w:r w:rsidRPr="00BE56E1">
        <w:rPr>
          <w:rFonts w:ascii="Book Antiqua" w:eastAsia="楷体" w:hAnsi="Book Antiqua" w:cs="Calibri"/>
          <w:b/>
          <w:sz w:val="24"/>
        </w:rPr>
        <w:t>Doctor</w:t>
      </w:r>
      <w:r w:rsidR="00F813D0" w:rsidRPr="00BE56E1">
        <w:rPr>
          <w:rFonts w:ascii="Book Antiqua" w:eastAsia="楷体" w:hAnsi="Book Antiqua" w:cs="Calibri"/>
          <w:b/>
          <w:sz w:val="24"/>
        </w:rPr>
        <w:t>,</w:t>
      </w:r>
      <w:bookmarkEnd w:id="16"/>
      <w:r w:rsidR="00F813D0" w:rsidRPr="00BE56E1">
        <w:rPr>
          <w:rFonts w:ascii="Book Antiqua" w:eastAsia="楷体" w:hAnsi="Book Antiqua" w:cs="Calibri"/>
          <w:b/>
          <w:sz w:val="24"/>
        </w:rPr>
        <w:t xml:space="preserve"> </w:t>
      </w:r>
      <w:r w:rsidR="00F813D0" w:rsidRPr="00BE56E1">
        <w:rPr>
          <w:rFonts w:ascii="Book Antiqua" w:eastAsia="楷体" w:hAnsi="Book Antiqua" w:cs="Calibri"/>
          <w:sz w:val="24"/>
        </w:rPr>
        <w:t>Department of Neurology, Xuanwu Hospital, Capi</w:t>
      </w:r>
      <w:r w:rsidR="00B04E55" w:rsidRPr="00BE56E1">
        <w:rPr>
          <w:rFonts w:ascii="Book Antiqua" w:eastAsia="楷体" w:hAnsi="Book Antiqua" w:cs="Calibri"/>
          <w:sz w:val="24"/>
        </w:rPr>
        <w:t>tal Medical University, No. 45 Changchun Street, Beijing</w:t>
      </w:r>
      <w:r w:rsidR="00F813D0" w:rsidRPr="00BE56E1">
        <w:rPr>
          <w:rFonts w:ascii="Book Antiqua" w:eastAsia="楷体" w:hAnsi="Book Antiqua" w:cs="Calibri"/>
          <w:sz w:val="24"/>
        </w:rPr>
        <w:t xml:space="preserve"> 100053, China. </w:t>
      </w:r>
      <w:bookmarkStart w:id="17" w:name="OLE_LINK8"/>
      <w:r w:rsidR="00F813D0" w:rsidRPr="00BE56E1">
        <w:rPr>
          <w:rFonts w:ascii="Book Antiqua" w:eastAsia="楷体" w:hAnsi="Book Antiqua" w:cs="Calibri"/>
          <w:sz w:val="24"/>
        </w:rPr>
        <w:t>chris_yehong</w:t>
      </w:r>
      <w:bookmarkEnd w:id="17"/>
      <w:r w:rsidR="00F813D0" w:rsidRPr="00BE56E1">
        <w:rPr>
          <w:rFonts w:ascii="Book Antiqua" w:eastAsia="楷体" w:hAnsi="Book Antiqua" w:cs="Calibri"/>
          <w:sz w:val="24"/>
        </w:rPr>
        <w:t xml:space="preserve">@126.com </w:t>
      </w:r>
    </w:p>
    <w:p w:rsidR="00E75155" w:rsidRPr="00BE56E1" w:rsidRDefault="00F813D0" w:rsidP="00BE56E1">
      <w:pPr>
        <w:spacing w:line="360" w:lineRule="auto"/>
        <w:rPr>
          <w:rFonts w:ascii="Book Antiqua" w:eastAsia="楷体" w:hAnsi="Book Antiqua" w:cs="Calibri"/>
          <w:sz w:val="24"/>
        </w:rPr>
      </w:pPr>
      <w:r w:rsidRPr="00BE56E1">
        <w:rPr>
          <w:rFonts w:ascii="Book Antiqua" w:eastAsia="楷体" w:hAnsi="Book Antiqua" w:cs="Calibri"/>
          <w:b/>
          <w:bCs/>
          <w:sz w:val="24"/>
        </w:rPr>
        <w:t>Telephone:</w:t>
      </w:r>
      <w:r w:rsidRPr="00BE56E1">
        <w:rPr>
          <w:rFonts w:ascii="Book Antiqua" w:eastAsia="楷体" w:hAnsi="Book Antiqua" w:cs="Calibri"/>
          <w:sz w:val="24"/>
        </w:rPr>
        <w:t xml:space="preserve"> </w:t>
      </w:r>
      <w:bookmarkEnd w:id="15"/>
      <w:r w:rsidRPr="00BE56E1">
        <w:rPr>
          <w:rFonts w:ascii="Book Antiqua" w:eastAsia="楷体" w:hAnsi="Book Antiqua" w:cs="Calibri"/>
          <w:sz w:val="24"/>
        </w:rPr>
        <w:t>+86</w:t>
      </w:r>
      <w:r w:rsidR="00C41BBA" w:rsidRPr="00BE56E1">
        <w:rPr>
          <w:rFonts w:ascii="Book Antiqua" w:eastAsia="楷体" w:hAnsi="Book Antiqua" w:cs="Calibri"/>
          <w:sz w:val="24"/>
        </w:rPr>
        <w:t>-</w:t>
      </w:r>
      <w:r w:rsidRPr="00BE56E1">
        <w:rPr>
          <w:rFonts w:ascii="Book Antiqua" w:eastAsia="楷体" w:hAnsi="Book Antiqua" w:cs="Calibri"/>
          <w:sz w:val="24"/>
        </w:rPr>
        <w:t>10</w:t>
      </w:r>
      <w:r w:rsidR="00C41BBA" w:rsidRPr="00BE56E1">
        <w:rPr>
          <w:rFonts w:ascii="Book Antiqua" w:eastAsia="楷体" w:hAnsi="Book Antiqua" w:cs="Calibri"/>
          <w:sz w:val="24"/>
        </w:rPr>
        <w:t>-</w:t>
      </w:r>
      <w:r w:rsidRPr="00BE56E1">
        <w:rPr>
          <w:rFonts w:ascii="Book Antiqua" w:eastAsia="楷体" w:hAnsi="Book Antiqua" w:cs="Calibri"/>
          <w:sz w:val="24"/>
        </w:rPr>
        <w:t>83198899</w:t>
      </w:r>
    </w:p>
    <w:p w:rsidR="00E75155" w:rsidRPr="00BE56E1" w:rsidRDefault="00F813D0" w:rsidP="00BE56E1">
      <w:pPr>
        <w:spacing w:line="360" w:lineRule="auto"/>
        <w:rPr>
          <w:rFonts w:ascii="Book Antiqua" w:eastAsia="楷体" w:hAnsi="Book Antiqua" w:cs="Calibri"/>
          <w:b/>
          <w:kern w:val="44"/>
          <w:sz w:val="24"/>
        </w:rPr>
      </w:pPr>
      <w:r w:rsidRPr="00BE56E1">
        <w:rPr>
          <w:rFonts w:ascii="Book Antiqua" w:eastAsia="楷体" w:hAnsi="Book Antiqua" w:cs="Calibri"/>
          <w:b/>
          <w:bCs/>
          <w:sz w:val="24"/>
        </w:rPr>
        <w:t xml:space="preserve">Fax: </w:t>
      </w:r>
      <w:r w:rsidRPr="00BE56E1">
        <w:rPr>
          <w:rFonts w:ascii="Book Antiqua" w:eastAsia="楷体" w:hAnsi="Book Antiqua" w:cs="Calibri"/>
          <w:sz w:val="24"/>
        </w:rPr>
        <w:t>+86</w:t>
      </w:r>
      <w:r w:rsidR="00C41BBA" w:rsidRPr="00BE56E1">
        <w:rPr>
          <w:rFonts w:ascii="Book Antiqua" w:eastAsia="楷体" w:hAnsi="Book Antiqua" w:cs="Calibri"/>
          <w:sz w:val="24"/>
        </w:rPr>
        <w:t>-</w:t>
      </w:r>
      <w:r w:rsidRPr="00BE56E1">
        <w:rPr>
          <w:rFonts w:ascii="Book Antiqua" w:eastAsia="楷体" w:hAnsi="Book Antiqua" w:cs="Calibri"/>
          <w:sz w:val="24"/>
        </w:rPr>
        <w:t>10</w:t>
      </w:r>
      <w:r w:rsidR="00C41BBA" w:rsidRPr="00BE56E1">
        <w:rPr>
          <w:rFonts w:ascii="Book Antiqua" w:eastAsia="楷体" w:hAnsi="Book Antiqua" w:cs="Calibri"/>
          <w:sz w:val="24"/>
        </w:rPr>
        <w:t>-</w:t>
      </w:r>
      <w:r w:rsidRPr="00BE56E1">
        <w:rPr>
          <w:rFonts w:ascii="Book Antiqua" w:eastAsia="楷体" w:hAnsi="Book Antiqua" w:cs="Calibri"/>
          <w:sz w:val="24"/>
        </w:rPr>
        <w:t>63131271</w:t>
      </w:r>
    </w:p>
    <w:p w:rsidR="00E75155" w:rsidRPr="00BE56E1" w:rsidRDefault="00E75155" w:rsidP="00BE56E1">
      <w:pPr>
        <w:spacing w:line="360" w:lineRule="auto"/>
        <w:rPr>
          <w:rFonts w:ascii="Book Antiqua" w:eastAsia="SimSun" w:hAnsi="Book Antiqua" w:cs="Calibri"/>
          <w:b/>
          <w:kern w:val="44"/>
          <w:sz w:val="24"/>
        </w:rPr>
      </w:pP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Received:</w:t>
      </w:r>
      <w:r w:rsidR="006B0BB7" w:rsidRPr="00BE56E1">
        <w:rPr>
          <w:rFonts w:ascii="Book Antiqua" w:hAnsi="Book Antiqua"/>
          <w:b/>
          <w:sz w:val="24"/>
        </w:rPr>
        <w:t xml:space="preserve"> </w:t>
      </w:r>
      <w:r w:rsidR="006B0BB7" w:rsidRPr="00BE56E1">
        <w:rPr>
          <w:rFonts w:ascii="Book Antiqua" w:hAnsi="Book Antiqua"/>
          <w:sz w:val="24"/>
        </w:rPr>
        <w:t>October 31, 2018</w:t>
      </w:r>
      <w:r w:rsidR="00BE56E1" w:rsidRPr="00BE56E1">
        <w:rPr>
          <w:rFonts w:ascii="Book Antiqua" w:hAnsi="Book Antiqua"/>
          <w:sz w:val="24"/>
        </w:rPr>
        <w:t xml:space="preserve"> </w:t>
      </w: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Peer-review started:</w:t>
      </w:r>
      <w:r w:rsidR="006B0BB7" w:rsidRPr="00BE56E1">
        <w:rPr>
          <w:rFonts w:ascii="Book Antiqua" w:hAnsi="Book Antiqua"/>
          <w:sz w:val="24"/>
        </w:rPr>
        <w:t xml:space="preserve"> October 31, 2018</w:t>
      </w:r>
      <w:r w:rsidR="00BE56E1" w:rsidRPr="00BE56E1">
        <w:rPr>
          <w:rFonts w:ascii="Book Antiqua" w:hAnsi="Book Antiqua"/>
          <w:sz w:val="24"/>
        </w:rPr>
        <w:t xml:space="preserve"> </w:t>
      </w: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First decision:</w:t>
      </w:r>
      <w:r w:rsidR="006B0BB7" w:rsidRPr="00BE56E1">
        <w:rPr>
          <w:rFonts w:ascii="Book Antiqua" w:hAnsi="Book Antiqua"/>
          <w:sz w:val="24"/>
        </w:rPr>
        <w:t xml:space="preserve"> December 9, 2018</w:t>
      </w:r>
      <w:r w:rsidR="00BE56E1" w:rsidRPr="00BE56E1">
        <w:rPr>
          <w:rFonts w:ascii="Book Antiqua" w:hAnsi="Book Antiqua"/>
          <w:sz w:val="24"/>
        </w:rPr>
        <w:t xml:space="preserve"> </w:t>
      </w: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 xml:space="preserve">Revised: </w:t>
      </w:r>
      <w:r w:rsidR="006B0BB7" w:rsidRPr="00BE56E1">
        <w:rPr>
          <w:rFonts w:ascii="Book Antiqua" w:hAnsi="Book Antiqua"/>
          <w:sz w:val="24"/>
        </w:rPr>
        <w:t>December 22, 2018</w:t>
      </w:r>
      <w:r w:rsidR="00BE56E1" w:rsidRPr="00BE56E1">
        <w:rPr>
          <w:rFonts w:ascii="Book Antiqua" w:hAnsi="Book Antiqua"/>
          <w:sz w:val="24"/>
        </w:rPr>
        <w:t xml:space="preserve"> </w:t>
      </w: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lastRenderedPageBreak/>
        <w:t>Accepted:</w:t>
      </w:r>
      <w:r w:rsidR="0003541E" w:rsidRPr="0003541E">
        <w:t xml:space="preserve"> </w:t>
      </w:r>
      <w:r w:rsidR="0003541E" w:rsidRPr="0003541E">
        <w:rPr>
          <w:rFonts w:ascii="Book Antiqua" w:hAnsi="Book Antiqua"/>
          <w:sz w:val="24"/>
        </w:rPr>
        <w:t>January 3, 2019</w:t>
      </w:r>
      <w:r w:rsidR="00BE56E1" w:rsidRPr="00BE56E1">
        <w:rPr>
          <w:rFonts w:ascii="Book Antiqua" w:hAnsi="Book Antiqua"/>
          <w:b/>
          <w:sz w:val="24"/>
        </w:rPr>
        <w:t xml:space="preserve"> </w:t>
      </w:r>
    </w:p>
    <w:p w:rsidR="00B04E55" w:rsidRPr="00BE56E1" w:rsidRDefault="00B04E55" w:rsidP="00BE56E1">
      <w:pPr>
        <w:spacing w:line="360" w:lineRule="auto"/>
        <w:rPr>
          <w:rFonts w:ascii="Book Antiqua" w:hAnsi="Book Antiqua"/>
          <w:sz w:val="24"/>
        </w:rPr>
      </w:pPr>
      <w:r w:rsidRPr="00BE56E1">
        <w:rPr>
          <w:rFonts w:ascii="Book Antiqua" w:hAnsi="Book Antiqua"/>
          <w:b/>
          <w:sz w:val="24"/>
        </w:rPr>
        <w:t>Article in press:</w:t>
      </w:r>
      <w:r w:rsidR="00BE56E1" w:rsidRPr="00BE56E1">
        <w:rPr>
          <w:rFonts w:ascii="Book Antiqua" w:hAnsi="Book Antiqua"/>
          <w:sz w:val="24"/>
        </w:rPr>
        <w:t xml:space="preserve"> </w:t>
      </w:r>
    </w:p>
    <w:p w:rsidR="00B04E55" w:rsidRPr="00BE56E1" w:rsidRDefault="00B04E55" w:rsidP="00BE56E1">
      <w:pPr>
        <w:spacing w:line="360" w:lineRule="auto"/>
        <w:rPr>
          <w:rFonts w:ascii="Book Antiqua" w:hAnsi="Book Antiqua"/>
          <w:b/>
          <w:sz w:val="24"/>
        </w:rPr>
      </w:pPr>
      <w:r w:rsidRPr="00BE56E1">
        <w:rPr>
          <w:rFonts w:ascii="Book Antiqua" w:hAnsi="Book Antiqua"/>
          <w:b/>
          <w:sz w:val="24"/>
        </w:rPr>
        <w:t xml:space="preserve">Published online: </w:t>
      </w:r>
    </w:p>
    <w:p w:rsidR="006B0BB7" w:rsidRPr="00BE56E1" w:rsidRDefault="006B0BB7" w:rsidP="00BE56E1">
      <w:pPr>
        <w:widowControl/>
        <w:spacing w:line="360" w:lineRule="auto"/>
        <w:rPr>
          <w:rFonts w:ascii="Book Antiqua" w:eastAsia="SimSun" w:hAnsi="Book Antiqua" w:cs="Calibri"/>
          <w:b/>
          <w:kern w:val="44"/>
          <w:sz w:val="24"/>
        </w:rPr>
      </w:pPr>
      <w:r w:rsidRPr="00BE56E1">
        <w:rPr>
          <w:rFonts w:ascii="Book Antiqua" w:eastAsia="SimSun" w:hAnsi="Book Antiqua" w:cs="Calibri"/>
          <w:b/>
          <w:kern w:val="44"/>
          <w:sz w:val="24"/>
        </w:rPr>
        <w:br w:type="page"/>
      </w:r>
    </w:p>
    <w:p w:rsidR="00E75155" w:rsidRPr="00BE56E1" w:rsidRDefault="00F813D0" w:rsidP="00BE56E1">
      <w:pPr>
        <w:spacing w:line="360" w:lineRule="auto"/>
        <w:rPr>
          <w:rFonts w:ascii="Book Antiqua" w:eastAsia="SimSun" w:hAnsi="Book Antiqua" w:cs="Calibri"/>
          <w:sz w:val="24"/>
        </w:rPr>
      </w:pPr>
      <w:r w:rsidRPr="00BE56E1">
        <w:rPr>
          <w:rFonts w:ascii="Book Antiqua" w:eastAsia="SimSun" w:hAnsi="Book Antiqua" w:cs="Calibri"/>
          <w:b/>
          <w:bCs/>
          <w:sz w:val="24"/>
        </w:rPr>
        <w:lastRenderedPageBreak/>
        <w:t>Abstract</w:t>
      </w:r>
      <w:r w:rsidR="00BE56E1" w:rsidRPr="00BE56E1">
        <w:rPr>
          <w:rFonts w:ascii="Book Antiqua" w:eastAsia="SimSun" w:hAnsi="Book Antiqua" w:cs="Calibri"/>
          <w:sz w:val="24"/>
        </w:rPr>
        <w:t xml:space="preserve"> </w:t>
      </w:r>
    </w:p>
    <w:p w:rsidR="006B0BB7" w:rsidRPr="00BE56E1" w:rsidRDefault="00F813D0" w:rsidP="00BE56E1">
      <w:pPr>
        <w:spacing w:line="360" w:lineRule="auto"/>
        <w:rPr>
          <w:rFonts w:ascii="Book Antiqua" w:eastAsia="SimSun" w:hAnsi="Book Antiqua" w:cs="Calibri"/>
          <w:i/>
          <w:iCs/>
          <w:kern w:val="0"/>
          <w:sz w:val="24"/>
        </w:rPr>
      </w:pPr>
      <w:r w:rsidRPr="00BE56E1">
        <w:rPr>
          <w:rFonts w:ascii="Book Antiqua" w:hAnsi="Book Antiqua"/>
          <w:b/>
          <w:sz w:val="24"/>
        </w:rPr>
        <w:t>BACKGROUND</w:t>
      </w:r>
      <w:r w:rsidRPr="00BE56E1">
        <w:rPr>
          <w:rFonts w:ascii="Book Antiqua" w:eastAsia="SimSun" w:hAnsi="Book Antiqua" w:cs="Calibri"/>
          <w:i/>
          <w:iCs/>
          <w:kern w:val="0"/>
          <w:sz w:val="24"/>
        </w:rPr>
        <w:t xml:space="preserve"> </w:t>
      </w:r>
    </w:p>
    <w:p w:rsidR="006B0BB7" w:rsidRPr="00BE56E1" w:rsidRDefault="00F813D0" w:rsidP="00BE56E1">
      <w:pPr>
        <w:spacing w:line="360" w:lineRule="auto"/>
        <w:rPr>
          <w:rFonts w:ascii="Book Antiqua" w:hAnsi="Book Antiqua"/>
          <w:b/>
          <w:sz w:val="24"/>
        </w:rPr>
      </w:pPr>
      <w:r w:rsidRPr="00BE56E1">
        <w:rPr>
          <w:rFonts w:ascii="Book Antiqua" w:eastAsia="SimSun" w:hAnsi="Book Antiqua" w:cs="Calibri"/>
          <w:i/>
          <w:iCs/>
          <w:kern w:val="0"/>
          <w:sz w:val="24"/>
        </w:rPr>
        <w:t>Listeria monocytogenes</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a gram-positive facultatively intracellular bacterium, is the causative agent of human listeriosis. </w:t>
      </w:r>
      <w:r w:rsidRPr="00BE56E1">
        <w:rPr>
          <w:rFonts w:ascii="Book Antiqua" w:eastAsia="SimSun" w:hAnsi="Book Antiqua" w:cs="Calibri"/>
          <w:i/>
          <w:kern w:val="0"/>
          <w:sz w:val="24"/>
        </w:rPr>
        <w:t>Listeria</w:t>
      </w:r>
      <w:r w:rsidRPr="00BE56E1">
        <w:rPr>
          <w:rFonts w:ascii="Book Antiqua" w:eastAsia="SimSun" w:hAnsi="Book Antiqua" w:cs="Calibri"/>
          <w:kern w:val="0"/>
          <w:sz w:val="24"/>
        </w:rPr>
        <w:t xml:space="preserve"> infection is usually found in immunocompromised patients, including elderly people, pregnant women, and newborns, whereas it is rare in healthy people. </w:t>
      </w:r>
      <w:r w:rsidRPr="00BE56E1">
        <w:rPr>
          <w:rFonts w:ascii="Book Antiqua" w:eastAsia="SimSun" w:hAnsi="Book Antiqua" w:cs="Calibri"/>
          <w:i/>
          <w:iCs/>
          <w:kern w:val="0"/>
          <w:sz w:val="24"/>
        </w:rPr>
        <w:t xml:space="preserve">L. monocytogenes </w:t>
      </w:r>
      <w:r w:rsidRPr="00BE56E1">
        <w:rPr>
          <w:rFonts w:ascii="Book Antiqua" w:eastAsia="SimSun" w:hAnsi="Book Antiqua" w:cs="Calibri"/>
          <w:iCs/>
          <w:kern w:val="0"/>
          <w:sz w:val="24"/>
        </w:rPr>
        <w:t>may</w:t>
      </w:r>
      <w:r w:rsidRPr="00BE56E1">
        <w:rPr>
          <w:rFonts w:ascii="Book Antiqua" w:eastAsia="SimSun" w:hAnsi="Book Antiqua" w:cs="Calibri"/>
          <w:kern w:val="0"/>
          <w:sz w:val="24"/>
        </w:rPr>
        <w:t xml:space="preserve"> cause meningitis, meningoencephalitis, and some very rare and severe complications, such as hydrocephalus and </w:t>
      </w:r>
      <w:r w:rsidRPr="00BE56E1">
        <w:rPr>
          <w:rFonts w:ascii="Book Antiqua" w:hAnsi="Book Antiqua" w:cs="Calibri"/>
          <w:sz w:val="24"/>
        </w:rPr>
        <w:t>intracranial</w:t>
      </w:r>
      <w:r w:rsidRPr="00BE56E1">
        <w:rPr>
          <w:rFonts w:ascii="Book Antiqua" w:eastAsia="SimSun" w:hAnsi="Book Antiqua" w:cs="Calibri"/>
          <w:kern w:val="0"/>
          <w:sz w:val="24"/>
        </w:rPr>
        <w:t xml:space="preserve"> hemorrhage, which cause high mortality and morbidity worldwide. Up to now, the literatures on hydrocephalus and intracranial hemorrhage due to </w:t>
      </w:r>
      <w:r w:rsidRPr="00BE56E1">
        <w:rPr>
          <w:rFonts w:ascii="Book Antiqua" w:eastAsia="SimSun" w:hAnsi="Book Antiqua" w:cs="Calibri"/>
          <w:i/>
          <w:iCs/>
          <w:kern w:val="0"/>
          <w:sz w:val="24"/>
        </w:rPr>
        <w:t xml:space="preserve">L. monocytogenes </w:t>
      </w:r>
      <w:r w:rsidRPr="00BE56E1">
        <w:rPr>
          <w:rFonts w:ascii="Book Antiqua" w:eastAsia="SimSun" w:hAnsi="Book Antiqua" w:cs="Calibri"/>
          <w:iCs/>
          <w:kern w:val="0"/>
          <w:sz w:val="24"/>
        </w:rPr>
        <w:t>are few.</w:t>
      </w:r>
      <w:r w:rsidRPr="00BE56E1">
        <w:rPr>
          <w:rFonts w:ascii="Book Antiqua" w:hAnsi="Book Antiqua"/>
          <w:b/>
          <w:sz w:val="24"/>
        </w:rPr>
        <w:t xml:space="preserve"> </w:t>
      </w:r>
    </w:p>
    <w:p w:rsidR="006B0BB7" w:rsidRPr="00BE56E1" w:rsidRDefault="006B0BB7" w:rsidP="00BE56E1">
      <w:pPr>
        <w:spacing w:line="360" w:lineRule="auto"/>
        <w:rPr>
          <w:rFonts w:ascii="Book Antiqua" w:hAnsi="Book Antiqua"/>
          <w:b/>
          <w:sz w:val="24"/>
        </w:rPr>
      </w:pPr>
    </w:p>
    <w:p w:rsidR="006B0BB7" w:rsidRPr="00BE56E1" w:rsidRDefault="00F813D0" w:rsidP="00BE56E1">
      <w:pPr>
        <w:spacing w:line="360" w:lineRule="auto"/>
        <w:rPr>
          <w:rFonts w:ascii="Book Antiqua" w:hAnsi="Book Antiqua"/>
          <w:i/>
          <w:sz w:val="24"/>
        </w:rPr>
      </w:pPr>
      <w:r w:rsidRPr="00BE56E1">
        <w:rPr>
          <w:rFonts w:ascii="Book Antiqua" w:hAnsi="Book Antiqua"/>
          <w:b/>
          <w:i/>
          <w:sz w:val="24"/>
        </w:rPr>
        <w:t>CASE SUMMARY</w:t>
      </w:r>
      <w:r w:rsidRPr="00BE56E1">
        <w:rPr>
          <w:rFonts w:ascii="Book Antiqua" w:hAnsi="Book Antiqua"/>
          <w:i/>
          <w:sz w:val="24"/>
        </w:rPr>
        <w:t xml:space="preserve"> </w:t>
      </w:r>
    </w:p>
    <w:p w:rsidR="006B0BB7" w:rsidRPr="00BE56E1" w:rsidRDefault="00F813D0" w:rsidP="00BE56E1">
      <w:pPr>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We herein report a case of rhombencephalitis infection by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in a 29-year-old man. He was admit</w:t>
      </w:r>
      <w:r w:rsidR="00BE56E1" w:rsidRPr="00BE56E1">
        <w:rPr>
          <w:rFonts w:ascii="Book Antiqua" w:eastAsia="SimSun" w:hAnsi="Book Antiqua" w:cs="Calibri"/>
          <w:kern w:val="0"/>
          <w:sz w:val="24"/>
        </w:rPr>
        <w:t>ted to the hospital with a 2-d</w:t>
      </w:r>
      <w:r w:rsidRPr="00BE56E1">
        <w:rPr>
          <w:rFonts w:ascii="Book Antiqua" w:eastAsia="SimSun" w:hAnsi="Book Antiqua" w:cs="Calibri"/>
          <w:kern w:val="0"/>
          <w:sz w:val="24"/>
        </w:rPr>
        <w:t xml:space="preserve"> history of headache and fever. He consumed unpasteurized cooked beef two days before appear.</w:t>
      </w:r>
      <w:r w:rsidR="00BE56E1" w:rsidRPr="00BE56E1">
        <w:rPr>
          <w:rFonts w:ascii="Book Antiqua" w:eastAsia="SimSun" w:hAnsi="Book Antiqua" w:cs="Calibri"/>
          <w:kern w:val="0"/>
          <w:sz w:val="24"/>
        </w:rPr>
        <w:t xml:space="preserve"> </w:t>
      </w:r>
      <w:r w:rsidRPr="00BE56E1">
        <w:rPr>
          <w:rFonts w:ascii="Book Antiqua" w:eastAsia="SimSun" w:hAnsi="Book Antiqua" w:cs="Calibri"/>
          <w:kern w:val="0"/>
          <w:sz w:val="24"/>
        </w:rPr>
        <w:t>His medical history included type 2 diabetes mellitus, and cont</w:t>
      </w:r>
      <w:r w:rsidR="00BE56E1" w:rsidRPr="00BE56E1">
        <w:rPr>
          <w:rFonts w:ascii="Book Antiqua" w:eastAsia="SimSun" w:hAnsi="Book Antiqua" w:cs="Calibri"/>
          <w:kern w:val="0"/>
          <w:sz w:val="24"/>
        </w:rPr>
        <w:t xml:space="preserve">aminated beef intake 2 </w:t>
      </w:r>
      <w:r w:rsidRPr="00BE56E1">
        <w:rPr>
          <w:rFonts w:ascii="Book Antiqua" w:eastAsia="SimSun" w:hAnsi="Book Antiqua" w:cs="Calibri"/>
          <w:kern w:val="0"/>
          <w:sz w:val="24"/>
        </w:rPr>
        <w:t xml:space="preserve">d before onset. Cerebrospinal fluid analysis revealed Gram-positive rod infection, and blood culture was positive for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MRI findings suggested rhombencephalitis and hydrocephalus. Treatment was started empirically and then modified according to the blood culture results. The repeated CT images were suggestive of intracranial hemorrhage. </w:t>
      </w:r>
      <w:bookmarkStart w:id="18" w:name="OLE_LINK5"/>
      <w:r w:rsidRPr="00BE56E1">
        <w:rPr>
          <w:rFonts w:ascii="Book Antiqua" w:eastAsia="SimSun" w:hAnsi="Book Antiqua" w:cs="Calibri"/>
          <w:kern w:val="0"/>
          <w:sz w:val="24"/>
        </w:rPr>
        <w:t>Although the patient underwent aggressive external ventricular drainage, he died of a continuing deterioration of intracranial conditions</w:t>
      </w:r>
      <w:bookmarkEnd w:id="18"/>
      <w:r w:rsidRPr="00BE56E1">
        <w:rPr>
          <w:rFonts w:ascii="Book Antiqua" w:eastAsia="SimSun" w:hAnsi="Book Antiqua" w:cs="Calibri"/>
          <w:kern w:val="0"/>
          <w:sz w:val="24"/>
        </w:rPr>
        <w:t xml:space="preserve">. </w:t>
      </w:r>
    </w:p>
    <w:p w:rsidR="006B0BB7" w:rsidRPr="00BE56E1" w:rsidRDefault="006B0BB7" w:rsidP="00BE56E1">
      <w:pPr>
        <w:spacing w:line="360" w:lineRule="auto"/>
        <w:rPr>
          <w:rFonts w:ascii="Book Antiqua" w:eastAsia="SimSun" w:hAnsi="Book Antiqua" w:cs="Calibri"/>
          <w:kern w:val="0"/>
          <w:sz w:val="24"/>
        </w:rPr>
      </w:pPr>
    </w:p>
    <w:p w:rsidR="006B0BB7" w:rsidRPr="00BE56E1" w:rsidRDefault="00F813D0" w:rsidP="00BE56E1">
      <w:pPr>
        <w:spacing w:line="360" w:lineRule="auto"/>
        <w:rPr>
          <w:rFonts w:ascii="Book Antiqua" w:hAnsi="Book Antiqua"/>
          <w:b/>
          <w:i/>
          <w:sz w:val="24"/>
        </w:rPr>
      </w:pPr>
      <w:r w:rsidRPr="00BE56E1">
        <w:rPr>
          <w:rFonts w:ascii="Book Antiqua" w:hAnsi="Book Antiqua"/>
          <w:b/>
          <w:i/>
          <w:sz w:val="24"/>
        </w:rPr>
        <w:t xml:space="preserve">CONCLUSION </w:t>
      </w:r>
    </w:p>
    <w:p w:rsidR="00E75155" w:rsidRPr="00BE56E1" w:rsidRDefault="00F813D0" w:rsidP="00BE56E1">
      <w:pPr>
        <w:spacing w:line="360" w:lineRule="auto"/>
        <w:rPr>
          <w:rFonts w:ascii="Book Antiqua" w:eastAsia="SimSun" w:hAnsi="Book Antiqua" w:cs="Calibri"/>
          <w:sz w:val="24"/>
        </w:rPr>
      </w:pPr>
      <w:r w:rsidRPr="00BE56E1">
        <w:rPr>
          <w:rStyle w:val="fontstyle21"/>
          <w:rFonts w:ascii="Book Antiqua" w:hAnsi="Book Antiqua" w:cs="Calibri"/>
          <w:color w:val="auto"/>
          <w:sz w:val="24"/>
          <w:szCs w:val="24"/>
        </w:rPr>
        <w:t xml:space="preserve">Hydrocephalus, </w:t>
      </w:r>
      <w:r w:rsidRPr="00BE56E1">
        <w:rPr>
          <w:rStyle w:val="fontstyle01"/>
          <w:rFonts w:ascii="Book Antiqua" w:eastAsia="SimSun" w:hAnsi="Book Antiqua" w:cs="Calibri"/>
          <w:color w:val="auto"/>
          <w:sz w:val="24"/>
          <w:szCs w:val="24"/>
        </w:rPr>
        <w:t>intracranial hemorrhage</w:t>
      </w:r>
      <w:r w:rsidRPr="00BE56E1">
        <w:rPr>
          <w:rFonts w:ascii="Book Antiqua" w:eastAsia="SimSun" w:hAnsi="Book Antiqua" w:cs="Calibri"/>
          <w:kern w:val="0"/>
          <w:sz w:val="24"/>
        </w:rPr>
        <w:t xml:space="preserve"> and inappropriate antimicrobial treatment </w:t>
      </w:r>
      <w:r w:rsidRPr="00BE56E1">
        <w:rPr>
          <w:rStyle w:val="fontstyle01"/>
          <w:rFonts w:ascii="Book Antiqua" w:eastAsia="SimSun" w:hAnsi="Book Antiqua" w:cs="Calibri"/>
          <w:color w:val="auto"/>
          <w:sz w:val="24"/>
          <w:szCs w:val="24"/>
        </w:rPr>
        <w:t xml:space="preserve">are the </w:t>
      </w:r>
      <w:r w:rsidRPr="00BE56E1">
        <w:rPr>
          <w:rFonts w:ascii="Book Antiqua" w:eastAsia="SimSun" w:hAnsi="Book Antiqua" w:cs="Calibri"/>
          <w:kern w:val="0"/>
          <w:sz w:val="24"/>
        </w:rPr>
        <w:t>determinations of unfavorable outcomes.</w:t>
      </w:r>
      <w:r w:rsidRPr="00BE56E1">
        <w:rPr>
          <w:rFonts w:ascii="Book Antiqua" w:eastAsia="SimSun" w:hAnsi="Book Antiqua" w:cs="Calibri"/>
          <w:sz w:val="24"/>
        </w:rPr>
        <w:t xml:space="preserve"> </w:t>
      </w:r>
    </w:p>
    <w:p w:rsidR="006B0BB7" w:rsidRPr="00BE56E1" w:rsidRDefault="006B0BB7" w:rsidP="00BE56E1">
      <w:pPr>
        <w:spacing w:line="360" w:lineRule="auto"/>
        <w:rPr>
          <w:rStyle w:val="fontstyle21"/>
          <w:rFonts w:ascii="Book Antiqua" w:eastAsiaTheme="minorEastAsia" w:hAnsi="Book Antiqua" w:cs="Calibri"/>
          <w:color w:val="auto"/>
          <w:sz w:val="24"/>
          <w:szCs w:val="24"/>
        </w:rPr>
      </w:pPr>
    </w:p>
    <w:p w:rsidR="00E75155" w:rsidRPr="00BE56E1" w:rsidRDefault="00F813D0" w:rsidP="00BE56E1">
      <w:pPr>
        <w:spacing w:line="360" w:lineRule="auto"/>
        <w:rPr>
          <w:rFonts w:ascii="Book Antiqua" w:eastAsia="SimSun" w:hAnsi="Book Antiqua" w:cs="Calibri"/>
          <w:sz w:val="24"/>
        </w:rPr>
      </w:pPr>
      <w:r w:rsidRPr="00BE56E1">
        <w:rPr>
          <w:rFonts w:ascii="Book Antiqua" w:eastAsia="SimSun" w:hAnsi="Book Antiqua" w:cs="Calibri"/>
          <w:b/>
          <w:bCs/>
          <w:sz w:val="24"/>
        </w:rPr>
        <w:t>Key words:</w:t>
      </w:r>
      <w:r w:rsidRPr="00BE56E1">
        <w:rPr>
          <w:rFonts w:ascii="Book Antiqua" w:eastAsia="SimSun" w:hAnsi="Book Antiqua" w:cs="Calibri"/>
          <w:sz w:val="24"/>
        </w:rPr>
        <w:t xml:space="preserve"> </w:t>
      </w:r>
      <w:r w:rsidR="006B0BB7" w:rsidRPr="00BE56E1">
        <w:rPr>
          <w:rFonts w:ascii="Book Antiqua" w:eastAsia="SimSun" w:hAnsi="Book Antiqua" w:cs="Calibri"/>
          <w:sz w:val="24"/>
        </w:rPr>
        <w:t>Rhombencephalitis;</w:t>
      </w:r>
      <w:r w:rsidRPr="00BE56E1">
        <w:rPr>
          <w:rFonts w:ascii="Book Antiqua" w:eastAsia="SimSun" w:hAnsi="Book Antiqua" w:cs="Calibri"/>
          <w:sz w:val="24"/>
        </w:rPr>
        <w:t xml:space="preserve"> </w:t>
      </w:r>
      <w:r w:rsidRPr="00BE56E1">
        <w:rPr>
          <w:rFonts w:ascii="Book Antiqua" w:eastAsia="SimSun" w:hAnsi="Book Antiqua" w:cs="Calibri"/>
          <w:i/>
          <w:iCs/>
          <w:sz w:val="24"/>
        </w:rPr>
        <w:t>Listeria monocytogenes</w:t>
      </w:r>
      <w:r w:rsidR="006B0BB7" w:rsidRPr="00BE56E1">
        <w:rPr>
          <w:rFonts w:ascii="Book Antiqua" w:eastAsia="SimSun" w:hAnsi="Book Antiqua" w:cs="Calibri"/>
          <w:sz w:val="24"/>
        </w:rPr>
        <w:t>;</w:t>
      </w:r>
      <w:r w:rsidRPr="00BE56E1">
        <w:rPr>
          <w:rFonts w:ascii="Book Antiqua" w:eastAsia="SimSun" w:hAnsi="Book Antiqua" w:cs="Calibri"/>
          <w:sz w:val="24"/>
        </w:rPr>
        <w:t xml:space="preserve"> </w:t>
      </w:r>
      <w:r w:rsidR="006B0BB7" w:rsidRPr="00BE56E1">
        <w:rPr>
          <w:rFonts w:ascii="Book Antiqua" w:eastAsia="SimSun" w:hAnsi="Book Antiqua" w:cs="Calibri"/>
          <w:sz w:val="24"/>
        </w:rPr>
        <w:t xml:space="preserve">Central </w:t>
      </w:r>
      <w:r w:rsidRPr="00BE56E1">
        <w:rPr>
          <w:rFonts w:ascii="Book Antiqua" w:eastAsia="SimSun" w:hAnsi="Book Antiqua" w:cs="Calibri"/>
          <w:sz w:val="24"/>
        </w:rPr>
        <w:t>nervous system infections</w:t>
      </w:r>
      <w:r w:rsidR="006B0BB7" w:rsidRPr="00BE56E1">
        <w:rPr>
          <w:rFonts w:ascii="Book Antiqua" w:eastAsia="SimSun" w:hAnsi="Book Antiqua" w:cs="Calibri"/>
          <w:sz w:val="24"/>
        </w:rPr>
        <w:t>;</w:t>
      </w:r>
      <w:r w:rsidRPr="00BE56E1">
        <w:rPr>
          <w:rFonts w:ascii="Book Antiqua" w:eastAsia="SimSun" w:hAnsi="Book Antiqua" w:cs="Calibri"/>
          <w:sz w:val="24"/>
        </w:rPr>
        <w:t xml:space="preserve"> </w:t>
      </w:r>
      <w:bookmarkStart w:id="19" w:name="OLE_LINK114"/>
      <w:bookmarkStart w:id="20" w:name="OLE_LINK115"/>
      <w:r w:rsidR="006B0BB7" w:rsidRPr="00BE56E1">
        <w:rPr>
          <w:rFonts w:ascii="Book Antiqua" w:eastAsia="SimSun" w:hAnsi="Book Antiqua" w:cs="Calibri"/>
          <w:sz w:val="24"/>
        </w:rPr>
        <w:t>Hydrocephalus;</w:t>
      </w:r>
      <w:r w:rsidRPr="00BE56E1">
        <w:rPr>
          <w:rFonts w:ascii="Book Antiqua" w:eastAsia="SimSun" w:hAnsi="Book Antiqua" w:cs="Calibri"/>
          <w:sz w:val="24"/>
        </w:rPr>
        <w:t xml:space="preserve"> </w:t>
      </w:r>
      <w:r w:rsidR="006B0BB7" w:rsidRPr="00BE56E1">
        <w:rPr>
          <w:rFonts w:ascii="Book Antiqua" w:eastAsia="SimSun" w:hAnsi="Book Antiqua" w:cs="Calibri"/>
          <w:sz w:val="24"/>
        </w:rPr>
        <w:t xml:space="preserve">Intracranial </w:t>
      </w:r>
      <w:r w:rsidRPr="00BE56E1">
        <w:rPr>
          <w:rFonts w:ascii="Book Antiqua" w:eastAsia="SimSun" w:hAnsi="Book Antiqua" w:cs="Calibri"/>
          <w:sz w:val="24"/>
        </w:rPr>
        <w:t>hemorrhage</w:t>
      </w:r>
      <w:bookmarkEnd w:id="19"/>
      <w:bookmarkEnd w:id="20"/>
      <w:r w:rsidR="006B0BB7" w:rsidRPr="00BE56E1">
        <w:rPr>
          <w:rFonts w:ascii="Book Antiqua" w:eastAsia="SimSun" w:hAnsi="Book Antiqua" w:cs="Calibri"/>
          <w:sz w:val="24"/>
        </w:rPr>
        <w:t>;</w:t>
      </w:r>
      <w:r w:rsidRPr="00BE56E1">
        <w:rPr>
          <w:rFonts w:ascii="Book Antiqua" w:eastAsia="SimSun" w:hAnsi="Book Antiqua" w:cs="Calibri"/>
          <w:sz w:val="24"/>
        </w:rPr>
        <w:t xml:space="preserve"> </w:t>
      </w:r>
      <w:r w:rsidR="006B0BB7" w:rsidRPr="00BE56E1">
        <w:rPr>
          <w:rFonts w:ascii="Book Antiqua" w:eastAsia="SimSun" w:hAnsi="Book Antiqua" w:cs="Calibri"/>
          <w:sz w:val="24"/>
        </w:rPr>
        <w:t xml:space="preserve">Case </w:t>
      </w:r>
      <w:r w:rsidRPr="00BE56E1">
        <w:rPr>
          <w:rFonts w:ascii="Book Antiqua" w:eastAsia="SimSun" w:hAnsi="Book Antiqua" w:cs="Calibri"/>
          <w:sz w:val="24"/>
        </w:rPr>
        <w:t xml:space="preserve">report </w:t>
      </w:r>
    </w:p>
    <w:p w:rsidR="006B0BB7" w:rsidRPr="00BE56E1" w:rsidRDefault="006B0BB7" w:rsidP="00BE56E1">
      <w:pPr>
        <w:spacing w:line="360" w:lineRule="auto"/>
        <w:rPr>
          <w:rFonts w:ascii="Book Antiqua" w:eastAsia="SimSun" w:hAnsi="Book Antiqua" w:cs="Calibri"/>
          <w:sz w:val="24"/>
        </w:rPr>
      </w:pPr>
    </w:p>
    <w:p w:rsidR="006B0BB7" w:rsidRPr="00BE56E1" w:rsidRDefault="006B0BB7" w:rsidP="00BE56E1">
      <w:pPr>
        <w:spacing w:line="360" w:lineRule="auto"/>
        <w:rPr>
          <w:rFonts w:ascii="Book Antiqua" w:hAnsi="Book Antiqua" w:cs="Arial"/>
          <w:sz w:val="24"/>
        </w:rPr>
      </w:pPr>
      <w:r w:rsidRPr="00BE56E1">
        <w:rPr>
          <w:rFonts w:ascii="Book Antiqua" w:hAnsi="Book Antiqua"/>
          <w:b/>
          <w:sz w:val="24"/>
        </w:rPr>
        <w:t xml:space="preserve">© </w:t>
      </w:r>
      <w:r w:rsidRPr="00BE56E1">
        <w:rPr>
          <w:rFonts w:ascii="Book Antiqua" w:hAnsi="Book Antiqua" w:cs="Arial"/>
          <w:b/>
          <w:sz w:val="24"/>
        </w:rPr>
        <w:t>The Author(s) 201</w:t>
      </w:r>
      <w:r w:rsidR="009E6A0E">
        <w:rPr>
          <w:rFonts w:ascii="Book Antiqua" w:hAnsi="Book Antiqua" w:cs="Arial" w:hint="eastAsia"/>
          <w:b/>
          <w:sz w:val="24"/>
        </w:rPr>
        <w:t>9</w:t>
      </w:r>
      <w:r w:rsidRPr="00BE56E1">
        <w:rPr>
          <w:rFonts w:ascii="Book Antiqua" w:hAnsi="Book Antiqua" w:cs="Arial"/>
          <w:b/>
          <w:sz w:val="24"/>
        </w:rPr>
        <w:t>.</w:t>
      </w:r>
      <w:r w:rsidRPr="00BE56E1">
        <w:rPr>
          <w:rFonts w:ascii="Book Antiqua" w:hAnsi="Book Antiqua" w:cs="Arial"/>
          <w:sz w:val="24"/>
        </w:rPr>
        <w:t xml:space="preserve"> Published by Baishideng Publishing Group Inc. All rights reserved.</w:t>
      </w:r>
    </w:p>
    <w:p w:rsidR="006B0BB7" w:rsidRPr="00BE56E1" w:rsidRDefault="006B0BB7" w:rsidP="00BE56E1">
      <w:pPr>
        <w:spacing w:line="360" w:lineRule="auto"/>
        <w:rPr>
          <w:rFonts w:ascii="Book Antiqua" w:eastAsia="SimSun" w:hAnsi="Book Antiqua" w:cs="Calibri"/>
          <w:sz w:val="24"/>
        </w:rPr>
      </w:pPr>
    </w:p>
    <w:p w:rsidR="00E75155" w:rsidRPr="00BE56E1" w:rsidRDefault="00F813D0" w:rsidP="00BE56E1">
      <w:pPr>
        <w:spacing w:line="360" w:lineRule="auto"/>
        <w:rPr>
          <w:rFonts w:ascii="Book Antiqua" w:eastAsia="SimSun" w:hAnsi="Book Antiqua" w:cs="Calibri"/>
          <w:sz w:val="24"/>
        </w:rPr>
      </w:pPr>
      <w:bookmarkStart w:id="21" w:name="OLE_LINK84"/>
      <w:r w:rsidRPr="00BE56E1">
        <w:rPr>
          <w:rFonts w:ascii="Book Antiqua" w:eastAsia="SimSun" w:hAnsi="Book Antiqua" w:cs="Calibri"/>
          <w:b/>
          <w:bCs/>
          <w:kern w:val="0"/>
          <w:sz w:val="24"/>
        </w:rPr>
        <w:t>Core tip</w:t>
      </w:r>
      <w:bookmarkEnd w:id="21"/>
      <w:r w:rsidRPr="00BE56E1">
        <w:rPr>
          <w:rFonts w:ascii="Book Antiqua" w:eastAsia="SimSun" w:hAnsi="Book Antiqua" w:cs="Calibri"/>
          <w:b/>
          <w:bCs/>
          <w:kern w:val="0"/>
          <w:sz w:val="24"/>
        </w:rPr>
        <w:t>:</w:t>
      </w:r>
      <w:r w:rsidRPr="00BE56E1">
        <w:rPr>
          <w:rFonts w:ascii="Book Antiqua" w:eastAsia="SimSun" w:hAnsi="Book Antiqua" w:cs="Calibri"/>
          <w:kern w:val="0"/>
          <w:sz w:val="24"/>
        </w:rPr>
        <w:t xml:space="preserve"> </w:t>
      </w:r>
      <w:bookmarkStart w:id="22" w:name="OLE_LINK21"/>
      <w:r w:rsidR="00BE56E1" w:rsidRPr="00BE56E1">
        <w:rPr>
          <w:rFonts w:ascii="Book Antiqua" w:eastAsia="SimSun" w:hAnsi="Book Antiqua" w:cs="Calibri"/>
          <w:i/>
          <w:iCs/>
          <w:kern w:val="0"/>
          <w:sz w:val="24"/>
        </w:rPr>
        <w:t>Listeria monocytogenes</w:t>
      </w:r>
      <w:r w:rsidR="00BE56E1" w:rsidRPr="00BE56E1">
        <w:rPr>
          <w:rFonts w:ascii="Book Antiqua" w:eastAsia="SimSun" w:hAnsi="Book Antiqua" w:cs="Calibri"/>
          <w:kern w:val="0"/>
          <w:sz w:val="24"/>
        </w:rPr>
        <w:t xml:space="preserve"> </w:t>
      </w:r>
      <w:r w:rsidRPr="00BE56E1">
        <w:rPr>
          <w:rFonts w:ascii="Book Antiqua" w:eastAsia="SimSun" w:hAnsi="Book Antiqua" w:cs="Calibri"/>
          <w:sz w:val="24"/>
        </w:rPr>
        <w:t xml:space="preserve">occurs predominantly in immunocompromised subjects. Various manifestations of listeriosis have been reported previously, but hydrocephalus and intracranial hemorrhage due to </w:t>
      </w:r>
      <w:r w:rsidRPr="00BE56E1">
        <w:rPr>
          <w:rFonts w:ascii="Book Antiqua" w:eastAsia="SimSun" w:hAnsi="Book Antiqua" w:cs="Calibri"/>
          <w:i/>
          <w:iCs/>
          <w:sz w:val="24"/>
        </w:rPr>
        <w:t>Listeria</w:t>
      </w:r>
      <w:r w:rsidRPr="00BE56E1">
        <w:rPr>
          <w:rFonts w:ascii="Book Antiqua" w:eastAsia="SimSun" w:hAnsi="Book Antiqua" w:cs="Calibri"/>
          <w:sz w:val="24"/>
        </w:rPr>
        <w:t xml:space="preserve"> are rare. Hydrocephalus, intracranial hemorrhage and inappropriate antimicrobial treatment are determinants of unfavorable outcomes. A pertinent literature review might contribute to improving our understanding of the pathogenesis and treatment of this disease. </w:t>
      </w:r>
    </w:p>
    <w:p w:rsidR="00BE56E1" w:rsidRPr="00BE56E1" w:rsidRDefault="00BE56E1" w:rsidP="00BE56E1">
      <w:pPr>
        <w:spacing w:line="360" w:lineRule="auto"/>
        <w:rPr>
          <w:rFonts w:ascii="Book Antiqua" w:eastAsia="SimSun" w:hAnsi="Book Antiqua" w:cs="Calibri"/>
          <w:sz w:val="24"/>
        </w:rPr>
      </w:pPr>
    </w:p>
    <w:p w:rsidR="00BE56E1" w:rsidRPr="00BE56E1" w:rsidRDefault="00BE56E1" w:rsidP="00BE56E1">
      <w:pPr>
        <w:spacing w:line="360" w:lineRule="auto"/>
        <w:rPr>
          <w:rFonts w:ascii="Book Antiqua" w:hAnsi="Book Antiqua"/>
          <w:sz w:val="24"/>
        </w:rPr>
      </w:pPr>
      <w:r w:rsidRPr="00BE56E1">
        <w:rPr>
          <w:rFonts w:ascii="Book Antiqua" w:eastAsia="SimSun" w:hAnsi="Book Antiqua" w:cs="Calibri"/>
          <w:sz w:val="24"/>
        </w:rPr>
        <w:t>Liang JJ, He XY, Ye H.</w:t>
      </w:r>
      <w:r w:rsidRPr="00BE56E1">
        <w:rPr>
          <w:rFonts w:ascii="Book Antiqua" w:hAnsi="Book Antiqua" w:cs="Calibri"/>
          <w:sz w:val="24"/>
        </w:rPr>
        <w:t xml:space="preserve"> Rhombencephalitis by</w:t>
      </w:r>
      <w:r w:rsidRPr="00BE56E1">
        <w:rPr>
          <w:rFonts w:ascii="Book Antiqua" w:hAnsi="Book Antiqua" w:cs="Calibri"/>
          <w:i/>
          <w:iCs/>
          <w:sz w:val="24"/>
        </w:rPr>
        <w:t xml:space="preserve"> Listeria monocytogenes</w:t>
      </w:r>
      <w:r w:rsidRPr="00BE56E1">
        <w:rPr>
          <w:rFonts w:ascii="Book Antiqua" w:hAnsi="Book Antiqua" w:cs="Calibri"/>
          <w:sz w:val="24"/>
        </w:rPr>
        <w:t xml:space="preserve"> with hydrocephalus and intracranial hemorrhage: </w:t>
      </w:r>
      <w:r w:rsidRPr="00BE56E1">
        <w:rPr>
          <w:rFonts w:ascii="Book Antiqua" w:hAnsi="Book Antiqua"/>
          <w:sz w:val="24"/>
        </w:rPr>
        <w:t xml:space="preserve">A case report and review of literature. </w:t>
      </w:r>
      <w:r w:rsidRPr="00BE56E1">
        <w:rPr>
          <w:rFonts w:ascii="Book Antiqua" w:hAnsi="Book Antiqua"/>
          <w:i/>
          <w:iCs/>
          <w:kern w:val="0"/>
          <w:sz w:val="24"/>
        </w:rPr>
        <w:t xml:space="preserve">World J Clin Cases </w:t>
      </w:r>
      <w:r w:rsidRPr="00BE56E1">
        <w:rPr>
          <w:rFonts w:ascii="Book Antiqua" w:hAnsi="Book Antiqua"/>
          <w:iCs/>
          <w:kern w:val="0"/>
          <w:sz w:val="24"/>
        </w:rPr>
        <w:t>201</w:t>
      </w:r>
      <w:r w:rsidR="009E6A0E">
        <w:rPr>
          <w:rFonts w:ascii="Book Antiqua" w:hAnsi="Book Antiqua" w:hint="eastAsia"/>
          <w:iCs/>
          <w:kern w:val="0"/>
          <w:sz w:val="24"/>
        </w:rPr>
        <w:t>9</w:t>
      </w:r>
      <w:r w:rsidRPr="00BE56E1">
        <w:rPr>
          <w:rFonts w:ascii="Book Antiqua" w:hAnsi="Book Antiqua"/>
          <w:iCs/>
          <w:kern w:val="0"/>
          <w:sz w:val="24"/>
        </w:rPr>
        <w:t>; In press</w:t>
      </w:r>
    </w:p>
    <w:bookmarkEnd w:id="22"/>
    <w:p w:rsidR="00BE56E1" w:rsidRPr="00BE56E1" w:rsidRDefault="00BE56E1" w:rsidP="00BE56E1">
      <w:pPr>
        <w:widowControl/>
        <w:spacing w:line="360" w:lineRule="auto"/>
        <w:rPr>
          <w:rFonts w:ascii="Book Antiqua" w:eastAsia="SimSun" w:hAnsi="Book Antiqua" w:cs="Calibri"/>
          <w:sz w:val="24"/>
        </w:rPr>
      </w:pPr>
      <w:r w:rsidRPr="00BE56E1">
        <w:rPr>
          <w:rFonts w:ascii="Book Antiqua" w:eastAsia="SimSun" w:hAnsi="Book Antiqua" w:cs="Calibri"/>
          <w:sz w:val="24"/>
        </w:rPr>
        <w:br w:type="page"/>
      </w:r>
    </w:p>
    <w:p w:rsidR="00E75155" w:rsidRPr="00BE56E1" w:rsidRDefault="00F813D0" w:rsidP="00BE56E1">
      <w:pPr>
        <w:spacing w:line="360" w:lineRule="auto"/>
        <w:rPr>
          <w:rFonts w:ascii="Book Antiqua" w:eastAsia="SimSun" w:hAnsi="Book Antiqua" w:cs="Calibri"/>
          <w:b/>
          <w:bCs/>
          <w:kern w:val="0"/>
          <w:sz w:val="24"/>
        </w:rPr>
      </w:pPr>
      <w:r w:rsidRPr="00BE56E1">
        <w:rPr>
          <w:rFonts w:ascii="Book Antiqua" w:eastAsia="SimSun" w:hAnsi="Book Antiqua" w:cs="Calibri"/>
          <w:b/>
          <w:bCs/>
          <w:kern w:val="0"/>
          <w:sz w:val="24"/>
        </w:rPr>
        <w:lastRenderedPageBreak/>
        <w:t>INTRODUCTION</w:t>
      </w:r>
      <w:r w:rsidR="00BE56E1" w:rsidRPr="00BE56E1">
        <w:rPr>
          <w:rFonts w:ascii="Book Antiqua" w:eastAsia="SimSun" w:hAnsi="Book Antiqua" w:cs="Calibri"/>
          <w:b/>
          <w:bCs/>
          <w:kern w:val="0"/>
          <w:sz w:val="24"/>
        </w:rPr>
        <w:t xml:space="preserve"> </w:t>
      </w:r>
    </w:p>
    <w:p w:rsidR="00E75155" w:rsidRPr="00BE56E1" w:rsidRDefault="00F813D0" w:rsidP="00BE56E1">
      <w:pPr>
        <w:widowControl/>
        <w:spacing w:line="360" w:lineRule="auto"/>
        <w:rPr>
          <w:rFonts w:ascii="Book Antiqua" w:eastAsia="SimSun" w:hAnsi="Book Antiqua" w:cs="Calibri"/>
          <w:kern w:val="0"/>
          <w:sz w:val="24"/>
        </w:rPr>
      </w:pPr>
      <w:bookmarkStart w:id="23" w:name="OLE_LINK35"/>
      <w:bookmarkStart w:id="24" w:name="OLE_LINK34"/>
      <w:r w:rsidRPr="00BE56E1">
        <w:rPr>
          <w:rFonts w:ascii="Book Antiqua" w:eastAsia="SimSun" w:hAnsi="Book Antiqua" w:cs="Calibri"/>
          <w:i/>
          <w:iCs/>
          <w:kern w:val="0"/>
          <w:sz w:val="24"/>
        </w:rPr>
        <w:t>Listeria monocytogenes</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L</w:t>
      </w:r>
      <w:r w:rsidRPr="00BE56E1">
        <w:rPr>
          <w:rFonts w:ascii="Book Antiqua" w:eastAsia="SimSun" w:hAnsi="Book Antiqua" w:cs="Calibri"/>
          <w:kern w:val="0"/>
          <w:sz w:val="24"/>
        </w:rPr>
        <w:t>.</w:t>
      </w:r>
      <w:r w:rsidRPr="00BE56E1">
        <w:rPr>
          <w:rFonts w:ascii="Book Antiqua" w:eastAsia="SimSun" w:hAnsi="Book Antiqua" w:cs="Calibri"/>
          <w:i/>
          <w:iCs/>
          <w:kern w:val="0"/>
          <w:sz w:val="24"/>
        </w:rPr>
        <w:t xml:space="preserve"> monocytogenes</w:t>
      </w:r>
      <w:r w:rsidRPr="00BE56E1">
        <w:rPr>
          <w:rFonts w:ascii="Book Antiqua" w:eastAsia="SimSun" w:hAnsi="Book Antiqua" w:cs="Calibri"/>
          <w:kern w:val="0"/>
          <w:sz w:val="24"/>
        </w:rPr>
        <w:t>) is</w:t>
      </w:r>
      <w:bookmarkEnd w:id="23"/>
      <w:bookmarkEnd w:id="24"/>
      <w:r w:rsidRPr="00BE56E1">
        <w:rPr>
          <w:rFonts w:ascii="Book Antiqua" w:eastAsia="SimSun" w:hAnsi="Book Antiqua" w:cs="Calibri"/>
          <w:kern w:val="0"/>
          <w:sz w:val="24"/>
        </w:rPr>
        <w:t xml:space="preserve"> one of the </w:t>
      </w:r>
      <w:bookmarkStart w:id="25" w:name="OLE_LINK37"/>
      <w:bookmarkStart w:id="26" w:name="OLE_LINK36"/>
      <w:r w:rsidRPr="00BE56E1">
        <w:rPr>
          <w:rFonts w:ascii="Book Antiqua" w:eastAsia="SimSun" w:hAnsi="Book Antiqua" w:cs="Calibri"/>
          <w:kern w:val="0"/>
          <w:sz w:val="24"/>
        </w:rPr>
        <w:t>very few bacteria</w:t>
      </w:r>
      <w:bookmarkEnd w:id="25"/>
      <w:bookmarkEnd w:id="26"/>
      <w:r w:rsidRPr="00BE56E1">
        <w:rPr>
          <w:rFonts w:ascii="Book Antiqua" w:eastAsia="SimSun" w:hAnsi="Book Antiqua" w:cs="Calibri"/>
          <w:kern w:val="0"/>
          <w:sz w:val="24"/>
        </w:rPr>
        <w:t xml:space="preserve"> that can infect </w:t>
      </w:r>
      <w:bookmarkStart w:id="27" w:name="OLE_LINK38"/>
      <w:bookmarkStart w:id="28" w:name="OLE_LINK39"/>
      <w:r w:rsidRPr="00BE56E1">
        <w:rPr>
          <w:rFonts w:ascii="Book Antiqua" w:eastAsia="SimSun" w:hAnsi="Book Antiqua" w:cs="Calibri"/>
          <w:kern w:val="0"/>
          <w:sz w:val="24"/>
        </w:rPr>
        <w:t xml:space="preserve">neurons </w:t>
      </w:r>
      <w:bookmarkEnd w:id="27"/>
      <w:bookmarkEnd w:id="28"/>
      <w:r w:rsidRPr="00BE56E1">
        <w:rPr>
          <w:rFonts w:ascii="Book Antiqua" w:eastAsia="SimSun" w:hAnsi="Book Antiqua" w:cs="Calibri"/>
          <w:kern w:val="0"/>
          <w:sz w:val="24"/>
        </w:rPr>
        <w:t>to produce a serious and often fatal dise</w:t>
      </w:r>
      <w:r w:rsidR="00484BD3">
        <w:rPr>
          <w:rFonts w:ascii="Book Antiqua" w:eastAsia="SimSun" w:hAnsi="Book Antiqua" w:cs="Calibri"/>
          <w:kern w:val="0"/>
          <w:sz w:val="24"/>
        </w:rPr>
        <w:t>ase, with a mortality of 20</w:t>
      </w:r>
      <w:r w:rsidR="00484BD3">
        <w:rPr>
          <w:rFonts w:ascii="Book Antiqua" w:eastAsia="SimSun" w:hAnsi="Book Antiqua" w:cs="Calibri" w:hint="eastAsia"/>
          <w:kern w:val="0"/>
          <w:sz w:val="24"/>
        </w:rPr>
        <w:t>%</w:t>
      </w:r>
      <w:r w:rsidR="00484BD3">
        <w:rPr>
          <w:rFonts w:ascii="Book Antiqua" w:eastAsia="SimSun" w:hAnsi="Book Antiqua" w:cs="Calibri"/>
          <w:kern w:val="0"/>
          <w:sz w:val="24"/>
        </w:rPr>
        <w:t>-50%</w:t>
      </w:r>
      <w:r w:rsidRPr="00BE56E1">
        <w:rPr>
          <w:rFonts w:ascii="Book Antiqua" w:eastAsia="SimSun" w:hAnsi="Book Antiqua" w:cs="Calibri"/>
          <w:kern w:val="0"/>
          <w:sz w:val="24"/>
          <w:vertAlign w:val="superscript"/>
        </w:rPr>
        <w:t>[1-4]</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occurs predominantly in the following populations: elderly people, pregnant women, newborns,</w:t>
      </w:r>
      <w:bookmarkStart w:id="29" w:name="OLE_LINK9"/>
      <w:r w:rsidRPr="00BE56E1">
        <w:rPr>
          <w:rFonts w:ascii="Book Antiqua" w:eastAsia="SimSun" w:hAnsi="Book Antiqua" w:cs="Calibri"/>
          <w:kern w:val="0"/>
          <w:sz w:val="24"/>
        </w:rPr>
        <w:t xml:space="preserve"> and immunodeficient patients; patients with chronic liver disease, malignant hemopathies and diabetes; patients on chronic hemodialysis; and, less </w:t>
      </w:r>
      <w:r w:rsidR="00484BD3">
        <w:rPr>
          <w:rFonts w:ascii="Book Antiqua" w:eastAsia="SimSun" w:hAnsi="Book Antiqua" w:cs="Calibri"/>
          <w:kern w:val="0"/>
          <w:sz w:val="24"/>
        </w:rPr>
        <w:t>frequently, healthy individuals</w:t>
      </w:r>
      <w:r w:rsidRPr="00BE56E1">
        <w:rPr>
          <w:rFonts w:ascii="Book Antiqua" w:eastAsia="SimSun" w:hAnsi="Book Antiqua" w:cs="Calibri"/>
          <w:kern w:val="0"/>
          <w:sz w:val="24"/>
          <w:vertAlign w:val="superscript"/>
        </w:rPr>
        <w:t>[5,6]</w:t>
      </w:r>
      <w:r w:rsidRPr="00BE56E1">
        <w:rPr>
          <w:rFonts w:ascii="Book Antiqua" w:eastAsia="SimSun" w:hAnsi="Book Antiqua" w:cs="Calibri"/>
          <w:kern w:val="0"/>
          <w:sz w:val="24"/>
        </w:rPr>
        <w:t>. The main routes of transmission are confirmed to be through the consumption of contaminated food and via vertical tr</w:t>
      </w:r>
      <w:r w:rsidR="00484BD3">
        <w:rPr>
          <w:rFonts w:ascii="Book Antiqua" w:eastAsia="SimSun" w:hAnsi="Book Antiqua" w:cs="Calibri"/>
          <w:kern w:val="0"/>
          <w:sz w:val="24"/>
        </w:rPr>
        <w:t>ansmission from mother to child</w:t>
      </w:r>
      <w:r w:rsidRPr="00BE56E1">
        <w:rPr>
          <w:rFonts w:ascii="Book Antiqua" w:eastAsia="SimSun" w:hAnsi="Book Antiqua" w:cs="Calibri"/>
          <w:kern w:val="0"/>
          <w:sz w:val="24"/>
          <w:vertAlign w:val="superscript"/>
        </w:rPr>
        <w:t>[7]</w:t>
      </w:r>
      <w:r w:rsidRPr="00BE56E1">
        <w:rPr>
          <w:rFonts w:ascii="Book Antiqua" w:eastAsia="SimSun" w:hAnsi="Book Antiqua" w:cs="Calibri"/>
          <w:kern w:val="0"/>
          <w:sz w:val="24"/>
        </w:rPr>
        <w:t xml:space="preserve">. Penetration of the intestinal, blood–brain, blood–choroid barriers, and fetoplacental barriers is one of the most important virulence factors of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00484BD3">
        <w:rPr>
          <w:rFonts w:ascii="Book Antiqua" w:eastAsia="SimSun" w:hAnsi="Book Antiqua" w:cs="Calibri"/>
          <w:i/>
          <w:iCs/>
          <w:kern w:val="0"/>
          <w:sz w:val="24"/>
        </w:rPr>
        <w:t>monocytogenes</w:t>
      </w:r>
      <w:r w:rsidRPr="00BE56E1">
        <w:rPr>
          <w:rFonts w:ascii="Book Antiqua" w:eastAsia="SimSun" w:hAnsi="Book Antiqua" w:cs="Calibri"/>
          <w:kern w:val="0"/>
          <w:sz w:val="24"/>
          <w:vertAlign w:val="superscript"/>
        </w:rPr>
        <w:t>[8]</w:t>
      </w:r>
      <w:r w:rsidRPr="00BE56E1">
        <w:rPr>
          <w:rFonts w:ascii="Book Antiqua" w:eastAsia="SimSun" w:hAnsi="Book Antiqua" w:cs="Calibri"/>
          <w:kern w:val="0"/>
          <w:sz w:val="24"/>
        </w:rPr>
        <w:t xml:space="preserve">. Therefore, </w:t>
      </w:r>
      <w:bookmarkStart w:id="30" w:name="OLE_LINK49"/>
      <w:r w:rsidRPr="00BE56E1">
        <w:rPr>
          <w:rFonts w:ascii="Book Antiqua" w:eastAsia="SimSun" w:hAnsi="Book Antiqua" w:cs="Calibri"/>
          <w:kern w:val="0"/>
          <w:sz w:val="24"/>
        </w:rPr>
        <w:t>the manifestations of listeriosis are varied</w:t>
      </w:r>
      <w:bookmarkEnd w:id="30"/>
      <w:r w:rsidRPr="00BE56E1">
        <w:rPr>
          <w:rFonts w:ascii="Book Antiqua" w:eastAsia="SimSun" w:hAnsi="Book Antiqua" w:cs="Calibri"/>
          <w:kern w:val="0"/>
          <w:sz w:val="24"/>
        </w:rPr>
        <w:t>, such as gastroenteritis, septicemia, meningitis, and other conditions.</w:t>
      </w:r>
    </w:p>
    <w:p w:rsidR="00E75155" w:rsidRDefault="00F813D0" w:rsidP="00484BD3">
      <w:pPr>
        <w:widowControl/>
        <w:spacing w:line="360" w:lineRule="auto"/>
        <w:ind w:firstLineChars="100" w:firstLine="240"/>
        <w:rPr>
          <w:rFonts w:ascii="Book Antiqua" w:eastAsia="SimSun" w:hAnsi="Book Antiqua" w:cs="Calibri"/>
          <w:kern w:val="0"/>
          <w:sz w:val="24"/>
        </w:rPr>
      </w:pPr>
      <w:bookmarkStart w:id="31" w:name="OLE_LINK48"/>
      <w:r w:rsidRPr="00BE56E1">
        <w:rPr>
          <w:rFonts w:ascii="Book Antiqua" w:eastAsia="SimSun" w:hAnsi="Book Antiqua" w:cs="Calibri"/>
          <w:kern w:val="0"/>
          <w:sz w:val="24"/>
        </w:rPr>
        <w:t>Neurolisteriosis</w:t>
      </w:r>
      <w:bookmarkEnd w:id="31"/>
      <w:r w:rsidRPr="00BE56E1">
        <w:rPr>
          <w:rFonts w:ascii="Book Antiqua" w:eastAsia="SimSun" w:hAnsi="Book Antiqua" w:cs="Calibri"/>
          <w:kern w:val="0"/>
          <w:sz w:val="24"/>
        </w:rPr>
        <w:t xml:space="preserve">, a central nervous system (CNS) infection caused by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w:t>
      </w:r>
      <w:bookmarkEnd w:id="29"/>
      <w:r w:rsidRPr="00BE56E1">
        <w:rPr>
          <w:rFonts w:ascii="Book Antiqua" w:eastAsia="SimSun" w:hAnsi="Book Antiqua" w:cs="Calibri"/>
          <w:kern w:val="0"/>
          <w:sz w:val="24"/>
        </w:rPr>
        <w:t>represents 5</w:t>
      </w:r>
      <w:r w:rsidR="00484BD3">
        <w:rPr>
          <w:rFonts w:ascii="Book Antiqua" w:eastAsia="SimSun" w:hAnsi="Book Antiqua" w:cs="Calibri" w:hint="eastAsia"/>
          <w:kern w:val="0"/>
          <w:sz w:val="24"/>
        </w:rPr>
        <w:t>%</w:t>
      </w:r>
      <w:r w:rsidRPr="00BE56E1">
        <w:rPr>
          <w:rFonts w:ascii="Book Antiqua" w:eastAsia="SimSun" w:hAnsi="Book Antiqua" w:cs="Calibri"/>
          <w:kern w:val="0"/>
          <w:sz w:val="24"/>
        </w:rPr>
        <w:t>-10% of listeriosis cases and is less common in the world, especially rhombencephalitis</w:t>
      </w:r>
      <w:r w:rsidRPr="00BE56E1">
        <w:rPr>
          <w:rFonts w:ascii="Book Antiqua" w:eastAsia="SimSun" w:hAnsi="Book Antiqua" w:cs="Calibri"/>
          <w:kern w:val="0"/>
          <w:sz w:val="24"/>
          <w:vertAlign w:val="superscript"/>
        </w:rPr>
        <w:t>[9-11]</w:t>
      </w:r>
      <w:r w:rsidRPr="00BE56E1">
        <w:rPr>
          <w:rFonts w:ascii="Book Antiqua" w:eastAsia="SimSun" w:hAnsi="Book Antiqua" w:cs="Calibri"/>
          <w:kern w:val="0"/>
          <w:sz w:val="24"/>
        </w:rPr>
        <w:t>. Hydrocephalus and intracranial hemorrhage are rare complications of listeriosis</w:t>
      </w:r>
      <w:r w:rsidRPr="00BE56E1">
        <w:rPr>
          <w:rFonts w:ascii="Book Antiqua" w:eastAsia="SimSun" w:hAnsi="Book Antiqua" w:cs="Calibri"/>
          <w:i/>
          <w:iCs/>
          <w:kern w:val="0"/>
          <w:sz w:val="24"/>
        </w:rPr>
        <w:t>,</w:t>
      </w:r>
      <w:r w:rsidRPr="00BE56E1">
        <w:rPr>
          <w:rFonts w:ascii="Book Antiqua" w:eastAsia="SimSun" w:hAnsi="Book Antiqua" w:cs="Calibri"/>
          <w:kern w:val="0"/>
          <w:sz w:val="24"/>
        </w:rPr>
        <w:t xml:space="preserve"> occurring in 10</w:t>
      </w:r>
      <w:r w:rsidR="00484BD3">
        <w:rPr>
          <w:rFonts w:ascii="Book Antiqua" w:eastAsia="SimSun" w:hAnsi="Book Antiqua" w:cs="Calibri" w:hint="eastAsia"/>
          <w:kern w:val="0"/>
          <w:sz w:val="24"/>
        </w:rPr>
        <w:t>%</w:t>
      </w:r>
      <w:r w:rsidRPr="00BE56E1">
        <w:rPr>
          <w:rFonts w:ascii="Book Antiqua" w:eastAsia="SimSun" w:hAnsi="Book Antiqua" w:cs="Calibri"/>
          <w:kern w:val="0"/>
          <w:sz w:val="24"/>
        </w:rPr>
        <w:t>-15% and 3% of neurolisterios</w:t>
      </w:r>
      <w:r w:rsidR="00484BD3">
        <w:rPr>
          <w:rFonts w:ascii="Book Antiqua" w:eastAsia="SimSun" w:hAnsi="Book Antiqua" w:cs="Calibri"/>
          <w:kern w:val="0"/>
          <w:sz w:val="24"/>
        </w:rPr>
        <w:t>is, respectively</w:t>
      </w:r>
      <w:r w:rsidRPr="00BE56E1">
        <w:rPr>
          <w:rFonts w:ascii="Book Antiqua" w:eastAsia="SimSun" w:hAnsi="Book Antiqua" w:cs="Calibri"/>
          <w:kern w:val="0"/>
          <w:sz w:val="24"/>
          <w:vertAlign w:val="superscript"/>
        </w:rPr>
        <w:t>[</w:t>
      </w:r>
      <w:bookmarkStart w:id="32" w:name="OLE_LINK6"/>
      <w:r w:rsidRPr="00BE56E1">
        <w:rPr>
          <w:rFonts w:ascii="Book Antiqua" w:eastAsia="SimSun" w:hAnsi="Book Antiqua" w:cs="Calibri"/>
          <w:kern w:val="0"/>
          <w:sz w:val="24"/>
          <w:vertAlign w:val="superscript"/>
        </w:rPr>
        <w:t>1</w:t>
      </w:r>
      <w:bookmarkEnd w:id="32"/>
      <w:r w:rsidRPr="00BE56E1">
        <w:rPr>
          <w:rFonts w:ascii="Book Antiqua" w:eastAsia="SimSun" w:hAnsi="Book Antiqua" w:cs="Calibri"/>
          <w:kern w:val="0"/>
          <w:sz w:val="24"/>
          <w:vertAlign w:val="superscript"/>
        </w:rPr>
        <w:t>2,13]</w:t>
      </w:r>
      <w:r w:rsidRPr="00BE56E1">
        <w:rPr>
          <w:rFonts w:ascii="Book Antiqua" w:eastAsia="SimSun" w:hAnsi="Book Antiqua" w:cs="Calibri"/>
          <w:kern w:val="0"/>
          <w:sz w:val="24"/>
        </w:rPr>
        <w:t xml:space="preserve">. In this study, we present a young patient with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rhombencephalitis who presented with persistent alteration of consciousness, hydrocephalus and intracranial hemorrhage. This case is rare due to the occurrence of hydrocephalus, and intracranial hemorrhage. Cases between 1985-2018 related to </w:t>
      </w:r>
      <w:r w:rsidRPr="00BE56E1">
        <w:rPr>
          <w:rFonts w:ascii="Book Antiqua" w:eastAsia="SimSun" w:hAnsi="Book Antiqua" w:cs="Calibri"/>
          <w:i/>
          <w:kern w:val="0"/>
          <w:sz w:val="24"/>
        </w:rPr>
        <w:t>Listeria</w:t>
      </w:r>
      <w:r w:rsidRPr="00BE56E1">
        <w:rPr>
          <w:rFonts w:ascii="Book Antiqua" w:eastAsia="SimSun" w:hAnsi="Book Antiqua" w:cs="Calibri"/>
          <w:kern w:val="0"/>
          <w:sz w:val="24"/>
        </w:rPr>
        <w:t xml:space="preserve"> hydrocephalus are reviewed in </w:t>
      </w:r>
      <w:r w:rsidR="003071D2" w:rsidRPr="003071D2">
        <w:rPr>
          <w:rFonts w:ascii="Book Antiqua" w:eastAsia="SimSun" w:hAnsi="Book Antiqua" w:cs="Calibri"/>
          <w:kern w:val="0"/>
          <w:sz w:val="24"/>
        </w:rPr>
        <w:t xml:space="preserve">Tables </w:t>
      </w:r>
      <w:r w:rsidR="003071D2" w:rsidRPr="003071D2">
        <w:rPr>
          <w:rFonts w:ascii="Book Antiqua" w:eastAsia="SimSun" w:hAnsi="Book Antiqua" w:cs="Calibri" w:hint="eastAsia"/>
          <w:kern w:val="0"/>
          <w:sz w:val="24"/>
        </w:rPr>
        <w:t>1 and 2.</w:t>
      </w:r>
    </w:p>
    <w:p w:rsidR="00484BD3" w:rsidRPr="00BE56E1" w:rsidRDefault="00484BD3" w:rsidP="00484BD3">
      <w:pPr>
        <w:widowControl/>
        <w:spacing w:line="360" w:lineRule="auto"/>
        <w:ind w:firstLineChars="100" w:firstLine="240"/>
        <w:rPr>
          <w:rFonts w:ascii="Book Antiqua" w:eastAsia="SimSun" w:hAnsi="Book Antiqua" w:cs="Calibri"/>
          <w:kern w:val="0"/>
          <w:sz w:val="24"/>
        </w:rPr>
      </w:pPr>
    </w:p>
    <w:p w:rsidR="00E75155" w:rsidRDefault="00F813D0" w:rsidP="00BE56E1">
      <w:pPr>
        <w:spacing w:line="360" w:lineRule="auto"/>
        <w:textAlignment w:val="baseline"/>
        <w:rPr>
          <w:rFonts w:ascii="Book Antiqua" w:hAnsi="Book Antiqua"/>
          <w:b/>
          <w:sz w:val="24"/>
        </w:rPr>
      </w:pPr>
      <w:bookmarkStart w:id="33" w:name="OLE_LINK45"/>
      <w:bookmarkStart w:id="34" w:name="OLE_LINK32"/>
      <w:r w:rsidRPr="00BE56E1">
        <w:rPr>
          <w:rFonts w:ascii="Book Antiqua" w:hAnsi="Book Antiqua"/>
          <w:b/>
          <w:sz w:val="24"/>
        </w:rPr>
        <w:t>CASE PRESENTATION</w:t>
      </w:r>
    </w:p>
    <w:p w:rsidR="008D229A" w:rsidRPr="008D229A" w:rsidRDefault="008D229A" w:rsidP="00BE56E1">
      <w:pPr>
        <w:spacing w:line="360" w:lineRule="auto"/>
        <w:textAlignment w:val="baseline"/>
        <w:rPr>
          <w:rFonts w:ascii="Book Antiqua" w:hAnsi="Book Antiqua"/>
          <w:b/>
          <w:sz w:val="24"/>
        </w:rPr>
      </w:pPr>
      <w:r w:rsidRPr="008D229A">
        <w:rPr>
          <w:rFonts w:ascii="Book Antiqua" w:hAnsi="Book Antiqua"/>
          <w:b/>
          <w:i/>
          <w:color w:val="000000" w:themeColor="text1"/>
          <w:sz w:val="24"/>
        </w:rPr>
        <w:t>Chief complaints</w:t>
      </w:r>
    </w:p>
    <w:bookmarkEnd w:id="33"/>
    <w:bookmarkEnd w:id="34"/>
    <w:p w:rsidR="008D229A"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A 29-year-old Chinese man was admit</w:t>
      </w:r>
      <w:r w:rsidR="008D229A">
        <w:rPr>
          <w:rFonts w:ascii="Book Antiqua" w:eastAsia="SimSun" w:hAnsi="Book Antiqua" w:cs="Calibri"/>
          <w:kern w:val="0"/>
          <w:sz w:val="24"/>
        </w:rPr>
        <w:t>ted to the hospital with a 2-d</w:t>
      </w:r>
      <w:r w:rsidRPr="00BE56E1">
        <w:rPr>
          <w:rFonts w:ascii="Book Antiqua" w:eastAsia="SimSun" w:hAnsi="Book Antiqua" w:cs="Calibri"/>
          <w:kern w:val="0"/>
          <w:sz w:val="24"/>
        </w:rPr>
        <w:t xml:space="preserve"> history of intermittent fevers of up to 39</w:t>
      </w:r>
      <w:r w:rsidR="008D229A">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°C, </w:t>
      </w:r>
      <w:bookmarkStart w:id="35" w:name="OLE_LINK10"/>
      <w:r w:rsidRPr="00BE56E1">
        <w:rPr>
          <w:rFonts w:ascii="Book Antiqua" w:eastAsia="SimSun" w:hAnsi="Book Antiqua" w:cs="Calibri"/>
          <w:kern w:val="0"/>
          <w:sz w:val="24"/>
        </w:rPr>
        <w:t>and forehead headache</w:t>
      </w:r>
      <w:bookmarkEnd w:id="35"/>
      <w:r w:rsidRPr="00BE56E1">
        <w:rPr>
          <w:rFonts w:ascii="Book Antiqua" w:eastAsia="SimSun" w:hAnsi="Book Antiqua" w:cs="Calibri"/>
          <w:kern w:val="0"/>
          <w:sz w:val="24"/>
        </w:rPr>
        <w:t xml:space="preserve"> without nausea. </w:t>
      </w:r>
    </w:p>
    <w:p w:rsidR="008D229A" w:rsidRDefault="008D229A" w:rsidP="00BE56E1">
      <w:pPr>
        <w:widowControl/>
        <w:spacing w:line="360" w:lineRule="auto"/>
        <w:rPr>
          <w:rFonts w:ascii="Book Antiqua" w:eastAsia="SimSun" w:hAnsi="Book Antiqua" w:cs="Calibri"/>
          <w:kern w:val="0"/>
          <w:sz w:val="24"/>
        </w:rPr>
      </w:pPr>
    </w:p>
    <w:p w:rsidR="008D229A" w:rsidRPr="008D229A" w:rsidRDefault="008D229A" w:rsidP="00BE56E1">
      <w:pPr>
        <w:widowControl/>
        <w:spacing w:line="360" w:lineRule="auto"/>
        <w:rPr>
          <w:rFonts w:ascii="Book Antiqua" w:eastAsia="SimSun" w:hAnsi="Book Antiqua" w:cs="Calibri"/>
          <w:b/>
          <w:kern w:val="0"/>
          <w:sz w:val="24"/>
        </w:rPr>
      </w:pPr>
      <w:r w:rsidRPr="008D229A">
        <w:rPr>
          <w:rFonts w:ascii="Book Antiqua" w:hAnsi="Book Antiqua"/>
          <w:b/>
          <w:i/>
          <w:color w:val="000000" w:themeColor="text1"/>
          <w:sz w:val="24"/>
        </w:rPr>
        <w:t>History of present illness</w:t>
      </w:r>
      <w:r w:rsidRPr="008D229A">
        <w:rPr>
          <w:rFonts w:ascii="Book Antiqua" w:eastAsia="SimSun" w:hAnsi="Book Antiqua" w:cs="Calibri"/>
          <w:b/>
          <w:kern w:val="0"/>
          <w:sz w:val="24"/>
        </w:rPr>
        <w:t xml:space="preserve"> </w:t>
      </w:r>
    </w:p>
    <w:p w:rsidR="008D229A"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Two days prior to onset, he had consumed unpasteurized cooked beef that was stored in the refrigerator for a few days. </w:t>
      </w:r>
    </w:p>
    <w:p w:rsidR="008D229A" w:rsidRDefault="008D229A" w:rsidP="00BE56E1">
      <w:pPr>
        <w:widowControl/>
        <w:spacing w:line="360" w:lineRule="auto"/>
        <w:rPr>
          <w:rFonts w:ascii="Book Antiqua" w:eastAsia="SimSun" w:hAnsi="Book Antiqua" w:cs="Calibri"/>
          <w:kern w:val="0"/>
          <w:sz w:val="24"/>
        </w:rPr>
      </w:pPr>
    </w:p>
    <w:p w:rsidR="008D229A" w:rsidRPr="008D229A" w:rsidRDefault="008D229A" w:rsidP="00BE56E1">
      <w:pPr>
        <w:widowControl/>
        <w:spacing w:line="360" w:lineRule="auto"/>
        <w:rPr>
          <w:rFonts w:ascii="Book Antiqua" w:eastAsia="SimSun" w:hAnsi="Book Antiqua" w:cs="Calibri"/>
          <w:b/>
          <w:kern w:val="0"/>
          <w:sz w:val="24"/>
        </w:rPr>
      </w:pPr>
      <w:r w:rsidRPr="008D229A">
        <w:rPr>
          <w:rFonts w:ascii="Book Antiqua" w:hAnsi="Book Antiqua"/>
          <w:b/>
          <w:i/>
          <w:color w:val="000000" w:themeColor="text1"/>
          <w:sz w:val="24"/>
        </w:rPr>
        <w:t>History of past illness</w:t>
      </w:r>
    </w:p>
    <w:p w:rsidR="008D229A"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His medical history included type 2 diabetes mellitus, which was poorly controlled, fatty liver, smoking and drinking. </w:t>
      </w:r>
    </w:p>
    <w:p w:rsidR="008D229A" w:rsidRDefault="008D229A" w:rsidP="00BE56E1">
      <w:pPr>
        <w:widowControl/>
        <w:spacing w:line="360" w:lineRule="auto"/>
        <w:rPr>
          <w:rFonts w:ascii="Book Antiqua" w:eastAsia="SimSun" w:hAnsi="Book Antiqua" w:cs="Calibri"/>
          <w:kern w:val="0"/>
          <w:sz w:val="24"/>
        </w:rPr>
      </w:pPr>
    </w:p>
    <w:p w:rsidR="008D229A" w:rsidRPr="008D229A" w:rsidRDefault="008D229A" w:rsidP="00BE56E1">
      <w:pPr>
        <w:widowControl/>
        <w:spacing w:line="360" w:lineRule="auto"/>
        <w:rPr>
          <w:rFonts w:ascii="Book Antiqua" w:eastAsia="SimSun" w:hAnsi="Book Antiqua" w:cs="Calibri"/>
          <w:b/>
          <w:kern w:val="0"/>
          <w:sz w:val="24"/>
        </w:rPr>
      </w:pPr>
      <w:r w:rsidRPr="008D229A">
        <w:rPr>
          <w:rFonts w:ascii="Book Antiqua" w:hAnsi="Book Antiqua"/>
          <w:b/>
          <w:i/>
          <w:color w:val="000000" w:themeColor="text1"/>
          <w:sz w:val="24"/>
        </w:rPr>
        <w:t>Personal and family history</w:t>
      </w:r>
      <w:r w:rsidRPr="008D229A">
        <w:rPr>
          <w:rFonts w:ascii="Book Antiqua" w:eastAsia="SimSun" w:hAnsi="Book Antiqua" w:cs="Calibri"/>
          <w:b/>
          <w:kern w:val="0"/>
          <w:sz w:val="24"/>
        </w:rPr>
        <w:t xml:space="preserve"> </w:t>
      </w:r>
    </w:p>
    <w:p w:rsidR="00E75155"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He denied a family history of hypertension and stroke. </w:t>
      </w:r>
    </w:p>
    <w:p w:rsidR="008D229A" w:rsidRDefault="008D229A" w:rsidP="00BE56E1">
      <w:pPr>
        <w:widowControl/>
        <w:spacing w:line="360" w:lineRule="auto"/>
        <w:rPr>
          <w:rFonts w:ascii="Book Antiqua" w:eastAsia="SimSun" w:hAnsi="Book Antiqua" w:cs="Calibri"/>
          <w:kern w:val="0"/>
          <w:sz w:val="24"/>
        </w:rPr>
      </w:pPr>
    </w:p>
    <w:p w:rsidR="008D229A" w:rsidRPr="008D229A" w:rsidRDefault="008D229A" w:rsidP="00BE56E1">
      <w:pPr>
        <w:widowControl/>
        <w:spacing w:line="360" w:lineRule="auto"/>
        <w:rPr>
          <w:rFonts w:ascii="Book Antiqua" w:eastAsia="SimSun" w:hAnsi="Book Antiqua" w:cs="Calibri"/>
          <w:b/>
          <w:kern w:val="0"/>
          <w:sz w:val="24"/>
        </w:rPr>
      </w:pPr>
      <w:r w:rsidRPr="008D229A">
        <w:rPr>
          <w:rFonts w:ascii="Book Antiqua" w:hAnsi="Book Antiqua"/>
          <w:b/>
          <w:i/>
          <w:color w:val="000000" w:themeColor="text1"/>
          <w:sz w:val="24"/>
        </w:rPr>
        <w:t>Physical examination upon admission</w:t>
      </w:r>
    </w:p>
    <w:p w:rsidR="00E75155"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On admission, the physical examination was unremarkable, except for nuchal rigidity. The blood laboratory findings showed that glucose, C-reactive protein and erythrocyte sedimentation rate were high, while white blood cells (WBCs), red blood cells, hemoglobin, urea, creatinine, serum minerals and autoimmunity antibodies were normal. The initial brain CT was unremarkable, and chest CT showed bilateral bronchopneumonia. Lumbar puncture revealed a turbid cerebrospinal fluid (CSF) with 2090 leukocytes/mm</w:t>
      </w:r>
      <w:r w:rsidRPr="00BE56E1">
        <w:rPr>
          <w:rFonts w:ascii="Book Antiqua" w:eastAsia="SimSun" w:hAnsi="Book Antiqua" w:cs="Calibri"/>
          <w:kern w:val="0"/>
          <w:sz w:val="24"/>
          <w:vertAlign w:val="superscript"/>
        </w:rPr>
        <w:t>3</w:t>
      </w:r>
      <w:r w:rsidRPr="00BE56E1">
        <w:rPr>
          <w:rFonts w:ascii="Book Antiqua" w:eastAsia="SimSun" w:hAnsi="Book Antiqua" w:cs="Calibri"/>
          <w:kern w:val="0"/>
          <w:sz w:val="24"/>
        </w:rPr>
        <w:t xml:space="preserve"> (30% neutrophils, 70% monocytes), 233.85 mg/dL protein, 1.4 mmol/L glucose (serum glucose 9 mmol/L) and pressure &gt; 33 cmH</w:t>
      </w:r>
      <w:r w:rsidRPr="00BE56E1">
        <w:rPr>
          <w:rFonts w:ascii="Book Antiqua" w:eastAsia="SimSun" w:hAnsi="Book Antiqua" w:cs="Calibri"/>
          <w:kern w:val="0"/>
          <w:sz w:val="24"/>
          <w:vertAlign w:val="subscript"/>
        </w:rPr>
        <w:t>2</w:t>
      </w:r>
      <w:r w:rsidRPr="00BE56E1">
        <w:rPr>
          <w:rFonts w:ascii="Book Antiqua" w:eastAsia="SimSun" w:hAnsi="Book Antiqua" w:cs="Calibri"/>
          <w:kern w:val="0"/>
          <w:sz w:val="24"/>
        </w:rPr>
        <w:t>O. CSF Gram stain showed Gram-positive rods and was negative for fungi and acid-fast bacilli (</w:t>
      </w:r>
      <w:r w:rsidR="003071D2" w:rsidRPr="003071D2">
        <w:rPr>
          <w:rFonts w:ascii="Book Antiqua" w:eastAsia="SimSun" w:hAnsi="Book Antiqua" w:cs="Calibri"/>
          <w:kern w:val="0"/>
          <w:sz w:val="24"/>
        </w:rPr>
        <w:t xml:space="preserve">Table </w:t>
      </w:r>
      <w:r w:rsidR="003071D2" w:rsidRPr="003071D2">
        <w:rPr>
          <w:rFonts w:ascii="Book Antiqua" w:eastAsia="SimSun" w:hAnsi="Book Antiqua" w:cs="Calibri" w:hint="eastAsia"/>
          <w:kern w:val="0"/>
          <w:sz w:val="24"/>
        </w:rPr>
        <w:t>3</w:t>
      </w:r>
      <w:r w:rsidRPr="00BE56E1">
        <w:rPr>
          <w:rFonts w:ascii="Book Antiqua" w:eastAsia="SimSun" w:hAnsi="Book Antiqua" w:cs="Calibri"/>
          <w:kern w:val="0"/>
          <w:sz w:val="24"/>
        </w:rPr>
        <w:t xml:space="preserve">). </w:t>
      </w:r>
    </w:p>
    <w:p w:rsidR="00BD634F" w:rsidRDefault="00BD634F" w:rsidP="00BE56E1">
      <w:pPr>
        <w:widowControl/>
        <w:spacing w:line="360" w:lineRule="auto"/>
        <w:rPr>
          <w:rFonts w:ascii="Book Antiqua" w:eastAsia="SimSun" w:hAnsi="Book Antiqua" w:cs="Calibri"/>
          <w:kern w:val="0"/>
          <w:sz w:val="24"/>
        </w:rPr>
      </w:pPr>
    </w:p>
    <w:p w:rsidR="00BD634F" w:rsidRPr="00BD634F" w:rsidRDefault="00BD634F" w:rsidP="00BE56E1">
      <w:pPr>
        <w:widowControl/>
        <w:spacing w:line="360" w:lineRule="auto"/>
        <w:rPr>
          <w:rFonts w:ascii="Book Antiqua" w:eastAsia="SimSun" w:hAnsi="Book Antiqua" w:cs="Calibri"/>
          <w:b/>
          <w:kern w:val="0"/>
          <w:sz w:val="24"/>
        </w:rPr>
      </w:pPr>
      <w:r w:rsidRPr="00BD634F">
        <w:rPr>
          <w:rFonts w:ascii="Book Antiqua" w:hAnsi="Book Antiqua"/>
          <w:b/>
          <w:i/>
          <w:color w:val="000000" w:themeColor="text1"/>
          <w:sz w:val="24"/>
        </w:rPr>
        <w:t>Laboratory examinations</w:t>
      </w:r>
    </w:p>
    <w:p w:rsidR="00E75155" w:rsidRPr="00BE56E1"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Empiric anti-inflammatory therapy of bacterial meningitis (Ceftriaxone 2</w:t>
      </w:r>
      <w:r w:rsidR="00E66B89">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g, every 12 h for 2 d, followed by meropenem 1 g, every 8 h for 2) and all other supportive symptomatic treatments were administered after performing blood cultures. On the 4th day of admission, the patient’s brain MRI showed an abnormally high T2 flow attenuated inversion recovery (FLAIR) signal in the right pons and prominent temporal horns with enlargement of the ventricles (Figure 1). The patient was transferred to the intensive care unit (ICU) on the 5th day for further treatment because of new symptoms and poor clinical improvement. </w:t>
      </w:r>
    </w:p>
    <w:p w:rsidR="00BD634F" w:rsidRDefault="00BD634F" w:rsidP="00BE56E1">
      <w:pPr>
        <w:widowControl/>
        <w:spacing w:line="360" w:lineRule="auto"/>
        <w:rPr>
          <w:rFonts w:ascii="Book Antiqua" w:eastAsia="SimSun" w:hAnsi="Book Antiqua" w:cs="Calibri"/>
          <w:kern w:val="0"/>
          <w:sz w:val="24"/>
        </w:rPr>
      </w:pPr>
    </w:p>
    <w:p w:rsidR="00BD634F" w:rsidRDefault="00BD634F" w:rsidP="00BE56E1">
      <w:pPr>
        <w:widowControl/>
        <w:spacing w:line="360" w:lineRule="auto"/>
        <w:rPr>
          <w:rFonts w:ascii="Book Antiqua" w:eastAsia="SimSun" w:hAnsi="Book Antiqua" w:cs="Calibri"/>
          <w:kern w:val="0"/>
          <w:sz w:val="24"/>
        </w:rPr>
      </w:pPr>
    </w:p>
    <w:p w:rsidR="00BD634F" w:rsidRPr="00BD634F" w:rsidRDefault="00BD634F" w:rsidP="00BE56E1">
      <w:pPr>
        <w:widowControl/>
        <w:spacing w:line="360" w:lineRule="auto"/>
        <w:rPr>
          <w:rFonts w:ascii="Book Antiqua" w:eastAsia="SimSun" w:hAnsi="Book Antiqua" w:cs="Calibri"/>
          <w:b/>
          <w:kern w:val="0"/>
          <w:sz w:val="24"/>
        </w:rPr>
      </w:pPr>
      <w:r w:rsidRPr="00BD634F">
        <w:rPr>
          <w:rFonts w:ascii="Book Antiqua" w:hAnsi="Book Antiqua"/>
          <w:b/>
          <w:i/>
          <w:color w:val="000000" w:themeColor="text1"/>
          <w:sz w:val="24"/>
        </w:rPr>
        <w:t>Imaging examinations</w:t>
      </w:r>
      <w:r w:rsidRPr="00BD634F">
        <w:rPr>
          <w:rFonts w:ascii="Book Antiqua" w:eastAsia="SimSun" w:hAnsi="Book Antiqua" w:cs="Calibri"/>
          <w:b/>
          <w:kern w:val="0"/>
          <w:sz w:val="24"/>
        </w:rPr>
        <w:t xml:space="preserve"> </w:t>
      </w:r>
    </w:p>
    <w:p w:rsidR="00E75155" w:rsidRPr="00BE56E1"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The physical examination on ICU admission revealed a temperature of 38°C, sinus tachycardia </w:t>
      </w:r>
      <w:r w:rsidR="00E66B89">
        <w:rPr>
          <w:rFonts w:ascii="Book Antiqua" w:eastAsia="SimSun" w:hAnsi="Book Antiqua" w:cs="Calibri" w:hint="eastAsia"/>
          <w:kern w:val="0"/>
          <w:sz w:val="24"/>
        </w:rPr>
        <w:t>(</w:t>
      </w:r>
      <w:r w:rsidRPr="00BE56E1">
        <w:rPr>
          <w:rFonts w:ascii="Book Antiqua" w:eastAsia="SimSun" w:hAnsi="Book Antiqua" w:cs="Calibri"/>
          <w:kern w:val="0"/>
          <w:sz w:val="24"/>
        </w:rPr>
        <w:t xml:space="preserve">heart rate &gt; 150 bpm), tachypnea (respiratory rate &gt;30 bpm), confusion </w:t>
      </w:r>
      <w:r w:rsidR="00E66B89">
        <w:rPr>
          <w:rFonts w:ascii="Book Antiqua" w:eastAsia="SimSun" w:hAnsi="Book Antiqua" w:cs="Calibri" w:hint="eastAsia"/>
          <w:kern w:val="0"/>
          <w:sz w:val="24"/>
        </w:rPr>
        <w:t>[</w:t>
      </w:r>
      <w:r w:rsidRPr="00BE56E1">
        <w:rPr>
          <w:rFonts w:ascii="Book Antiqua" w:eastAsia="SimSun" w:hAnsi="Book Antiqua" w:cs="Calibri"/>
          <w:kern w:val="0"/>
          <w:sz w:val="24"/>
        </w:rPr>
        <w:t>Glasgow Coma Scale (GCS) score 12/15</w:t>
      </w:r>
      <w:r w:rsidR="00E66B89">
        <w:rPr>
          <w:rFonts w:ascii="Book Antiqua" w:eastAsia="SimSun" w:hAnsi="Book Antiqua" w:cs="Calibri" w:hint="eastAsia"/>
          <w:kern w:val="0"/>
          <w:sz w:val="24"/>
        </w:rPr>
        <w:t>]</w:t>
      </w:r>
      <w:r w:rsidRPr="00BE56E1">
        <w:rPr>
          <w:rFonts w:ascii="Book Antiqua" w:eastAsia="SimSun" w:hAnsi="Book Antiqua" w:cs="Calibri"/>
          <w:kern w:val="0"/>
          <w:sz w:val="24"/>
        </w:rPr>
        <w:t>, bilateral horizontal nystagmus, bilateral abducens nerve palsy, dysarthria, weakness of all four limbs and nuchal rigidity. Ampicillin combined with etimicin was administered with the diagnosis of bacterial meningitis and rhombencephalitis. On the 7</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the patient’s mental status rapidly deteriorated to coma (GCS score 5/15), and he was intubated and ventilated without autonomous respiration. On the 8th day, the blood cultures yielded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which was susceptible to ampicillin, erythrocin, meropenem and penicillin but resistant to sulfamethoxazole. CSF culture and urine cultures were negative. Meropenem was added to the combined treatment according to his blood cultures. On the 12</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the etimicin was discontinued as he became afebrile. On the 14</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brain CT and </w:t>
      </w:r>
      <w:bookmarkStart w:id="36" w:name="OLE_LINK4"/>
      <w:r w:rsidRPr="00BE56E1">
        <w:rPr>
          <w:rFonts w:ascii="Book Antiqua" w:eastAsia="SimSun" w:hAnsi="Book Antiqua" w:cs="Calibri"/>
          <w:kern w:val="0"/>
          <w:sz w:val="24"/>
        </w:rPr>
        <w:t>lumbar puncture</w:t>
      </w:r>
      <w:bookmarkEnd w:id="36"/>
      <w:r w:rsidRPr="00BE56E1">
        <w:rPr>
          <w:rFonts w:ascii="Book Antiqua" w:eastAsia="SimSun" w:hAnsi="Book Antiqua" w:cs="Calibri"/>
          <w:kern w:val="0"/>
          <w:sz w:val="24"/>
        </w:rPr>
        <w:t xml:space="preserve"> were reviewed. CT showed hemorrhage of the right pons and </w:t>
      </w:r>
      <w:bookmarkStart w:id="37" w:name="OLE_LINK112"/>
      <w:bookmarkStart w:id="38" w:name="OLE_LINK113"/>
      <w:r w:rsidRPr="00BE56E1">
        <w:rPr>
          <w:rFonts w:ascii="Book Antiqua" w:eastAsia="SimSun" w:hAnsi="Book Antiqua" w:cs="Calibri"/>
          <w:kern w:val="0"/>
          <w:sz w:val="24"/>
        </w:rPr>
        <w:t>hydrocephalus</w:t>
      </w:r>
      <w:bookmarkEnd w:id="37"/>
      <w:bookmarkEnd w:id="38"/>
      <w:r w:rsidRPr="00BE56E1">
        <w:rPr>
          <w:rFonts w:ascii="Book Antiqua" w:eastAsia="SimSun" w:hAnsi="Book Antiqua" w:cs="Calibri"/>
          <w:kern w:val="0"/>
          <w:sz w:val="24"/>
        </w:rPr>
        <w:t xml:space="preserve"> (bilateral lateral ventricular and the third ventricle hydrocephalus) (Figure 2). The lumbar puncture had an initial pressure of 12.5 cm H</w:t>
      </w:r>
      <w:r w:rsidRPr="00BE56E1">
        <w:rPr>
          <w:rFonts w:ascii="Book Antiqua" w:eastAsia="SimSun" w:hAnsi="Book Antiqua" w:cs="Calibri"/>
          <w:kern w:val="0"/>
          <w:sz w:val="24"/>
          <w:vertAlign w:val="subscript"/>
        </w:rPr>
        <w:t>2</w:t>
      </w:r>
      <w:r w:rsidR="00E66B89">
        <w:rPr>
          <w:rFonts w:ascii="Book Antiqua" w:eastAsia="SimSun" w:hAnsi="Book Antiqua" w:cs="Calibri"/>
          <w:kern w:val="0"/>
          <w:sz w:val="24"/>
        </w:rPr>
        <w:t>O and revealed 13</w:t>
      </w:r>
      <w:r w:rsidRPr="00BE56E1">
        <w:rPr>
          <w:rFonts w:ascii="Book Antiqua" w:eastAsia="SimSun" w:hAnsi="Book Antiqua" w:cs="Calibri"/>
          <w:kern w:val="0"/>
          <w:sz w:val="24"/>
        </w:rPr>
        <w:t>198 erythrocytes/mm</w:t>
      </w:r>
      <w:r w:rsidRPr="00BE56E1">
        <w:rPr>
          <w:rFonts w:ascii="Book Antiqua" w:eastAsia="SimSun" w:hAnsi="Book Antiqua" w:cs="Calibri"/>
          <w:kern w:val="0"/>
          <w:sz w:val="24"/>
          <w:vertAlign w:val="superscript"/>
        </w:rPr>
        <w:t>3</w:t>
      </w:r>
      <w:r w:rsidRPr="00BE56E1">
        <w:rPr>
          <w:rFonts w:ascii="Book Antiqua" w:eastAsia="SimSun" w:hAnsi="Book Antiqua" w:cs="Calibri"/>
          <w:kern w:val="0"/>
          <w:sz w:val="24"/>
        </w:rPr>
        <w:t>, 782 leukocytes/mm</w:t>
      </w:r>
      <w:r w:rsidRPr="00BE56E1">
        <w:rPr>
          <w:rFonts w:ascii="Book Antiqua" w:eastAsia="SimSun" w:hAnsi="Book Antiqua" w:cs="Calibri"/>
          <w:kern w:val="0"/>
          <w:sz w:val="24"/>
          <w:vertAlign w:val="superscript"/>
        </w:rPr>
        <w:t>3</w:t>
      </w:r>
      <w:r w:rsidRPr="00BE56E1">
        <w:rPr>
          <w:rFonts w:ascii="Book Antiqua" w:eastAsia="SimSun" w:hAnsi="Book Antiqua" w:cs="Calibri"/>
          <w:kern w:val="0"/>
          <w:sz w:val="24"/>
        </w:rPr>
        <w:t xml:space="preserve"> (3% neutrophils, 97% monocytes), 44.1 mg/dL proteins, 5.42 mmol/L glucose (serum glucose 11.05 mmol/L), and a negative Gram stain (Table </w:t>
      </w:r>
      <w:r w:rsidR="003071D2">
        <w:rPr>
          <w:rFonts w:ascii="Book Antiqua" w:eastAsia="SimSun" w:hAnsi="Book Antiqua" w:cs="Calibri" w:hint="eastAsia"/>
          <w:kern w:val="0"/>
          <w:sz w:val="24"/>
        </w:rPr>
        <w:t>3</w:t>
      </w:r>
      <w:r w:rsidRPr="00BE56E1">
        <w:rPr>
          <w:rFonts w:ascii="Book Antiqua" w:eastAsia="SimSun" w:hAnsi="Book Antiqua" w:cs="Calibri"/>
          <w:kern w:val="0"/>
          <w:sz w:val="24"/>
        </w:rPr>
        <w:t xml:space="preserve">). </w:t>
      </w:r>
    </w:p>
    <w:p w:rsidR="00E66B89" w:rsidRDefault="00E66B89" w:rsidP="00BE56E1">
      <w:pPr>
        <w:widowControl/>
        <w:spacing w:line="360" w:lineRule="auto"/>
        <w:rPr>
          <w:rFonts w:ascii="Book Antiqua" w:eastAsia="SimSun" w:hAnsi="Book Antiqua" w:cs="Calibri"/>
          <w:kern w:val="0"/>
          <w:sz w:val="24"/>
        </w:rPr>
      </w:pPr>
    </w:p>
    <w:p w:rsidR="00E66B89" w:rsidRDefault="00E66B89" w:rsidP="00BE56E1">
      <w:pPr>
        <w:widowControl/>
        <w:spacing w:line="360" w:lineRule="auto"/>
        <w:rPr>
          <w:rFonts w:ascii="Book Antiqua" w:eastAsia="SimSun" w:hAnsi="Book Antiqua" w:cs="Calibri"/>
          <w:kern w:val="0"/>
          <w:sz w:val="24"/>
        </w:rPr>
      </w:pPr>
      <w:r w:rsidRPr="00672FF9">
        <w:rPr>
          <w:rFonts w:ascii="Book Antiqua" w:hAnsi="Book Antiqua"/>
          <w:b/>
          <w:color w:val="000000" w:themeColor="text1"/>
          <w:sz w:val="24"/>
        </w:rPr>
        <w:t>FINAL DIAGNOSIS</w:t>
      </w:r>
    </w:p>
    <w:p w:rsidR="00E66B89"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The patient was finally diagnosed with </w:t>
      </w:r>
      <w:r w:rsidRPr="00BE56E1">
        <w:rPr>
          <w:rFonts w:ascii="Book Antiqua" w:eastAsia="SimSun" w:hAnsi="Book Antiqua" w:cs="Calibri"/>
          <w:i/>
          <w:iCs/>
          <w:kern w:val="0"/>
          <w:sz w:val="24"/>
        </w:rPr>
        <w:t>Listeria</w:t>
      </w:r>
      <w:r w:rsidRPr="00BE56E1">
        <w:rPr>
          <w:rFonts w:ascii="Book Antiqua" w:eastAsia="SimSun" w:hAnsi="Book Antiqua" w:cs="Calibri"/>
          <w:kern w:val="0"/>
          <w:sz w:val="24"/>
        </w:rPr>
        <w:t xml:space="preserve"> rhombencephalitis, hydrocephalus and intracranial hemorrhage. </w:t>
      </w:r>
    </w:p>
    <w:p w:rsidR="00E66B89" w:rsidRDefault="00E66B89" w:rsidP="00BE56E1">
      <w:pPr>
        <w:widowControl/>
        <w:spacing w:line="360" w:lineRule="auto"/>
        <w:rPr>
          <w:rFonts w:ascii="Book Antiqua" w:eastAsia="SimSun" w:hAnsi="Book Antiqua" w:cs="Calibri"/>
          <w:kern w:val="0"/>
          <w:sz w:val="24"/>
        </w:rPr>
      </w:pPr>
    </w:p>
    <w:p w:rsidR="00E66B89" w:rsidRDefault="00E66B89" w:rsidP="00BE56E1">
      <w:pPr>
        <w:widowControl/>
        <w:spacing w:line="360" w:lineRule="auto"/>
        <w:rPr>
          <w:rFonts w:ascii="Book Antiqua" w:eastAsia="SimSun" w:hAnsi="Book Antiqua" w:cs="Calibri"/>
          <w:kern w:val="0"/>
          <w:sz w:val="24"/>
        </w:rPr>
      </w:pPr>
      <w:r w:rsidRPr="00672FF9">
        <w:rPr>
          <w:rFonts w:ascii="Book Antiqua" w:hAnsi="Book Antiqua"/>
          <w:b/>
          <w:color w:val="000000" w:themeColor="text1"/>
          <w:sz w:val="24"/>
        </w:rPr>
        <w:t>TREATMENT</w:t>
      </w:r>
      <w:r w:rsidRPr="00BE56E1">
        <w:rPr>
          <w:rFonts w:ascii="Book Antiqua" w:eastAsia="SimSun" w:hAnsi="Book Antiqua" w:cs="Calibri"/>
          <w:kern w:val="0"/>
          <w:sz w:val="24"/>
        </w:rPr>
        <w:t xml:space="preserve"> </w:t>
      </w:r>
    </w:p>
    <w:p w:rsidR="00E75155"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The 3</w:t>
      </w:r>
      <w:r w:rsidRPr="00E66B89">
        <w:rPr>
          <w:rFonts w:ascii="Book Antiqua" w:eastAsia="SimSun" w:hAnsi="Book Antiqua" w:cs="Calibri"/>
          <w:kern w:val="0"/>
          <w:sz w:val="24"/>
          <w:vertAlign w:val="superscript"/>
        </w:rPr>
        <w:t>rd</w:t>
      </w:r>
      <w:r w:rsidRPr="00BE56E1">
        <w:rPr>
          <w:rFonts w:ascii="Book Antiqua" w:eastAsia="SimSun" w:hAnsi="Book Antiqua" w:cs="Calibri"/>
          <w:kern w:val="0"/>
          <w:sz w:val="24"/>
        </w:rPr>
        <w:t xml:space="preserve"> cerebral CT on the 22</w:t>
      </w:r>
      <w:r w:rsidRPr="00E66B89">
        <w:rPr>
          <w:rFonts w:ascii="Book Antiqua" w:eastAsia="SimSun" w:hAnsi="Book Antiqua" w:cs="Calibri"/>
          <w:kern w:val="0"/>
          <w:sz w:val="24"/>
          <w:vertAlign w:val="superscript"/>
        </w:rPr>
        <w:t>nd</w:t>
      </w:r>
      <w:r w:rsidRPr="00BE56E1">
        <w:rPr>
          <w:rFonts w:ascii="Book Antiqua" w:eastAsia="SimSun" w:hAnsi="Book Antiqua" w:cs="Calibri"/>
          <w:kern w:val="0"/>
          <w:sz w:val="24"/>
        </w:rPr>
        <w:t xml:space="preserve"> day revealed significant dilatation of all brain ventricles, and an </w:t>
      </w:r>
      <w:bookmarkStart w:id="39" w:name="OLE_LINK11"/>
      <w:r w:rsidRPr="00BE56E1">
        <w:rPr>
          <w:rFonts w:ascii="Book Antiqua" w:eastAsia="SimSun" w:hAnsi="Book Antiqua" w:cs="Calibri"/>
          <w:kern w:val="0"/>
          <w:sz w:val="24"/>
        </w:rPr>
        <w:t>extraventricular drainage</w:t>
      </w:r>
      <w:bookmarkEnd w:id="39"/>
      <w:r w:rsidRPr="00BE56E1">
        <w:rPr>
          <w:rFonts w:ascii="Book Antiqua" w:eastAsia="SimSun" w:hAnsi="Book Antiqua" w:cs="Calibri"/>
          <w:kern w:val="0"/>
          <w:sz w:val="24"/>
        </w:rPr>
        <w:t xml:space="preserve"> was performed to relieve hydrocephalus (Figure 3). Repeated CSF examination from drainage on the 28</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showed greater decreases in WBCs and proteins (Table </w:t>
      </w:r>
      <w:r w:rsidR="003071D2">
        <w:rPr>
          <w:rFonts w:ascii="Book Antiqua" w:eastAsia="SimSun" w:hAnsi="Book Antiqua" w:cs="Calibri" w:hint="eastAsia"/>
          <w:kern w:val="0"/>
          <w:sz w:val="24"/>
        </w:rPr>
        <w:t>3</w:t>
      </w:r>
      <w:r w:rsidRPr="00BE56E1">
        <w:rPr>
          <w:rFonts w:ascii="Book Antiqua" w:eastAsia="SimSun" w:hAnsi="Book Antiqua" w:cs="Calibri"/>
          <w:kern w:val="0"/>
          <w:sz w:val="24"/>
        </w:rPr>
        <w:t>). On the 29</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his condition rapidly </w:t>
      </w:r>
      <w:r w:rsidRPr="00BE56E1">
        <w:rPr>
          <w:rFonts w:ascii="Book Antiqua" w:eastAsia="SimSun" w:hAnsi="Book Antiqua" w:cs="Calibri"/>
          <w:kern w:val="0"/>
          <w:sz w:val="24"/>
        </w:rPr>
        <w:lastRenderedPageBreak/>
        <w:t>deteriorated, with anisocoria (left pupil 4 mm and right pupil 2 mm). The 4</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brain CT on 29</w:t>
      </w:r>
      <w:r w:rsidRPr="00E66B89">
        <w:rPr>
          <w:rFonts w:ascii="Book Antiqua" w:eastAsia="SimSun" w:hAnsi="Book Antiqua" w:cs="Calibri"/>
          <w:kern w:val="0"/>
          <w:sz w:val="24"/>
          <w:vertAlign w:val="superscript"/>
        </w:rPr>
        <w:t>th</w:t>
      </w:r>
      <w:r w:rsidRPr="00BE56E1">
        <w:rPr>
          <w:rFonts w:ascii="Book Antiqua" w:eastAsia="SimSun" w:hAnsi="Book Antiqua" w:cs="Calibri"/>
          <w:kern w:val="0"/>
          <w:sz w:val="24"/>
        </w:rPr>
        <w:t xml:space="preserve"> day showed rehaemorrhagia of the lateral ventricle and a larger ventricular system (Figure 4). </w:t>
      </w:r>
    </w:p>
    <w:p w:rsidR="00E66B89" w:rsidRDefault="00E66B89" w:rsidP="00BE56E1">
      <w:pPr>
        <w:widowControl/>
        <w:spacing w:line="360" w:lineRule="auto"/>
        <w:rPr>
          <w:rFonts w:ascii="Book Antiqua" w:eastAsia="SimSun" w:hAnsi="Book Antiqua" w:cs="Calibri"/>
          <w:kern w:val="0"/>
          <w:sz w:val="24"/>
        </w:rPr>
      </w:pPr>
    </w:p>
    <w:p w:rsidR="00E66B89" w:rsidRPr="00BE56E1" w:rsidRDefault="007256CE" w:rsidP="00BE56E1">
      <w:pPr>
        <w:widowControl/>
        <w:spacing w:line="360" w:lineRule="auto"/>
        <w:rPr>
          <w:rFonts w:ascii="Book Antiqua" w:eastAsia="SimSun" w:hAnsi="Book Antiqua" w:cs="Calibri"/>
          <w:kern w:val="0"/>
          <w:sz w:val="24"/>
        </w:rPr>
      </w:pPr>
      <w:r>
        <w:rPr>
          <w:rFonts w:ascii="Book Antiqua" w:hAnsi="Book Antiqua"/>
          <w:b/>
          <w:color w:val="000000" w:themeColor="text1"/>
          <w:sz w:val="24"/>
        </w:rPr>
        <w:t>OUTCOME AND FOLLOW-UP</w:t>
      </w:r>
    </w:p>
    <w:p w:rsidR="00E75155" w:rsidRDefault="00F813D0" w:rsidP="00BE56E1">
      <w:pPr>
        <w:widowControl/>
        <w:spacing w:line="360" w:lineRule="auto"/>
        <w:rPr>
          <w:rFonts w:ascii="Book Antiqua" w:eastAsia="SimSun" w:hAnsi="Book Antiqua" w:cs="Calibri"/>
          <w:kern w:val="0"/>
          <w:sz w:val="24"/>
        </w:rPr>
      </w:pPr>
      <w:r w:rsidRPr="00BE56E1">
        <w:rPr>
          <w:rFonts w:ascii="Book Antiqua" w:eastAsia="SimSun" w:hAnsi="Book Antiqua" w:cs="Calibri"/>
          <w:kern w:val="0"/>
          <w:sz w:val="24"/>
        </w:rPr>
        <w:t>The patient died on the 31</w:t>
      </w:r>
      <w:r w:rsidRPr="00E66B89">
        <w:rPr>
          <w:rFonts w:ascii="Book Antiqua" w:eastAsia="SimSun" w:hAnsi="Book Antiqua" w:cs="Calibri"/>
          <w:kern w:val="0"/>
          <w:sz w:val="24"/>
          <w:vertAlign w:val="superscript"/>
        </w:rPr>
        <w:t>st</w:t>
      </w:r>
      <w:r w:rsidRPr="00BE56E1">
        <w:rPr>
          <w:rFonts w:ascii="Book Antiqua" w:eastAsia="SimSun" w:hAnsi="Book Antiqua" w:cs="Calibri"/>
          <w:kern w:val="0"/>
          <w:sz w:val="24"/>
        </w:rPr>
        <w:t xml:space="preserve"> day. Autopsy could not be performed.</w:t>
      </w:r>
    </w:p>
    <w:p w:rsidR="00E66B89" w:rsidRPr="00BE56E1" w:rsidRDefault="00E66B89" w:rsidP="00BE56E1">
      <w:pPr>
        <w:widowControl/>
        <w:spacing w:line="360" w:lineRule="auto"/>
        <w:rPr>
          <w:rFonts w:ascii="Book Antiqua" w:eastAsia="SimSun" w:hAnsi="Book Antiqua" w:cs="Calibri"/>
          <w:kern w:val="0"/>
          <w:sz w:val="24"/>
        </w:rPr>
      </w:pPr>
    </w:p>
    <w:p w:rsidR="00E75155" w:rsidRPr="00BE56E1" w:rsidRDefault="00F813D0" w:rsidP="00BE56E1">
      <w:pPr>
        <w:spacing w:line="360" w:lineRule="auto"/>
        <w:rPr>
          <w:rFonts w:ascii="Book Antiqua" w:eastAsia="SimSun" w:hAnsi="Book Antiqua" w:cs="Calibri"/>
          <w:b/>
          <w:bCs/>
          <w:kern w:val="0"/>
          <w:sz w:val="24"/>
        </w:rPr>
      </w:pPr>
      <w:r w:rsidRPr="00BE56E1">
        <w:rPr>
          <w:rFonts w:ascii="Book Antiqua" w:eastAsia="SimSun" w:hAnsi="Book Antiqua" w:cs="Calibri"/>
          <w:b/>
          <w:bCs/>
          <w:kern w:val="0"/>
          <w:sz w:val="24"/>
        </w:rPr>
        <w:t>DISCUSSION</w:t>
      </w:r>
      <w:r w:rsidR="00BE56E1" w:rsidRPr="00BE56E1">
        <w:rPr>
          <w:rFonts w:ascii="Book Antiqua" w:eastAsia="SimSun" w:hAnsi="Book Antiqua" w:cs="Calibri"/>
          <w:b/>
          <w:bCs/>
          <w:kern w:val="0"/>
          <w:sz w:val="24"/>
        </w:rPr>
        <w:t xml:space="preserve"> </w:t>
      </w:r>
      <w:bookmarkStart w:id="40" w:name="OLE_LINK2"/>
    </w:p>
    <w:bookmarkEnd w:id="40"/>
    <w:p w:rsidR="00E75155" w:rsidRPr="00BE56E1" w:rsidRDefault="00F813D0" w:rsidP="00BE56E1">
      <w:pPr>
        <w:spacing w:line="360" w:lineRule="auto"/>
        <w:rPr>
          <w:rFonts w:ascii="Book Antiqua" w:eastAsia="SimSun" w:hAnsi="Book Antiqua" w:cs="Calibri"/>
          <w:kern w:val="0"/>
          <w:sz w:val="24"/>
        </w:rPr>
      </w:pPr>
      <w:r w:rsidRPr="00BE56E1">
        <w:rPr>
          <w:rFonts w:ascii="Book Antiqua" w:eastAsia="SimSun" w:hAnsi="Book Antiqua" w:cs="Calibri"/>
          <w:kern w:val="0"/>
          <w:sz w:val="24"/>
        </w:rPr>
        <w:t xml:space="preserve">Although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has been reported to be the third most common cause of community-acquired bacterial meningitis, following pneumococcal and meningococcal meningitis in adults, its occurrence is relatively rare, accounting for only 5% of ence</w:t>
      </w:r>
      <w:r w:rsidR="00A94B7E">
        <w:rPr>
          <w:rFonts w:ascii="Book Antiqua" w:eastAsia="SimSun" w:hAnsi="Book Antiqua" w:cs="Calibri"/>
          <w:kern w:val="0"/>
          <w:sz w:val="24"/>
        </w:rPr>
        <w:t>phalitis in metropolitan France</w:t>
      </w:r>
      <w:r w:rsidRPr="00BE56E1">
        <w:rPr>
          <w:rFonts w:ascii="Book Antiqua" w:eastAsia="SimSun" w:hAnsi="Book Antiqua" w:cs="Calibri"/>
          <w:kern w:val="0"/>
          <w:sz w:val="24"/>
          <w:vertAlign w:val="superscript"/>
        </w:rPr>
        <w:t>[14]</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Listeria</w:t>
      </w:r>
      <w:r w:rsidRPr="00BE56E1">
        <w:rPr>
          <w:rFonts w:ascii="Book Antiqua" w:eastAsia="SimSun" w:hAnsi="Book Antiqua" w:cs="Calibri"/>
          <w:kern w:val="0"/>
          <w:sz w:val="24"/>
        </w:rPr>
        <w:t xml:space="preserve"> has an important impact on public health, with high hospitalization and mortality rat</w:t>
      </w:r>
      <w:r w:rsidR="00A94B7E">
        <w:rPr>
          <w:rFonts w:ascii="Book Antiqua" w:eastAsia="SimSun" w:hAnsi="Book Antiqua" w:cs="Calibri"/>
          <w:kern w:val="0"/>
          <w:sz w:val="24"/>
        </w:rPr>
        <w:t>es despite antibiotic treatment</w:t>
      </w:r>
      <w:r w:rsidRPr="00BE56E1">
        <w:rPr>
          <w:rFonts w:ascii="Book Antiqua" w:eastAsia="SimSun" w:hAnsi="Book Antiqua" w:cs="Calibri"/>
          <w:kern w:val="0"/>
          <w:sz w:val="24"/>
          <w:vertAlign w:val="superscript"/>
        </w:rPr>
        <w:t>[15]</w:t>
      </w:r>
      <w:r w:rsidRPr="00BE56E1">
        <w:rPr>
          <w:rFonts w:ascii="Book Antiqua" w:eastAsia="SimSun" w:hAnsi="Book Antiqua" w:cs="Calibri"/>
          <w:kern w:val="0"/>
          <w:sz w:val="24"/>
        </w:rPr>
        <w:t xml:space="preserve">. As listeriosis is not incorporated into the national monitoring system for cases, epidemiological data on </w:t>
      </w:r>
      <w:r w:rsidRPr="00BE56E1">
        <w:rPr>
          <w:rFonts w:ascii="Book Antiqua" w:eastAsia="SimSun" w:hAnsi="Book Antiqua" w:cs="Calibri"/>
          <w:i/>
          <w:iCs/>
          <w:kern w:val="0"/>
          <w:sz w:val="24"/>
        </w:rPr>
        <w:t>Listeria</w:t>
      </w:r>
      <w:r w:rsidR="00A94B7E">
        <w:rPr>
          <w:rFonts w:ascii="Book Antiqua" w:eastAsia="SimSun" w:hAnsi="Book Antiqua" w:cs="Calibri"/>
          <w:kern w:val="0"/>
          <w:sz w:val="24"/>
        </w:rPr>
        <w:t xml:space="preserve"> are scarce in China</w:t>
      </w:r>
      <w:r w:rsidRPr="00BE56E1">
        <w:rPr>
          <w:rFonts w:ascii="Book Antiqua" w:eastAsia="SimSun" w:hAnsi="Book Antiqua" w:cs="Calibri"/>
          <w:kern w:val="0"/>
          <w:sz w:val="24"/>
          <w:vertAlign w:val="superscript"/>
        </w:rPr>
        <w:t>[7,16]</w:t>
      </w:r>
      <w:r w:rsidRPr="00BE56E1">
        <w:rPr>
          <w:rFonts w:ascii="Book Antiqua" w:eastAsia="SimSun" w:hAnsi="Book Antiqua" w:cs="Calibri"/>
          <w:kern w:val="0"/>
          <w:sz w:val="24"/>
        </w:rPr>
        <w:t xml:space="preserve">. In a study from 2013, Feng </w:t>
      </w:r>
      <w:r w:rsidR="00A94B7E">
        <w:rPr>
          <w:rFonts w:ascii="Book Antiqua" w:eastAsia="SimSun" w:hAnsi="Book Antiqua" w:cs="Calibri"/>
          <w:i/>
          <w:iCs/>
          <w:kern w:val="0"/>
          <w:sz w:val="24"/>
        </w:rPr>
        <w:t>et al</w:t>
      </w:r>
      <w:r w:rsidR="00A94B7E" w:rsidRPr="00BE56E1">
        <w:rPr>
          <w:rFonts w:ascii="Book Antiqua" w:eastAsia="SimSun" w:hAnsi="Book Antiqua" w:cs="Calibri"/>
          <w:kern w:val="0"/>
          <w:sz w:val="24"/>
          <w:vertAlign w:val="superscript"/>
        </w:rPr>
        <w:t>[16]</w:t>
      </w:r>
      <w:r w:rsidRPr="00BE56E1">
        <w:rPr>
          <w:rFonts w:ascii="Book Antiqua" w:eastAsia="SimSun" w:hAnsi="Book Antiqua" w:cs="Calibri"/>
          <w:kern w:val="0"/>
          <w:sz w:val="24"/>
        </w:rPr>
        <w:t xml:space="preserve"> reviewed 147 cases of listeriosis in China from 1964 to 2010, with neurolisteriosis accounting for 31% of cases. The overall case-fatality rate was 26%, highest among neonatal cases (46%) and lowest among pregnant cases (4%)</w:t>
      </w:r>
      <w:bookmarkStart w:id="41" w:name="OLE_LINK7"/>
      <w:r w:rsidRPr="00BE56E1">
        <w:rPr>
          <w:rFonts w:ascii="Book Antiqua" w:eastAsia="SimSun" w:hAnsi="Book Antiqua" w:cs="Calibri"/>
          <w:kern w:val="0"/>
          <w:sz w:val="24"/>
          <w:vertAlign w:val="superscript"/>
        </w:rPr>
        <w:t>[16]</w:t>
      </w:r>
      <w:bookmarkEnd w:id="41"/>
      <w:r w:rsidRPr="00BE56E1">
        <w:rPr>
          <w:rFonts w:ascii="Book Antiqua" w:eastAsia="SimSun" w:hAnsi="Book Antiqua" w:cs="Calibri"/>
          <w:kern w:val="0"/>
          <w:sz w:val="24"/>
        </w:rPr>
        <w:t xml:space="preserve">. In one study conducted by Wang </w:t>
      </w:r>
      <w:r w:rsidRPr="00BE56E1">
        <w:rPr>
          <w:rFonts w:ascii="Book Antiqua" w:eastAsia="SimSun" w:hAnsi="Book Antiqua" w:cs="Calibri"/>
          <w:i/>
          <w:iCs/>
          <w:kern w:val="0"/>
          <w:sz w:val="24"/>
        </w:rPr>
        <w:t>et al</w:t>
      </w:r>
      <w:r w:rsidR="00A94B7E" w:rsidRPr="00BE56E1">
        <w:rPr>
          <w:rFonts w:ascii="Book Antiqua" w:eastAsia="SimSun" w:hAnsi="Book Antiqua" w:cs="Calibri"/>
          <w:kern w:val="0"/>
          <w:sz w:val="24"/>
          <w:vertAlign w:val="superscript"/>
        </w:rPr>
        <w:t>[7]</w:t>
      </w:r>
      <w:r w:rsidRPr="00BE56E1">
        <w:rPr>
          <w:rFonts w:ascii="Book Antiqua" w:eastAsia="SimSun" w:hAnsi="Book Antiqua" w:cs="Calibri"/>
          <w:kern w:val="0"/>
          <w:sz w:val="24"/>
        </w:rPr>
        <w:t>, 38 cases of listeriosis, including 5 neonatal, 8 maternal and 25 nonmaternal, were reviewed in China between 1999 and 2011, and the case-fatality rates for neonatal, maternal and nonmaternal were 20%, 0% and 26%, respectively</w:t>
      </w:r>
      <w:r w:rsidRPr="00BE56E1">
        <w:rPr>
          <w:rFonts w:ascii="Book Antiqua" w:eastAsia="SimSun" w:hAnsi="Book Antiqua" w:cs="Calibri"/>
          <w:kern w:val="0"/>
          <w:sz w:val="24"/>
          <w:vertAlign w:val="superscript"/>
        </w:rPr>
        <w:t>[7]</w:t>
      </w:r>
      <w:r w:rsidRPr="00BE56E1">
        <w:rPr>
          <w:rFonts w:ascii="Book Antiqua" w:eastAsia="SimSun" w:hAnsi="Book Antiqua" w:cs="Calibri"/>
          <w:kern w:val="0"/>
          <w:sz w:val="24"/>
        </w:rPr>
        <w:t xml:space="preserve">. </w:t>
      </w:r>
    </w:p>
    <w:p w:rsidR="00E75155" w:rsidRPr="00BE56E1" w:rsidRDefault="00F813D0" w:rsidP="00A94B7E">
      <w:pPr>
        <w:spacing w:line="360" w:lineRule="auto"/>
        <w:ind w:firstLineChars="100" w:firstLine="240"/>
        <w:rPr>
          <w:rFonts w:ascii="Book Antiqua" w:eastAsia="SimSun" w:hAnsi="Book Antiqua" w:cs="Calibri"/>
          <w:kern w:val="0"/>
          <w:sz w:val="24"/>
        </w:rPr>
      </w:pPr>
      <w:r w:rsidRPr="00BE56E1">
        <w:rPr>
          <w:rFonts w:ascii="Book Antiqua" w:eastAsia="SimSun" w:hAnsi="Book Antiqua" w:cs="Calibri"/>
          <w:kern w:val="0"/>
          <w:sz w:val="24"/>
        </w:rPr>
        <w:t xml:space="preserve">CSF and blood cultures are the most specific for diagnosis. Early diagnosis of neurolisteriosis is difficult not only because the presentation of CSF is similar to other bacterial encephalitis and meningitis manifestations (pleocytosis, hyperproteinorrachia and hypoglycorrhachia) but also because approximately 50% </w:t>
      </w:r>
      <w:r w:rsidR="00A94B7E">
        <w:rPr>
          <w:rFonts w:ascii="Book Antiqua" w:eastAsia="SimSun" w:hAnsi="Book Antiqua" w:cs="Calibri"/>
          <w:kern w:val="0"/>
          <w:sz w:val="24"/>
        </w:rPr>
        <w:t>of CSF Gram stains are negative</w:t>
      </w:r>
      <w:r w:rsidRPr="00BE56E1">
        <w:rPr>
          <w:rFonts w:ascii="Book Antiqua" w:eastAsia="SimSun" w:hAnsi="Book Antiqua" w:cs="Calibri"/>
          <w:kern w:val="0"/>
          <w:sz w:val="24"/>
          <w:vertAlign w:val="superscript"/>
        </w:rPr>
        <w:t>[17]</w:t>
      </w:r>
      <w:r w:rsidRPr="00BE56E1">
        <w:rPr>
          <w:rFonts w:ascii="Book Antiqua" w:eastAsia="SimSun" w:hAnsi="Book Antiqua" w:cs="Calibri"/>
          <w:kern w:val="0"/>
          <w:sz w:val="24"/>
        </w:rPr>
        <w:t>.</w:t>
      </w:r>
      <w:r w:rsidR="00BE56E1" w:rsidRPr="00BE56E1">
        <w:rPr>
          <w:rFonts w:ascii="Book Antiqua" w:eastAsia="SimSun" w:hAnsi="Book Antiqua" w:cs="Calibri"/>
          <w:kern w:val="0"/>
          <w:sz w:val="24"/>
        </w:rPr>
        <w:t xml:space="preserve"> </w:t>
      </w:r>
      <w:r w:rsidRPr="00BE56E1">
        <w:rPr>
          <w:rFonts w:ascii="Book Antiqua" w:eastAsia="SimSun" w:hAnsi="Book Antiqua" w:cs="Calibri"/>
          <w:kern w:val="0"/>
          <w:sz w:val="24"/>
        </w:rPr>
        <w:t xml:space="preserve">Jubelt </w:t>
      </w:r>
      <w:r w:rsidRPr="00BE56E1">
        <w:rPr>
          <w:rFonts w:ascii="Book Antiqua" w:eastAsia="SimSun" w:hAnsi="Book Antiqua" w:cs="Calibri"/>
          <w:i/>
          <w:iCs/>
          <w:kern w:val="0"/>
          <w:sz w:val="24"/>
        </w:rPr>
        <w:t>et al</w:t>
      </w:r>
      <w:r w:rsidR="00A94B7E" w:rsidRPr="00BE56E1">
        <w:rPr>
          <w:rFonts w:ascii="Book Antiqua" w:eastAsia="SimSun" w:hAnsi="Book Antiqua" w:cs="Calibri"/>
          <w:kern w:val="0"/>
          <w:sz w:val="24"/>
          <w:vertAlign w:val="superscript"/>
        </w:rPr>
        <w:t>[18]</w:t>
      </w:r>
      <w:r w:rsidRPr="00BE56E1">
        <w:rPr>
          <w:rFonts w:ascii="Book Antiqua" w:eastAsia="SimSun" w:hAnsi="Book Antiqua" w:cs="Calibri"/>
          <w:kern w:val="0"/>
          <w:sz w:val="24"/>
        </w:rPr>
        <w:t xml:space="preserve"> reported that approximately three-quarters of patients have CSF pleocytosis, with approximately equal percentages of mononuclear and polymorphonuclear cells. In our case, there was an initial predominance of lymphocytic cells, which then turned to mononuclear cell </w:t>
      </w:r>
      <w:r w:rsidRPr="00BE56E1">
        <w:rPr>
          <w:rFonts w:ascii="Book Antiqua" w:eastAsia="SimSun" w:hAnsi="Book Antiqua" w:cs="Calibri"/>
          <w:kern w:val="0"/>
          <w:sz w:val="24"/>
        </w:rPr>
        <w:lastRenderedPageBreak/>
        <w:t xml:space="preserve">predominance; this change might be related to pathological processes and the application of antibiotics. </w:t>
      </w:r>
      <w:r w:rsidRPr="00BE56E1">
        <w:rPr>
          <w:rFonts w:ascii="Book Antiqua" w:eastAsia="SimSun" w:hAnsi="Book Antiqua" w:cs="Calibri"/>
          <w:i/>
          <w:iCs/>
          <w:kern w:val="0"/>
          <w:sz w:val="24"/>
        </w:rPr>
        <w:t>Listeria</w:t>
      </w:r>
      <w:r w:rsidRPr="00BE56E1">
        <w:rPr>
          <w:rFonts w:ascii="Book Antiqua" w:eastAsia="SimSun" w:hAnsi="Book Antiqua" w:cs="Calibri"/>
          <w:kern w:val="0"/>
          <w:sz w:val="24"/>
        </w:rPr>
        <w:t xml:space="preserve"> is usually revealed first on blood cultures, which are positi</w:t>
      </w:r>
      <w:r w:rsidR="00A94B7E">
        <w:rPr>
          <w:rFonts w:ascii="Book Antiqua" w:eastAsia="SimSun" w:hAnsi="Book Antiqua" w:cs="Calibri"/>
          <w:kern w:val="0"/>
          <w:sz w:val="24"/>
        </w:rPr>
        <w:t>ve in 62% of encephalitis cases</w:t>
      </w:r>
      <w:r w:rsidRPr="00BE56E1">
        <w:rPr>
          <w:rFonts w:ascii="Book Antiqua" w:eastAsia="SimSun" w:hAnsi="Book Antiqua" w:cs="Calibri"/>
          <w:kern w:val="0"/>
          <w:sz w:val="24"/>
          <w:vertAlign w:val="superscript"/>
        </w:rPr>
        <w:t>[19]</w:t>
      </w:r>
      <w:r w:rsidRPr="00BE56E1">
        <w:rPr>
          <w:rFonts w:ascii="Book Antiqua" w:eastAsia="SimSun" w:hAnsi="Book Antiqua" w:cs="Calibri"/>
          <w:kern w:val="0"/>
          <w:sz w:val="24"/>
        </w:rPr>
        <w:t xml:space="preserve">. Therefore, </w:t>
      </w:r>
      <w:r w:rsidRPr="00BE56E1">
        <w:rPr>
          <w:rFonts w:ascii="Book Antiqua" w:hAnsi="Book Antiqua"/>
          <w:sz w:val="24"/>
        </w:rPr>
        <w:t xml:space="preserve">early before antibiotics and repeated </w:t>
      </w:r>
      <w:r w:rsidRPr="00BE56E1">
        <w:rPr>
          <w:rFonts w:ascii="Book Antiqua" w:eastAsia="SimSun" w:hAnsi="Book Antiqua" w:cs="Calibri"/>
          <w:kern w:val="0"/>
          <w:sz w:val="24"/>
        </w:rPr>
        <w:t>blood and CSF are necessary and helpful for early and differential diagnoses.</w:t>
      </w:r>
    </w:p>
    <w:p w:rsidR="00E75155" w:rsidRPr="00BE56E1" w:rsidRDefault="00F813D0" w:rsidP="00A94B7E">
      <w:pPr>
        <w:spacing w:line="360" w:lineRule="auto"/>
        <w:ind w:firstLineChars="100" w:firstLine="240"/>
        <w:rPr>
          <w:rFonts w:ascii="Book Antiqua" w:eastAsia="SimSun" w:hAnsi="Book Antiqua" w:cs="Calibri"/>
          <w:kern w:val="0"/>
          <w:sz w:val="24"/>
        </w:rPr>
      </w:pP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most frequently presents as acute bacterial meningitis, less commonly as meningoencephalitis, and least commonly as rhombencephalitis, accounting for approximatel</w:t>
      </w:r>
      <w:r w:rsidR="00A94B7E">
        <w:rPr>
          <w:rFonts w:ascii="Book Antiqua" w:eastAsia="SimSun" w:hAnsi="Book Antiqua" w:cs="Calibri"/>
          <w:kern w:val="0"/>
          <w:sz w:val="24"/>
        </w:rPr>
        <w:t>y 10% of neurolisteriosis cases</w:t>
      </w:r>
      <w:r w:rsidRPr="00BE56E1">
        <w:rPr>
          <w:rFonts w:ascii="Book Antiqua" w:eastAsia="SimSun" w:hAnsi="Book Antiqua" w:cs="Calibri"/>
          <w:kern w:val="0"/>
          <w:sz w:val="24"/>
          <w:vertAlign w:val="superscript"/>
        </w:rPr>
        <w:t>[12,13]</w:t>
      </w:r>
      <w:r w:rsidRPr="00BE56E1">
        <w:rPr>
          <w:rFonts w:ascii="Book Antiqua" w:eastAsia="SimSun" w:hAnsi="Book Antiqua" w:cs="Calibri"/>
          <w:kern w:val="0"/>
          <w:sz w:val="24"/>
        </w:rPr>
        <w:t xml:space="preserve">. Although the exact mechanism of rhombencephalitis remains poorly understood,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has a well-known predilection for the brainstem. Karlsson </w:t>
      </w:r>
      <w:r w:rsidR="00A94B7E">
        <w:rPr>
          <w:rFonts w:ascii="Book Antiqua" w:eastAsia="SimSun" w:hAnsi="Book Antiqua" w:cs="Calibri"/>
          <w:i/>
          <w:iCs/>
          <w:kern w:val="0"/>
          <w:sz w:val="24"/>
        </w:rPr>
        <w:t>et al</w:t>
      </w:r>
      <w:r w:rsidRPr="00BE56E1">
        <w:rPr>
          <w:rFonts w:ascii="Book Antiqua" w:eastAsia="SimSun" w:hAnsi="Book Antiqua" w:cs="Calibri"/>
          <w:kern w:val="0"/>
          <w:sz w:val="24"/>
          <w:vertAlign w:val="superscript"/>
        </w:rPr>
        <w:t>[9]</w:t>
      </w:r>
      <w:r w:rsidRPr="00BE56E1">
        <w:rPr>
          <w:rFonts w:ascii="Book Antiqua" w:eastAsia="SimSun" w:hAnsi="Book Antiqua" w:cs="Calibri"/>
          <w:kern w:val="0"/>
          <w:sz w:val="24"/>
        </w:rPr>
        <w:t xml:space="preserve"> reviewed 120 patients with </w:t>
      </w:r>
      <w:r w:rsidRPr="00BE56E1">
        <w:rPr>
          <w:rFonts w:ascii="Book Antiqua" w:eastAsia="SimSun" w:hAnsi="Book Antiqua" w:cs="Calibri"/>
          <w:i/>
          <w:iCs/>
          <w:kern w:val="0"/>
          <w:sz w:val="24"/>
        </w:rPr>
        <w:t>Listeria</w:t>
      </w:r>
      <w:r w:rsidRPr="00BE56E1">
        <w:rPr>
          <w:rFonts w:ascii="Book Antiqua" w:eastAsia="SimSun" w:hAnsi="Book Antiqua" w:cs="Calibri"/>
          <w:kern w:val="0"/>
          <w:sz w:val="24"/>
        </w:rPr>
        <w:t xml:space="preserve"> rhombencephalitis and suggested that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enters the cerebellopontine angle through the trigeminal nerve in a subset of patients, invading the brainstem via the sensory trigeminal nuclei. As MRI is superior to CT for detecting subtentorial abnormal lesions, it has become more helpful for diagnosing rhombencephalitis, which has a high signal on T2-FLAIR sequences.</w:t>
      </w:r>
    </w:p>
    <w:p w:rsidR="00E75155" w:rsidRPr="00BE56E1" w:rsidRDefault="00F813D0" w:rsidP="00A94B7E">
      <w:pPr>
        <w:spacing w:line="360" w:lineRule="auto"/>
        <w:ind w:firstLineChars="100" w:firstLine="240"/>
        <w:rPr>
          <w:rFonts w:ascii="Book Antiqua" w:eastAsia="SimSun" w:hAnsi="Book Antiqua" w:cs="Calibri"/>
          <w:kern w:val="0"/>
          <w:sz w:val="24"/>
        </w:rPr>
      </w:pP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complications, such as acute hydrocephalus, hemorrhage, brain abscess, spine abscess, cerebritis, and ventriculitis, can develop, and the mortality associated with these complications is significantly high. Hydrocephalus is most common in tuberculous encephalitis but rare in listeriosis, with an approximate 3% incidence of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meningoe</w:t>
      </w:r>
      <w:r w:rsidR="00A94B7E">
        <w:rPr>
          <w:rFonts w:ascii="Book Antiqua" w:eastAsia="SimSun" w:hAnsi="Book Antiqua" w:cs="Calibri"/>
          <w:kern w:val="0"/>
          <w:sz w:val="24"/>
        </w:rPr>
        <w:t>ncephalitis in adults</w:t>
      </w:r>
      <w:r w:rsidRPr="00BE56E1">
        <w:rPr>
          <w:rFonts w:ascii="Book Antiqua" w:eastAsia="SimSun" w:hAnsi="Book Antiqua" w:cs="Calibri"/>
          <w:kern w:val="0"/>
          <w:sz w:val="24"/>
          <w:vertAlign w:val="superscript"/>
        </w:rPr>
        <w:t>[13]</w:t>
      </w:r>
      <w:r w:rsidRPr="00BE56E1">
        <w:rPr>
          <w:rFonts w:ascii="Book Antiqua" w:eastAsia="SimSun" w:hAnsi="Book Antiqua" w:cs="Calibri"/>
          <w:kern w:val="0"/>
          <w:sz w:val="24"/>
        </w:rPr>
        <w:t>. The exact mechanism of hydrocephalus remains unclear. The development of meningitis-associated hydrocephalus may be due to several mechanisms, such as a high level of CSF protein, impaired CSF absorption due to the obliteration of the subarachnoid space by meningeal exudates, and/or blockade of the CSF pathway</w:t>
      </w:r>
      <w:r w:rsidR="00A94B7E">
        <w:rPr>
          <w:rFonts w:ascii="Book Antiqua" w:eastAsia="SimSun" w:hAnsi="Book Antiqua" w:cs="Calibri"/>
          <w:kern w:val="0"/>
          <w:sz w:val="24"/>
        </w:rPr>
        <w:t xml:space="preserve"> by leptomeningeal inflammation</w:t>
      </w:r>
      <w:r w:rsidRPr="00BE56E1">
        <w:rPr>
          <w:rFonts w:ascii="Book Antiqua" w:eastAsia="SimSun" w:hAnsi="Book Antiqua" w:cs="Calibri"/>
          <w:kern w:val="0"/>
          <w:sz w:val="24"/>
          <w:vertAlign w:val="superscript"/>
        </w:rPr>
        <w:t>[20]</w:t>
      </w:r>
      <w:r w:rsidRPr="00BE56E1">
        <w:rPr>
          <w:rFonts w:ascii="Book Antiqua" w:eastAsia="SimSun" w:hAnsi="Book Antiqua" w:cs="Calibri"/>
          <w:kern w:val="0"/>
          <w:sz w:val="24"/>
        </w:rPr>
        <w:t xml:space="preserve">. </w:t>
      </w:r>
    </w:p>
    <w:p w:rsidR="00E75155" w:rsidRPr="00BE56E1" w:rsidRDefault="00F813D0" w:rsidP="00A94B7E">
      <w:pPr>
        <w:spacing w:line="360" w:lineRule="auto"/>
        <w:ind w:firstLineChars="100" w:firstLine="240"/>
        <w:rPr>
          <w:rFonts w:ascii="Book Antiqua" w:eastAsia="SimSun" w:hAnsi="Book Antiqua" w:cs="Calibri"/>
          <w:kern w:val="0"/>
          <w:sz w:val="24"/>
        </w:rPr>
      </w:pPr>
      <w:bookmarkStart w:id="42" w:name="OLE_LINK15"/>
      <w:r w:rsidRPr="00BE56E1">
        <w:rPr>
          <w:rFonts w:ascii="Book Antiqua" w:eastAsia="SimSun" w:hAnsi="Book Antiqua" w:cs="Calibri"/>
          <w:kern w:val="0"/>
          <w:sz w:val="24"/>
        </w:rPr>
        <w:t xml:space="preserve">Retrospective analysis of hydrocephalus due to listeriosis is scarce at present, and most of the literature consists of case reports. The time to onset of hydrocephalus </w:t>
      </w:r>
      <w:bookmarkEnd w:id="42"/>
      <w:r w:rsidRPr="00BE56E1">
        <w:rPr>
          <w:rFonts w:ascii="Book Antiqua" w:eastAsia="SimSun" w:hAnsi="Book Antiqua" w:cs="Calibri"/>
          <w:kern w:val="0"/>
          <w:sz w:val="24"/>
        </w:rPr>
        <w:t>varies greatly</w:t>
      </w:r>
      <w:r w:rsidR="00A94B7E">
        <w:rPr>
          <w:rFonts w:ascii="Book Antiqua" w:eastAsia="SimSun" w:hAnsi="Book Antiqua" w:cs="Calibri"/>
          <w:kern w:val="0"/>
          <w:sz w:val="24"/>
        </w:rPr>
        <w:t>, ranging from 1 d to 9 wk</w:t>
      </w:r>
      <w:r w:rsidRPr="00BE56E1">
        <w:rPr>
          <w:rFonts w:ascii="Book Antiqua" w:eastAsia="SimSun" w:hAnsi="Book Antiqua" w:cs="Calibri"/>
          <w:kern w:val="0"/>
          <w:sz w:val="24"/>
          <w:vertAlign w:val="superscript"/>
        </w:rPr>
        <w:t>[20,21]</w:t>
      </w:r>
      <w:r w:rsidRPr="00BE56E1">
        <w:rPr>
          <w:rFonts w:ascii="Book Antiqua" w:eastAsia="SimSun" w:hAnsi="Book Antiqua" w:cs="Calibri"/>
          <w:kern w:val="0"/>
          <w:sz w:val="24"/>
        </w:rPr>
        <w:t>. Ventricular drainage may not be an effective way to relieve hyd</w:t>
      </w:r>
      <w:r w:rsidR="00A94B7E">
        <w:rPr>
          <w:rFonts w:ascii="Book Antiqua" w:eastAsia="SimSun" w:hAnsi="Book Antiqua" w:cs="Calibri"/>
          <w:kern w:val="0"/>
          <w:sz w:val="24"/>
        </w:rPr>
        <w:t>rocephalus and improve survival</w:t>
      </w:r>
      <w:r w:rsidRPr="00BE56E1">
        <w:rPr>
          <w:rFonts w:ascii="Book Antiqua" w:eastAsia="SimSun" w:hAnsi="Book Antiqua" w:cs="Calibri"/>
          <w:kern w:val="0"/>
          <w:sz w:val="24"/>
          <w:vertAlign w:val="superscript"/>
        </w:rPr>
        <w:t>[12,14]</w:t>
      </w:r>
      <w:r w:rsidRPr="00BE56E1">
        <w:rPr>
          <w:rFonts w:ascii="Book Antiqua" w:eastAsia="SimSun" w:hAnsi="Book Antiqua" w:cs="Calibri"/>
          <w:kern w:val="0"/>
          <w:sz w:val="24"/>
        </w:rPr>
        <w:t xml:space="preserve">. A study from the Netherlands reviewed 26 hydrocephalus cases in 577 bacterial meningitis patients </w:t>
      </w:r>
      <w:r w:rsidRPr="00BE56E1">
        <w:rPr>
          <w:rFonts w:ascii="Book Antiqua" w:eastAsia="SimSun" w:hAnsi="Book Antiqua" w:cs="Calibri"/>
          <w:kern w:val="0"/>
          <w:sz w:val="24"/>
        </w:rPr>
        <w:lastRenderedPageBreak/>
        <w:t xml:space="preserve">(4.5%), including 4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(15%), all of whom underwent placement of an exte</w:t>
      </w:r>
      <w:r w:rsidR="00A94B7E">
        <w:rPr>
          <w:rFonts w:ascii="Book Antiqua" w:eastAsia="SimSun" w:hAnsi="Book Antiqua" w:cs="Calibri"/>
          <w:kern w:val="0"/>
          <w:sz w:val="24"/>
        </w:rPr>
        <w:t>rnal ventricular drain catheter</w:t>
      </w:r>
      <w:r w:rsidRPr="00BE56E1">
        <w:rPr>
          <w:rFonts w:ascii="Book Antiqua" w:eastAsia="SimSun" w:hAnsi="Book Antiqua" w:cs="Calibri"/>
          <w:kern w:val="0"/>
          <w:sz w:val="24"/>
          <w:vertAlign w:val="superscript"/>
        </w:rPr>
        <w:t>[14]</w:t>
      </w:r>
      <w:r w:rsidRPr="00BE56E1">
        <w:rPr>
          <w:rFonts w:ascii="Book Antiqua" w:eastAsia="SimSun" w:hAnsi="Book Antiqua" w:cs="Calibri"/>
          <w:kern w:val="0"/>
          <w:sz w:val="24"/>
        </w:rPr>
        <w:t>. None of these patients improved clinically after catheter placement, and all had poor outcomes for hydrocephalus, with 3 deaths (75%) and 1 serious sequela (25%), thus indicating that patients with hydrocephalus were at high risk for unfavorable outcomes and that hydrocephalus was an in</w:t>
      </w:r>
      <w:r w:rsidR="00A94B7E">
        <w:rPr>
          <w:rFonts w:ascii="Book Antiqua" w:eastAsia="SimSun" w:hAnsi="Book Antiqua" w:cs="Calibri"/>
          <w:kern w:val="0"/>
          <w:sz w:val="24"/>
        </w:rPr>
        <w:t>dependent risk factor for death</w:t>
      </w:r>
      <w:r w:rsidRPr="00BE56E1">
        <w:rPr>
          <w:rFonts w:ascii="Book Antiqua" w:eastAsia="SimSun" w:hAnsi="Book Antiqua" w:cs="Calibri"/>
          <w:kern w:val="0"/>
          <w:sz w:val="24"/>
          <w:vertAlign w:val="superscript"/>
        </w:rPr>
        <w:t>[14]</w:t>
      </w:r>
      <w:r w:rsidRPr="00BE56E1">
        <w:rPr>
          <w:rFonts w:ascii="Book Antiqua" w:eastAsia="SimSun" w:hAnsi="Book Antiqua" w:cs="Calibri"/>
          <w:kern w:val="0"/>
          <w:sz w:val="24"/>
        </w:rPr>
        <w:t>. In our case, the patient underwent ventricular drainage, but a continuous improvement in cognitive function was not obvious.</w:t>
      </w:r>
    </w:p>
    <w:p w:rsidR="00E75155" w:rsidRPr="00BE56E1" w:rsidRDefault="00F813D0" w:rsidP="00A94B7E">
      <w:pPr>
        <w:widowControl/>
        <w:spacing w:line="360" w:lineRule="auto"/>
        <w:ind w:firstLineChars="100" w:firstLine="240"/>
        <w:rPr>
          <w:rFonts w:ascii="Book Antiqua" w:eastAsia="SimSun" w:hAnsi="Book Antiqua" w:cs="Calibri"/>
          <w:kern w:val="0"/>
          <w:sz w:val="24"/>
        </w:rPr>
      </w:pPr>
      <w:r w:rsidRPr="00BE56E1">
        <w:rPr>
          <w:rFonts w:ascii="Book Antiqua" w:eastAsia="SimSun" w:hAnsi="Book Antiqua" w:cs="Calibri"/>
          <w:kern w:val="0"/>
          <w:sz w:val="24"/>
        </w:rPr>
        <w:t xml:space="preserve">Another rare complication of </w:t>
      </w:r>
      <w:r w:rsidRPr="00BE56E1">
        <w:rPr>
          <w:rFonts w:ascii="Book Antiqua" w:eastAsia="SimSun" w:hAnsi="Book Antiqua" w:cs="Calibri"/>
          <w:i/>
          <w:iCs/>
          <w:kern w:val="0"/>
          <w:sz w:val="24"/>
        </w:rPr>
        <w:t>Listeria</w:t>
      </w:r>
      <w:r w:rsidRPr="00BE56E1">
        <w:rPr>
          <w:rFonts w:ascii="Book Antiqua" w:eastAsia="SimSun" w:hAnsi="Book Antiqua" w:cs="Calibri"/>
          <w:kern w:val="0"/>
          <w:sz w:val="24"/>
        </w:rPr>
        <w:t xml:space="preserve"> meningitis is intracranial hemorrhage, which is also one of the deter</w:t>
      </w:r>
      <w:r w:rsidR="00A94B7E">
        <w:rPr>
          <w:rFonts w:ascii="Book Antiqua" w:eastAsia="SimSun" w:hAnsi="Book Antiqua" w:cs="Calibri"/>
          <w:kern w:val="0"/>
          <w:sz w:val="24"/>
        </w:rPr>
        <w:t>minants of unfavorable outcomes</w:t>
      </w:r>
      <w:r w:rsidRPr="00BE56E1">
        <w:rPr>
          <w:rFonts w:ascii="Book Antiqua" w:eastAsia="SimSun" w:hAnsi="Book Antiqua" w:cs="Calibri"/>
          <w:kern w:val="0"/>
          <w:sz w:val="24"/>
          <w:vertAlign w:val="superscript"/>
        </w:rPr>
        <w:t>[2]</w:t>
      </w:r>
      <w:r w:rsidRPr="00BE56E1">
        <w:rPr>
          <w:rFonts w:ascii="Book Antiqua" w:eastAsia="SimSun" w:hAnsi="Book Antiqua" w:cs="Calibri"/>
          <w:kern w:val="0"/>
          <w:sz w:val="24"/>
        </w:rPr>
        <w:t xml:space="preserve">. Most reported cases of intracranial hemorrhage occur in infants and young children, while the condition is quite rare in adults. Svarea </w:t>
      </w:r>
      <w:r w:rsidRPr="00BE56E1">
        <w:rPr>
          <w:rFonts w:ascii="Book Antiqua" w:eastAsia="SimSun" w:hAnsi="Book Antiqua" w:cs="Calibri"/>
          <w:i/>
          <w:iCs/>
          <w:kern w:val="0"/>
          <w:sz w:val="24"/>
        </w:rPr>
        <w:t>et al</w:t>
      </w:r>
      <w:r w:rsidR="00A94B7E" w:rsidRPr="00BE56E1">
        <w:rPr>
          <w:rFonts w:ascii="Book Antiqua" w:eastAsia="SimSun" w:hAnsi="Book Antiqua" w:cs="Calibri"/>
          <w:kern w:val="0"/>
          <w:sz w:val="24"/>
          <w:vertAlign w:val="superscript"/>
        </w:rPr>
        <w:t>[22]</w:t>
      </w:r>
      <w:r w:rsidRPr="00BE56E1">
        <w:rPr>
          <w:rFonts w:ascii="Book Antiqua" w:eastAsia="SimSun" w:hAnsi="Book Antiqua" w:cs="Calibri"/>
          <w:kern w:val="0"/>
          <w:sz w:val="24"/>
        </w:rPr>
        <w:t xml:space="preserve"> reported a case of maternal listeriosis resulting in preterm delivery and intraventricular hemorrhage, which was diagnosed by an ultrasound scan. In a prospective study of 860 episodes with bacterial meningitis in the Netherlands, 24 (2.79%) were diagnosed with intracranial hemorrhage, with </w:t>
      </w:r>
      <w:r w:rsidRPr="00BE56E1">
        <w:rPr>
          <w:rFonts w:ascii="Book Antiqua" w:eastAsia="SimSun" w:hAnsi="Book Antiqua" w:cs="Calibri"/>
          <w:i/>
          <w:iCs/>
          <w:kern w:val="0"/>
          <w:sz w:val="24"/>
        </w:rPr>
        <w:t>S. pneumoniae</w:t>
      </w:r>
      <w:r w:rsidRPr="00BE56E1">
        <w:rPr>
          <w:rFonts w:ascii="Book Antiqua" w:eastAsia="SimSun" w:hAnsi="Book Antiqua" w:cs="Calibri"/>
          <w:kern w:val="0"/>
          <w:sz w:val="24"/>
        </w:rPr>
        <w:t xml:space="preserve"> accounting for 67% and </w:t>
      </w:r>
      <w:r w:rsidRPr="00BE56E1">
        <w:rPr>
          <w:rFonts w:ascii="Book Antiqua" w:eastAsia="SimSun" w:hAnsi="Book Antiqua" w:cs="Calibri"/>
          <w:i/>
          <w:iCs/>
          <w:kern w:val="0"/>
          <w:sz w:val="24"/>
        </w:rPr>
        <w:t>L. monocytogenes</w:t>
      </w:r>
      <w:r w:rsidR="00A94B7E">
        <w:rPr>
          <w:rFonts w:ascii="Book Antiqua" w:eastAsia="SimSun" w:hAnsi="Book Antiqua" w:cs="Calibri"/>
          <w:kern w:val="0"/>
          <w:sz w:val="24"/>
        </w:rPr>
        <w:t xml:space="preserve"> accounting for 4%</w:t>
      </w:r>
      <w:r w:rsidRPr="00BE56E1">
        <w:rPr>
          <w:rFonts w:ascii="Book Antiqua" w:eastAsia="SimSun" w:hAnsi="Book Antiqua" w:cs="Calibri"/>
          <w:kern w:val="0"/>
          <w:sz w:val="24"/>
          <w:vertAlign w:val="superscript"/>
        </w:rPr>
        <w:t>[2]</w:t>
      </w:r>
      <w:r w:rsidRPr="00BE56E1">
        <w:rPr>
          <w:rFonts w:ascii="Book Antiqua" w:eastAsia="SimSun" w:hAnsi="Book Antiqua" w:cs="Calibri"/>
          <w:kern w:val="0"/>
          <w:sz w:val="24"/>
        </w:rPr>
        <w:t xml:space="preserve">. The underlying pathophysiology of intraventricular hemorrhage in </w:t>
      </w:r>
      <w:r w:rsidRPr="00BE56E1">
        <w:rPr>
          <w:rFonts w:ascii="Book Antiqua" w:eastAsia="SimSun" w:hAnsi="Book Antiqua" w:cs="Calibri"/>
          <w:i/>
          <w:iCs/>
          <w:kern w:val="0"/>
          <w:sz w:val="24"/>
        </w:rPr>
        <w:t>L</w:t>
      </w:r>
      <w:r w:rsidRPr="00BE56E1">
        <w:rPr>
          <w:rFonts w:ascii="Book Antiqua" w:eastAsia="SimSun" w:hAnsi="Book Antiqua" w:cs="Calibri"/>
          <w:kern w:val="0"/>
          <w:sz w:val="24"/>
        </w:rPr>
        <w:t xml:space="preserve">. </w:t>
      </w:r>
      <w:r w:rsidRPr="00BE56E1">
        <w:rPr>
          <w:rFonts w:ascii="Book Antiqua" w:eastAsia="SimSun" w:hAnsi="Book Antiqua" w:cs="Calibri"/>
          <w:i/>
          <w:iCs/>
          <w:kern w:val="0"/>
          <w:sz w:val="24"/>
        </w:rPr>
        <w:t>monocytogenes</w:t>
      </w:r>
      <w:r w:rsidRPr="00BE56E1">
        <w:rPr>
          <w:rFonts w:ascii="Book Antiqua" w:eastAsia="SimSun" w:hAnsi="Book Antiqua" w:cs="Calibri"/>
          <w:kern w:val="0"/>
          <w:sz w:val="24"/>
        </w:rPr>
        <w:t xml:space="preserve"> is still unknown and may be related to dysregulation of both the coagulation and fibrinolytic pathways and to vascular endotheli</w:t>
      </w:r>
      <w:r w:rsidR="00A94B7E">
        <w:rPr>
          <w:rFonts w:ascii="Book Antiqua" w:eastAsia="SimSun" w:hAnsi="Book Antiqua" w:cs="Calibri"/>
          <w:kern w:val="0"/>
          <w:sz w:val="24"/>
        </w:rPr>
        <w:t>al cell swelling and activation</w:t>
      </w:r>
      <w:r w:rsidRPr="00BE56E1">
        <w:rPr>
          <w:rFonts w:ascii="Book Antiqua" w:eastAsia="SimSun" w:hAnsi="Book Antiqua" w:cs="Calibri"/>
          <w:kern w:val="0"/>
          <w:sz w:val="24"/>
          <w:vertAlign w:val="superscript"/>
        </w:rPr>
        <w:t>[2]</w:t>
      </w:r>
      <w:r w:rsidRPr="00BE56E1">
        <w:rPr>
          <w:rFonts w:ascii="Book Antiqua" w:eastAsia="SimSun" w:hAnsi="Book Antiqua" w:cs="Calibri"/>
          <w:kern w:val="0"/>
          <w:sz w:val="24"/>
        </w:rPr>
        <w:t>.</w:t>
      </w:r>
    </w:p>
    <w:p w:rsidR="00E75155" w:rsidRPr="00BE56E1" w:rsidRDefault="00F813D0" w:rsidP="00A94B7E">
      <w:pPr>
        <w:widowControl/>
        <w:spacing w:line="360" w:lineRule="auto"/>
        <w:ind w:firstLineChars="100" w:firstLine="240"/>
        <w:rPr>
          <w:rStyle w:val="fontstyle21"/>
          <w:rFonts w:ascii="Book Antiqua" w:hAnsi="Book Antiqua" w:cs="Calibri"/>
          <w:color w:val="auto"/>
          <w:sz w:val="24"/>
          <w:szCs w:val="24"/>
        </w:rPr>
      </w:pPr>
      <w:r w:rsidRPr="00BE56E1">
        <w:rPr>
          <w:rStyle w:val="fontstyle21"/>
          <w:rFonts w:ascii="Book Antiqua" w:hAnsi="Book Antiqua" w:cs="Calibri"/>
          <w:color w:val="auto"/>
          <w:sz w:val="24"/>
          <w:szCs w:val="24"/>
        </w:rPr>
        <w:t xml:space="preserve">An empirical therapy </w:t>
      </w:r>
      <w:r w:rsidRPr="00BE56E1">
        <w:rPr>
          <w:rStyle w:val="fontstyle21"/>
          <w:rFonts w:ascii="Book Antiqua" w:eastAsia="SimSun" w:hAnsi="Book Antiqua" w:cs="Calibri"/>
          <w:color w:val="auto"/>
          <w:sz w:val="24"/>
          <w:szCs w:val="24"/>
        </w:rPr>
        <w:t>for</w:t>
      </w:r>
      <w:r w:rsidRPr="00BE56E1">
        <w:rPr>
          <w:rStyle w:val="fontstyle21"/>
          <w:rFonts w:ascii="Book Antiqua" w:hAnsi="Book Antiqua" w:cs="Calibri"/>
          <w:color w:val="auto"/>
          <w:sz w:val="24"/>
          <w:szCs w:val="24"/>
        </w:rPr>
        <w:t xml:space="preserve"> bacterial meningitis, generally</w:t>
      </w:r>
      <w:r w:rsidRPr="00BE56E1">
        <w:rPr>
          <w:rStyle w:val="fontstyle21"/>
          <w:rFonts w:ascii="Book Antiqua" w:eastAsia="SimSun" w:hAnsi="Book Antiqua" w:cs="Calibri"/>
          <w:color w:val="auto"/>
          <w:sz w:val="24"/>
          <w:szCs w:val="24"/>
        </w:rPr>
        <w:t xml:space="preserve"> </w:t>
      </w:r>
      <w:r w:rsidRPr="00BE56E1">
        <w:rPr>
          <w:rStyle w:val="fontstyle21"/>
          <w:rFonts w:ascii="Book Antiqua" w:hAnsi="Book Antiqua" w:cs="Calibri"/>
          <w:color w:val="auto"/>
          <w:sz w:val="24"/>
          <w:szCs w:val="24"/>
        </w:rPr>
        <w:t>third-generation cephalosporins</w:t>
      </w:r>
      <w:r w:rsidRPr="00BE56E1">
        <w:rPr>
          <w:rStyle w:val="fontstyle21"/>
          <w:rFonts w:ascii="Book Antiqua" w:eastAsia="SimSun" w:hAnsi="Book Antiqua" w:cs="Calibri"/>
          <w:color w:val="auto"/>
          <w:sz w:val="24"/>
          <w:szCs w:val="24"/>
        </w:rPr>
        <w:t>,</w:t>
      </w:r>
      <w:r w:rsidRPr="00BE56E1">
        <w:rPr>
          <w:rStyle w:val="fontstyle21"/>
          <w:rFonts w:ascii="Book Antiqua" w:hAnsi="Book Antiqua" w:cs="Calibri"/>
          <w:color w:val="auto"/>
          <w:sz w:val="24"/>
          <w:szCs w:val="24"/>
        </w:rPr>
        <w:t xml:space="preserve"> is always applied at </w:t>
      </w:r>
      <w:r w:rsidRPr="00BE56E1">
        <w:rPr>
          <w:rStyle w:val="fontstyle21"/>
          <w:rFonts w:ascii="Book Antiqua" w:eastAsia="SimSun" w:hAnsi="Book Antiqua" w:cs="Calibri"/>
          <w:color w:val="auto"/>
          <w:sz w:val="24"/>
          <w:szCs w:val="24"/>
        </w:rPr>
        <w:t xml:space="preserve">an </w:t>
      </w:r>
      <w:r w:rsidRPr="00BE56E1">
        <w:rPr>
          <w:rStyle w:val="fontstyle21"/>
          <w:rFonts w:ascii="Book Antiqua" w:hAnsi="Book Antiqua" w:cs="Calibri"/>
          <w:color w:val="auto"/>
          <w:sz w:val="24"/>
          <w:szCs w:val="24"/>
        </w:rPr>
        <w:t>early stage when bacterial meningitis is susp</w:t>
      </w:r>
      <w:r w:rsidRPr="00BE56E1">
        <w:rPr>
          <w:rStyle w:val="fontstyle21"/>
          <w:rFonts w:ascii="Book Antiqua" w:eastAsia="SimSun" w:hAnsi="Book Antiqua" w:cs="Calibri"/>
          <w:color w:val="auto"/>
          <w:sz w:val="24"/>
          <w:szCs w:val="24"/>
        </w:rPr>
        <w:t>ected</w:t>
      </w:r>
      <w:r w:rsidRPr="00BE56E1">
        <w:rPr>
          <w:rStyle w:val="fontstyle21"/>
          <w:rFonts w:ascii="Book Antiqua" w:hAnsi="Book Antiqua" w:cs="Calibri"/>
          <w:color w:val="auto"/>
          <w:sz w:val="24"/>
          <w:szCs w:val="24"/>
        </w:rPr>
        <w:t xml:space="preserve">. However, this treatment option does not cover </w:t>
      </w:r>
      <w:r w:rsidRPr="00BE56E1">
        <w:rPr>
          <w:rFonts w:ascii="Book Antiqua" w:eastAsia="SimSun" w:hAnsi="Book Antiqua" w:cs="Calibri"/>
          <w:i/>
          <w:iCs/>
          <w:kern w:val="0"/>
          <w:sz w:val="24"/>
        </w:rPr>
        <w:t>L</w:t>
      </w:r>
      <w:r w:rsidRPr="00BE56E1">
        <w:rPr>
          <w:rFonts w:ascii="Book Antiqua" w:eastAsia="SimSun" w:hAnsi="Book Antiqua" w:cs="Calibri"/>
          <w:kern w:val="0"/>
          <w:sz w:val="24"/>
        </w:rPr>
        <w:t>.</w:t>
      </w:r>
      <w:r w:rsidRPr="00BE56E1">
        <w:rPr>
          <w:rFonts w:ascii="Book Antiqua" w:eastAsia="SimSun" w:hAnsi="Book Antiqua" w:cs="Calibri"/>
          <w:i/>
          <w:iCs/>
          <w:kern w:val="0"/>
          <w:sz w:val="24"/>
        </w:rPr>
        <w:t xml:space="preserve"> monocytogenes</w:t>
      </w:r>
      <w:r w:rsidRPr="00BE56E1">
        <w:rPr>
          <w:rStyle w:val="fontstyle21"/>
          <w:rFonts w:ascii="Book Antiqua" w:hAnsi="Book Antiqua" w:cs="Calibri"/>
          <w:color w:val="auto"/>
          <w:sz w:val="24"/>
          <w:szCs w:val="24"/>
        </w:rPr>
        <w:t xml:space="preserve">. Former publications have demonstrated </w:t>
      </w:r>
      <w:r w:rsidRPr="00BE56E1">
        <w:rPr>
          <w:rStyle w:val="fontstyle21"/>
          <w:rFonts w:ascii="Book Antiqua" w:eastAsia="SimSun" w:hAnsi="Book Antiqua" w:cs="Calibri"/>
          <w:color w:val="auto"/>
          <w:sz w:val="24"/>
          <w:szCs w:val="24"/>
        </w:rPr>
        <w:t xml:space="preserve">that </w:t>
      </w:r>
      <w:r w:rsidRPr="00BE56E1">
        <w:rPr>
          <w:rStyle w:val="fontstyle21"/>
          <w:rFonts w:ascii="Book Antiqua" w:hAnsi="Book Antiqua" w:cs="Calibri"/>
          <w:color w:val="auto"/>
          <w:sz w:val="24"/>
          <w:szCs w:val="24"/>
        </w:rPr>
        <w:t>inappropriate empirical antibiotic therapy leads to unfavorable outcome</w:t>
      </w:r>
      <w:r w:rsidRPr="00BE56E1">
        <w:rPr>
          <w:rStyle w:val="fontstyle21"/>
          <w:rFonts w:ascii="Book Antiqua" w:eastAsia="SimSun" w:hAnsi="Book Antiqua" w:cs="Calibri"/>
          <w:color w:val="auto"/>
          <w:sz w:val="24"/>
          <w:szCs w:val="24"/>
        </w:rPr>
        <w:t>s</w:t>
      </w:r>
      <w:r w:rsidRPr="00BE56E1">
        <w:rPr>
          <w:rFonts w:ascii="Book Antiqua" w:eastAsia="SimSun" w:hAnsi="Book Antiqua" w:cs="Calibri"/>
          <w:kern w:val="0"/>
          <w:sz w:val="24"/>
          <w:vertAlign w:val="superscript"/>
        </w:rPr>
        <w:t>[23</w:t>
      </w:r>
      <w:r w:rsidRPr="00BE56E1">
        <w:rPr>
          <w:rStyle w:val="fontstyle21"/>
          <w:rFonts w:ascii="Book Antiqua" w:hAnsi="Book Antiqua" w:cs="Calibri"/>
          <w:color w:val="auto"/>
          <w:sz w:val="24"/>
          <w:szCs w:val="24"/>
          <w:vertAlign w:val="superscript"/>
        </w:rPr>
        <w:t>]</w:t>
      </w:r>
      <w:r w:rsidRPr="00BE56E1">
        <w:rPr>
          <w:rStyle w:val="fontstyle21"/>
          <w:rFonts w:ascii="Book Antiqua" w:hAnsi="Book Antiqua" w:cs="Calibri"/>
          <w:color w:val="auto"/>
          <w:sz w:val="24"/>
          <w:szCs w:val="24"/>
        </w:rPr>
        <w:t xml:space="preserve">. Therefore, </w:t>
      </w:r>
      <w:r w:rsidRPr="00BE56E1">
        <w:rPr>
          <w:rStyle w:val="fontstyle21"/>
          <w:rFonts w:ascii="Book Antiqua" w:eastAsia="SimSun" w:hAnsi="Book Antiqua" w:cs="Calibri"/>
          <w:color w:val="auto"/>
          <w:sz w:val="24"/>
          <w:szCs w:val="24"/>
        </w:rPr>
        <w:t>i</w:t>
      </w:r>
      <w:r w:rsidRPr="00BE56E1">
        <w:rPr>
          <w:rStyle w:val="fontstyle21"/>
          <w:rFonts w:ascii="Book Antiqua" w:hAnsi="Book Antiqua" w:cs="Calibri"/>
          <w:color w:val="auto"/>
          <w:sz w:val="24"/>
          <w:szCs w:val="24"/>
        </w:rPr>
        <w:t xml:space="preserve">t is very important to adjust </w:t>
      </w:r>
      <w:r w:rsidRPr="00BE56E1">
        <w:rPr>
          <w:rStyle w:val="fontstyle21"/>
          <w:rFonts w:ascii="Book Antiqua" w:eastAsia="SimSun" w:hAnsi="Book Antiqua" w:cs="Calibri"/>
          <w:color w:val="auto"/>
          <w:sz w:val="24"/>
          <w:szCs w:val="24"/>
        </w:rPr>
        <w:t xml:space="preserve">the </w:t>
      </w:r>
      <w:r w:rsidRPr="00BE56E1">
        <w:rPr>
          <w:rStyle w:val="fontstyle21"/>
          <w:rFonts w:ascii="Book Antiqua" w:hAnsi="Book Antiqua" w:cs="Calibri"/>
          <w:color w:val="auto"/>
          <w:sz w:val="24"/>
          <w:szCs w:val="24"/>
        </w:rPr>
        <w:t xml:space="preserve">appropriate antibiotic therapy as soon as possible once </w:t>
      </w:r>
      <w:r w:rsidRPr="00BE56E1">
        <w:rPr>
          <w:rStyle w:val="fontstyle21"/>
          <w:rFonts w:ascii="Book Antiqua" w:eastAsia="SimSun" w:hAnsi="Book Antiqua" w:cs="Calibri"/>
          <w:i/>
          <w:iCs/>
          <w:color w:val="auto"/>
          <w:sz w:val="24"/>
          <w:szCs w:val="24"/>
        </w:rPr>
        <w:t>L</w:t>
      </w:r>
      <w:r w:rsidRPr="00BE56E1">
        <w:rPr>
          <w:rStyle w:val="fontstyle21"/>
          <w:rFonts w:ascii="Book Antiqua" w:hAnsi="Book Antiqua" w:cs="Calibri"/>
          <w:i/>
          <w:iCs/>
          <w:color w:val="auto"/>
          <w:sz w:val="24"/>
          <w:szCs w:val="24"/>
        </w:rPr>
        <w:t>isteria</w:t>
      </w:r>
      <w:r w:rsidRPr="00BE56E1">
        <w:rPr>
          <w:rStyle w:val="fontstyle21"/>
          <w:rFonts w:ascii="Book Antiqua" w:hAnsi="Book Antiqua" w:cs="Calibri"/>
          <w:color w:val="auto"/>
          <w:sz w:val="24"/>
          <w:szCs w:val="24"/>
        </w:rPr>
        <w:t xml:space="preserve"> is highly suspected or confirmed. </w:t>
      </w:r>
    </w:p>
    <w:p w:rsidR="00E75155" w:rsidRPr="00BE56E1" w:rsidRDefault="00F813D0" w:rsidP="003208B4">
      <w:pPr>
        <w:pStyle w:val="CommentText"/>
        <w:spacing w:line="360" w:lineRule="auto"/>
        <w:ind w:firstLineChars="100" w:firstLine="240"/>
        <w:jc w:val="both"/>
        <w:rPr>
          <w:rStyle w:val="fontstyle21"/>
          <w:rFonts w:ascii="Book Antiqua" w:hAnsi="Book Antiqua" w:cs="Calibri"/>
          <w:color w:val="auto"/>
          <w:sz w:val="24"/>
          <w:szCs w:val="24"/>
        </w:rPr>
      </w:pPr>
      <w:r w:rsidRPr="00BE56E1">
        <w:rPr>
          <w:rStyle w:val="fontstyle21"/>
          <w:rFonts w:ascii="Book Antiqua" w:hAnsi="Book Antiqua" w:cs="Calibri"/>
          <w:i/>
          <w:iCs/>
          <w:color w:val="auto"/>
          <w:sz w:val="24"/>
          <w:szCs w:val="24"/>
        </w:rPr>
        <w:t>Listeria</w:t>
      </w:r>
      <w:r w:rsidRPr="00BE56E1">
        <w:rPr>
          <w:rStyle w:val="fontstyle21"/>
          <w:rFonts w:ascii="Book Antiqua" w:hAnsi="Book Antiqua" w:cs="Calibri"/>
          <w:color w:val="auto"/>
          <w:sz w:val="24"/>
          <w:szCs w:val="24"/>
        </w:rPr>
        <w:t xml:space="preserve"> is known to be difficult to treat</w:t>
      </w:r>
      <w:r w:rsidRPr="00BE56E1">
        <w:rPr>
          <w:rStyle w:val="fontstyle21"/>
          <w:rFonts w:ascii="Book Antiqua" w:eastAsia="SimSun" w:hAnsi="Book Antiqua" w:cs="Calibri"/>
          <w:color w:val="auto"/>
          <w:sz w:val="24"/>
          <w:szCs w:val="24"/>
        </w:rPr>
        <w:t>,</w:t>
      </w:r>
      <w:r w:rsidRPr="00BE56E1">
        <w:rPr>
          <w:rStyle w:val="fontstyle21"/>
          <w:rFonts w:ascii="Book Antiqua" w:hAnsi="Book Antiqua" w:cs="Calibri"/>
          <w:color w:val="auto"/>
          <w:sz w:val="24"/>
          <w:szCs w:val="24"/>
        </w:rPr>
        <w:t xml:space="preserve"> not only because </w:t>
      </w:r>
      <w:r w:rsidRPr="00BE56E1">
        <w:rPr>
          <w:rStyle w:val="fontstyle21"/>
          <w:rFonts w:ascii="Book Antiqua" w:hAnsi="Book Antiqua" w:cs="Calibri"/>
          <w:i/>
          <w:iCs/>
          <w:color w:val="auto"/>
          <w:sz w:val="24"/>
          <w:szCs w:val="24"/>
        </w:rPr>
        <w:t>L. monocytogenes</w:t>
      </w:r>
      <w:r w:rsidRPr="00BE56E1">
        <w:rPr>
          <w:rStyle w:val="fontstyle21"/>
          <w:rFonts w:ascii="Book Antiqua" w:hAnsi="Book Antiqua" w:cs="Calibri"/>
          <w:color w:val="auto"/>
          <w:sz w:val="24"/>
          <w:szCs w:val="24"/>
        </w:rPr>
        <w:t xml:space="preserve"> has an intracellular life cycle but also because only a few antibiotics demons</w:t>
      </w:r>
      <w:r w:rsidR="003208B4">
        <w:rPr>
          <w:rStyle w:val="fontstyle21"/>
          <w:rFonts w:ascii="Book Antiqua" w:hAnsi="Book Antiqua" w:cs="Calibri"/>
          <w:color w:val="auto"/>
          <w:sz w:val="24"/>
          <w:szCs w:val="24"/>
        </w:rPr>
        <w:t>trate activity against listeria</w:t>
      </w:r>
      <w:r w:rsidRPr="00BE56E1">
        <w:rPr>
          <w:rStyle w:val="fontstyle21"/>
          <w:rFonts w:ascii="Book Antiqua" w:hAnsi="Book Antiqua" w:cs="Calibri"/>
          <w:color w:val="auto"/>
          <w:sz w:val="24"/>
          <w:szCs w:val="24"/>
          <w:vertAlign w:val="superscript"/>
        </w:rPr>
        <w:t>[24]</w:t>
      </w:r>
      <w:r w:rsidRPr="00BE56E1">
        <w:rPr>
          <w:rStyle w:val="fontstyle21"/>
          <w:rFonts w:ascii="Book Antiqua" w:hAnsi="Book Antiqua" w:cs="Calibri"/>
          <w:color w:val="auto"/>
          <w:sz w:val="24"/>
          <w:szCs w:val="24"/>
        </w:rPr>
        <w:t>. Due to the lack of multicenter clinical control</w:t>
      </w:r>
      <w:r w:rsidRPr="00BE56E1">
        <w:rPr>
          <w:rStyle w:val="fontstyle21"/>
          <w:rFonts w:ascii="Book Antiqua" w:eastAsia="SimSun" w:hAnsi="Book Antiqua" w:cs="Calibri"/>
          <w:color w:val="auto"/>
          <w:sz w:val="24"/>
          <w:szCs w:val="24"/>
        </w:rPr>
        <w:t xml:space="preserve">led </w:t>
      </w:r>
      <w:r w:rsidRPr="00BE56E1">
        <w:rPr>
          <w:rStyle w:val="fontstyle21"/>
          <w:rFonts w:ascii="Book Antiqua" w:hAnsi="Book Antiqua" w:cs="Calibri"/>
          <w:color w:val="auto"/>
          <w:sz w:val="24"/>
          <w:szCs w:val="24"/>
        </w:rPr>
        <w:t xml:space="preserve">studies, the optimal antibiotic regimen and duration for neurolisteriosis have not been definitively defined. However, amoxicillin, ampicillin or penicillin G are generally considered effective regimens </w:t>
      </w:r>
      <w:r w:rsidR="003208B4">
        <w:rPr>
          <w:rStyle w:val="fontstyle21"/>
          <w:rFonts w:ascii="Book Antiqua" w:hAnsi="Book Antiqua" w:cs="Calibri"/>
          <w:color w:val="auto"/>
          <w:sz w:val="24"/>
          <w:szCs w:val="24"/>
        </w:rPr>
        <w:t>in the treatment of listeriosis</w:t>
      </w:r>
      <w:r w:rsidRPr="00BE56E1">
        <w:rPr>
          <w:rStyle w:val="fontstyle21"/>
          <w:rFonts w:ascii="Book Antiqua" w:hAnsi="Book Antiqua" w:cs="Calibri"/>
          <w:color w:val="auto"/>
          <w:sz w:val="24"/>
          <w:szCs w:val="24"/>
          <w:vertAlign w:val="superscript"/>
        </w:rPr>
        <w:t>[2</w:t>
      </w:r>
      <w:r w:rsidRPr="00BE56E1">
        <w:rPr>
          <w:rStyle w:val="fontstyle21"/>
          <w:rFonts w:ascii="Book Antiqua" w:eastAsia="SimSun" w:hAnsi="Book Antiqua" w:cs="Calibri"/>
          <w:color w:val="auto"/>
          <w:sz w:val="24"/>
          <w:szCs w:val="24"/>
          <w:vertAlign w:val="superscript"/>
        </w:rPr>
        <w:t>4</w:t>
      </w:r>
      <w:r w:rsidRPr="00BE56E1">
        <w:rPr>
          <w:rStyle w:val="fontstyle21"/>
          <w:rFonts w:ascii="Book Antiqua" w:hAnsi="Book Antiqua" w:cs="Calibri"/>
          <w:color w:val="auto"/>
          <w:sz w:val="24"/>
          <w:szCs w:val="24"/>
          <w:vertAlign w:val="superscript"/>
        </w:rPr>
        <w:t>]</w:t>
      </w:r>
      <w:r w:rsidRPr="00BE56E1">
        <w:rPr>
          <w:rStyle w:val="fontstyle21"/>
          <w:rFonts w:ascii="Book Antiqua" w:hAnsi="Book Antiqua" w:cs="Calibri"/>
          <w:color w:val="auto"/>
          <w:sz w:val="24"/>
          <w:szCs w:val="24"/>
        </w:rPr>
        <w:t xml:space="preserve">. The addition of </w:t>
      </w:r>
      <w:r w:rsidRPr="00BE56E1">
        <w:rPr>
          <w:rStyle w:val="fontstyle21"/>
          <w:rFonts w:ascii="Book Antiqua" w:hAnsi="Book Antiqua" w:cs="Calibri"/>
          <w:color w:val="auto"/>
          <w:sz w:val="24"/>
          <w:szCs w:val="24"/>
        </w:rPr>
        <w:lastRenderedPageBreak/>
        <w:t xml:space="preserve">aminoglycosides (such as gentamicin) could be considered as a treatment regimen for </w:t>
      </w:r>
      <w:r w:rsidRPr="00BE56E1">
        <w:rPr>
          <w:rStyle w:val="fontstyle21"/>
          <w:rFonts w:ascii="Book Antiqua" w:hAnsi="Book Antiqua" w:cs="Calibri"/>
          <w:i/>
          <w:iCs/>
          <w:color w:val="auto"/>
          <w:sz w:val="24"/>
          <w:szCs w:val="24"/>
        </w:rPr>
        <w:t>L. monocytogenes</w:t>
      </w:r>
      <w:r w:rsidRPr="00BE56E1">
        <w:rPr>
          <w:rStyle w:val="fontstyle21"/>
          <w:rFonts w:ascii="Book Antiqua" w:hAnsi="Book Antiqua" w:cs="Calibri"/>
          <w:color w:val="auto"/>
          <w:sz w:val="24"/>
          <w:szCs w:val="24"/>
        </w:rPr>
        <w:t xml:space="preserve"> meningitis, but it</w:t>
      </w:r>
      <w:r w:rsidRPr="00BE56E1">
        <w:rPr>
          <w:rStyle w:val="fontstyle21"/>
          <w:rFonts w:ascii="Book Antiqua" w:eastAsia="SimSun" w:hAnsi="Book Antiqua" w:cs="Calibri"/>
          <w:color w:val="auto"/>
          <w:sz w:val="24"/>
          <w:szCs w:val="24"/>
        </w:rPr>
        <w:t xml:space="preserve">s use </w:t>
      </w:r>
      <w:r w:rsidRPr="00BE56E1">
        <w:rPr>
          <w:rStyle w:val="fontstyle21"/>
          <w:rFonts w:ascii="Book Antiqua" w:hAnsi="Book Antiqua" w:cs="Calibri"/>
          <w:color w:val="auto"/>
          <w:sz w:val="24"/>
          <w:szCs w:val="24"/>
        </w:rPr>
        <w:t>remains controversial due to the occurrence of</w:t>
      </w:r>
      <w:r w:rsidRPr="00BE56E1">
        <w:rPr>
          <w:rStyle w:val="fontstyle21"/>
          <w:rFonts w:ascii="Book Antiqua" w:eastAsia="SimSun" w:hAnsi="Book Antiqua" w:cs="Calibri"/>
          <w:color w:val="auto"/>
          <w:sz w:val="24"/>
          <w:szCs w:val="24"/>
        </w:rPr>
        <w:t xml:space="preserve"> </w:t>
      </w:r>
      <w:r w:rsidR="003208B4">
        <w:rPr>
          <w:rStyle w:val="fontstyle21"/>
          <w:rFonts w:ascii="Book Antiqua" w:hAnsi="Book Antiqua" w:cs="Calibri"/>
          <w:color w:val="auto"/>
          <w:sz w:val="24"/>
          <w:szCs w:val="24"/>
        </w:rPr>
        <w:t>kidney damage</w:t>
      </w:r>
      <w:r w:rsidRPr="00BE56E1">
        <w:rPr>
          <w:rStyle w:val="fontstyle21"/>
          <w:rFonts w:ascii="Book Antiqua" w:hAnsi="Book Antiqua" w:cs="Calibri"/>
          <w:color w:val="auto"/>
          <w:sz w:val="24"/>
          <w:szCs w:val="24"/>
          <w:vertAlign w:val="superscript"/>
        </w:rPr>
        <w:t>[2</w:t>
      </w:r>
      <w:r w:rsidRPr="00BE56E1">
        <w:rPr>
          <w:rStyle w:val="fontstyle21"/>
          <w:rFonts w:ascii="Book Antiqua" w:eastAsia="SimSun" w:hAnsi="Book Antiqua" w:cs="Calibri"/>
          <w:color w:val="auto"/>
          <w:sz w:val="24"/>
          <w:szCs w:val="24"/>
          <w:vertAlign w:val="superscript"/>
        </w:rPr>
        <w:t>4</w:t>
      </w:r>
      <w:r w:rsidRPr="00BE56E1">
        <w:rPr>
          <w:rStyle w:val="fontstyle21"/>
          <w:rFonts w:ascii="Book Antiqua" w:hAnsi="Book Antiqua" w:cs="Calibri"/>
          <w:color w:val="auto"/>
          <w:sz w:val="24"/>
          <w:szCs w:val="24"/>
          <w:vertAlign w:val="superscript"/>
        </w:rPr>
        <w:t>]</w:t>
      </w:r>
      <w:r w:rsidRPr="00BE56E1">
        <w:rPr>
          <w:rStyle w:val="fontstyle21"/>
          <w:rFonts w:ascii="Book Antiqua" w:hAnsi="Book Antiqua" w:cs="Calibri"/>
          <w:color w:val="auto"/>
          <w:sz w:val="24"/>
          <w:szCs w:val="24"/>
        </w:rPr>
        <w:t>. The drugs should be applied at high doses, and the duration of this treatment should be extended to 21 d or longer, until complete eradication</w:t>
      </w:r>
      <w:r w:rsidRPr="00BE56E1">
        <w:rPr>
          <w:rStyle w:val="fontstyle21"/>
          <w:rFonts w:ascii="Book Antiqua" w:eastAsia="SimSun" w:hAnsi="Book Antiqua" w:cs="Calibri"/>
          <w:color w:val="auto"/>
          <w:sz w:val="24"/>
          <w:szCs w:val="24"/>
        </w:rPr>
        <w:t>,</w:t>
      </w:r>
      <w:r w:rsidR="003208B4">
        <w:rPr>
          <w:rStyle w:val="fontstyle21"/>
          <w:rFonts w:ascii="Book Antiqua" w:hAnsi="Book Antiqua" w:cs="Calibri"/>
          <w:color w:val="auto"/>
          <w:sz w:val="24"/>
          <w:szCs w:val="24"/>
        </w:rPr>
        <w:t xml:space="preserve"> to prevent relapse</w:t>
      </w:r>
      <w:r w:rsidRPr="00BE56E1">
        <w:rPr>
          <w:rStyle w:val="fontstyle21"/>
          <w:rFonts w:ascii="Book Antiqua" w:hAnsi="Book Antiqua" w:cs="Calibri"/>
          <w:color w:val="auto"/>
          <w:sz w:val="24"/>
          <w:szCs w:val="24"/>
          <w:vertAlign w:val="superscript"/>
        </w:rPr>
        <w:t>[24]</w:t>
      </w:r>
      <w:r w:rsidRPr="00BE56E1">
        <w:rPr>
          <w:rStyle w:val="fontstyle21"/>
          <w:rFonts w:ascii="Book Antiqua" w:hAnsi="Book Antiqua" w:cs="Calibri"/>
          <w:color w:val="auto"/>
          <w:sz w:val="24"/>
          <w:szCs w:val="24"/>
        </w:rPr>
        <w:t xml:space="preserve">. Furthermore, cotrimoxazole, rifampin, meropenem, linezolid, tetracyclines and moxifloxacin should also be considered as active against </w:t>
      </w:r>
      <w:r w:rsidRPr="00BE56E1">
        <w:rPr>
          <w:rStyle w:val="fontstyle21"/>
          <w:rFonts w:ascii="Book Antiqua" w:hAnsi="Book Antiqua" w:cs="Calibri"/>
          <w:i/>
          <w:iCs/>
          <w:color w:val="auto"/>
          <w:sz w:val="24"/>
          <w:szCs w:val="24"/>
        </w:rPr>
        <w:t>Listeria</w:t>
      </w:r>
      <w:r w:rsidRPr="00BE56E1">
        <w:rPr>
          <w:rStyle w:val="fontstyle21"/>
          <w:rFonts w:ascii="Book Antiqua" w:hAnsi="Book Antiqua" w:cs="Calibri"/>
          <w:color w:val="auto"/>
          <w:sz w:val="24"/>
          <w:szCs w:val="24"/>
          <w:vertAlign w:val="superscript"/>
        </w:rPr>
        <w:t>[2</w:t>
      </w:r>
      <w:r w:rsidRPr="00BE56E1">
        <w:rPr>
          <w:rStyle w:val="fontstyle21"/>
          <w:rFonts w:ascii="Book Antiqua" w:eastAsia="SimSun" w:hAnsi="Book Antiqua" w:cs="Calibri"/>
          <w:color w:val="auto"/>
          <w:sz w:val="24"/>
          <w:szCs w:val="24"/>
          <w:vertAlign w:val="superscript"/>
        </w:rPr>
        <w:t>3</w:t>
      </w:r>
      <w:r w:rsidRPr="00BE56E1">
        <w:rPr>
          <w:rStyle w:val="fontstyle21"/>
          <w:rFonts w:ascii="Book Antiqua" w:hAnsi="Book Antiqua" w:cs="Calibri"/>
          <w:color w:val="auto"/>
          <w:sz w:val="24"/>
          <w:szCs w:val="24"/>
          <w:vertAlign w:val="superscript"/>
        </w:rPr>
        <w:t>]</w:t>
      </w:r>
      <w:r w:rsidRPr="00BE56E1">
        <w:rPr>
          <w:rStyle w:val="fontstyle21"/>
          <w:rFonts w:ascii="Book Antiqua" w:hAnsi="Book Antiqua" w:cs="Calibri"/>
          <w:color w:val="auto"/>
          <w:sz w:val="24"/>
          <w:szCs w:val="24"/>
        </w:rPr>
        <w:t>. In our patient, the combination of ampicillin, etimicin and meropenem w</w:t>
      </w:r>
      <w:r w:rsidRPr="00BE56E1">
        <w:rPr>
          <w:rStyle w:val="fontstyle21"/>
          <w:rFonts w:ascii="Book Antiqua" w:eastAsia="SimSun" w:hAnsi="Book Antiqua" w:cs="Calibri"/>
          <w:color w:val="auto"/>
          <w:sz w:val="24"/>
          <w:szCs w:val="24"/>
        </w:rPr>
        <w:t>as</w:t>
      </w:r>
      <w:r w:rsidRPr="00BE56E1">
        <w:rPr>
          <w:rStyle w:val="fontstyle21"/>
          <w:rFonts w:ascii="Book Antiqua" w:hAnsi="Book Antiqua" w:cs="Calibri"/>
          <w:color w:val="auto"/>
          <w:sz w:val="24"/>
          <w:szCs w:val="24"/>
        </w:rPr>
        <w:t xml:space="preserve"> used to against </w:t>
      </w:r>
      <w:r w:rsidRPr="00BE56E1">
        <w:rPr>
          <w:rStyle w:val="fontstyle21"/>
          <w:rFonts w:ascii="Book Antiqua" w:hAnsi="Book Antiqua" w:cs="Calibri"/>
          <w:i/>
          <w:iCs/>
          <w:color w:val="auto"/>
          <w:sz w:val="24"/>
          <w:szCs w:val="24"/>
        </w:rPr>
        <w:t>Listeria</w:t>
      </w:r>
      <w:r w:rsidRPr="00BE56E1">
        <w:rPr>
          <w:rStyle w:val="fontstyle21"/>
          <w:rFonts w:ascii="Book Antiqua" w:hAnsi="Book Antiqua" w:cs="Calibri"/>
          <w:color w:val="auto"/>
          <w:sz w:val="24"/>
          <w:szCs w:val="24"/>
        </w:rPr>
        <w:t xml:space="preserve">, and it was proven effective by repeated CSF examinations (Table </w:t>
      </w:r>
      <w:r w:rsidR="003071D2">
        <w:rPr>
          <w:rStyle w:val="fontstyle21"/>
          <w:rFonts w:ascii="Book Antiqua" w:hAnsi="Book Antiqua" w:cs="Calibri" w:hint="eastAsia"/>
          <w:color w:val="auto"/>
          <w:sz w:val="24"/>
          <w:szCs w:val="24"/>
        </w:rPr>
        <w:t>3</w:t>
      </w:r>
      <w:r w:rsidRPr="00BE56E1">
        <w:rPr>
          <w:rStyle w:val="fontstyle21"/>
          <w:rFonts w:ascii="Book Antiqua" w:hAnsi="Book Antiqua" w:cs="Calibri"/>
          <w:color w:val="auto"/>
          <w:sz w:val="24"/>
          <w:szCs w:val="24"/>
        </w:rPr>
        <w:t xml:space="preserve">). </w:t>
      </w:r>
    </w:p>
    <w:p w:rsidR="00E75155" w:rsidRPr="00BE56E1" w:rsidRDefault="00E75155" w:rsidP="00BE56E1">
      <w:pPr>
        <w:spacing w:line="360" w:lineRule="auto"/>
        <w:rPr>
          <w:rStyle w:val="fontstyle21"/>
          <w:rFonts w:ascii="Book Antiqua" w:eastAsiaTheme="minorEastAsia" w:hAnsi="Book Antiqua" w:cs="Calibri"/>
          <w:color w:val="auto"/>
          <w:sz w:val="24"/>
          <w:szCs w:val="24"/>
        </w:rPr>
      </w:pPr>
    </w:p>
    <w:p w:rsidR="00E75155" w:rsidRPr="00BE56E1" w:rsidRDefault="00F813D0" w:rsidP="00BE56E1">
      <w:pPr>
        <w:spacing w:line="360" w:lineRule="auto"/>
        <w:rPr>
          <w:rStyle w:val="fontstyle21"/>
          <w:rFonts w:ascii="Book Antiqua" w:eastAsiaTheme="minorEastAsia" w:hAnsi="Book Antiqua" w:cs="Calibri"/>
          <w:color w:val="auto"/>
          <w:sz w:val="24"/>
          <w:szCs w:val="24"/>
        </w:rPr>
      </w:pPr>
      <w:r w:rsidRPr="00BE56E1">
        <w:rPr>
          <w:rFonts w:ascii="Book Antiqua" w:hAnsi="Book Antiqua"/>
          <w:b/>
          <w:sz w:val="24"/>
        </w:rPr>
        <w:t>CONCLUSION</w:t>
      </w:r>
      <w:r w:rsidRPr="00BE56E1">
        <w:rPr>
          <w:rStyle w:val="fontstyle21"/>
          <w:rFonts w:ascii="Book Antiqua" w:hAnsi="Book Antiqua" w:cs="Calibri"/>
          <w:color w:val="auto"/>
          <w:sz w:val="24"/>
          <w:szCs w:val="24"/>
        </w:rPr>
        <w:t xml:space="preserve"> </w:t>
      </w:r>
    </w:p>
    <w:p w:rsidR="00E75155" w:rsidRPr="00BE56E1" w:rsidRDefault="00F813D0" w:rsidP="00BE56E1">
      <w:pPr>
        <w:spacing w:line="360" w:lineRule="auto"/>
        <w:rPr>
          <w:rFonts w:ascii="Book Antiqua" w:hAnsi="Book Antiqua" w:cs="Calibri"/>
          <w:sz w:val="24"/>
        </w:rPr>
      </w:pPr>
      <w:r w:rsidRPr="00BE56E1">
        <w:rPr>
          <w:rStyle w:val="fontstyle21"/>
          <w:rFonts w:ascii="Book Antiqua" w:eastAsiaTheme="minorEastAsia" w:hAnsi="Book Antiqua" w:cs="Calibri"/>
          <w:color w:val="auto"/>
          <w:sz w:val="24"/>
          <w:szCs w:val="24"/>
        </w:rPr>
        <w:t>W</w:t>
      </w:r>
      <w:r w:rsidRPr="00BE56E1">
        <w:rPr>
          <w:rStyle w:val="fontstyle21"/>
          <w:rFonts w:ascii="Book Antiqua" w:hAnsi="Book Antiqua" w:cs="Calibri"/>
          <w:color w:val="auto"/>
          <w:sz w:val="24"/>
          <w:szCs w:val="24"/>
        </w:rPr>
        <w:t>e report a case of acute hydrocephalus</w:t>
      </w:r>
      <w:r w:rsidRPr="00BE56E1">
        <w:rPr>
          <w:rStyle w:val="fontstyle01"/>
          <w:rFonts w:ascii="Book Antiqua" w:eastAsia="SimSun" w:hAnsi="Book Antiqua" w:cs="Calibri"/>
          <w:color w:val="auto"/>
          <w:sz w:val="24"/>
          <w:szCs w:val="24"/>
        </w:rPr>
        <w:t xml:space="preserve"> and intracranial hemorrhage due to complications from </w:t>
      </w:r>
      <w:r w:rsidRPr="00BE56E1">
        <w:rPr>
          <w:rStyle w:val="fontstyle01"/>
          <w:rFonts w:ascii="Book Antiqua" w:eastAsia="SimSun" w:hAnsi="Book Antiqua" w:cs="Calibri"/>
          <w:i/>
          <w:iCs/>
          <w:color w:val="auto"/>
          <w:sz w:val="24"/>
          <w:szCs w:val="24"/>
        </w:rPr>
        <w:t>L</w:t>
      </w:r>
      <w:r w:rsidRPr="00BE56E1">
        <w:rPr>
          <w:rStyle w:val="fontstyle01"/>
          <w:rFonts w:ascii="Book Antiqua" w:eastAsia="SimSun" w:hAnsi="Book Antiqua" w:cs="Calibri"/>
          <w:color w:val="auto"/>
          <w:sz w:val="24"/>
          <w:szCs w:val="24"/>
        </w:rPr>
        <w:t xml:space="preserve">. </w:t>
      </w:r>
      <w:r w:rsidRPr="00BE56E1">
        <w:rPr>
          <w:rStyle w:val="fontstyle01"/>
          <w:rFonts w:ascii="Book Antiqua" w:eastAsia="SimSun" w:hAnsi="Book Antiqua" w:cs="Calibri"/>
          <w:i/>
          <w:iCs/>
          <w:color w:val="auto"/>
          <w:sz w:val="24"/>
          <w:szCs w:val="24"/>
        </w:rPr>
        <w:t>monocytogenes</w:t>
      </w:r>
      <w:r w:rsidRPr="00BE56E1">
        <w:rPr>
          <w:rStyle w:val="fontstyle01"/>
          <w:rFonts w:ascii="Book Antiqua" w:eastAsia="SimSun" w:hAnsi="Book Antiqua" w:cs="Calibri"/>
          <w:color w:val="auto"/>
          <w:sz w:val="24"/>
          <w:szCs w:val="24"/>
        </w:rPr>
        <w:t xml:space="preserve"> rhombencephalitis. </w:t>
      </w:r>
      <w:r w:rsidRPr="00BE56E1">
        <w:rPr>
          <w:rFonts w:ascii="Book Antiqua" w:eastAsia="SimSun" w:hAnsi="Book Antiqua" w:cs="Calibri"/>
          <w:kern w:val="0"/>
          <w:sz w:val="24"/>
        </w:rPr>
        <w:t xml:space="preserve">The pathogenesis of complications has been reviewed. </w:t>
      </w:r>
      <w:r w:rsidRPr="00BE56E1">
        <w:rPr>
          <w:rFonts w:ascii="Book Antiqua" w:eastAsia="SimSun" w:hAnsi="Book Antiqua" w:cs="Calibri"/>
          <w:i/>
          <w:iCs/>
          <w:kern w:val="0"/>
          <w:sz w:val="24"/>
        </w:rPr>
        <w:t>L. monocytogenes</w:t>
      </w:r>
      <w:r w:rsidRPr="00BE56E1">
        <w:rPr>
          <w:rFonts w:ascii="Book Antiqua" w:eastAsia="SimSun" w:hAnsi="Book Antiqua" w:cs="Calibri"/>
          <w:kern w:val="0"/>
          <w:sz w:val="24"/>
        </w:rPr>
        <w:t xml:space="preserve"> may be prone to entering the brainstem through the trigeminal nerve; hydrocephalus may be close with a high level of CSF protein and impaired CSF absorption and circulation; the occurrence of intracranial hemorrhage may be related to dysregulation of both the coagulation and fibrinolytic pathways and to vascular endothelial cell swelling and activation.</w:t>
      </w:r>
      <w:r w:rsidRPr="00BE56E1">
        <w:rPr>
          <w:rStyle w:val="fontstyle21"/>
          <w:rFonts w:ascii="Book Antiqua" w:hAnsi="Book Antiqua" w:cs="Calibri"/>
          <w:color w:val="auto"/>
          <w:sz w:val="24"/>
          <w:szCs w:val="24"/>
        </w:rPr>
        <w:t xml:space="preserve"> Hydrocephalus, </w:t>
      </w:r>
      <w:r w:rsidRPr="00BE56E1">
        <w:rPr>
          <w:rStyle w:val="fontstyle01"/>
          <w:rFonts w:ascii="Book Antiqua" w:eastAsia="SimSun" w:hAnsi="Book Antiqua" w:cs="Calibri"/>
          <w:color w:val="auto"/>
          <w:sz w:val="24"/>
          <w:szCs w:val="24"/>
        </w:rPr>
        <w:t>intracranial hemorrhage</w:t>
      </w:r>
      <w:r w:rsidRPr="00BE56E1">
        <w:rPr>
          <w:rFonts w:ascii="Book Antiqua" w:eastAsia="SimSun" w:hAnsi="Book Antiqua" w:cs="Calibri"/>
          <w:kern w:val="0"/>
          <w:sz w:val="24"/>
        </w:rPr>
        <w:t xml:space="preserve"> and inappropriate antimicrobial treatment </w:t>
      </w:r>
      <w:r w:rsidRPr="00BE56E1">
        <w:rPr>
          <w:rStyle w:val="fontstyle01"/>
          <w:rFonts w:ascii="Book Antiqua" w:eastAsia="SimSun" w:hAnsi="Book Antiqua" w:cs="Calibri"/>
          <w:color w:val="auto"/>
          <w:sz w:val="24"/>
          <w:szCs w:val="24"/>
        </w:rPr>
        <w:t xml:space="preserve">are the </w:t>
      </w:r>
      <w:r w:rsidRPr="00BE56E1">
        <w:rPr>
          <w:rFonts w:ascii="Book Antiqua" w:eastAsia="SimSun" w:hAnsi="Book Antiqua" w:cs="Calibri"/>
          <w:kern w:val="0"/>
          <w:sz w:val="24"/>
        </w:rPr>
        <w:t>determinations of unfavorable outcomes.</w:t>
      </w:r>
      <w:r w:rsidRPr="00BE56E1">
        <w:rPr>
          <w:rFonts w:ascii="Book Antiqua" w:eastAsia="SimSun" w:hAnsi="Book Antiqua" w:cs="Calibri"/>
          <w:sz w:val="24"/>
        </w:rPr>
        <w:t xml:space="preserve"> </w:t>
      </w:r>
    </w:p>
    <w:p w:rsidR="003208B4" w:rsidRDefault="003208B4">
      <w:pPr>
        <w:widowControl/>
        <w:jc w:val="left"/>
        <w:rPr>
          <w:rFonts w:ascii="Book Antiqua" w:eastAsia="SimSun" w:hAnsi="Book Antiqua" w:cs="Calibri"/>
          <w:b/>
          <w:bCs/>
          <w:kern w:val="0"/>
          <w:sz w:val="24"/>
        </w:rPr>
      </w:pPr>
      <w:r>
        <w:rPr>
          <w:rFonts w:ascii="Book Antiqua" w:eastAsia="SimSun" w:hAnsi="Book Antiqua" w:cs="Calibri"/>
          <w:b/>
          <w:bCs/>
          <w:kern w:val="0"/>
          <w:sz w:val="24"/>
        </w:rPr>
        <w:br w:type="page"/>
      </w:r>
    </w:p>
    <w:p w:rsidR="00E75155" w:rsidRPr="007256CE" w:rsidRDefault="00F813D0" w:rsidP="007256CE">
      <w:pPr>
        <w:spacing w:line="360" w:lineRule="auto"/>
        <w:rPr>
          <w:rFonts w:ascii="Book Antiqua" w:eastAsia="SimSun" w:hAnsi="Book Antiqua" w:cs="Calibri"/>
          <w:bCs/>
          <w:kern w:val="0"/>
          <w:sz w:val="24"/>
        </w:rPr>
      </w:pPr>
      <w:r w:rsidRPr="007256CE">
        <w:rPr>
          <w:rFonts w:ascii="Book Antiqua" w:eastAsia="SimSun" w:hAnsi="Book Antiqua" w:cs="Calibri"/>
          <w:b/>
          <w:bCs/>
          <w:kern w:val="0"/>
          <w:sz w:val="24"/>
        </w:rPr>
        <w:lastRenderedPageBreak/>
        <w:t xml:space="preserve">REFERENCES </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 </w:t>
      </w:r>
      <w:r w:rsidRPr="007256CE">
        <w:rPr>
          <w:rFonts w:ascii="Book Antiqua" w:hAnsi="Book Antiqua"/>
          <w:b/>
          <w:sz w:val="24"/>
        </w:rPr>
        <w:t>Cossart P</w:t>
      </w:r>
      <w:r w:rsidRPr="007256CE">
        <w:rPr>
          <w:rFonts w:ascii="Book Antiqua" w:hAnsi="Book Antiqua"/>
          <w:sz w:val="24"/>
        </w:rPr>
        <w:t xml:space="preserve">. Interactions of the bacterial pathogen Listeria monocytogenes with mammalian cells: bacterial factors, cellular ligands, and signaling. </w:t>
      </w:r>
      <w:r w:rsidRPr="007256CE">
        <w:rPr>
          <w:rFonts w:ascii="Book Antiqua" w:hAnsi="Book Antiqua"/>
          <w:i/>
          <w:sz w:val="24"/>
        </w:rPr>
        <w:t xml:space="preserve">Folia Microbiol </w:t>
      </w:r>
      <w:r w:rsidRPr="007256CE">
        <w:rPr>
          <w:rFonts w:ascii="Book Antiqua" w:hAnsi="Book Antiqua"/>
          <w:sz w:val="24"/>
        </w:rPr>
        <w:t xml:space="preserve">(Praha) 1998; </w:t>
      </w:r>
      <w:r w:rsidRPr="007256CE">
        <w:rPr>
          <w:rFonts w:ascii="Book Antiqua" w:hAnsi="Book Antiqua"/>
          <w:b/>
          <w:sz w:val="24"/>
        </w:rPr>
        <w:t>43</w:t>
      </w:r>
      <w:r w:rsidRPr="007256CE">
        <w:rPr>
          <w:rFonts w:ascii="Book Antiqua" w:hAnsi="Book Antiqua"/>
          <w:sz w:val="24"/>
        </w:rPr>
        <w:t>: 291-303 [PMID: 9717257 DOI: 10.1007/BF02818615]</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 </w:t>
      </w:r>
      <w:r w:rsidRPr="007256CE">
        <w:rPr>
          <w:rFonts w:ascii="Book Antiqua" w:hAnsi="Book Antiqua"/>
          <w:b/>
          <w:sz w:val="24"/>
        </w:rPr>
        <w:t>Mook-Kanamori BB</w:t>
      </w:r>
      <w:r w:rsidRPr="007256CE">
        <w:rPr>
          <w:rFonts w:ascii="Book Antiqua" w:hAnsi="Book Antiqua"/>
          <w:sz w:val="24"/>
        </w:rPr>
        <w:t xml:space="preserve">, Fritz D, Brouwer MC, van der Ende A, van de Beek D. Intracerebral hemorrhages in adults with community associated bacterial meningitis in adults: should we reconsider anticoagulant therapy? </w:t>
      </w:r>
      <w:r w:rsidRPr="007256CE">
        <w:rPr>
          <w:rFonts w:ascii="Book Antiqua" w:hAnsi="Book Antiqua"/>
          <w:i/>
          <w:sz w:val="24"/>
        </w:rPr>
        <w:t>PLoS One</w:t>
      </w:r>
      <w:r w:rsidRPr="007256CE">
        <w:rPr>
          <w:rFonts w:ascii="Book Antiqua" w:hAnsi="Book Antiqua"/>
          <w:sz w:val="24"/>
        </w:rPr>
        <w:t xml:space="preserve"> 2012; </w:t>
      </w:r>
      <w:r w:rsidRPr="007256CE">
        <w:rPr>
          <w:rFonts w:ascii="Book Antiqua" w:hAnsi="Book Antiqua"/>
          <w:b/>
          <w:sz w:val="24"/>
        </w:rPr>
        <w:t>7</w:t>
      </w:r>
      <w:r w:rsidRPr="007256CE">
        <w:rPr>
          <w:rFonts w:ascii="Book Antiqua" w:hAnsi="Book Antiqua"/>
          <w:sz w:val="24"/>
        </w:rPr>
        <w:t>: e45271 [PMID: 23028898 DOI: 10.1371/journal.pone.0045271]</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 </w:t>
      </w:r>
      <w:r w:rsidRPr="007256CE">
        <w:rPr>
          <w:rFonts w:ascii="Book Antiqua" w:hAnsi="Book Antiqua"/>
          <w:b/>
          <w:sz w:val="24"/>
        </w:rPr>
        <w:t>Goulenok T</w:t>
      </w:r>
      <w:r w:rsidRPr="007256CE">
        <w:rPr>
          <w:rFonts w:ascii="Book Antiqua" w:hAnsi="Book Antiqua"/>
          <w:sz w:val="24"/>
        </w:rPr>
        <w:t xml:space="preserve">, Buzelé R, Duval X, Bruneel F, Stahl JP, Fantin B. Management of adult infectious encephalitis in metropolitan France. </w:t>
      </w:r>
      <w:r w:rsidRPr="007256CE">
        <w:rPr>
          <w:rFonts w:ascii="Book Antiqua" w:hAnsi="Book Antiqua"/>
          <w:i/>
          <w:sz w:val="24"/>
        </w:rPr>
        <w:t>Med Mal Infect</w:t>
      </w:r>
      <w:r w:rsidRPr="007256CE">
        <w:rPr>
          <w:rFonts w:ascii="Book Antiqua" w:hAnsi="Book Antiqua"/>
          <w:sz w:val="24"/>
        </w:rPr>
        <w:t xml:space="preserve"> 2017; </w:t>
      </w:r>
      <w:r w:rsidRPr="007256CE">
        <w:rPr>
          <w:rFonts w:ascii="Book Antiqua" w:hAnsi="Book Antiqua"/>
          <w:b/>
          <w:sz w:val="24"/>
        </w:rPr>
        <w:t>47</w:t>
      </w:r>
      <w:r w:rsidRPr="007256CE">
        <w:rPr>
          <w:rFonts w:ascii="Book Antiqua" w:hAnsi="Book Antiqua"/>
          <w:sz w:val="24"/>
        </w:rPr>
        <w:t>: 206-220 [PMID: 28336304 DOI: 10.1016/j.medmal.2017.01.006]</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4 </w:t>
      </w:r>
      <w:r w:rsidRPr="007256CE">
        <w:rPr>
          <w:rFonts w:ascii="Book Antiqua" w:hAnsi="Book Antiqua"/>
          <w:b/>
          <w:sz w:val="24"/>
        </w:rPr>
        <w:t>Dons L</w:t>
      </w:r>
      <w:r w:rsidRPr="007256CE">
        <w:rPr>
          <w:rFonts w:ascii="Book Antiqua" w:hAnsi="Book Antiqua"/>
          <w:sz w:val="24"/>
        </w:rPr>
        <w:t xml:space="preserve">, Jin Y, Kristensson K, Rottenberg ME. Axonal transport of Listeria monocytogenes and nerve-cell-induced bacterial killing. </w:t>
      </w:r>
      <w:r w:rsidRPr="007256CE">
        <w:rPr>
          <w:rFonts w:ascii="Book Antiqua" w:hAnsi="Book Antiqua"/>
          <w:i/>
          <w:sz w:val="24"/>
        </w:rPr>
        <w:t>J Neurosci Res</w:t>
      </w:r>
      <w:r w:rsidRPr="007256CE">
        <w:rPr>
          <w:rFonts w:ascii="Book Antiqua" w:hAnsi="Book Antiqua"/>
          <w:sz w:val="24"/>
        </w:rPr>
        <w:t xml:space="preserve"> 2007; </w:t>
      </w:r>
      <w:r w:rsidRPr="007256CE">
        <w:rPr>
          <w:rFonts w:ascii="Book Antiqua" w:hAnsi="Book Antiqua"/>
          <w:b/>
          <w:sz w:val="24"/>
        </w:rPr>
        <w:t>85</w:t>
      </w:r>
      <w:r w:rsidRPr="007256CE">
        <w:rPr>
          <w:rFonts w:ascii="Book Antiqua" w:hAnsi="Book Antiqua"/>
          <w:sz w:val="24"/>
        </w:rPr>
        <w:t>: 2529-2537 [PMID: 17387705 DOI: 10.1002/jnr.21256]</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5 </w:t>
      </w:r>
      <w:r w:rsidRPr="007256CE">
        <w:rPr>
          <w:rFonts w:ascii="Book Antiqua" w:hAnsi="Book Antiqua"/>
          <w:b/>
          <w:sz w:val="24"/>
        </w:rPr>
        <w:t>Ben Shimol S</w:t>
      </w:r>
      <w:r w:rsidRPr="007256CE">
        <w:rPr>
          <w:rFonts w:ascii="Book Antiqua" w:hAnsi="Book Antiqua"/>
          <w:sz w:val="24"/>
        </w:rPr>
        <w:t xml:space="preserve">, Einhorn M, Greenberg D. Listeria meningitis and ventriculitis in an immunocompetent child: case report and literature review. </w:t>
      </w:r>
      <w:r w:rsidRPr="007256CE">
        <w:rPr>
          <w:rFonts w:ascii="Book Antiqua" w:hAnsi="Book Antiqua"/>
          <w:i/>
          <w:sz w:val="24"/>
        </w:rPr>
        <w:t>Infection</w:t>
      </w:r>
      <w:r w:rsidRPr="007256CE">
        <w:rPr>
          <w:rFonts w:ascii="Book Antiqua" w:hAnsi="Book Antiqua"/>
          <w:sz w:val="24"/>
        </w:rPr>
        <w:t xml:space="preserve"> 2012; </w:t>
      </w:r>
      <w:r w:rsidRPr="007256CE">
        <w:rPr>
          <w:rFonts w:ascii="Book Antiqua" w:hAnsi="Book Antiqua"/>
          <w:b/>
          <w:sz w:val="24"/>
        </w:rPr>
        <w:t>40</w:t>
      </w:r>
      <w:r w:rsidRPr="007256CE">
        <w:rPr>
          <w:rFonts w:ascii="Book Antiqua" w:hAnsi="Book Antiqua"/>
          <w:sz w:val="24"/>
        </w:rPr>
        <w:t>: 207-211 [PMID: 21877182 DOI: 10.1007/s15010-011-0177-6]</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6 </w:t>
      </w:r>
      <w:r w:rsidRPr="007256CE">
        <w:rPr>
          <w:rFonts w:ascii="Book Antiqua" w:hAnsi="Book Antiqua"/>
          <w:b/>
          <w:sz w:val="24"/>
        </w:rPr>
        <w:t>Ulloa-Gutierrez R</w:t>
      </w:r>
      <w:r w:rsidRPr="007256CE">
        <w:rPr>
          <w:rFonts w:ascii="Book Antiqua" w:hAnsi="Book Antiqua"/>
          <w:sz w:val="24"/>
        </w:rPr>
        <w:t xml:space="preserve">, Avila-Agüero ML, Huertas E. Fulminant Listeria monocytogenes meningitis complicated with acute hydrocephalus in healthy children beyond the newborn period. </w:t>
      </w:r>
      <w:r w:rsidRPr="007256CE">
        <w:rPr>
          <w:rFonts w:ascii="Book Antiqua" w:hAnsi="Book Antiqua"/>
          <w:i/>
          <w:sz w:val="24"/>
        </w:rPr>
        <w:t>Pediatr Emerg Care</w:t>
      </w:r>
      <w:r w:rsidRPr="007256CE">
        <w:rPr>
          <w:rFonts w:ascii="Book Antiqua" w:hAnsi="Book Antiqua"/>
          <w:sz w:val="24"/>
        </w:rPr>
        <w:t xml:space="preserve"> 2004; </w:t>
      </w:r>
      <w:r w:rsidRPr="007256CE">
        <w:rPr>
          <w:rFonts w:ascii="Book Antiqua" w:hAnsi="Book Antiqua"/>
          <w:b/>
          <w:sz w:val="24"/>
        </w:rPr>
        <w:t>20</w:t>
      </w:r>
      <w:r w:rsidRPr="007256CE">
        <w:rPr>
          <w:rFonts w:ascii="Book Antiqua" w:hAnsi="Book Antiqua"/>
          <w:sz w:val="24"/>
        </w:rPr>
        <w:t>: 233-237 [PMID: 15057178 DOI: 10.1097/01.pec.0000121243.99242.a9]</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7 </w:t>
      </w:r>
      <w:r w:rsidRPr="007256CE">
        <w:rPr>
          <w:rFonts w:ascii="Book Antiqua" w:hAnsi="Book Antiqua"/>
          <w:b/>
          <w:sz w:val="24"/>
        </w:rPr>
        <w:t>Wang HL</w:t>
      </w:r>
      <w:r w:rsidRPr="007256CE">
        <w:rPr>
          <w:rFonts w:ascii="Book Antiqua" w:hAnsi="Book Antiqua"/>
          <w:sz w:val="24"/>
        </w:rPr>
        <w:t xml:space="preserve">, Ghanem KG, Wang P, Yang S, Li TS. Listeriosis at a tertiary care hospital in beijing, china: high prevalence of nonclustered healthcare-associated cases among adult patients. </w:t>
      </w:r>
      <w:r w:rsidRPr="007256CE">
        <w:rPr>
          <w:rFonts w:ascii="Book Antiqua" w:hAnsi="Book Antiqua"/>
          <w:i/>
          <w:sz w:val="24"/>
        </w:rPr>
        <w:t>Clin Infect Dis</w:t>
      </w:r>
      <w:r w:rsidRPr="007256CE">
        <w:rPr>
          <w:rFonts w:ascii="Book Antiqua" w:hAnsi="Book Antiqua"/>
          <w:sz w:val="24"/>
        </w:rPr>
        <w:t xml:space="preserve"> 2013; </w:t>
      </w:r>
      <w:r w:rsidRPr="007256CE">
        <w:rPr>
          <w:rFonts w:ascii="Book Antiqua" w:hAnsi="Book Antiqua"/>
          <w:b/>
          <w:sz w:val="24"/>
        </w:rPr>
        <w:t>56</w:t>
      </w:r>
      <w:r w:rsidRPr="007256CE">
        <w:rPr>
          <w:rFonts w:ascii="Book Antiqua" w:hAnsi="Book Antiqua"/>
          <w:sz w:val="24"/>
        </w:rPr>
        <w:t>: 666-676 [PMID: 23175565 DOI: 10.1093/cid/cis943]</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8 </w:t>
      </w:r>
      <w:r w:rsidRPr="007256CE">
        <w:rPr>
          <w:rFonts w:ascii="Book Antiqua" w:hAnsi="Book Antiqua"/>
          <w:b/>
          <w:sz w:val="24"/>
        </w:rPr>
        <w:t>Disson O</w:t>
      </w:r>
      <w:r w:rsidRPr="007256CE">
        <w:rPr>
          <w:rFonts w:ascii="Book Antiqua" w:hAnsi="Book Antiqua"/>
          <w:sz w:val="24"/>
        </w:rPr>
        <w:t xml:space="preserve">, Lecuit M. Targeting of the central nervous system by Listeria monocytogenes. </w:t>
      </w:r>
      <w:r w:rsidRPr="007256CE">
        <w:rPr>
          <w:rFonts w:ascii="Book Antiqua" w:hAnsi="Book Antiqua"/>
          <w:i/>
          <w:sz w:val="24"/>
        </w:rPr>
        <w:t>Virulence</w:t>
      </w:r>
      <w:r w:rsidRPr="007256CE">
        <w:rPr>
          <w:rFonts w:ascii="Book Antiqua" w:hAnsi="Book Antiqua"/>
          <w:sz w:val="24"/>
        </w:rPr>
        <w:t xml:space="preserve"> 2012; </w:t>
      </w:r>
      <w:r w:rsidRPr="007256CE">
        <w:rPr>
          <w:rFonts w:ascii="Book Antiqua" w:hAnsi="Book Antiqua"/>
          <w:b/>
          <w:sz w:val="24"/>
        </w:rPr>
        <w:t>3</w:t>
      </w:r>
      <w:r w:rsidRPr="007256CE">
        <w:rPr>
          <w:rFonts w:ascii="Book Antiqua" w:hAnsi="Book Antiqua"/>
          <w:sz w:val="24"/>
        </w:rPr>
        <w:t>: 213-221 [PMID: 22460636 DOI: 10.4161/viru.19586]</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9 </w:t>
      </w:r>
      <w:r w:rsidRPr="007256CE">
        <w:rPr>
          <w:rFonts w:ascii="Book Antiqua" w:hAnsi="Book Antiqua"/>
          <w:b/>
          <w:sz w:val="24"/>
        </w:rPr>
        <w:t>Karlsson WK</w:t>
      </w:r>
      <w:r w:rsidRPr="007256CE">
        <w:rPr>
          <w:rFonts w:ascii="Book Antiqua" w:hAnsi="Book Antiqua"/>
          <w:sz w:val="24"/>
        </w:rPr>
        <w:t xml:space="preserve">, Harboe ZB, Roed C, Monrad JB, Lindelof M, Larsen VA, Kondziella D. Early trigeminal nerve involvement in Listeria monocytogenes rhombencephalitis: case series and systematic review. </w:t>
      </w:r>
      <w:r w:rsidRPr="007256CE">
        <w:rPr>
          <w:rFonts w:ascii="Book Antiqua" w:hAnsi="Book Antiqua"/>
          <w:i/>
          <w:sz w:val="24"/>
        </w:rPr>
        <w:t>J Neurol</w:t>
      </w:r>
      <w:r w:rsidRPr="007256CE">
        <w:rPr>
          <w:rFonts w:ascii="Book Antiqua" w:hAnsi="Book Antiqua"/>
          <w:sz w:val="24"/>
        </w:rPr>
        <w:t xml:space="preserve"> 2017; </w:t>
      </w:r>
      <w:r w:rsidRPr="007256CE">
        <w:rPr>
          <w:rFonts w:ascii="Book Antiqua" w:hAnsi="Book Antiqua"/>
          <w:b/>
          <w:sz w:val="24"/>
        </w:rPr>
        <w:t>264</w:t>
      </w:r>
      <w:r w:rsidRPr="007256CE">
        <w:rPr>
          <w:rFonts w:ascii="Book Antiqua" w:hAnsi="Book Antiqua"/>
          <w:sz w:val="24"/>
        </w:rPr>
        <w:t xml:space="preserve">: 1875-1884 [PMID: 28730571 DOI: </w:t>
      </w:r>
      <w:r w:rsidRPr="007256CE">
        <w:rPr>
          <w:rFonts w:ascii="Book Antiqua" w:hAnsi="Book Antiqua"/>
          <w:sz w:val="24"/>
        </w:rPr>
        <w:lastRenderedPageBreak/>
        <w:t>10.1007/s00415-017-8572-2]</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10 </w:t>
      </w:r>
      <w:r w:rsidRPr="007256CE">
        <w:rPr>
          <w:rFonts w:ascii="Book Antiqua" w:hAnsi="Book Antiqua"/>
          <w:b/>
          <w:sz w:val="24"/>
        </w:rPr>
        <w:t>Antal EA</w:t>
      </w:r>
      <w:r w:rsidRPr="007256CE">
        <w:rPr>
          <w:rFonts w:ascii="Book Antiqua" w:hAnsi="Book Antiqua"/>
          <w:sz w:val="24"/>
        </w:rPr>
        <w:t xml:space="preserve">, Dietrichs E, Løberg EM, Melby KK, Maehlen J. Brain stem encephalitis in listeriosis. </w:t>
      </w:r>
      <w:r w:rsidRPr="007256CE">
        <w:rPr>
          <w:rFonts w:ascii="Book Antiqua" w:hAnsi="Book Antiqua"/>
          <w:i/>
          <w:sz w:val="24"/>
        </w:rPr>
        <w:t>Scand J Infect Dis</w:t>
      </w:r>
      <w:r w:rsidRPr="007256CE">
        <w:rPr>
          <w:rFonts w:ascii="Book Antiqua" w:hAnsi="Book Antiqua"/>
          <w:sz w:val="24"/>
        </w:rPr>
        <w:t xml:space="preserve"> 2005; </w:t>
      </w:r>
      <w:r w:rsidRPr="007256CE">
        <w:rPr>
          <w:rFonts w:ascii="Book Antiqua" w:hAnsi="Book Antiqua"/>
          <w:b/>
          <w:sz w:val="24"/>
        </w:rPr>
        <w:t>37</w:t>
      </w:r>
      <w:r w:rsidRPr="007256CE">
        <w:rPr>
          <w:rFonts w:ascii="Book Antiqua" w:hAnsi="Book Antiqua"/>
          <w:sz w:val="24"/>
        </w:rPr>
        <w:t>: 190-194 [PMID: 15849051 DOI: 10.1080/00365540410020938]</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11 </w:t>
      </w:r>
      <w:r w:rsidRPr="007256CE">
        <w:rPr>
          <w:rFonts w:ascii="Book Antiqua" w:hAnsi="Book Antiqua"/>
          <w:b/>
          <w:sz w:val="24"/>
        </w:rPr>
        <w:t>Charlier C</w:t>
      </w:r>
      <w:r w:rsidRPr="007256CE">
        <w:rPr>
          <w:rFonts w:ascii="Book Antiqua" w:hAnsi="Book Antiqua"/>
          <w:sz w:val="24"/>
        </w:rPr>
        <w:t xml:space="preserve">, Perrodeau É, Leclercq A, Cazenave B, Pilmis B, Henry B, Lopes A, Maury MM, Moura A, Goffinet F, Dieye HB, Thouvenot P, Ungeheuer MN, Tourdjman M, Goulet V, de Valk H, Lortholary O, Ravaud P, Lecuit M; MONALISA study group. Clinical features and prognostic factors of listeriosis: the MONALISA national prospective cohort study. </w:t>
      </w:r>
      <w:r w:rsidRPr="007256CE">
        <w:rPr>
          <w:rFonts w:ascii="Book Antiqua" w:hAnsi="Book Antiqua"/>
          <w:i/>
          <w:sz w:val="24"/>
        </w:rPr>
        <w:t>Lancet Infect Dis</w:t>
      </w:r>
      <w:r w:rsidRPr="007256CE">
        <w:rPr>
          <w:rFonts w:ascii="Book Antiqua" w:hAnsi="Book Antiqua"/>
          <w:sz w:val="24"/>
        </w:rPr>
        <w:t xml:space="preserve"> 2017; </w:t>
      </w:r>
      <w:r w:rsidRPr="007256CE">
        <w:rPr>
          <w:rFonts w:ascii="Book Antiqua" w:hAnsi="Book Antiqua"/>
          <w:b/>
          <w:sz w:val="24"/>
        </w:rPr>
        <w:t>17</w:t>
      </w:r>
      <w:r w:rsidRPr="007256CE">
        <w:rPr>
          <w:rFonts w:ascii="Book Antiqua" w:hAnsi="Book Antiqua"/>
          <w:sz w:val="24"/>
        </w:rPr>
        <w:t>: 510-519 [PMID: 28139432 DOI: 10.1016/S1473-3099(16)30521-7]</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12 </w:t>
      </w:r>
      <w:r w:rsidRPr="007256CE">
        <w:rPr>
          <w:rFonts w:ascii="Book Antiqua" w:hAnsi="Book Antiqua"/>
          <w:b/>
          <w:sz w:val="24"/>
        </w:rPr>
        <w:t>Kasanmoentalib ES</w:t>
      </w:r>
      <w:r w:rsidRPr="007256CE">
        <w:rPr>
          <w:rFonts w:ascii="Book Antiqua" w:hAnsi="Book Antiqua"/>
          <w:sz w:val="24"/>
        </w:rPr>
        <w:t xml:space="preserve">, Brouwer MC, van der Ende A, van de Beek D. Hydrocephalus in adults with community-acquired bacterial meningitis. </w:t>
      </w:r>
      <w:r w:rsidRPr="007256CE">
        <w:rPr>
          <w:rFonts w:ascii="Book Antiqua" w:hAnsi="Book Antiqua"/>
          <w:i/>
          <w:sz w:val="24"/>
        </w:rPr>
        <w:t>Neurology</w:t>
      </w:r>
      <w:r w:rsidRPr="007256CE">
        <w:rPr>
          <w:rFonts w:ascii="Book Antiqua" w:hAnsi="Book Antiqua"/>
          <w:sz w:val="24"/>
        </w:rPr>
        <w:t xml:space="preserve"> 2010; </w:t>
      </w:r>
      <w:r w:rsidRPr="007256CE">
        <w:rPr>
          <w:rFonts w:ascii="Book Antiqua" w:hAnsi="Book Antiqua"/>
          <w:b/>
          <w:sz w:val="24"/>
        </w:rPr>
        <w:t>75</w:t>
      </w:r>
      <w:r w:rsidRPr="007256CE">
        <w:rPr>
          <w:rFonts w:ascii="Book Antiqua" w:hAnsi="Book Antiqua"/>
          <w:sz w:val="24"/>
        </w:rPr>
        <w:t>: 918-923 [PMID: 20820003 DOI: 10.1212/WNL.0b013e3181f11e10]</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13 </w:t>
      </w:r>
      <w:r w:rsidRPr="007256CE">
        <w:rPr>
          <w:rFonts w:ascii="Book Antiqua" w:hAnsi="Book Antiqua"/>
          <w:b/>
          <w:sz w:val="24"/>
        </w:rPr>
        <w:t>Ito H</w:t>
      </w:r>
      <w:r w:rsidRPr="007256CE">
        <w:rPr>
          <w:rFonts w:ascii="Book Antiqua" w:hAnsi="Book Antiqua"/>
          <w:sz w:val="24"/>
        </w:rPr>
        <w:t xml:space="preserve">, Kobayashi S, Iino M, Kamei T, Takanashi Y. Listeria monocytogenes meningoencephalitis presenting with hydrocephalus and ventriculitis. </w:t>
      </w:r>
      <w:r w:rsidRPr="007256CE">
        <w:rPr>
          <w:rFonts w:ascii="Book Antiqua" w:hAnsi="Book Antiqua"/>
          <w:i/>
          <w:sz w:val="24"/>
        </w:rPr>
        <w:t>Intern Med</w:t>
      </w:r>
      <w:r w:rsidRPr="007256CE">
        <w:rPr>
          <w:rFonts w:ascii="Book Antiqua" w:hAnsi="Book Antiqua"/>
          <w:sz w:val="24"/>
        </w:rPr>
        <w:t xml:space="preserve"> 2008; </w:t>
      </w:r>
      <w:r w:rsidRPr="007256CE">
        <w:rPr>
          <w:rFonts w:ascii="Book Antiqua" w:hAnsi="Book Antiqua"/>
          <w:b/>
          <w:sz w:val="24"/>
        </w:rPr>
        <w:t>47</w:t>
      </w:r>
      <w:r w:rsidRPr="007256CE">
        <w:rPr>
          <w:rFonts w:ascii="Book Antiqua" w:hAnsi="Book Antiqua"/>
          <w:sz w:val="24"/>
        </w:rPr>
        <w:t>: 323-324 [PMID: 18277040 DOI: 10.2169/internalmedicine.47.0509]</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14 </w:t>
      </w:r>
      <w:r w:rsidRPr="007256CE">
        <w:rPr>
          <w:rFonts w:ascii="Book Antiqua" w:hAnsi="Book Antiqua"/>
          <w:b/>
          <w:sz w:val="24"/>
        </w:rPr>
        <w:t>Pelegrín I</w:t>
      </w:r>
      <w:r w:rsidRPr="007256CE">
        <w:rPr>
          <w:rFonts w:ascii="Book Antiqua" w:hAnsi="Book Antiqua"/>
          <w:sz w:val="24"/>
        </w:rPr>
        <w:t xml:space="preserve">, Moragas M, Suárez C, Ribera A, Verdaguer R, Martínez-Yelamos S, Rubio-Borrego F, Ariza J, Viladrich PF, Cabellos C. Listeria monocytogenes meningoencephalitis in adults: analysis of factors related to unfavourable outcome. </w:t>
      </w:r>
      <w:r w:rsidRPr="007256CE">
        <w:rPr>
          <w:rFonts w:ascii="Book Antiqua" w:hAnsi="Book Antiqua"/>
          <w:i/>
          <w:sz w:val="24"/>
        </w:rPr>
        <w:t>Infection</w:t>
      </w:r>
      <w:r w:rsidRPr="007256CE">
        <w:rPr>
          <w:rFonts w:ascii="Book Antiqua" w:hAnsi="Book Antiqua"/>
          <w:sz w:val="24"/>
        </w:rPr>
        <w:t xml:space="preserve"> 2014; </w:t>
      </w:r>
      <w:r w:rsidRPr="007256CE">
        <w:rPr>
          <w:rFonts w:ascii="Book Antiqua" w:hAnsi="Book Antiqua"/>
          <w:b/>
          <w:sz w:val="24"/>
        </w:rPr>
        <w:t>42</w:t>
      </w:r>
      <w:r w:rsidRPr="007256CE">
        <w:rPr>
          <w:rFonts w:ascii="Book Antiqua" w:hAnsi="Book Antiqua"/>
          <w:sz w:val="24"/>
        </w:rPr>
        <w:t>: 817-827 [PMID: 24902522 DOI: 10.1007/s15010-014-0636-y]</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15 </w:t>
      </w:r>
      <w:r w:rsidRPr="007256CE">
        <w:rPr>
          <w:rFonts w:ascii="Book Antiqua" w:hAnsi="Book Antiqua"/>
          <w:b/>
          <w:sz w:val="24"/>
        </w:rPr>
        <w:t>Mailles A</w:t>
      </w:r>
      <w:r w:rsidRPr="007256CE">
        <w:rPr>
          <w:rFonts w:ascii="Book Antiqua" w:hAnsi="Book Antiqua"/>
          <w:sz w:val="24"/>
        </w:rPr>
        <w:t xml:space="preserve">, Lecuit M, Goulet V, Leclercq A, Stahl JP; National Study on Listeriosis Encephalitis Steering Committee. Listeria monocytogenes encephalitis in France. </w:t>
      </w:r>
      <w:r w:rsidRPr="007256CE">
        <w:rPr>
          <w:rFonts w:ascii="Book Antiqua" w:hAnsi="Book Antiqua"/>
          <w:i/>
          <w:sz w:val="24"/>
        </w:rPr>
        <w:t>Med Mal Infect</w:t>
      </w:r>
      <w:r w:rsidRPr="007256CE">
        <w:rPr>
          <w:rFonts w:ascii="Book Antiqua" w:hAnsi="Book Antiqua"/>
          <w:sz w:val="24"/>
        </w:rPr>
        <w:t xml:space="preserve"> 2011; </w:t>
      </w:r>
      <w:r w:rsidRPr="007256CE">
        <w:rPr>
          <w:rFonts w:ascii="Book Antiqua" w:hAnsi="Book Antiqua"/>
          <w:b/>
          <w:sz w:val="24"/>
        </w:rPr>
        <w:t>41</w:t>
      </w:r>
      <w:r w:rsidRPr="007256CE">
        <w:rPr>
          <w:rFonts w:ascii="Book Antiqua" w:hAnsi="Book Antiqua"/>
          <w:sz w:val="24"/>
        </w:rPr>
        <w:t>: 594-601 [PMID: 22036519 DOI: 10.1016/j.medmal.2011.07.009]</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16 </w:t>
      </w:r>
      <w:r w:rsidRPr="007256CE">
        <w:rPr>
          <w:rFonts w:ascii="Book Antiqua" w:hAnsi="Book Antiqua"/>
          <w:b/>
          <w:sz w:val="24"/>
        </w:rPr>
        <w:t>Feng Y</w:t>
      </w:r>
      <w:r w:rsidRPr="007256CE">
        <w:rPr>
          <w:rFonts w:ascii="Book Antiqua" w:hAnsi="Book Antiqua"/>
          <w:sz w:val="24"/>
        </w:rPr>
        <w:t xml:space="preserve">, Wu S, Varma JK, Klena JD, Angulo FJ, Ran L. Systematic review of human listeriosis in China, 1964-2010. </w:t>
      </w:r>
      <w:r w:rsidRPr="007256CE">
        <w:rPr>
          <w:rFonts w:ascii="Book Antiqua" w:hAnsi="Book Antiqua"/>
          <w:i/>
          <w:sz w:val="24"/>
        </w:rPr>
        <w:t>Trop Med Int Health</w:t>
      </w:r>
      <w:r w:rsidRPr="007256CE">
        <w:rPr>
          <w:rFonts w:ascii="Book Antiqua" w:hAnsi="Book Antiqua"/>
          <w:sz w:val="24"/>
        </w:rPr>
        <w:t xml:space="preserve"> 2013; </w:t>
      </w:r>
      <w:r w:rsidRPr="007256CE">
        <w:rPr>
          <w:rFonts w:ascii="Book Antiqua" w:hAnsi="Book Antiqua"/>
          <w:b/>
          <w:sz w:val="24"/>
        </w:rPr>
        <w:t>18</w:t>
      </w:r>
      <w:r w:rsidRPr="007256CE">
        <w:rPr>
          <w:rFonts w:ascii="Book Antiqua" w:hAnsi="Book Antiqua"/>
          <w:sz w:val="24"/>
        </w:rPr>
        <w:t>: 1248-1256 [PMID: 24016031 DOI: 10.1111/tmi.12173]</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17 </w:t>
      </w:r>
      <w:r w:rsidRPr="007256CE">
        <w:rPr>
          <w:rFonts w:ascii="Book Antiqua" w:hAnsi="Book Antiqua"/>
          <w:b/>
          <w:sz w:val="24"/>
        </w:rPr>
        <w:t>Cunha BA</w:t>
      </w:r>
      <w:r w:rsidRPr="007256CE">
        <w:rPr>
          <w:rFonts w:ascii="Book Antiqua" w:hAnsi="Book Antiqua"/>
          <w:sz w:val="24"/>
        </w:rPr>
        <w:t xml:space="preserve">, Fatehpuria R, Eisenstein LE. Listeria monocytogenes encephalitis mimicking Herpes Simplex virus encephalitis: the differential diagnostic importance of cerebrospinal fluid lactic acid levels. </w:t>
      </w:r>
      <w:r w:rsidRPr="007256CE">
        <w:rPr>
          <w:rFonts w:ascii="Book Antiqua" w:hAnsi="Book Antiqua"/>
          <w:i/>
          <w:sz w:val="24"/>
        </w:rPr>
        <w:t>Heart Lung</w:t>
      </w:r>
      <w:r w:rsidRPr="007256CE">
        <w:rPr>
          <w:rFonts w:ascii="Book Antiqua" w:hAnsi="Book Antiqua"/>
          <w:sz w:val="24"/>
        </w:rPr>
        <w:t xml:space="preserve"> 2007; </w:t>
      </w:r>
      <w:r w:rsidRPr="007256CE">
        <w:rPr>
          <w:rFonts w:ascii="Book Antiqua" w:hAnsi="Book Antiqua"/>
          <w:b/>
          <w:sz w:val="24"/>
        </w:rPr>
        <w:t>36</w:t>
      </w:r>
      <w:r w:rsidRPr="007256CE">
        <w:rPr>
          <w:rFonts w:ascii="Book Antiqua" w:hAnsi="Book Antiqua"/>
          <w:sz w:val="24"/>
        </w:rPr>
        <w:t>: 226-231 [PMID: 17509430 DOI: 10.1016/j.hrtlng.2007.01.001]</w:t>
      </w:r>
    </w:p>
    <w:p w:rsidR="007256CE" w:rsidRPr="007256CE" w:rsidRDefault="007256CE" w:rsidP="007256CE">
      <w:pPr>
        <w:spacing w:line="360" w:lineRule="auto"/>
        <w:rPr>
          <w:rFonts w:ascii="Book Antiqua" w:hAnsi="Book Antiqua"/>
          <w:sz w:val="24"/>
        </w:rPr>
      </w:pPr>
      <w:r w:rsidRPr="007256CE">
        <w:rPr>
          <w:rFonts w:ascii="Book Antiqua" w:hAnsi="Book Antiqua"/>
          <w:sz w:val="24"/>
        </w:rPr>
        <w:lastRenderedPageBreak/>
        <w:t xml:space="preserve">18 </w:t>
      </w:r>
      <w:r w:rsidRPr="007256CE">
        <w:rPr>
          <w:rFonts w:ascii="Book Antiqua" w:hAnsi="Book Antiqua"/>
          <w:b/>
          <w:sz w:val="24"/>
        </w:rPr>
        <w:t>Jubelt B</w:t>
      </w:r>
      <w:r w:rsidRPr="007256CE">
        <w:rPr>
          <w:rFonts w:ascii="Book Antiqua" w:hAnsi="Book Antiqua"/>
          <w:sz w:val="24"/>
        </w:rPr>
        <w:t xml:space="preserve">, Mihai C, Li TM, Veerapaneni P. Rhombencephalitis / brainstem encephalitis. </w:t>
      </w:r>
      <w:r w:rsidRPr="007256CE">
        <w:rPr>
          <w:rFonts w:ascii="Book Antiqua" w:hAnsi="Book Antiqua"/>
          <w:i/>
          <w:sz w:val="24"/>
        </w:rPr>
        <w:t>Curr Neurol Neurosci Rep</w:t>
      </w:r>
      <w:r w:rsidRPr="007256CE">
        <w:rPr>
          <w:rFonts w:ascii="Book Antiqua" w:hAnsi="Book Antiqua"/>
          <w:sz w:val="24"/>
        </w:rPr>
        <w:t xml:space="preserve"> 2011; </w:t>
      </w:r>
      <w:r w:rsidRPr="007256CE">
        <w:rPr>
          <w:rFonts w:ascii="Book Antiqua" w:hAnsi="Book Antiqua"/>
          <w:b/>
          <w:sz w:val="24"/>
        </w:rPr>
        <w:t>11</w:t>
      </w:r>
      <w:r w:rsidRPr="007256CE">
        <w:rPr>
          <w:rFonts w:ascii="Book Antiqua" w:hAnsi="Book Antiqua"/>
          <w:sz w:val="24"/>
        </w:rPr>
        <w:t>: 543-552 [PMID: 21956758 DOI: 10.1007/s11910-011-0228-5]</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19 </w:t>
      </w:r>
      <w:r w:rsidRPr="007256CE">
        <w:rPr>
          <w:rFonts w:ascii="Book Antiqua" w:hAnsi="Book Antiqua"/>
          <w:b/>
          <w:sz w:val="24"/>
        </w:rPr>
        <w:t>Reynaud L</w:t>
      </w:r>
      <w:r w:rsidRPr="007256CE">
        <w:rPr>
          <w:rFonts w:ascii="Book Antiqua" w:hAnsi="Book Antiqua"/>
          <w:sz w:val="24"/>
        </w:rPr>
        <w:t xml:space="preserve">, Graf M, Gentile I, Cerini R, Ciampi R, Noce S, Borrelli F, Viola C, Gentile F, Briganti F, Borgia G. A rare case of brainstem encephalitis by Listeria monocytogenes with isolated mesencephalic localization. Case report and review. </w:t>
      </w:r>
      <w:r w:rsidRPr="007256CE">
        <w:rPr>
          <w:rFonts w:ascii="Book Antiqua" w:hAnsi="Book Antiqua"/>
          <w:i/>
          <w:sz w:val="24"/>
        </w:rPr>
        <w:t>Diagn Microbiol Infect Dis</w:t>
      </w:r>
      <w:r w:rsidRPr="007256CE">
        <w:rPr>
          <w:rFonts w:ascii="Book Antiqua" w:hAnsi="Book Antiqua"/>
          <w:sz w:val="24"/>
        </w:rPr>
        <w:t xml:space="preserve"> 2007; </w:t>
      </w:r>
      <w:r w:rsidRPr="007256CE">
        <w:rPr>
          <w:rFonts w:ascii="Book Antiqua" w:hAnsi="Book Antiqua"/>
          <w:b/>
          <w:sz w:val="24"/>
        </w:rPr>
        <w:t>58</w:t>
      </w:r>
      <w:r w:rsidRPr="007256CE">
        <w:rPr>
          <w:rFonts w:ascii="Book Antiqua" w:hAnsi="Book Antiqua"/>
          <w:sz w:val="24"/>
        </w:rPr>
        <w:t>: 121-123 [PMID: 17408902 DOI: 10.1016/j.diagmicrobio.2006.11.001]</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20 </w:t>
      </w:r>
      <w:r w:rsidRPr="007256CE">
        <w:rPr>
          <w:rFonts w:ascii="Book Antiqua" w:hAnsi="Book Antiqua"/>
          <w:b/>
          <w:sz w:val="24"/>
        </w:rPr>
        <w:t>McCaffrey LM</w:t>
      </w:r>
      <w:r w:rsidRPr="007256CE">
        <w:rPr>
          <w:rFonts w:ascii="Book Antiqua" w:hAnsi="Book Antiqua"/>
          <w:sz w:val="24"/>
        </w:rPr>
        <w:t xml:space="preserve">, Petelin A, Cunha BA. Systemic lupus erythematosus (SLE) cerebritis versus Listeria monocytogenes meningoencephalitis in a patient with systemic lupus erythematosus on chronic corticosteroid therapy: the diagnostic importance of cerebrospinal fluid (CSF) of lactic acid levels. </w:t>
      </w:r>
      <w:r w:rsidRPr="007256CE">
        <w:rPr>
          <w:rFonts w:ascii="Book Antiqua" w:hAnsi="Book Antiqua"/>
          <w:i/>
          <w:sz w:val="24"/>
        </w:rPr>
        <w:t>Heart Lung</w:t>
      </w:r>
      <w:r w:rsidRPr="007256CE">
        <w:rPr>
          <w:rFonts w:ascii="Book Antiqua" w:hAnsi="Book Antiqua"/>
          <w:sz w:val="24"/>
        </w:rPr>
        <w:t xml:space="preserve"> 2012; </w:t>
      </w:r>
      <w:r w:rsidRPr="007256CE">
        <w:rPr>
          <w:rFonts w:ascii="Book Antiqua" w:hAnsi="Book Antiqua"/>
          <w:b/>
          <w:sz w:val="24"/>
        </w:rPr>
        <w:t>41</w:t>
      </w:r>
      <w:r w:rsidRPr="007256CE">
        <w:rPr>
          <w:rFonts w:ascii="Book Antiqua" w:hAnsi="Book Antiqua"/>
          <w:sz w:val="24"/>
        </w:rPr>
        <w:t>: 394-397 [PMID: 22177759 DOI: 10.1016/j.hrtlng.2011.09.002]</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21 </w:t>
      </w:r>
      <w:r w:rsidRPr="007256CE">
        <w:rPr>
          <w:rFonts w:ascii="Book Antiqua" w:hAnsi="Book Antiqua"/>
          <w:b/>
          <w:sz w:val="24"/>
        </w:rPr>
        <w:t>Dhiwakar M</w:t>
      </w:r>
      <w:r w:rsidRPr="007256CE">
        <w:rPr>
          <w:rFonts w:ascii="Book Antiqua" w:hAnsi="Book Antiqua"/>
          <w:sz w:val="24"/>
        </w:rPr>
        <w:t xml:space="preserve">, Basu S, Ramaswamy R, Mallucci C. Neurolisteriosis causing hydrocephalus, trapped fourth ventricle, hindbrain herniation and syringomyelia. </w:t>
      </w:r>
      <w:r w:rsidRPr="007256CE">
        <w:rPr>
          <w:rFonts w:ascii="Book Antiqua" w:hAnsi="Book Antiqua"/>
          <w:i/>
          <w:sz w:val="24"/>
        </w:rPr>
        <w:t>Br J Neurosurg</w:t>
      </w:r>
      <w:r w:rsidRPr="007256CE">
        <w:rPr>
          <w:rFonts w:ascii="Book Antiqua" w:hAnsi="Book Antiqua"/>
          <w:sz w:val="24"/>
        </w:rPr>
        <w:t xml:space="preserve"> 2004; </w:t>
      </w:r>
      <w:r w:rsidRPr="007256CE">
        <w:rPr>
          <w:rFonts w:ascii="Book Antiqua" w:hAnsi="Book Antiqua"/>
          <w:b/>
          <w:sz w:val="24"/>
        </w:rPr>
        <w:t>18</w:t>
      </w:r>
      <w:r w:rsidRPr="007256CE">
        <w:rPr>
          <w:rFonts w:ascii="Book Antiqua" w:hAnsi="Book Antiqua"/>
          <w:sz w:val="24"/>
        </w:rPr>
        <w:t>: 367-370 [PMID: 15702836 DOI: 10.1080/02688690400005081]</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22 </w:t>
      </w:r>
      <w:r w:rsidRPr="007256CE">
        <w:rPr>
          <w:rFonts w:ascii="Book Antiqua" w:hAnsi="Book Antiqua"/>
          <w:b/>
          <w:sz w:val="24"/>
        </w:rPr>
        <w:t>Svare J</w:t>
      </w:r>
      <w:r w:rsidRPr="007256CE">
        <w:rPr>
          <w:rFonts w:ascii="Book Antiqua" w:hAnsi="Book Antiqua"/>
          <w:sz w:val="24"/>
        </w:rPr>
        <w:t xml:space="preserve">, Andersen LF, Langhoff-Roos J, Madsen H, Bruun B. Maternal-fetal listeriosis: 2 case reports. </w:t>
      </w:r>
      <w:r w:rsidRPr="007256CE">
        <w:rPr>
          <w:rFonts w:ascii="Book Antiqua" w:hAnsi="Book Antiqua"/>
          <w:i/>
          <w:sz w:val="24"/>
        </w:rPr>
        <w:t>Gynecol Obstet Invest</w:t>
      </w:r>
      <w:r w:rsidRPr="007256CE">
        <w:rPr>
          <w:rFonts w:ascii="Book Antiqua" w:hAnsi="Book Antiqua"/>
          <w:sz w:val="24"/>
        </w:rPr>
        <w:t xml:space="preserve"> 1991; </w:t>
      </w:r>
      <w:r w:rsidRPr="007256CE">
        <w:rPr>
          <w:rFonts w:ascii="Book Antiqua" w:hAnsi="Book Antiqua"/>
          <w:b/>
          <w:sz w:val="24"/>
        </w:rPr>
        <w:t>31</w:t>
      </w:r>
      <w:r w:rsidRPr="007256CE">
        <w:rPr>
          <w:rFonts w:ascii="Book Antiqua" w:hAnsi="Book Antiqua"/>
          <w:sz w:val="24"/>
        </w:rPr>
        <w:t>: 179-181 [PMID: 2071059 DOI: 10.1159/000293148]</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23 </w:t>
      </w:r>
      <w:r w:rsidRPr="007256CE">
        <w:rPr>
          <w:rFonts w:ascii="Book Antiqua" w:hAnsi="Book Antiqua"/>
          <w:b/>
          <w:sz w:val="24"/>
        </w:rPr>
        <w:t>Hof H</w:t>
      </w:r>
      <w:r w:rsidRPr="007256CE">
        <w:rPr>
          <w:rFonts w:ascii="Book Antiqua" w:hAnsi="Book Antiqua"/>
          <w:sz w:val="24"/>
        </w:rPr>
        <w:t xml:space="preserve">. An update on the medical management of listeriosis. </w:t>
      </w:r>
      <w:r w:rsidRPr="007256CE">
        <w:rPr>
          <w:rFonts w:ascii="Book Antiqua" w:hAnsi="Book Antiqua"/>
          <w:i/>
          <w:sz w:val="24"/>
        </w:rPr>
        <w:t>Expert Opin Pharmacother</w:t>
      </w:r>
      <w:r w:rsidRPr="007256CE">
        <w:rPr>
          <w:rFonts w:ascii="Book Antiqua" w:hAnsi="Book Antiqua"/>
          <w:sz w:val="24"/>
        </w:rPr>
        <w:t xml:space="preserve"> 2004; </w:t>
      </w:r>
      <w:r w:rsidRPr="007256CE">
        <w:rPr>
          <w:rFonts w:ascii="Book Antiqua" w:hAnsi="Book Antiqua"/>
          <w:b/>
          <w:sz w:val="24"/>
        </w:rPr>
        <w:t>5</w:t>
      </w:r>
      <w:r w:rsidRPr="007256CE">
        <w:rPr>
          <w:rFonts w:ascii="Book Antiqua" w:hAnsi="Book Antiqua"/>
          <w:sz w:val="24"/>
        </w:rPr>
        <w:t>: 1727-1735 [PMID: 15264987 DOI: 10.1517/14656566.5.8.1727]</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24 </w:t>
      </w:r>
      <w:r w:rsidRPr="007256CE">
        <w:rPr>
          <w:rFonts w:ascii="Book Antiqua" w:hAnsi="Book Antiqua"/>
          <w:b/>
          <w:sz w:val="24"/>
        </w:rPr>
        <w:t>van de Beek D</w:t>
      </w:r>
      <w:r w:rsidRPr="007256CE">
        <w:rPr>
          <w:rFonts w:ascii="Book Antiqua" w:hAnsi="Book Antiqua"/>
          <w:sz w:val="24"/>
        </w:rPr>
        <w:t xml:space="preserve">, Cabellos C, Dzupova O, Esposito S, Klein M, Kloek AT, Leib SL, Mourvillier B, Ostergaard C, Pagliano P, Pfister HW, Read RC, Sipahi OR, Brouwer MC; ESCMID Study Group for Infections of the Brain (ESGIB). ESCMID guideline: diagnosis and treatment of acute bacterial meningitis. </w:t>
      </w:r>
      <w:r w:rsidRPr="007256CE">
        <w:rPr>
          <w:rFonts w:ascii="Book Antiqua" w:hAnsi="Book Antiqua"/>
          <w:i/>
          <w:sz w:val="24"/>
        </w:rPr>
        <w:t>Clin Microbiol Infect</w:t>
      </w:r>
      <w:r w:rsidRPr="007256CE">
        <w:rPr>
          <w:rFonts w:ascii="Book Antiqua" w:hAnsi="Book Antiqua"/>
          <w:sz w:val="24"/>
        </w:rPr>
        <w:t xml:space="preserve"> 2016; </w:t>
      </w:r>
      <w:r w:rsidRPr="007256CE">
        <w:rPr>
          <w:rFonts w:ascii="Book Antiqua" w:hAnsi="Book Antiqua"/>
          <w:b/>
          <w:sz w:val="24"/>
        </w:rPr>
        <w:t>22 Suppl 3</w:t>
      </w:r>
      <w:r w:rsidRPr="007256CE">
        <w:rPr>
          <w:rFonts w:ascii="Book Antiqua" w:hAnsi="Book Antiqua"/>
          <w:sz w:val="24"/>
        </w:rPr>
        <w:t>: S37-S62 [PMID: 27062097 DOI: 10.1016/j.cmi.2016.01.007]</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25 </w:t>
      </w:r>
      <w:r w:rsidRPr="007256CE">
        <w:rPr>
          <w:rFonts w:ascii="Book Antiqua" w:hAnsi="Book Antiqua"/>
          <w:b/>
          <w:sz w:val="24"/>
        </w:rPr>
        <w:t>Madlinger AG</w:t>
      </w:r>
      <w:r w:rsidRPr="007256CE">
        <w:rPr>
          <w:rFonts w:ascii="Book Antiqua" w:hAnsi="Book Antiqua"/>
          <w:sz w:val="24"/>
        </w:rPr>
        <w:t xml:space="preserve">, Krauss JK. Intramedullary brain stem cyst and trapped IV ventricle after infection with Listeria monocytogenes. </w:t>
      </w:r>
      <w:r w:rsidRPr="007256CE">
        <w:rPr>
          <w:rFonts w:ascii="Book Antiqua" w:hAnsi="Book Antiqua"/>
          <w:i/>
          <w:sz w:val="24"/>
        </w:rPr>
        <w:t>Childs Nerv Syst</w:t>
      </w:r>
      <w:r w:rsidRPr="007256CE">
        <w:rPr>
          <w:rFonts w:ascii="Book Antiqua" w:hAnsi="Book Antiqua"/>
          <w:sz w:val="24"/>
        </w:rPr>
        <w:t xml:space="preserve"> 1998; </w:t>
      </w:r>
      <w:r w:rsidRPr="007256CE">
        <w:rPr>
          <w:rFonts w:ascii="Book Antiqua" w:hAnsi="Book Antiqua"/>
          <w:b/>
          <w:sz w:val="24"/>
        </w:rPr>
        <w:t>14</w:t>
      </w:r>
      <w:r w:rsidRPr="007256CE">
        <w:rPr>
          <w:rFonts w:ascii="Book Antiqua" w:hAnsi="Book Antiqua"/>
          <w:sz w:val="24"/>
        </w:rPr>
        <w:t>: 747-750 [PMID: 9881629 DOI: 10.1007/s003810050309]</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26 </w:t>
      </w:r>
      <w:r w:rsidRPr="007256CE">
        <w:rPr>
          <w:rFonts w:ascii="Book Antiqua" w:hAnsi="Book Antiqua"/>
          <w:b/>
          <w:sz w:val="24"/>
        </w:rPr>
        <w:t>Chan YC</w:t>
      </w:r>
      <w:r w:rsidRPr="007256CE">
        <w:rPr>
          <w:rFonts w:ascii="Book Antiqua" w:hAnsi="Book Antiqua"/>
          <w:sz w:val="24"/>
        </w:rPr>
        <w:t xml:space="preserve">, Ho KH, Tambyah PA, Lee KH, Ong BK. Listeria meningoencephalitis: </w:t>
      </w:r>
      <w:r w:rsidRPr="007256CE">
        <w:rPr>
          <w:rFonts w:ascii="Book Antiqua" w:hAnsi="Book Antiqua"/>
          <w:sz w:val="24"/>
        </w:rPr>
        <w:lastRenderedPageBreak/>
        <w:t xml:space="preserve">two cases and a review of the literature. </w:t>
      </w:r>
      <w:r w:rsidRPr="007256CE">
        <w:rPr>
          <w:rFonts w:ascii="Book Antiqua" w:hAnsi="Book Antiqua"/>
          <w:i/>
          <w:sz w:val="24"/>
        </w:rPr>
        <w:t>Ann Acad Med Singapore</w:t>
      </w:r>
      <w:r w:rsidRPr="007256CE">
        <w:rPr>
          <w:rFonts w:ascii="Book Antiqua" w:hAnsi="Book Antiqua"/>
          <w:sz w:val="24"/>
        </w:rPr>
        <w:t xml:space="preserve"> 2001; </w:t>
      </w:r>
      <w:r w:rsidRPr="007256CE">
        <w:rPr>
          <w:rFonts w:ascii="Book Antiqua" w:hAnsi="Book Antiqua"/>
          <w:b/>
          <w:sz w:val="24"/>
        </w:rPr>
        <w:t>30</w:t>
      </w:r>
      <w:r w:rsidRPr="007256CE">
        <w:rPr>
          <w:rFonts w:ascii="Book Antiqua" w:hAnsi="Book Antiqua"/>
          <w:sz w:val="24"/>
        </w:rPr>
        <w:t>: 659-663 [PMID: 11817300 DOI: 10.1097/00000441-200111000-00012]</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27 </w:t>
      </w:r>
      <w:r w:rsidRPr="007256CE">
        <w:rPr>
          <w:rFonts w:ascii="Book Antiqua" w:hAnsi="Book Antiqua"/>
          <w:b/>
          <w:sz w:val="24"/>
        </w:rPr>
        <w:t>Laciar AL</w:t>
      </w:r>
      <w:r w:rsidRPr="007256CE">
        <w:rPr>
          <w:rFonts w:ascii="Book Antiqua" w:hAnsi="Book Antiqua"/>
          <w:sz w:val="24"/>
        </w:rPr>
        <w:t xml:space="preserve">, Vaca Ruiz ML, Le Monnier A. Neonatal Listeria-meningitis in San Luis, Argentina: a three-case report. </w:t>
      </w:r>
      <w:r w:rsidRPr="007256CE">
        <w:rPr>
          <w:rFonts w:ascii="Book Antiqua" w:hAnsi="Book Antiqua"/>
          <w:i/>
          <w:sz w:val="24"/>
        </w:rPr>
        <w:t>Rev Argent Microbiol</w:t>
      </w:r>
      <w:r w:rsidRPr="007256CE">
        <w:rPr>
          <w:rFonts w:ascii="Book Antiqua" w:hAnsi="Book Antiqua"/>
          <w:sz w:val="24"/>
        </w:rPr>
        <w:t xml:space="preserve"> 2011; </w:t>
      </w:r>
      <w:r w:rsidRPr="007256CE">
        <w:rPr>
          <w:rFonts w:ascii="Book Antiqua" w:hAnsi="Book Antiqua"/>
          <w:b/>
          <w:sz w:val="24"/>
        </w:rPr>
        <w:t>43</w:t>
      </w:r>
      <w:r w:rsidRPr="007256CE">
        <w:rPr>
          <w:rFonts w:ascii="Book Antiqua" w:hAnsi="Book Antiqua"/>
          <w:sz w:val="24"/>
        </w:rPr>
        <w:t>: 45-47 [PMID: 21491067 DOI: 10.1590/S0325-75412011000100010]</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28 </w:t>
      </w:r>
      <w:r w:rsidRPr="007256CE">
        <w:rPr>
          <w:rFonts w:ascii="Book Antiqua" w:hAnsi="Book Antiqua"/>
          <w:b/>
          <w:sz w:val="24"/>
        </w:rPr>
        <w:t>Lee JE</w:t>
      </w:r>
      <w:r w:rsidRPr="007256CE">
        <w:rPr>
          <w:rFonts w:ascii="Book Antiqua" w:hAnsi="Book Antiqua"/>
          <w:sz w:val="24"/>
        </w:rPr>
        <w:t xml:space="preserve">, Cho WK, Nam CH, Jung MH, Kang JH, Suh BK. A case of meningoencephalitis caused by Listeria monocytogenes in a healthy child. </w:t>
      </w:r>
      <w:r w:rsidRPr="007256CE">
        <w:rPr>
          <w:rFonts w:ascii="Book Antiqua" w:hAnsi="Book Antiqua"/>
          <w:i/>
          <w:sz w:val="24"/>
        </w:rPr>
        <w:t>Korean J Pediatr</w:t>
      </w:r>
      <w:r w:rsidRPr="007256CE">
        <w:rPr>
          <w:rFonts w:ascii="Book Antiqua" w:hAnsi="Book Antiqua"/>
          <w:sz w:val="24"/>
        </w:rPr>
        <w:t xml:space="preserve"> 2010; </w:t>
      </w:r>
      <w:r w:rsidRPr="007256CE">
        <w:rPr>
          <w:rFonts w:ascii="Book Antiqua" w:hAnsi="Book Antiqua"/>
          <w:b/>
          <w:sz w:val="24"/>
        </w:rPr>
        <w:t>53</w:t>
      </w:r>
      <w:r w:rsidRPr="007256CE">
        <w:rPr>
          <w:rFonts w:ascii="Book Antiqua" w:hAnsi="Book Antiqua"/>
          <w:sz w:val="24"/>
        </w:rPr>
        <w:t>: 653-656 [PMID: 21189933 DOI: 10.3345/kjp.2010.53.5.653]</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29 </w:t>
      </w:r>
      <w:r w:rsidRPr="007256CE">
        <w:rPr>
          <w:rFonts w:ascii="Book Antiqua" w:hAnsi="Book Antiqua"/>
          <w:b/>
          <w:sz w:val="24"/>
        </w:rPr>
        <w:t>Platnaris A</w:t>
      </w:r>
      <w:r w:rsidRPr="007256CE">
        <w:rPr>
          <w:rFonts w:ascii="Book Antiqua" w:hAnsi="Book Antiqua"/>
          <w:sz w:val="24"/>
        </w:rPr>
        <w:t xml:space="preserve">, Hatzimichael A, Ktenidou-Kartali S, Kontoyiannides K, Kollios K, Anagnostopoulos J, Roilides E. A case of Listeria meningoencephalitis complicated by hydrocephalus in an immunocompetent infant. </w:t>
      </w:r>
      <w:r w:rsidRPr="007256CE">
        <w:rPr>
          <w:rFonts w:ascii="Book Antiqua" w:hAnsi="Book Antiqua"/>
          <w:i/>
          <w:sz w:val="24"/>
        </w:rPr>
        <w:t>Eur J Pediatr</w:t>
      </w:r>
      <w:r w:rsidRPr="007256CE">
        <w:rPr>
          <w:rFonts w:ascii="Book Antiqua" w:hAnsi="Book Antiqua"/>
          <w:sz w:val="24"/>
        </w:rPr>
        <w:t xml:space="preserve"> 2009; </w:t>
      </w:r>
      <w:r w:rsidRPr="007256CE">
        <w:rPr>
          <w:rFonts w:ascii="Book Antiqua" w:hAnsi="Book Antiqua"/>
          <w:b/>
          <w:sz w:val="24"/>
        </w:rPr>
        <w:t>168</w:t>
      </w:r>
      <w:r w:rsidRPr="007256CE">
        <w:rPr>
          <w:rFonts w:ascii="Book Antiqua" w:hAnsi="Book Antiqua"/>
          <w:sz w:val="24"/>
        </w:rPr>
        <w:t>: 343-346 [PMID: 18463893 DOI: 10.1007/s00431-008-0739-5]</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30 </w:t>
      </w:r>
      <w:r w:rsidRPr="007256CE">
        <w:rPr>
          <w:rFonts w:ascii="Book Antiqua" w:hAnsi="Book Antiqua"/>
          <w:b/>
          <w:sz w:val="24"/>
        </w:rPr>
        <w:t>Papandreou A</w:t>
      </w:r>
      <w:r w:rsidRPr="007256CE">
        <w:rPr>
          <w:rFonts w:ascii="Book Antiqua" w:hAnsi="Book Antiqua"/>
          <w:sz w:val="24"/>
        </w:rPr>
        <w:t xml:space="preserve">, Hedrera-Fernandez A, Kaliakatsos M, Chong WK, Bhate S. An unusual presentation of paediatric Listeria meningitis with selective spinal grey matter involvement and acute demyelinating polyneuropathy. </w:t>
      </w:r>
      <w:r w:rsidRPr="007256CE">
        <w:rPr>
          <w:rFonts w:ascii="Book Antiqua" w:hAnsi="Book Antiqua"/>
          <w:i/>
          <w:sz w:val="24"/>
        </w:rPr>
        <w:t>Eur J Paediatr Neurol</w:t>
      </w:r>
      <w:r w:rsidRPr="007256CE">
        <w:rPr>
          <w:rFonts w:ascii="Book Antiqua" w:hAnsi="Book Antiqua"/>
          <w:sz w:val="24"/>
        </w:rPr>
        <w:t xml:space="preserve"> 2016; </w:t>
      </w:r>
      <w:r w:rsidRPr="007256CE">
        <w:rPr>
          <w:rFonts w:ascii="Book Antiqua" w:hAnsi="Book Antiqua"/>
          <w:b/>
          <w:sz w:val="24"/>
        </w:rPr>
        <w:t>20</w:t>
      </w:r>
      <w:r w:rsidRPr="007256CE">
        <w:rPr>
          <w:rFonts w:ascii="Book Antiqua" w:hAnsi="Book Antiqua"/>
          <w:sz w:val="24"/>
        </w:rPr>
        <w:t>: 196-199 [PMID: 26371981 DOI: 10.1016/j.ejpn.2015.08.004]</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31 </w:t>
      </w:r>
      <w:r w:rsidRPr="007256CE">
        <w:rPr>
          <w:rFonts w:ascii="Book Antiqua" w:hAnsi="Book Antiqua"/>
          <w:b/>
          <w:sz w:val="24"/>
        </w:rPr>
        <w:t>Gaini S</w:t>
      </w:r>
      <w:r w:rsidRPr="007256CE">
        <w:rPr>
          <w:rFonts w:ascii="Book Antiqua" w:hAnsi="Book Antiqua"/>
          <w:sz w:val="24"/>
        </w:rPr>
        <w:t xml:space="preserve">, Karlsen GH, Nandy A, Madsen H, Christiansen DH, Á Borg S. Culture Negative Listeria monocytogenes Meningitis Resulting in Hydrocephalus and Severe Neurological Sequelae in a Previously Healthy Immunocompetent Man with Penicillin Allergy. </w:t>
      </w:r>
      <w:r w:rsidRPr="007256CE">
        <w:rPr>
          <w:rFonts w:ascii="Book Antiqua" w:hAnsi="Book Antiqua"/>
          <w:i/>
          <w:sz w:val="24"/>
        </w:rPr>
        <w:t>Case Rep Neurol Med</w:t>
      </w:r>
      <w:r w:rsidRPr="007256CE">
        <w:rPr>
          <w:rFonts w:ascii="Book Antiqua" w:hAnsi="Book Antiqua"/>
          <w:sz w:val="24"/>
        </w:rPr>
        <w:t xml:space="preserve"> 2015; </w:t>
      </w:r>
      <w:r w:rsidRPr="007256CE">
        <w:rPr>
          <w:rFonts w:ascii="Book Antiqua" w:hAnsi="Book Antiqua"/>
          <w:b/>
          <w:sz w:val="24"/>
        </w:rPr>
        <w:t>2015</w:t>
      </w:r>
      <w:r w:rsidRPr="007256CE">
        <w:rPr>
          <w:rFonts w:ascii="Book Antiqua" w:hAnsi="Book Antiqua"/>
          <w:sz w:val="24"/>
        </w:rPr>
        <w:t>: 248302 [PMID: 26697245 DOI: 10.1155/2015/248302]</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32 </w:t>
      </w:r>
      <w:r w:rsidRPr="007256CE">
        <w:rPr>
          <w:rFonts w:ascii="Book Antiqua" w:hAnsi="Book Antiqua"/>
          <w:b/>
          <w:sz w:val="24"/>
        </w:rPr>
        <w:t>Ruggieri F</w:t>
      </w:r>
      <w:r w:rsidRPr="007256CE">
        <w:rPr>
          <w:rFonts w:ascii="Book Antiqua" w:hAnsi="Book Antiqua"/>
          <w:sz w:val="24"/>
        </w:rPr>
        <w:t xml:space="preserve">, Cerri M, Beretta L. Infective rhomboencephalitis and inverted Takotsubo: neurogenic-stunned myocardium or myocarditis? </w:t>
      </w:r>
      <w:r w:rsidRPr="007256CE">
        <w:rPr>
          <w:rFonts w:ascii="Book Antiqua" w:hAnsi="Book Antiqua"/>
          <w:i/>
          <w:sz w:val="24"/>
        </w:rPr>
        <w:t>Am J Emerg Med</w:t>
      </w:r>
      <w:r w:rsidRPr="007256CE">
        <w:rPr>
          <w:rFonts w:ascii="Book Antiqua" w:hAnsi="Book Antiqua"/>
          <w:sz w:val="24"/>
        </w:rPr>
        <w:t xml:space="preserve"> 2014; </w:t>
      </w:r>
      <w:r w:rsidRPr="007256CE">
        <w:rPr>
          <w:rFonts w:ascii="Book Antiqua" w:hAnsi="Book Antiqua"/>
          <w:b/>
          <w:sz w:val="24"/>
        </w:rPr>
        <w:t>32</w:t>
      </w:r>
      <w:r w:rsidRPr="007256CE">
        <w:rPr>
          <w:rFonts w:ascii="Book Antiqua" w:hAnsi="Book Antiqua"/>
          <w:sz w:val="24"/>
        </w:rPr>
        <w:t>: 191.e1-191.e3 [PMID: 24079984 DOI: 10.1016/j.ajem.2013.08.047]</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33 </w:t>
      </w:r>
      <w:r w:rsidRPr="007256CE">
        <w:rPr>
          <w:rFonts w:ascii="Book Antiqua" w:hAnsi="Book Antiqua"/>
          <w:b/>
          <w:sz w:val="24"/>
        </w:rPr>
        <w:t>Cunha BA</w:t>
      </w:r>
      <w:r w:rsidRPr="007256CE">
        <w:rPr>
          <w:rFonts w:ascii="Book Antiqua" w:hAnsi="Book Antiqua"/>
          <w:sz w:val="24"/>
        </w:rPr>
        <w:t xml:space="preserve">, Filozov A, Remé P. Listeria monocytogenes encephalitis mimicking West Nile encephalitis. </w:t>
      </w:r>
      <w:r w:rsidRPr="007256CE">
        <w:rPr>
          <w:rFonts w:ascii="Book Antiqua" w:hAnsi="Book Antiqua"/>
          <w:i/>
          <w:sz w:val="24"/>
        </w:rPr>
        <w:t>Heart Lung</w:t>
      </w:r>
      <w:r w:rsidRPr="007256CE">
        <w:rPr>
          <w:rFonts w:ascii="Book Antiqua" w:hAnsi="Book Antiqua"/>
          <w:sz w:val="24"/>
        </w:rPr>
        <w:t xml:space="preserve"> 2004; </w:t>
      </w:r>
      <w:r w:rsidRPr="007256CE">
        <w:rPr>
          <w:rFonts w:ascii="Book Antiqua" w:hAnsi="Book Antiqua"/>
          <w:b/>
          <w:sz w:val="24"/>
        </w:rPr>
        <w:t>33</w:t>
      </w:r>
      <w:r w:rsidRPr="007256CE">
        <w:rPr>
          <w:rFonts w:ascii="Book Antiqua" w:hAnsi="Book Antiqua"/>
          <w:sz w:val="24"/>
        </w:rPr>
        <w:t>: 61-64 [PMID: 14983142 DOI: 10.1016/j.hrtlng.2003.07.001]</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34 </w:t>
      </w:r>
      <w:r w:rsidRPr="007256CE">
        <w:rPr>
          <w:rFonts w:ascii="Book Antiqua" w:hAnsi="Book Antiqua"/>
          <w:b/>
          <w:sz w:val="24"/>
        </w:rPr>
        <w:t>Frat JP</w:t>
      </w:r>
      <w:r w:rsidRPr="007256CE">
        <w:rPr>
          <w:rFonts w:ascii="Book Antiqua" w:hAnsi="Book Antiqua"/>
          <w:sz w:val="24"/>
        </w:rPr>
        <w:t xml:space="preserve">, Veinstein A, Wager M, Burucoa C, Robert R. Reversible acute hydrocephalus complicating Listeria monocytogenes meningitis. </w:t>
      </w:r>
      <w:r w:rsidRPr="007256CE">
        <w:rPr>
          <w:rFonts w:ascii="Book Antiqua" w:hAnsi="Book Antiqua"/>
          <w:i/>
          <w:sz w:val="24"/>
        </w:rPr>
        <w:t>Eur J Clin Microbiol Infect Dis</w:t>
      </w:r>
      <w:r w:rsidRPr="007256CE">
        <w:rPr>
          <w:rFonts w:ascii="Book Antiqua" w:hAnsi="Book Antiqua"/>
          <w:sz w:val="24"/>
        </w:rPr>
        <w:t xml:space="preserve"> 2001; </w:t>
      </w:r>
      <w:r w:rsidRPr="007256CE">
        <w:rPr>
          <w:rFonts w:ascii="Book Antiqua" w:hAnsi="Book Antiqua"/>
          <w:b/>
          <w:sz w:val="24"/>
        </w:rPr>
        <w:t>20</w:t>
      </w:r>
      <w:r w:rsidRPr="007256CE">
        <w:rPr>
          <w:rFonts w:ascii="Book Antiqua" w:hAnsi="Book Antiqua"/>
          <w:sz w:val="24"/>
        </w:rPr>
        <w:t>: 512-514 [PMID: 11561813 DOI: 10.1007/PL00011296]</w:t>
      </w:r>
    </w:p>
    <w:p w:rsidR="007256CE" w:rsidRPr="007256CE" w:rsidRDefault="007256CE" w:rsidP="007256CE">
      <w:pPr>
        <w:spacing w:line="360" w:lineRule="auto"/>
        <w:rPr>
          <w:rFonts w:ascii="Book Antiqua" w:hAnsi="Book Antiqua"/>
          <w:sz w:val="24"/>
        </w:rPr>
      </w:pPr>
      <w:r w:rsidRPr="007256CE">
        <w:rPr>
          <w:rFonts w:ascii="Book Antiqua" w:hAnsi="Book Antiqua"/>
          <w:sz w:val="24"/>
        </w:rPr>
        <w:lastRenderedPageBreak/>
        <w:t xml:space="preserve">35 </w:t>
      </w:r>
      <w:r w:rsidRPr="007256CE">
        <w:rPr>
          <w:rFonts w:ascii="Book Antiqua" w:hAnsi="Book Antiqua"/>
          <w:b/>
          <w:sz w:val="24"/>
        </w:rPr>
        <w:t>Raps EC</w:t>
      </w:r>
      <w:r w:rsidRPr="007256CE">
        <w:rPr>
          <w:rFonts w:ascii="Book Antiqua" w:hAnsi="Book Antiqua"/>
          <w:sz w:val="24"/>
        </w:rPr>
        <w:t xml:space="preserve">, Gutmann DH, Brorson JR, O'Connor M, Hurtig HI. Symptomatic hydrocephalus and reversible spinal cord compression in Listeria monocytogenes meningitis. Case report. </w:t>
      </w:r>
      <w:r w:rsidRPr="007256CE">
        <w:rPr>
          <w:rFonts w:ascii="Book Antiqua" w:hAnsi="Book Antiqua"/>
          <w:i/>
          <w:sz w:val="24"/>
        </w:rPr>
        <w:t>J Neurosurg</w:t>
      </w:r>
      <w:r w:rsidRPr="007256CE">
        <w:rPr>
          <w:rFonts w:ascii="Book Antiqua" w:hAnsi="Book Antiqua"/>
          <w:sz w:val="24"/>
        </w:rPr>
        <w:t xml:space="preserve"> 1989; </w:t>
      </w:r>
      <w:r w:rsidRPr="007256CE">
        <w:rPr>
          <w:rFonts w:ascii="Book Antiqua" w:hAnsi="Book Antiqua"/>
          <w:b/>
          <w:sz w:val="24"/>
        </w:rPr>
        <w:t>71</w:t>
      </w:r>
      <w:r w:rsidRPr="007256CE">
        <w:rPr>
          <w:rFonts w:ascii="Book Antiqua" w:hAnsi="Book Antiqua"/>
          <w:sz w:val="24"/>
        </w:rPr>
        <w:t>: 620-622 [PMID: 2795184 DOI: 10.3171/jns.1989.71.4.0620]</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36 </w:t>
      </w:r>
      <w:r w:rsidRPr="007256CE">
        <w:rPr>
          <w:rFonts w:ascii="Book Antiqua" w:hAnsi="Book Antiqua"/>
          <w:b/>
          <w:sz w:val="24"/>
        </w:rPr>
        <w:t>Yang CC</w:t>
      </w:r>
      <w:r w:rsidRPr="007256CE">
        <w:rPr>
          <w:rFonts w:ascii="Book Antiqua" w:hAnsi="Book Antiqua"/>
          <w:sz w:val="24"/>
        </w:rPr>
        <w:t xml:space="preserve">, Yeh CH, Tsai TC, Yu WL. Acute symptomatic hydrocephalus in Listeria monocytogenes meningitis. </w:t>
      </w:r>
      <w:r w:rsidRPr="007256CE">
        <w:rPr>
          <w:rFonts w:ascii="Book Antiqua" w:hAnsi="Book Antiqua"/>
          <w:i/>
          <w:sz w:val="24"/>
        </w:rPr>
        <w:t>J Microbiol Immunol Infect</w:t>
      </w:r>
      <w:r w:rsidRPr="007256CE">
        <w:rPr>
          <w:rFonts w:ascii="Book Antiqua" w:hAnsi="Book Antiqua"/>
          <w:sz w:val="24"/>
        </w:rPr>
        <w:t xml:space="preserve"> 2006; </w:t>
      </w:r>
      <w:r w:rsidRPr="007256CE">
        <w:rPr>
          <w:rFonts w:ascii="Book Antiqua" w:hAnsi="Book Antiqua"/>
          <w:b/>
          <w:sz w:val="24"/>
        </w:rPr>
        <w:t>39</w:t>
      </w:r>
      <w:r w:rsidRPr="007256CE">
        <w:rPr>
          <w:rFonts w:ascii="Book Antiqua" w:hAnsi="Book Antiqua"/>
          <w:sz w:val="24"/>
        </w:rPr>
        <w:t>: 255-258 [PMID: 16783458]</w:t>
      </w:r>
    </w:p>
    <w:p w:rsidR="007256CE" w:rsidRPr="007256CE" w:rsidRDefault="007256CE" w:rsidP="007256CE">
      <w:pPr>
        <w:spacing w:line="360" w:lineRule="auto"/>
        <w:rPr>
          <w:rFonts w:ascii="Book Antiqua" w:hAnsi="Book Antiqua"/>
          <w:sz w:val="24"/>
        </w:rPr>
      </w:pPr>
      <w:r w:rsidRPr="007256CE">
        <w:rPr>
          <w:rFonts w:ascii="Book Antiqua" w:hAnsi="Book Antiqua"/>
          <w:sz w:val="24"/>
        </w:rPr>
        <w:t xml:space="preserve">37 </w:t>
      </w:r>
      <w:r w:rsidRPr="007256CE">
        <w:rPr>
          <w:rFonts w:ascii="Book Antiqua" w:hAnsi="Book Antiqua"/>
          <w:b/>
          <w:sz w:val="24"/>
        </w:rPr>
        <w:t>Rana F</w:t>
      </w:r>
      <w:r w:rsidRPr="007256CE">
        <w:rPr>
          <w:rFonts w:ascii="Book Antiqua" w:hAnsi="Book Antiqua"/>
          <w:sz w:val="24"/>
        </w:rPr>
        <w:t xml:space="preserve">, Shaikh MM, Bowles J. Listeria meningitis and resultant symptomatic hydrocephalus complicating infliximab treatment for ulcerative colitis. </w:t>
      </w:r>
      <w:r w:rsidRPr="007256CE">
        <w:rPr>
          <w:rFonts w:ascii="Book Antiqua" w:hAnsi="Book Antiqua"/>
          <w:i/>
          <w:sz w:val="24"/>
        </w:rPr>
        <w:t>JRSM Open</w:t>
      </w:r>
      <w:r w:rsidRPr="007256CE">
        <w:rPr>
          <w:rFonts w:ascii="Book Antiqua" w:hAnsi="Book Antiqua"/>
          <w:sz w:val="24"/>
        </w:rPr>
        <w:t xml:space="preserve"> 2014; </w:t>
      </w:r>
      <w:r w:rsidRPr="007256CE">
        <w:rPr>
          <w:rFonts w:ascii="Book Antiqua" w:hAnsi="Book Antiqua"/>
          <w:b/>
          <w:sz w:val="24"/>
        </w:rPr>
        <w:t>5</w:t>
      </w:r>
      <w:r w:rsidRPr="007256CE">
        <w:rPr>
          <w:rFonts w:ascii="Book Antiqua" w:hAnsi="Book Antiqua"/>
          <w:sz w:val="24"/>
        </w:rPr>
        <w:t>: 2054270414522223 [PMID: 25057381 DOI: 10.1177/2054270414522223]</w:t>
      </w:r>
    </w:p>
    <w:p w:rsidR="00E75155" w:rsidRPr="007256CE" w:rsidRDefault="00E75155" w:rsidP="007256CE">
      <w:pPr>
        <w:spacing w:line="360" w:lineRule="auto"/>
        <w:rPr>
          <w:rFonts w:ascii="Book Antiqua" w:hAnsi="Book Antiqua" w:cs="Calibri"/>
          <w:sz w:val="24"/>
        </w:rPr>
      </w:pPr>
    </w:p>
    <w:p w:rsidR="003208B4" w:rsidRPr="007256CE" w:rsidRDefault="003208B4" w:rsidP="007256CE">
      <w:pPr>
        <w:pStyle w:val="PlainText"/>
        <w:spacing w:line="360" w:lineRule="auto"/>
        <w:jc w:val="right"/>
        <w:rPr>
          <w:rFonts w:ascii="Book Antiqua" w:hAnsi="Book Antiqua"/>
          <w:b/>
          <w:sz w:val="24"/>
          <w:szCs w:val="24"/>
        </w:rPr>
      </w:pPr>
      <w:r w:rsidRPr="007256CE">
        <w:rPr>
          <w:rFonts w:ascii="Book Antiqua" w:hAnsi="Book Antiqua"/>
          <w:b/>
          <w:sz w:val="24"/>
          <w:szCs w:val="24"/>
        </w:rPr>
        <w:t xml:space="preserve">P-Reviewer: </w:t>
      </w:r>
      <w:r w:rsidR="00E50F87" w:rsidRPr="007256CE">
        <w:rPr>
          <w:rFonts w:ascii="Book Antiqua" w:hAnsi="Book Antiqua"/>
          <w:color w:val="000000"/>
          <w:sz w:val="24"/>
          <w:szCs w:val="24"/>
        </w:rPr>
        <w:t xml:space="preserve">Bhalla AS, Chowdhury FH, Vaudo G </w:t>
      </w:r>
      <w:r w:rsidRPr="007256CE">
        <w:rPr>
          <w:rFonts w:ascii="Book Antiqua" w:hAnsi="Book Antiqua"/>
          <w:b/>
          <w:sz w:val="24"/>
          <w:szCs w:val="24"/>
        </w:rPr>
        <w:t xml:space="preserve">S-Editor: </w:t>
      </w:r>
      <w:r w:rsidRPr="007256CE">
        <w:rPr>
          <w:rFonts w:ascii="Book Antiqua" w:hAnsi="Book Antiqua"/>
          <w:sz w:val="24"/>
          <w:szCs w:val="24"/>
        </w:rPr>
        <w:t>Ji FF</w:t>
      </w:r>
      <w:r w:rsidRPr="007256CE">
        <w:rPr>
          <w:rFonts w:ascii="Book Antiqua" w:hAnsi="Book Antiqua"/>
          <w:b/>
          <w:sz w:val="24"/>
          <w:szCs w:val="24"/>
        </w:rPr>
        <w:t xml:space="preserve"> L-Editor: E-Editor: </w:t>
      </w:r>
    </w:p>
    <w:p w:rsidR="003208B4" w:rsidRPr="007256CE" w:rsidRDefault="003208B4" w:rsidP="007256CE">
      <w:pPr>
        <w:pStyle w:val="PlainText"/>
        <w:spacing w:line="360" w:lineRule="auto"/>
        <w:rPr>
          <w:rFonts w:ascii="Book Antiqua" w:hAnsi="Book Antiqua"/>
          <w:b/>
          <w:sz w:val="24"/>
          <w:szCs w:val="24"/>
        </w:rPr>
      </w:pPr>
      <w:r w:rsidRPr="007256CE">
        <w:rPr>
          <w:rFonts w:ascii="Book Antiqua" w:hAnsi="Book Antiqua"/>
          <w:b/>
          <w:sz w:val="24"/>
          <w:szCs w:val="24"/>
        </w:rPr>
        <w:t xml:space="preserve"> </w:t>
      </w:r>
    </w:p>
    <w:p w:rsidR="003208B4" w:rsidRPr="007256CE" w:rsidRDefault="003208B4" w:rsidP="007256CE">
      <w:pPr>
        <w:widowControl/>
        <w:snapToGrid w:val="0"/>
        <w:spacing w:line="360" w:lineRule="auto"/>
        <w:rPr>
          <w:rFonts w:ascii="Book Antiqua" w:eastAsia="SimSun" w:hAnsi="Book Antiqua" w:cs="Helvetica"/>
          <w:b/>
          <w:kern w:val="0"/>
          <w:sz w:val="24"/>
        </w:rPr>
      </w:pPr>
      <w:r w:rsidRPr="007256CE">
        <w:rPr>
          <w:rFonts w:ascii="Book Antiqua" w:eastAsia="SimSun" w:hAnsi="Book Antiqua" w:cs="Helvetica"/>
          <w:b/>
          <w:kern w:val="0"/>
          <w:sz w:val="24"/>
        </w:rPr>
        <w:t xml:space="preserve">Specialty type: </w:t>
      </w:r>
      <w:r w:rsidR="00E50F87" w:rsidRPr="007256CE">
        <w:rPr>
          <w:rFonts w:ascii="Book Antiqua" w:eastAsia="Microsoft YaHei" w:hAnsi="Book Antiqua" w:cs="SimSun"/>
          <w:kern w:val="0"/>
          <w:sz w:val="24"/>
        </w:rPr>
        <w:t>Medicine, research and experimental</w:t>
      </w:r>
    </w:p>
    <w:p w:rsidR="003208B4" w:rsidRPr="007256CE" w:rsidRDefault="003208B4" w:rsidP="007256CE">
      <w:pPr>
        <w:widowControl/>
        <w:snapToGrid w:val="0"/>
        <w:spacing w:line="360" w:lineRule="auto"/>
        <w:rPr>
          <w:rFonts w:ascii="Book Antiqua" w:eastAsia="SimSun" w:hAnsi="Book Antiqua" w:cs="Helvetica"/>
          <w:b/>
          <w:kern w:val="0"/>
          <w:sz w:val="24"/>
        </w:rPr>
      </w:pPr>
      <w:r w:rsidRPr="007256CE">
        <w:rPr>
          <w:rFonts w:ascii="Book Antiqua" w:eastAsia="SimSun" w:hAnsi="Book Antiqua" w:cs="Helvetica"/>
          <w:b/>
          <w:kern w:val="0"/>
          <w:sz w:val="24"/>
        </w:rPr>
        <w:t xml:space="preserve">Country of origin: </w:t>
      </w:r>
      <w:r w:rsidR="00E50F87" w:rsidRPr="007256CE">
        <w:rPr>
          <w:rFonts w:ascii="Book Antiqua" w:eastAsia="SimSun" w:hAnsi="Book Antiqua"/>
          <w:kern w:val="0"/>
          <w:sz w:val="24"/>
        </w:rPr>
        <w:t>China</w:t>
      </w:r>
    </w:p>
    <w:p w:rsidR="003208B4" w:rsidRPr="007256CE" w:rsidRDefault="003208B4" w:rsidP="007256CE">
      <w:pPr>
        <w:widowControl/>
        <w:snapToGrid w:val="0"/>
        <w:spacing w:line="360" w:lineRule="auto"/>
        <w:rPr>
          <w:rFonts w:ascii="Book Antiqua" w:eastAsia="SimSun" w:hAnsi="Book Antiqua" w:cs="Helvetica"/>
          <w:b/>
          <w:kern w:val="0"/>
          <w:sz w:val="24"/>
        </w:rPr>
      </w:pPr>
      <w:r w:rsidRPr="007256CE">
        <w:rPr>
          <w:rFonts w:ascii="Book Antiqua" w:eastAsia="SimSun" w:hAnsi="Book Antiqua" w:cs="Helvetica"/>
          <w:b/>
          <w:kern w:val="0"/>
          <w:sz w:val="24"/>
        </w:rPr>
        <w:t>Peer-review report classification</w:t>
      </w:r>
    </w:p>
    <w:p w:rsidR="003208B4" w:rsidRPr="007256CE" w:rsidRDefault="003208B4" w:rsidP="007256CE">
      <w:pPr>
        <w:widowControl/>
        <w:snapToGrid w:val="0"/>
        <w:spacing w:line="360" w:lineRule="auto"/>
        <w:rPr>
          <w:rFonts w:ascii="Book Antiqua" w:eastAsia="SimSun" w:hAnsi="Book Antiqua" w:cs="Helvetica"/>
          <w:kern w:val="0"/>
          <w:sz w:val="24"/>
        </w:rPr>
      </w:pPr>
      <w:r w:rsidRPr="007256CE">
        <w:rPr>
          <w:rFonts w:ascii="Book Antiqua" w:eastAsia="SimSun" w:hAnsi="Book Antiqua" w:cs="Helvetica"/>
          <w:kern w:val="0"/>
          <w:sz w:val="24"/>
        </w:rPr>
        <w:t xml:space="preserve">Grade A (Excellent): </w:t>
      </w:r>
      <w:r w:rsidR="00E50F87" w:rsidRPr="007256CE">
        <w:rPr>
          <w:rFonts w:ascii="Book Antiqua" w:eastAsia="SimSun" w:hAnsi="Book Antiqua" w:cs="Helvetica"/>
          <w:kern w:val="0"/>
          <w:sz w:val="24"/>
        </w:rPr>
        <w:t>0</w:t>
      </w:r>
    </w:p>
    <w:p w:rsidR="003208B4" w:rsidRPr="007256CE" w:rsidRDefault="003208B4" w:rsidP="007256CE">
      <w:pPr>
        <w:widowControl/>
        <w:snapToGrid w:val="0"/>
        <w:spacing w:line="360" w:lineRule="auto"/>
        <w:rPr>
          <w:rFonts w:ascii="Book Antiqua" w:eastAsia="SimSun" w:hAnsi="Book Antiqua" w:cs="Helvetica"/>
          <w:kern w:val="0"/>
          <w:sz w:val="24"/>
        </w:rPr>
      </w:pPr>
      <w:r w:rsidRPr="007256CE">
        <w:rPr>
          <w:rFonts w:ascii="Book Antiqua" w:eastAsia="SimSun" w:hAnsi="Book Antiqua" w:cs="Helvetica"/>
          <w:kern w:val="0"/>
          <w:sz w:val="24"/>
        </w:rPr>
        <w:t>Grade B (Very good): B</w:t>
      </w:r>
    </w:p>
    <w:p w:rsidR="003208B4" w:rsidRPr="007256CE" w:rsidRDefault="003208B4" w:rsidP="007256CE">
      <w:pPr>
        <w:widowControl/>
        <w:snapToGrid w:val="0"/>
        <w:spacing w:line="360" w:lineRule="auto"/>
        <w:rPr>
          <w:rFonts w:ascii="Book Antiqua" w:eastAsia="SimSun" w:hAnsi="Book Antiqua" w:cs="Helvetica"/>
          <w:kern w:val="0"/>
          <w:sz w:val="24"/>
        </w:rPr>
      </w:pPr>
      <w:r w:rsidRPr="007256CE">
        <w:rPr>
          <w:rFonts w:ascii="Book Antiqua" w:eastAsia="SimSun" w:hAnsi="Book Antiqua" w:cs="Helvetica"/>
          <w:kern w:val="0"/>
          <w:sz w:val="24"/>
        </w:rPr>
        <w:t>Grade C (Good): C</w:t>
      </w:r>
      <w:r w:rsidR="00E50F87" w:rsidRPr="007256CE">
        <w:rPr>
          <w:rFonts w:ascii="Book Antiqua" w:eastAsia="SimSun" w:hAnsi="Book Antiqua" w:cs="Helvetica"/>
          <w:kern w:val="0"/>
          <w:sz w:val="24"/>
        </w:rPr>
        <w:t>, C</w:t>
      </w:r>
    </w:p>
    <w:p w:rsidR="003208B4" w:rsidRPr="007256CE" w:rsidRDefault="003208B4" w:rsidP="007256CE">
      <w:pPr>
        <w:widowControl/>
        <w:snapToGrid w:val="0"/>
        <w:spacing w:line="360" w:lineRule="auto"/>
        <w:rPr>
          <w:rFonts w:ascii="Book Antiqua" w:eastAsia="SimSun" w:hAnsi="Book Antiqua" w:cs="Helvetica"/>
          <w:kern w:val="0"/>
          <w:sz w:val="24"/>
        </w:rPr>
      </w:pPr>
      <w:r w:rsidRPr="007256CE">
        <w:rPr>
          <w:rFonts w:ascii="Book Antiqua" w:eastAsia="SimSun" w:hAnsi="Book Antiqua" w:cs="Helvetica"/>
          <w:kern w:val="0"/>
          <w:sz w:val="24"/>
        </w:rPr>
        <w:t xml:space="preserve">Grade D (Fair): 0 </w:t>
      </w:r>
    </w:p>
    <w:p w:rsidR="00E75155" w:rsidRPr="007256CE" w:rsidRDefault="003208B4" w:rsidP="007256CE">
      <w:pPr>
        <w:spacing w:line="360" w:lineRule="auto"/>
        <w:rPr>
          <w:rFonts w:ascii="Book Antiqua" w:hAnsi="Book Antiqua" w:cs="Calibri"/>
          <w:sz w:val="24"/>
        </w:rPr>
      </w:pPr>
      <w:r w:rsidRPr="007256CE">
        <w:rPr>
          <w:rFonts w:ascii="Book Antiqua" w:eastAsia="SimSun" w:hAnsi="Book Antiqua" w:cs="Helvetica"/>
          <w:kern w:val="0"/>
          <w:sz w:val="24"/>
        </w:rPr>
        <w:t>Grade E (Poor): 0</w:t>
      </w:r>
    </w:p>
    <w:p w:rsidR="00E50F87" w:rsidRPr="007256CE" w:rsidRDefault="00E50F87" w:rsidP="007256CE">
      <w:pPr>
        <w:widowControl/>
        <w:spacing w:line="360" w:lineRule="auto"/>
        <w:rPr>
          <w:rFonts w:ascii="Book Antiqua" w:hAnsi="Book Antiqua" w:cs="Calibri"/>
          <w:sz w:val="24"/>
        </w:rPr>
      </w:pPr>
      <w:r w:rsidRPr="007256CE">
        <w:rPr>
          <w:rFonts w:ascii="Book Antiqua" w:hAnsi="Book Antiqua" w:cs="Calibri"/>
          <w:sz w:val="24"/>
        </w:rPr>
        <w:br w:type="page"/>
      </w:r>
    </w:p>
    <w:p w:rsidR="00E75155" w:rsidRPr="00BE56E1" w:rsidRDefault="00E75155" w:rsidP="00BE56E1">
      <w:pPr>
        <w:spacing w:line="360" w:lineRule="auto"/>
        <w:rPr>
          <w:rFonts w:ascii="Book Antiqua" w:hAnsi="Book Antiqua"/>
          <w:sz w:val="24"/>
        </w:rPr>
      </w:pPr>
    </w:p>
    <w:p w:rsidR="00E75155" w:rsidRPr="00BE56E1" w:rsidRDefault="00F813D0" w:rsidP="00BE56E1">
      <w:pPr>
        <w:spacing w:line="360" w:lineRule="auto"/>
        <w:rPr>
          <w:rFonts w:ascii="Book Antiqua" w:hAnsi="Book Antiqua"/>
          <w:sz w:val="24"/>
        </w:rPr>
      </w:pPr>
      <w:r w:rsidRPr="00BE56E1">
        <w:rPr>
          <w:rFonts w:ascii="Book Antiqua" w:hAnsi="Book Antiqua"/>
          <w:noProof/>
          <w:sz w:val="24"/>
        </w:rPr>
        <w:drawing>
          <wp:inline distT="0" distB="0" distL="114300" distR="114300" wp14:anchorId="23625D03" wp14:editId="0F96F0C5">
            <wp:extent cx="3544570" cy="1800225"/>
            <wp:effectExtent l="0" t="0" r="17780" b="9525"/>
            <wp:docPr id="3" name="图片 3" descr="终MRI1_副本_副本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终MRI1_副本_副本_副本_副本"/>
                    <pic:cNvPicPr>
                      <a:picLocks noChangeAspect="1"/>
                    </pic:cNvPicPr>
                  </pic:nvPicPr>
                  <pic:blipFill>
                    <a:blip r:embed="rId9" cstate="print"/>
                    <a:stretch>
                      <a:fillRect/>
                    </a:stretch>
                  </pic:blipFill>
                  <pic:spPr>
                    <a:xfrm>
                      <a:off x="0" y="0"/>
                      <a:ext cx="3544570" cy="1800225"/>
                    </a:xfrm>
                    <a:prstGeom prst="rect">
                      <a:avLst/>
                    </a:prstGeom>
                  </pic:spPr>
                </pic:pic>
              </a:graphicData>
            </a:graphic>
          </wp:inline>
        </w:drawing>
      </w:r>
    </w:p>
    <w:p w:rsidR="00E75155" w:rsidRPr="00E50F87" w:rsidRDefault="00F813D0" w:rsidP="00BE56E1">
      <w:pPr>
        <w:spacing w:line="360" w:lineRule="auto"/>
        <w:rPr>
          <w:rFonts w:ascii="Book Antiqua" w:eastAsia="SimSun" w:hAnsi="Book Antiqua" w:cs="Calibri"/>
          <w:b/>
          <w:kern w:val="0"/>
          <w:sz w:val="24"/>
        </w:rPr>
      </w:pPr>
      <w:r w:rsidRPr="00E50F87">
        <w:rPr>
          <w:rFonts w:ascii="Book Antiqua" w:eastAsia="SimSun" w:hAnsi="Book Antiqua" w:cs="Calibri"/>
          <w:b/>
          <w:bCs/>
          <w:kern w:val="0"/>
          <w:sz w:val="24"/>
        </w:rPr>
        <w:t xml:space="preserve">Figure 1 </w:t>
      </w:r>
      <w:r w:rsidRPr="00E50F87">
        <w:rPr>
          <w:rFonts w:ascii="Book Antiqua" w:eastAsia="SimSun" w:hAnsi="Book Antiqua" w:cs="Calibri"/>
          <w:b/>
          <w:kern w:val="0"/>
          <w:sz w:val="24"/>
        </w:rPr>
        <w:t xml:space="preserve">Axial brian T2-FLAIR </w:t>
      </w:r>
      <w:r w:rsidR="00935BE0" w:rsidRPr="00935BE0">
        <w:rPr>
          <w:rFonts w:ascii="Book Antiqua" w:eastAsia="SimSun" w:hAnsi="Book Antiqua" w:cs="Calibri"/>
          <w:b/>
          <w:kern w:val="0"/>
          <w:sz w:val="24"/>
        </w:rPr>
        <w:t xml:space="preserve">magnetic resonance imaging </w:t>
      </w:r>
      <w:r w:rsidRPr="00E50F87">
        <w:rPr>
          <w:rFonts w:ascii="Book Antiqua" w:eastAsia="SimSun" w:hAnsi="Book Antiqua" w:cs="Calibri"/>
          <w:b/>
          <w:kern w:val="0"/>
          <w:sz w:val="24"/>
        </w:rPr>
        <w:t>shows hyperintense lesion of the right pons (A, white arrow), and prominent temporal horns with enlargement of ventricleson (B) on 4</w:t>
      </w:r>
      <w:r w:rsidRPr="00E50F87">
        <w:rPr>
          <w:rFonts w:ascii="Book Antiqua" w:eastAsia="SimSun" w:hAnsi="Book Antiqua" w:cs="Calibri"/>
          <w:b/>
          <w:kern w:val="0"/>
          <w:sz w:val="24"/>
          <w:vertAlign w:val="superscript"/>
        </w:rPr>
        <w:t>th</w:t>
      </w:r>
      <w:r w:rsidR="00935BE0">
        <w:rPr>
          <w:rFonts w:ascii="Book Antiqua" w:eastAsia="SimSun" w:hAnsi="Book Antiqua" w:cs="Calibri"/>
          <w:b/>
          <w:kern w:val="0"/>
          <w:sz w:val="24"/>
        </w:rPr>
        <w:t xml:space="preserve"> d</w:t>
      </w:r>
      <w:r w:rsidRPr="00E50F87">
        <w:rPr>
          <w:rFonts w:ascii="Book Antiqua" w:eastAsia="SimSun" w:hAnsi="Book Antiqua" w:cs="Calibri"/>
          <w:b/>
          <w:kern w:val="0"/>
          <w:sz w:val="24"/>
        </w:rPr>
        <w:t xml:space="preserve"> of administration.</w:t>
      </w:r>
    </w:p>
    <w:p w:rsidR="00E75155" w:rsidRPr="00935BE0" w:rsidRDefault="00E75155" w:rsidP="00BE56E1">
      <w:pPr>
        <w:spacing w:line="360" w:lineRule="auto"/>
        <w:rPr>
          <w:rFonts w:ascii="Book Antiqua" w:eastAsia="SimSun" w:hAnsi="Book Antiqua" w:cs="Calibri"/>
          <w:kern w:val="0"/>
          <w:sz w:val="24"/>
        </w:rPr>
      </w:pPr>
    </w:p>
    <w:p w:rsidR="00E75155" w:rsidRPr="00BE56E1" w:rsidRDefault="00F813D0" w:rsidP="00BE56E1">
      <w:pPr>
        <w:spacing w:line="360" w:lineRule="auto"/>
        <w:rPr>
          <w:rFonts w:ascii="Book Antiqua" w:eastAsia="SimSun" w:hAnsi="Book Antiqua" w:cs="Calibri"/>
          <w:kern w:val="0"/>
          <w:sz w:val="24"/>
        </w:rPr>
      </w:pPr>
      <w:r w:rsidRPr="00BE56E1">
        <w:rPr>
          <w:rFonts w:ascii="Book Antiqua" w:hAnsi="Book Antiqua"/>
          <w:noProof/>
          <w:sz w:val="24"/>
        </w:rPr>
        <w:drawing>
          <wp:inline distT="0" distB="0" distL="114300" distR="114300" wp14:anchorId="2C9F5D48" wp14:editId="78CA50F8">
            <wp:extent cx="3504565" cy="1800225"/>
            <wp:effectExtent l="0" t="0" r="63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cstate="print"/>
                    <a:stretch>
                      <a:fillRect/>
                    </a:stretch>
                  </pic:blipFill>
                  <pic:spPr>
                    <a:xfrm>
                      <a:off x="0" y="0"/>
                      <a:ext cx="3504565" cy="1800225"/>
                    </a:xfrm>
                    <a:prstGeom prst="rect">
                      <a:avLst/>
                    </a:prstGeom>
                    <a:noFill/>
                    <a:ln w="9525">
                      <a:noFill/>
                    </a:ln>
                  </pic:spPr>
                </pic:pic>
              </a:graphicData>
            </a:graphic>
          </wp:inline>
        </w:drawing>
      </w:r>
    </w:p>
    <w:p w:rsidR="00E75155" w:rsidRPr="00CB44E8" w:rsidRDefault="00F813D0" w:rsidP="00BE56E1">
      <w:pPr>
        <w:spacing w:line="360" w:lineRule="auto"/>
        <w:rPr>
          <w:rFonts w:ascii="Book Antiqua" w:eastAsia="SimSun" w:hAnsi="Book Antiqua" w:cs="Calibri"/>
          <w:b/>
          <w:kern w:val="0"/>
          <w:sz w:val="24"/>
        </w:rPr>
      </w:pPr>
      <w:r w:rsidRPr="00CB44E8">
        <w:rPr>
          <w:rFonts w:ascii="Book Antiqua" w:eastAsia="SimSun" w:hAnsi="Book Antiqua" w:cs="Calibri"/>
          <w:b/>
          <w:bCs/>
          <w:kern w:val="0"/>
          <w:sz w:val="24"/>
        </w:rPr>
        <w:t>Figure 2</w:t>
      </w:r>
      <w:r w:rsidRPr="00CB44E8">
        <w:rPr>
          <w:rFonts w:ascii="Book Antiqua" w:eastAsia="SimSun" w:hAnsi="Book Antiqua" w:cs="Calibri"/>
          <w:b/>
          <w:kern w:val="0"/>
          <w:sz w:val="24"/>
        </w:rPr>
        <w:t xml:space="preserve"> Axial brain </w:t>
      </w:r>
      <w:r w:rsidR="005C0336">
        <w:rPr>
          <w:rFonts w:ascii="Book Antiqua" w:eastAsia="SimSun" w:hAnsi="Book Antiqua" w:cs="Calibri" w:hint="eastAsia"/>
          <w:b/>
          <w:kern w:val="0"/>
          <w:sz w:val="24"/>
        </w:rPr>
        <w:t>computed tomography</w:t>
      </w:r>
      <w:r w:rsidRPr="00CB44E8">
        <w:rPr>
          <w:rFonts w:ascii="Book Antiqua" w:eastAsia="SimSun" w:hAnsi="Book Antiqua" w:cs="Calibri"/>
          <w:b/>
          <w:kern w:val="0"/>
          <w:sz w:val="24"/>
        </w:rPr>
        <w:t xml:space="preserve"> shows hemorrhage of the right pons (A, white arrow), and gross hydrocephalus and hemorrhage (B, white arrow)</w:t>
      </w:r>
      <w:r w:rsidR="00CB44E8" w:rsidRPr="00CB44E8">
        <w:rPr>
          <w:rFonts w:ascii="Book Antiqua" w:eastAsia="SimSun" w:hAnsi="Book Antiqua" w:cs="Calibri" w:hint="eastAsia"/>
          <w:b/>
          <w:kern w:val="0"/>
          <w:sz w:val="24"/>
        </w:rPr>
        <w:t xml:space="preserve"> </w:t>
      </w:r>
      <w:r w:rsidRPr="00CB44E8">
        <w:rPr>
          <w:rFonts w:ascii="Book Antiqua" w:eastAsia="SimSun" w:hAnsi="Book Antiqua" w:cs="Calibri"/>
          <w:b/>
          <w:kern w:val="0"/>
          <w:sz w:val="24"/>
        </w:rPr>
        <w:t>on the 14</w:t>
      </w:r>
      <w:r w:rsidRPr="00CB44E8">
        <w:rPr>
          <w:rFonts w:ascii="Book Antiqua" w:eastAsia="SimSun" w:hAnsi="Book Antiqua" w:cs="Calibri"/>
          <w:b/>
          <w:kern w:val="0"/>
          <w:sz w:val="24"/>
          <w:vertAlign w:val="superscript"/>
        </w:rPr>
        <w:t>th</w:t>
      </w:r>
      <w:r w:rsidRPr="00CB44E8">
        <w:rPr>
          <w:rFonts w:ascii="Book Antiqua" w:eastAsia="SimSun" w:hAnsi="Book Antiqua" w:cs="Calibri"/>
          <w:b/>
          <w:kern w:val="0"/>
          <w:sz w:val="24"/>
        </w:rPr>
        <w:t xml:space="preserve"> </w:t>
      </w:r>
      <w:r w:rsidR="00935BE0">
        <w:rPr>
          <w:rFonts w:ascii="Book Antiqua" w:eastAsia="SimSun" w:hAnsi="Book Antiqua" w:cs="Calibri" w:hint="eastAsia"/>
          <w:b/>
          <w:kern w:val="0"/>
          <w:sz w:val="24"/>
        </w:rPr>
        <w:t>d</w:t>
      </w:r>
      <w:r w:rsidRPr="00CB44E8">
        <w:rPr>
          <w:rFonts w:ascii="Book Antiqua" w:eastAsia="SimSun" w:hAnsi="Book Antiqua" w:cs="Calibri"/>
          <w:b/>
          <w:kern w:val="0"/>
          <w:sz w:val="24"/>
        </w:rPr>
        <w:t xml:space="preserve"> of administration.</w:t>
      </w:r>
    </w:p>
    <w:p w:rsidR="00E75155" w:rsidRPr="00935BE0" w:rsidRDefault="00E75155" w:rsidP="00BE56E1">
      <w:pPr>
        <w:spacing w:line="360" w:lineRule="auto"/>
        <w:rPr>
          <w:rFonts w:ascii="Book Antiqua" w:eastAsia="SimSun" w:hAnsi="Book Antiqua" w:cs="Calibri"/>
          <w:kern w:val="0"/>
          <w:sz w:val="24"/>
        </w:rPr>
      </w:pPr>
    </w:p>
    <w:p w:rsidR="00E75155" w:rsidRPr="00BE56E1" w:rsidRDefault="00F813D0" w:rsidP="00BE56E1">
      <w:pPr>
        <w:spacing w:line="360" w:lineRule="auto"/>
        <w:rPr>
          <w:rFonts w:ascii="Book Antiqua" w:eastAsia="SimSun" w:hAnsi="Book Antiqua" w:cs="Calibri"/>
          <w:kern w:val="0"/>
          <w:sz w:val="24"/>
        </w:rPr>
      </w:pPr>
      <w:r w:rsidRPr="00BE56E1">
        <w:rPr>
          <w:rFonts w:ascii="Book Antiqua" w:hAnsi="Book Antiqua"/>
          <w:noProof/>
          <w:sz w:val="24"/>
        </w:rPr>
        <w:drawing>
          <wp:inline distT="0" distB="0" distL="114300" distR="114300" wp14:anchorId="049134AE" wp14:editId="519EB0FB">
            <wp:extent cx="3260090" cy="1800225"/>
            <wp:effectExtent l="0" t="0" r="1651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cstate="print"/>
                    <a:stretch>
                      <a:fillRect/>
                    </a:stretch>
                  </pic:blipFill>
                  <pic:spPr>
                    <a:xfrm>
                      <a:off x="0" y="0"/>
                      <a:ext cx="3260090" cy="1800225"/>
                    </a:xfrm>
                    <a:prstGeom prst="rect">
                      <a:avLst/>
                    </a:prstGeom>
                    <a:noFill/>
                    <a:ln w="9525">
                      <a:noFill/>
                    </a:ln>
                  </pic:spPr>
                </pic:pic>
              </a:graphicData>
            </a:graphic>
          </wp:inline>
        </w:drawing>
      </w:r>
    </w:p>
    <w:p w:rsidR="00E75155" w:rsidRPr="00BE56E1" w:rsidRDefault="00E75155" w:rsidP="00BE56E1">
      <w:pPr>
        <w:spacing w:line="360" w:lineRule="auto"/>
        <w:rPr>
          <w:rFonts w:ascii="Book Antiqua" w:eastAsia="SimSun" w:hAnsi="Book Antiqua" w:cs="Calibri"/>
          <w:kern w:val="0"/>
          <w:sz w:val="24"/>
        </w:rPr>
      </w:pPr>
    </w:p>
    <w:p w:rsidR="00E75155" w:rsidRPr="00BE56E1" w:rsidRDefault="00E75155" w:rsidP="00BE56E1">
      <w:pPr>
        <w:spacing w:line="360" w:lineRule="auto"/>
        <w:rPr>
          <w:rFonts w:ascii="Book Antiqua" w:eastAsia="SimSun" w:hAnsi="Book Antiqua" w:cs="Calibri"/>
          <w:kern w:val="0"/>
          <w:sz w:val="24"/>
        </w:rPr>
      </w:pPr>
    </w:p>
    <w:p w:rsidR="00E75155" w:rsidRPr="00CB44E8" w:rsidRDefault="00F813D0" w:rsidP="00BE56E1">
      <w:pPr>
        <w:spacing w:line="360" w:lineRule="auto"/>
        <w:rPr>
          <w:rFonts w:ascii="Book Antiqua" w:eastAsia="SimSun" w:hAnsi="Book Antiqua" w:cs="Calibri"/>
          <w:b/>
          <w:kern w:val="0"/>
          <w:sz w:val="24"/>
        </w:rPr>
      </w:pPr>
      <w:r w:rsidRPr="00CB44E8">
        <w:rPr>
          <w:rFonts w:ascii="Book Antiqua" w:eastAsia="SimSun" w:hAnsi="Book Antiqua" w:cs="Calibri"/>
          <w:b/>
          <w:bCs/>
          <w:kern w:val="0"/>
          <w:sz w:val="24"/>
        </w:rPr>
        <w:t>Figure 3</w:t>
      </w:r>
      <w:r w:rsidRPr="00CB44E8">
        <w:rPr>
          <w:rFonts w:ascii="Book Antiqua" w:eastAsia="SimSun" w:hAnsi="Book Antiqua" w:cs="Calibri"/>
          <w:b/>
          <w:kern w:val="0"/>
          <w:sz w:val="24"/>
        </w:rPr>
        <w:t xml:space="preserve"> Axial brain </w:t>
      </w:r>
      <w:r w:rsidR="00DC18D9">
        <w:rPr>
          <w:rFonts w:ascii="Book Antiqua" w:eastAsia="SimSun" w:hAnsi="Book Antiqua" w:cs="Calibri" w:hint="eastAsia"/>
          <w:b/>
          <w:kern w:val="0"/>
          <w:sz w:val="24"/>
        </w:rPr>
        <w:t>computed tomography</w:t>
      </w:r>
      <w:r w:rsidR="00DC18D9" w:rsidRPr="00CB44E8">
        <w:rPr>
          <w:rFonts w:ascii="Book Antiqua" w:eastAsia="SimSun" w:hAnsi="Book Antiqua" w:cs="Calibri"/>
          <w:b/>
          <w:kern w:val="0"/>
          <w:sz w:val="24"/>
        </w:rPr>
        <w:t xml:space="preserve"> </w:t>
      </w:r>
      <w:r w:rsidRPr="00CB44E8">
        <w:rPr>
          <w:rFonts w:ascii="Book Antiqua" w:eastAsia="SimSun" w:hAnsi="Book Antiqua" w:cs="Calibri"/>
          <w:b/>
          <w:kern w:val="0"/>
          <w:sz w:val="24"/>
        </w:rPr>
        <w:t>shows no improvement of hydrocephalus in the lateral ventricle on the 22</w:t>
      </w:r>
      <w:r w:rsidRPr="00CB44E8">
        <w:rPr>
          <w:rFonts w:ascii="Book Antiqua" w:eastAsia="SimSun" w:hAnsi="Book Antiqua" w:cs="Calibri"/>
          <w:b/>
          <w:kern w:val="0"/>
          <w:sz w:val="24"/>
          <w:vertAlign w:val="superscript"/>
        </w:rPr>
        <w:t>nd</w:t>
      </w:r>
      <w:r w:rsidRPr="00CB44E8">
        <w:rPr>
          <w:rFonts w:ascii="Book Antiqua" w:eastAsia="SimSun" w:hAnsi="Book Antiqua" w:cs="Calibri"/>
          <w:b/>
          <w:kern w:val="0"/>
          <w:sz w:val="24"/>
        </w:rPr>
        <w:t xml:space="preserve"> </w:t>
      </w:r>
      <w:r w:rsidR="00DC18D9">
        <w:rPr>
          <w:rFonts w:ascii="Book Antiqua" w:eastAsia="SimSun" w:hAnsi="Book Antiqua" w:cs="Calibri" w:hint="eastAsia"/>
          <w:b/>
          <w:kern w:val="0"/>
          <w:sz w:val="24"/>
        </w:rPr>
        <w:t>d</w:t>
      </w:r>
      <w:r w:rsidRPr="00CB44E8">
        <w:rPr>
          <w:rFonts w:ascii="Book Antiqua" w:eastAsia="SimSun" w:hAnsi="Book Antiqua" w:cs="Calibri"/>
          <w:b/>
          <w:kern w:val="0"/>
          <w:sz w:val="24"/>
        </w:rPr>
        <w:t xml:space="preserve"> of administration (A and B). </w:t>
      </w:r>
      <w:r w:rsidRPr="00CB44E8">
        <w:rPr>
          <w:rFonts w:ascii="Book Antiqua" w:eastAsia="SimSun" w:hAnsi="Book Antiqua" w:cs="Calibri"/>
          <w:kern w:val="0"/>
          <w:sz w:val="24"/>
        </w:rPr>
        <w:t>The ventriculostomy tube is also shown (B, white arrow).</w:t>
      </w:r>
    </w:p>
    <w:p w:rsidR="00E75155" w:rsidRPr="00BE56E1" w:rsidRDefault="00E75155" w:rsidP="00BE56E1">
      <w:pPr>
        <w:spacing w:line="360" w:lineRule="auto"/>
        <w:rPr>
          <w:rFonts w:ascii="Book Antiqua" w:eastAsia="SimSun" w:hAnsi="Book Antiqua" w:cs="Calibri"/>
          <w:kern w:val="0"/>
          <w:sz w:val="24"/>
        </w:rPr>
      </w:pPr>
    </w:p>
    <w:p w:rsidR="00E75155" w:rsidRPr="00BE56E1" w:rsidRDefault="00E75155" w:rsidP="00BE56E1">
      <w:pPr>
        <w:spacing w:line="360" w:lineRule="auto"/>
        <w:rPr>
          <w:rFonts w:ascii="Book Antiqua" w:eastAsia="SimSun" w:hAnsi="Book Antiqua" w:cs="Calibri"/>
          <w:kern w:val="0"/>
          <w:sz w:val="24"/>
        </w:rPr>
      </w:pPr>
    </w:p>
    <w:p w:rsidR="00E75155" w:rsidRPr="00BE56E1" w:rsidRDefault="00F813D0" w:rsidP="00BE56E1">
      <w:pPr>
        <w:spacing w:line="360" w:lineRule="auto"/>
        <w:rPr>
          <w:rFonts w:ascii="Book Antiqua" w:eastAsia="SimSun" w:hAnsi="Book Antiqua" w:cs="Calibri"/>
          <w:kern w:val="0"/>
          <w:sz w:val="24"/>
        </w:rPr>
      </w:pPr>
      <w:r w:rsidRPr="00BE56E1">
        <w:rPr>
          <w:rFonts w:ascii="Book Antiqua" w:hAnsi="Book Antiqua"/>
          <w:noProof/>
          <w:sz w:val="24"/>
        </w:rPr>
        <w:drawing>
          <wp:inline distT="0" distB="0" distL="114300" distR="114300" wp14:anchorId="4FF868BF" wp14:editId="07D73FE1">
            <wp:extent cx="3296285" cy="1800225"/>
            <wp:effectExtent l="0" t="0" r="1841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2" cstate="print"/>
                    <a:stretch>
                      <a:fillRect/>
                    </a:stretch>
                  </pic:blipFill>
                  <pic:spPr>
                    <a:xfrm>
                      <a:off x="0" y="0"/>
                      <a:ext cx="3296285" cy="1800225"/>
                    </a:xfrm>
                    <a:prstGeom prst="rect">
                      <a:avLst/>
                    </a:prstGeom>
                    <a:noFill/>
                    <a:ln w="9525">
                      <a:noFill/>
                    </a:ln>
                  </pic:spPr>
                </pic:pic>
              </a:graphicData>
            </a:graphic>
          </wp:inline>
        </w:drawing>
      </w:r>
    </w:p>
    <w:p w:rsidR="00E75155" w:rsidRPr="00BE56E1" w:rsidRDefault="00E75155" w:rsidP="00BE56E1">
      <w:pPr>
        <w:spacing w:line="360" w:lineRule="auto"/>
        <w:rPr>
          <w:rFonts w:ascii="Book Antiqua" w:eastAsia="SimSun" w:hAnsi="Book Antiqua" w:cs="Calibri"/>
          <w:kern w:val="0"/>
          <w:sz w:val="24"/>
        </w:rPr>
      </w:pPr>
    </w:p>
    <w:p w:rsidR="00E75155" w:rsidRPr="00CB44E8" w:rsidRDefault="00F813D0" w:rsidP="00BE56E1">
      <w:pPr>
        <w:spacing w:line="360" w:lineRule="auto"/>
        <w:rPr>
          <w:rFonts w:ascii="Book Antiqua" w:eastAsia="SimSun" w:hAnsi="Book Antiqua" w:cs="Calibri"/>
          <w:b/>
          <w:kern w:val="0"/>
          <w:sz w:val="24"/>
        </w:rPr>
        <w:sectPr w:rsidR="00E75155" w:rsidRPr="00CB44E8">
          <w:headerReference w:type="default" r:id="rId13"/>
          <w:pgSz w:w="11906" w:h="16838"/>
          <w:pgMar w:top="1440" w:right="1417" w:bottom="1440" w:left="1417" w:header="851" w:footer="992" w:gutter="0"/>
          <w:cols w:space="425"/>
          <w:docGrid w:type="lines" w:linePitch="312"/>
        </w:sectPr>
      </w:pPr>
      <w:r w:rsidRPr="00CB44E8">
        <w:rPr>
          <w:rFonts w:ascii="Book Antiqua" w:eastAsia="SimSun" w:hAnsi="Book Antiqua" w:cs="Calibri"/>
          <w:b/>
          <w:bCs/>
          <w:kern w:val="0"/>
          <w:sz w:val="24"/>
        </w:rPr>
        <w:t>Figure 4</w:t>
      </w:r>
      <w:r w:rsidRPr="00CB44E8">
        <w:rPr>
          <w:rFonts w:ascii="Book Antiqua" w:eastAsia="SimSun" w:hAnsi="Book Antiqua" w:cs="Calibri"/>
          <w:b/>
          <w:kern w:val="0"/>
          <w:sz w:val="24"/>
        </w:rPr>
        <w:t xml:space="preserve"> Axial brain </w:t>
      </w:r>
      <w:r w:rsidR="00366F3E">
        <w:rPr>
          <w:rFonts w:ascii="Book Antiqua" w:eastAsia="SimSun" w:hAnsi="Book Antiqua" w:cs="Calibri" w:hint="eastAsia"/>
          <w:b/>
          <w:kern w:val="0"/>
          <w:sz w:val="24"/>
        </w:rPr>
        <w:t>computed tomography</w:t>
      </w:r>
      <w:r w:rsidR="00366F3E" w:rsidRPr="00CB44E8">
        <w:rPr>
          <w:rFonts w:ascii="Book Antiqua" w:eastAsia="SimSun" w:hAnsi="Book Antiqua" w:cs="Calibri"/>
          <w:b/>
          <w:kern w:val="0"/>
          <w:sz w:val="24"/>
        </w:rPr>
        <w:t xml:space="preserve"> </w:t>
      </w:r>
      <w:r w:rsidRPr="00CB44E8">
        <w:rPr>
          <w:rFonts w:ascii="Book Antiqua" w:eastAsia="SimSun" w:hAnsi="Book Antiqua" w:cs="Calibri"/>
          <w:b/>
          <w:kern w:val="0"/>
          <w:sz w:val="24"/>
        </w:rPr>
        <w:t>shows rehaemorrhagia of the lateral ventricle and a larger ventricular system (A and B) on the 29</w:t>
      </w:r>
      <w:r w:rsidRPr="00CB44E8">
        <w:rPr>
          <w:rFonts w:ascii="Book Antiqua" w:eastAsia="SimSun" w:hAnsi="Book Antiqua" w:cs="Calibri"/>
          <w:b/>
          <w:kern w:val="0"/>
          <w:sz w:val="24"/>
          <w:vertAlign w:val="superscript"/>
        </w:rPr>
        <w:t>th</w:t>
      </w:r>
      <w:r w:rsidR="003071D2">
        <w:rPr>
          <w:rFonts w:ascii="Book Antiqua" w:eastAsia="SimSun" w:hAnsi="Book Antiqua" w:cs="Calibri"/>
          <w:b/>
          <w:kern w:val="0"/>
          <w:sz w:val="24"/>
        </w:rPr>
        <w:t xml:space="preserve"> </w:t>
      </w:r>
      <w:r w:rsidR="003161B9">
        <w:rPr>
          <w:rFonts w:ascii="Book Antiqua" w:eastAsia="SimSun" w:hAnsi="Book Antiqua" w:cs="Calibri" w:hint="eastAsia"/>
          <w:b/>
          <w:kern w:val="0"/>
          <w:sz w:val="24"/>
        </w:rPr>
        <w:t>d</w:t>
      </w:r>
      <w:r w:rsidR="003071D2">
        <w:rPr>
          <w:rFonts w:ascii="Book Antiqua" w:eastAsia="SimSun" w:hAnsi="Book Antiqua" w:cs="Calibri"/>
          <w:b/>
          <w:kern w:val="0"/>
          <w:sz w:val="24"/>
        </w:rPr>
        <w:t xml:space="preserve"> of administration</w:t>
      </w:r>
      <w:r w:rsidR="005F3B4B">
        <w:rPr>
          <w:rFonts w:ascii="Book Antiqua" w:eastAsia="SimSun" w:hAnsi="Book Antiqua" w:cs="Calibri"/>
          <w:b/>
          <w:kern w:val="0"/>
          <w:sz w:val="24"/>
        </w:rPr>
        <w:t>.</w:t>
      </w:r>
    </w:p>
    <w:p w:rsidR="00E75155" w:rsidRPr="00BE56E1" w:rsidRDefault="00E75155" w:rsidP="00BE56E1">
      <w:pPr>
        <w:spacing w:line="360" w:lineRule="auto"/>
        <w:rPr>
          <w:rFonts w:ascii="Book Antiqua" w:hAnsi="Book Antiqua" w:cs="Calibri"/>
          <w:sz w:val="24"/>
        </w:rPr>
      </w:pPr>
    </w:p>
    <w:p w:rsidR="00E75155" w:rsidRPr="00BE56E1" w:rsidRDefault="00F813D0" w:rsidP="00BE56E1">
      <w:pPr>
        <w:spacing w:line="360" w:lineRule="auto"/>
        <w:rPr>
          <w:rFonts w:ascii="Book Antiqua" w:hAnsi="Book Antiqua" w:cs="Calibri"/>
          <w:b/>
          <w:bCs/>
          <w:sz w:val="24"/>
        </w:rPr>
      </w:pPr>
      <w:r w:rsidRPr="00BE56E1">
        <w:rPr>
          <w:rFonts w:ascii="Book Antiqua" w:hAnsi="Book Antiqua" w:cs="Calibri"/>
          <w:b/>
          <w:bCs/>
          <w:sz w:val="24"/>
        </w:rPr>
        <w:t xml:space="preserve">Table </w:t>
      </w:r>
      <w:r w:rsidR="003071D2">
        <w:rPr>
          <w:rFonts w:ascii="Book Antiqua" w:hAnsi="Book Antiqua" w:cs="Calibri" w:hint="eastAsia"/>
          <w:b/>
          <w:bCs/>
          <w:sz w:val="24"/>
        </w:rPr>
        <w:t>1</w:t>
      </w:r>
      <w:r w:rsidRPr="00BE56E1">
        <w:rPr>
          <w:rFonts w:ascii="Book Antiqua" w:hAnsi="Book Antiqua" w:cs="Calibri"/>
          <w:b/>
          <w:bCs/>
          <w:sz w:val="24"/>
        </w:rPr>
        <w:t xml:space="preserve"> Characteristics of 4 cases of neonatal listeriosis with hydrocephalus between 1989-2018 </w:t>
      </w:r>
    </w:p>
    <w:tbl>
      <w:tblPr>
        <w:tblStyle w:val="TableGrid"/>
        <w:tblW w:w="13935" w:type="dxa"/>
        <w:tblLayout w:type="fixed"/>
        <w:tblLook w:val="04A0" w:firstRow="1" w:lastRow="0" w:firstColumn="1" w:lastColumn="0" w:noHBand="0" w:noVBand="1"/>
      </w:tblPr>
      <w:tblGrid>
        <w:gridCol w:w="1207"/>
        <w:gridCol w:w="1440"/>
        <w:gridCol w:w="1824"/>
        <w:gridCol w:w="2352"/>
        <w:gridCol w:w="2536"/>
        <w:gridCol w:w="1274"/>
        <w:gridCol w:w="3302"/>
      </w:tblGrid>
      <w:tr w:rsidR="00BE56E1" w:rsidRPr="00BE56E1">
        <w:trPr>
          <w:trHeight w:val="90"/>
        </w:trPr>
        <w:tc>
          <w:tcPr>
            <w:tcW w:w="1207" w:type="dxa"/>
            <w:tcBorders>
              <w:top w:val="single" w:sz="4" w:space="0" w:color="auto"/>
              <w:left w:val="nil"/>
              <w:bottom w:val="single" w:sz="4" w:space="0" w:color="auto"/>
              <w:right w:val="nil"/>
            </w:tcBorders>
          </w:tcPr>
          <w:p w:rsidR="00E75155" w:rsidRPr="003161B9" w:rsidRDefault="00F813D0" w:rsidP="00EA4E5C">
            <w:pPr>
              <w:spacing w:line="360" w:lineRule="auto"/>
              <w:rPr>
                <w:rFonts w:ascii="Book Antiqua" w:hAnsi="Book Antiqua" w:cs="Calibri"/>
                <w:b/>
                <w:sz w:val="24"/>
              </w:rPr>
            </w:pPr>
            <w:r w:rsidRPr="003161B9">
              <w:rPr>
                <w:rFonts w:ascii="Book Antiqua" w:eastAsia="Albertus-Bold" w:hAnsi="Book Antiqua" w:cs="Calibri"/>
                <w:b/>
                <w:sz w:val="24"/>
              </w:rPr>
              <w:t>Ref</w:t>
            </w:r>
            <w:r w:rsidR="00EA4E5C" w:rsidRPr="003161B9">
              <w:rPr>
                <w:rFonts w:ascii="Book Antiqua" w:hAnsi="Book Antiqua" w:cs="Calibri" w:hint="eastAsia"/>
                <w:b/>
                <w:sz w:val="24"/>
              </w:rPr>
              <w:t>.</w:t>
            </w:r>
          </w:p>
        </w:tc>
        <w:tc>
          <w:tcPr>
            <w:tcW w:w="1440"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hAnsi="Book Antiqua" w:cs="Calibri"/>
                <w:b/>
                <w:sz w:val="24"/>
              </w:rPr>
            </w:pPr>
            <w:r w:rsidRPr="003161B9">
              <w:rPr>
                <w:rFonts w:ascii="Book Antiqua" w:hAnsi="Book Antiqua" w:cs="Calibri"/>
                <w:b/>
                <w:sz w:val="24"/>
              </w:rPr>
              <w:t xml:space="preserve"> Gestation/gender</w:t>
            </w:r>
          </w:p>
        </w:tc>
        <w:tc>
          <w:tcPr>
            <w:tcW w:w="1824"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hAnsi="Book Antiqua" w:cs="Calibri"/>
                <w:b/>
                <w:sz w:val="24"/>
              </w:rPr>
            </w:pPr>
            <w:r w:rsidRPr="003161B9">
              <w:rPr>
                <w:rFonts w:ascii="Book Antiqua" w:hAnsi="Book Antiqua" w:cs="Calibri"/>
                <w:b/>
                <w:sz w:val="24"/>
              </w:rPr>
              <w:t xml:space="preserve">CT/sonography on admission </w:t>
            </w:r>
          </w:p>
        </w:tc>
        <w:tc>
          <w:tcPr>
            <w:tcW w:w="2352"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eastAsia="SimSun" w:hAnsi="Book Antiqua" w:cs="Calibri"/>
                <w:b/>
                <w:sz w:val="24"/>
              </w:rPr>
            </w:pPr>
            <w:r w:rsidRPr="003161B9">
              <w:rPr>
                <w:rFonts w:ascii="Book Antiqua" w:hAnsi="Book Antiqua" w:cs="Calibri"/>
                <w:b/>
                <w:sz w:val="24"/>
              </w:rPr>
              <w:t>T</w:t>
            </w:r>
            <w:r w:rsidRPr="003161B9">
              <w:rPr>
                <w:rFonts w:ascii="Book Antiqua" w:eastAsia="SimSun" w:hAnsi="Book Antiqua" w:cs="Calibri"/>
                <w:b/>
                <w:sz w:val="24"/>
              </w:rPr>
              <w:t>ime of diagnose hydrocephalus</w:t>
            </w:r>
          </w:p>
        </w:tc>
        <w:tc>
          <w:tcPr>
            <w:tcW w:w="2536"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hAnsi="Book Antiqua" w:cs="Calibri"/>
                <w:b/>
                <w:sz w:val="24"/>
              </w:rPr>
            </w:pPr>
            <w:r w:rsidRPr="003161B9">
              <w:rPr>
                <w:rFonts w:ascii="Book Antiqua" w:hAnsi="Book Antiqua" w:cs="Calibri"/>
                <w:b/>
                <w:sz w:val="24"/>
              </w:rPr>
              <w:t xml:space="preserve">Other complications </w:t>
            </w:r>
          </w:p>
        </w:tc>
        <w:tc>
          <w:tcPr>
            <w:tcW w:w="1274"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hAnsi="Book Antiqua" w:cs="Calibri"/>
                <w:b/>
                <w:sz w:val="24"/>
              </w:rPr>
            </w:pPr>
            <w:r w:rsidRPr="003161B9">
              <w:rPr>
                <w:rFonts w:ascii="Book Antiqua" w:hAnsi="Book Antiqua" w:cs="Calibri"/>
                <w:b/>
                <w:sz w:val="24"/>
              </w:rPr>
              <w:t>Intervention</w:t>
            </w:r>
            <w:r w:rsidR="00BE56E1" w:rsidRPr="003161B9">
              <w:rPr>
                <w:rFonts w:ascii="Book Antiqua" w:hAnsi="Book Antiqua" w:cs="Calibri"/>
                <w:b/>
                <w:sz w:val="24"/>
              </w:rPr>
              <w:t xml:space="preserve"> </w:t>
            </w:r>
          </w:p>
        </w:tc>
        <w:tc>
          <w:tcPr>
            <w:tcW w:w="3302" w:type="dxa"/>
            <w:tcBorders>
              <w:top w:val="single" w:sz="4" w:space="0" w:color="auto"/>
              <w:left w:val="nil"/>
              <w:bottom w:val="single" w:sz="4" w:space="0" w:color="auto"/>
              <w:right w:val="nil"/>
            </w:tcBorders>
          </w:tcPr>
          <w:p w:rsidR="00E75155" w:rsidRPr="003161B9" w:rsidRDefault="00F813D0" w:rsidP="00BE56E1">
            <w:pPr>
              <w:spacing w:line="360" w:lineRule="auto"/>
              <w:rPr>
                <w:rFonts w:ascii="Book Antiqua" w:hAnsi="Book Antiqua" w:cs="Calibri"/>
                <w:b/>
                <w:sz w:val="24"/>
              </w:rPr>
            </w:pPr>
            <w:r w:rsidRPr="003161B9">
              <w:rPr>
                <w:rFonts w:ascii="Book Antiqua" w:hAnsi="Book Antiqua" w:cs="Calibri"/>
                <w:b/>
                <w:sz w:val="24"/>
              </w:rPr>
              <w:t>Outcome</w:t>
            </w:r>
          </w:p>
        </w:tc>
      </w:tr>
      <w:tr w:rsidR="00BE56E1" w:rsidRPr="00BE56E1">
        <w:tc>
          <w:tcPr>
            <w:tcW w:w="1207" w:type="dxa"/>
            <w:tcBorders>
              <w:top w:val="single" w:sz="4" w:space="0" w:color="auto"/>
              <w:left w:val="nil"/>
              <w:bottom w:val="nil"/>
              <w:right w:val="nil"/>
            </w:tcBorders>
          </w:tcPr>
          <w:p w:rsidR="00E75155" w:rsidRPr="00BE56E1" w:rsidRDefault="003161B9" w:rsidP="003161B9">
            <w:pPr>
              <w:spacing w:line="360" w:lineRule="auto"/>
              <w:rPr>
                <w:rFonts w:ascii="Book Antiqua" w:hAnsi="Book Antiqua" w:cs="Calibri"/>
                <w:sz w:val="24"/>
              </w:rPr>
            </w:pPr>
            <w:r w:rsidRPr="003161B9">
              <w:rPr>
                <w:rFonts w:ascii="Book Antiqua" w:hAnsi="Book Antiqua" w:cs="Calibri"/>
                <w:bCs/>
                <w:sz w:val="24"/>
              </w:rPr>
              <w:t xml:space="preserve">Svare </w:t>
            </w:r>
            <w:r w:rsidRPr="003161B9">
              <w:rPr>
                <w:rFonts w:ascii="Book Antiqua" w:hAnsi="Book Antiqua" w:cs="Calibri" w:hint="eastAsia"/>
                <w:bCs/>
                <w:i/>
                <w:sz w:val="24"/>
              </w:rPr>
              <w:t>et al</w:t>
            </w:r>
            <w:r w:rsidR="00EA4E5C" w:rsidRPr="00EA4E5C">
              <w:rPr>
                <w:rFonts w:ascii="Book Antiqua" w:hAnsi="Book Antiqua" w:cs="Calibri"/>
                <w:sz w:val="24"/>
                <w:vertAlign w:val="superscript"/>
              </w:rPr>
              <w:t>[22]</w:t>
            </w:r>
            <w:r w:rsidRPr="003161B9">
              <w:rPr>
                <w:rFonts w:ascii="Book Antiqua" w:hAnsi="Book Antiqua" w:cs="Calibri" w:hint="eastAsia"/>
                <w:sz w:val="24"/>
              </w:rPr>
              <w:t>,</w:t>
            </w:r>
            <w:r>
              <w:rPr>
                <w:rFonts w:ascii="Book Antiqua" w:hAnsi="Book Antiqua" w:cs="Calibri" w:hint="eastAsia"/>
                <w:sz w:val="24"/>
                <w:vertAlign w:val="superscript"/>
              </w:rPr>
              <w:t xml:space="preserve"> </w:t>
            </w:r>
            <w:r w:rsidR="00F813D0" w:rsidRPr="00BE56E1">
              <w:rPr>
                <w:rFonts w:ascii="Book Antiqua" w:hAnsi="Book Antiqua" w:cs="Calibri"/>
                <w:sz w:val="24"/>
              </w:rPr>
              <w:t>1991</w:t>
            </w:r>
          </w:p>
        </w:tc>
        <w:tc>
          <w:tcPr>
            <w:tcW w:w="1440" w:type="dxa"/>
            <w:tcBorders>
              <w:top w:val="single" w:sz="4" w:space="0" w:color="auto"/>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NB, 32 </w:t>
            </w:r>
            <w:bookmarkStart w:id="43" w:name="OLE_LINK17"/>
            <w:r w:rsidRPr="00BE56E1">
              <w:rPr>
                <w:rFonts w:ascii="Book Antiqua" w:hAnsi="Book Antiqua" w:cs="Calibri"/>
                <w:sz w:val="24"/>
              </w:rPr>
              <w:t>W</w:t>
            </w:r>
            <w:bookmarkEnd w:id="43"/>
            <w:r w:rsidRPr="00BE56E1">
              <w:rPr>
                <w:rFonts w:ascii="Book Antiqua" w:hAnsi="Book Antiqua" w:cs="Calibri"/>
                <w:sz w:val="24"/>
              </w:rPr>
              <w:t>/M</w:t>
            </w:r>
          </w:p>
        </w:tc>
        <w:tc>
          <w:tcPr>
            <w:tcW w:w="1824" w:type="dxa"/>
            <w:tcBorders>
              <w:top w:val="single" w:sz="4" w:space="0" w:color="auto"/>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Not done </w:t>
            </w:r>
          </w:p>
        </w:tc>
        <w:tc>
          <w:tcPr>
            <w:tcW w:w="2352" w:type="dxa"/>
            <w:tcBorders>
              <w:top w:val="single" w:sz="4" w:space="0" w:color="auto"/>
              <w:left w:val="nil"/>
              <w:bottom w:val="nil"/>
              <w:right w:val="nil"/>
            </w:tcBorders>
          </w:tcPr>
          <w:p w:rsidR="00E75155" w:rsidRPr="00BE56E1" w:rsidRDefault="00EA4E5C" w:rsidP="00BE56E1">
            <w:pPr>
              <w:spacing w:line="360" w:lineRule="auto"/>
              <w:rPr>
                <w:rFonts w:ascii="Book Antiqua" w:hAnsi="Book Antiqua" w:cs="Calibri"/>
                <w:sz w:val="24"/>
              </w:rPr>
            </w:pPr>
            <w:r>
              <w:rPr>
                <w:rFonts w:ascii="Book Antiqua" w:hAnsi="Book Antiqua" w:cs="Calibri"/>
                <w:sz w:val="24"/>
              </w:rPr>
              <w:t>6 wk</w:t>
            </w:r>
          </w:p>
        </w:tc>
        <w:tc>
          <w:tcPr>
            <w:tcW w:w="2536" w:type="dxa"/>
            <w:tcBorders>
              <w:top w:val="single" w:sz="4" w:space="0" w:color="auto"/>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Epilepsy,</w:t>
            </w:r>
            <w:r w:rsidR="00EA4E5C">
              <w:rPr>
                <w:rFonts w:ascii="Book Antiqua" w:hAnsi="Book Antiqua" w:cs="Calibri" w:hint="eastAsia"/>
                <w:sz w:val="24"/>
              </w:rPr>
              <w:t xml:space="preserve"> </w:t>
            </w:r>
            <w:r w:rsidRPr="00BE56E1">
              <w:rPr>
                <w:rFonts w:ascii="Book Antiqua" w:hAnsi="Book Antiqua" w:cs="Calibri"/>
                <w:sz w:val="24"/>
              </w:rPr>
              <w:t xml:space="preserve">intraventricular hemorrhage </w:t>
            </w:r>
          </w:p>
        </w:tc>
        <w:tc>
          <w:tcPr>
            <w:tcW w:w="1274" w:type="dxa"/>
            <w:tcBorders>
              <w:top w:val="single" w:sz="4" w:space="0" w:color="auto"/>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VPD</w:t>
            </w:r>
          </w:p>
        </w:tc>
        <w:tc>
          <w:tcPr>
            <w:tcW w:w="3302" w:type="dxa"/>
            <w:tcBorders>
              <w:top w:val="single" w:sz="4" w:space="0" w:color="auto"/>
              <w:left w:val="nil"/>
              <w:bottom w:val="nil"/>
              <w:right w:val="nil"/>
            </w:tcBorders>
          </w:tcPr>
          <w:p w:rsidR="00E75155" w:rsidRPr="00BE56E1" w:rsidRDefault="00F813D0" w:rsidP="00EA4E5C">
            <w:pPr>
              <w:spacing w:line="360" w:lineRule="auto"/>
              <w:rPr>
                <w:rFonts w:ascii="Book Antiqua" w:hAnsi="Book Antiqua" w:cs="Calibri"/>
                <w:sz w:val="24"/>
              </w:rPr>
            </w:pPr>
            <w:r w:rsidRPr="00BE56E1">
              <w:rPr>
                <w:rFonts w:ascii="Book Antiqua" w:hAnsi="Book Antiqua" w:cs="Calibri"/>
                <w:sz w:val="24"/>
              </w:rPr>
              <w:t>Moderately retarded with reduced muscular tone at 3 mo</w:t>
            </w:r>
          </w:p>
        </w:tc>
      </w:tr>
      <w:tr w:rsidR="00BE56E1" w:rsidRPr="00BE56E1">
        <w:tc>
          <w:tcPr>
            <w:tcW w:w="1207" w:type="dxa"/>
            <w:tcBorders>
              <w:top w:val="nil"/>
              <w:left w:val="nil"/>
              <w:bottom w:val="nil"/>
              <w:right w:val="nil"/>
            </w:tcBorders>
          </w:tcPr>
          <w:p w:rsidR="00E75155" w:rsidRPr="00BE56E1" w:rsidRDefault="00F813D0" w:rsidP="003161B9">
            <w:pPr>
              <w:spacing w:line="360" w:lineRule="auto"/>
              <w:rPr>
                <w:rFonts w:ascii="Book Antiqua" w:hAnsi="Book Antiqua" w:cs="Calibri"/>
                <w:sz w:val="24"/>
              </w:rPr>
            </w:pPr>
            <w:r w:rsidRPr="00BE56E1">
              <w:rPr>
                <w:rFonts w:ascii="Book Antiqua" w:hAnsi="Book Antiqua" w:cs="Calibri"/>
                <w:bCs/>
                <w:sz w:val="24"/>
              </w:rPr>
              <w:t>Madlinger</w:t>
            </w:r>
            <w:r w:rsidR="003161B9">
              <w:rPr>
                <w:rFonts w:ascii="Book Antiqua" w:hAnsi="Book Antiqua" w:cs="Calibri" w:hint="eastAsia"/>
                <w:bCs/>
                <w:sz w:val="24"/>
              </w:rPr>
              <w:t xml:space="preserve"> </w:t>
            </w:r>
            <w:r w:rsidR="003161B9" w:rsidRPr="003161B9">
              <w:rPr>
                <w:rFonts w:ascii="Book Antiqua" w:hAnsi="Book Antiqua" w:cs="Calibri" w:hint="eastAsia"/>
                <w:bCs/>
                <w:i/>
                <w:sz w:val="24"/>
              </w:rPr>
              <w:t>et al</w:t>
            </w:r>
            <w:r w:rsidR="00EA4E5C" w:rsidRPr="00EA4E5C">
              <w:rPr>
                <w:rFonts w:ascii="Book Antiqua" w:hAnsi="Book Antiqua" w:cs="Calibri"/>
                <w:sz w:val="24"/>
                <w:vertAlign w:val="superscript"/>
              </w:rPr>
              <w:t>[25]</w:t>
            </w:r>
            <w:r w:rsidR="003161B9" w:rsidRPr="003161B9">
              <w:rPr>
                <w:rFonts w:ascii="Book Antiqua" w:hAnsi="Book Antiqua" w:cs="Calibri" w:hint="eastAsia"/>
                <w:sz w:val="24"/>
              </w:rPr>
              <w:t>,</w:t>
            </w:r>
            <w:r w:rsidR="003161B9">
              <w:rPr>
                <w:rFonts w:ascii="Book Antiqua" w:hAnsi="Book Antiqua" w:cs="Calibri" w:hint="eastAsia"/>
                <w:sz w:val="24"/>
              </w:rPr>
              <w:t xml:space="preserve"> </w:t>
            </w:r>
            <w:r w:rsidRPr="00BE56E1">
              <w:rPr>
                <w:rFonts w:ascii="Book Antiqua" w:hAnsi="Book Antiqua" w:cs="Calibri"/>
                <w:sz w:val="24"/>
              </w:rPr>
              <w:t>1998</w:t>
            </w:r>
          </w:p>
        </w:tc>
        <w:tc>
          <w:tcPr>
            <w:tcW w:w="1440"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NB, 34 W/F</w:t>
            </w:r>
          </w:p>
        </w:tc>
        <w:tc>
          <w:tcPr>
            <w:tcW w:w="1824"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Sonography, </w:t>
            </w:r>
          </w:p>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normal</w:t>
            </w:r>
          </w:p>
        </w:tc>
        <w:tc>
          <w:tcPr>
            <w:tcW w:w="2352"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9 </w:t>
            </w:r>
            <w:r w:rsidR="00EA4E5C">
              <w:rPr>
                <w:rFonts w:ascii="Book Antiqua" w:hAnsi="Book Antiqua" w:cs="Calibri"/>
                <w:sz w:val="24"/>
              </w:rPr>
              <w:t>wk</w:t>
            </w:r>
          </w:p>
        </w:tc>
        <w:tc>
          <w:tcPr>
            <w:tcW w:w="2536"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None </w:t>
            </w:r>
          </w:p>
        </w:tc>
        <w:tc>
          <w:tcPr>
            <w:tcW w:w="1274"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VAD, VDP </w:t>
            </w:r>
          </w:p>
        </w:tc>
        <w:tc>
          <w:tcPr>
            <w:tcW w:w="3302"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Recovery</w:t>
            </w:r>
          </w:p>
        </w:tc>
      </w:tr>
      <w:tr w:rsidR="00BE56E1" w:rsidRPr="00BE56E1">
        <w:tc>
          <w:tcPr>
            <w:tcW w:w="1207" w:type="dxa"/>
            <w:tcBorders>
              <w:top w:val="nil"/>
              <w:left w:val="nil"/>
              <w:bottom w:val="nil"/>
              <w:right w:val="nil"/>
            </w:tcBorders>
          </w:tcPr>
          <w:p w:rsidR="00E75155" w:rsidRPr="00BE56E1" w:rsidRDefault="00F813D0" w:rsidP="00EA4E5C">
            <w:pPr>
              <w:spacing w:line="360" w:lineRule="auto"/>
              <w:rPr>
                <w:rFonts w:ascii="Book Antiqua" w:hAnsi="Book Antiqua" w:cs="Calibri"/>
                <w:sz w:val="24"/>
              </w:rPr>
            </w:pPr>
            <w:r w:rsidRPr="00BE56E1">
              <w:rPr>
                <w:rFonts w:ascii="Book Antiqua" w:hAnsi="Book Antiqua" w:cs="Calibri"/>
                <w:sz w:val="24"/>
              </w:rPr>
              <w:t>Chan</w:t>
            </w:r>
            <w:r w:rsidR="003161B9">
              <w:rPr>
                <w:rFonts w:ascii="Book Antiqua" w:hAnsi="Book Antiqua" w:cs="Calibri" w:hint="eastAsia"/>
                <w:sz w:val="24"/>
              </w:rPr>
              <w:t xml:space="preserve"> </w:t>
            </w:r>
            <w:r w:rsidR="003161B9" w:rsidRPr="003161B9">
              <w:rPr>
                <w:rFonts w:ascii="Book Antiqua" w:hAnsi="Book Antiqua" w:cs="Calibri" w:hint="eastAsia"/>
                <w:i/>
                <w:sz w:val="24"/>
              </w:rPr>
              <w:t>et al</w:t>
            </w:r>
            <w:r w:rsidR="00EA4E5C" w:rsidRPr="00EA4E5C">
              <w:rPr>
                <w:rFonts w:ascii="Book Antiqua" w:hAnsi="Book Antiqua" w:cs="Calibri"/>
                <w:sz w:val="24"/>
                <w:vertAlign w:val="superscript"/>
              </w:rPr>
              <w:t>[26]</w:t>
            </w:r>
            <w:r w:rsidR="003161B9" w:rsidRPr="003161B9">
              <w:rPr>
                <w:rFonts w:ascii="Book Antiqua" w:hAnsi="Book Antiqua" w:cs="Calibri" w:hint="eastAsia"/>
                <w:sz w:val="24"/>
              </w:rPr>
              <w:t>,</w:t>
            </w:r>
            <w:r w:rsidR="003161B9">
              <w:rPr>
                <w:rFonts w:ascii="Book Antiqua" w:hAnsi="Book Antiqua" w:cs="Calibri" w:hint="eastAsia"/>
                <w:sz w:val="24"/>
              </w:rPr>
              <w:t xml:space="preserve"> </w:t>
            </w:r>
            <w:r w:rsidRPr="00BE56E1">
              <w:rPr>
                <w:rFonts w:ascii="Book Antiqua" w:hAnsi="Book Antiqua" w:cs="Calibri"/>
                <w:sz w:val="24"/>
              </w:rPr>
              <w:t xml:space="preserve">2007 </w:t>
            </w:r>
          </w:p>
        </w:tc>
        <w:tc>
          <w:tcPr>
            <w:tcW w:w="1440"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NB, 31 W/M</w:t>
            </w:r>
          </w:p>
        </w:tc>
        <w:tc>
          <w:tcPr>
            <w:tcW w:w="1824"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Not done</w:t>
            </w:r>
          </w:p>
        </w:tc>
        <w:tc>
          <w:tcPr>
            <w:tcW w:w="2352" w:type="dxa"/>
            <w:tcBorders>
              <w:top w:val="nil"/>
              <w:left w:val="nil"/>
              <w:bottom w:val="nil"/>
              <w:right w:val="nil"/>
            </w:tcBorders>
          </w:tcPr>
          <w:p w:rsidR="00E75155" w:rsidRPr="00BE56E1" w:rsidRDefault="00F813D0" w:rsidP="00EA4E5C">
            <w:pPr>
              <w:spacing w:line="360" w:lineRule="auto"/>
              <w:rPr>
                <w:rFonts w:ascii="Book Antiqua" w:hAnsi="Book Antiqua" w:cs="Calibri"/>
                <w:sz w:val="24"/>
              </w:rPr>
            </w:pPr>
            <w:r w:rsidRPr="00BE56E1">
              <w:rPr>
                <w:rFonts w:ascii="Book Antiqua" w:hAnsi="Book Antiqua" w:cs="Calibri"/>
                <w:sz w:val="24"/>
              </w:rPr>
              <w:t>10 d</w:t>
            </w:r>
          </w:p>
        </w:tc>
        <w:tc>
          <w:tcPr>
            <w:tcW w:w="2536"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Subtle seizure </w:t>
            </w:r>
          </w:p>
        </w:tc>
        <w:tc>
          <w:tcPr>
            <w:tcW w:w="1274"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VPD</w:t>
            </w:r>
          </w:p>
        </w:tc>
        <w:tc>
          <w:tcPr>
            <w:tcW w:w="3302" w:type="dxa"/>
            <w:tcBorders>
              <w:top w:val="nil"/>
              <w:left w:val="nil"/>
              <w:bottom w:val="nil"/>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 xml:space="preserve">Significant improvement </w:t>
            </w:r>
          </w:p>
        </w:tc>
      </w:tr>
      <w:tr w:rsidR="00BE56E1" w:rsidRPr="00BE56E1">
        <w:tc>
          <w:tcPr>
            <w:tcW w:w="1207" w:type="dxa"/>
            <w:tcBorders>
              <w:top w:val="nil"/>
              <w:left w:val="nil"/>
              <w:bottom w:val="single" w:sz="4" w:space="0" w:color="auto"/>
              <w:right w:val="nil"/>
            </w:tcBorders>
          </w:tcPr>
          <w:p w:rsidR="00E75155" w:rsidRPr="00BE56E1" w:rsidRDefault="00F813D0" w:rsidP="00EA4E5C">
            <w:pPr>
              <w:spacing w:line="360" w:lineRule="auto"/>
              <w:rPr>
                <w:rFonts w:ascii="Book Antiqua" w:hAnsi="Book Antiqua" w:cs="Calibri"/>
                <w:sz w:val="24"/>
              </w:rPr>
            </w:pPr>
            <w:r w:rsidRPr="00BE56E1">
              <w:rPr>
                <w:rFonts w:ascii="Book Antiqua" w:hAnsi="Book Antiqua" w:cs="Calibri"/>
                <w:sz w:val="24"/>
              </w:rPr>
              <w:t>Laciar</w:t>
            </w:r>
            <w:r w:rsidR="003161B9">
              <w:rPr>
                <w:rFonts w:ascii="Book Antiqua" w:hAnsi="Book Antiqua" w:cs="Calibri" w:hint="eastAsia"/>
                <w:sz w:val="24"/>
              </w:rPr>
              <w:t xml:space="preserve"> </w:t>
            </w:r>
            <w:r w:rsidR="003161B9" w:rsidRPr="003161B9">
              <w:rPr>
                <w:rFonts w:ascii="Book Antiqua" w:hAnsi="Book Antiqua" w:cs="Calibri" w:hint="eastAsia"/>
                <w:i/>
                <w:sz w:val="24"/>
              </w:rPr>
              <w:t>et al</w:t>
            </w:r>
            <w:r w:rsidR="00EA4E5C" w:rsidRPr="00EA4E5C">
              <w:rPr>
                <w:rFonts w:ascii="Book Antiqua" w:hAnsi="Book Antiqua" w:cs="Calibri"/>
                <w:sz w:val="24"/>
                <w:vertAlign w:val="superscript"/>
              </w:rPr>
              <w:t>[27]</w:t>
            </w:r>
            <w:r w:rsidR="003161B9" w:rsidRPr="003161B9">
              <w:rPr>
                <w:rFonts w:ascii="Book Antiqua" w:hAnsi="Book Antiqua" w:cs="Calibri" w:hint="eastAsia"/>
                <w:sz w:val="24"/>
              </w:rPr>
              <w:t>,</w:t>
            </w:r>
            <w:r w:rsidR="003161B9">
              <w:rPr>
                <w:rFonts w:ascii="Book Antiqua" w:hAnsi="Book Antiqua" w:cs="Calibri" w:hint="eastAsia"/>
                <w:sz w:val="24"/>
                <w:vertAlign w:val="superscript"/>
              </w:rPr>
              <w:t xml:space="preserve"> </w:t>
            </w:r>
            <w:r w:rsidRPr="00BE56E1">
              <w:rPr>
                <w:rFonts w:ascii="Book Antiqua" w:hAnsi="Book Antiqua" w:cs="Calibri"/>
                <w:sz w:val="24"/>
              </w:rPr>
              <w:t>2011</w:t>
            </w:r>
          </w:p>
        </w:tc>
        <w:tc>
          <w:tcPr>
            <w:tcW w:w="1440" w:type="dxa"/>
            <w:tcBorders>
              <w:top w:val="nil"/>
              <w:left w:val="nil"/>
              <w:bottom w:val="single" w:sz="4" w:space="0" w:color="auto"/>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NB, 37 W/F</w:t>
            </w:r>
          </w:p>
        </w:tc>
        <w:tc>
          <w:tcPr>
            <w:tcW w:w="1824" w:type="dxa"/>
            <w:tcBorders>
              <w:top w:val="nil"/>
              <w:left w:val="nil"/>
              <w:bottom w:val="single" w:sz="4" w:space="0" w:color="auto"/>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Not done</w:t>
            </w:r>
          </w:p>
        </w:tc>
        <w:tc>
          <w:tcPr>
            <w:tcW w:w="2352" w:type="dxa"/>
            <w:tcBorders>
              <w:top w:val="nil"/>
              <w:left w:val="nil"/>
              <w:bottom w:val="single" w:sz="4" w:space="0" w:color="auto"/>
              <w:right w:val="nil"/>
            </w:tcBorders>
          </w:tcPr>
          <w:p w:rsidR="00E75155" w:rsidRPr="00BE56E1" w:rsidRDefault="00F813D0" w:rsidP="00EA4E5C">
            <w:pPr>
              <w:spacing w:line="360" w:lineRule="auto"/>
              <w:rPr>
                <w:rFonts w:ascii="Book Antiqua" w:hAnsi="Book Antiqua" w:cs="Calibri"/>
                <w:sz w:val="24"/>
              </w:rPr>
            </w:pPr>
            <w:r w:rsidRPr="00BE56E1">
              <w:rPr>
                <w:rFonts w:ascii="Book Antiqua" w:hAnsi="Book Antiqua" w:cs="Calibri"/>
                <w:sz w:val="24"/>
              </w:rPr>
              <w:t>3 d</w:t>
            </w:r>
          </w:p>
        </w:tc>
        <w:tc>
          <w:tcPr>
            <w:tcW w:w="2536" w:type="dxa"/>
            <w:tcBorders>
              <w:top w:val="nil"/>
              <w:left w:val="nil"/>
              <w:bottom w:val="single" w:sz="4" w:space="0" w:color="auto"/>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None</w:t>
            </w:r>
          </w:p>
        </w:tc>
        <w:tc>
          <w:tcPr>
            <w:tcW w:w="1274" w:type="dxa"/>
            <w:tcBorders>
              <w:top w:val="nil"/>
              <w:left w:val="nil"/>
              <w:bottom w:val="single" w:sz="4" w:space="0" w:color="auto"/>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EVD</w:t>
            </w:r>
          </w:p>
        </w:tc>
        <w:tc>
          <w:tcPr>
            <w:tcW w:w="3302" w:type="dxa"/>
            <w:tcBorders>
              <w:top w:val="nil"/>
              <w:left w:val="nil"/>
              <w:bottom w:val="single" w:sz="4" w:space="0" w:color="auto"/>
              <w:right w:val="nil"/>
            </w:tcBorders>
          </w:tcPr>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t>NA</w:t>
            </w:r>
          </w:p>
        </w:tc>
      </w:tr>
    </w:tbl>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lastRenderedPageBreak/>
        <w:t>NB</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Newborn</w:t>
      </w:r>
      <w:r w:rsidRPr="00BE56E1">
        <w:rPr>
          <w:rFonts w:ascii="Book Antiqua" w:hAnsi="Book Antiqua" w:cs="Calibri"/>
          <w:sz w:val="24"/>
        </w:rPr>
        <w:t>; W</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Weeks</w:t>
      </w:r>
      <w:r w:rsidRPr="00BE56E1">
        <w:rPr>
          <w:rFonts w:ascii="Book Antiqua" w:hAnsi="Book Antiqua" w:cs="Calibri"/>
          <w:sz w:val="24"/>
        </w:rPr>
        <w:t>; M</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Male</w:t>
      </w:r>
      <w:r w:rsidRPr="00BE56E1">
        <w:rPr>
          <w:rFonts w:ascii="Book Antiqua" w:hAnsi="Book Antiqua" w:cs="Calibri"/>
          <w:sz w:val="24"/>
        </w:rPr>
        <w:t>; F</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Female</w:t>
      </w:r>
      <w:r w:rsidRPr="00BE56E1">
        <w:rPr>
          <w:rFonts w:ascii="Book Antiqua" w:hAnsi="Book Antiqua" w:cs="Calibri"/>
          <w:sz w:val="24"/>
        </w:rPr>
        <w:t>; EVD</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 xml:space="preserve">External </w:t>
      </w:r>
      <w:r w:rsidRPr="00BE56E1">
        <w:rPr>
          <w:rFonts w:ascii="Book Antiqua" w:hAnsi="Book Antiqua" w:cs="Calibri"/>
          <w:sz w:val="24"/>
        </w:rPr>
        <w:t>ventricular drain; VPD</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Ventriculo</w:t>
      </w:r>
      <w:r w:rsidRPr="00BE56E1">
        <w:rPr>
          <w:rFonts w:ascii="Book Antiqua" w:hAnsi="Book Antiqua" w:cs="Calibri"/>
          <w:sz w:val="24"/>
        </w:rPr>
        <w:t>-peritoneal drain; VAD</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Ventriculo</w:t>
      </w:r>
      <w:r w:rsidRPr="00BE56E1">
        <w:rPr>
          <w:rFonts w:ascii="Book Antiqua" w:hAnsi="Book Antiqua" w:cs="Calibri"/>
          <w:sz w:val="24"/>
        </w:rPr>
        <w:t>-atrial drain; NA</w:t>
      </w:r>
      <w:r w:rsidR="00EA4E5C">
        <w:rPr>
          <w:rFonts w:ascii="Book Antiqua" w:hAnsi="Book Antiqua" w:cs="Calibri" w:hint="eastAsia"/>
          <w:sz w:val="24"/>
        </w:rPr>
        <w:t>:</w:t>
      </w:r>
      <w:r w:rsidRPr="00BE56E1">
        <w:rPr>
          <w:rFonts w:ascii="Book Antiqua" w:hAnsi="Book Antiqua" w:cs="Calibri"/>
          <w:sz w:val="24"/>
        </w:rPr>
        <w:t xml:space="preserve"> </w:t>
      </w:r>
      <w:r w:rsidR="00EA4E5C" w:rsidRPr="00BE56E1">
        <w:rPr>
          <w:rFonts w:ascii="Book Antiqua" w:hAnsi="Book Antiqua" w:cs="Calibri"/>
          <w:sz w:val="24"/>
        </w:rPr>
        <w:t xml:space="preserve">Not </w:t>
      </w:r>
      <w:r w:rsidRPr="00BE56E1">
        <w:rPr>
          <w:rFonts w:ascii="Book Antiqua" w:hAnsi="Book Antiqua" w:cs="Calibri"/>
          <w:sz w:val="24"/>
        </w:rPr>
        <w:t>available</w:t>
      </w:r>
      <w:r w:rsidR="00EA4E5C">
        <w:rPr>
          <w:rFonts w:ascii="Book Antiqua" w:hAnsi="Book Antiqua" w:cs="Calibri" w:hint="eastAsia"/>
          <w:sz w:val="24"/>
        </w:rPr>
        <w:t>.</w:t>
      </w:r>
      <w:r w:rsidRPr="00BE56E1">
        <w:rPr>
          <w:rFonts w:ascii="Book Antiqua" w:hAnsi="Book Antiqua" w:cs="Calibri"/>
          <w:sz w:val="24"/>
        </w:rPr>
        <w:t xml:space="preserve"> </w:t>
      </w:r>
    </w:p>
    <w:p w:rsidR="00E75155" w:rsidRPr="00BE56E1" w:rsidRDefault="00E75155" w:rsidP="00BE56E1">
      <w:pPr>
        <w:spacing w:line="360" w:lineRule="auto"/>
        <w:rPr>
          <w:rFonts w:ascii="Book Antiqua" w:hAnsi="Book Antiqua" w:cs="Calibri"/>
          <w:sz w:val="24"/>
        </w:rPr>
      </w:pPr>
    </w:p>
    <w:p w:rsidR="00E75155" w:rsidRPr="00BE56E1" w:rsidRDefault="00F813D0" w:rsidP="00BE56E1">
      <w:pPr>
        <w:spacing w:line="360" w:lineRule="auto"/>
        <w:rPr>
          <w:rFonts w:ascii="Book Antiqua" w:hAnsi="Book Antiqua" w:cs="Calibri"/>
          <w:b/>
          <w:bCs/>
          <w:sz w:val="24"/>
        </w:rPr>
      </w:pPr>
      <w:r w:rsidRPr="00BE56E1">
        <w:rPr>
          <w:rFonts w:ascii="Book Antiqua" w:hAnsi="Book Antiqua" w:cs="Calibri"/>
          <w:b/>
          <w:bCs/>
          <w:sz w:val="24"/>
        </w:rPr>
        <w:t xml:space="preserve">Table </w:t>
      </w:r>
      <w:r w:rsidR="003071D2">
        <w:rPr>
          <w:rFonts w:ascii="Book Antiqua" w:hAnsi="Book Antiqua" w:cs="Calibri" w:hint="eastAsia"/>
          <w:b/>
          <w:bCs/>
          <w:sz w:val="24"/>
        </w:rPr>
        <w:t>2</w:t>
      </w:r>
      <w:r w:rsidRPr="00BE56E1">
        <w:rPr>
          <w:rFonts w:ascii="Book Antiqua" w:hAnsi="Book Antiqua" w:cs="Calibri"/>
          <w:b/>
          <w:bCs/>
          <w:sz w:val="24"/>
        </w:rPr>
        <w:t xml:space="preserve"> Characteristics of 18 cases of non-perinatal listeriosis with hydrocephalus between 1989-2018</w:t>
      </w:r>
    </w:p>
    <w:tbl>
      <w:tblPr>
        <w:tblW w:w="13550" w:type="dxa"/>
        <w:tblLayout w:type="fixed"/>
        <w:tblCellMar>
          <w:top w:w="15" w:type="dxa"/>
          <w:left w:w="15" w:type="dxa"/>
          <w:bottom w:w="15" w:type="dxa"/>
          <w:right w:w="15" w:type="dxa"/>
        </w:tblCellMar>
        <w:tblLook w:val="04A0" w:firstRow="1" w:lastRow="0" w:firstColumn="1" w:lastColumn="0" w:noHBand="0" w:noVBand="1"/>
      </w:tblPr>
      <w:tblGrid>
        <w:gridCol w:w="1654"/>
        <w:gridCol w:w="1073"/>
        <w:gridCol w:w="1446"/>
        <w:gridCol w:w="1683"/>
        <w:gridCol w:w="1382"/>
        <w:gridCol w:w="2611"/>
        <w:gridCol w:w="1100"/>
        <w:gridCol w:w="2601"/>
      </w:tblGrid>
      <w:tr w:rsidR="00BE56E1" w:rsidRPr="00BE56E1">
        <w:trPr>
          <w:trHeight w:val="1023"/>
        </w:trPr>
        <w:tc>
          <w:tcPr>
            <w:tcW w:w="1654" w:type="dxa"/>
            <w:tcBorders>
              <w:top w:val="single" w:sz="4" w:space="0" w:color="auto"/>
              <w:bottom w:val="single" w:sz="4" w:space="0" w:color="auto"/>
            </w:tcBorders>
            <w:shd w:val="clear" w:color="auto" w:fill="auto"/>
          </w:tcPr>
          <w:p w:rsidR="00E75155" w:rsidRPr="003161B9" w:rsidRDefault="00D05AA3" w:rsidP="00BE56E1">
            <w:pPr>
              <w:widowControl/>
              <w:spacing w:line="360" w:lineRule="auto"/>
              <w:textAlignment w:val="top"/>
              <w:rPr>
                <w:rFonts w:ascii="Book Antiqua" w:eastAsia="SimSun" w:hAnsi="Book Antiqua" w:cs="Calibri"/>
                <w:b/>
                <w:sz w:val="24"/>
              </w:rPr>
            </w:pPr>
            <w:r w:rsidRPr="003161B9">
              <w:rPr>
                <w:rFonts w:ascii="Book Antiqua" w:hAnsi="Book Antiqua" w:cs="Calibri"/>
                <w:b/>
                <w:sz w:val="24"/>
              </w:rPr>
              <w:t>R</w:t>
            </w:r>
            <w:r w:rsidRPr="003161B9">
              <w:rPr>
                <w:rFonts w:ascii="Book Antiqua" w:hAnsi="Book Antiqua" w:cs="Calibri" w:hint="eastAsia"/>
                <w:b/>
                <w:sz w:val="24"/>
              </w:rPr>
              <w:t>ef.</w:t>
            </w:r>
          </w:p>
        </w:tc>
        <w:tc>
          <w:tcPr>
            <w:tcW w:w="1073"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kern w:val="0"/>
                <w:sz w:val="24"/>
              </w:rPr>
            </w:pPr>
            <w:r w:rsidRPr="003161B9">
              <w:rPr>
                <w:rFonts w:ascii="Book Antiqua" w:eastAsia="SimSun" w:hAnsi="Book Antiqua" w:cs="Calibri"/>
                <w:b/>
                <w:kern w:val="0"/>
                <w:sz w:val="24"/>
              </w:rPr>
              <w:t>Age/gender</w:t>
            </w:r>
          </w:p>
          <w:p w:rsidR="00E75155" w:rsidRPr="003161B9" w:rsidRDefault="00E75155" w:rsidP="00BE56E1">
            <w:pPr>
              <w:widowControl/>
              <w:spacing w:line="360" w:lineRule="auto"/>
              <w:textAlignment w:val="top"/>
              <w:rPr>
                <w:rFonts w:ascii="Book Antiqua" w:eastAsia="SimSun" w:hAnsi="Book Antiqua" w:cs="Calibri"/>
                <w:b/>
                <w:sz w:val="24"/>
              </w:rPr>
            </w:pPr>
          </w:p>
        </w:tc>
        <w:tc>
          <w:tcPr>
            <w:tcW w:w="1446"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kern w:val="0"/>
                <w:sz w:val="24"/>
              </w:rPr>
            </w:pPr>
            <w:bookmarkStart w:id="44" w:name="OLE_LINK86"/>
            <w:r w:rsidRPr="003161B9">
              <w:rPr>
                <w:rFonts w:ascii="Book Antiqua" w:eastAsia="SimSun" w:hAnsi="Book Antiqua" w:cs="Calibri"/>
                <w:b/>
                <w:kern w:val="0"/>
                <w:sz w:val="24"/>
              </w:rPr>
              <w:t>Immune-competent</w:t>
            </w:r>
            <w:bookmarkEnd w:id="44"/>
            <w:r w:rsidR="00BE56E1" w:rsidRPr="003161B9">
              <w:rPr>
                <w:rFonts w:ascii="Book Antiqua" w:eastAsia="SimSun" w:hAnsi="Book Antiqua" w:cs="Calibri"/>
                <w:b/>
                <w:kern w:val="0"/>
                <w:sz w:val="24"/>
              </w:rPr>
              <w:t xml:space="preserve"> </w:t>
            </w:r>
          </w:p>
        </w:tc>
        <w:tc>
          <w:tcPr>
            <w:tcW w:w="1683"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sz w:val="24"/>
              </w:rPr>
            </w:pPr>
            <w:r w:rsidRPr="003161B9">
              <w:rPr>
                <w:rFonts w:ascii="Book Antiqua" w:eastAsia="SimSun" w:hAnsi="Book Antiqua" w:cs="Calibri"/>
                <w:b/>
                <w:kern w:val="0"/>
                <w:sz w:val="24"/>
              </w:rPr>
              <w:t>CT on admission</w:t>
            </w:r>
          </w:p>
        </w:tc>
        <w:tc>
          <w:tcPr>
            <w:tcW w:w="1382"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sz w:val="24"/>
              </w:rPr>
            </w:pPr>
            <w:r w:rsidRPr="003161B9">
              <w:rPr>
                <w:rFonts w:ascii="Book Antiqua" w:eastAsia="SimSun" w:hAnsi="Book Antiqua" w:cs="Calibri"/>
                <w:b/>
                <w:kern w:val="0"/>
                <w:sz w:val="24"/>
              </w:rPr>
              <w:t>Time of diagnose</w:t>
            </w:r>
            <w:r w:rsidR="00BE56E1" w:rsidRPr="003161B9">
              <w:rPr>
                <w:rFonts w:ascii="Book Antiqua" w:eastAsia="SimSun" w:hAnsi="Book Antiqua" w:cs="Calibri"/>
                <w:b/>
                <w:kern w:val="0"/>
                <w:sz w:val="24"/>
              </w:rPr>
              <w:t xml:space="preserve"> </w:t>
            </w:r>
            <w:r w:rsidRPr="003161B9">
              <w:rPr>
                <w:rFonts w:ascii="Book Antiqua" w:eastAsia="SimSun" w:hAnsi="Book Antiqua" w:cs="Calibri"/>
                <w:b/>
                <w:kern w:val="0"/>
                <w:sz w:val="24"/>
              </w:rPr>
              <w:t>hydrocephalus</w:t>
            </w:r>
          </w:p>
        </w:tc>
        <w:tc>
          <w:tcPr>
            <w:tcW w:w="2611"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sz w:val="24"/>
              </w:rPr>
            </w:pPr>
            <w:r w:rsidRPr="003161B9">
              <w:rPr>
                <w:rFonts w:ascii="Book Antiqua" w:eastAsia="SimSun" w:hAnsi="Book Antiqua" w:cs="Calibri"/>
                <w:b/>
                <w:kern w:val="0"/>
                <w:sz w:val="24"/>
              </w:rPr>
              <w:t>Other complications</w:t>
            </w:r>
          </w:p>
        </w:tc>
        <w:tc>
          <w:tcPr>
            <w:tcW w:w="1100"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sz w:val="24"/>
              </w:rPr>
            </w:pPr>
            <w:r w:rsidRPr="003161B9">
              <w:rPr>
                <w:rFonts w:ascii="Book Antiqua" w:eastAsia="SimSun" w:hAnsi="Book Antiqua" w:cs="Calibri"/>
                <w:b/>
                <w:kern w:val="0"/>
                <w:sz w:val="24"/>
              </w:rPr>
              <w:t>Intervention</w:t>
            </w:r>
            <w:r w:rsidR="00BE56E1" w:rsidRPr="003161B9">
              <w:rPr>
                <w:rFonts w:ascii="Book Antiqua" w:eastAsia="SimSun" w:hAnsi="Book Antiqua" w:cs="Calibri"/>
                <w:b/>
                <w:kern w:val="0"/>
                <w:sz w:val="24"/>
              </w:rPr>
              <w:t xml:space="preserve"> </w:t>
            </w:r>
          </w:p>
        </w:tc>
        <w:tc>
          <w:tcPr>
            <w:tcW w:w="2601" w:type="dxa"/>
            <w:tcBorders>
              <w:top w:val="single" w:sz="4" w:space="0" w:color="auto"/>
              <w:bottom w:val="single" w:sz="4" w:space="0" w:color="auto"/>
            </w:tcBorders>
            <w:shd w:val="clear" w:color="auto" w:fill="auto"/>
          </w:tcPr>
          <w:p w:rsidR="00E75155" w:rsidRPr="003161B9" w:rsidRDefault="00F813D0" w:rsidP="00BE56E1">
            <w:pPr>
              <w:widowControl/>
              <w:spacing w:line="360" w:lineRule="auto"/>
              <w:textAlignment w:val="top"/>
              <w:rPr>
                <w:rFonts w:ascii="Book Antiqua" w:eastAsia="SimSun" w:hAnsi="Book Antiqua" w:cs="Calibri"/>
                <w:b/>
                <w:sz w:val="24"/>
              </w:rPr>
            </w:pPr>
            <w:r w:rsidRPr="003161B9">
              <w:rPr>
                <w:rFonts w:ascii="Book Antiqua" w:eastAsia="SimSun" w:hAnsi="Book Antiqua" w:cs="Calibri"/>
                <w:b/>
                <w:kern w:val="0"/>
                <w:sz w:val="24"/>
              </w:rPr>
              <w:t>Outcome</w:t>
            </w:r>
          </w:p>
        </w:tc>
      </w:tr>
      <w:tr w:rsidR="00BE56E1" w:rsidRPr="00BE56E1">
        <w:trPr>
          <w:trHeight w:val="90"/>
        </w:trPr>
        <w:tc>
          <w:tcPr>
            <w:tcW w:w="1654" w:type="dxa"/>
            <w:tcBorders>
              <w:top w:val="single" w:sz="4" w:space="0" w:color="auto"/>
              <w:bottom w:val="nil"/>
            </w:tcBorders>
            <w:shd w:val="clear" w:color="auto" w:fill="auto"/>
          </w:tcPr>
          <w:p w:rsidR="00E75155" w:rsidRPr="00BB1267" w:rsidRDefault="00F813D0"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Ulloa-Gutierrez</w:t>
            </w:r>
            <w:r w:rsidR="003161B9">
              <w:rPr>
                <w:rFonts w:ascii="Book Antiqua" w:eastAsia="SimSun" w:hAnsi="Book Antiqua" w:cs="Calibri" w:hint="eastAsia"/>
                <w:kern w:val="0"/>
                <w:sz w:val="24"/>
              </w:rPr>
              <w:t xml:space="preserve"> </w:t>
            </w:r>
            <w:r w:rsidR="003161B9" w:rsidRPr="003161B9">
              <w:rPr>
                <w:rFonts w:ascii="Book Antiqua" w:eastAsia="SimSun" w:hAnsi="Book Antiqua" w:cs="Calibri" w:hint="eastAsia"/>
                <w:i/>
                <w:kern w:val="0"/>
                <w:sz w:val="24"/>
              </w:rPr>
              <w:t>et al</w:t>
            </w:r>
            <w:r w:rsidR="00BB1267" w:rsidRPr="00BB1267">
              <w:rPr>
                <w:rFonts w:ascii="Book Antiqua" w:eastAsia="SimSun" w:hAnsi="Book Antiqua" w:cs="Calibri"/>
                <w:kern w:val="0"/>
                <w:sz w:val="24"/>
                <w:vertAlign w:val="superscript"/>
              </w:rPr>
              <w:t>[6]</w:t>
            </w:r>
            <w:r w:rsidR="003161B9" w:rsidRPr="003161B9">
              <w:rPr>
                <w:rFonts w:ascii="Book Antiqua" w:eastAsia="SimSun" w:hAnsi="Book Antiqua" w:cs="Calibri" w:hint="eastAsia"/>
                <w:kern w:val="0"/>
                <w:sz w:val="24"/>
              </w:rPr>
              <w:t>,</w:t>
            </w:r>
            <w:r w:rsidR="00BB1267">
              <w:rPr>
                <w:rFonts w:ascii="Book Antiqua" w:eastAsia="SimSun" w:hAnsi="Book Antiqua" w:cs="Calibri" w:hint="eastAsia"/>
                <w:kern w:val="0"/>
                <w:sz w:val="24"/>
              </w:rPr>
              <w:t xml:space="preserve"> </w:t>
            </w:r>
            <w:r w:rsidRPr="00BE56E1">
              <w:rPr>
                <w:rFonts w:ascii="Book Antiqua" w:eastAsia="SimSun" w:hAnsi="Book Antiqua" w:cs="Calibri"/>
                <w:kern w:val="0"/>
                <w:sz w:val="24"/>
              </w:rPr>
              <w:t>2004</w:t>
            </w:r>
          </w:p>
        </w:tc>
        <w:tc>
          <w:tcPr>
            <w:tcW w:w="1073"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10 Y/M</w:t>
            </w:r>
          </w:p>
        </w:tc>
        <w:tc>
          <w:tcPr>
            <w:tcW w:w="1446"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Not done</w:t>
            </w:r>
          </w:p>
        </w:tc>
        <w:tc>
          <w:tcPr>
            <w:tcW w:w="1382" w:type="dxa"/>
            <w:tcBorders>
              <w:top w:val="single" w:sz="4" w:space="0" w:color="auto"/>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8 d</w:t>
            </w:r>
          </w:p>
        </w:tc>
        <w:tc>
          <w:tcPr>
            <w:tcW w:w="2611"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VPD</w:t>
            </w:r>
          </w:p>
        </w:tc>
        <w:tc>
          <w:tcPr>
            <w:tcW w:w="2601" w:type="dxa"/>
            <w:tcBorders>
              <w:top w:val="single" w:sz="4" w:space="0" w:color="auto"/>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Recovery</w:t>
            </w:r>
          </w:p>
        </w:tc>
      </w:tr>
      <w:tr w:rsidR="00BE56E1" w:rsidRPr="00BE56E1">
        <w:trPr>
          <w:trHeight w:val="592"/>
        </w:trPr>
        <w:tc>
          <w:tcPr>
            <w:tcW w:w="1654" w:type="dxa"/>
            <w:tcBorders>
              <w:top w:val="nil"/>
              <w:bottom w:val="nil"/>
            </w:tcBorders>
            <w:shd w:val="clear" w:color="auto" w:fill="auto"/>
          </w:tcPr>
          <w:p w:rsidR="00E75155" w:rsidRPr="00BB1267" w:rsidRDefault="003161B9"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Ulloa-Gutierrez</w:t>
            </w:r>
            <w:r>
              <w:rPr>
                <w:rFonts w:ascii="Book Antiqua" w:eastAsia="SimSun" w:hAnsi="Book Antiqua" w:cs="Calibri" w:hint="eastAsia"/>
                <w:kern w:val="0"/>
                <w:sz w:val="24"/>
              </w:rPr>
              <w:t xml:space="preserve"> </w:t>
            </w:r>
            <w:r w:rsidRPr="003161B9">
              <w:rPr>
                <w:rFonts w:ascii="Book Antiqua" w:eastAsia="SimSun" w:hAnsi="Book Antiqua" w:cs="Calibri" w:hint="eastAsia"/>
                <w:i/>
                <w:kern w:val="0"/>
                <w:sz w:val="24"/>
              </w:rPr>
              <w:t>et al</w:t>
            </w:r>
            <w:r w:rsidRPr="00BB1267">
              <w:rPr>
                <w:rFonts w:ascii="Book Antiqua" w:eastAsia="SimSun" w:hAnsi="Book Antiqua" w:cs="Calibri"/>
                <w:kern w:val="0"/>
                <w:sz w:val="24"/>
                <w:vertAlign w:val="superscript"/>
              </w:rPr>
              <w:t>[6]</w:t>
            </w:r>
            <w:r w:rsidRPr="003161B9">
              <w:rPr>
                <w:rFonts w:ascii="Book Antiqua" w:eastAsia="SimSun" w:hAnsi="Book Antiqua" w:cs="Calibri" w:hint="eastAsia"/>
                <w:kern w:val="0"/>
                <w:sz w:val="24"/>
              </w:rPr>
              <w:t>,</w:t>
            </w:r>
            <w:r>
              <w:rPr>
                <w:rFonts w:ascii="Book Antiqua" w:eastAsia="SimSun" w:hAnsi="Book Antiqua" w:cs="Calibri" w:hint="eastAsia"/>
                <w:kern w:val="0"/>
                <w:sz w:val="24"/>
              </w:rPr>
              <w:t xml:space="preserve"> </w:t>
            </w:r>
            <w:r w:rsidRPr="00BE56E1">
              <w:rPr>
                <w:rFonts w:ascii="Book Antiqua" w:eastAsia="SimSun" w:hAnsi="Book Antiqua" w:cs="Calibri"/>
                <w:kern w:val="0"/>
                <w:sz w:val="24"/>
              </w:rPr>
              <w:t>2004</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 xml:space="preserve">3½ </w:t>
            </w:r>
            <w:r w:rsidRPr="00BE56E1">
              <w:rPr>
                <w:rStyle w:val="font21"/>
                <w:rFonts w:ascii="Book Antiqua" w:eastAsia="SimSun" w:hAnsi="Book Antiqua"/>
                <w:color w:val="auto"/>
                <w:sz w:val="24"/>
                <w:szCs w:val="24"/>
              </w:rPr>
              <w:t>Y/</w:t>
            </w:r>
            <w:r w:rsidRPr="00BE56E1">
              <w:rPr>
                <w:rFonts w:ascii="Book Antiqua" w:eastAsia="SimSun" w:hAnsi="Book Antiqua" w:cs="Calibri"/>
                <w:kern w:val="0"/>
                <w:sz w:val="24"/>
              </w:rPr>
              <w:t>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5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VPD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Died</w:t>
            </w:r>
          </w:p>
        </w:tc>
      </w:tr>
      <w:tr w:rsidR="00BE56E1" w:rsidRPr="00BE56E1">
        <w:trPr>
          <w:trHeight w:val="645"/>
        </w:trPr>
        <w:tc>
          <w:tcPr>
            <w:tcW w:w="1654" w:type="dxa"/>
            <w:tcBorders>
              <w:top w:val="nil"/>
              <w:bottom w:val="nil"/>
            </w:tcBorders>
            <w:shd w:val="clear" w:color="auto" w:fill="auto"/>
          </w:tcPr>
          <w:p w:rsidR="00E75155" w:rsidRPr="00BB1267" w:rsidRDefault="003161B9"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Ulloa-Gutierrez</w:t>
            </w:r>
            <w:r>
              <w:rPr>
                <w:rFonts w:ascii="Book Antiqua" w:eastAsia="SimSun" w:hAnsi="Book Antiqua" w:cs="Calibri" w:hint="eastAsia"/>
                <w:kern w:val="0"/>
                <w:sz w:val="24"/>
              </w:rPr>
              <w:t xml:space="preserve"> </w:t>
            </w:r>
            <w:r w:rsidRPr="003161B9">
              <w:rPr>
                <w:rFonts w:ascii="Book Antiqua" w:eastAsia="SimSun" w:hAnsi="Book Antiqua" w:cs="Calibri" w:hint="eastAsia"/>
                <w:i/>
                <w:kern w:val="0"/>
                <w:sz w:val="24"/>
              </w:rPr>
              <w:t>et al</w:t>
            </w:r>
            <w:r w:rsidRPr="00BB1267">
              <w:rPr>
                <w:rFonts w:ascii="Book Antiqua" w:eastAsia="SimSun" w:hAnsi="Book Antiqua" w:cs="Calibri"/>
                <w:kern w:val="0"/>
                <w:sz w:val="24"/>
                <w:vertAlign w:val="superscript"/>
              </w:rPr>
              <w:t>[6]</w:t>
            </w:r>
            <w:r w:rsidRPr="003161B9">
              <w:rPr>
                <w:rFonts w:ascii="Book Antiqua" w:eastAsia="SimSun" w:hAnsi="Book Antiqua" w:cs="Calibri" w:hint="eastAsia"/>
                <w:kern w:val="0"/>
                <w:sz w:val="24"/>
              </w:rPr>
              <w:t>,</w:t>
            </w:r>
            <w:r>
              <w:rPr>
                <w:rFonts w:ascii="Book Antiqua" w:eastAsia="SimSun" w:hAnsi="Book Antiqua" w:cs="Calibri" w:hint="eastAsia"/>
                <w:kern w:val="0"/>
                <w:sz w:val="24"/>
              </w:rPr>
              <w:t xml:space="preserve"> </w:t>
            </w:r>
            <w:r w:rsidRPr="00BE56E1">
              <w:rPr>
                <w:rFonts w:ascii="Book Antiqua" w:eastAsia="SimSun" w:hAnsi="Book Antiqua" w:cs="Calibri"/>
                <w:kern w:val="0"/>
                <w:sz w:val="24"/>
              </w:rPr>
              <w:t>2004</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 xml:space="preserve">6½ </w:t>
            </w:r>
            <w:r w:rsidRPr="00BE56E1">
              <w:rPr>
                <w:rStyle w:val="font21"/>
                <w:rFonts w:ascii="Book Antiqua" w:eastAsia="SimSun" w:hAnsi="Book Antiqua"/>
                <w:color w:val="auto"/>
                <w:sz w:val="24"/>
                <w:szCs w:val="24"/>
              </w:rPr>
              <w:t>Y/</w:t>
            </w:r>
            <w:r w:rsidRPr="00BE56E1">
              <w:rPr>
                <w:rFonts w:ascii="Book Antiqua" w:eastAsia="SimSun" w:hAnsi="Book Antiqua" w:cs="Calibri"/>
                <w:kern w:val="0"/>
                <w:sz w:val="24"/>
              </w:rPr>
              <w:t>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Not done</w:t>
            </w:r>
          </w:p>
        </w:tc>
        <w:tc>
          <w:tcPr>
            <w:tcW w:w="1382"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5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VPD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 xml:space="preserve">Died </w:t>
            </w:r>
          </w:p>
        </w:tc>
      </w:tr>
      <w:tr w:rsidR="00BE56E1" w:rsidRPr="00BE56E1">
        <w:trPr>
          <w:trHeight w:val="90"/>
        </w:trPr>
        <w:tc>
          <w:tcPr>
            <w:tcW w:w="1654" w:type="dxa"/>
            <w:tcBorders>
              <w:top w:val="nil"/>
              <w:bottom w:val="nil"/>
            </w:tcBorders>
            <w:shd w:val="clear" w:color="auto" w:fill="auto"/>
          </w:tcPr>
          <w:p w:rsidR="00E75155" w:rsidRPr="00BB1267" w:rsidRDefault="00F813D0" w:rsidP="00BB1267">
            <w:pPr>
              <w:widowControl/>
              <w:spacing w:line="360" w:lineRule="auto"/>
              <w:textAlignment w:val="top"/>
              <w:rPr>
                <w:rStyle w:val="font11"/>
                <w:rFonts w:ascii="Book Antiqua" w:hAnsi="Book Antiqua" w:cs="Calibri" w:hint="default"/>
                <w:bCs/>
                <w:color w:val="auto"/>
                <w:kern w:val="0"/>
                <w:sz w:val="24"/>
                <w:szCs w:val="24"/>
              </w:rPr>
            </w:pPr>
            <w:r w:rsidRPr="00BE56E1">
              <w:rPr>
                <w:rFonts w:ascii="Book Antiqua" w:eastAsia="SimSun" w:hAnsi="Book Antiqua" w:cs="Calibri"/>
                <w:bCs/>
                <w:kern w:val="0"/>
                <w:sz w:val="24"/>
              </w:rPr>
              <w:t>Kasanmoentalib</w:t>
            </w:r>
            <w:r w:rsidR="003161B9">
              <w:rPr>
                <w:rFonts w:ascii="Book Antiqua" w:eastAsia="SimSun" w:hAnsi="Book Antiqua" w:cs="Calibri" w:hint="eastAsia"/>
                <w:bCs/>
                <w:kern w:val="0"/>
                <w:sz w:val="24"/>
              </w:rPr>
              <w:t xml:space="preserve"> </w:t>
            </w:r>
            <w:r w:rsidR="003161B9" w:rsidRPr="003161B9">
              <w:rPr>
                <w:rFonts w:ascii="Book Antiqua" w:eastAsia="SimSun" w:hAnsi="Book Antiqua" w:cs="Calibri" w:hint="eastAsia"/>
                <w:bCs/>
                <w:i/>
                <w:kern w:val="0"/>
                <w:sz w:val="24"/>
              </w:rPr>
              <w:t>et al</w:t>
            </w:r>
            <w:r w:rsidR="00BB1267" w:rsidRPr="00BB1267">
              <w:rPr>
                <w:rFonts w:ascii="Book Antiqua" w:eastAsia="SimSun" w:hAnsi="Book Antiqua" w:cs="Calibri"/>
                <w:kern w:val="0"/>
                <w:sz w:val="24"/>
                <w:vertAlign w:val="superscript"/>
              </w:rPr>
              <w:t>[12]</w:t>
            </w:r>
            <w:r w:rsidR="003161B9">
              <w:rPr>
                <w:rFonts w:ascii="Book Antiqua" w:eastAsia="SimSun" w:hAnsi="Book Antiqua" w:cs="Calibri" w:hint="eastAsia"/>
                <w:bCs/>
                <w:kern w:val="0"/>
                <w:sz w:val="24"/>
              </w:rPr>
              <w:t xml:space="preserve">, </w:t>
            </w:r>
            <w:r w:rsidRPr="00BE56E1">
              <w:rPr>
                <w:rFonts w:ascii="Book Antiqua" w:eastAsia="SimSun" w:hAnsi="Book Antiqua" w:cs="Calibri"/>
                <w:kern w:val="0"/>
                <w:sz w:val="24"/>
              </w:rPr>
              <w:t>2010</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57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Not done</w:t>
            </w:r>
          </w:p>
        </w:tc>
        <w:tc>
          <w:tcPr>
            <w:tcW w:w="1382"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5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Tracheoesophageal fistula</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Severe cognitive slowness</w:t>
            </w:r>
          </w:p>
        </w:tc>
      </w:tr>
      <w:tr w:rsidR="00BE56E1" w:rsidRPr="00BE56E1">
        <w:trPr>
          <w:trHeight w:val="528"/>
        </w:trPr>
        <w:tc>
          <w:tcPr>
            <w:tcW w:w="1654" w:type="dxa"/>
            <w:tcBorders>
              <w:top w:val="nil"/>
              <w:bottom w:val="nil"/>
            </w:tcBorders>
            <w:shd w:val="clear" w:color="auto" w:fill="auto"/>
          </w:tcPr>
          <w:p w:rsidR="00E75155" w:rsidRPr="00BB1267" w:rsidRDefault="00F813D0"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Ito</w:t>
            </w:r>
            <w:r w:rsidR="003161B9">
              <w:rPr>
                <w:rFonts w:ascii="Book Antiqua" w:eastAsia="SimSun" w:hAnsi="Book Antiqua" w:cs="Calibri" w:hint="eastAsia"/>
                <w:kern w:val="0"/>
                <w:sz w:val="24"/>
              </w:rPr>
              <w:t xml:space="preserve"> </w:t>
            </w:r>
            <w:r w:rsidR="003161B9" w:rsidRPr="003161B9">
              <w:rPr>
                <w:rFonts w:ascii="Book Antiqua" w:eastAsia="SimSun" w:hAnsi="Book Antiqua" w:cs="Calibri" w:hint="eastAsia"/>
                <w:i/>
                <w:kern w:val="0"/>
                <w:sz w:val="24"/>
              </w:rPr>
              <w:t>et al</w:t>
            </w:r>
            <w:r w:rsidR="00BB1267" w:rsidRPr="00BB1267">
              <w:rPr>
                <w:rFonts w:ascii="Book Antiqua" w:eastAsia="SimSun" w:hAnsi="Book Antiqua" w:cs="Calibri"/>
                <w:kern w:val="0"/>
                <w:sz w:val="24"/>
                <w:vertAlign w:val="superscript"/>
              </w:rPr>
              <w:t>[13]</w:t>
            </w:r>
            <w:r w:rsidR="003161B9">
              <w:rPr>
                <w:rStyle w:val="font11"/>
                <w:rFonts w:ascii="Book Antiqua" w:hAnsi="Book Antiqua" w:cs="Calibri" w:hint="default"/>
                <w:color w:val="auto"/>
                <w:sz w:val="24"/>
                <w:szCs w:val="24"/>
              </w:rPr>
              <w:t xml:space="preserve">, </w:t>
            </w:r>
            <w:r w:rsidRPr="00BE56E1">
              <w:rPr>
                <w:rFonts w:ascii="Book Antiqua" w:eastAsia="SimSun" w:hAnsi="Book Antiqua" w:cs="Calibri"/>
                <w:kern w:val="0"/>
                <w:sz w:val="24"/>
              </w:rPr>
              <w:t>2007</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62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14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ventriculitis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 xml:space="preserve">Improvement, remained confused and </w:t>
            </w:r>
            <w:r w:rsidRPr="00BE56E1">
              <w:rPr>
                <w:rFonts w:ascii="Book Antiqua" w:eastAsia="SimSun" w:hAnsi="Book Antiqua" w:cs="Calibri"/>
                <w:kern w:val="0"/>
                <w:sz w:val="24"/>
              </w:rPr>
              <w:lastRenderedPageBreak/>
              <w:t>disoriented</w:t>
            </w:r>
            <w:r w:rsidR="00BE56E1" w:rsidRPr="00BE56E1">
              <w:rPr>
                <w:rFonts w:ascii="Book Antiqua" w:eastAsia="SimSun" w:hAnsi="Book Antiqua" w:cs="Calibri"/>
                <w:kern w:val="0"/>
                <w:sz w:val="24"/>
              </w:rPr>
              <w:t xml:space="preserve"> </w:t>
            </w:r>
          </w:p>
        </w:tc>
      </w:tr>
      <w:tr w:rsidR="00BE56E1" w:rsidRPr="00BE56E1">
        <w:trPr>
          <w:trHeight w:val="625"/>
        </w:trPr>
        <w:tc>
          <w:tcPr>
            <w:tcW w:w="1654" w:type="dxa"/>
            <w:tcBorders>
              <w:top w:val="nil"/>
              <w:bottom w:val="nil"/>
            </w:tcBorders>
            <w:shd w:val="clear" w:color="auto" w:fill="auto"/>
          </w:tcPr>
          <w:p w:rsidR="00E75155" w:rsidRPr="00BE56E1" w:rsidRDefault="00F813D0"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lastRenderedPageBreak/>
              <w:t>McCaffrey</w:t>
            </w:r>
            <w:r w:rsidR="003161B9" w:rsidRPr="003161B9">
              <w:rPr>
                <w:rFonts w:ascii="Book Antiqua" w:eastAsia="SimSun" w:hAnsi="Book Antiqua" w:cs="Calibri" w:hint="eastAsia"/>
                <w:i/>
                <w:kern w:val="0"/>
                <w:sz w:val="24"/>
              </w:rPr>
              <w:t xml:space="preserve"> et al</w:t>
            </w:r>
            <w:r w:rsidR="00BB1267" w:rsidRPr="00BB1267">
              <w:rPr>
                <w:rFonts w:ascii="Book Antiqua" w:eastAsia="SimSun" w:hAnsi="Book Antiqua" w:cs="Calibri"/>
                <w:kern w:val="0"/>
                <w:sz w:val="24"/>
                <w:vertAlign w:val="superscript"/>
              </w:rPr>
              <w:t>[20]</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2012</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57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w:t>
            </w:r>
          </w:p>
        </w:tc>
        <w:tc>
          <w:tcPr>
            <w:tcW w:w="1683" w:type="dxa"/>
            <w:tcBorders>
              <w:top w:val="nil"/>
              <w:bottom w:val="nil"/>
            </w:tcBorders>
            <w:shd w:val="clear" w:color="auto" w:fill="auto"/>
          </w:tcPr>
          <w:p w:rsidR="00E75155" w:rsidRPr="00BE56E1" w:rsidRDefault="00022D86" w:rsidP="00BE56E1">
            <w:pPr>
              <w:widowControl/>
              <w:spacing w:line="360" w:lineRule="auto"/>
              <w:textAlignment w:val="top"/>
              <w:rPr>
                <w:rFonts w:ascii="Book Antiqua" w:eastAsia="SimSun" w:hAnsi="Book Antiqua" w:cs="Calibri"/>
                <w:kern w:val="0"/>
                <w:sz w:val="24"/>
              </w:rPr>
            </w:pPr>
            <w:r>
              <w:rPr>
                <w:rFonts w:ascii="Book Antiqua" w:eastAsia="SimSun" w:hAnsi="Book Antiqua" w:cs="Calibri"/>
                <w:kern w:val="0"/>
                <w:sz w:val="24"/>
              </w:rPr>
              <w:t>Yes</w:t>
            </w:r>
            <w:r w:rsidR="00F813D0" w:rsidRPr="00BE56E1">
              <w:rPr>
                <w:rFonts w:ascii="Book Antiqua" w:eastAsia="SimSun" w:hAnsi="Book Antiqua" w:cs="Calibri"/>
                <w:kern w:val="0"/>
                <w:sz w:val="24"/>
              </w:rPr>
              <w:t>,</w:t>
            </w:r>
            <w:r>
              <w:rPr>
                <w:rFonts w:ascii="Book Antiqua" w:eastAsia="SimSun" w:hAnsi="Book Antiqua" w:cs="Calibri" w:hint="eastAsia"/>
                <w:kern w:val="0"/>
                <w:sz w:val="24"/>
              </w:rPr>
              <w:t xml:space="preserve"> </w:t>
            </w:r>
            <w:r w:rsidR="00F813D0" w:rsidRPr="00BE56E1">
              <w:rPr>
                <w:rFonts w:ascii="Book Antiqua" w:eastAsia="SimSun" w:hAnsi="Book Antiqua" w:cs="Calibri"/>
                <w:kern w:val="0"/>
                <w:sz w:val="24"/>
              </w:rPr>
              <w:t>hydrocephalus</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1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ventriculitis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NA</w:t>
            </w:r>
          </w:p>
        </w:tc>
      </w:tr>
      <w:tr w:rsidR="00BE56E1" w:rsidRPr="00BE56E1">
        <w:trPr>
          <w:trHeight w:val="850"/>
        </w:trPr>
        <w:tc>
          <w:tcPr>
            <w:tcW w:w="1654" w:type="dxa"/>
            <w:tcBorders>
              <w:top w:val="nil"/>
              <w:bottom w:val="nil"/>
            </w:tcBorders>
            <w:shd w:val="clear" w:color="auto" w:fill="auto"/>
          </w:tcPr>
          <w:p w:rsidR="00E75155" w:rsidRPr="00BE56E1" w:rsidRDefault="00F813D0" w:rsidP="00BB1267">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Dhiwakar</w:t>
            </w:r>
            <w:r w:rsidR="003161B9" w:rsidRPr="003161B9">
              <w:rPr>
                <w:rFonts w:ascii="Book Antiqua" w:eastAsia="SimSun" w:hAnsi="Book Antiqua" w:cs="Calibri" w:hint="eastAsia"/>
                <w:i/>
                <w:kern w:val="0"/>
                <w:sz w:val="24"/>
              </w:rPr>
              <w:t xml:space="preserve"> et al</w:t>
            </w:r>
            <w:r w:rsidR="00BB1267" w:rsidRPr="00BB1267">
              <w:rPr>
                <w:rFonts w:ascii="Book Antiqua" w:eastAsia="SimSun" w:hAnsi="Book Antiqua" w:cs="Calibri"/>
                <w:kern w:val="0"/>
                <w:sz w:val="24"/>
                <w:vertAlign w:val="superscript"/>
              </w:rPr>
              <w:t>[21]</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2007</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40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Not done</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2 mo</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 xml:space="preserve">Seizures, ventriculitis, </w:t>
            </w:r>
          </w:p>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 xml:space="preserve">basal arachnoiditis, </w:t>
            </w:r>
          </w:p>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cerebellar tonsillar herniation</w:t>
            </w:r>
            <w:r w:rsidR="00BE56E1" w:rsidRPr="00BE56E1">
              <w:rPr>
                <w:rFonts w:ascii="Book Antiqua" w:eastAsia="SimSun" w:hAnsi="Book Antiqua" w:cs="Calibri"/>
                <w:kern w:val="0"/>
                <w:sz w:val="24"/>
              </w:rPr>
              <w:t xml:space="preserve"> </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VPD, VAD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Near-complete recovery</w:t>
            </w:r>
          </w:p>
        </w:tc>
      </w:tr>
      <w:tr w:rsidR="00BE56E1" w:rsidRPr="00BE56E1">
        <w:trPr>
          <w:trHeight w:val="604"/>
        </w:trPr>
        <w:tc>
          <w:tcPr>
            <w:tcW w:w="1654" w:type="dxa"/>
            <w:tcBorders>
              <w:top w:val="nil"/>
              <w:bottom w:val="nil"/>
            </w:tcBorders>
            <w:shd w:val="clear" w:color="auto" w:fill="auto"/>
          </w:tcPr>
          <w:p w:rsidR="00E75155" w:rsidRPr="00BB1267" w:rsidRDefault="00F813D0" w:rsidP="00BB1267">
            <w:pPr>
              <w:widowControl/>
              <w:spacing w:line="360" w:lineRule="auto"/>
              <w:textAlignment w:val="top"/>
              <w:rPr>
                <w:rStyle w:val="font11"/>
                <w:rFonts w:ascii="Book Antiqua" w:hAnsi="Book Antiqua" w:cs="Calibri" w:hint="default"/>
                <w:color w:val="auto"/>
                <w:kern w:val="0"/>
                <w:sz w:val="24"/>
                <w:szCs w:val="24"/>
              </w:rPr>
            </w:pPr>
            <w:r w:rsidRPr="00BE56E1">
              <w:rPr>
                <w:rFonts w:ascii="Book Antiqua" w:eastAsia="SimSun" w:hAnsi="Book Antiqua" w:cs="Calibri"/>
                <w:kern w:val="0"/>
                <w:sz w:val="24"/>
              </w:rPr>
              <w:t>Chan</w:t>
            </w:r>
            <w:r w:rsidR="003161B9" w:rsidRPr="003161B9">
              <w:rPr>
                <w:rFonts w:ascii="Book Antiqua" w:eastAsia="SimSun" w:hAnsi="Book Antiqua" w:cs="Calibri" w:hint="eastAsia"/>
                <w:i/>
                <w:kern w:val="0"/>
                <w:sz w:val="24"/>
              </w:rPr>
              <w:t xml:space="preserve"> et al</w:t>
            </w:r>
            <w:r w:rsidR="00BB1267" w:rsidRPr="00BB1267">
              <w:rPr>
                <w:rFonts w:ascii="Book Antiqua" w:eastAsia="SimSun" w:hAnsi="Book Antiqua" w:cs="Calibri"/>
                <w:kern w:val="0"/>
                <w:sz w:val="24"/>
                <w:vertAlign w:val="superscript"/>
              </w:rPr>
              <w:t>[26]</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2001 </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42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022D86" w:rsidP="00BE56E1">
            <w:pPr>
              <w:widowControl/>
              <w:spacing w:line="360" w:lineRule="auto"/>
              <w:textAlignment w:val="top"/>
              <w:rPr>
                <w:rFonts w:ascii="Book Antiqua" w:eastAsia="SimSun" w:hAnsi="Book Antiqua" w:cs="Calibri"/>
                <w:kern w:val="0"/>
                <w:sz w:val="24"/>
              </w:rPr>
            </w:pPr>
            <w:r>
              <w:rPr>
                <w:rFonts w:ascii="Book Antiqua" w:eastAsia="SimSun" w:hAnsi="Book Antiqua" w:cs="Calibri"/>
                <w:kern w:val="0"/>
                <w:sz w:val="24"/>
              </w:rPr>
              <w:t>Yes</w:t>
            </w:r>
            <w:r w:rsidR="00F813D0" w:rsidRPr="00BE56E1">
              <w:rPr>
                <w:rFonts w:ascii="Book Antiqua" w:eastAsia="SimSun" w:hAnsi="Book Antiqua" w:cs="Calibri"/>
                <w:kern w:val="0"/>
                <w:sz w:val="24"/>
              </w:rPr>
              <w:t>, hydrocephalus</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4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 xml:space="preserve">Subdural collection, extensive </w:t>
            </w:r>
          </w:p>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cerebritis and ventriculitis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Died</w:t>
            </w:r>
          </w:p>
        </w:tc>
      </w:tr>
      <w:tr w:rsidR="00BE56E1" w:rsidRPr="00BE56E1">
        <w:trPr>
          <w:trHeight w:val="563"/>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Lee</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[28]</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2010 </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7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Not done</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10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 VPD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Recovery</w:t>
            </w:r>
            <w:r w:rsidR="00BE56E1" w:rsidRPr="00BE56E1">
              <w:rPr>
                <w:rFonts w:ascii="Book Antiqua" w:eastAsia="SimSun" w:hAnsi="Book Antiqua" w:cs="Calibri"/>
                <w:kern w:val="0"/>
                <w:sz w:val="24"/>
              </w:rPr>
              <w:t xml:space="preserve"> </w:t>
            </w:r>
          </w:p>
        </w:tc>
      </w:tr>
      <w:tr w:rsidR="00BE56E1" w:rsidRPr="00BE56E1">
        <w:trPr>
          <w:trHeight w:val="1018"/>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Platnaris</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[29]</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2009</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7 M/M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10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Seizures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 development having achieved skills according to his age at 22 mo of age</w:t>
            </w:r>
            <w:r w:rsidR="00BE56E1" w:rsidRPr="00BE56E1">
              <w:rPr>
                <w:rFonts w:ascii="Book Antiqua" w:eastAsia="SimSun" w:hAnsi="Book Antiqua" w:cs="Calibri"/>
                <w:kern w:val="0"/>
                <w:sz w:val="24"/>
              </w:rPr>
              <w:t xml:space="preserve"> </w:t>
            </w:r>
          </w:p>
        </w:tc>
      </w:tr>
      <w:tr w:rsidR="00BE56E1" w:rsidRPr="00BE56E1">
        <w:trPr>
          <w:trHeight w:val="716"/>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lastRenderedPageBreak/>
              <w:t>Papandreou</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[30]</w:t>
            </w:r>
            <w:r w:rsidR="003161B9" w:rsidRPr="003161B9">
              <w:rPr>
                <w:rFonts w:ascii="Book Antiqua" w:eastAsia="SimSun" w:hAnsi="Book Antiqua" w:cs="Calibri" w:hint="eastAsia"/>
                <w:kern w:val="0"/>
                <w:sz w:val="24"/>
              </w:rPr>
              <w:t>,</w:t>
            </w:r>
            <w:r w:rsidR="003161B9">
              <w:rPr>
                <w:rFonts w:ascii="Book Antiqua" w:eastAsia="SimSun" w:hAnsi="Book Antiqua" w:cs="Calibri" w:hint="eastAsia"/>
                <w:kern w:val="0"/>
                <w:sz w:val="24"/>
                <w:vertAlign w:val="superscript"/>
              </w:rPr>
              <w:t xml:space="preserve"> </w:t>
            </w:r>
            <w:r w:rsidRPr="00BE56E1">
              <w:rPr>
                <w:rFonts w:ascii="Book Antiqua" w:eastAsia="SimSun" w:hAnsi="Book Antiqua" w:cs="Calibri"/>
                <w:kern w:val="0"/>
                <w:sz w:val="24"/>
              </w:rPr>
              <w:t>2015</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3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8 d</w:t>
            </w:r>
          </w:p>
        </w:tc>
        <w:tc>
          <w:tcPr>
            <w:tcW w:w="2611" w:type="dxa"/>
            <w:tcBorders>
              <w:top w:val="nil"/>
              <w:bottom w:val="nil"/>
            </w:tcBorders>
            <w:shd w:val="clear" w:color="auto" w:fill="auto"/>
          </w:tcPr>
          <w:p w:rsidR="00E75155" w:rsidRPr="00BE56E1" w:rsidRDefault="00F14B1C"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 xml:space="preserve">Cerebellar </w:t>
            </w:r>
            <w:r w:rsidR="00F813D0" w:rsidRPr="00BE56E1">
              <w:rPr>
                <w:rFonts w:ascii="Book Antiqua" w:eastAsia="SimSun" w:hAnsi="Book Antiqua" w:cs="Calibri"/>
                <w:kern w:val="0"/>
                <w:sz w:val="24"/>
              </w:rPr>
              <w:t>tonsillar herniation, ventriculitis and AIDP</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 VPD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Incomplete recovery</w:t>
            </w:r>
          </w:p>
        </w:tc>
      </w:tr>
      <w:tr w:rsidR="00BE56E1" w:rsidRPr="00BE56E1">
        <w:trPr>
          <w:trHeight w:val="666"/>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Gaini</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[31]</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2015</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74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6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Brain abscess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14B1C"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 xml:space="preserve">Severe </w:t>
            </w:r>
            <w:r>
              <w:rPr>
                <w:rFonts w:ascii="Book Antiqua" w:eastAsia="SimSun" w:hAnsi="Book Antiqua" w:cs="Calibri"/>
                <w:kern w:val="0"/>
                <w:sz w:val="24"/>
              </w:rPr>
              <w:t>sequelae, died 1 y</w:t>
            </w:r>
            <w:r w:rsidR="00F813D0" w:rsidRPr="00BE56E1">
              <w:rPr>
                <w:rFonts w:ascii="Book Antiqua" w:eastAsia="SimSun" w:hAnsi="Book Antiqua" w:cs="Calibri"/>
                <w:kern w:val="0"/>
                <w:sz w:val="24"/>
              </w:rPr>
              <w:t>r later</w:t>
            </w:r>
          </w:p>
        </w:tc>
      </w:tr>
      <w:tr w:rsidR="00BE56E1" w:rsidRPr="00BE56E1">
        <w:trPr>
          <w:trHeight w:val="723"/>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Ruggieri</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[32]</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2014 </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27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 hindbrain multifocal lesions</w:t>
            </w:r>
          </w:p>
        </w:tc>
        <w:tc>
          <w:tcPr>
            <w:tcW w:w="1382"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9 days</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Only a motor deficit of the right arm remained</w:t>
            </w:r>
          </w:p>
        </w:tc>
      </w:tr>
      <w:tr w:rsidR="00BE56E1" w:rsidRPr="00BE56E1">
        <w:trPr>
          <w:trHeight w:val="583"/>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Cunha</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[33]</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2004</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50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 Hydrocephalus</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1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w:t>
            </w:r>
          </w:p>
        </w:tc>
        <w:tc>
          <w:tcPr>
            <w:tcW w:w="2601"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Died 10 d after admission</w:t>
            </w:r>
          </w:p>
        </w:tc>
      </w:tr>
      <w:tr w:rsidR="00BE56E1" w:rsidRPr="00BE56E1">
        <w:trPr>
          <w:trHeight w:val="635"/>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Frat</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[34]</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2001</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72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Yes</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12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seizures</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VPD</w:t>
            </w:r>
          </w:p>
        </w:tc>
        <w:tc>
          <w:tcPr>
            <w:tcW w:w="2601"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Recovery after 5 mo of rehabilitative care</w:t>
            </w:r>
          </w:p>
        </w:tc>
      </w:tr>
      <w:tr w:rsidR="00BE56E1" w:rsidRPr="00BE56E1">
        <w:trPr>
          <w:trHeight w:val="681"/>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Raps</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[35]</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1989</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47 Y/F</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Not done</w:t>
            </w:r>
          </w:p>
        </w:tc>
        <w:tc>
          <w:tcPr>
            <w:tcW w:w="1382"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Several weeks</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Cervical cord compression</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EVD, VPD</w:t>
            </w:r>
          </w:p>
        </w:tc>
        <w:tc>
          <w:tcPr>
            <w:tcW w:w="2601" w:type="dxa"/>
            <w:tcBorders>
              <w:top w:val="nil"/>
              <w:bottom w:val="nil"/>
            </w:tcBorders>
            <w:shd w:val="clear" w:color="auto" w:fill="auto"/>
          </w:tcPr>
          <w:p w:rsidR="00E75155" w:rsidRPr="00BE56E1" w:rsidRDefault="00F813D0" w:rsidP="00F14B1C">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 significant deficit 6 mo later</w:t>
            </w:r>
          </w:p>
        </w:tc>
      </w:tr>
      <w:tr w:rsidR="00BE56E1" w:rsidRPr="00BE56E1">
        <w:trPr>
          <w:trHeight w:val="645"/>
        </w:trPr>
        <w:tc>
          <w:tcPr>
            <w:tcW w:w="1654" w:type="dxa"/>
            <w:tcBorders>
              <w:top w:val="nil"/>
              <w:bottom w:val="nil"/>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Yang</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[36]</w:t>
            </w:r>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 xml:space="preserve">2006 </w:t>
            </w:r>
          </w:p>
        </w:tc>
        <w:tc>
          <w:tcPr>
            <w:tcW w:w="107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42 Y/M</w:t>
            </w:r>
          </w:p>
        </w:tc>
        <w:tc>
          <w:tcPr>
            <w:tcW w:w="1446"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w:t>
            </w:r>
          </w:p>
        </w:tc>
        <w:tc>
          <w:tcPr>
            <w:tcW w:w="1683"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Normal</w:t>
            </w:r>
          </w:p>
        </w:tc>
        <w:tc>
          <w:tcPr>
            <w:tcW w:w="1382" w:type="dxa"/>
            <w:tcBorders>
              <w:top w:val="nil"/>
              <w:bottom w:val="nil"/>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9 d</w:t>
            </w:r>
          </w:p>
        </w:tc>
        <w:tc>
          <w:tcPr>
            <w:tcW w:w="261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Seizures</w:t>
            </w:r>
            <w:r w:rsidR="00BE56E1" w:rsidRPr="00BE56E1">
              <w:rPr>
                <w:rFonts w:ascii="Book Antiqua" w:eastAsia="SimSun" w:hAnsi="Book Antiqua" w:cs="Calibri"/>
                <w:kern w:val="0"/>
                <w:sz w:val="24"/>
              </w:rPr>
              <w:t xml:space="preserve"> </w:t>
            </w:r>
          </w:p>
        </w:tc>
        <w:tc>
          <w:tcPr>
            <w:tcW w:w="1100"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ORI</w:t>
            </w:r>
          </w:p>
        </w:tc>
        <w:tc>
          <w:tcPr>
            <w:tcW w:w="2601" w:type="dxa"/>
            <w:tcBorders>
              <w:top w:val="nil"/>
              <w:bottom w:val="nil"/>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Recovery</w:t>
            </w:r>
          </w:p>
        </w:tc>
      </w:tr>
      <w:tr w:rsidR="00E75155" w:rsidRPr="00BE56E1">
        <w:trPr>
          <w:trHeight w:val="631"/>
        </w:trPr>
        <w:tc>
          <w:tcPr>
            <w:tcW w:w="1654" w:type="dxa"/>
            <w:tcBorders>
              <w:top w:val="nil"/>
              <w:bottom w:val="single" w:sz="4" w:space="0" w:color="auto"/>
            </w:tcBorders>
            <w:shd w:val="clear" w:color="auto" w:fill="auto"/>
          </w:tcPr>
          <w:p w:rsidR="00E75155" w:rsidRPr="00022D86" w:rsidRDefault="00F813D0" w:rsidP="00022D86">
            <w:pPr>
              <w:widowControl/>
              <w:spacing w:line="360" w:lineRule="auto"/>
              <w:textAlignment w:val="top"/>
              <w:rPr>
                <w:rFonts w:ascii="Book Antiqua" w:eastAsia="SimSun" w:hAnsi="Book Antiqua" w:cs="Calibri"/>
                <w:kern w:val="0"/>
                <w:sz w:val="24"/>
              </w:rPr>
            </w:pPr>
            <w:r w:rsidRPr="00BE56E1">
              <w:rPr>
                <w:rFonts w:ascii="Book Antiqua" w:eastAsia="SimSun" w:hAnsi="Book Antiqua" w:cs="Calibri"/>
                <w:kern w:val="0"/>
                <w:sz w:val="24"/>
              </w:rPr>
              <w:t>Rana</w:t>
            </w:r>
            <w:r w:rsidR="003161B9" w:rsidRPr="003161B9">
              <w:rPr>
                <w:rFonts w:ascii="Book Antiqua" w:eastAsia="SimSun" w:hAnsi="Book Antiqua" w:cs="Calibri" w:hint="eastAsia"/>
                <w:i/>
                <w:kern w:val="0"/>
                <w:sz w:val="24"/>
              </w:rPr>
              <w:t xml:space="preserve"> et al</w:t>
            </w:r>
            <w:r w:rsidR="00022D86" w:rsidRPr="00022D86">
              <w:rPr>
                <w:rFonts w:ascii="Book Antiqua" w:eastAsia="SimSun" w:hAnsi="Book Antiqua" w:cs="Calibri"/>
                <w:kern w:val="0"/>
                <w:sz w:val="24"/>
                <w:vertAlign w:val="superscript"/>
              </w:rPr>
              <w:t>[</w:t>
            </w:r>
            <w:bookmarkStart w:id="45" w:name="_GoBack"/>
            <w:r w:rsidR="00022D86" w:rsidRPr="00022D86">
              <w:rPr>
                <w:rFonts w:ascii="Book Antiqua" w:eastAsia="SimSun" w:hAnsi="Book Antiqua" w:cs="Calibri"/>
                <w:kern w:val="0"/>
                <w:sz w:val="24"/>
                <w:vertAlign w:val="superscript"/>
              </w:rPr>
              <w:t>37]</w:t>
            </w:r>
            <w:bookmarkEnd w:id="45"/>
            <w:r w:rsidR="003161B9">
              <w:rPr>
                <w:rFonts w:ascii="Book Antiqua" w:eastAsia="SimSun" w:hAnsi="Book Antiqua" w:cs="Calibri" w:hint="eastAsia"/>
                <w:kern w:val="0"/>
                <w:sz w:val="24"/>
              </w:rPr>
              <w:t xml:space="preserve">, </w:t>
            </w:r>
            <w:r w:rsidRPr="00BE56E1">
              <w:rPr>
                <w:rFonts w:ascii="Book Antiqua" w:eastAsia="SimSun" w:hAnsi="Book Antiqua" w:cs="Calibri"/>
                <w:kern w:val="0"/>
                <w:sz w:val="24"/>
              </w:rPr>
              <w:t>2014</w:t>
            </w:r>
          </w:p>
        </w:tc>
        <w:tc>
          <w:tcPr>
            <w:tcW w:w="1073"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75 Y/M</w:t>
            </w:r>
          </w:p>
        </w:tc>
        <w:tc>
          <w:tcPr>
            <w:tcW w:w="1446"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w:t>
            </w:r>
          </w:p>
        </w:tc>
        <w:tc>
          <w:tcPr>
            <w:tcW w:w="1683"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Not done</w:t>
            </w:r>
          </w:p>
        </w:tc>
        <w:tc>
          <w:tcPr>
            <w:tcW w:w="1382" w:type="dxa"/>
            <w:tcBorders>
              <w:top w:val="nil"/>
              <w:bottom w:val="single" w:sz="4" w:space="0" w:color="auto"/>
            </w:tcBorders>
            <w:shd w:val="clear" w:color="auto" w:fill="auto"/>
          </w:tcPr>
          <w:p w:rsidR="00E75155" w:rsidRPr="00BE56E1" w:rsidRDefault="00F813D0" w:rsidP="00022D86">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5 d</w:t>
            </w:r>
          </w:p>
        </w:tc>
        <w:tc>
          <w:tcPr>
            <w:tcW w:w="2611"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None</w:t>
            </w:r>
          </w:p>
        </w:tc>
        <w:tc>
          <w:tcPr>
            <w:tcW w:w="1100"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VPD</w:t>
            </w:r>
          </w:p>
        </w:tc>
        <w:tc>
          <w:tcPr>
            <w:tcW w:w="2601" w:type="dxa"/>
            <w:tcBorders>
              <w:top w:val="nil"/>
              <w:bottom w:val="single" w:sz="4" w:space="0" w:color="auto"/>
            </w:tcBorders>
            <w:shd w:val="clear" w:color="auto" w:fill="auto"/>
          </w:tcPr>
          <w:p w:rsidR="00E75155" w:rsidRPr="00BE56E1" w:rsidRDefault="00F813D0" w:rsidP="00BE56E1">
            <w:pPr>
              <w:widowControl/>
              <w:spacing w:line="360" w:lineRule="auto"/>
              <w:textAlignment w:val="top"/>
              <w:rPr>
                <w:rFonts w:ascii="Book Antiqua" w:eastAsia="SimSun" w:hAnsi="Book Antiqua" w:cs="Calibri"/>
                <w:sz w:val="24"/>
              </w:rPr>
            </w:pPr>
            <w:r w:rsidRPr="00BE56E1">
              <w:rPr>
                <w:rFonts w:ascii="Book Antiqua" w:eastAsia="SimSun" w:hAnsi="Book Antiqua" w:cs="Calibri"/>
                <w:kern w:val="0"/>
                <w:sz w:val="24"/>
              </w:rPr>
              <w:t>Gradual recovery</w:t>
            </w:r>
          </w:p>
        </w:tc>
      </w:tr>
    </w:tbl>
    <w:p w:rsidR="00E75155" w:rsidRPr="00BE56E1" w:rsidRDefault="00F813D0" w:rsidP="00BE56E1">
      <w:pPr>
        <w:spacing w:line="360" w:lineRule="auto"/>
        <w:rPr>
          <w:rFonts w:ascii="Book Antiqua" w:hAnsi="Book Antiqua" w:cs="Calibri"/>
          <w:sz w:val="24"/>
        </w:rPr>
      </w:pPr>
      <w:r w:rsidRPr="00BE56E1">
        <w:rPr>
          <w:rFonts w:ascii="Book Antiqua" w:hAnsi="Book Antiqua" w:cs="Calibri"/>
          <w:sz w:val="24"/>
        </w:rPr>
        <w:lastRenderedPageBreak/>
        <w:t>M</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Male</w:t>
      </w:r>
      <w:r w:rsidRPr="00BE56E1">
        <w:rPr>
          <w:rFonts w:ascii="Book Antiqua" w:hAnsi="Book Antiqua" w:cs="Calibri"/>
          <w:sz w:val="24"/>
        </w:rPr>
        <w:t>; Y</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Years</w:t>
      </w:r>
      <w:r w:rsidRPr="00BE56E1">
        <w:rPr>
          <w:rFonts w:ascii="Book Antiqua" w:hAnsi="Book Antiqua" w:cs="Calibri"/>
          <w:sz w:val="24"/>
        </w:rPr>
        <w:t>; M</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Months</w:t>
      </w:r>
      <w:r w:rsidRPr="00BE56E1">
        <w:rPr>
          <w:rFonts w:ascii="Book Antiqua" w:hAnsi="Book Antiqua" w:cs="Calibri"/>
          <w:sz w:val="24"/>
        </w:rPr>
        <w:t>; F</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Female</w:t>
      </w:r>
      <w:r w:rsidRPr="00BE56E1">
        <w:rPr>
          <w:rFonts w:ascii="Book Antiqua" w:hAnsi="Book Antiqua" w:cs="Calibri"/>
          <w:sz w:val="24"/>
        </w:rPr>
        <w:t>; EVD</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 xml:space="preserve">External </w:t>
      </w:r>
      <w:r w:rsidRPr="00BE56E1">
        <w:rPr>
          <w:rFonts w:ascii="Book Antiqua" w:hAnsi="Book Antiqua" w:cs="Calibri"/>
          <w:sz w:val="24"/>
        </w:rPr>
        <w:t>ventricular drain; VPD</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Ventriculo</w:t>
      </w:r>
      <w:r w:rsidRPr="00BE56E1">
        <w:rPr>
          <w:rFonts w:ascii="Book Antiqua" w:hAnsi="Book Antiqua" w:cs="Calibri"/>
          <w:sz w:val="24"/>
        </w:rPr>
        <w:t>-peritoneal drain; VAD</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Ventriculo</w:t>
      </w:r>
      <w:r w:rsidRPr="00BE56E1">
        <w:rPr>
          <w:rFonts w:ascii="Book Antiqua" w:hAnsi="Book Antiqua" w:cs="Calibri"/>
          <w:sz w:val="24"/>
        </w:rPr>
        <w:t>-atrial drain; ORI</w:t>
      </w:r>
      <w:r w:rsidR="00F14B1C">
        <w:rPr>
          <w:rFonts w:ascii="Book Antiqua" w:hAnsi="Book Antiqua" w:cs="Calibri" w:hint="eastAsia"/>
          <w:sz w:val="24"/>
        </w:rPr>
        <w:t>:</w:t>
      </w:r>
      <w:r w:rsidRPr="00BE56E1">
        <w:rPr>
          <w:rFonts w:ascii="Book Antiqua" w:hAnsi="Book Antiqua" w:cs="Calibri"/>
          <w:sz w:val="24"/>
        </w:rPr>
        <w:t xml:space="preserve"> Ommaya reservoir implantation; AIDP</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 xml:space="preserve">Acute </w:t>
      </w:r>
      <w:r w:rsidRPr="00BE56E1">
        <w:rPr>
          <w:rFonts w:ascii="Book Antiqua" w:hAnsi="Book Antiqua" w:cs="Calibri"/>
          <w:sz w:val="24"/>
        </w:rPr>
        <w:t>inflammatory demyelinating polyneuropathy; NA</w:t>
      </w:r>
      <w:r w:rsidR="00F14B1C">
        <w:rPr>
          <w:rFonts w:ascii="Book Antiqua" w:hAnsi="Book Antiqua" w:cs="Calibri" w:hint="eastAsia"/>
          <w:sz w:val="24"/>
        </w:rPr>
        <w:t>:</w:t>
      </w:r>
      <w:r w:rsidRPr="00BE56E1">
        <w:rPr>
          <w:rFonts w:ascii="Book Antiqua" w:hAnsi="Book Antiqua" w:cs="Calibri"/>
          <w:sz w:val="24"/>
        </w:rPr>
        <w:t xml:space="preserve"> </w:t>
      </w:r>
      <w:r w:rsidR="00F14B1C" w:rsidRPr="00BE56E1">
        <w:rPr>
          <w:rFonts w:ascii="Book Antiqua" w:hAnsi="Book Antiqua" w:cs="Calibri"/>
          <w:sz w:val="24"/>
        </w:rPr>
        <w:t xml:space="preserve">Not </w:t>
      </w:r>
      <w:r w:rsidRPr="00BE56E1">
        <w:rPr>
          <w:rFonts w:ascii="Book Antiqua" w:hAnsi="Book Antiqua" w:cs="Calibri"/>
          <w:sz w:val="24"/>
        </w:rPr>
        <w:t>available</w:t>
      </w:r>
      <w:r w:rsidR="00F14B1C">
        <w:rPr>
          <w:rFonts w:ascii="Book Antiqua" w:hAnsi="Book Antiqua" w:cs="Calibri" w:hint="eastAsia"/>
          <w:sz w:val="24"/>
        </w:rPr>
        <w:t>.</w:t>
      </w:r>
      <w:r w:rsidRPr="00BE56E1">
        <w:rPr>
          <w:rFonts w:ascii="Book Antiqua" w:hAnsi="Book Antiqua" w:cs="Calibri"/>
          <w:sz w:val="24"/>
        </w:rPr>
        <w:t xml:space="preserve"> </w:t>
      </w:r>
    </w:p>
    <w:p w:rsidR="00EC1C0B" w:rsidRDefault="00EC1C0B" w:rsidP="003071D2">
      <w:pPr>
        <w:spacing w:line="360" w:lineRule="auto"/>
        <w:rPr>
          <w:rFonts w:ascii="Book Antiqua" w:hAnsi="Book Antiqua" w:cs="Calibri"/>
          <w:b/>
          <w:bCs/>
          <w:sz w:val="24"/>
        </w:rPr>
      </w:pPr>
    </w:p>
    <w:p w:rsidR="003071D2" w:rsidRPr="00F14B1C" w:rsidRDefault="003071D2" w:rsidP="003071D2">
      <w:pPr>
        <w:spacing w:line="360" w:lineRule="auto"/>
        <w:rPr>
          <w:rFonts w:ascii="Book Antiqua" w:hAnsi="Book Antiqua" w:cs="Calibri"/>
          <w:b/>
          <w:bCs/>
          <w:sz w:val="24"/>
        </w:rPr>
      </w:pPr>
      <w:r w:rsidRPr="00F14B1C">
        <w:rPr>
          <w:rFonts w:ascii="Book Antiqua" w:hAnsi="Book Antiqua" w:cs="Calibri"/>
          <w:b/>
          <w:bCs/>
          <w:sz w:val="24"/>
        </w:rPr>
        <w:t>Table</w:t>
      </w:r>
      <w:r w:rsidRPr="00F14B1C">
        <w:rPr>
          <w:rFonts w:ascii="Book Antiqua" w:hAnsi="Book Antiqua" w:cs="Calibri" w:hint="eastAsia"/>
          <w:b/>
          <w:bCs/>
          <w:sz w:val="24"/>
        </w:rPr>
        <w:t xml:space="preserve"> 3</w:t>
      </w:r>
      <w:r w:rsidRPr="00F14B1C">
        <w:rPr>
          <w:rFonts w:ascii="Book Antiqua" w:hAnsi="Book Antiqua" w:cs="Calibri"/>
          <w:b/>
          <w:bCs/>
          <w:sz w:val="24"/>
        </w:rPr>
        <w:t xml:space="preserve"> </w:t>
      </w:r>
      <w:r w:rsidR="00F14B1C" w:rsidRPr="00F14B1C">
        <w:rPr>
          <w:rFonts w:ascii="Book Antiqua" w:hAnsi="Book Antiqua" w:cs="Calibri"/>
          <w:b/>
          <w:sz w:val="24"/>
        </w:rPr>
        <w:t>Cerebrospinal fluid</w:t>
      </w:r>
      <w:r w:rsidRPr="00F14B1C">
        <w:rPr>
          <w:rFonts w:ascii="Book Antiqua" w:hAnsi="Book Antiqua" w:cs="Calibri"/>
          <w:b/>
          <w:bCs/>
          <w:sz w:val="24"/>
        </w:rPr>
        <w:t xml:space="preserve"> analysis across disease duration</w:t>
      </w:r>
    </w:p>
    <w:tbl>
      <w:tblPr>
        <w:tblStyle w:val="TableGrid"/>
        <w:tblW w:w="8522" w:type="dxa"/>
        <w:tblLayout w:type="fixed"/>
        <w:tblLook w:val="04A0" w:firstRow="1" w:lastRow="0" w:firstColumn="1" w:lastColumn="0" w:noHBand="0" w:noVBand="1"/>
      </w:tblPr>
      <w:tblGrid>
        <w:gridCol w:w="2851"/>
        <w:gridCol w:w="1808"/>
        <w:gridCol w:w="1830"/>
        <w:gridCol w:w="2033"/>
      </w:tblGrid>
      <w:tr w:rsidR="003071D2" w:rsidRPr="00876AEE" w:rsidTr="00403566">
        <w:tc>
          <w:tcPr>
            <w:tcW w:w="2851" w:type="dxa"/>
            <w:tcBorders>
              <w:top w:val="single" w:sz="4" w:space="0" w:color="auto"/>
              <w:left w:val="nil"/>
              <w:bottom w:val="single" w:sz="4" w:space="0" w:color="auto"/>
              <w:right w:val="nil"/>
            </w:tcBorders>
          </w:tcPr>
          <w:p w:rsidR="003071D2" w:rsidRPr="00876AEE" w:rsidRDefault="003071D2" w:rsidP="00403566">
            <w:pPr>
              <w:spacing w:line="360" w:lineRule="auto"/>
              <w:rPr>
                <w:rFonts w:ascii="Book Antiqua" w:hAnsi="Book Antiqua" w:cs="Calibri"/>
                <w:b/>
                <w:sz w:val="24"/>
              </w:rPr>
            </w:pPr>
            <w:r w:rsidRPr="00876AEE">
              <w:rPr>
                <w:rFonts w:ascii="Book Antiqua" w:hAnsi="Book Antiqua" w:cs="Calibri"/>
                <w:b/>
                <w:sz w:val="24"/>
              </w:rPr>
              <w:t>CSF test</w:t>
            </w:r>
          </w:p>
        </w:tc>
        <w:tc>
          <w:tcPr>
            <w:tcW w:w="1808" w:type="dxa"/>
            <w:tcBorders>
              <w:top w:val="single" w:sz="4" w:space="0" w:color="auto"/>
              <w:left w:val="nil"/>
              <w:bottom w:val="single" w:sz="4" w:space="0" w:color="auto"/>
              <w:right w:val="nil"/>
            </w:tcBorders>
          </w:tcPr>
          <w:p w:rsidR="003071D2" w:rsidRPr="00876AEE" w:rsidRDefault="003071D2" w:rsidP="00876AEE">
            <w:pPr>
              <w:spacing w:line="360" w:lineRule="auto"/>
              <w:rPr>
                <w:rFonts w:ascii="Book Antiqua" w:hAnsi="Book Antiqua" w:cs="Calibri"/>
                <w:b/>
                <w:sz w:val="24"/>
              </w:rPr>
            </w:pPr>
            <w:r w:rsidRPr="00876AEE">
              <w:rPr>
                <w:rFonts w:ascii="Book Antiqua" w:eastAsia="SimSun" w:hAnsi="Book Antiqua" w:cs="Calibri"/>
                <w:b/>
                <w:kern w:val="0"/>
                <w:sz w:val="24"/>
              </w:rPr>
              <w:t>On the 2</w:t>
            </w:r>
            <w:r w:rsidRPr="00876AEE">
              <w:rPr>
                <w:rFonts w:ascii="Book Antiqua" w:eastAsia="SimSun" w:hAnsi="Book Antiqua" w:cs="Calibri"/>
                <w:b/>
                <w:kern w:val="0"/>
                <w:sz w:val="24"/>
                <w:vertAlign w:val="superscript"/>
              </w:rPr>
              <w:t>nd</w:t>
            </w:r>
            <w:r w:rsidRPr="00876AEE">
              <w:rPr>
                <w:rFonts w:ascii="Book Antiqua" w:eastAsia="SimSun" w:hAnsi="Book Antiqua" w:cs="Calibri"/>
                <w:b/>
                <w:kern w:val="0"/>
                <w:sz w:val="24"/>
              </w:rPr>
              <w:t xml:space="preserve"> </w:t>
            </w:r>
            <w:r w:rsidR="00876AEE">
              <w:rPr>
                <w:rFonts w:ascii="Book Antiqua" w:eastAsia="SimSun" w:hAnsi="Book Antiqua" w:cs="Calibri" w:hint="eastAsia"/>
                <w:b/>
                <w:kern w:val="0"/>
                <w:sz w:val="24"/>
              </w:rPr>
              <w:t>d</w:t>
            </w:r>
            <w:r w:rsidRPr="00876AEE">
              <w:rPr>
                <w:rFonts w:ascii="Book Antiqua" w:eastAsia="SimSun" w:hAnsi="Book Antiqua" w:cs="Calibri"/>
                <w:b/>
                <w:sz w:val="24"/>
              </w:rPr>
              <w:t xml:space="preserve"> </w:t>
            </w:r>
          </w:p>
        </w:tc>
        <w:tc>
          <w:tcPr>
            <w:tcW w:w="1830" w:type="dxa"/>
            <w:tcBorders>
              <w:top w:val="single" w:sz="4" w:space="0" w:color="auto"/>
              <w:left w:val="nil"/>
              <w:bottom w:val="single" w:sz="4" w:space="0" w:color="auto"/>
              <w:right w:val="nil"/>
            </w:tcBorders>
          </w:tcPr>
          <w:p w:rsidR="003071D2" w:rsidRPr="00876AEE" w:rsidRDefault="003071D2" w:rsidP="00876AEE">
            <w:pPr>
              <w:spacing w:line="360" w:lineRule="auto"/>
              <w:rPr>
                <w:rFonts w:ascii="Book Antiqua" w:hAnsi="Book Antiqua" w:cs="Calibri"/>
                <w:b/>
                <w:sz w:val="24"/>
              </w:rPr>
            </w:pPr>
            <w:r w:rsidRPr="00876AEE">
              <w:rPr>
                <w:rFonts w:ascii="Book Antiqua" w:eastAsia="SimSun" w:hAnsi="Book Antiqua" w:cs="Calibri"/>
                <w:b/>
                <w:kern w:val="0"/>
                <w:sz w:val="24"/>
              </w:rPr>
              <w:t>On the 14</w:t>
            </w:r>
            <w:r w:rsidRPr="00876AEE">
              <w:rPr>
                <w:rFonts w:ascii="Book Antiqua" w:eastAsia="SimSun" w:hAnsi="Book Antiqua" w:cs="Calibri"/>
                <w:b/>
                <w:kern w:val="0"/>
                <w:sz w:val="24"/>
                <w:vertAlign w:val="superscript"/>
              </w:rPr>
              <w:t xml:space="preserve">th </w:t>
            </w:r>
            <w:r w:rsidR="00876AEE">
              <w:rPr>
                <w:rFonts w:ascii="Book Antiqua" w:eastAsia="SimSun" w:hAnsi="Book Antiqua" w:cs="Calibri" w:hint="eastAsia"/>
                <w:b/>
                <w:kern w:val="0"/>
                <w:sz w:val="24"/>
              </w:rPr>
              <w:t>d</w:t>
            </w:r>
            <w:r w:rsidRPr="00876AEE">
              <w:rPr>
                <w:rFonts w:ascii="Book Antiqua" w:eastAsia="SimSun" w:hAnsi="Book Antiqua" w:cs="Calibri"/>
                <w:b/>
                <w:sz w:val="24"/>
              </w:rPr>
              <w:t xml:space="preserve"> </w:t>
            </w:r>
          </w:p>
        </w:tc>
        <w:tc>
          <w:tcPr>
            <w:tcW w:w="2033" w:type="dxa"/>
            <w:tcBorders>
              <w:top w:val="single" w:sz="4" w:space="0" w:color="auto"/>
              <w:left w:val="nil"/>
              <w:bottom w:val="single" w:sz="4" w:space="0" w:color="auto"/>
              <w:right w:val="nil"/>
            </w:tcBorders>
          </w:tcPr>
          <w:p w:rsidR="003071D2" w:rsidRPr="00876AEE" w:rsidRDefault="003071D2" w:rsidP="00F14B1C">
            <w:pPr>
              <w:spacing w:line="360" w:lineRule="auto"/>
              <w:rPr>
                <w:rFonts w:ascii="Book Antiqua" w:hAnsi="Book Antiqua" w:cs="Calibri"/>
                <w:b/>
                <w:sz w:val="24"/>
              </w:rPr>
            </w:pPr>
            <w:r w:rsidRPr="00876AEE">
              <w:rPr>
                <w:rFonts w:ascii="Book Antiqua" w:eastAsia="SimSun" w:hAnsi="Book Antiqua" w:cs="Calibri"/>
                <w:b/>
                <w:kern w:val="0"/>
                <w:sz w:val="24"/>
              </w:rPr>
              <w:t>On the 28</w:t>
            </w:r>
            <w:r w:rsidRPr="00876AEE">
              <w:rPr>
                <w:rFonts w:ascii="Book Antiqua" w:eastAsia="SimSun" w:hAnsi="Book Antiqua" w:cs="Calibri"/>
                <w:b/>
                <w:kern w:val="0"/>
                <w:sz w:val="24"/>
                <w:vertAlign w:val="superscript"/>
              </w:rPr>
              <w:t>th</w:t>
            </w:r>
            <w:r w:rsidRPr="00876AEE">
              <w:rPr>
                <w:rFonts w:ascii="Book Antiqua" w:eastAsia="SimSun" w:hAnsi="Book Antiqua" w:cs="Calibri"/>
                <w:b/>
                <w:kern w:val="0"/>
                <w:sz w:val="24"/>
              </w:rPr>
              <w:t xml:space="preserve"> </w:t>
            </w:r>
            <w:r w:rsidR="00876AEE">
              <w:rPr>
                <w:rFonts w:ascii="Book Antiqua" w:eastAsia="SimSun" w:hAnsi="Book Antiqua" w:cs="Calibri"/>
                <w:b/>
                <w:kern w:val="0"/>
                <w:sz w:val="24"/>
              </w:rPr>
              <w:t>d</w:t>
            </w:r>
            <w:r w:rsidR="00F14B1C" w:rsidRPr="00876AEE">
              <w:rPr>
                <w:rFonts w:ascii="Book Antiqua" w:eastAsia="SimSun" w:hAnsi="Book Antiqua" w:cs="Calibri" w:hint="eastAsia"/>
                <w:b/>
                <w:sz w:val="24"/>
                <w:vertAlign w:val="superscript"/>
              </w:rPr>
              <w:t>1</w:t>
            </w:r>
          </w:p>
        </w:tc>
      </w:tr>
      <w:tr w:rsidR="003071D2" w:rsidRPr="00BE56E1" w:rsidTr="00403566">
        <w:tc>
          <w:tcPr>
            <w:tcW w:w="2851" w:type="dxa"/>
            <w:tcBorders>
              <w:top w:val="single" w:sz="4" w:space="0" w:color="auto"/>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Color</w:t>
            </w:r>
          </w:p>
        </w:tc>
        <w:tc>
          <w:tcPr>
            <w:tcW w:w="1808" w:type="dxa"/>
            <w:tcBorders>
              <w:top w:val="single" w:sz="4" w:space="0" w:color="auto"/>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sz w:val="24"/>
              </w:rPr>
              <w:t>T</w:t>
            </w:r>
            <w:r w:rsidRPr="00BE56E1">
              <w:rPr>
                <w:rFonts w:ascii="Book Antiqua" w:eastAsia="AdvP7B6C" w:hAnsi="Book Antiqua" w:cs="Calibri"/>
                <w:sz w:val="24"/>
              </w:rPr>
              <w:t>urbid</w:t>
            </w:r>
            <w:r w:rsidRPr="00BE56E1">
              <w:rPr>
                <w:rFonts w:ascii="Book Antiqua" w:eastAsia="SimSun" w:hAnsi="Book Antiqua" w:cs="Calibri"/>
                <w:sz w:val="24"/>
              </w:rPr>
              <w:t xml:space="preserve"> </w:t>
            </w:r>
          </w:p>
        </w:tc>
        <w:tc>
          <w:tcPr>
            <w:tcW w:w="1830" w:type="dxa"/>
            <w:tcBorders>
              <w:top w:val="single" w:sz="4" w:space="0" w:color="auto"/>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sz w:val="24"/>
              </w:rPr>
              <w:t>T</w:t>
            </w:r>
            <w:r w:rsidRPr="00BE56E1">
              <w:rPr>
                <w:rFonts w:ascii="Book Antiqua" w:eastAsia="AdvP7B6C" w:hAnsi="Book Antiqua" w:cs="Calibri"/>
                <w:sz w:val="24"/>
              </w:rPr>
              <w:t>urbid</w:t>
            </w:r>
            <w:r w:rsidRPr="00BE56E1">
              <w:rPr>
                <w:rFonts w:ascii="Book Antiqua" w:eastAsia="SimSun" w:hAnsi="Book Antiqua" w:cs="Calibri"/>
                <w:sz w:val="24"/>
              </w:rPr>
              <w:t xml:space="preserve"> </w:t>
            </w:r>
          </w:p>
        </w:tc>
        <w:tc>
          <w:tcPr>
            <w:tcW w:w="2033" w:type="dxa"/>
            <w:tcBorders>
              <w:top w:val="single" w:sz="4" w:space="0" w:color="auto"/>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 xml:space="preserve">mild </w:t>
            </w:r>
            <w:r w:rsidRPr="00BE56E1">
              <w:rPr>
                <w:rFonts w:ascii="Book Antiqua" w:eastAsia="AdvP7B6C" w:hAnsi="Book Antiqua" w:cs="Calibri"/>
                <w:sz w:val="24"/>
              </w:rPr>
              <w:t>turbid</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 xml:space="preserve">Pressure(cm </w:t>
            </w:r>
            <w:r w:rsidRPr="00BE56E1">
              <w:rPr>
                <w:rFonts w:ascii="Book Antiqua" w:eastAsia="SimSun" w:hAnsi="Book Antiqua" w:cs="Calibri"/>
                <w:kern w:val="0"/>
                <w:sz w:val="24"/>
              </w:rPr>
              <w:t>H</w:t>
            </w:r>
            <w:r w:rsidRPr="00BE56E1">
              <w:rPr>
                <w:rFonts w:ascii="Book Antiqua" w:eastAsia="SimSun" w:hAnsi="Book Antiqua" w:cs="Calibri"/>
                <w:kern w:val="0"/>
                <w:sz w:val="24"/>
                <w:vertAlign w:val="subscript"/>
              </w:rPr>
              <w:t>2</w:t>
            </w:r>
            <w:r w:rsidRPr="00BE56E1">
              <w:rPr>
                <w:rFonts w:ascii="Book Antiqua" w:eastAsia="SimSun" w:hAnsi="Book Antiqua" w:cs="Calibri"/>
                <w:kern w:val="0"/>
                <w:sz w:val="24"/>
              </w:rPr>
              <w:t>O</w:t>
            </w:r>
            <w:r w:rsidRPr="00BE56E1">
              <w:rPr>
                <w:rFonts w:ascii="Book Antiqua" w:hAnsi="Book Antiqua" w:cs="Calibri"/>
                <w:sz w:val="24"/>
              </w:rPr>
              <w:t>)</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kern w:val="0"/>
                <w:sz w:val="24"/>
              </w:rPr>
              <w:t>&gt; 33</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12.5</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NA</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kern w:val="0"/>
                <w:sz w:val="24"/>
              </w:rPr>
              <w:t>erythrocytes</w:t>
            </w:r>
            <w:r w:rsidRPr="00BE56E1">
              <w:rPr>
                <w:rFonts w:ascii="Book Antiqua" w:hAnsi="Book Antiqua" w:cs="Calibri"/>
                <w:sz w:val="24"/>
              </w:rPr>
              <w:t xml:space="preserve"> </w:t>
            </w:r>
            <w:r w:rsidRPr="00BE56E1">
              <w:rPr>
                <w:rFonts w:ascii="Book Antiqua" w:eastAsia="TrebuchetMS" w:hAnsi="Book Antiqua" w:cs="Calibri"/>
                <w:sz w:val="24"/>
              </w:rPr>
              <w:t>count</w:t>
            </w:r>
            <w:r w:rsidRPr="00BE56E1">
              <w:rPr>
                <w:rFonts w:ascii="Book Antiqua" w:eastAsia="SimSun" w:hAnsi="Book Antiqua" w:cs="Calibri"/>
                <w:sz w:val="24"/>
              </w:rPr>
              <w:t xml:space="preserve"> </w:t>
            </w:r>
            <w:r w:rsidRPr="00BE56E1">
              <w:rPr>
                <w:rStyle w:val="fontstyle01"/>
                <w:rFonts w:ascii="Book Antiqua" w:hAnsi="Book Antiqua" w:cs="Calibri"/>
                <w:color w:val="auto"/>
                <w:sz w:val="24"/>
                <w:szCs w:val="24"/>
              </w:rPr>
              <w:t>(</w:t>
            </w:r>
            <w:r w:rsidRPr="00BE56E1">
              <w:rPr>
                <w:rStyle w:val="fontstyle01"/>
                <w:rFonts w:ascii="Book Antiqua" w:eastAsiaTheme="minorEastAsia" w:hAnsi="Book Antiqua" w:cs="Calibri"/>
                <w:color w:val="auto"/>
                <w:sz w:val="24"/>
                <w:szCs w:val="24"/>
              </w:rPr>
              <w:t>/</w:t>
            </w:r>
            <w:r w:rsidRPr="00BE56E1">
              <w:rPr>
                <w:rStyle w:val="fontstyle01"/>
                <w:rFonts w:ascii="Book Antiqua" w:hAnsi="Book Antiqua" w:cs="Calibri"/>
                <w:color w:val="auto"/>
                <w:sz w:val="24"/>
                <w:szCs w:val="24"/>
              </w:rPr>
              <w:t>mm</w:t>
            </w:r>
            <w:r w:rsidRPr="00BE56E1">
              <w:rPr>
                <w:rStyle w:val="fontstyle01"/>
                <w:rFonts w:ascii="Book Antiqua" w:eastAsia="SimSun" w:hAnsi="Book Antiqua" w:cs="Calibri"/>
                <w:color w:val="auto"/>
                <w:sz w:val="24"/>
                <w:szCs w:val="24"/>
                <w:vertAlign w:val="superscript"/>
              </w:rPr>
              <w:t xml:space="preserve"> </w:t>
            </w:r>
            <w:r w:rsidRPr="00BE56E1">
              <w:rPr>
                <w:rStyle w:val="fontstyle01"/>
                <w:rFonts w:ascii="Book Antiqua" w:hAnsi="Book Antiqua" w:cs="Calibri"/>
                <w:color w:val="auto"/>
                <w:sz w:val="24"/>
                <w:szCs w:val="24"/>
                <w:vertAlign w:val="superscript"/>
              </w:rPr>
              <w:t>3</w:t>
            </w:r>
            <w:r w:rsidRPr="00BE56E1">
              <w:rPr>
                <w:rStyle w:val="fontstyle01"/>
                <w:rFonts w:ascii="Book Antiqua" w:hAnsi="Book Antiqua" w:cs="Calibri"/>
                <w:color w:val="auto"/>
                <w:sz w:val="24"/>
                <w:szCs w:val="24"/>
              </w:rPr>
              <w:t>)</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0</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kern w:val="0"/>
                <w:sz w:val="24"/>
              </w:rPr>
              <w:t xml:space="preserve">13198 </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3313</w:t>
            </w:r>
          </w:p>
        </w:tc>
      </w:tr>
      <w:tr w:rsidR="003071D2" w:rsidRPr="00BE56E1" w:rsidTr="00403566">
        <w:trPr>
          <w:trHeight w:val="90"/>
        </w:trPr>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TrebuchetMS" w:hAnsi="Book Antiqua" w:cs="Calibri"/>
                <w:sz w:val="24"/>
              </w:rPr>
              <w:t>WBC count</w:t>
            </w:r>
            <w:r w:rsidRPr="00BE56E1">
              <w:rPr>
                <w:rFonts w:ascii="Book Antiqua" w:eastAsia="SimSun" w:hAnsi="Book Antiqua" w:cs="Calibri"/>
                <w:sz w:val="24"/>
              </w:rPr>
              <w:t xml:space="preserve"> </w:t>
            </w:r>
            <w:r w:rsidRPr="00BE56E1">
              <w:rPr>
                <w:rStyle w:val="fontstyle01"/>
                <w:rFonts w:ascii="Book Antiqua" w:hAnsi="Book Antiqua" w:cs="Calibri"/>
                <w:color w:val="auto"/>
                <w:sz w:val="24"/>
                <w:szCs w:val="24"/>
              </w:rPr>
              <w:t>(</w:t>
            </w:r>
            <w:r w:rsidRPr="00BE56E1">
              <w:rPr>
                <w:rStyle w:val="fontstyle01"/>
                <w:rFonts w:ascii="Book Antiqua" w:eastAsiaTheme="minorEastAsia" w:hAnsi="Book Antiqua" w:cs="Calibri"/>
                <w:color w:val="auto"/>
                <w:sz w:val="24"/>
                <w:szCs w:val="24"/>
              </w:rPr>
              <w:t>/</w:t>
            </w:r>
            <w:r w:rsidRPr="00BE56E1">
              <w:rPr>
                <w:rStyle w:val="fontstyle01"/>
                <w:rFonts w:ascii="Book Antiqua" w:hAnsi="Book Antiqua" w:cs="Calibri"/>
                <w:color w:val="auto"/>
                <w:sz w:val="24"/>
                <w:szCs w:val="24"/>
              </w:rPr>
              <w:t>mm</w:t>
            </w:r>
            <w:r w:rsidRPr="00BE56E1">
              <w:rPr>
                <w:rStyle w:val="fontstyle01"/>
                <w:rFonts w:ascii="Book Antiqua" w:eastAsia="SimSun" w:hAnsi="Book Antiqua" w:cs="Calibri"/>
                <w:color w:val="auto"/>
                <w:sz w:val="24"/>
                <w:szCs w:val="24"/>
                <w:vertAlign w:val="superscript"/>
              </w:rPr>
              <w:t xml:space="preserve"> </w:t>
            </w:r>
            <w:r w:rsidRPr="00BE56E1">
              <w:rPr>
                <w:rStyle w:val="fontstyle01"/>
                <w:rFonts w:ascii="Book Antiqua" w:hAnsi="Book Antiqua" w:cs="Calibri"/>
                <w:color w:val="auto"/>
                <w:sz w:val="24"/>
                <w:szCs w:val="24"/>
                <w:vertAlign w:val="superscript"/>
              </w:rPr>
              <w:t>3</w:t>
            </w:r>
            <w:r w:rsidRPr="00BE56E1">
              <w:rPr>
                <w:rStyle w:val="fontstyle01"/>
                <w:rFonts w:ascii="Book Antiqua" w:hAnsi="Book Antiqua" w:cs="Calibri"/>
                <w:color w:val="auto"/>
                <w:sz w:val="24"/>
                <w:szCs w:val="24"/>
              </w:rPr>
              <w:t>)</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Style w:val="fontstyle01"/>
                <w:rFonts w:ascii="Book Antiqua" w:eastAsiaTheme="minorEastAsia" w:hAnsi="Book Antiqua" w:cs="Calibri"/>
                <w:color w:val="auto"/>
                <w:sz w:val="24"/>
                <w:szCs w:val="24"/>
              </w:rPr>
              <w:t>2090</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782</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85</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TrebuchetMS" w:hAnsi="Book Antiqua" w:cs="Calibri"/>
                <w:sz w:val="24"/>
              </w:rPr>
              <w:t>WBC</w:t>
            </w:r>
            <w:r w:rsidRPr="00BE56E1">
              <w:rPr>
                <w:rFonts w:ascii="Book Antiqua" w:eastAsia="SimSun" w:hAnsi="Book Antiqua" w:cs="Calibri"/>
                <w:sz w:val="24"/>
              </w:rPr>
              <w:t xml:space="preserve"> </w:t>
            </w:r>
            <w:r w:rsidRPr="00BE56E1">
              <w:rPr>
                <w:rFonts w:ascii="Book Antiqua" w:eastAsia="TrebuchetMS" w:hAnsi="Book Antiqua" w:cs="Calibri"/>
                <w:sz w:val="24"/>
              </w:rPr>
              <w:t>distribution</w:t>
            </w:r>
            <w:r w:rsidRPr="00BE56E1">
              <w:rPr>
                <w:rFonts w:ascii="Book Antiqua" w:eastAsia="SimSun" w:hAnsi="Book Antiqua" w:cs="Calibri"/>
                <w:sz w:val="24"/>
              </w:rPr>
              <w:t xml:space="preserve"> (L/N)</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70/30</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3/97</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17/68</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SimSun" w:hAnsi="Book Antiqua" w:cs="Calibri"/>
                <w:sz w:val="24"/>
              </w:rPr>
              <w:t>P</w:t>
            </w:r>
            <w:r w:rsidRPr="00BE56E1">
              <w:rPr>
                <w:rFonts w:ascii="Book Antiqua" w:eastAsia="TrebuchetMS" w:hAnsi="Book Antiqua" w:cs="Calibri"/>
                <w:sz w:val="24"/>
              </w:rPr>
              <w:t>rotein</w:t>
            </w:r>
            <w:r w:rsidRPr="00BE56E1">
              <w:rPr>
                <w:rFonts w:ascii="Book Antiqua" w:eastAsia="SimSun" w:hAnsi="Book Antiqua" w:cs="Calibri"/>
                <w:sz w:val="24"/>
              </w:rPr>
              <w:t xml:space="preserve"> </w:t>
            </w:r>
            <w:r w:rsidRPr="00BE56E1">
              <w:rPr>
                <w:rFonts w:ascii="Book Antiqua" w:eastAsia="TrebuchetMS" w:hAnsi="Book Antiqua" w:cs="Calibri"/>
                <w:sz w:val="24"/>
              </w:rPr>
              <w:t>(mg/dL)</w:t>
            </w:r>
            <w:r w:rsidRPr="00BE56E1">
              <w:rPr>
                <w:rFonts w:ascii="Book Antiqua" w:eastAsia="SimSun" w:hAnsi="Book Antiqua" w:cs="Calibri"/>
                <w:sz w:val="24"/>
              </w:rPr>
              <w:t xml:space="preserve"> </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Style w:val="fontstyle01"/>
                <w:rFonts w:ascii="Book Antiqua" w:eastAsiaTheme="minorEastAsia" w:hAnsi="Book Antiqua" w:cs="Calibri"/>
                <w:color w:val="auto"/>
                <w:sz w:val="24"/>
                <w:szCs w:val="24"/>
              </w:rPr>
              <w:t>233</w:t>
            </w:r>
            <w:r w:rsidRPr="00BE56E1">
              <w:rPr>
                <w:rStyle w:val="fontstyle01"/>
                <w:rFonts w:ascii="Book Antiqua" w:hAnsi="Book Antiqua" w:cs="Calibri"/>
                <w:color w:val="auto"/>
                <w:sz w:val="24"/>
                <w:szCs w:val="24"/>
              </w:rPr>
              <w:t>.</w:t>
            </w:r>
            <w:r w:rsidRPr="00BE56E1">
              <w:rPr>
                <w:rStyle w:val="fontstyle01"/>
                <w:rFonts w:ascii="Book Antiqua" w:eastAsiaTheme="minorEastAsia" w:hAnsi="Book Antiqua" w:cs="Calibri"/>
                <w:color w:val="auto"/>
                <w:sz w:val="24"/>
                <w:szCs w:val="24"/>
              </w:rPr>
              <w:t>85</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441</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119</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eastAsia="TrebuchetMS" w:hAnsi="Book Antiqua" w:cs="Calibri"/>
                <w:sz w:val="24"/>
              </w:rPr>
              <w:t>CSF</w:t>
            </w:r>
            <w:r w:rsidRPr="00BE56E1">
              <w:rPr>
                <w:rFonts w:ascii="Book Antiqua" w:eastAsia="SimSun" w:hAnsi="Book Antiqua" w:cs="Calibri"/>
                <w:sz w:val="24"/>
              </w:rPr>
              <w:t xml:space="preserve"> g</w:t>
            </w:r>
            <w:r w:rsidRPr="00BE56E1">
              <w:rPr>
                <w:rFonts w:ascii="Book Antiqua" w:eastAsia="TrebuchetMS" w:hAnsi="Book Antiqua" w:cs="Calibri"/>
                <w:sz w:val="24"/>
              </w:rPr>
              <w:t>lucose</w:t>
            </w:r>
            <w:r w:rsidRPr="00BE56E1">
              <w:rPr>
                <w:rFonts w:ascii="Book Antiqua" w:eastAsia="SimSun" w:hAnsi="Book Antiqua" w:cs="Calibri"/>
                <w:sz w:val="24"/>
              </w:rPr>
              <w:t xml:space="preserve"> </w:t>
            </w:r>
            <w:r w:rsidRPr="00BE56E1">
              <w:rPr>
                <w:rFonts w:ascii="Book Antiqua" w:eastAsia="TrebuchetMS" w:hAnsi="Book Antiqua" w:cs="Calibri"/>
                <w:sz w:val="24"/>
              </w:rPr>
              <w:t>(</w:t>
            </w:r>
            <w:r w:rsidRPr="00BE56E1">
              <w:rPr>
                <w:rFonts w:ascii="Book Antiqua" w:eastAsia="SimSun" w:hAnsi="Book Antiqua" w:cs="Calibri"/>
                <w:sz w:val="24"/>
              </w:rPr>
              <w:t>mmol/L</w:t>
            </w:r>
            <w:r w:rsidRPr="00BE56E1">
              <w:rPr>
                <w:rFonts w:ascii="Book Antiqua" w:eastAsia="TrebuchetMS" w:hAnsi="Book Antiqua" w:cs="Calibri"/>
                <w:sz w:val="24"/>
              </w:rPr>
              <w:t>)</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1.40</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5.42</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5.60</w:t>
            </w:r>
          </w:p>
        </w:tc>
      </w:tr>
      <w:tr w:rsidR="003071D2" w:rsidRPr="00BE56E1" w:rsidTr="00403566">
        <w:tc>
          <w:tcPr>
            <w:tcW w:w="2851" w:type="dxa"/>
            <w:tcBorders>
              <w:top w:val="nil"/>
              <w:left w:val="nil"/>
              <w:bottom w:val="nil"/>
              <w:right w:val="nil"/>
            </w:tcBorders>
          </w:tcPr>
          <w:p w:rsidR="003071D2" w:rsidRPr="00BE56E1" w:rsidRDefault="003071D2" w:rsidP="00403566">
            <w:pPr>
              <w:spacing w:line="360" w:lineRule="auto"/>
              <w:rPr>
                <w:rFonts w:ascii="Book Antiqua" w:eastAsia="TrebuchetMS" w:hAnsi="Book Antiqua" w:cs="Calibri"/>
                <w:sz w:val="24"/>
              </w:rPr>
            </w:pPr>
            <w:r w:rsidRPr="00BE56E1">
              <w:rPr>
                <w:rFonts w:ascii="Book Antiqua" w:eastAsia="TrebuchetMS" w:hAnsi="Book Antiqua" w:cs="Calibri"/>
                <w:sz w:val="24"/>
              </w:rPr>
              <w:t>Plasma</w:t>
            </w:r>
            <w:r w:rsidRPr="00BE56E1">
              <w:rPr>
                <w:rFonts w:ascii="Book Antiqua" w:eastAsia="SimSun" w:hAnsi="Book Antiqua" w:cs="Calibri"/>
                <w:sz w:val="24"/>
              </w:rPr>
              <w:t xml:space="preserve"> </w:t>
            </w:r>
            <w:r w:rsidRPr="00BE56E1">
              <w:rPr>
                <w:rFonts w:ascii="Book Antiqua" w:eastAsia="TrebuchetMS" w:hAnsi="Book Antiqua" w:cs="Calibri"/>
                <w:sz w:val="24"/>
              </w:rPr>
              <w:t>glucose</w:t>
            </w:r>
            <w:r w:rsidRPr="00BE56E1">
              <w:rPr>
                <w:rFonts w:ascii="Book Antiqua" w:eastAsia="SimSun" w:hAnsi="Book Antiqua" w:cs="Calibri"/>
                <w:sz w:val="24"/>
              </w:rPr>
              <w:t xml:space="preserve"> </w:t>
            </w:r>
            <w:r w:rsidRPr="00BE56E1">
              <w:rPr>
                <w:rFonts w:ascii="Book Antiqua" w:eastAsia="TrebuchetMS" w:hAnsi="Book Antiqua" w:cs="Calibri"/>
                <w:sz w:val="24"/>
              </w:rPr>
              <w:t>(</w:t>
            </w:r>
            <w:r w:rsidRPr="00BE56E1">
              <w:rPr>
                <w:rFonts w:ascii="Book Antiqua" w:eastAsia="SimSun" w:hAnsi="Book Antiqua" w:cs="Calibri"/>
                <w:sz w:val="24"/>
              </w:rPr>
              <w:t>mmol/L</w:t>
            </w:r>
            <w:r w:rsidRPr="00BE56E1">
              <w:rPr>
                <w:rFonts w:ascii="Book Antiqua" w:eastAsia="TrebuchetMS" w:hAnsi="Book Antiqua" w:cs="Calibri"/>
                <w:sz w:val="24"/>
              </w:rPr>
              <w:t>)</w:t>
            </w:r>
          </w:p>
        </w:tc>
        <w:tc>
          <w:tcPr>
            <w:tcW w:w="1808"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9.00</w:t>
            </w:r>
          </w:p>
        </w:tc>
        <w:tc>
          <w:tcPr>
            <w:tcW w:w="1830"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11.05</w:t>
            </w:r>
          </w:p>
        </w:tc>
        <w:tc>
          <w:tcPr>
            <w:tcW w:w="2033" w:type="dxa"/>
            <w:tcBorders>
              <w:top w:val="nil"/>
              <w:left w:val="nil"/>
              <w:bottom w:val="nil"/>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10.0</w:t>
            </w:r>
          </w:p>
        </w:tc>
      </w:tr>
      <w:tr w:rsidR="003071D2" w:rsidRPr="00BE56E1" w:rsidTr="00403566">
        <w:tc>
          <w:tcPr>
            <w:tcW w:w="2851" w:type="dxa"/>
            <w:tcBorders>
              <w:top w:val="nil"/>
              <w:left w:val="nil"/>
              <w:bottom w:val="single" w:sz="4" w:space="0" w:color="auto"/>
              <w:right w:val="nil"/>
            </w:tcBorders>
          </w:tcPr>
          <w:p w:rsidR="003071D2" w:rsidRPr="00BE56E1" w:rsidRDefault="003071D2" w:rsidP="00403566">
            <w:pPr>
              <w:spacing w:line="360" w:lineRule="auto"/>
              <w:rPr>
                <w:rFonts w:ascii="Book Antiqua" w:eastAsia="TrebuchetMS" w:hAnsi="Book Antiqua" w:cs="Calibri"/>
                <w:sz w:val="24"/>
              </w:rPr>
            </w:pPr>
            <w:r w:rsidRPr="00BE56E1">
              <w:rPr>
                <w:rFonts w:ascii="Book Antiqua" w:eastAsia="SimSun" w:hAnsi="Book Antiqua" w:cs="Calibri"/>
                <w:sz w:val="24"/>
              </w:rPr>
              <w:t xml:space="preserve">Gram </w:t>
            </w:r>
            <w:r w:rsidRPr="00BE56E1">
              <w:rPr>
                <w:rStyle w:val="fontstyle01"/>
                <w:rFonts w:ascii="Book Antiqua" w:eastAsia="SimSun" w:hAnsi="Book Antiqua" w:cs="Calibri"/>
                <w:color w:val="auto"/>
                <w:sz w:val="24"/>
                <w:szCs w:val="24"/>
              </w:rPr>
              <w:t>stain</w:t>
            </w:r>
          </w:p>
        </w:tc>
        <w:tc>
          <w:tcPr>
            <w:tcW w:w="1808" w:type="dxa"/>
            <w:tcBorders>
              <w:top w:val="nil"/>
              <w:left w:val="nil"/>
              <w:bottom w:val="single" w:sz="4" w:space="0" w:color="auto"/>
              <w:right w:val="nil"/>
            </w:tcBorders>
          </w:tcPr>
          <w:p w:rsidR="003071D2" w:rsidRPr="00BE56E1" w:rsidRDefault="003071D2" w:rsidP="00403566">
            <w:pPr>
              <w:spacing w:line="360" w:lineRule="auto"/>
              <w:rPr>
                <w:rFonts w:ascii="Book Antiqua" w:eastAsia="SimSun" w:hAnsi="Book Antiqua" w:cs="Calibri"/>
                <w:sz w:val="24"/>
              </w:rPr>
            </w:pPr>
            <w:r w:rsidRPr="00BE56E1">
              <w:rPr>
                <w:rStyle w:val="fontstyle01"/>
                <w:rFonts w:ascii="Book Antiqua" w:eastAsia="SimSun" w:hAnsi="Book Antiqua" w:cs="Calibri"/>
                <w:color w:val="auto"/>
                <w:sz w:val="24"/>
                <w:szCs w:val="24"/>
              </w:rPr>
              <w:t>Gram-positive rods</w:t>
            </w:r>
          </w:p>
        </w:tc>
        <w:tc>
          <w:tcPr>
            <w:tcW w:w="1830" w:type="dxa"/>
            <w:tcBorders>
              <w:top w:val="nil"/>
              <w:left w:val="nil"/>
              <w:bottom w:val="single" w:sz="4" w:space="0" w:color="auto"/>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normal</w:t>
            </w:r>
          </w:p>
        </w:tc>
        <w:tc>
          <w:tcPr>
            <w:tcW w:w="2033" w:type="dxa"/>
            <w:tcBorders>
              <w:top w:val="nil"/>
              <w:left w:val="nil"/>
              <w:bottom w:val="single" w:sz="4" w:space="0" w:color="auto"/>
              <w:right w:val="nil"/>
            </w:tcBorders>
          </w:tcPr>
          <w:p w:rsidR="003071D2" w:rsidRPr="00BE56E1" w:rsidRDefault="003071D2" w:rsidP="00403566">
            <w:pPr>
              <w:spacing w:line="360" w:lineRule="auto"/>
              <w:rPr>
                <w:rFonts w:ascii="Book Antiqua" w:hAnsi="Book Antiqua" w:cs="Calibri"/>
                <w:sz w:val="24"/>
              </w:rPr>
            </w:pPr>
            <w:r w:rsidRPr="00BE56E1">
              <w:rPr>
                <w:rFonts w:ascii="Book Antiqua" w:hAnsi="Book Antiqua" w:cs="Calibri"/>
                <w:sz w:val="24"/>
              </w:rPr>
              <w:t>normal</w:t>
            </w:r>
          </w:p>
        </w:tc>
      </w:tr>
    </w:tbl>
    <w:p w:rsidR="00E75155" w:rsidRPr="00F14B1C" w:rsidRDefault="00F14B1C" w:rsidP="00BE56E1">
      <w:pPr>
        <w:spacing w:line="360" w:lineRule="auto"/>
        <w:rPr>
          <w:rFonts w:ascii="Book Antiqua" w:hAnsi="Book Antiqua" w:cs="Calibri"/>
          <w:sz w:val="24"/>
        </w:rPr>
      </w:pPr>
      <w:r w:rsidRPr="00F14B1C">
        <w:rPr>
          <w:rFonts w:ascii="Book Antiqua" w:hAnsi="Book Antiqua" w:cs="Calibri" w:hint="eastAsia"/>
          <w:sz w:val="24"/>
          <w:vertAlign w:val="superscript"/>
        </w:rPr>
        <w:lastRenderedPageBreak/>
        <w:t>1</w:t>
      </w:r>
      <w:r w:rsidRPr="00BE56E1">
        <w:rPr>
          <w:rFonts w:ascii="Book Antiqua" w:hAnsi="Book Antiqua" w:cs="Calibri"/>
          <w:sz w:val="24"/>
        </w:rPr>
        <w:t>CSF from brain ventricular draining</w:t>
      </w:r>
      <w:r>
        <w:rPr>
          <w:rFonts w:ascii="Book Antiqua" w:hAnsi="Book Antiqua" w:cs="Calibri" w:hint="eastAsia"/>
          <w:sz w:val="24"/>
        </w:rPr>
        <w:t>.</w:t>
      </w:r>
      <w:r w:rsidRPr="00BE56E1">
        <w:rPr>
          <w:rFonts w:ascii="Book Antiqua" w:hAnsi="Book Antiqua" w:cs="Calibri"/>
          <w:sz w:val="24"/>
        </w:rPr>
        <w:t xml:space="preserve"> </w:t>
      </w:r>
      <w:r w:rsidR="003071D2" w:rsidRPr="00BE56E1">
        <w:rPr>
          <w:rFonts w:ascii="Book Antiqua" w:hAnsi="Book Antiqua" w:cs="Calibri"/>
          <w:sz w:val="24"/>
        </w:rPr>
        <w:t xml:space="preserve">WBC: </w:t>
      </w:r>
      <w:r w:rsidRPr="00BE56E1">
        <w:rPr>
          <w:rFonts w:ascii="Book Antiqua" w:hAnsi="Book Antiqua" w:cs="Calibri"/>
          <w:sz w:val="24"/>
        </w:rPr>
        <w:t xml:space="preserve">White </w:t>
      </w:r>
      <w:r w:rsidR="003071D2" w:rsidRPr="00BE56E1">
        <w:rPr>
          <w:rFonts w:ascii="Book Antiqua" w:hAnsi="Book Antiqua" w:cs="Calibri"/>
          <w:sz w:val="24"/>
        </w:rPr>
        <w:t>blood cell</w:t>
      </w:r>
      <w:r>
        <w:rPr>
          <w:rFonts w:ascii="Book Antiqua" w:hAnsi="Book Antiqua" w:cs="Calibri" w:hint="eastAsia"/>
          <w:sz w:val="24"/>
        </w:rPr>
        <w:t>;</w:t>
      </w:r>
      <w:r w:rsidR="003071D2" w:rsidRPr="00BE56E1">
        <w:rPr>
          <w:rFonts w:ascii="Book Antiqua" w:hAnsi="Book Antiqua" w:cs="Calibri"/>
          <w:sz w:val="24"/>
        </w:rPr>
        <w:t xml:space="preserve"> CSF: </w:t>
      </w:r>
      <w:r w:rsidRPr="00BE56E1">
        <w:rPr>
          <w:rFonts w:ascii="Book Antiqua" w:hAnsi="Book Antiqua" w:cs="Calibri"/>
          <w:sz w:val="24"/>
        </w:rPr>
        <w:t xml:space="preserve">Cerebrospinal </w:t>
      </w:r>
      <w:r w:rsidR="003071D2" w:rsidRPr="00BE56E1">
        <w:rPr>
          <w:rFonts w:ascii="Book Antiqua" w:hAnsi="Book Antiqua" w:cs="Calibri"/>
          <w:sz w:val="24"/>
        </w:rPr>
        <w:t>fluid</w:t>
      </w:r>
      <w:r>
        <w:rPr>
          <w:rFonts w:ascii="Book Antiqua" w:hAnsi="Book Antiqua" w:cs="Calibri" w:hint="eastAsia"/>
          <w:sz w:val="24"/>
        </w:rPr>
        <w:t>;</w:t>
      </w:r>
      <w:r w:rsidR="003071D2" w:rsidRPr="00BE56E1">
        <w:rPr>
          <w:rFonts w:ascii="Book Antiqua" w:hAnsi="Book Antiqua" w:cs="Calibri"/>
          <w:sz w:val="24"/>
        </w:rPr>
        <w:t xml:space="preserve"> L: </w:t>
      </w:r>
      <w:r w:rsidRPr="00BE56E1">
        <w:rPr>
          <w:rFonts w:ascii="Book Antiqua" w:hAnsi="Book Antiqua" w:cs="Calibri"/>
          <w:sz w:val="24"/>
        </w:rPr>
        <w:t>Lymphocytes</w:t>
      </w:r>
      <w:r>
        <w:rPr>
          <w:rFonts w:ascii="Book Antiqua" w:hAnsi="Book Antiqua" w:cs="Calibri" w:hint="eastAsia"/>
          <w:sz w:val="24"/>
        </w:rPr>
        <w:t>;</w:t>
      </w:r>
      <w:r w:rsidR="003071D2" w:rsidRPr="00BE56E1">
        <w:rPr>
          <w:rFonts w:ascii="Book Antiqua" w:hAnsi="Book Antiqua" w:cs="Calibri"/>
          <w:sz w:val="24"/>
        </w:rPr>
        <w:t xml:space="preserve"> N: </w:t>
      </w:r>
      <w:r w:rsidRPr="00BE56E1">
        <w:rPr>
          <w:rFonts w:ascii="Book Antiqua" w:hAnsi="Book Antiqua" w:cs="Calibri"/>
          <w:sz w:val="24"/>
        </w:rPr>
        <w:t>Neutrophils</w:t>
      </w:r>
      <w:r>
        <w:rPr>
          <w:rFonts w:ascii="Book Antiqua" w:hAnsi="Book Antiqua" w:cs="Calibri" w:hint="eastAsia"/>
          <w:sz w:val="24"/>
        </w:rPr>
        <w:t>;</w:t>
      </w:r>
      <w:r w:rsidRPr="00BE56E1">
        <w:rPr>
          <w:rFonts w:ascii="Book Antiqua" w:hAnsi="Book Antiqua" w:cs="Calibri"/>
          <w:sz w:val="24"/>
        </w:rPr>
        <w:t xml:space="preserve"> </w:t>
      </w:r>
      <w:r w:rsidR="003071D2" w:rsidRPr="00BE56E1">
        <w:rPr>
          <w:rFonts w:ascii="Book Antiqua" w:hAnsi="Book Antiqua" w:cs="Calibri"/>
          <w:sz w:val="24"/>
        </w:rPr>
        <w:t>NA: No data available</w:t>
      </w:r>
      <w:r>
        <w:rPr>
          <w:rFonts w:ascii="Book Antiqua" w:hAnsi="Book Antiqua" w:cs="Calibri" w:hint="eastAsia"/>
          <w:sz w:val="24"/>
        </w:rPr>
        <w:t>.</w:t>
      </w:r>
    </w:p>
    <w:sectPr w:rsidR="00E75155" w:rsidRPr="00F14B1C">
      <w:headerReference w:type="default" r:id="rId14"/>
      <w:pgSz w:w="16838" w:h="11906" w:orient="landscape"/>
      <w:pgMar w:top="1417" w:right="1440" w:bottom="1417" w:left="1440" w:header="851" w:footer="992" w:gutter="0"/>
      <w:cols w:space="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B0" w:rsidRDefault="00683FB0">
      <w:r>
        <w:separator/>
      </w:r>
    </w:p>
  </w:endnote>
  <w:endnote w:type="continuationSeparator" w:id="0">
    <w:p w:rsidR="00683FB0" w:rsidRDefault="0068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vP858E">
    <w:altName w:val="Segoe Print"/>
    <w:charset w:val="00"/>
    <w:family w:val="auto"/>
    <w:pitch w:val="default"/>
  </w:font>
  <w:font w:name="AdvP858B">
    <w:altName w:val="Calibri"/>
    <w:charset w:val="00"/>
    <w:family w:val="auto"/>
    <w:pitch w:val="default"/>
    <w:sig w:usb0="00000000" w:usb1="00000000" w:usb2="00000000" w:usb3="00000000" w:csb0="00040001" w:csb1="00000000"/>
  </w:font>
  <w:font w:name="STIX-Italic">
    <w:altName w:val="Segoe Print"/>
    <w:charset w:val="00"/>
    <w:family w:val="auto"/>
    <w:pitch w:val="default"/>
  </w:font>
  <w:font w:name="ScalaLancetPro-Bold">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Albertus-Bold">
    <w:altName w:val="Segoe Print"/>
    <w:charset w:val="00"/>
    <w:family w:val="auto"/>
    <w:pitch w:val="default"/>
  </w:font>
  <w:font w:name="AdvP7B6C">
    <w:altName w:val="Segoe Print"/>
    <w:charset w:val="00"/>
    <w:family w:val="auto"/>
    <w:pitch w:val="default"/>
  </w:font>
  <w:font w:name="TrebuchetMS">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B0" w:rsidRDefault="00683FB0">
      <w:r>
        <w:separator/>
      </w:r>
    </w:p>
  </w:footnote>
  <w:footnote w:type="continuationSeparator" w:id="0">
    <w:p w:rsidR="00683FB0" w:rsidRDefault="0068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5" w:rsidRDefault="00BF35B9">
    <w:pPr>
      <w:pStyle w:val="Header"/>
      <w:pBdr>
        <w:bottom w:val="none" w:sz="0" w:space="0" w:color="auto"/>
      </w:pBdr>
      <w:jc w:val="both"/>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58420" cy="161925"/>
              <wp:effectExtent l="0" t="0" r="0" b="0"/>
              <wp:wrapNone/>
              <wp:docPr id="8"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61925"/>
                      </a:xfrm>
                      <a:prstGeom prst="rect">
                        <a:avLst/>
                      </a:prstGeom>
                      <a:noFill/>
                      <a:ln w="9525">
                        <a:noFill/>
                      </a:ln>
                    </wps:spPr>
                    <wps:txbx>
                      <w:txbxContent>
                        <w:p w:rsidR="00E75155" w:rsidRDefault="00F813D0">
                          <w:pPr>
                            <w:pStyle w:val="Header"/>
                          </w:pPr>
                          <w:r>
                            <w:fldChar w:fldCharType="begin"/>
                          </w:r>
                          <w:r>
                            <w:instrText xml:space="preserve"> PAGE  \* MERGEFORMAT </w:instrText>
                          </w:r>
                          <w:r>
                            <w:fldChar w:fldCharType="separate"/>
                          </w:r>
                          <w:r w:rsidR="003161B9">
                            <w:rPr>
                              <w:noProof/>
                            </w:rPr>
                            <w:t>19</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46.6pt;margin-top:0;width:4.6pt;height:12.7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" filled="f" stroked="f">
              <v:textbox style="mso-fit-shape-to-text:t" inset="0,0,0,0">
                <w:txbxContent>
                  <w:p w:rsidR="00E75155" w:rsidRDefault="00F813D0">
                    <w:pPr>
                      <w:pStyle w:val="Header"/>
                    </w:pPr>
                    <w:r>
                      <w:fldChar w:fldCharType="begin"/>
                    </w:r>
                    <w:r>
                      <w:instrText xml:space="preserve"> PAGE  \* MERGEFORMAT </w:instrText>
                    </w:r>
                    <w:r>
                      <w:fldChar w:fldCharType="separate"/>
                    </w:r>
                    <w:r w:rsidR="003161B9">
                      <w:rPr>
                        <w:noProof/>
                      </w:rPr>
                      <w:t>19</w:t>
                    </w:r>
                    <w: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5" w:rsidRDefault="00BF35B9">
    <w:pPr>
      <w:pStyle w:val="Header"/>
      <w:pBdr>
        <w:bottom w:val="none" w:sz="0" w:space="0" w:color="auto"/>
      </w:pBdr>
      <w:jc w:val="both"/>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6205" cy="161925"/>
              <wp:effectExtent l="0" t="0" r="0" b="0"/>
              <wp:wrapNone/>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61925"/>
                      </a:xfrm>
                      <a:prstGeom prst="rect">
                        <a:avLst/>
                      </a:prstGeom>
                      <a:noFill/>
                      <a:ln w="9525">
                        <a:noFill/>
                      </a:ln>
                    </wps:spPr>
                    <wps:txbx>
                      <w:txbxContent>
                        <w:p w:rsidR="00E75155" w:rsidRDefault="00F813D0">
                          <w:pPr>
                            <w:pStyle w:val="Header"/>
                          </w:pPr>
                          <w:r>
                            <w:fldChar w:fldCharType="begin"/>
                          </w:r>
                          <w:r>
                            <w:instrText xml:space="preserve"> PAGE  \* MERGEFORMAT </w:instrText>
                          </w:r>
                          <w:r>
                            <w:fldChar w:fldCharType="separate"/>
                          </w:r>
                          <w:r w:rsidR="00876AEE">
                            <w:rPr>
                              <w:noProof/>
                            </w:rPr>
                            <w:t>25</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05pt;margin-top:0;width:9.15pt;height:12.7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" filled="f" stroked="f">
              <v:textbox style="mso-fit-shape-to-text:t" inset="0,0,0,0">
                <w:txbxContent>
                  <w:p w:rsidR="00E75155" w:rsidRDefault="00F813D0">
                    <w:pPr>
                      <w:pStyle w:val="Header"/>
                    </w:pPr>
                    <w:r>
                      <w:fldChar w:fldCharType="begin"/>
                    </w:r>
                    <w:r>
                      <w:instrText xml:space="preserve"> PAGE  \* MERGEFORMAT </w:instrText>
                    </w:r>
                    <w:r>
                      <w:fldChar w:fldCharType="separate"/>
                    </w:r>
                    <w:r w:rsidR="00876AEE">
                      <w:rPr>
                        <w:noProof/>
                      </w:rPr>
                      <w:t>25</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defaultTabStop w:val="420"/>
  <w:drawingGridVerticalSpacing w:val="16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B01AD6"/>
    <w:rsid w:val="00003CCC"/>
    <w:rsid w:val="00022D86"/>
    <w:rsid w:val="0003541E"/>
    <w:rsid w:val="00056B77"/>
    <w:rsid w:val="00071130"/>
    <w:rsid w:val="000F5CE0"/>
    <w:rsid w:val="00123A62"/>
    <w:rsid w:val="00127ACA"/>
    <w:rsid w:val="0013742D"/>
    <w:rsid w:val="00161475"/>
    <w:rsid w:val="00187318"/>
    <w:rsid w:val="001D06CB"/>
    <w:rsid w:val="0020525C"/>
    <w:rsid w:val="00235D93"/>
    <w:rsid w:val="00287DA7"/>
    <w:rsid w:val="002B1DA1"/>
    <w:rsid w:val="0030103B"/>
    <w:rsid w:val="003071D2"/>
    <w:rsid w:val="003161B9"/>
    <w:rsid w:val="003208B4"/>
    <w:rsid w:val="00320DE4"/>
    <w:rsid w:val="00333103"/>
    <w:rsid w:val="00363F83"/>
    <w:rsid w:val="00366F3E"/>
    <w:rsid w:val="003F5E9A"/>
    <w:rsid w:val="004006C0"/>
    <w:rsid w:val="00416FA7"/>
    <w:rsid w:val="0043291D"/>
    <w:rsid w:val="00484BD3"/>
    <w:rsid w:val="004D18F0"/>
    <w:rsid w:val="005124AE"/>
    <w:rsid w:val="00514E52"/>
    <w:rsid w:val="00527CB2"/>
    <w:rsid w:val="005A0719"/>
    <w:rsid w:val="005B5CA2"/>
    <w:rsid w:val="005C0336"/>
    <w:rsid w:val="005C206B"/>
    <w:rsid w:val="005C71C6"/>
    <w:rsid w:val="005D5CB0"/>
    <w:rsid w:val="005F3B4B"/>
    <w:rsid w:val="00603F61"/>
    <w:rsid w:val="00624349"/>
    <w:rsid w:val="00646FB8"/>
    <w:rsid w:val="00683FB0"/>
    <w:rsid w:val="006B0BB7"/>
    <w:rsid w:val="006D10E1"/>
    <w:rsid w:val="006E1327"/>
    <w:rsid w:val="006F7BCB"/>
    <w:rsid w:val="007256CE"/>
    <w:rsid w:val="00743FCA"/>
    <w:rsid w:val="007B74C4"/>
    <w:rsid w:val="008321F2"/>
    <w:rsid w:val="00845EA6"/>
    <w:rsid w:val="00876AEE"/>
    <w:rsid w:val="00877885"/>
    <w:rsid w:val="00887B7B"/>
    <w:rsid w:val="00896F45"/>
    <w:rsid w:val="008A04A7"/>
    <w:rsid w:val="008D229A"/>
    <w:rsid w:val="008D3878"/>
    <w:rsid w:val="00924BCD"/>
    <w:rsid w:val="00935BE0"/>
    <w:rsid w:val="00944E82"/>
    <w:rsid w:val="009601ED"/>
    <w:rsid w:val="00983510"/>
    <w:rsid w:val="00994F5E"/>
    <w:rsid w:val="009C5A36"/>
    <w:rsid w:val="009E6A0E"/>
    <w:rsid w:val="00A41224"/>
    <w:rsid w:val="00A75A7E"/>
    <w:rsid w:val="00A81FC6"/>
    <w:rsid w:val="00A94B7E"/>
    <w:rsid w:val="00AA47B0"/>
    <w:rsid w:val="00AC6266"/>
    <w:rsid w:val="00AE46F3"/>
    <w:rsid w:val="00AE54CD"/>
    <w:rsid w:val="00B04E55"/>
    <w:rsid w:val="00B20985"/>
    <w:rsid w:val="00B44D7C"/>
    <w:rsid w:val="00B87AA0"/>
    <w:rsid w:val="00B909B9"/>
    <w:rsid w:val="00BA3979"/>
    <w:rsid w:val="00BA7801"/>
    <w:rsid w:val="00BB1267"/>
    <w:rsid w:val="00BC47B5"/>
    <w:rsid w:val="00BD634F"/>
    <w:rsid w:val="00BE56E1"/>
    <w:rsid w:val="00BF35B9"/>
    <w:rsid w:val="00C15BFB"/>
    <w:rsid w:val="00C22455"/>
    <w:rsid w:val="00C36B03"/>
    <w:rsid w:val="00C41BBA"/>
    <w:rsid w:val="00C8263E"/>
    <w:rsid w:val="00C87547"/>
    <w:rsid w:val="00CB44E8"/>
    <w:rsid w:val="00CC3298"/>
    <w:rsid w:val="00CC5E50"/>
    <w:rsid w:val="00CD21F1"/>
    <w:rsid w:val="00D05AA3"/>
    <w:rsid w:val="00D13907"/>
    <w:rsid w:val="00D34125"/>
    <w:rsid w:val="00D86C9D"/>
    <w:rsid w:val="00DC18D9"/>
    <w:rsid w:val="00E054AE"/>
    <w:rsid w:val="00E1014E"/>
    <w:rsid w:val="00E50273"/>
    <w:rsid w:val="00E50F87"/>
    <w:rsid w:val="00E66B89"/>
    <w:rsid w:val="00E70131"/>
    <w:rsid w:val="00E75155"/>
    <w:rsid w:val="00E93FFD"/>
    <w:rsid w:val="00EA4E5C"/>
    <w:rsid w:val="00EB0D22"/>
    <w:rsid w:val="00EC0004"/>
    <w:rsid w:val="00EC1C0B"/>
    <w:rsid w:val="00EF3F2B"/>
    <w:rsid w:val="00F14B1C"/>
    <w:rsid w:val="00F26F47"/>
    <w:rsid w:val="00F70C4A"/>
    <w:rsid w:val="00F813D0"/>
    <w:rsid w:val="00F872BC"/>
    <w:rsid w:val="00F927E2"/>
    <w:rsid w:val="00FA71B9"/>
    <w:rsid w:val="00FB2429"/>
    <w:rsid w:val="00FC3610"/>
    <w:rsid w:val="00FE745E"/>
    <w:rsid w:val="01194C48"/>
    <w:rsid w:val="01920859"/>
    <w:rsid w:val="01A56991"/>
    <w:rsid w:val="01B0131D"/>
    <w:rsid w:val="01C47043"/>
    <w:rsid w:val="0211611F"/>
    <w:rsid w:val="02681F6E"/>
    <w:rsid w:val="026F65A8"/>
    <w:rsid w:val="02DA5F07"/>
    <w:rsid w:val="0303611F"/>
    <w:rsid w:val="034946AC"/>
    <w:rsid w:val="041123D2"/>
    <w:rsid w:val="04551443"/>
    <w:rsid w:val="046447FB"/>
    <w:rsid w:val="047E3B88"/>
    <w:rsid w:val="051F0CA3"/>
    <w:rsid w:val="0585751C"/>
    <w:rsid w:val="06110D44"/>
    <w:rsid w:val="064A120E"/>
    <w:rsid w:val="06787EE3"/>
    <w:rsid w:val="06B30C69"/>
    <w:rsid w:val="06B336E8"/>
    <w:rsid w:val="0725525C"/>
    <w:rsid w:val="072C3127"/>
    <w:rsid w:val="07610B4F"/>
    <w:rsid w:val="07AF6758"/>
    <w:rsid w:val="08107B4B"/>
    <w:rsid w:val="08457245"/>
    <w:rsid w:val="08A16668"/>
    <w:rsid w:val="08A4656D"/>
    <w:rsid w:val="08C13D50"/>
    <w:rsid w:val="08D70E5D"/>
    <w:rsid w:val="08ED42D5"/>
    <w:rsid w:val="09686FD5"/>
    <w:rsid w:val="09FA3DBF"/>
    <w:rsid w:val="0A9321AA"/>
    <w:rsid w:val="0B6B04E4"/>
    <w:rsid w:val="0BF715D2"/>
    <w:rsid w:val="0C556F79"/>
    <w:rsid w:val="0C8808A8"/>
    <w:rsid w:val="0D964116"/>
    <w:rsid w:val="0DAF43E4"/>
    <w:rsid w:val="0DBA48F2"/>
    <w:rsid w:val="0E130E8D"/>
    <w:rsid w:val="0E2C796B"/>
    <w:rsid w:val="0E622903"/>
    <w:rsid w:val="0F34221B"/>
    <w:rsid w:val="0F8A26CF"/>
    <w:rsid w:val="10542369"/>
    <w:rsid w:val="107067B7"/>
    <w:rsid w:val="10F97152"/>
    <w:rsid w:val="11275F67"/>
    <w:rsid w:val="11F907F5"/>
    <w:rsid w:val="124C5E98"/>
    <w:rsid w:val="125740A8"/>
    <w:rsid w:val="128360E6"/>
    <w:rsid w:val="12D71447"/>
    <w:rsid w:val="13065A31"/>
    <w:rsid w:val="13321B3E"/>
    <w:rsid w:val="13481A25"/>
    <w:rsid w:val="13C8224C"/>
    <w:rsid w:val="13E350C5"/>
    <w:rsid w:val="14316D9F"/>
    <w:rsid w:val="14FB0BF0"/>
    <w:rsid w:val="150F5C8B"/>
    <w:rsid w:val="151E5B8A"/>
    <w:rsid w:val="154F5B98"/>
    <w:rsid w:val="155879EC"/>
    <w:rsid w:val="15817157"/>
    <w:rsid w:val="160F7300"/>
    <w:rsid w:val="16B11520"/>
    <w:rsid w:val="16F76AD4"/>
    <w:rsid w:val="177F3FB0"/>
    <w:rsid w:val="17B22015"/>
    <w:rsid w:val="17F67860"/>
    <w:rsid w:val="184B66C1"/>
    <w:rsid w:val="18577BFF"/>
    <w:rsid w:val="18B44554"/>
    <w:rsid w:val="18FD353D"/>
    <w:rsid w:val="19A96C0D"/>
    <w:rsid w:val="19CA2B7A"/>
    <w:rsid w:val="1AD64BAC"/>
    <w:rsid w:val="1B1C63E1"/>
    <w:rsid w:val="1B4A4527"/>
    <w:rsid w:val="1B69688F"/>
    <w:rsid w:val="1BB53D2A"/>
    <w:rsid w:val="1BBA3F24"/>
    <w:rsid w:val="1BDA66CD"/>
    <w:rsid w:val="1BDE343E"/>
    <w:rsid w:val="1C3B209C"/>
    <w:rsid w:val="1CCA13F8"/>
    <w:rsid w:val="1CD3655B"/>
    <w:rsid w:val="1D6946FB"/>
    <w:rsid w:val="1DA8097E"/>
    <w:rsid w:val="1E793EFB"/>
    <w:rsid w:val="1FC33DF1"/>
    <w:rsid w:val="2007449B"/>
    <w:rsid w:val="20902235"/>
    <w:rsid w:val="20D94031"/>
    <w:rsid w:val="20F24312"/>
    <w:rsid w:val="211B254F"/>
    <w:rsid w:val="214F116C"/>
    <w:rsid w:val="219E1B96"/>
    <w:rsid w:val="21F15C1F"/>
    <w:rsid w:val="220D2785"/>
    <w:rsid w:val="22340E19"/>
    <w:rsid w:val="239E46E4"/>
    <w:rsid w:val="23A5796D"/>
    <w:rsid w:val="23CA6693"/>
    <w:rsid w:val="2421614E"/>
    <w:rsid w:val="243140B7"/>
    <w:rsid w:val="24603305"/>
    <w:rsid w:val="24617CAD"/>
    <w:rsid w:val="249B0D2C"/>
    <w:rsid w:val="24C824E9"/>
    <w:rsid w:val="25080B2E"/>
    <w:rsid w:val="254D4B9A"/>
    <w:rsid w:val="25605EBC"/>
    <w:rsid w:val="258B0425"/>
    <w:rsid w:val="264A3DE1"/>
    <w:rsid w:val="26502A11"/>
    <w:rsid w:val="26641AE3"/>
    <w:rsid w:val="26AB6326"/>
    <w:rsid w:val="26C51F43"/>
    <w:rsid w:val="277918DF"/>
    <w:rsid w:val="2828046C"/>
    <w:rsid w:val="28801DAB"/>
    <w:rsid w:val="28A24A6C"/>
    <w:rsid w:val="28AE44AA"/>
    <w:rsid w:val="28D61707"/>
    <w:rsid w:val="299222DC"/>
    <w:rsid w:val="2A45124C"/>
    <w:rsid w:val="2B2D2782"/>
    <w:rsid w:val="2B5A4D49"/>
    <w:rsid w:val="2B745643"/>
    <w:rsid w:val="2C71016B"/>
    <w:rsid w:val="2CAE5DC7"/>
    <w:rsid w:val="2D536707"/>
    <w:rsid w:val="2DE253B2"/>
    <w:rsid w:val="2E53074E"/>
    <w:rsid w:val="2E9917CD"/>
    <w:rsid w:val="301D29AC"/>
    <w:rsid w:val="305305A9"/>
    <w:rsid w:val="3081153C"/>
    <w:rsid w:val="30ED7FB3"/>
    <w:rsid w:val="31094F16"/>
    <w:rsid w:val="31253864"/>
    <w:rsid w:val="313C725F"/>
    <w:rsid w:val="314B5771"/>
    <w:rsid w:val="318373AB"/>
    <w:rsid w:val="32787751"/>
    <w:rsid w:val="32866723"/>
    <w:rsid w:val="328B7EF9"/>
    <w:rsid w:val="33393A0F"/>
    <w:rsid w:val="334D1086"/>
    <w:rsid w:val="33F151CC"/>
    <w:rsid w:val="3441359E"/>
    <w:rsid w:val="345501B2"/>
    <w:rsid w:val="346A4978"/>
    <w:rsid w:val="35676C06"/>
    <w:rsid w:val="36A30866"/>
    <w:rsid w:val="36E246F7"/>
    <w:rsid w:val="37102149"/>
    <w:rsid w:val="376F5AFA"/>
    <w:rsid w:val="37EB1957"/>
    <w:rsid w:val="38405E60"/>
    <w:rsid w:val="38C5477D"/>
    <w:rsid w:val="39327DF2"/>
    <w:rsid w:val="39551098"/>
    <w:rsid w:val="39F63799"/>
    <w:rsid w:val="3AB9240C"/>
    <w:rsid w:val="3ADB6D9D"/>
    <w:rsid w:val="3B422242"/>
    <w:rsid w:val="3B473B88"/>
    <w:rsid w:val="3B9D137F"/>
    <w:rsid w:val="3BB26381"/>
    <w:rsid w:val="3BBD5BC4"/>
    <w:rsid w:val="3C853719"/>
    <w:rsid w:val="3C9964B6"/>
    <w:rsid w:val="3D2D2744"/>
    <w:rsid w:val="3E396AC9"/>
    <w:rsid w:val="3EEC2E6C"/>
    <w:rsid w:val="3FB73E20"/>
    <w:rsid w:val="3FFE182F"/>
    <w:rsid w:val="401842C5"/>
    <w:rsid w:val="407110F2"/>
    <w:rsid w:val="408C6CE6"/>
    <w:rsid w:val="40B83869"/>
    <w:rsid w:val="41064BF3"/>
    <w:rsid w:val="4168154A"/>
    <w:rsid w:val="41937DD1"/>
    <w:rsid w:val="41990B6C"/>
    <w:rsid w:val="42666754"/>
    <w:rsid w:val="426B5BD1"/>
    <w:rsid w:val="429E1045"/>
    <w:rsid w:val="42F4217F"/>
    <w:rsid w:val="42F845AE"/>
    <w:rsid w:val="42FB5C68"/>
    <w:rsid w:val="43222378"/>
    <w:rsid w:val="43531A6B"/>
    <w:rsid w:val="437F0E23"/>
    <w:rsid w:val="447A5DE5"/>
    <w:rsid w:val="44A938DD"/>
    <w:rsid w:val="44D24FB1"/>
    <w:rsid w:val="452209CA"/>
    <w:rsid w:val="46694593"/>
    <w:rsid w:val="46BB6CA1"/>
    <w:rsid w:val="46E462ED"/>
    <w:rsid w:val="4751385B"/>
    <w:rsid w:val="485A7249"/>
    <w:rsid w:val="487A7B32"/>
    <w:rsid w:val="49035997"/>
    <w:rsid w:val="493306C6"/>
    <w:rsid w:val="496C522E"/>
    <w:rsid w:val="4A7B1DC4"/>
    <w:rsid w:val="4AC17147"/>
    <w:rsid w:val="4B370976"/>
    <w:rsid w:val="4BF26C28"/>
    <w:rsid w:val="4C3A38BD"/>
    <w:rsid w:val="4C4E0ACD"/>
    <w:rsid w:val="4C6B270A"/>
    <w:rsid w:val="4C985039"/>
    <w:rsid w:val="4CF9535C"/>
    <w:rsid w:val="4D04761E"/>
    <w:rsid w:val="4DE21304"/>
    <w:rsid w:val="4E1B46D3"/>
    <w:rsid w:val="4E5C3841"/>
    <w:rsid w:val="4E8759A8"/>
    <w:rsid w:val="4EE72A73"/>
    <w:rsid w:val="4F3B7E51"/>
    <w:rsid w:val="4F65729F"/>
    <w:rsid w:val="4FD904BE"/>
    <w:rsid w:val="4FE40FF4"/>
    <w:rsid w:val="4FF51240"/>
    <w:rsid w:val="4FF7490B"/>
    <w:rsid w:val="4FFA37D0"/>
    <w:rsid w:val="50313124"/>
    <w:rsid w:val="50BB29A0"/>
    <w:rsid w:val="50E06E33"/>
    <w:rsid w:val="51270F1B"/>
    <w:rsid w:val="515C0866"/>
    <w:rsid w:val="517A4017"/>
    <w:rsid w:val="520B0567"/>
    <w:rsid w:val="53452602"/>
    <w:rsid w:val="535A2338"/>
    <w:rsid w:val="53891087"/>
    <w:rsid w:val="53D776A3"/>
    <w:rsid w:val="54106865"/>
    <w:rsid w:val="543F0FE5"/>
    <w:rsid w:val="54A71F14"/>
    <w:rsid w:val="54B17354"/>
    <w:rsid w:val="54C4415C"/>
    <w:rsid w:val="54D866B0"/>
    <w:rsid w:val="54EF42F8"/>
    <w:rsid w:val="55C12F3F"/>
    <w:rsid w:val="564953E2"/>
    <w:rsid w:val="56CD2C37"/>
    <w:rsid w:val="56D22459"/>
    <w:rsid w:val="57536AE8"/>
    <w:rsid w:val="57AA674B"/>
    <w:rsid w:val="57B01AD6"/>
    <w:rsid w:val="57DD0FC5"/>
    <w:rsid w:val="59674D9E"/>
    <w:rsid w:val="59692415"/>
    <w:rsid w:val="5A2B29FB"/>
    <w:rsid w:val="5A3207EB"/>
    <w:rsid w:val="5AF1401A"/>
    <w:rsid w:val="5B2071D9"/>
    <w:rsid w:val="5B22707C"/>
    <w:rsid w:val="5B2A3F81"/>
    <w:rsid w:val="5B36688E"/>
    <w:rsid w:val="5B46479C"/>
    <w:rsid w:val="5B506173"/>
    <w:rsid w:val="5B73030E"/>
    <w:rsid w:val="5BF55EC2"/>
    <w:rsid w:val="5C0B0047"/>
    <w:rsid w:val="5C3339ED"/>
    <w:rsid w:val="5C8727A4"/>
    <w:rsid w:val="5C95290D"/>
    <w:rsid w:val="5DAC1CE6"/>
    <w:rsid w:val="5DF10868"/>
    <w:rsid w:val="5DFA5858"/>
    <w:rsid w:val="5E5141A6"/>
    <w:rsid w:val="5E6F4363"/>
    <w:rsid w:val="5E767F84"/>
    <w:rsid w:val="5E7B67F9"/>
    <w:rsid w:val="5E8D038C"/>
    <w:rsid w:val="5EDF3F94"/>
    <w:rsid w:val="5EE55396"/>
    <w:rsid w:val="5F211F16"/>
    <w:rsid w:val="5F281EDF"/>
    <w:rsid w:val="5F305824"/>
    <w:rsid w:val="5F79729A"/>
    <w:rsid w:val="5FC13A59"/>
    <w:rsid w:val="606064AF"/>
    <w:rsid w:val="60853496"/>
    <w:rsid w:val="60C06CDA"/>
    <w:rsid w:val="611747D3"/>
    <w:rsid w:val="612F6FF4"/>
    <w:rsid w:val="61496B88"/>
    <w:rsid w:val="616F2AF1"/>
    <w:rsid w:val="61724804"/>
    <w:rsid w:val="6173638B"/>
    <w:rsid w:val="618F5E9D"/>
    <w:rsid w:val="61B65C11"/>
    <w:rsid w:val="61BB4B15"/>
    <w:rsid w:val="61F27032"/>
    <w:rsid w:val="61FE6F52"/>
    <w:rsid w:val="625E2F9D"/>
    <w:rsid w:val="62876DBA"/>
    <w:rsid w:val="628F402F"/>
    <w:rsid w:val="62E912AD"/>
    <w:rsid w:val="62F15BB4"/>
    <w:rsid w:val="63873980"/>
    <w:rsid w:val="63A82C94"/>
    <w:rsid w:val="647F51EB"/>
    <w:rsid w:val="64A47439"/>
    <w:rsid w:val="650D1AAD"/>
    <w:rsid w:val="65315051"/>
    <w:rsid w:val="65514764"/>
    <w:rsid w:val="65937024"/>
    <w:rsid w:val="66642539"/>
    <w:rsid w:val="66B011B6"/>
    <w:rsid w:val="66B53B8D"/>
    <w:rsid w:val="675016C2"/>
    <w:rsid w:val="677C5AFC"/>
    <w:rsid w:val="684C27AC"/>
    <w:rsid w:val="68A54C57"/>
    <w:rsid w:val="68AE6293"/>
    <w:rsid w:val="68D051A3"/>
    <w:rsid w:val="69077BAC"/>
    <w:rsid w:val="69821885"/>
    <w:rsid w:val="6A016353"/>
    <w:rsid w:val="6A281835"/>
    <w:rsid w:val="6A422FE8"/>
    <w:rsid w:val="6A691668"/>
    <w:rsid w:val="6AAF1B49"/>
    <w:rsid w:val="6AC648A2"/>
    <w:rsid w:val="6AE20CAA"/>
    <w:rsid w:val="6BA17340"/>
    <w:rsid w:val="6BAA164D"/>
    <w:rsid w:val="6BD511E1"/>
    <w:rsid w:val="6BDA2560"/>
    <w:rsid w:val="6BF819DD"/>
    <w:rsid w:val="6C32297F"/>
    <w:rsid w:val="6CF374D5"/>
    <w:rsid w:val="6CFE532A"/>
    <w:rsid w:val="6D494A61"/>
    <w:rsid w:val="6D8332B2"/>
    <w:rsid w:val="6D9F6AA9"/>
    <w:rsid w:val="6DAA2951"/>
    <w:rsid w:val="6DEC7986"/>
    <w:rsid w:val="6E105459"/>
    <w:rsid w:val="6EEC45D5"/>
    <w:rsid w:val="6F0565F5"/>
    <w:rsid w:val="6FBF3BCB"/>
    <w:rsid w:val="700B37C6"/>
    <w:rsid w:val="70B86EB5"/>
    <w:rsid w:val="70F764B7"/>
    <w:rsid w:val="70F9642E"/>
    <w:rsid w:val="71354163"/>
    <w:rsid w:val="71504524"/>
    <w:rsid w:val="71605E6D"/>
    <w:rsid w:val="71AA7567"/>
    <w:rsid w:val="723861C6"/>
    <w:rsid w:val="72D54B5F"/>
    <w:rsid w:val="735C0308"/>
    <w:rsid w:val="739143EE"/>
    <w:rsid w:val="739A31EE"/>
    <w:rsid w:val="739A7199"/>
    <w:rsid w:val="73D436DF"/>
    <w:rsid w:val="74411DBD"/>
    <w:rsid w:val="7476612B"/>
    <w:rsid w:val="747E681A"/>
    <w:rsid w:val="74AE0191"/>
    <w:rsid w:val="74BB0CDA"/>
    <w:rsid w:val="74EC3F76"/>
    <w:rsid w:val="75D836F6"/>
    <w:rsid w:val="76FF1964"/>
    <w:rsid w:val="77141AF7"/>
    <w:rsid w:val="77D60136"/>
    <w:rsid w:val="77DC6EC9"/>
    <w:rsid w:val="77E91A37"/>
    <w:rsid w:val="782F7CAE"/>
    <w:rsid w:val="78F376D9"/>
    <w:rsid w:val="794741DE"/>
    <w:rsid w:val="79C87CB3"/>
    <w:rsid w:val="79CB0F20"/>
    <w:rsid w:val="7A2519BD"/>
    <w:rsid w:val="7A562C20"/>
    <w:rsid w:val="7B192FF4"/>
    <w:rsid w:val="7BA61122"/>
    <w:rsid w:val="7BBF14D8"/>
    <w:rsid w:val="7CA019E2"/>
    <w:rsid w:val="7CDB4463"/>
    <w:rsid w:val="7CEE09F9"/>
    <w:rsid w:val="7D531C23"/>
    <w:rsid w:val="7D7D0562"/>
    <w:rsid w:val="7DBB1BAD"/>
    <w:rsid w:val="7E0469D0"/>
    <w:rsid w:val="7E962560"/>
    <w:rsid w:val="7FA76C82"/>
    <w:rsid w:val="7FE0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25CD1"/>
  <w15:docId w15:val="{C6B16351-F20A-4DBA-A28B-A2D6A0D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qFormat/>
    <w:pPr>
      <w:spacing w:beforeAutospacing="1" w:afterAutospacing="1"/>
      <w:jc w:val="left"/>
      <w:outlineLvl w:val="0"/>
    </w:pPr>
    <w:rPr>
      <w:rFonts w:ascii="SimSun" w:eastAsia="SimSun" w:hAnsi="SimSun" w:cs="Times New Roman" w:hint="eastAsia"/>
      <w:b/>
      <w:kern w:val="44"/>
      <w:sz w:val="48"/>
      <w:szCs w:val="48"/>
    </w:rPr>
  </w:style>
  <w:style w:type="paragraph" w:styleId="Heading2">
    <w:name w:val="heading 2"/>
    <w:basedOn w:val="Normal"/>
    <w:next w:val="Normal"/>
    <w:semiHidden/>
    <w:unhideWhenUsed/>
    <w:qFormat/>
    <w:pPr>
      <w:spacing w:beforeAutospacing="1" w:afterAutospacing="1"/>
      <w:jc w:val="left"/>
      <w:outlineLvl w:val="1"/>
    </w:pPr>
    <w:rPr>
      <w:rFonts w:ascii="SimSun" w:eastAsia="SimSun" w:hAnsi="SimSun" w:cs="Times New Roman" w:hint="eastAsia"/>
      <w:b/>
      <w:kern w:val="0"/>
      <w:sz w:val="36"/>
      <w:szCs w:val="36"/>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Heading4">
    <w:name w:val="heading 4"/>
    <w:basedOn w:val="Normal"/>
    <w:next w:val="Normal"/>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21"/>
      <w:szCs w:val="21"/>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AdvP858E" w:eastAsia="AdvP858E" w:hAnsi="AdvP858E" w:cs="AdvP858E"/>
      <w:color w:val="000000"/>
      <w:sz w:val="28"/>
      <w:szCs w:val="28"/>
    </w:rPr>
  </w:style>
  <w:style w:type="character" w:customStyle="1" w:styleId="fontstyle21">
    <w:name w:val="fontstyle21"/>
    <w:basedOn w:val="DefaultParagraphFont"/>
    <w:qFormat/>
    <w:rPr>
      <w:rFonts w:ascii="AdvP858B" w:eastAsia="AdvP858B" w:hAnsi="AdvP858B" w:cs="AdvP858B"/>
      <w:color w:val="000000"/>
      <w:sz w:val="28"/>
      <w:szCs w:val="28"/>
    </w:rPr>
  </w:style>
  <w:style w:type="character" w:customStyle="1" w:styleId="fontstyle11">
    <w:name w:val="fontstyle11"/>
    <w:basedOn w:val="DefaultParagraphFont"/>
    <w:qFormat/>
    <w:rPr>
      <w:rFonts w:ascii="STIX-Italic" w:eastAsia="STIX-Italic" w:hAnsi="STIX-Italic" w:cs="STIX-Italic"/>
      <w:i/>
      <w:color w:val="000000"/>
      <w:sz w:val="20"/>
      <w:szCs w:val="20"/>
    </w:rPr>
  </w:style>
  <w:style w:type="character" w:customStyle="1" w:styleId="fontstyle31">
    <w:name w:val="fontstyle31"/>
    <w:basedOn w:val="DefaultParagraphFont"/>
    <w:qFormat/>
    <w:rPr>
      <w:rFonts w:ascii="ScalaLancetPro-Bold" w:eastAsia="ScalaLancetPro-Bold" w:hAnsi="ScalaLancetPro-Bold" w:cs="ScalaLancetPro-Bold"/>
      <w:b/>
      <w:color w:val="000000"/>
      <w:sz w:val="14"/>
      <w:szCs w:val="14"/>
    </w:rPr>
  </w:style>
  <w:style w:type="character" w:customStyle="1" w:styleId="font11">
    <w:name w:val="font11"/>
    <w:basedOn w:val="DefaultParagraphFont"/>
    <w:qFormat/>
    <w:rPr>
      <w:rFonts w:ascii="SimSun" w:eastAsia="SimSun" w:hAnsi="SimSun" w:cs="SimSun" w:hint="eastAsia"/>
      <w:color w:val="000000"/>
      <w:sz w:val="21"/>
      <w:szCs w:val="21"/>
      <w:u w:val="none"/>
    </w:rPr>
  </w:style>
  <w:style w:type="character" w:customStyle="1" w:styleId="font21">
    <w:name w:val="font21"/>
    <w:basedOn w:val="DefaultParagraphFont"/>
    <w:qFormat/>
    <w:rPr>
      <w:rFonts w:ascii="Calibri" w:hAnsi="Calibri" w:cs="Calibri" w:hint="default"/>
      <w:color w:val="000000"/>
      <w:sz w:val="21"/>
      <w:szCs w:val="21"/>
      <w:u w:val="none"/>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character" w:customStyle="1" w:styleId="highlight">
    <w:name w:val="highlight"/>
    <w:basedOn w:val="DefaultParagraphFont"/>
    <w:qFormat/>
  </w:style>
  <w:style w:type="character" w:customStyle="1" w:styleId="apple-converted-space">
    <w:name w:val="apple-converted-space"/>
    <w:basedOn w:val="DefaultParagraphFont"/>
  </w:style>
  <w:style w:type="character" w:customStyle="1" w:styleId="tran">
    <w:name w:val="tran"/>
    <w:basedOn w:val="DefaultParagraphFont"/>
  </w:style>
  <w:style w:type="paragraph" w:styleId="PlainText">
    <w:name w:val="Plain Text"/>
    <w:basedOn w:val="Normal"/>
    <w:link w:val="PlainTextChar"/>
    <w:unhideWhenUsed/>
    <w:rsid w:val="003208B4"/>
    <w:rPr>
      <w:rFonts w:ascii="SimSun" w:eastAsia="SimSun" w:hAnsi="Courier New" w:cs="Courier New"/>
      <w:szCs w:val="21"/>
    </w:rPr>
  </w:style>
  <w:style w:type="character" w:customStyle="1" w:styleId="PlainTextChar">
    <w:name w:val="Plain Text Char"/>
    <w:basedOn w:val="DefaultParagraphFont"/>
    <w:link w:val="PlainText"/>
    <w:rsid w:val="003208B4"/>
    <w:rPr>
      <w:rFonts w:ascii="SimSun" w:hAnsi="Courier New" w:cs="Courier New"/>
      <w:kern w:val="2"/>
      <w:sz w:val="21"/>
      <w:szCs w:val="21"/>
    </w:rPr>
  </w:style>
  <w:style w:type="character" w:customStyle="1" w:styleId="Heading1Char">
    <w:name w:val="Heading 1 Char"/>
    <w:basedOn w:val="DefaultParagraphFont"/>
    <w:link w:val="Heading1"/>
    <w:rsid w:val="00CB44E8"/>
    <w:rPr>
      <w:rFonts w:ascii="SimSun" w:hAnsi="SimSu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884">
      <w:bodyDiv w:val="1"/>
      <w:marLeft w:val="0"/>
      <w:marRight w:val="0"/>
      <w:marTop w:val="0"/>
      <w:marBottom w:val="0"/>
      <w:divBdr>
        <w:top w:val="none" w:sz="0" w:space="0" w:color="auto"/>
        <w:left w:val="none" w:sz="0" w:space="0" w:color="auto"/>
        <w:bottom w:val="none" w:sz="0" w:space="0" w:color="auto"/>
        <w:right w:val="none" w:sz="0" w:space="0" w:color="auto"/>
      </w:divBdr>
    </w:div>
    <w:div w:id="198011974">
      <w:bodyDiv w:val="1"/>
      <w:marLeft w:val="0"/>
      <w:marRight w:val="0"/>
      <w:marTop w:val="0"/>
      <w:marBottom w:val="0"/>
      <w:divBdr>
        <w:top w:val="none" w:sz="0" w:space="0" w:color="auto"/>
        <w:left w:val="none" w:sz="0" w:space="0" w:color="auto"/>
        <w:bottom w:val="none" w:sz="0" w:space="0" w:color="auto"/>
        <w:right w:val="none" w:sz="0" w:space="0" w:color="auto"/>
      </w:divBdr>
    </w:div>
    <w:div w:id="264004677">
      <w:bodyDiv w:val="1"/>
      <w:marLeft w:val="0"/>
      <w:marRight w:val="0"/>
      <w:marTop w:val="0"/>
      <w:marBottom w:val="0"/>
      <w:divBdr>
        <w:top w:val="none" w:sz="0" w:space="0" w:color="auto"/>
        <w:left w:val="none" w:sz="0" w:space="0" w:color="auto"/>
        <w:bottom w:val="none" w:sz="0" w:space="0" w:color="auto"/>
        <w:right w:val="none" w:sz="0" w:space="0" w:color="auto"/>
      </w:divBdr>
    </w:div>
    <w:div w:id="129429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C1A96-E715-4FE3-BB89-ADD41874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小牛小马</dc:creator>
  <cp:lastModifiedBy>Lian-Sheng Ma</cp:lastModifiedBy>
  <cp:revision>2</cp:revision>
  <cp:lastPrinted>2018-10-17T12:43:00Z</cp:lastPrinted>
  <dcterms:created xsi:type="dcterms:W3CDTF">2019-01-03T23:08:00Z</dcterms:created>
  <dcterms:modified xsi:type="dcterms:W3CDTF">2019-01-03T23:08:00Z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