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2B" w:rsidRPr="002C72DA" w:rsidRDefault="00CD552B" w:rsidP="002C72DA">
      <w:pPr>
        <w:spacing w:after="0" w:line="360" w:lineRule="auto"/>
        <w:jc w:val="both"/>
        <w:rPr>
          <w:rFonts w:ascii="Book Antiqua" w:hAnsi="Book Antiqua" w:cs="Tahoma"/>
          <w:b/>
          <w:color w:val="000000"/>
          <w:sz w:val="24"/>
          <w:szCs w:val="24"/>
        </w:rPr>
      </w:pPr>
      <w:bookmarkStart w:id="0" w:name="OLE_LINK169"/>
      <w:bookmarkStart w:id="1" w:name="OLE_LINK170"/>
      <w:bookmarkStart w:id="2" w:name="OLE_LINK193"/>
      <w:r w:rsidRPr="002C72DA">
        <w:rPr>
          <w:rFonts w:ascii="Book Antiqua" w:hAnsi="Book Antiqua" w:cs="Tahoma"/>
          <w:b/>
          <w:color w:val="0000FF"/>
          <w:sz w:val="24"/>
          <w:szCs w:val="24"/>
        </w:rPr>
        <w:t xml:space="preserve">Name of journal: </w:t>
      </w:r>
      <w:r w:rsidRPr="002C72DA">
        <w:rPr>
          <w:rFonts w:ascii="Book Antiqua" w:hAnsi="Book Antiqua" w:cs="Tahoma"/>
          <w:b/>
          <w:color w:val="000000"/>
          <w:sz w:val="24"/>
          <w:szCs w:val="24"/>
        </w:rPr>
        <w:t>World Journal of Gastroenterology</w:t>
      </w:r>
    </w:p>
    <w:p w:rsidR="00CD552B" w:rsidRPr="002C72DA" w:rsidRDefault="00CD552B" w:rsidP="002C72DA">
      <w:pPr>
        <w:spacing w:after="0" w:line="360" w:lineRule="auto"/>
        <w:jc w:val="both"/>
        <w:rPr>
          <w:rFonts w:ascii="Book Antiqua" w:hAnsi="Book Antiqua" w:cs="Tahoma"/>
          <w:b/>
          <w:color w:val="0000FF"/>
          <w:sz w:val="24"/>
          <w:szCs w:val="24"/>
          <w:lang w:eastAsia="zh-CN"/>
        </w:rPr>
      </w:pPr>
      <w:r w:rsidRPr="002C72DA">
        <w:rPr>
          <w:rFonts w:ascii="Book Antiqua" w:hAnsi="Book Antiqua" w:cs="Tahoma"/>
          <w:b/>
          <w:color w:val="0000FF"/>
          <w:sz w:val="24"/>
          <w:szCs w:val="24"/>
        </w:rPr>
        <w:t>ESPS Manuscript NO:</w:t>
      </w:r>
      <w:r>
        <w:rPr>
          <w:rFonts w:ascii="Book Antiqua" w:hAnsi="Book Antiqua" w:cs="Tahoma"/>
          <w:b/>
          <w:color w:val="0000FF"/>
          <w:sz w:val="24"/>
          <w:szCs w:val="24"/>
        </w:rPr>
        <w:t xml:space="preserve"> </w:t>
      </w:r>
      <w:r w:rsidRPr="002C72DA">
        <w:rPr>
          <w:rFonts w:ascii="Book Antiqua" w:hAnsi="Book Antiqua" w:cs="Tahoma"/>
          <w:b/>
          <w:color w:val="0000FF"/>
          <w:sz w:val="24"/>
          <w:szCs w:val="24"/>
          <w:lang w:eastAsia="zh-CN"/>
        </w:rPr>
        <w:t>43</w:t>
      </w:r>
      <w:r>
        <w:rPr>
          <w:rFonts w:ascii="Book Antiqua" w:hAnsi="Book Antiqua" w:cs="Tahoma"/>
          <w:b/>
          <w:color w:val="0000FF"/>
          <w:sz w:val="24"/>
          <w:szCs w:val="24"/>
          <w:lang w:eastAsia="zh-CN"/>
        </w:rPr>
        <w:t>3</w:t>
      </w:r>
      <w:r w:rsidRPr="002C72DA">
        <w:rPr>
          <w:rFonts w:ascii="Book Antiqua" w:hAnsi="Book Antiqua" w:cs="Tahoma"/>
          <w:b/>
          <w:color w:val="0000FF"/>
          <w:sz w:val="24"/>
          <w:szCs w:val="24"/>
          <w:lang w:eastAsia="zh-CN"/>
        </w:rPr>
        <w:t>7</w:t>
      </w:r>
    </w:p>
    <w:p w:rsidR="00CD552B" w:rsidRPr="002C72DA" w:rsidRDefault="00CD552B" w:rsidP="002C72DA">
      <w:pPr>
        <w:spacing w:after="0" w:line="360" w:lineRule="auto"/>
        <w:jc w:val="both"/>
        <w:rPr>
          <w:rFonts w:ascii="Book Antiqua" w:hAnsi="Book Antiqua" w:cs="Tahoma"/>
          <w:b/>
          <w:color w:val="0000FF"/>
          <w:sz w:val="24"/>
          <w:szCs w:val="24"/>
        </w:rPr>
      </w:pPr>
      <w:r w:rsidRPr="002C72DA">
        <w:rPr>
          <w:rFonts w:ascii="Book Antiqua" w:hAnsi="Book Antiqua" w:cs="Tahoma"/>
          <w:b/>
          <w:color w:val="0000FF"/>
          <w:sz w:val="24"/>
          <w:szCs w:val="24"/>
        </w:rPr>
        <w:t xml:space="preserve">Columns: </w:t>
      </w:r>
      <w:r w:rsidRPr="002C72DA">
        <w:rPr>
          <w:rFonts w:ascii="Book Antiqua" w:hAnsi="Book Antiqua" w:cs="Arial"/>
          <w:b/>
          <w:bCs/>
          <w:sz w:val="24"/>
          <w:szCs w:val="24"/>
        </w:rPr>
        <w:t>TOPIC HIGHLIGHT</w:t>
      </w:r>
    </w:p>
    <w:bookmarkEnd w:id="0"/>
    <w:bookmarkEnd w:id="1"/>
    <w:bookmarkEnd w:id="2"/>
    <w:p w:rsidR="00CD552B" w:rsidRPr="002C72DA" w:rsidRDefault="00CD552B" w:rsidP="002C72DA">
      <w:pPr>
        <w:spacing w:after="0" w:line="360" w:lineRule="auto"/>
        <w:jc w:val="both"/>
        <w:rPr>
          <w:rFonts w:ascii="Book Antiqua" w:hAnsi="Book Antiqua"/>
          <w:b/>
          <w:sz w:val="24"/>
          <w:szCs w:val="24"/>
          <w:u w:val="single"/>
          <w:lang w:eastAsia="zh-CN"/>
        </w:rPr>
      </w:pPr>
    </w:p>
    <w:p w:rsidR="00CD552B" w:rsidRPr="0045430A" w:rsidRDefault="00CD552B" w:rsidP="0045430A">
      <w:pPr>
        <w:spacing w:after="0" w:line="360" w:lineRule="auto"/>
        <w:jc w:val="both"/>
        <w:rPr>
          <w:rFonts w:ascii="Book Antiqua" w:hAnsi="Book Antiqua"/>
          <w:b/>
          <w:i/>
          <w:sz w:val="24"/>
          <w:szCs w:val="24"/>
          <w:lang w:eastAsia="zh-CN"/>
        </w:rPr>
      </w:pPr>
      <w:r w:rsidRPr="0045430A">
        <w:rPr>
          <w:rFonts w:ascii="Book Antiqua" w:hAnsi="Book Antiqua"/>
          <w:b/>
          <w:sz w:val="24"/>
          <w:szCs w:val="24"/>
          <w:lang w:eastAsia="zh-CN"/>
        </w:rPr>
        <w:t xml:space="preserve">Geoffrey C Nguyen, MD, PhD, FRCPC, </w:t>
      </w:r>
      <w:r w:rsidRPr="0045430A">
        <w:rPr>
          <w:rFonts w:ascii="Book Antiqua" w:hAnsi="Book Antiqua"/>
          <w:b/>
          <w:i/>
          <w:sz w:val="24"/>
          <w:szCs w:val="24"/>
          <w:lang w:eastAsia="zh-CN"/>
        </w:rPr>
        <w:t>Series Ed</w:t>
      </w:r>
      <w:r>
        <w:rPr>
          <w:rFonts w:ascii="Book Antiqua" w:hAnsi="Book Antiqua"/>
          <w:b/>
          <w:i/>
          <w:sz w:val="24"/>
          <w:szCs w:val="24"/>
          <w:lang w:eastAsia="zh-CN"/>
        </w:rPr>
        <w:t>itor</w:t>
      </w:r>
    </w:p>
    <w:p w:rsidR="00CD552B" w:rsidRDefault="00CD552B" w:rsidP="002C72DA">
      <w:pPr>
        <w:spacing w:after="0" w:line="360" w:lineRule="auto"/>
        <w:jc w:val="both"/>
        <w:rPr>
          <w:rFonts w:ascii="Book Antiqua" w:hAnsi="Book Antiqua"/>
          <w:sz w:val="24"/>
          <w:szCs w:val="24"/>
          <w:lang w:eastAsia="zh-CN"/>
        </w:rPr>
      </w:pPr>
    </w:p>
    <w:p w:rsidR="00CD552B" w:rsidRPr="00B957FA" w:rsidRDefault="00CD552B" w:rsidP="002C72DA">
      <w:pPr>
        <w:spacing w:after="0" w:line="360" w:lineRule="auto"/>
        <w:jc w:val="both"/>
        <w:rPr>
          <w:rFonts w:ascii="Book Antiqua" w:hAnsi="Book Antiqua"/>
          <w:sz w:val="24"/>
          <w:szCs w:val="24"/>
          <w:lang w:eastAsia="zh-CN"/>
        </w:rPr>
      </w:pPr>
      <w:r w:rsidRPr="00B957FA">
        <w:rPr>
          <w:rFonts w:ascii="Book Antiqua" w:hAnsi="Book Antiqua"/>
          <w:sz w:val="24"/>
          <w:szCs w:val="24"/>
        </w:rPr>
        <w:t>Interventions and targets aimed at improving quality in inflammatory bowel disease ambulatory care</w:t>
      </w:r>
    </w:p>
    <w:p w:rsidR="00CD552B" w:rsidRPr="0045430A" w:rsidRDefault="00CD552B" w:rsidP="002C72DA">
      <w:pPr>
        <w:spacing w:after="0" w:line="360" w:lineRule="auto"/>
        <w:jc w:val="both"/>
        <w:rPr>
          <w:rFonts w:ascii="Book Antiqua" w:hAnsi="Book Antiqua"/>
          <w:sz w:val="24"/>
          <w:szCs w:val="24"/>
          <w:lang w:eastAsia="zh-CN"/>
        </w:rPr>
      </w:pPr>
    </w:p>
    <w:p w:rsidR="00CD552B" w:rsidRPr="0045430A" w:rsidRDefault="00CD552B" w:rsidP="002C72DA">
      <w:pPr>
        <w:spacing w:after="0" w:line="360" w:lineRule="auto"/>
        <w:jc w:val="both"/>
        <w:rPr>
          <w:rFonts w:ascii="Book Antiqua" w:eastAsia="Arial Unicode MS" w:hAnsi="Book Antiqua" w:cs="Arial Unicode MS"/>
          <w:sz w:val="24"/>
          <w:szCs w:val="24"/>
        </w:rPr>
      </w:pPr>
      <w:bookmarkStart w:id="3" w:name="OLE_LINK36"/>
      <w:bookmarkStart w:id="4" w:name="OLE_LINK37"/>
      <w:bookmarkStart w:id="5" w:name="OLE_LINK156"/>
      <w:bookmarkStart w:id="6" w:name="OLE_LINK48"/>
      <w:bookmarkStart w:id="7" w:name="OLE_LINK49"/>
      <w:proofErr w:type="spellStart"/>
      <w:r w:rsidRPr="0045430A">
        <w:rPr>
          <w:rFonts w:ascii="Book Antiqua" w:hAnsi="Book Antiqua"/>
          <w:sz w:val="24"/>
          <w:szCs w:val="24"/>
        </w:rPr>
        <w:t>Weizman</w:t>
      </w:r>
      <w:proofErr w:type="spellEnd"/>
      <w:r w:rsidRPr="0045430A">
        <w:rPr>
          <w:rFonts w:ascii="Book Antiqua" w:eastAsia="Arial Unicode MS" w:hAnsi="Book Antiqua" w:cs="Arial Unicode MS"/>
          <w:sz w:val="24"/>
          <w:szCs w:val="24"/>
        </w:rPr>
        <w:t xml:space="preserve"> </w:t>
      </w:r>
      <w:r w:rsidRPr="0045430A">
        <w:rPr>
          <w:rFonts w:ascii="Book Antiqua" w:eastAsia="Arial Unicode MS" w:hAnsi="Book Antiqua" w:cs="Arial Unicode MS"/>
          <w:sz w:val="24"/>
          <w:szCs w:val="24"/>
          <w:lang w:eastAsia="zh-CN"/>
        </w:rPr>
        <w:t xml:space="preserve">AV </w:t>
      </w:r>
      <w:r w:rsidRPr="0045430A">
        <w:rPr>
          <w:rFonts w:ascii="Book Antiqua" w:eastAsia="Arial Unicode MS" w:hAnsi="Book Antiqua" w:cs="Arial Unicode MS"/>
          <w:i/>
          <w:sz w:val="24"/>
          <w:szCs w:val="24"/>
          <w:lang w:eastAsia="zh-CN"/>
        </w:rPr>
        <w:t>et al.</w:t>
      </w:r>
      <w:r w:rsidRPr="0045430A">
        <w:rPr>
          <w:rFonts w:ascii="Book Antiqua" w:eastAsia="Arial Unicode MS" w:hAnsi="Book Antiqua" w:cs="Arial Unicode MS"/>
          <w:sz w:val="24"/>
          <w:szCs w:val="24"/>
          <w:lang w:eastAsia="zh-CN"/>
        </w:rPr>
        <w:t xml:space="preserve"> </w:t>
      </w:r>
      <w:r w:rsidRPr="0045430A">
        <w:rPr>
          <w:rFonts w:ascii="Book Antiqua" w:eastAsia="Arial Unicode MS" w:hAnsi="Book Antiqua" w:cs="Arial Unicode MS"/>
          <w:sz w:val="24"/>
          <w:szCs w:val="24"/>
        </w:rPr>
        <w:t>Quality of ambulatory IBD care</w:t>
      </w:r>
    </w:p>
    <w:bookmarkEnd w:id="3"/>
    <w:bookmarkEnd w:id="4"/>
    <w:bookmarkEnd w:id="5"/>
    <w:bookmarkEnd w:id="6"/>
    <w:bookmarkEnd w:id="7"/>
    <w:p w:rsidR="00CD552B" w:rsidRPr="002C72DA" w:rsidRDefault="00CD552B" w:rsidP="002C72DA">
      <w:pPr>
        <w:spacing w:after="0" w:line="360" w:lineRule="auto"/>
        <w:jc w:val="both"/>
        <w:rPr>
          <w:rFonts w:ascii="Book Antiqua" w:hAnsi="Book Antiqua"/>
          <w:sz w:val="24"/>
          <w:szCs w:val="24"/>
          <w:lang w:eastAsia="zh-CN"/>
        </w:rPr>
      </w:pPr>
    </w:p>
    <w:p w:rsidR="00CD552B" w:rsidRPr="00B957FA" w:rsidRDefault="00CD552B" w:rsidP="002C72DA">
      <w:pPr>
        <w:spacing w:after="0" w:line="360" w:lineRule="auto"/>
        <w:jc w:val="both"/>
        <w:rPr>
          <w:rFonts w:ascii="Book Antiqua" w:hAnsi="Book Antiqua"/>
          <w:sz w:val="24"/>
          <w:szCs w:val="24"/>
        </w:rPr>
      </w:pPr>
      <w:r w:rsidRPr="00B957FA">
        <w:rPr>
          <w:rFonts w:ascii="Book Antiqua" w:hAnsi="Book Antiqua"/>
          <w:sz w:val="24"/>
          <w:szCs w:val="24"/>
        </w:rPr>
        <w:t xml:space="preserve">Adam V </w:t>
      </w:r>
      <w:proofErr w:type="spellStart"/>
      <w:r w:rsidRPr="00B957FA">
        <w:rPr>
          <w:rFonts w:ascii="Book Antiqua" w:hAnsi="Book Antiqua"/>
          <w:sz w:val="24"/>
          <w:szCs w:val="24"/>
        </w:rPr>
        <w:t>Weizman</w:t>
      </w:r>
      <w:proofErr w:type="spellEnd"/>
      <w:r w:rsidRPr="00B957FA">
        <w:rPr>
          <w:rFonts w:ascii="Book Antiqua" w:hAnsi="Book Antiqua"/>
          <w:sz w:val="24"/>
          <w:szCs w:val="24"/>
          <w:lang w:eastAsia="zh-CN"/>
        </w:rPr>
        <w:t xml:space="preserve">, </w:t>
      </w:r>
      <w:r w:rsidRPr="00B957FA">
        <w:rPr>
          <w:rFonts w:ascii="Book Antiqua" w:hAnsi="Book Antiqua"/>
          <w:sz w:val="24"/>
          <w:szCs w:val="24"/>
        </w:rPr>
        <w:t>Geoffrey C Nguyen</w:t>
      </w:r>
    </w:p>
    <w:p w:rsidR="00CD552B" w:rsidRPr="002C72DA" w:rsidRDefault="00CD552B" w:rsidP="002C72DA">
      <w:pPr>
        <w:pStyle w:val="a3"/>
        <w:spacing w:after="0" w:line="360" w:lineRule="auto"/>
        <w:ind w:left="360"/>
        <w:jc w:val="both"/>
        <w:rPr>
          <w:rFonts w:ascii="Book Antiqua" w:hAnsi="Book Antiqua"/>
          <w:sz w:val="24"/>
          <w:szCs w:val="24"/>
        </w:rPr>
      </w:pPr>
    </w:p>
    <w:p w:rsidR="00CD552B" w:rsidRDefault="00CD552B" w:rsidP="007F1FA7">
      <w:pPr>
        <w:spacing w:after="0" w:line="360" w:lineRule="auto"/>
        <w:jc w:val="both"/>
        <w:rPr>
          <w:rFonts w:ascii="Book Antiqua" w:hAnsi="Book Antiqua"/>
          <w:sz w:val="24"/>
          <w:szCs w:val="24"/>
          <w:lang w:eastAsia="zh-CN"/>
        </w:rPr>
      </w:pPr>
      <w:r w:rsidRPr="007F1FA7">
        <w:rPr>
          <w:rFonts w:ascii="Book Antiqua" w:hAnsi="Book Antiqua"/>
          <w:b/>
          <w:sz w:val="24"/>
          <w:szCs w:val="24"/>
        </w:rPr>
        <w:t xml:space="preserve">Adam V </w:t>
      </w:r>
      <w:proofErr w:type="spellStart"/>
      <w:r w:rsidRPr="007F1FA7">
        <w:rPr>
          <w:rFonts w:ascii="Book Antiqua" w:hAnsi="Book Antiqua"/>
          <w:b/>
          <w:sz w:val="24"/>
          <w:szCs w:val="24"/>
        </w:rPr>
        <w:t>Weizman</w:t>
      </w:r>
      <w:proofErr w:type="spellEnd"/>
      <w:r w:rsidRPr="007F1FA7">
        <w:rPr>
          <w:rFonts w:ascii="Book Antiqua" w:hAnsi="Book Antiqua"/>
          <w:b/>
          <w:sz w:val="24"/>
          <w:szCs w:val="24"/>
        </w:rPr>
        <w:t xml:space="preserve">, </w:t>
      </w:r>
      <w:r w:rsidRPr="007F1FA7">
        <w:rPr>
          <w:rFonts w:ascii="Book Antiqua" w:hAnsi="Book Antiqua"/>
          <w:sz w:val="24"/>
          <w:szCs w:val="24"/>
        </w:rPr>
        <w:t xml:space="preserve">Division of Gastroenterology, Women’s </w:t>
      </w:r>
      <w:smartTag w:uri="urn:schemas-microsoft-com:office:smarttags" w:element="PlaceType">
        <w:r w:rsidRPr="007F1FA7">
          <w:rPr>
            <w:rFonts w:ascii="Book Antiqua" w:hAnsi="Book Antiqua"/>
            <w:sz w:val="24"/>
            <w:szCs w:val="24"/>
          </w:rPr>
          <w:t>College</w:t>
        </w:r>
      </w:smartTag>
      <w:r w:rsidRPr="007F1FA7">
        <w:rPr>
          <w:rFonts w:ascii="Book Antiqua" w:hAnsi="Book Antiqua"/>
          <w:sz w:val="24"/>
          <w:szCs w:val="24"/>
        </w:rPr>
        <w:t xml:space="preserve"> </w:t>
      </w:r>
      <w:smartTag w:uri="urn:schemas-microsoft-com:office:smarttags" w:element="PlaceType">
        <w:r w:rsidRPr="007F1FA7">
          <w:rPr>
            <w:rFonts w:ascii="Book Antiqua" w:hAnsi="Book Antiqua"/>
            <w:sz w:val="24"/>
            <w:szCs w:val="24"/>
          </w:rPr>
          <w:t>Hospital</w:t>
        </w:r>
      </w:smartTag>
      <w:r w:rsidRPr="007F1FA7">
        <w:rPr>
          <w:rFonts w:ascii="Book Antiqua" w:hAnsi="Book Antiqua"/>
          <w:sz w:val="24"/>
          <w:szCs w:val="24"/>
        </w:rPr>
        <w:t xml:space="preserve">, </w:t>
      </w:r>
      <w:smartTag w:uri="urn:schemas-microsoft-com:office:smarttags" w:element="PlaceType">
        <w:r w:rsidRPr="007F1FA7">
          <w:rPr>
            <w:rFonts w:ascii="Book Antiqua" w:hAnsi="Book Antiqua"/>
            <w:sz w:val="24"/>
            <w:szCs w:val="24"/>
          </w:rPr>
          <w:t>University</w:t>
        </w:r>
      </w:smartTag>
      <w:r w:rsidRPr="007F1FA7">
        <w:rPr>
          <w:rFonts w:ascii="Book Antiqua" w:hAnsi="Book Antiqua"/>
          <w:sz w:val="24"/>
          <w:szCs w:val="24"/>
        </w:rPr>
        <w:t xml:space="preserve"> of </w:t>
      </w:r>
      <w:smartTag w:uri="urn:schemas-microsoft-com:office:smarttags" w:element="PlaceName">
        <w:r w:rsidRPr="007F1FA7">
          <w:rPr>
            <w:rFonts w:ascii="Book Antiqua" w:hAnsi="Book Antiqua"/>
            <w:sz w:val="24"/>
            <w:szCs w:val="24"/>
          </w:rPr>
          <w:t>Toronto</w:t>
        </w:r>
      </w:smartTag>
      <w:r w:rsidRPr="007F1FA7">
        <w:rPr>
          <w:rFonts w:ascii="Book Antiqua" w:hAnsi="Book Antiqua"/>
          <w:sz w:val="24"/>
          <w:szCs w:val="24"/>
        </w:rPr>
        <w:t xml:space="preserve">, </w:t>
      </w:r>
      <w:smartTag w:uri="urn:schemas-microsoft-com:office:smarttags" w:element="City">
        <w:smartTag w:uri="urn:schemas-microsoft-com:office:smarttags" w:element="place">
          <w:r w:rsidRPr="007F1FA7">
            <w:rPr>
              <w:rFonts w:ascii="Book Antiqua" w:hAnsi="Book Antiqua"/>
              <w:sz w:val="24"/>
              <w:szCs w:val="24"/>
            </w:rPr>
            <w:t>Toronto</w:t>
          </w:r>
        </w:smartTag>
        <w:r w:rsidRPr="007F1FA7">
          <w:rPr>
            <w:rFonts w:ascii="Book Antiqua" w:hAnsi="Book Antiqua"/>
            <w:sz w:val="24"/>
            <w:szCs w:val="24"/>
          </w:rPr>
          <w:t xml:space="preserve">, </w:t>
        </w:r>
        <w:smartTag w:uri="urn:schemas-microsoft-com:office:smarttags" w:element="State">
          <w:r w:rsidRPr="007F1FA7">
            <w:rPr>
              <w:rFonts w:ascii="Book Antiqua" w:hAnsi="Book Antiqua"/>
              <w:sz w:val="24"/>
              <w:szCs w:val="24"/>
            </w:rPr>
            <w:t>O</w:t>
          </w:r>
          <w:r>
            <w:rPr>
              <w:rFonts w:ascii="Book Antiqua" w:hAnsi="Book Antiqua"/>
              <w:sz w:val="24"/>
              <w:szCs w:val="24"/>
              <w:lang w:eastAsia="zh-CN"/>
            </w:rPr>
            <w:t>N</w:t>
          </w:r>
        </w:smartTag>
        <w:r>
          <w:rPr>
            <w:rFonts w:ascii="Book Antiqua" w:hAnsi="Book Antiqua"/>
            <w:sz w:val="24"/>
            <w:szCs w:val="24"/>
            <w:lang w:eastAsia="zh-CN"/>
          </w:rPr>
          <w:t xml:space="preserve"> </w:t>
        </w:r>
        <w:smartTag w:uri="urn:schemas-microsoft-com:office:smarttags" w:element="PostalCode">
          <w:r w:rsidRPr="007F1FA7">
            <w:rPr>
              <w:rFonts w:ascii="Book Antiqua" w:hAnsi="Book Antiqua"/>
              <w:sz w:val="24"/>
              <w:szCs w:val="24"/>
            </w:rPr>
            <w:t>M5S 1B2</w:t>
          </w:r>
        </w:smartTag>
        <w:r w:rsidRPr="007F1FA7">
          <w:rPr>
            <w:rFonts w:ascii="Book Antiqua" w:hAnsi="Book Antiqua"/>
            <w:sz w:val="24"/>
            <w:szCs w:val="24"/>
          </w:rPr>
          <w:t xml:space="preserve">, </w:t>
        </w:r>
        <w:smartTag w:uri="urn:schemas-microsoft-com:office:smarttags" w:element="country-region">
          <w:r w:rsidRPr="007F1FA7">
            <w:rPr>
              <w:rFonts w:ascii="Book Antiqua" w:hAnsi="Book Antiqua"/>
              <w:sz w:val="24"/>
              <w:szCs w:val="24"/>
            </w:rPr>
            <w:t>Canada</w:t>
          </w:r>
        </w:smartTag>
      </w:smartTag>
      <w:r w:rsidRPr="007F1FA7">
        <w:rPr>
          <w:rFonts w:ascii="Book Antiqua" w:hAnsi="Book Antiqua"/>
          <w:sz w:val="24"/>
          <w:szCs w:val="24"/>
        </w:rPr>
        <w:t xml:space="preserve"> </w:t>
      </w:r>
    </w:p>
    <w:p w:rsidR="00CD552B" w:rsidRPr="007F1FA7" w:rsidRDefault="00CD552B" w:rsidP="007F1FA7">
      <w:pPr>
        <w:spacing w:after="0" w:line="360" w:lineRule="auto"/>
        <w:jc w:val="both"/>
        <w:rPr>
          <w:rFonts w:ascii="Book Antiqua" w:hAnsi="Book Antiqua"/>
          <w:sz w:val="24"/>
          <w:szCs w:val="24"/>
          <w:lang w:eastAsia="zh-CN"/>
        </w:rPr>
      </w:pPr>
    </w:p>
    <w:p w:rsidR="00CD552B" w:rsidRDefault="00CD552B" w:rsidP="007F1FA7">
      <w:pPr>
        <w:spacing w:after="0" w:line="360" w:lineRule="auto"/>
        <w:jc w:val="both"/>
        <w:rPr>
          <w:rFonts w:ascii="Book Antiqua" w:hAnsi="Book Antiqua"/>
          <w:sz w:val="24"/>
          <w:szCs w:val="24"/>
          <w:lang w:eastAsia="zh-CN"/>
        </w:rPr>
      </w:pPr>
      <w:r w:rsidRPr="007F1FA7">
        <w:rPr>
          <w:rFonts w:ascii="Book Antiqua" w:hAnsi="Book Antiqua"/>
          <w:b/>
          <w:sz w:val="24"/>
          <w:szCs w:val="24"/>
        </w:rPr>
        <w:t xml:space="preserve">Geoffrey C Nguyen, </w:t>
      </w:r>
      <w:smartTag w:uri="urn:schemas-microsoft-com:office:smarttags" w:element="PlaceName">
        <w:r w:rsidRPr="007F1FA7">
          <w:rPr>
            <w:rFonts w:ascii="Book Antiqua" w:hAnsi="Book Antiqua"/>
            <w:sz w:val="24"/>
            <w:szCs w:val="24"/>
          </w:rPr>
          <w:t>Mount Sinai</w:t>
        </w:r>
      </w:smartTag>
      <w:r w:rsidRPr="007F1FA7">
        <w:rPr>
          <w:rFonts w:ascii="Book Antiqua" w:hAnsi="Book Antiqua"/>
          <w:sz w:val="24"/>
          <w:szCs w:val="24"/>
        </w:rPr>
        <w:t xml:space="preserve"> </w:t>
      </w:r>
      <w:smartTag w:uri="urn:schemas-microsoft-com:office:smarttags" w:element="PlaceType">
        <w:r w:rsidRPr="007F1FA7">
          <w:rPr>
            <w:rFonts w:ascii="Book Antiqua" w:hAnsi="Book Antiqua"/>
            <w:sz w:val="24"/>
            <w:szCs w:val="24"/>
          </w:rPr>
          <w:t>Hospital</w:t>
        </w:r>
      </w:smartTag>
      <w:r w:rsidRPr="007F1FA7">
        <w:rPr>
          <w:rFonts w:ascii="Book Antiqua" w:hAnsi="Book Antiqua"/>
          <w:sz w:val="24"/>
          <w:szCs w:val="24"/>
        </w:rPr>
        <w:t xml:space="preserve"> Centre for Inflammatory Bowel Disease, </w:t>
      </w:r>
      <w:smartTag w:uri="urn:schemas-microsoft-com:office:smarttags" w:element="PlaceType">
        <w:r w:rsidRPr="007F1FA7">
          <w:rPr>
            <w:rFonts w:ascii="Book Antiqua" w:hAnsi="Book Antiqua"/>
            <w:sz w:val="24"/>
            <w:szCs w:val="24"/>
          </w:rPr>
          <w:t>University</w:t>
        </w:r>
      </w:smartTag>
      <w:r w:rsidRPr="007F1FA7">
        <w:rPr>
          <w:rFonts w:ascii="Book Antiqua" w:hAnsi="Book Antiqua"/>
          <w:sz w:val="24"/>
          <w:szCs w:val="24"/>
        </w:rPr>
        <w:t xml:space="preserve"> of </w:t>
      </w:r>
      <w:smartTag w:uri="urn:schemas-microsoft-com:office:smarttags" w:element="PlaceName">
        <w:r w:rsidRPr="007F1FA7">
          <w:rPr>
            <w:rFonts w:ascii="Book Antiqua" w:hAnsi="Book Antiqua"/>
            <w:sz w:val="24"/>
            <w:szCs w:val="24"/>
          </w:rPr>
          <w:t>Toronto</w:t>
        </w:r>
      </w:smartTag>
      <w:r w:rsidRPr="007F1FA7">
        <w:rPr>
          <w:rFonts w:ascii="Book Antiqua" w:hAnsi="Book Antiqua"/>
          <w:sz w:val="24"/>
          <w:szCs w:val="24"/>
        </w:rPr>
        <w:t xml:space="preserve">, </w:t>
      </w:r>
      <w:smartTag w:uri="urn:schemas-microsoft-com:office:smarttags" w:element="place">
        <w:smartTag w:uri="urn:schemas-microsoft-com:office:smarttags" w:element="City">
          <w:r w:rsidRPr="007F1FA7">
            <w:rPr>
              <w:rFonts w:ascii="Book Antiqua" w:hAnsi="Book Antiqua"/>
              <w:sz w:val="24"/>
              <w:szCs w:val="24"/>
            </w:rPr>
            <w:t>Toronto</w:t>
          </w:r>
        </w:smartTag>
        <w:r w:rsidRPr="007F1FA7">
          <w:rPr>
            <w:rFonts w:ascii="Book Antiqua" w:hAnsi="Book Antiqua"/>
            <w:sz w:val="24"/>
            <w:szCs w:val="24"/>
          </w:rPr>
          <w:t xml:space="preserve">, </w:t>
        </w:r>
        <w:smartTag w:uri="urn:schemas-microsoft-com:office:smarttags" w:element="State">
          <w:r w:rsidRPr="007F1FA7">
            <w:rPr>
              <w:rFonts w:ascii="Book Antiqua" w:hAnsi="Book Antiqua"/>
              <w:sz w:val="24"/>
              <w:szCs w:val="24"/>
            </w:rPr>
            <w:t>O</w:t>
          </w:r>
          <w:r>
            <w:rPr>
              <w:rFonts w:ascii="Book Antiqua" w:hAnsi="Book Antiqua"/>
              <w:sz w:val="24"/>
              <w:szCs w:val="24"/>
              <w:lang w:eastAsia="zh-CN"/>
            </w:rPr>
            <w:t>N</w:t>
          </w:r>
        </w:smartTag>
        <w:r>
          <w:rPr>
            <w:rFonts w:ascii="Book Antiqua" w:hAnsi="Book Antiqua"/>
            <w:sz w:val="24"/>
            <w:szCs w:val="24"/>
            <w:lang w:eastAsia="zh-CN"/>
          </w:rPr>
          <w:t xml:space="preserve"> </w:t>
        </w:r>
        <w:smartTag w:uri="urn:schemas-microsoft-com:office:smarttags" w:element="PostalCode">
          <w:r w:rsidRPr="007F1FA7">
            <w:rPr>
              <w:rFonts w:ascii="Book Antiqua" w:hAnsi="Book Antiqua"/>
              <w:sz w:val="24"/>
              <w:szCs w:val="24"/>
            </w:rPr>
            <w:t>M</w:t>
          </w:r>
          <w:smartTag w:uri="urn:schemas-microsoft-com:office:smarttags" w:element="chmetcnv">
            <w:smartTagPr>
              <w:attr w:name="UnitName" w:val="g"/>
              <w:attr w:name="SourceValue" w:val="5"/>
              <w:attr w:name="HasSpace" w:val="False"/>
              <w:attr w:name="Negative" w:val="False"/>
              <w:attr w:name="NumberType" w:val="1"/>
              <w:attr w:name="TCSC" w:val="0"/>
            </w:smartTagPr>
            <w:r w:rsidRPr="007F1FA7">
              <w:rPr>
                <w:rFonts w:ascii="Book Antiqua" w:hAnsi="Book Antiqua"/>
                <w:sz w:val="24"/>
                <w:szCs w:val="24"/>
              </w:rPr>
              <w:t>5G</w:t>
            </w:r>
          </w:smartTag>
          <w:r w:rsidRPr="007F1FA7">
            <w:rPr>
              <w:rFonts w:ascii="Book Antiqua" w:hAnsi="Book Antiqua"/>
              <w:sz w:val="24"/>
              <w:szCs w:val="24"/>
            </w:rPr>
            <w:t xml:space="preserve"> 1X5</w:t>
          </w:r>
        </w:smartTag>
        <w:r w:rsidRPr="007F1FA7">
          <w:rPr>
            <w:rFonts w:ascii="Book Antiqua" w:hAnsi="Book Antiqua"/>
            <w:sz w:val="24"/>
            <w:szCs w:val="24"/>
          </w:rPr>
          <w:t xml:space="preserve">, </w:t>
        </w:r>
        <w:smartTag w:uri="urn:schemas-microsoft-com:office:smarttags" w:element="country-region">
          <w:r w:rsidRPr="007F1FA7">
            <w:rPr>
              <w:rFonts w:ascii="Book Antiqua" w:hAnsi="Book Antiqua"/>
              <w:sz w:val="24"/>
              <w:szCs w:val="24"/>
            </w:rPr>
            <w:t>Canada</w:t>
          </w:r>
        </w:smartTag>
      </w:smartTag>
      <w:r w:rsidRPr="007F1FA7">
        <w:rPr>
          <w:rFonts w:ascii="Book Antiqua" w:hAnsi="Book Antiqua"/>
          <w:sz w:val="24"/>
          <w:szCs w:val="24"/>
        </w:rPr>
        <w:t xml:space="preserve"> </w:t>
      </w:r>
    </w:p>
    <w:p w:rsidR="00CD552B" w:rsidRPr="007F1FA7" w:rsidRDefault="00CD552B" w:rsidP="007F1FA7">
      <w:pPr>
        <w:spacing w:after="0" w:line="360" w:lineRule="auto"/>
        <w:jc w:val="both"/>
        <w:rPr>
          <w:rFonts w:ascii="Book Antiqua" w:hAnsi="Book Antiqua"/>
          <w:sz w:val="24"/>
          <w:szCs w:val="24"/>
          <w:lang w:eastAsia="zh-CN"/>
        </w:rPr>
      </w:pPr>
    </w:p>
    <w:p w:rsidR="00CD552B" w:rsidRPr="007F1FA7" w:rsidRDefault="00CD552B" w:rsidP="007F1FA7">
      <w:pPr>
        <w:spacing w:after="0" w:line="360" w:lineRule="auto"/>
        <w:jc w:val="both"/>
        <w:rPr>
          <w:rFonts w:ascii="Book Antiqua" w:hAnsi="Book Antiqua"/>
          <w:sz w:val="24"/>
          <w:szCs w:val="24"/>
        </w:rPr>
      </w:pPr>
      <w:r w:rsidRPr="007F1FA7">
        <w:rPr>
          <w:rFonts w:ascii="Book Antiqua" w:hAnsi="Book Antiqua"/>
          <w:b/>
          <w:sz w:val="24"/>
          <w:szCs w:val="24"/>
        </w:rPr>
        <w:t>Geoffrey C Nguyen,</w:t>
      </w:r>
      <w:r w:rsidRPr="007F1FA7">
        <w:rPr>
          <w:rFonts w:ascii="Book Antiqua" w:hAnsi="Book Antiqua"/>
          <w:b/>
          <w:sz w:val="24"/>
          <w:szCs w:val="24"/>
          <w:lang w:eastAsia="zh-CN"/>
        </w:rPr>
        <w:t xml:space="preserve"> </w:t>
      </w:r>
      <w:r w:rsidRPr="007F1FA7">
        <w:rPr>
          <w:rFonts w:ascii="Book Antiqua" w:hAnsi="Book Antiqua"/>
          <w:sz w:val="24"/>
          <w:szCs w:val="24"/>
        </w:rPr>
        <w:t xml:space="preserve">Division of Gastroenterology and </w:t>
      </w:r>
      <w:proofErr w:type="spellStart"/>
      <w:r w:rsidRPr="007F1FA7">
        <w:rPr>
          <w:rFonts w:ascii="Book Antiqua" w:hAnsi="Book Antiqua"/>
          <w:sz w:val="24"/>
          <w:szCs w:val="24"/>
        </w:rPr>
        <w:t>Hepatology</w:t>
      </w:r>
      <w:proofErr w:type="spellEnd"/>
      <w:r w:rsidRPr="007F1FA7">
        <w:rPr>
          <w:rFonts w:ascii="Book Antiqua" w:hAnsi="Book Antiqua"/>
          <w:sz w:val="24"/>
          <w:szCs w:val="24"/>
        </w:rPr>
        <w:t>, Johns Hopkins School of Medicine, Baltimore, M</w:t>
      </w:r>
      <w:r>
        <w:rPr>
          <w:rFonts w:ascii="Book Antiqua" w:hAnsi="Book Antiqua"/>
          <w:sz w:val="24"/>
          <w:szCs w:val="24"/>
          <w:lang w:eastAsia="zh-CN"/>
        </w:rPr>
        <w:t xml:space="preserve">D </w:t>
      </w:r>
      <w:r w:rsidRPr="007F1FA7">
        <w:rPr>
          <w:rFonts w:ascii="Book Antiqua" w:hAnsi="Book Antiqua"/>
          <w:sz w:val="24"/>
          <w:szCs w:val="24"/>
          <w:lang w:eastAsia="zh-CN"/>
        </w:rPr>
        <w:t>21205</w:t>
      </w:r>
      <w:r w:rsidRPr="007F1FA7">
        <w:rPr>
          <w:rFonts w:ascii="Book Antiqua" w:hAnsi="Book Antiqua"/>
          <w:sz w:val="24"/>
          <w:szCs w:val="24"/>
        </w:rPr>
        <w:t>, United States</w:t>
      </w:r>
    </w:p>
    <w:p w:rsidR="00CD552B" w:rsidRPr="002C72DA" w:rsidRDefault="00CD552B" w:rsidP="002C72DA">
      <w:pPr>
        <w:spacing w:after="0" w:line="360" w:lineRule="auto"/>
        <w:jc w:val="both"/>
        <w:rPr>
          <w:rFonts w:ascii="Book Antiqua" w:hAnsi="Book Antiqua"/>
          <w:sz w:val="24"/>
          <w:szCs w:val="24"/>
        </w:rPr>
      </w:pPr>
    </w:p>
    <w:p w:rsidR="00CD552B" w:rsidRPr="002C72DA" w:rsidRDefault="00CD552B" w:rsidP="002C72DA">
      <w:pPr>
        <w:spacing w:after="0" w:line="360" w:lineRule="auto"/>
        <w:jc w:val="both"/>
        <w:rPr>
          <w:rFonts w:ascii="Book Antiqua" w:hAnsi="Book Antiqua"/>
          <w:sz w:val="24"/>
          <w:szCs w:val="24"/>
          <w:lang w:eastAsia="zh-CN"/>
        </w:rPr>
      </w:pPr>
      <w:r w:rsidRPr="002C72DA">
        <w:rPr>
          <w:rFonts w:ascii="Book Antiqua" w:hAnsi="Book Antiqua"/>
          <w:b/>
          <w:sz w:val="24"/>
          <w:szCs w:val="24"/>
        </w:rPr>
        <w:t>Author contributions</w:t>
      </w:r>
      <w:r w:rsidRPr="002C72DA">
        <w:rPr>
          <w:rFonts w:ascii="Book Antiqua" w:hAnsi="Book Antiqua"/>
          <w:sz w:val="24"/>
          <w:szCs w:val="24"/>
        </w:rPr>
        <w:t>: Both authors contributed to the conception of the article, review of the literature, drafting and review of the manuscript, and approval of the final version.</w:t>
      </w:r>
      <w:r>
        <w:rPr>
          <w:rFonts w:ascii="Book Antiqua" w:hAnsi="Book Antiqua"/>
          <w:sz w:val="24"/>
          <w:szCs w:val="24"/>
        </w:rPr>
        <w:t xml:space="preserve"> </w:t>
      </w:r>
    </w:p>
    <w:p w:rsidR="00CD552B" w:rsidRPr="002C72DA" w:rsidRDefault="00CD552B" w:rsidP="002C72DA">
      <w:pPr>
        <w:spacing w:after="0" w:line="360" w:lineRule="auto"/>
        <w:contextualSpacing/>
        <w:jc w:val="both"/>
        <w:rPr>
          <w:rFonts w:ascii="Book Antiqua" w:hAnsi="Book Antiqua"/>
          <w:b/>
          <w:sz w:val="24"/>
          <w:szCs w:val="24"/>
        </w:rPr>
      </w:pPr>
    </w:p>
    <w:p w:rsidR="00CD552B" w:rsidRPr="002C72DA" w:rsidRDefault="00CD552B" w:rsidP="002C72DA">
      <w:pPr>
        <w:spacing w:after="0" w:line="360" w:lineRule="auto"/>
        <w:contextualSpacing/>
        <w:jc w:val="both"/>
        <w:rPr>
          <w:rFonts w:ascii="Book Antiqua" w:hAnsi="Book Antiqua"/>
          <w:b/>
          <w:sz w:val="24"/>
          <w:szCs w:val="24"/>
          <w:lang w:eastAsia="zh-CN"/>
        </w:rPr>
      </w:pPr>
      <w:r w:rsidRPr="002C72DA">
        <w:rPr>
          <w:rFonts w:ascii="Book Antiqua" w:hAnsi="Book Antiqua"/>
          <w:b/>
          <w:sz w:val="24"/>
          <w:szCs w:val="24"/>
        </w:rPr>
        <w:t>Correspondence to:</w:t>
      </w:r>
      <w:r w:rsidRPr="007F1FA7">
        <w:rPr>
          <w:rFonts w:ascii="Book Antiqua" w:hAnsi="Book Antiqua"/>
          <w:b/>
          <w:sz w:val="24"/>
          <w:szCs w:val="24"/>
        </w:rPr>
        <w:t xml:space="preserve"> Adam V </w:t>
      </w:r>
      <w:proofErr w:type="spellStart"/>
      <w:r w:rsidRPr="007F1FA7">
        <w:rPr>
          <w:rFonts w:ascii="Book Antiqua" w:hAnsi="Book Antiqua"/>
          <w:b/>
          <w:sz w:val="24"/>
          <w:szCs w:val="24"/>
        </w:rPr>
        <w:t>Weizman</w:t>
      </w:r>
      <w:proofErr w:type="spellEnd"/>
      <w:r w:rsidRPr="007F1FA7">
        <w:rPr>
          <w:rFonts w:ascii="Book Antiqua" w:hAnsi="Book Antiqua"/>
          <w:b/>
          <w:sz w:val="24"/>
          <w:szCs w:val="24"/>
        </w:rPr>
        <w:t>, MD,</w:t>
      </w:r>
      <w:r w:rsidRPr="007F1FA7">
        <w:rPr>
          <w:rFonts w:ascii="Book Antiqua" w:hAnsi="Book Antiqua"/>
          <w:sz w:val="24"/>
          <w:szCs w:val="24"/>
        </w:rPr>
        <w:t xml:space="preserve"> Division of Gastroenterology,</w:t>
      </w:r>
      <w:r>
        <w:rPr>
          <w:rFonts w:ascii="Book Antiqua" w:hAnsi="Book Antiqua"/>
          <w:sz w:val="24"/>
          <w:szCs w:val="24"/>
          <w:lang w:eastAsia="zh-CN"/>
        </w:rPr>
        <w:t xml:space="preserve"> </w:t>
      </w:r>
      <w:r w:rsidRPr="002C72DA">
        <w:rPr>
          <w:rFonts w:ascii="Book Antiqua" w:hAnsi="Book Antiqua"/>
          <w:sz w:val="24"/>
          <w:szCs w:val="24"/>
        </w:rPr>
        <w:t>Women’s College Hospital, Division of Gastroenterology, 76 Grenville St, 4</w:t>
      </w:r>
      <w:r w:rsidRPr="002C72DA">
        <w:rPr>
          <w:rFonts w:ascii="Book Antiqua" w:hAnsi="Book Antiqua"/>
          <w:sz w:val="24"/>
          <w:szCs w:val="24"/>
          <w:vertAlign w:val="superscript"/>
        </w:rPr>
        <w:t>th</w:t>
      </w:r>
      <w:r w:rsidRPr="002C72DA">
        <w:rPr>
          <w:rFonts w:ascii="Book Antiqua" w:hAnsi="Book Antiqua"/>
          <w:sz w:val="24"/>
          <w:szCs w:val="24"/>
        </w:rPr>
        <w:t xml:space="preserve"> Floor, </w:t>
      </w:r>
      <w:r w:rsidRPr="007F1FA7">
        <w:rPr>
          <w:rFonts w:ascii="Book Antiqua" w:hAnsi="Book Antiqua"/>
          <w:sz w:val="24"/>
          <w:szCs w:val="24"/>
        </w:rPr>
        <w:t>Toronto, O</w:t>
      </w:r>
      <w:r>
        <w:rPr>
          <w:rFonts w:ascii="Book Antiqua" w:hAnsi="Book Antiqua"/>
          <w:sz w:val="24"/>
          <w:szCs w:val="24"/>
          <w:lang w:eastAsia="zh-CN"/>
        </w:rPr>
        <w:t xml:space="preserve">N </w:t>
      </w:r>
      <w:r w:rsidRPr="007F1FA7">
        <w:rPr>
          <w:rFonts w:ascii="Book Antiqua" w:hAnsi="Book Antiqua"/>
          <w:sz w:val="24"/>
          <w:szCs w:val="24"/>
        </w:rPr>
        <w:t>M5S 1B2, Canada</w:t>
      </w:r>
      <w:r>
        <w:rPr>
          <w:rFonts w:ascii="Book Antiqua" w:hAnsi="Book Antiqua"/>
          <w:sz w:val="24"/>
          <w:szCs w:val="24"/>
          <w:lang w:eastAsia="zh-CN"/>
        </w:rPr>
        <w:t xml:space="preserve">. </w:t>
      </w:r>
      <w:r w:rsidRPr="002C72DA">
        <w:rPr>
          <w:rFonts w:ascii="Book Antiqua" w:hAnsi="Book Antiqua"/>
          <w:sz w:val="24"/>
          <w:szCs w:val="24"/>
        </w:rPr>
        <w:t>adam.weizman@wchospital.ca</w:t>
      </w:r>
    </w:p>
    <w:p w:rsidR="00CD552B" w:rsidRPr="002C72DA" w:rsidRDefault="00CD552B" w:rsidP="002C72DA">
      <w:pPr>
        <w:spacing w:after="0" w:line="360" w:lineRule="auto"/>
        <w:contextualSpacing/>
        <w:jc w:val="both"/>
        <w:rPr>
          <w:rFonts w:ascii="Book Antiqua" w:hAnsi="Book Antiqua"/>
          <w:sz w:val="24"/>
          <w:szCs w:val="24"/>
        </w:rPr>
      </w:pPr>
      <w:r w:rsidRPr="002C72DA">
        <w:rPr>
          <w:rFonts w:ascii="Book Antiqua" w:hAnsi="Book Antiqua"/>
          <w:b/>
          <w:sz w:val="24"/>
          <w:szCs w:val="24"/>
        </w:rPr>
        <w:lastRenderedPageBreak/>
        <w:t>Telephone:</w:t>
      </w:r>
      <w:r>
        <w:rPr>
          <w:rFonts w:ascii="Book Antiqua" w:hAnsi="Book Antiqua"/>
          <w:sz w:val="24"/>
          <w:szCs w:val="24"/>
        </w:rPr>
        <w:t xml:space="preserve"> +1-416-323</w:t>
      </w:r>
      <w:r w:rsidRPr="002C72DA">
        <w:rPr>
          <w:rFonts w:ascii="Book Antiqua" w:hAnsi="Book Antiqua"/>
          <w:sz w:val="24"/>
          <w:szCs w:val="24"/>
        </w:rPr>
        <w:t>7543</w:t>
      </w:r>
      <w:r>
        <w:rPr>
          <w:rFonts w:ascii="Book Antiqua" w:hAnsi="Book Antiqua"/>
          <w:sz w:val="24"/>
          <w:szCs w:val="24"/>
          <w:lang w:eastAsia="zh-CN"/>
        </w:rPr>
        <w:t xml:space="preserve">     </w:t>
      </w:r>
      <w:r>
        <w:rPr>
          <w:rFonts w:ascii="Book Antiqua" w:hAnsi="Book Antiqua"/>
          <w:sz w:val="24"/>
          <w:szCs w:val="24"/>
        </w:rPr>
        <w:t xml:space="preserve"> </w:t>
      </w:r>
      <w:r w:rsidRPr="002C72DA">
        <w:rPr>
          <w:rFonts w:ascii="Book Antiqua" w:hAnsi="Book Antiqua"/>
          <w:b/>
          <w:sz w:val="24"/>
          <w:szCs w:val="24"/>
        </w:rPr>
        <w:t>Fax</w:t>
      </w:r>
      <w:r>
        <w:rPr>
          <w:rFonts w:ascii="Book Antiqua" w:hAnsi="Book Antiqua"/>
          <w:sz w:val="24"/>
          <w:szCs w:val="24"/>
        </w:rPr>
        <w:t>: +1-416-323</w:t>
      </w:r>
      <w:r w:rsidRPr="002C72DA">
        <w:rPr>
          <w:rFonts w:ascii="Book Antiqua" w:hAnsi="Book Antiqua"/>
          <w:sz w:val="24"/>
          <w:szCs w:val="24"/>
        </w:rPr>
        <w:t>7549</w:t>
      </w:r>
    </w:p>
    <w:p w:rsidR="00CD552B" w:rsidRDefault="00CD552B" w:rsidP="006236FA">
      <w:pPr>
        <w:spacing w:after="0" w:line="360" w:lineRule="auto"/>
        <w:jc w:val="both"/>
        <w:rPr>
          <w:rFonts w:ascii="Book Antiqua" w:hAnsi="Book Antiqua"/>
          <w:sz w:val="24"/>
          <w:szCs w:val="24"/>
          <w:lang w:eastAsia="zh-CN"/>
        </w:rPr>
      </w:pPr>
    </w:p>
    <w:p w:rsidR="00CD552B" w:rsidRDefault="00CD552B" w:rsidP="006236FA">
      <w:pPr>
        <w:spacing w:line="360" w:lineRule="auto"/>
        <w:rPr>
          <w:rFonts w:ascii="Book Antiqua" w:hAnsi="Book Antiqua"/>
          <w:b/>
          <w:color w:val="000000"/>
          <w:sz w:val="24"/>
          <w:lang w:eastAsia="zh-CN"/>
        </w:rPr>
      </w:pPr>
      <w:r w:rsidRPr="005C6A5F">
        <w:rPr>
          <w:rFonts w:ascii="Book Antiqua" w:hAnsi="Book Antiqua"/>
          <w:b/>
          <w:color w:val="000000"/>
          <w:sz w:val="24"/>
        </w:rPr>
        <w:t>Received:</w:t>
      </w:r>
      <w:r>
        <w:rPr>
          <w:rFonts w:ascii="Book Antiqua" w:hAnsi="Book Antiqua"/>
          <w:b/>
          <w:color w:val="000000"/>
          <w:sz w:val="24"/>
        </w:rPr>
        <w:t xml:space="preserve"> </w:t>
      </w:r>
      <w:bookmarkStart w:id="8" w:name="OLE_LINK4"/>
      <w:bookmarkStart w:id="9" w:name="OLE_LINK5"/>
      <w:r w:rsidRPr="00421E83">
        <w:rPr>
          <w:rFonts w:ascii="Book Antiqua" w:hAnsi="Book Antiqua"/>
          <w:sz w:val="24"/>
          <w:szCs w:val="24"/>
        </w:rPr>
        <w:t>June</w:t>
      </w:r>
      <w:bookmarkEnd w:id="8"/>
      <w:bookmarkEnd w:id="9"/>
      <w:r>
        <w:rPr>
          <w:rFonts w:ascii="Book Antiqua" w:hAnsi="Book Antiqua"/>
          <w:sz w:val="24"/>
          <w:szCs w:val="24"/>
          <w:lang w:eastAsia="zh-CN"/>
        </w:rPr>
        <w:t xml:space="preserve"> 27, 2013            </w:t>
      </w:r>
      <w:r>
        <w:rPr>
          <w:rFonts w:ascii="Book Antiqua" w:hAnsi="Book Antiqua"/>
          <w:b/>
          <w:color w:val="000000"/>
          <w:sz w:val="24"/>
        </w:rPr>
        <w:t xml:space="preserve"> </w:t>
      </w:r>
      <w:r>
        <w:rPr>
          <w:rFonts w:ascii="Book Antiqua" w:hAnsi="Book Antiqua"/>
          <w:color w:val="000000"/>
          <w:sz w:val="24"/>
        </w:rPr>
        <w:t xml:space="preserve"> </w:t>
      </w:r>
      <w:r w:rsidRPr="005C6A5F">
        <w:rPr>
          <w:rFonts w:ascii="Book Antiqua" w:hAnsi="Book Antiqua"/>
          <w:b/>
          <w:color w:val="000000"/>
          <w:sz w:val="24"/>
        </w:rPr>
        <w:t xml:space="preserve">Revised: </w:t>
      </w:r>
      <w:r w:rsidRPr="00421E83">
        <w:rPr>
          <w:rFonts w:ascii="Book Antiqua" w:hAnsi="Book Antiqua"/>
          <w:sz w:val="24"/>
          <w:szCs w:val="24"/>
        </w:rPr>
        <w:t>August</w:t>
      </w:r>
      <w:r>
        <w:rPr>
          <w:rFonts w:ascii="Book Antiqua" w:hAnsi="Book Antiqua"/>
          <w:sz w:val="24"/>
          <w:szCs w:val="24"/>
          <w:lang w:eastAsia="zh-CN"/>
        </w:rPr>
        <w:t xml:space="preserve"> 15, 2013</w:t>
      </w:r>
    </w:p>
    <w:p w:rsidR="00EA07F5" w:rsidRPr="00B94358" w:rsidRDefault="00CD552B" w:rsidP="00EA07F5">
      <w:pPr>
        <w:rPr>
          <w:rFonts w:ascii="Book Antiqua" w:hAnsi="Book Antiqua"/>
          <w:sz w:val="24"/>
          <w:szCs w:val="24"/>
        </w:rPr>
      </w:pPr>
      <w:r w:rsidRPr="005C6A5F">
        <w:rPr>
          <w:rFonts w:ascii="Book Antiqua" w:hAnsi="Book Antiqua"/>
          <w:b/>
          <w:color w:val="000000"/>
          <w:sz w:val="24"/>
        </w:rPr>
        <w:t xml:space="preserve">Accepted: </w:t>
      </w:r>
      <w:r w:rsidR="00EA07F5" w:rsidRPr="00B94358">
        <w:rPr>
          <w:rFonts w:ascii="Book Antiqua" w:hAnsi="Book Antiqua"/>
          <w:sz w:val="24"/>
          <w:szCs w:val="24"/>
        </w:rPr>
        <w:t>August 20, 2013</w:t>
      </w:r>
    </w:p>
    <w:p w:rsidR="00CD552B" w:rsidRPr="003408E1" w:rsidRDefault="00CD552B" w:rsidP="006236FA">
      <w:pPr>
        <w:spacing w:line="360" w:lineRule="auto"/>
        <w:rPr>
          <w:rFonts w:ascii="Book Antiqua" w:hAnsi="Book Antiqua"/>
          <w:b/>
          <w:color w:val="000000"/>
          <w:sz w:val="24"/>
        </w:rPr>
      </w:pPr>
      <w:bookmarkStart w:id="10" w:name="_GoBack"/>
      <w:bookmarkEnd w:id="10"/>
    </w:p>
    <w:p w:rsidR="00CD552B" w:rsidRPr="005C6A5F" w:rsidRDefault="00CD552B" w:rsidP="006236FA">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CD552B" w:rsidRPr="006236FA" w:rsidRDefault="00CD552B" w:rsidP="006236F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Default="00CD552B" w:rsidP="002C72DA">
      <w:pPr>
        <w:spacing w:after="0" w:line="360" w:lineRule="auto"/>
        <w:jc w:val="both"/>
        <w:rPr>
          <w:rFonts w:ascii="Book Antiqua" w:hAnsi="Book Antiqua"/>
          <w:b/>
          <w:sz w:val="24"/>
          <w:szCs w:val="24"/>
          <w:u w:val="single"/>
          <w:lang w:eastAsia="zh-CN"/>
        </w:rPr>
      </w:pPr>
    </w:p>
    <w:p w:rsidR="00CD552B" w:rsidRPr="002C72DA" w:rsidRDefault="00CD552B" w:rsidP="002C72DA">
      <w:pPr>
        <w:spacing w:after="0" w:line="360" w:lineRule="auto"/>
        <w:jc w:val="both"/>
        <w:rPr>
          <w:rFonts w:ascii="Book Antiqua" w:hAnsi="Book Antiqua"/>
          <w:b/>
          <w:sz w:val="24"/>
          <w:szCs w:val="24"/>
          <w:u w:val="single"/>
        </w:rPr>
      </w:pPr>
      <w:r w:rsidRPr="002C72DA">
        <w:rPr>
          <w:rFonts w:ascii="Book Antiqua" w:hAnsi="Book Antiqua"/>
          <w:b/>
          <w:color w:val="000000"/>
          <w:sz w:val="24"/>
          <w:szCs w:val="24"/>
        </w:rPr>
        <w:t>Abstract</w:t>
      </w:r>
    </w:p>
    <w:p w:rsidR="00CD552B" w:rsidRPr="00C14B33" w:rsidRDefault="00CD552B" w:rsidP="002C72DA">
      <w:pPr>
        <w:spacing w:after="0" w:line="360" w:lineRule="auto"/>
        <w:contextualSpacing/>
        <w:jc w:val="both"/>
        <w:rPr>
          <w:rFonts w:ascii="Book Antiqua" w:hAnsi="Book Antiqua"/>
          <w:b/>
          <w:sz w:val="24"/>
          <w:szCs w:val="24"/>
          <w:u w:val="single"/>
        </w:rPr>
      </w:pPr>
      <w:r w:rsidRPr="00C14B33">
        <w:rPr>
          <w:rStyle w:val="hui12181"/>
          <w:rFonts w:ascii="Book Antiqua" w:hAnsi="Book Antiqua" w:cs="Times New Roman"/>
          <w:color w:val="auto"/>
          <w:sz w:val="24"/>
          <w:szCs w:val="24"/>
        </w:rPr>
        <w:t xml:space="preserve">Over the past decade, there has been increasing focus on improving the quality of healthcare delivered to patients with chronic diseases, including inflammatory bowel disease. Inflammatory bowel disease is a complex, chronic condition with associated morbidity, health care costs, and reductions in quality of life. The condition is managed primarily in the outpatient setting. The delivery of high quality of care is suboptimal in several ambulatory </w:t>
      </w:r>
      <w:r w:rsidRPr="007324C8">
        <w:rPr>
          <w:rStyle w:val="hui12181"/>
          <w:rFonts w:ascii="Book Antiqua" w:hAnsi="Book Antiqua" w:cs="Times New Roman"/>
          <w:color w:val="auto"/>
          <w:sz w:val="24"/>
          <w:szCs w:val="24"/>
        </w:rPr>
        <w:t>inflammatory bowel disease</w:t>
      </w:r>
      <w:r w:rsidRPr="00C14B33">
        <w:rPr>
          <w:rStyle w:val="hui12181"/>
          <w:rFonts w:ascii="Book Antiqua" w:hAnsi="Book Antiqua" w:cs="Times New Roman"/>
          <w:color w:val="auto"/>
          <w:sz w:val="24"/>
          <w:szCs w:val="24"/>
        </w:rPr>
        <w:t xml:space="preserve"> domains including objective assessments of disease activity, the use of steroid-sparing agents, screening prior to anti-tumor necrosis factor therapy, and monitoring </w:t>
      </w:r>
      <w:proofErr w:type="spellStart"/>
      <w:r w:rsidRPr="00C14B33">
        <w:rPr>
          <w:rStyle w:val="hui12181"/>
          <w:rFonts w:ascii="Book Antiqua" w:hAnsi="Book Antiqua" w:cs="Times New Roman"/>
          <w:color w:val="auto"/>
          <w:sz w:val="24"/>
          <w:szCs w:val="24"/>
        </w:rPr>
        <w:t>thiopurine</w:t>
      </w:r>
      <w:proofErr w:type="spellEnd"/>
      <w:r w:rsidRPr="00C14B33">
        <w:rPr>
          <w:rStyle w:val="hui12181"/>
          <w:rFonts w:ascii="Book Antiqua" w:hAnsi="Book Antiqua" w:cs="Times New Roman"/>
          <w:color w:val="auto"/>
          <w:sz w:val="24"/>
          <w:szCs w:val="24"/>
        </w:rPr>
        <w:t xml:space="preserve"> therapy. This review outlines these gaps in performance and provides potential initiatives aimed at improvement including reimbursement programs, quality improvement frameworks, collaborative efforts in quality improvement, and the use of healthcare information technology.</w:t>
      </w:r>
      <w:r>
        <w:rPr>
          <w:rStyle w:val="hui12181"/>
          <w:rFonts w:ascii="Book Antiqua" w:hAnsi="Book Antiqua" w:cs="Times New Roman"/>
          <w:color w:val="auto"/>
          <w:sz w:val="24"/>
          <w:szCs w:val="24"/>
        </w:rPr>
        <w:t xml:space="preserve"> </w:t>
      </w:r>
    </w:p>
    <w:p w:rsidR="00CD552B" w:rsidRDefault="00CD552B" w:rsidP="002C72DA">
      <w:pPr>
        <w:spacing w:after="0" w:line="360" w:lineRule="auto"/>
        <w:jc w:val="both"/>
        <w:rPr>
          <w:rFonts w:ascii="Book Antiqua" w:eastAsia="Arial Unicode MS" w:hAnsi="Book Antiqua" w:cs="Arial Unicode MS"/>
          <w:b/>
          <w:sz w:val="24"/>
          <w:szCs w:val="24"/>
          <w:lang w:eastAsia="zh-CN"/>
        </w:rPr>
      </w:pPr>
      <w:bookmarkStart w:id="11" w:name="OLE_LINK191"/>
      <w:bookmarkStart w:id="12" w:name="OLE_LINK192"/>
    </w:p>
    <w:p w:rsidR="00CD552B" w:rsidRPr="005C6A5F" w:rsidRDefault="00CD552B" w:rsidP="00C14B33">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CD552B" w:rsidRPr="002C72DA" w:rsidRDefault="00CD552B" w:rsidP="002C72DA">
      <w:pPr>
        <w:spacing w:after="0" w:line="360" w:lineRule="auto"/>
        <w:jc w:val="both"/>
        <w:rPr>
          <w:rFonts w:ascii="Book Antiqua" w:eastAsia="Arial Unicode MS" w:hAnsi="Book Antiqua" w:cs="Arial Unicode MS"/>
          <w:b/>
          <w:sz w:val="24"/>
          <w:szCs w:val="24"/>
          <w:lang w:eastAsia="zh-CN"/>
        </w:rPr>
      </w:pPr>
    </w:p>
    <w:p w:rsidR="00CD552B" w:rsidRPr="002C72DA" w:rsidRDefault="00CD552B" w:rsidP="002C72DA">
      <w:pPr>
        <w:spacing w:after="0" w:line="360" w:lineRule="auto"/>
        <w:jc w:val="both"/>
        <w:rPr>
          <w:rFonts w:ascii="Book Antiqua" w:eastAsia="Arial Unicode MS" w:hAnsi="Book Antiqua"/>
          <w:sz w:val="24"/>
          <w:szCs w:val="24"/>
        </w:rPr>
      </w:pPr>
      <w:r w:rsidRPr="002C72DA">
        <w:rPr>
          <w:rFonts w:ascii="Book Antiqua" w:eastAsia="Arial Unicode MS" w:hAnsi="Book Antiqua" w:cs="Arial Unicode MS"/>
          <w:b/>
          <w:sz w:val="24"/>
          <w:szCs w:val="24"/>
        </w:rPr>
        <w:t xml:space="preserve">Key words: </w:t>
      </w:r>
      <w:r w:rsidRPr="002C72DA">
        <w:rPr>
          <w:rFonts w:ascii="Book Antiqua" w:eastAsia="Arial Unicode MS" w:hAnsi="Book Antiqua"/>
          <w:sz w:val="24"/>
          <w:szCs w:val="24"/>
        </w:rPr>
        <w:t xml:space="preserve">Ambulatory care; </w:t>
      </w:r>
      <w:proofErr w:type="spellStart"/>
      <w:r w:rsidRPr="002C72DA">
        <w:rPr>
          <w:rFonts w:ascii="Book Antiqua" w:eastAsia="Arial Unicode MS" w:hAnsi="Book Antiqua"/>
          <w:sz w:val="24"/>
          <w:szCs w:val="24"/>
        </w:rPr>
        <w:t>Crohn’s</w:t>
      </w:r>
      <w:proofErr w:type="spellEnd"/>
      <w:r w:rsidRPr="002C72DA">
        <w:rPr>
          <w:rFonts w:ascii="Book Antiqua" w:eastAsia="Arial Unicode MS" w:hAnsi="Book Antiqua"/>
          <w:sz w:val="24"/>
          <w:szCs w:val="24"/>
        </w:rPr>
        <w:t xml:space="preserve"> disease; Inflammatory bowel disease; Quality improvement; Ulcerative colitis </w:t>
      </w:r>
    </w:p>
    <w:p w:rsidR="00CD552B" w:rsidRPr="002C72DA" w:rsidRDefault="00CD552B" w:rsidP="002C72DA">
      <w:pPr>
        <w:spacing w:after="0" w:line="360" w:lineRule="auto"/>
        <w:contextualSpacing/>
        <w:jc w:val="both"/>
        <w:rPr>
          <w:rFonts w:ascii="Book Antiqua" w:eastAsia="Arial Unicode MS" w:hAnsi="Book Antiqua" w:cs="Arial Unicode MS"/>
          <w:b/>
          <w:sz w:val="24"/>
          <w:szCs w:val="24"/>
        </w:rPr>
      </w:pPr>
      <w:bookmarkStart w:id="13" w:name="OLE_LINK173"/>
      <w:bookmarkStart w:id="14" w:name="OLE_LINK174"/>
      <w:bookmarkEnd w:id="11"/>
      <w:bookmarkEnd w:id="12"/>
    </w:p>
    <w:p w:rsidR="00CD552B" w:rsidRPr="00D50FCE" w:rsidRDefault="00CD552B" w:rsidP="002C72DA">
      <w:pPr>
        <w:spacing w:after="0" w:line="360" w:lineRule="auto"/>
        <w:contextualSpacing/>
        <w:jc w:val="both"/>
        <w:rPr>
          <w:rFonts w:ascii="Book Antiqua" w:eastAsia="Arial Unicode MS" w:hAnsi="Book Antiqua" w:cs="Arial Unicode MS"/>
          <w:b/>
          <w:sz w:val="24"/>
          <w:szCs w:val="24"/>
        </w:rPr>
      </w:pPr>
      <w:r w:rsidRPr="002C72DA">
        <w:rPr>
          <w:rFonts w:ascii="Book Antiqua" w:eastAsia="Arial Unicode MS" w:hAnsi="Book Antiqua" w:cs="Arial Unicode MS"/>
          <w:b/>
          <w:sz w:val="24"/>
          <w:szCs w:val="24"/>
        </w:rPr>
        <w:t xml:space="preserve">Core tip: </w:t>
      </w:r>
      <w:r w:rsidRPr="00D50FCE">
        <w:rPr>
          <w:rStyle w:val="hui12181"/>
          <w:rFonts w:ascii="Book Antiqua" w:hAnsi="Book Antiqua" w:cs="Times New Roman"/>
          <w:color w:val="auto"/>
          <w:sz w:val="24"/>
          <w:szCs w:val="24"/>
        </w:rPr>
        <w:t>Over the past decade, there has been increasing focus on improving quality in healthcare. This has led to the reinvigoration of the Quality Improvement movement. Inflammatory bowel disease is a complex, chronic condition with associated morbidity, health care costs, and reductions in quality of life. The condition is managed primarily in the outpatient setting. The delivery of high quality care is suboptimal in several ambulatory IBD domains. This review outlines current gaps in performance in IBD outpatient care and provides potential initiatives aimed at improvement.</w:t>
      </w:r>
    </w:p>
    <w:bookmarkEnd w:id="13"/>
    <w:bookmarkEnd w:id="14"/>
    <w:p w:rsidR="00CD552B" w:rsidRPr="002C72DA" w:rsidRDefault="00CD552B" w:rsidP="002C72DA">
      <w:pPr>
        <w:spacing w:after="0" w:line="360" w:lineRule="auto"/>
        <w:jc w:val="both"/>
        <w:rPr>
          <w:rFonts w:ascii="Book Antiqua" w:hAnsi="Book Antiqua"/>
          <w:b/>
          <w:sz w:val="24"/>
          <w:szCs w:val="24"/>
          <w:u w:val="single"/>
        </w:rPr>
      </w:pPr>
    </w:p>
    <w:p w:rsidR="00CD552B" w:rsidRDefault="00CD552B" w:rsidP="00B957FA">
      <w:pPr>
        <w:spacing w:after="0" w:line="360" w:lineRule="auto"/>
        <w:jc w:val="both"/>
        <w:rPr>
          <w:rFonts w:ascii="Book Antiqua" w:hAnsi="Book Antiqua"/>
          <w:sz w:val="24"/>
          <w:szCs w:val="24"/>
          <w:lang w:eastAsia="zh-CN"/>
        </w:rPr>
      </w:pPr>
      <w:proofErr w:type="spellStart"/>
      <w:r w:rsidRPr="00B957FA">
        <w:rPr>
          <w:rFonts w:ascii="Book Antiqua" w:hAnsi="Book Antiqua"/>
          <w:sz w:val="24"/>
          <w:szCs w:val="24"/>
        </w:rPr>
        <w:lastRenderedPageBreak/>
        <w:t>Weizman</w:t>
      </w:r>
      <w:proofErr w:type="spellEnd"/>
      <w:r>
        <w:rPr>
          <w:rFonts w:ascii="Book Antiqua" w:hAnsi="Book Antiqua"/>
          <w:sz w:val="24"/>
          <w:szCs w:val="24"/>
          <w:lang w:eastAsia="zh-CN"/>
        </w:rPr>
        <w:t xml:space="preserve"> AV</w:t>
      </w:r>
      <w:r w:rsidRPr="00B957FA">
        <w:rPr>
          <w:rFonts w:ascii="Book Antiqua" w:hAnsi="Book Antiqua"/>
          <w:sz w:val="24"/>
          <w:szCs w:val="24"/>
          <w:lang w:eastAsia="zh-CN"/>
        </w:rPr>
        <w:t xml:space="preserve">, </w:t>
      </w:r>
      <w:r w:rsidRPr="00B957FA">
        <w:rPr>
          <w:rFonts w:ascii="Book Antiqua" w:hAnsi="Book Antiqua"/>
          <w:sz w:val="24"/>
          <w:szCs w:val="24"/>
        </w:rPr>
        <w:t>Nguyen</w:t>
      </w:r>
      <w:r>
        <w:rPr>
          <w:rFonts w:ascii="Book Antiqua" w:hAnsi="Book Antiqua"/>
          <w:sz w:val="24"/>
          <w:szCs w:val="24"/>
          <w:lang w:eastAsia="zh-CN"/>
        </w:rPr>
        <w:t xml:space="preserve"> GC. </w:t>
      </w:r>
      <w:r w:rsidRPr="00B957FA">
        <w:rPr>
          <w:rFonts w:ascii="Book Antiqua" w:hAnsi="Book Antiqua"/>
          <w:sz w:val="24"/>
          <w:szCs w:val="24"/>
        </w:rPr>
        <w:t>Interventions and targets aimed at improving quality in inflammatory bowel disease ambulatory care</w:t>
      </w:r>
      <w:r>
        <w:rPr>
          <w:rFonts w:ascii="Book Antiqua" w:hAnsi="Book Antiqua"/>
          <w:sz w:val="24"/>
          <w:szCs w:val="24"/>
          <w:lang w:eastAsia="zh-CN"/>
        </w:rPr>
        <w:t>.</w:t>
      </w:r>
    </w:p>
    <w:p w:rsidR="00CD552B" w:rsidRDefault="00CD552B" w:rsidP="00B957FA">
      <w:pPr>
        <w:spacing w:after="0" w:line="360" w:lineRule="auto"/>
        <w:jc w:val="both"/>
        <w:rPr>
          <w:rFonts w:ascii="Book Antiqua" w:hAnsi="Book Antiqua"/>
          <w:sz w:val="24"/>
          <w:szCs w:val="24"/>
          <w:lang w:eastAsia="zh-CN"/>
        </w:rPr>
      </w:pPr>
    </w:p>
    <w:p w:rsidR="00CD552B" w:rsidRPr="001A6525" w:rsidRDefault="00CD552B" w:rsidP="00B957FA">
      <w:pPr>
        <w:spacing w:line="360" w:lineRule="auto"/>
        <w:rPr>
          <w:rFonts w:ascii="Book Antiqua" w:hAnsi="Book Antiqua"/>
          <w:b/>
          <w:sz w:val="24"/>
          <w:szCs w:val="24"/>
        </w:rPr>
      </w:pPr>
      <w:bookmarkStart w:id="15" w:name="OLE_LINK46"/>
      <w:bookmarkStart w:id="16" w:name="OLE_LINK47"/>
      <w:bookmarkStart w:id="17" w:name="OLE_LINK61"/>
      <w:bookmarkStart w:id="18" w:name="OLE_LINK84"/>
      <w:bookmarkStart w:id="19" w:name="OLE_LINK90"/>
      <w:bookmarkStart w:id="20" w:name="OLE_LINK104"/>
      <w:r w:rsidRPr="001A6525">
        <w:rPr>
          <w:rFonts w:ascii="Book Antiqua" w:hAnsi="Book Antiqua"/>
          <w:b/>
          <w:sz w:val="24"/>
          <w:szCs w:val="24"/>
        </w:rPr>
        <w:t xml:space="preserve">Available from: URL: </w:t>
      </w:r>
    </w:p>
    <w:p w:rsidR="00CD552B" w:rsidRPr="001A6525" w:rsidRDefault="00CD552B" w:rsidP="00B957FA">
      <w:pPr>
        <w:spacing w:line="360" w:lineRule="auto"/>
        <w:rPr>
          <w:rFonts w:ascii="Book Antiqua" w:hAnsi="Book Antiqua"/>
          <w:b/>
          <w:sz w:val="24"/>
          <w:szCs w:val="24"/>
        </w:rPr>
      </w:pPr>
      <w:r w:rsidRPr="001A6525">
        <w:rPr>
          <w:rFonts w:ascii="Book Antiqua" w:hAnsi="Book Antiqua"/>
          <w:b/>
          <w:sz w:val="24"/>
          <w:szCs w:val="24"/>
        </w:rPr>
        <w:t>DOI:</w:t>
      </w:r>
    </w:p>
    <w:bookmarkEnd w:id="15"/>
    <w:bookmarkEnd w:id="16"/>
    <w:bookmarkEnd w:id="17"/>
    <w:bookmarkEnd w:id="18"/>
    <w:bookmarkEnd w:id="19"/>
    <w:bookmarkEnd w:id="20"/>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Default="00CD552B" w:rsidP="00B957FA">
      <w:pPr>
        <w:spacing w:after="0" w:line="360" w:lineRule="auto"/>
        <w:jc w:val="both"/>
        <w:rPr>
          <w:rFonts w:ascii="Book Antiqua" w:hAnsi="Book Antiqua"/>
          <w:sz w:val="24"/>
          <w:szCs w:val="24"/>
          <w:lang w:eastAsia="zh-CN"/>
        </w:rPr>
      </w:pPr>
    </w:p>
    <w:p w:rsidR="00CD552B" w:rsidRPr="00B957FA" w:rsidRDefault="00CD552B" w:rsidP="00B957FA">
      <w:pPr>
        <w:spacing w:after="0" w:line="360" w:lineRule="auto"/>
        <w:jc w:val="both"/>
        <w:rPr>
          <w:rFonts w:ascii="Book Antiqua" w:hAnsi="Book Antiqua"/>
          <w:sz w:val="24"/>
          <w:szCs w:val="24"/>
          <w:lang w:eastAsia="zh-CN"/>
        </w:rPr>
      </w:pPr>
    </w:p>
    <w:p w:rsidR="00CD552B" w:rsidRPr="00B957FA" w:rsidRDefault="00CD552B" w:rsidP="002C72DA">
      <w:pPr>
        <w:spacing w:after="0" w:line="360" w:lineRule="auto"/>
        <w:jc w:val="both"/>
        <w:rPr>
          <w:rFonts w:ascii="Book Antiqua" w:hAnsi="Book Antiqua"/>
          <w:b/>
          <w:sz w:val="24"/>
          <w:szCs w:val="24"/>
        </w:rPr>
      </w:pPr>
      <w:r w:rsidRPr="00B957FA">
        <w:rPr>
          <w:rFonts w:ascii="Book Antiqua" w:hAnsi="Book Antiqua"/>
          <w:b/>
          <w:sz w:val="24"/>
          <w:szCs w:val="24"/>
        </w:rPr>
        <w:t>INTRODUCTION</w:t>
      </w:r>
      <w:r w:rsidRPr="00B957FA">
        <w:rPr>
          <w:rFonts w:ascii="Book Antiqua" w:hAnsi="Book Antiqua"/>
          <w:b/>
          <w:sz w:val="24"/>
          <w:szCs w:val="24"/>
        </w:rPr>
        <w:tab/>
      </w:r>
    </w:p>
    <w:p w:rsidR="00CD552B" w:rsidRPr="002C72DA" w:rsidRDefault="00CD552B" w:rsidP="00B957FA">
      <w:pPr>
        <w:spacing w:after="0" w:line="360" w:lineRule="auto"/>
        <w:contextualSpacing/>
        <w:jc w:val="both"/>
        <w:rPr>
          <w:rFonts w:ascii="Book Antiqua" w:hAnsi="Book Antiqua"/>
          <w:sz w:val="24"/>
          <w:szCs w:val="24"/>
        </w:rPr>
      </w:pPr>
      <w:r w:rsidRPr="002C72DA">
        <w:rPr>
          <w:rFonts w:ascii="Book Antiqua" w:hAnsi="Book Antiqua"/>
          <w:sz w:val="24"/>
          <w:szCs w:val="24"/>
        </w:rPr>
        <w:t>Over the past decade, there has been increasing focus on improving the quality of healthcare.</w:t>
      </w:r>
      <w:r>
        <w:rPr>
          <w:rFonts w:ascii="Book Antiqua" w:hAnsi="Book Antiqua"/>
          <w:sz w:val="24"/>
          <w:szCs w:val="24"/>
        </w:rPr>
        <w:t xml:space="preserve"> </w:t>
      </w:r>
      <w:r w:rsidRPr="002C72DA">
        <w:rPr>
          <w:rFonts w:ascii="Book Antiqua" w:hAnsi="Book Antiqua"/>
          <w:sz w:val="24"/>
          <w:szCs w:val="24"/>
        </w:rPr>
        <w:t>Much of this interest was inspired through the publication</w:t>
      </w:r>
      <w:r w:rsidRPr="00D005B8">
        <w:rPr>
          <w:rFonts w:ascii="Book Antiqua" w:hAnsi="Book Antiqua"/>
          <w:sz w:val="24"/>
          <w:szCs w:val="24"/>
        </w:rPr>
        <w:t xml:space="preserve"> of </w:t>
      </w:r>
      <w:r w:rsidRPr="002C72DA">
        <w:rPr>
          <w:rFonts w:ascii="Book Antiqua" w:hAnsi="Book Antiqua"/>
          <w:i/>
          <w:sz w:val="24"/>
          <w:szCs w:val="24"/>
        </w:rPr>
        <w:t>To Err is Human</w:t>
      </w:r>
      <w:r w:rsidRPr="002C72DA">
        <w:rPr>
          <w:rFonts w:ascii="Book Antiqua" w:hAnsi="Book Antiqua"/>
          <w:sz w:val="24"/>
          <w:szCs w:val="24"/>
        </w:rPr>
        <w:t xml:space="preserve"> by the Institute of Medicine (IOM) in 2000, that painted a portrait of a health care system full of preventable morbidity and mortality in desperate need for change</w:t>
      </w:r>
      <w:r w:rsidRPr="002C72DA">
        <w:rPr>
          <w:rFonts w:ascii="Book Antiqua" w:hAnsi="Book Antiqua"/>
          <w:sz w:val="24"/>
          <w:szCs w:val="24"/>
          <w:vertAlign w:val="superscript"/>
        </w:rPr>
        <w:t>[1]</w:t>
      </w:r>
      <w:r w:rsidRPr="002C72DA">
        <w:rPr>
          <w:rFonts w:ascii="Book Antiqua" w:hAnsi="Book Antiqua"/>
          <w:sz w:val="24"/>
          <w:szCs w:val="24"/>
        </w:rPr>
        <w:t>. This has led to the reinvigoration of the Quality Improvement movement, the foundation of which had developed over the last century.</w:t>
      </w:r>
      <w:r>
        <w:rPr>
          <w:rFonts w:ascii="Book Antiqua" w:hAnsi="Book Antiqua"/>
          <w:sz w:val="24"/>
          <w:szCs w:val="24"/>
        </w:rPr>
        <w:t xml:space="preserve"> </w:t>
      </w:r>
    </w:p>
    <w:p w:rsidR="00CD552B" w:rsidRPr="002C72DA" w:rsidRDefault="00CD552B" w:rsidP="002C72DA">
      <w:pPr>
        <w:spacing w:after="0" w:line="360" w:lineRule="auto"/>
        <w:ind w:firstLine="720"/>
        <w:contextualSpacing/>
        <w:jc w:val="both"/>
        <w:rPr>
          <w:rFonts w:ascii="Book Antiqua" w:hAnsi="Book Antiqua"/>
          <w:sz w:val="24"/>
          <w:szCs w:val="24"/>
        </w:rPr>
      </w:pPr>
      <w:r w:rsidRPr="002C72DA">
        <w:rPr>
          <w:rFonts w:ascii="Book Antiqua" w:hAnsi="Book Antiqua"/>
          <w:sz w:val="24"/>
          <w:szCs w:val="24"/>
        </w:rPr>
        <w:t>Quality Improvement (QI) is defined by the IOM as “the degree to which health services for individuals and populations increase the likelihood of desired health outcomes and are consistent with current professional knowledge</w:t>
      </w:r>
      <w:r w:rsidRPr="00B957FA">
        <w:rPr>
          <w:rFonts w:ascii="Book Antiqua" w:hAnsi="Book Antiqua"/>
          <w:sz w:val="24"/>
          <w:szCs w:val="24"/>
          <w:vertAlign w:val="superscript"/>
        </w:rPr>
        <w:t>[</w:t>
      </w:r>
      <w:r w:rsidRPr="002C72DA">
        <w:rPr>
          <w:rFonts w:ascii="Book Antiqua" w:hAnsi="Book Antiqua"/>
          <w:sz w:val="24"/>
          <w:szCs w:val="24"/>
          <w:vertAlign w:val="superscript"/>
        </w:rPr>
        <w:t>2]</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Fundamental principles of the study of QI include reflection on individual and peer performance in delivering high quality care, transparency in reporting performance, and implementing changes to improve deficiencies with the ability to measure successes and failures.</w:t>
      </w:r>
      <w:r>
        <w:rPr>
          <w:rFonts w:ascii="Book Antiqua" w:hAnsi="Book Antiqua"/>
          <w:sz w:val="24"/>
          <w:szCs w:val="24"/>
        </w:rPr>
        <w:t xml:space="preserve"> </w:t>
      </w:r>
      <w:r w:rsidRPr="002C72DA">
        <w:rPr>
          <w:rFonts w:ascii="Book Antiqua" w:hAnsi="Book Antiqua"/>
          <w:sz w:val="24"/>
          <w:szCs w:val="24"/>
        </w:rPr>
        <w:t>Variation in practices may also be a marker of suboptimal performance.</w:t>
      </w:r>
      <w:r>
        <w:rPr>
          <w:rFonts w:ascii="Book Antiqua" w:hAnsi="Book Antiqua"/>
          <w:sz w:val="24"/>
          <w:szCs w:val="24"/>
        </w:rPr>
        <w:t xml:space="preserve"> </w:t>
      </w:r>
      <w:r w:rsidRPr="002C72DA">
        <w:rPr>
          <w:rFonts w:ascii="Book Antiqua" w:hAnsi="Book Antiqua"/>
          <w:sz w:val="24"/>
          <w:szCs w:val="24"/>
        </w:rPr>
        <w:t>This had led to the resurrection and refinement of measures, study designs, and statistical analyses that are uniquely suited to QI.</w:t>
      </w:r>
    </w:p>
    <w:p w:rsidR="00CD552B" w:rsidRPr="002C72DA" w:rsidRDefault="00CD552B" w:rsidP="002C72DA">
      <w:pPr>
        <w:spacing w:after="0" w:line="360" w:lineRule="auto"/>
        <w:ind w:firstLine="720"/>
        <w:contextualSpacing/>
        <w:jc w:val="both"/>
        <w:rPr>
          <w:rFonts w:ascii="Book Antiqua" w:hAnsi="Book Antiqua"/>
          <w:sz w:val="24"/>
          <w:szCs w:val="24"/>
        </w:rPr>
      </w:pPr>
      <w:r w:rsidRPr="002C72DA">
        <w:rPr>
          <w:rFonts w:ascii="Book Antiqua" w:hAnsi="Book Antiqua"/>
          <w:sz w:val="24"/>
          <w:szCs w:val="24"/>
        </w:rPr>
        <w:t>Chronic disease management has become a significant focus of QI initiatives given their associated morbidity and cost.</w:t>
      </w:r>
      <w:r>
        <w:rPr>
          <w:rFonts w:ascii="Book Antiqua" w:hAnsi="Book Antiqua"/>
          <w:sz w:val="24"/>
          <w:szCs w:val="24"/>
        </w:rPr>
        <w:t xml:space="preserve"> </w:t>
      </w:r>
      <w:r w:rsidRPr="002C72DA">
        <w:rPr>
          <w:rFonts w:ascii="Book Antiqua" w:hAnsi="Book Antiqua"/>
          <w:sz w:val="24"/>
          <w:szCs w:val="24"/>
        </w:rPr>
        <w:t>Some of this may be due to gaps in delivering evidence-based care.</w:t>
      </w:r>
      <w:r>
        <w:rPr>
          <w:rFonts w:ascii="Book Antiqua" w:hAnsi="Book Antiqua"/>
          <w:sz w:val="24"/>
          <w:szCs w:val="24"/>
        </w:rPr>
        <w:t xml:space="preserve"> </w:t>
      </w:r>
      <w:r w:rsidRPr="002C72DA">
        <w:rPr>
          <w:rFonts w:ascii="Book Antiqua" w:hAnsi="Book Antiqua"/>
          <w:sz w:val="24"/>
          <w:szCs w:val="24"/>
        </w:rPr>
        <w:t>This was demonstrated in a landmark trial that showed that only 57% of outpatients regularly receive recommended standard of care for a variety of conditions</w:t>
      </w:r>
      <w:r w:rsidRPr="00B957FA">
        <w:rPr>
          <w:rFonts w:ascii="Book Antiqua" w:hAnsi="Book Antiqua"/>
          <w:sz w:val="24"/>
          <w:szCs w:val="24"/>
          <w:vertAlign w:val="superscript"/>
        </w:rPr>
        <w:t>[</w:t>
      </w:r>
      <w:r w:rsidRPr="002C72DA">
        <w:rPr>
          <w:rFonts w:ascii="Book Antiqua" w:hAnsi="Book Antiqua"/>
          <w:sz w:val="24"/>
          <w:szCs w:val="24"/>
          <w:vertAlign w:val="superscript"/>
        </w:rPr>
        <w:t>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As a result, there has been significant focus on improving delivery of evidence based care and preventative measures to patients with chronic disease in order to decrease complications, hospitalizations, and death.</w:t>
      </w:r>
      <w:r>
        <w:rPr>
          <w:rFonts w:ascii="Book Antiqua" w:hAnsi="Book Antiqua"/>
          <w:sz w:val="24"/>
          <w:szCs w:val="24"/>
        </w:rPr>
        <w:t xml:space="preserve"> </w:t>
      </w:r>
      <w:r w:rsidRPr="002C72DA">
        <w:rPr>
          <w:rFonts w:ascii="Book Antiqua" w:hAnsi="Book Antiqua"/>
          <w:sz w:val="24"/>
          <w:szCs w:val="24"/>
        </w:rPr>
        <w:t>Moreover, quality indicators are increasingly becoming incorporated in the accreditation and funding models of healthcare institutions.</w:t>
      </w:r>
      <w:r>
        <w:rPr>
          <w:rFonts w:ascii="Book Antiqua" w:hAnsi="Book Antiqua"/>
          <w:sz w:val="24"/>
          <w:szCs w:val="24"/>
        </w:rPr>
        <w:t xml:space="preserve"> </w:t>
      </w:r>
      <w:r w:rsidRPr="002C72DA">
        <w:rPr>
          <w:rFonts w:ascii="Book Antiqua" w:hAnsi="Book Antiqua"/>
          <w:sz w:val="24"/>
          <w:szCs w:val="24"/>
        </w:rPr>
        <w:t>Inflammatory bowel disease (IBD) is a chronic gastrointestinal condition characterized by relapsing inflammation.</w:t>
      </w:r>
      <w:r>
        <w:rPr>
          <w:rFonts w:ascii="Book Antiqua" w:hAnsi="Book Antiqua"/>
          <w:sz w:val="24"/>
          <w:szCs w:val="24"/>
        </w:rPr>
        <w:t xml:space="preserve"> </w:t>
      </w:r>
      <w:proofErr w:type="spellStart"/>
      <w:r w:rsidRPr="002C72DA">
        <w:rPr>
          <w:rFonts w:ascii="Book Antiqua" w:hAnsi="Book Antiqua"/>
          <w:sz w:val="24"/>
          <w:szCs w:val="24"/>
        </w:rPr>
        <w:t>Crohn’s</w:t>
      </w:r>
      <w:proofErr w:type="spellEnd"/>
      <w:r w:rsidRPr="002C72DA">
        <w:rPr>
          <w:rFonts w:ascii="Book Antiqua" w:hAnsi="Book Antiqua"/>
          <w:sz w:val="24"/>
          <w:szCs w:val="24"/>
        </w:rPr>
        <w:t xml:space="preserve"> disease and ulcerative colitis are the major subtypes of IBD.</w:t>
      </w:r>
      <w:r>
        <w:rPr>
          <w:rFonts w:ascii="Book Antiqua" w:hAnsi="Book Antiqua"/>
          <w:sz w:val="24"/>
          <w:szCs w:val="24"/>
        </w:rPr>
        <w:t xml:space="preserve"> </w:t>
      </w:r>
      <w:r w:rsidRPr="002C72DA">
        <w:rPr>
          <w:rFonts w:ascii="Book Antiqua" w:hAnsi="Book Antiqua"/>
          <w:sz w:val="24"/>
          <w:szCs w:val="24"/>
        </w:rPr>
        <w:t xml:space="preserve">In </w:t>
      </w:r>
      <w:smartTag w:uri="urn:schemas-microsoft-com:office:smarttags" w:element="place">
        <w:r w:rsidRPr="002C72DA">
          <w:rPr>
            <w:rFonts w:ascii="Book Antiqua" w:hAnsi="Book Antiqua"/>
            <w:sz w:val="24"/>
            <w:szCs w:val="24"/>
          </w:rPr>
          <w:t>North America</w:t>
        </w:r>
      </w:smartTag>
      <w:r w:rsidRPr="002C72DA">
        <w:rPr>
          <w:rFonts w:ascii="Book Antiqua" w:hAnsi="Book Antiqua"/>
          <w:sz w:val="24"/>
          <w:szCs w:val="24"/>
        </w:rPr>
        <w:t xml:space="preserve">, the incidence of </w:t>
      </w:r>
      <w:proofErr w:type="spellStart"/>
      <w:r w:rsidRPr="002C72DA">
        <w:rPr>
          <w:rFonts w:ascii="Book Antiqua" w:hAnsi="Book Antiqua"/>
          <w:sz w:val="24"/>
          <w:szCs w:val="24"/>
        </w:rPr>
        <w:lastRenderedPageBreak/>
        <w:t>Crohn’s</w:t>
      </w:r>
      <w:proofErr w:type="spellEnd"/>
      <w:r w:rsidRPr="002C72DA">
        <w:rPr>
          <w:rFonts w:ascii="Book Antiqua" w:hAnsi="Book Antiqua"/>
          <w:sz w:val="24"/>
          <w:szCs w:val="24"/>
        </w:rPr>
        <w:t xml:space="preserve"> disease ran</w:t>
      </w:r>
      <w:r>
        <w:rPr>
          <w:rFonts w:ascii="Book Antiqua" w:hAnsi="Book Antiqua"/>
          <w:sz w:val="24"/>
          <w:szCs w:val="24"/>
        </w:rPr>
        <w:t>ges from 3.1-20.2 cases per 100</w:t>
      </w:r>
      <w:r w:rsidRPr="002C72DA">
        <w:rPr>
          <w:rFonts w:ascii="Book Antiqua" w:hAnsi="Book Antiqua"/>
          <w:sz w:val="24"/>
          <w:szCs w:val="24"/>
        </w:rPr>
        <w:t xml:space="preserve">000 population and 2.2-19.2 cases </w:t>
      </w:r>
      <w:r>
        <w:rPr>
          <w:rFonts w:ascii="Book Antiqua" w:hAnsi="Book Antiqua"/>
          <w:sz w:val="24"/>
          <w:szCs w:val="24"/>
        </w:rPr>
        <w:t>per 100</w:t>
      </w:r>
      <w:r w:rsidRPr="002C72DA">
        <w:rPr>
          <w:rFonts w:ascii="Book Antiqua" w:hAnsi="Book Antiqua"/>
          <w:sz w:val="24"/>
          <w:szCs w:val="24"/>
        </w:rPr>
        <w:t>000 population for ulcerative colitis</w:t>
      </w:r>
      <w:r w:rsidRPr="00B957FA">
        <w:rPr>
          <w:rFonts w:ascii="Book Antiqua" w:hAnsi="Book Antiqua"/>
          <w:sz w:val="24"/>
          <w:szCs w:val="24"/>
          <w:vertAlign w:val="superscript"/>
        </w:rPr>
        <w:t>[</w:t>
      </w:r>
      <w:r w:rsidRPr="002C72DA">
        <w:rPr>
          <w:rFonts w:ascii="Book Antiqua" w:hAnsi="Book Antiqua"/>
          <w:sz w:val="24"/>
          <w:szCs w:val="24"/>
          <w:vertAlign w:val="superscript"/>
        </w:rPr>
        <w:t>4,5]</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While the incidence is less in Asia and the </w:t>
      </w:r>
      <w:smartTag w:uri="urn:schemas-microsoft-com:office:smarttags" w:element="place">
        <w:r w:rsidRPr="002C72DA">
          <w:rPr>
            <w:rFonts w:ascii="Book Antiqua" w:hAnsi="Book Antiqua"/>
            <w:sz w:val="24"/>
            <w:szCs w:val="24"/>
          </w:rPr>
          <w:t>Middle East</w:t>
        </w:r>
      </w:smartTag>
      <w:r w:rsidRPr="002C72DA">
        <w:rPr>
          <w:rFonts w:ascii="Book Antiqua" w:hAnsi="Book Antiqua"/>
          <w:sz w:val="24"/>
          <w:szCs w:val="24"/>
        </w:rPr>
        <w:t>, the incidence and prevalence have been noted to be rising in many different regions of the world</w:t>
      </w:r>
      <w:r w:rsidRPr="00B957FA">
        <w:rPr>
          <w:rFonts w:ascii="Book Antiqua" w:hAnsi="Book Antiqua"/>
          <w:sz w:val="24"/>
          <w:szCs w:val="24"/>
          <w:vertAlign w:val="superscript"/>
        </w:rPr>
        <w:t>[</w:t>
      </w:r>
      <w:r w:rsidRPr="002C72DA">
        <w:rPr>
          <w:rFonts w:ascii="Book Antiqua" w:hAnsi="Book Antiqua"/>
          <w:sz w:val="24"/>
          <w:szCs w:val="24"/>
          <w:vertAlign w:val="superscript"/>
        </w:rPr>
        <w:t>5]</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As in other chronic diseases, IBD patients are at increased risk of morbidity due to symptoms, hospitalizations, and complications of disease or therapy</w:t>
      </w:r>
      <w:r w:rsidRPr="00B957FA">
        <w:rPr>
          <w:rFonts w:ascii="Book Antiqua" w:hAnsi="Book Antiqua"/>
          <w:sz w:val="24"/>
          <w:szCs w:val="24"/>
          <w:vertAlign w:val="superscript"/>
        </w:rPr>
        <w:t>[</w:t>
      </w:r>
      <w:r w:rsidRPr="002C72DA">
        <w:rPr>
          <w:rFonts w:ascii="Book Antiqua" w:hAnsi="Book Antiqua"/>
          <w:sz w:val="24"/>
          <w:szCs w:val="24"/>
          <w:vertAlign w:val="superscript"/>
        </w:rPr>
        <w:t>6]</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Moreover, there are significant health care costs and reduction in quality of life associated with IBD</w:t>
      </w:r>
      <w:r w:rsidRPr="00B957FA">
        <w:rPr>
          <w:rFonts w:ascii="Book Antiqua" w:hAnsi="Book Antiqua"/>
          <w:sz w:val="24"/>
          <w:szCs w:val="24"/>
          <w:vertAlign w:val="superscript"/>
        </w:rPr>
        <w:t>[</w:t>
      </w:r>
      <w:r w:rsidRPr="002C72DA">
        <w:rPr>
          <w:rFonts w:ascii="Book Antiqua" w:hAnsi="Book Antiqua"/>
          <w:sz w:val="24"/>
          <w:szCs w:val="24"/>
          <w:vertAlign w:val="superscript"/>
        </w:rPr>
        <w:t>7,8]</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The economic burden of IBD is significant, with high disability rates among this young cohort of patients</w:t>
      </w:r>
      <w:r w:rsidRPr="00B957FA">
        <w:rPr>
          <w:rFonts w:ascii="Book Antiqua" w:hAnsi="Book Antiqua"/>
          <w:sz w:val="24"/>
          <w:szCs w:val="24"/>
          <w:vertAlign w:val="superscript"/>
        </w:rPr>
        <w:t>[</w:t>
      </w:r>
      <w:r w:rsidRPr="002C72DA">
        <w:rPr>
          <w:rFonts w:ascii="Book Antiqua" w:hAnsi="Book Antiqua"/>
          <w:sz w:val="24"/>
          <w:szCs w:val="24"/>
          <w:vertAlign w:val="superscript"/>
        </w:rPr>
        <w:t>9]</w:t>
      </w:r>
      <w:r w:rsidRPr="002C72DA">
        <w:rPr>
          <w:rFonts w:ascii="Book Antiqua" w:hAnsi="Book Antiqua"/>
          <w:sz w:val="24"/>
          <w:szCs w:val="24"/>
        </w:rPr>
        <w:t xml:space="preserve"> and one cost analysis of eight European cohorts showing a mean total health care cost of 1871 euros per patient-year over 10 years</w:t>
      </w:r>
      <w:r w:rsidRPr="00B957FA">
        <w:rPr>
          <w:rFonts w:ascii="Book Antiqua" w:hAnsi="Book Antiqua"/>
          <w:sz w:val="24"/>
          <w:szCs w:val="24"/>
          <w:vertAlign w:val="superscript"/>
        </w:rPr>
        <w:t>[</w:t>
      </w:r>
      <w:r w:rsidRPr="002C72DA">
        <w:rPr>
          <w:rFonts w:ascii="Book Antiqua" w:hAnsi="Book Antiqua"/>
          <w:sz w:val="24"/>
          <w:szCs w:val="24"/>
          <w:vertAlign w:val="superscript"/>
        </w:rPr>
        <w:t>10]</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Patients requiring hospitalization had 10 fold higher costs.</w:t>
      </w:r>
      <w:r>
        <w:rPr>
          <w:rFonts w:ascii="Book Antiqua" w:hAnsi="Book Antiqua"/>
          <w:sz w:val="24"/>
          <w:szCs w:val="24"/>
        </w:rPr>
        <w:t xml:space="preserve"> </w:t>
      </w:r>
      <w:r w:rsidRPr="002C72DA">
        <w:rPr>
          <w:rFonts w:ascii="Book Antiqua" w:hAnsi="Book Antiqua"/>
          <w:sz w:val="24"/>
          <w:szCs w:val="24"/>
        </w:rPr>
        <w:t>Most patients with IBD are managed in the outpatient setting.</w:t>
      </w:r>
      <w:r>
        <w:rPr>
          <w:rFonts w:ascii="Book Antiqua" w:hAnsi="Book Antiqua"/>
          <w:sz w:val="24"/>
          <w:szCs w:val="24"/>
        </w:rPr>
        <w:t xml:space="preserve"> </w:t>
      </w:r>
      <w:r w:rsidRPr="002C72DA">
        <w:rPr>
          <w:rFonts w:ascii="Book Antiqua" w:hAnsi="Book Antiqua"/>
          <w:sz w:val="24"/>
          <w:szCs w:val="24"/>
        </w:rPr>
        <w:t>However as disease severity progresses and complications of disease or therapy arise, hospitalization is often required.</w:t>
      </w:r>
      <w:r>
        <w:rPr>
          <w:rFonts w:ascii="Book Antiqua" w:hAnsi="Book Antiqua"/>
          <w:sz w:val="24"/>
          <w:szCs w:val="24"/>
        </w:rPr>
        <w:t xml:space="preserve"> </w:t>
      </w:r>
      <w:r w:rsidRPr="002C72DA">
        <w:rPr>
          <w:rFonts w:ascii="Book Antiqua" w:hAnsi="Book Antiqua"/>
          <w:sz w:val="24"/>
          <w:szCs w:val="24"/>
        </w:rPr>
        <w:t>Unlike some other chronic conditions, IBD is a heterogeneous disease with a wide spectrum of disease phenotypes and management strategies.</w:t>
      </w:r>
      <w:r>
        <w:rPr>
          <w:rFonts w:ascii="Book Antiqua" w:hAnsi="Book Antiqua"/>
          <w:sz w:val="24"/>
          <w:szCs w:val="24"/>
        </w:rPr>
        <w:t xml:space="preserve">  </w:t>
      </w:r>
      <w:r w:rsidRPr="002C72DA">
        <w:rPr>
          <w:rFonts w:ascii="Book Antiqua" w:hAnsi="Book Antiqua"/>
          <w:sz w:val="24"/>
          <w:szCs w:val="24"/>
        </w:rPr>
        <w:t>This makes disease wide QI strategies particularly challenging.</w:t>
      </w:r>
      <w:r>
        <w:rPr>
          <w:rFonts w:ascii="Book Antiqua" w:hAnsi="Book Antiqua"/>
          <w:sz w:val="24"/>
          <w:szCs w:val="24"/>
        </w:rPr>
        <w:t xml:space="preserve"> </w:t>
      </w:r>
      <w:r w:rsidRPr="002C72DA">
        <w:rPr>
          <w:rFonts w:ascii="Book Antiqua" w:hAnsi="Book Antiqua"/>
          <w:sz w:val="24"/>
          <w:szCs w:val="24"/>
        </w:rPr>
        <w:t>Nonetheless, there are several areas of IBD care that are amenable to QI study and change.</w:t>
      </w:r>
      <w:r>
        <w:rPr>
          <w:rFonts w:ascii="Book Antiqua" w:hAnsi="Book Antiqua"/>
          <w:sz w:val="24"/>
          <w:szCs w:val="24"/>
        </w:rPr>
        <w:t xml:space="preserve"> </w:t>
      </w:r>
      <w:r w:rsidRPr="002C72DA">
        <w:rPr>
          <w:rFonts w:ascii="Book Antiqua" w:hAnsi="Book Antiqua"/>
          <w:sz w:val="24"/>
          <w:szCs w:val="24"/>
        </w:rPr>
        <w:t>This review outlines current gaps in quality in a number of outpatient domains and provides potential initiatives aimed at improvement.</w:t>
      </w:r>
    </w:p>
    <w:p w:rsidR="00CD552B" w:rsidRPr="002C72DA" w:rsidRDefault="00CD552B" w:rsidP="002C72DA">
      <w:pPr>
        <w:spacing w:after="0" w:line="360" w:lineRule="auto"/>
        <w:contextualSpacing/>
        <w:jc w:val="both"/>
        <w:rPr>
          <w:rFonts w:ascii="Book Antiqua" w:hAnsi="Book Antiqua"/>
          <w:b/>
          <w:sz w:val="24"/>
          <w:szCs w:val="24"/>
          <w:u w:val="single"/>
        </w:rPr>
      </w:pPr>
    </w:p>
    <w:p w:rsidR="00CD552B" w:rsidRPr="0008557E" w:rsidRDefault="00CD552B" w:rsidP="002C72DA">
      <w:pPr>
        <w:spacing w:after="0" w:line="360" w:lineRule="auto"/>
        <w:contextualSpacing/>
        <w:jc w:val="both"/>
        <w:rPr>
          <w:rFonts w:ascii="Book Antiqua" w:hAnsi="Book Antiqua"/>
          <w:b/>
          <w:sz w:val="24"/>
          <w:szCs w:val="24"/>
        </w:rPr>
      </w:pPr>
      <w:r w:rsidRPr="0008557E">
        <w:rPr>
          <w:rFonts w:ascii="Book Antiqua" w:hAnsi="Book Antiqua"/>
          <w:b/>
          <w:sz w:val="24"/>
          <w:szCs w:val="24"/>
        </w:rPr>
        <w:t>ASSESSMENT OF DISEASE ACTIVITY</w:t>
      </w:r>
    </w:p>
    <w:p w:rsidR="00CD552B" w:rsidRPr="002C72DA" w:rsidRDefault="00CD552B" w:rsidP="002C72DA">
      <w:pPr>
        <w:spacing w:after="0" w:line="360" w:lineRule="auto"/>
        <w:contextualSpacing/>
        <w:jc w:val="both"/>
        <w:rPr>
          <w:rFonts w:ascii="Book Antiqua" w:hAnsi="Book Antiqua"/>
          <w:sz w:val="24"/>
          <w:szCs w:val="24"/>
        </w:rPr>
      </w:pPr>
      <w:r w:rsidRPr="002C72DA">
        <w:rPr>
          <w:rFonts w:ascii="Book Antiqua" w:hAnsi="Book Antiqua"/>
          <w:sz w:val="24"/>
          <w:szCs w:val="24"/>
        </w:rPr>
        <w:t xml:space="preserve"> A challenging management issue in patients with IBD is how to best assess disease activity.</w:t>
      </w:r>
      <w:r>
        <w:rPr>
          <w:rFonts w:ascii="Book Antiqua" w:hAnsi="Book Antiqua"/>
          <w:sz w:val="24"/>
          <w:szCs w:val="24"/>
        </w:rPr>
        <w:t xml:space="preserve"> </w:t>
      </w:r>
      <w:r w:rsidRPr="002C72DA">
        <w:rPr>
          <w:rFonts w:ascii="Book Antiqua" w:hAnsi="Book Antiqua"/>
          <w:sz w:val="24"/>
          <w:szCs w:val="24"/>
        </w:rPr>
        <w:t>This assessment has traditionally been based on clinical symptoms.</w:t>
      </w:r>
      <w:r>
        <w:rPr>
          <w:rFonts w:ascii="Book Antiqua" w:hAnsi="Book Antiqua"/>
          <w:sz w:val="24"/>
          <w:szCs w:val="24"/>
        </w:rPr>
        <w:t xml:space="preserve"> </w:t>
      </w:r>
      <w:r w:rsidRPr="002C72DA">
        <w:rPr>
          <w:rFonts w:ascii="Book Antiqua" w:hAnsi="Book Antiqua"/>
          <w:sz w:val="24"/>
          <w:szCs w:val="24"/>
        </w:rPr>
        <w:t xml:space="preserve">However, with the increasing number of more objective tools to assess disease activity now available, such as serum inflammatory markers and fecal </w:t>
      </w:r>
      <w:proofErr w:type="spellStart"/>
      <w:r w:rsidRPr="002C72DA">
        <w:rPr>
          <w:rFonts w:ascii="Book Antiqua" w:hAnsi="Book Antiqua"/>
          <w:sz w:val="24"/>
          <w:szCs w:val="24"/>
        </w:rPr>
        <w:t>calprotectin</w:t>
      </w:r>
      <w:proofErr w:type="spellEnd"/>
      <w:r w:rsidRPr="002C72DA">
        <w:rPr>
          <w:rFonts w:ascii="Book Antiqua" w:hAnsi="Book Antiqua"/>
          <w:sz w:val="24"/>
          <w:szCs w:val="24"/>
        </w:rPr>
        <w:t>, the use of symptoms alone may no longer be the best approach to follow these patients.</w:t>
      </w:r>
      <w:r>
        <w:rPr>
          <w:rFonts w:ascii="Book Antiqua" w:hAnsi="Book Antiqua"/>
          <w:sz w:val="24"/>
          <w:szCs w:val="24"/>
        </w:rPr>
        <w:t xml:space="preserve"> </w:t>
      </w:r>
      <w:r w:rsidRPr="002C72DA">
        <w:rPr>
          <w:rFonts w:ascii="Book Antiqua" w:hAnsi="Book Antiqua"/>
          <w:sz w:val="24"/>
          <w:szCs w:val="24"/>
        </w:rPr>
        <w:t>Reliance solely on symptoms can potentially miss ongoing inflammation that may not be clinically apparent.</w:t>
      </w:r>
      <w:r>
        <w:rPr>
          <w:rFonts w:ascii="Book Antiqua" w:hAnsi="Book Antiqua"/>
          <w:sz w:val="24"/>
          <w:szCs w:val="24"/>
        </w:rPr>
        <w:t xml:space="preserve"> </w:t>
      </w:r>
      <w:r w:rsidRPr="002C72DA">
        <w:rPr>
          <w:rFonts w:ascii="Book Antiqua" w:hAnsi="Book Antiqua"/>
          <w:sz w:val="24"/>
          <w:szCs w:val="24"/>
        </w:rPr>
        <w:t xml:space="preserve">In a </w:t>
      </w:r>
      <w:proofErr w:type="spellStart"/>
      <w:r w:rsidRPr="002C72DA">
        <w:rPr>
          <w:rFonts w:ascii="Book Antiqua" w:hAnsi="Book Antiqua"/>
          <w:sz w:val="24"/>
          <w:szCs w:val="24"/>
        </w:rPr>
        <w:t>Groupe</w:t>
      </w:r>
      <w:proofErr w:type="spellEnd"/>
      <w:r w:rsidRPr="002C72DA">
        <w:rPr>
          <w:rFonts w:ascii="Book Antiqua" w:hAnsi="Book Antiqua"/>
          <w:sz w:val="24"/>
          <w:szCs w:val="24"/>
        </w:rPr>
        <w:t xml:space="preserve"> </w:t>
      </w:r>
      <w:proofErr w:type="spellStart"/>
      <w:r w:rsidRPr="002C72DA">
        <w:rPr>
          <w:rFonts w:ascii="Book Antiqua" w:hAnsi="Book Antiqua"/>
          <w:sz w:val="24"/>
          <w:szCs w:val="24"/>
        </w:rPr>
        <w:t>d’Etudes</w:t>
      </w:r>
      <w:proofErr w:type="spellEnd"/>
      <w:r w:rsidRPr="002C72DA">
        <w:rPr>
          <w:rFonts w:ascii="Book Antiqua" w:hAnsi="Book Antiqua"/>
          <w:sz w:val="24"/>
          <w:szCs w:val="24"/>
        </w:rPr>
        <w:t xml:space="preserve"> </w:t>
      </w:r>
      <w:proofErr w:type="spellStart"/>
      <w:r w:rsidRPr="002C72DA">
        <w:rPr>
          <w:rFonts w:ascii="Book Antiqua" w:hAnsi="Book Antiqua"/>
          <w:sz w:val="24"/>
          <w:szCs w:val="24"/>
        </w:rPr>
        <w:t>Therapeutiques</w:t>
      </w:r>
      <w:proofErr w:type="spellEnd"/>
      <w:r w:rsidRPr="002C72DA">
        <w:rPr>
          <w:rFonts w:ascii="Book Antiqua" w:hAnsi="Book Antiqua"/>
          <w:sz w:val="24"/>
          <w:szCs w:val="24"/>
        </w:rPr>
        <w:t xml:space="preserve"> des Affections </w:t>
      </w:r>
      <w:proofErr w:type="spellStart"/>
      <w:r w:rsidRPr="002C72DA">
        <w:rPr>
          <w:rFonts w:ascii="Book Antiqua" w:hAnsi="Book Antiqua"/>
          <w:sz w:val="24"/>
          <w:szCs w:val="24"/>
        </w:rPr>
        <w:t>Inflammatories</w:t>
      </w:r>
      <w:proofErr w:type="spellEnd"/>
      <w:r w:rsidRPr="002C72DA">
        <w:rPr>
          <w:rFonts w:ascii="Book Antiqua" w:hAnsi="Book Antiqua"/>
          <w:sz w:val="24"/>
          <w:szCs w:val="24"/>
        </w:rPr>
        <w:t xml:space="preserve"> Digestives (GETAID) study of 121 patients with </w:t>
      </w:r>
      <w:proofErr w:type="spellStart"/>
      <w:r w:rsidRPr="002C72DA">
        <w:rPr>
          <w:rFonts w:ascii="Book Antiqua" w:hAnsi="Book Antiqua"/>
          <w:sz w:val="24"/>
          <w:szCs w:val="24"/>
        </w:rPr>
        <w:t>Crohn’s</w:t>
      </w:r>
      <w:proofErr w:type="spellEnd"/>
      <w:r w:rsidRPr="002C72DA">
        <w:rPr>
          <w:rFonts w:ascii="Book Antiqua" w:hAnsi="Book Antiqua"/>
          <w:sz w:val="24"/>
          <w:szCs w:val="24"/>
        </w:rPr>
        <w:t xml:space="preserve"> disease, there was weak correlation between clinical symptoms and endoscopic activity</w:t>
      </w:r>
      <w:r w:rsidRPr="00B957FA">
        <w:rPr>
          <w:rFonts w:ascii="Book Antiqua" w:hAnsi="Book Antiqua"/>
          <w:sz w:val="24"/>
          <w:szCs w:val="24"/>
          <w:vertAlign w:val="superscript"/>
        </w:rPr>
        <w:t>[</w:t>
      </w:r>
      <w:r w:rsidRPr="002C72DA">
        <w:rPr>
          <w:rFonts w:ascii="Book Antiqua" w:hAnsi="Book Antiqua"/>
          <w:sz w:val="24"/>
          <w:szCs w:val="24"/>
          <w:vertAlign w:val="superscript"/>
        </w:rPr>
        <w:t>11]</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This puts patients at </w:t>
      </w:r>
      <w:r w:rsidRPr="002C72DA">
        <w:rPr>
          <w:rFonts w:ascii="Book Antiqua" w:hAnsi="Book Antiqua"/>
          <w:sz w:val="24"/>
          <w:szCs w:val="24"/>
        </w:rPr>
        <w:lastRenderedPageBreak/>
        <w:t>risk of disease complications and may make treatment more difficult once symptoms ultimately develop.</w:t>
      </w:r>
      <w:r>
        <w:rPr>
          <w:rFonts w:ascii="Book Antiqua" w:hAnsi="Book Antiqua"/>
          <w:sz w:val="24"/>
          <w:szCs w:val="24"/>
        </w:rPr>
        <w:t xml:space="preserve"> </w:t>
      </w:r>
      <w:r w:rsidRPr="002C72DA">
        <w:rPr>
          <w:rFonts w:ascii="Book Antiqua" w:hAnsi="Book Antiqua"/>
          <w:sz w:val="24"/>
          <w:szCs w:val="24"/>
        </w:rPr>
        <w:t>Alternatively, active inflammation may not always be the cause of persistent gastrointestinal symptoms in patients with IBD.</w:t>
      </w:r>
      <w:r>
        <w:rPr>
          <w:rFonts w:ascii="Book Antiqua" w:hAnsi="Book Antiqua"/>
          <w:sz w:val="24"/>
          <w:szCs w:val="24"/>
        </w:rPr>
        <w:t xml:space="preserve"> </w:t>
      </w:r>
      <w:r w:rsidRPr="002C72DA">
        <w:rPr>
          <w:rFonts w:ascii="Book Antiqua" w:hAnsi="Book Antiqua"/>
          <w:sz w:val="24"/>
          <w:szCs w:val="24"/>
        </w:rPr>
        <w:t>A meta-analysis of 13 studies containing 1703 IBD patients found the pooled prevalence for symptoms meeting criteria for IBS was 39%, with an OR compared to healthy controls of 4.89 (95%CI</w:t>
      </w:r>
      <w:r>
        <w:rPr>
          <w:rFonts w:ascii="Book Antiqua" w:hAnsi="Book Antiqua"/>
          <w:sz w:val="24"/>
          <w:szCs w:val="24"/>
          <w:lang w:eastAsia="zh-CN"/>
        </w:rPr>
        <w:t>:</w:t>
      </w:r>
      <w:r w:rsidRPr="002C72DA">
        <w:rPr>
          <w:rFonts w:ascii="Book Antiqua" w:hAnsi="Book Antiqua"/>
          <w:sz w:val="24"/>
          <w:szCs w:val="24"/>
        </w:rPr>
        <w:t xml:space="preserve"> 3.43-6.98)</w:t>
      </w:r>
      <w:r w:rsidRPr="00B957FA">
        <w:rPr>
          <w:rFonts w:ascii="Book Antiqua" w:hAnsi="Book Antiqua"/>
          <w:sz w:val="24"/>
          <w:szCs w:val="24"/>
          <w:vertAlign w:val="superscript"/>
        </w:rPr>
        <w:t>[</w:t>
      </w:r>
      <w:r w:rsidRPr="002C72DA">
        <w:rPr>
          <w:rFonts w:ascii="Book Antiqua" w:hAnsi="Book Antiqua"/>
          <w:sz w:val="24"/>
          <w:szCs w:val="24"/>
          <w:vertAlign w:val="superscript"/>
        </w:rPr>
        <w:t>12]</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Similarly, a pediatric study found significant overlap between functional abdominal pain and </w:t>
      </w:r>
      <w:proofErr w:type="spellStart"/>
      <w:r w:rsidRPr="002C72DA">
        <w:rPr>
          <w:rFonts w:ascii="Book Antiqua" w:hAnsi="Book Antiqua"/>
          <w:sz w:val="24"/>
          <w:szCs w:val="24"/>
        </w:rPr>
        <w:t>Crohn’s</w:t>
      </w:r>
      <w:proofErr w:type="spellEnd"/>
      <w:r w:rsidRPr="002C72DA">
        <w:rPr>
          <w:rFonts w:ascii="Book Antiqua" w:hAnsi="Book Antiqua"/>
          <w:sz w:val="24"/>
          <w:szCs w:val="24"/>
        </w:rPr>
        <w:t xml:space="preserve"> disease, with almost half of the patients meeting criteria for functional pain classified as having active IBD according to the Pediatric </w:t>
      </w:r>
      <w:proofErr w:type="spellStart"/>
      <w:r w:rsidRPr="002C72DA">
        <w:rPr>
          <w:rFonts w:ascii="Book Antiqua" w:hAnsi="Book Antiqua"/>
          <w:sz w:val="24"/>
          <w:szCs w:val="24"/>
        </w:rPr>
        <w:t>Crohn’s</w:t>
      </w:r>
      <w:proofErr w:type="spellEnd"/>
      <w:r w:rsidRPr="002C72DA">
        <w:rPr>
          <w:rFonts w:ascii="Book Antiqua" w:hAnsi="Book Antiqua"/>
          <w:sz w:val="24"/>
          <w:szCs w:val="24"/>
        </w:rPr>
        <w:t xml:space="preserve"> Disease Activity Index</w:t>
      </w:r>
      <w:r w:rsidRPr="00B957FA">
        <w:rPr>
          <w:rFonts w:ascii="Book Antiqua" w:hAnsi="Book Antiqua"/>
          <w:sz w:val="24"/>
          <w:szCs w:val="24"/>
          <w:vertAlign w:val="superscript"/>
        </w:rPr>
        <w:t>[</w:t>
      </w:r>
      <w:r w:rsidRPr="002C72DA">
        <w:rPr>
          <w:rFonts w:ascii="Book Antiqua" w:hAnsi="Book Antiqua"/>
          <w:sz w:val="24"/>
          <w:szCs w:val="24"/>
          <w:vertAlign w:val="superscript"/>
        </w:rPr>
        <w:t>13]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This often leads to patients being inappropriately treated with </w:t>
      </w:r>
      <w:proofErr w:type="spellStart"/>
      <w:r w:rsidRPr="002C72DA">
        <w:rPr>
          <w:rFonts w:ascii="Book Antiqua" w:hAnsi="Book Antiqua"/>
          <w:sz w:val="24"/>
          <w:szCs w:val="24"/>
        </w:rPr>
        <w:t>immunosuppressants</w:t>
      </w:r>
      <w:proofErr w:type="spellEnd"/>
      <w:r w:rsidRPr="002C72DA">
        <w:rPr>
          <w:rFonts w:ascii="Book Antiqua" w:hAnsi="Book Antiqua"/>
          <w:sz w:val="24"/>
          <w:szCs w:val="24"/>
        </w:rPr>
        <w:t>, with a low likelihood of improvement in symptoms and exposure to unnecessary risk.</w:t>
      </w:r>
      <w:r>
        <w:rPr>
          <w:rFonts w:ascii="Book Antiqua" w:hAnsi="Book Antiqua"/>
          <w:sz w:val="24"/>
          <w:szCs w:val="24"/>
        </w:rPr>
        <w:t xml:space="preserve"> </w:t>
      </w:r>
      <w:r w:rsidRPr="002C72DA">
        <w:rPr>
          <w:rFonts w:ascii="Book Antiqua" w:hAnsi="Book Antiqua"/>
          <w:sz w:val="24"/>
          <w:szCs w:val="24"/>
        </w:rPr>
        <w:t>Therefore, there is a clear need for routine objective assessments of patients with IBD both at diagnosis and during follow up.</w:t>
      </w:r>
      <w:r>
        <w:rPr>
          <w:rFonts w:ascii="Book Antiqua" w:hAnsi="Book Antiqua"/>
          <w:sz w:val="24"/>
          <w:szCs w:val="24"/>
        </w:rPr>
        <w:t xml:space="preserve"> </w:t>
      </w:r>
      <w:r w:rsidRPr="002C72DA">
        <w:rPr>
          <w:rFonts w:ascii="Book Antiqua" w:hAnsi="Book Antiqua"/>
          <w:sz w:val="24"/>
          <w:szCs w:val="24"/>
        </w:rPr>
        <w:t xml:space="preserve">While regular endoscopic evaluation, the gold standard to assess disease activity, has well established barriers such as cost and invasiveness, incorporating other objective tools such as erythrocyte sedimentation rate, c-reactive protein, and fecal </w:t>
      </w:r>
      <w:proofErr w:type="spellStart"/>
      <w:r w:rsidRPr="002C72DA">
        <w:rPr>
          <w:rFonts w:ascii="Book Antiqua" w:hAnsi="Book Antiqua"/>
          <w:sz w:val="24"/>
          <w:szCs w:val="24"/>
        </w:rPr>
        <w:t>calprotectin</w:t>
      </w:r>
      <w:proofErr w:type="spellEnd"/>
      <w:r w:rsidRPr="002C72DA">
        <w:rPr>
          <w:rFonts w:ascii="Book Antiqua" w:hAnsi="Book Antiqua"/>
          <w:sz w:val="24"/>
          <w:szCs w:val="24"/>
        </w:rPr>
        <w:t xml:space="preserve"> may facilitate more accurate and targeted approaches to managing these patients.</w:t>
      </w:r>
      <w:r>
        <w:rPr>
          <w:rFonts w:ascii="Book Antiqua" w:hAnsi="Book Antiqua"/>
          <w:sz w:val="24"/>
          <w:szCs w:val="24"/>
        </w:rPr>
        <w:t xml:space="preserve"> </w:t>
      </w:r>
      <w:r w:rsidRPr="002C72DA">
        <w:rPr>
          <w:rFonts w:ascii="Book Antiqua" w:hAnsi="Book Antiqua"/>
          <w:sz w:val="24"/>
          <w:szCs w:val="24"/>
        </w:rPr>
        <w:t xml:space="preserve">A recent comparison of these tools noted a sensitivity and specificity of c-reactive protein &gt; 6 mg/L of 68% and 72%, respectively as compared to a sensitivity and specificity of fecal </w:t>
      </w:r>
      <w:proofErr w:type="spellStart"/>
      <w:r w:rsidRPr="002C72DA">
        <w:rPr>
          <w:rFonts w:ascii="Book Antiqua" w:hAnsi="Book Antiqua"/>
          <w:sz w:val="24"/>
          <w:szCs w:val="24"/>
        </w:rPr>
        <w:t>calprotectin</w:t>
      </w:r>
      <w:proofErr w:type="spellEnd"/>
      <w:r w:rsidRPr="002C72DA">
        <w:rPr>
          <w:rFonts w:ascii="Book Antiqua" w:hAnsi="Book Antiqua"/>
          <w:sz w:val="24"/>
          <w:szCs w:val="24"/>
        </w:rPr>
        <w:t xml:space="preserve"> of 91% and 90%, respectively for the detection of </w:t>
      </w:r>
      <w:proofErr w:type="spellStart"/>
      <w:r w:rsidRPr="002C72DA">
        <w:rPr>
          <w:rFonts w:ascii="Book Antiqua" w:hAnsi="Book Antiqua"/>
          <w:sz w:val="24"/>
          <w:szCs w:val="24"/>
        </w:rPr>
        <w:t>endoscopically</w:t>
      </w:r>
      <w:proofErr w:type="spellEnd"/>
      <w:r w:rsidRPr="002C72DA">
        <w:rPr>
          <w:rFonts w:ascii="Book Antiqua" w:hAnsi="Book Antiqua"/>
          <w:sz w:val="24"/>
          <w:szCs w:val="24"/>
        </w:rPr>
        <w:t xml:space="preserve"> active disease</w:t>
      </w:r>
      <w:r w:rsidRPr="00B957FA">
        <w:rPr>
          <w:rFonts w:ascii="Book Antiqua" w:hAnsi="Book Antiqua"/>
          <w:sz w:val="24"/>
          <w:szCs w:val="24"/>
          <w:vertAlign w:val="superscript"/>
        </w:rPr>
        <w:t>[</w:t>
      </w:r>
      <w:r w:rsidRPr="002C72DA">
        <w:rPr>
          <w:rFonts w:ascii="Book Antiqua" w:hAnsi="Book Antiqua"/>
          <w:sz w:val="24"/>
          <w:szCs w:val="24"/>
          <w:vertAlign w:val="superscript"/>
        </w:rPr>
        <w:t>14]</w:t>
      </w:r>
      <w:r w:rsidRPr="00D37F8F">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More studies such as this are needed to provide more insight on the most valuable and cost-effective non-invasive approach to monitor disease activity in patients.</w:t>
      </w:r>
      <w:r>
        <w:rPr>
          <w:rFonts w:ascii="Book Antiqua" w:hAnsi="Book Antiqua"/>
          <w:sz w:val="24"/>
          <w:szCs w:val="24"/>
        </w:rPr>
        <w:t xml:space="preserve">    </w:t>
      </w:r>
    </w:p>
    <w:p w:rsidR="00CD552B" w:rsidRPr="002C72DA" w:rsidRDefault="00CD552B" w:rsidP="002C72DA">
      <w:pPr>
        <w:spacing w:after="0" w:line="360" w:lineRule="auto"/>
        <w:contextualSpacing/>
        <w:jc w:val="both"/>
        <w:rPr>
          <w:rFonts w:ascii="Book Antiqua" w:hAnsi="Book Antiqua"/>
          <w:sz w:val="24"/>
          <w:szCs w:val="24"/>
        </w:rPr>
      </w:pPr>
    </w:p>
    <w:p w:rsidR="00CD552B" w:rsidRPr="00677A94" w:rsidRDefault="00CD552B" w:rsidP="002C72DA">
      <w:pPr>
        <w:spacing w:after="0" w:line="360" w:lineRule="auto"/>
        <w:contextualSpacing/>
        <w:jc w:val="both"/>
        <w:rPr>
          <w:rFonts w:ascii="Book Antiqua" w:hAnsi="Book Antiqua"/>
          <w:b/>
          <w:sz w:val="24"/>
          <w:szCs w:val="24"/>
        </w:rPr>
      </w:pPr>
      <w:r w:rsidRPr="00677A94">
        <w:rPr>
          <w:rFonts w:ascii="Book Antiqua" w:hAnsi="Book Antiqua"/>
          <w:b/>
          <w:sz w:val="24"/>
          <w:szCs w:val="24"/>
        </w:rPr>
        <w:t>STEROIDS SPARING AGENTS</w:t>
      </w:r>
    </w:p>
    <w:p w:rsidR="00CD552B" w:rsidRPr="002C72DA" w:rsidRDefault="00CD552B" w:rsidP="002C72DA">
      <w:pPr>
        <w:spacing w:after="0" w:line="360" w:lineRule="auto"/>
        <w:contextualSpacing/>
        <w:jc w:val="both"/>
        <w:rPr>
          <w:rFonts w:ascii="Book Antiqua" w:hAnsi="Book Antiqua"/>
          <w:sz w:val="24"/>
          <w:szCs w:val="24"/>
        </w:rPr>
      </w:pPr>
      <w:r w:rsidRPr="002C72DA">
        <w:rPr>
          <w:rFonts w:ascii="Book Antiqua" w:hAnsi="Book Antiqua"/>
          <w:sz w:val="24"/>
          <w:szCs w:val="24"/>
        </w:rPr>
        <w:t xml:space="preserve">Corticosteroids are effective in inducing remission among patients with </w:t>
      </w:r>
      <w:proofErr w:type="spellStart"/>
      <w:r w:rsidRPr="002C72DA">
        <w:rPr>
          <w:rFonts w:ascii="Book Antiqua" w:hAnsi="Book Antiqua"/>
          <w:sz w:val="24"/>
          <w:szCs w:val="24"/>
        </w:rPr>
        <w:t>Crohn’s</w:t>
      </w:r>
      <w:proofErr w:type="spellEnd"/>
      <w:r w:rsidRPr="002C72DA">
        <w:rPr>
          <w:rFonts w:ascii="Book Antiqua" w:hAnsi="Book Antiqua"/>
          <w:sz w:val="24"/>
          <w:szCs w:val="24"/>
        </w:rPr>
        <w:t xml:space="preserve"> disease and ulcerative colitis</w:t>
      </w:r>
      <w:r w:rsidRPr="00B957FA">
        <w:rPr>
          <w:rFonts w:ascii="Book Antiqua" w:hAnsi="Book Antiqua"/>
          <w:sz w:val="24"/>
          <w:szCs w:val="24"/>
          <w:vertAlign w:val="superscript"/>
        </w:rPr>
        <w:t>[</w:t>
      </w:r>
      <w:r w:rsidRPr="002C72DA">
        <w:rPr>
          <w:rFonts w:ascii="Book Antiqua" w:hAnsi="Book Antiqua"/>
          <w:sz w:val="24"/>
          <w:szCs w:val="24"/>
          <w:vertAlign w:val="superscript"/>
        </w:rPr>
        <w:t>15]</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However, they have not been shown to be helpful in long-term maintenance</w:t>
      </w:r>
      <w:r w:rsidRPr="00B957FA">
        <w:rPr>
          <w:rFonts w:ascii="Book Antiqua" w:hAnsi="Book Antiqua"/>
          <w:sz w:val="24"/>
          <w:szCs w:val="24"/>
          <w:vertAlign w:val="superscript"/>
        </w:rPr>
        <w:t>[</w:t>
      </w:r>
      <w:r w:rsidRPr="002C72DA">
        <w:rPr>
          <w:rFonts w:ascii="Book Antiqua" w:hAnsi="Book Antiqua"/>
          <w:sz w:val="24"/>
          <w:szCs w:val="24"/>
          <w:vertAlign w:val="superscript"/>
        </w:rPr>
        <w:t>16]</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Moreover, their poor safety profile and tolerability makes avoidance of prolonged use a priority.</w:t>
      </w:r>
      <w:r>
        <w:rPr>
          <w:rFonts w:ascii="Book Antiqua" w:hAnsi="Book Antiqua"/>
          <w:sz w:val="24"/>
          <w:szCs w:val="24"/>
        </w:rPr>
        <w:t xml:space="preserve"> </w:t>
      </w:r>
      <w:r w:rsidRPr="002C72DA">
        <w:rPr>
          <w:rFonts w:ascii="Book Antiqua" w:hAnsi="Book Antiqua"/>
          <w:sz w:val="24"/>
          <w:szCs w:val="24"/>
        </w:rPr>
        <w:t>Nonetheless, a significant proportion of patients treated with corticosteroids remain on extended courses.</w:t>
      </w:r>
      <w:r>
        <w:rPr>
          <w:rFonts w:ascii="Book Antiqua" w:hAnsi="Book Antiqua"/>
          <w:sz w:val="24"/>
          <w:szCs w:val="24"/>
        </w:rPr>
        <w:t xml:space="preserve"> </w:t>
      </w:r>
      <w:r w:rsidRPr="002C72DA">
        <w:rPr>
          <w:rFonts w:ascii="Book Antiqua" w:hAnsi="Book Antiqua"/>
          <w:sz w:val="24"/>
          <w:szCs w:val="24"/>
        </w:rPr>
        <w:t xml:space="preserve">A retrospective review of patients referred </w:t>
      </w:r>
      <w:r w:rsidRPr="002C72DA">
        <w:rPr>
          <w:rFonts w:ascii="Book Antiqua" w:hAnsi="Book Antiqua"/>
          <w:sz w:val="24"/>
          <w:szCs w:val="24"/>
        </w:rPr>
        <w:lastRenderedPageBreak/>
        <w:t xml:space="preserve">to a tertiary IBD center in the United States found that over 75% of patients had been on corticosteroids for over 3 </w:t>
      </w:r>
      <w:proofErr w:type="spellStart"/>
      <w:r w:rsidRPr="002C72DA">
        <w:rPr>
          <w:rFonts w:ascii="Book Antiqua" w:hAnsi="Book Antiqua"/>
          <w:sz w:val="24"/>
          <w:szCs w:val="24"/>
        </w:rPr>
        <w:t>mo</w:t>
      </w:r>
      <w:proofErr w:type="spellEnd"/>
      <w:r w:rsidRPr="002C72DA">
        <w:rPr>
          <w:rFonts w:ascii="Book Antiqua" w:hAnsi="Book Antiqua"/>
          <w:sz w:val="24"/>
          <w:szCs w:val="24"/>
        </w:rPr>
        <w:t>, including patients classified as having “mild” disease</w:t>
      </w:r>
      <w:r w:rsidRPr="00B957FA">
        <w:rPr>
          <w:rFonts w:ascii="Book Antiqua" w:hAnsi="Book Antiqua"/>
          <w:sz w:val="24"/>
          <w:szCs w:val="24"/>
          <w:vertAlign w:val="superscript"/>
        </w:rPr>
        <w:t>[</w:t>
      </w:r>
      <w:r w:rsidRPr="002C72DA">
        <w:rPr>
          <w:rFonts w:ascii="Book Antiqua" w:hAnsi="Book Antiqua"/>
          <w:sz w:val="24"/>
          <w:szCs w:val="24"/>
          <w:vertAlign w:val="superscript"/>
        </w:rPr>
        <w:t>17]</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There was no attempt to consider steroid sparing medications, such as </w:t>
      </w:r>
      <w:proofErr w:type="spellStart"/>
      <w:r w:rsidRPr="002C72DA">
        <w:rPr>
          <w:rFonts w:ascii="Book Antiqua" w:hAnsi="Book Antiqua"/>
          <w:sz w:val="24"/>
          <w:szCs w:val="24"/>
        </w:rPr>
        <w:t>immunomodulators</w:t>
      </w:r>
      <w:proofErr w:type="spellEnd"/>
      <w:r w:rsidRPr="002C72DA">
        <w:rPr>
          <w:rFonts w:ascii="Book Antiqua" w:hAnsi="Book Antiqua"/>
          <w:sz w:val="24"/>
          <w:szCs w:val="24"/>
        </w:rPr>
        <w:t>, in almost 60% of patients.</w:t>
      </w:r>
      <w:r>
        <w:rPr>
          <w:rFonts w:ascii="Book Antiqua" w:hAnsi="Book Antiqua"/>
          <w:sz w:val="24"/>
          <w:szCs w:val="24"/>
        </w:rPr>
        <w:t xml:space="preserve"> </w:t>
      </w:r>
      <w:r w:rsidRPr="002C72DA">
        <w:rPr>
          <w:rFonts w:ascii="Book Antiqua" w:hAnsi="Book Antiqua"/>
          <w:sz w:val="24"/>
          <w:szCs w:val="24"/>
        </w:rPr>
        <w:t>Similarly, in a study of time trends in therapy among 16 medical centers between the years 1998 and 2005, there was a 27% increase in prolonged corticosteroid use (defined as &gt;</w:t>
      </w:r>
      <w:r>
        <w:rPr>
          <w:rFonts w:ascii="Book Antiqua" w:hAnsi="Book Antiqua"/>
          <w:sz w:val="24"/>
          <w:szCs w:val="24"/>
          <w:lang w:eastAsia="zh-CN"/>
        </w:rPr>
        <w:t xml:space="preserve"> </w:t>
      </w:r>
      <w:r w:rsidRPr="002C72DA">
        <w:rPr>
          <w:rFonts w:ascii="Book Antiqua" w:hAnsi="Book Antiqua"/>
          <w:sz w:val="24"/>
          <w:szCs w:val="24"/>
        </w:rPr>
        <w:t xml:space="preserve">120 </w:t>
      </w:r>
      <w:r>
        <w:rPr>
          <w:rFonts w:ascii="Book Antiqua" w:hAnsi="Book Antiqua"/>
          <w:sz w:val="24"/>
          <w:szCs w:val="24"/>
        </w:rPr>
        <w:t>d</w:t>
      </w:r>
      <w:r w:rsidRPr="002C72DA">
        <w:rPr>
          <w:rFonts w:ascii="Book Antiqua" w:hAnsi="Book Antiqua"/>
          <w:sz w:val="24"/>
          <w:szCs w:val="24"/>
        </w:rPr>
        <w:t>) among patients with ulcerative colitis</w:t>
      </w:r>
      <w:r w:rsidRPr="00B957FA">
        <w:rPr>
          <w:rFonts w:ascii="Book Antiqua" w:hAnsi="Book Antiqua"/>
          <w:sz w:val="24"/>
          <w:szCs w:val="24"/>
          <w:vertAlign w:val="superscript"/>
        </w:rPr>
        <w:t>[</w:t>
      </w:r>
      <w:r w:rsidRPr="002C72DA">
        <w:rPr>
          <w:rFonts w:ascii="Book Antiqua" w:hAnsi="Book Antiqua"/>
          <w:sz w:val="24"/>
          <w:szCs w:val="24"/>
          <w:vertAlign w:val="superscript"/>
        </w:rPr>
        <w:t>18]</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Significant variation in the use of steroid-sparing agents was noted among centers.</w:t>
      </w:r>
      <w:r>
        <w:rPr>
          <w:rFonts w:ascii="Book Antiqua" w:hAnsi="Book Antiqua"/>
          <w:sz w:val="24"/>
          <w:szCs w:val="24"/>
        </w:rPr>
        <w:t xml:space="preserve"> </w:t>
      </w:r>
      <w:r w:rsidRPr="002C72DA">
        <w:rPr>
          <w:rFonts w:ascii="Book Antiqua" w:hAnsi="Book Antiqua"/>
          <w:sz w:val="24"/>
          <w:szCs w:val="24"/>
        </w:rPr>
        <w:t xml:space="preserve">This was also demonstrated among 10 North American pediatric centers whereby the use of </w:t>
      </w:r>
      <w:proofErr w:type="spellStart"/>
      <w:r w:rsidRPr="002C72DA">
        <w:rPr>
          <w:rFonts w:ascii="Book Antiqua" w:hAnsi="Book Antiqua"/>
          <w:sz w:val="24"/>
          <w:szCs w:val="24"/>
        </w:rPr>
        <w:t>immunomodulators</w:t>
      </w:r>
      <w:proofErr w:type="spellEnd"/>
      <w:r w:rsidRPr="002C72DA">
        <w:rPr>
          <w:rFonts w:ascii="Book Antiqua" w:hAnsi="Book Antiqua"/>
          <w:sz w:val="24"/>
          <w:szCs w:val="24"/>
        </w:rPr>
        <w:t xml:space="preserve"> as a steroid sparing-agent varied significantly, ranging from 30-95% of patients followed at the center</w:t>
      </w:r>
      <w:r w:rsidRPr="00B957FA">
        <w:rPr>
          <w:rFonts w:ascii="Book Antiqua" w:hAnsi="Book Antiqua"/>
          <w:sz w:val="24"/>
          <w:szCs w:val="24"/>
          <w:vertAlign w:val="superscript"/>
        </w:rPr>
        <w:t>[</w:t>
      </w:r>
      <w:r w:rsidRPr="002C72DA">
        <w:rPr>
          <w:rFonts w:ascii="Book Antiqua" w:hAnsi="Book Antiqua"/>
          <w:sz w:val="24"/>
          <w:szCs w:val="24"/>
          <w:vertAlign w:val="superscript"/>
        </w:rPr>
        <w:t>19]</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Corticosteroids are a well-established risk factor for osteoporosis and as such, patients on extended courses should undergo bone density measurement.</w:t>
      </w:r>
      <w:r>
        <w:rPr>
          <w:rFonts w:ascii="Book Antiqua" w:hAnsi="Book Antiqua"/>
          <w:sz w:val="24"/>
          <w:szCs w:val="24"/>
        </w:rPr>
        <w:t xml:space="preserve"> </w:t>
      </w:r>
      <w:r w:rsidRPr="002C72DA">
        <w:rPr>
          <w:rFonts w:ascii="Book Antiqua" w:hAnsi="Book Antiqua"/>
          <w:sz w:val="24"/>
          <w:szCs w:val="24"/>
        </w:rPr>
        <w:t>Despite this recommendation, a practice audit at a large tertiary IBD center found that almost 80% of patients referred had not received the appropriate screening for metabolic bone disease</w:t>
      </w:r>
      <w:r w:rsidRPr="00B957FA">
        <w:rPr>
          <w:rFonts w:ascii="Book Antiqua" w:hAnsi="Book Antiqua"/>
          <w:sz w:val="24"/>
          <w:szCs w:val="24"/>
          <w:vertAlign w:val="superscript"/>
        </w:rPr>
        <w:t>[</w:t>
      </w:r>
      <w:r w:rsidRPr="002C72DA">
        <w:rPr>
          <w:rFonts w:ascii="Book Antiqua" w:hAnsi="Book Antiqua"/>
          <w:sz w:val="24"/>
          <w:szCs w:val="24"/>
          <w:vertAlign w:val="superscript"/>
        </w:rPr>
        <w:t>17]</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Clearly there is significant variation in practice patterns regarding the recognition of the need to minimize steroid exposure and highlights the underuse of steroid-sparing agent such as </w:t>
      </w:r>
      <w:proofErr w:type="spellStart"/>
      <w:r w:rsidRPr="002C72DA">
        <w:rPr>
          <w:rFonts w:ascii="Book Antiqua" w:hAnsi="Book Antiqua"/>
          <w:sz w:val="24"/>
          <w:szCs w:val="24"/>
        </w:rPr>
        <w:t>immunomodulators</w:t>
      </w:r>
      <w:proofErr w:type="spellEnd"/>
      <w:r w:rsidRPr="002C72DA">
        <w:rPr>
          <w:rFonts w:ascii="Book Antiqua" w:hAnsi="Book Antiqua"/>
          <w:sz w:val="24"/>
          <w:szCs w:val="24"/>
        </w:rPr>
        <w:t xml:space="preserve"> and anti-TNF therapy.</w:t>
      </w:r>
      <w:r>
        <w:rPr>
          <w:rFonts w:ascii="Book Antiqua" w:hAnsi="Book Antiqua"/>
          <w:sz w:val="24"/>
          <w:szCs w:val="24"/>
        </w:rPr>
        <w:t xml:space="preserve">  </w:t>
      </w:r>
    </w:p>
    <w:p w:rsidR="00CD552B" w:rsidRPr="002C72DA" w:rsidRDefault="00CD552B" w:rsidP="002C72DA">
      <w:pPr>
        <w:spacing w:after="0" w:line="360" w:lineRule="auto"/>
        <w:contextualSpacing/>
        <w:jc w:val="both"/>
        <w:rPr>
          <w:rFonts w:ascii="Book Antiqua" w:hAnsi="Book Antiqua"/>
          <w:sz w:val="24"/>
          <w:szCs w:val="24"/>
        </w:rPr>
      </w:pPr>
    </w:p>
    <w:p w:rsidR="00CD552B" w:rsidRPr="00106B62" w:rsidRDefault="00CD552B" w:rsidP="002C72DA">
      <w:pPr>
        <w:autoSpaceDE w:val="0"/>
        <w:autoSpaceDN w:val="0"/>
        <w:adjustRightInd w:val="0"/>
        <w:spacing w:after="0" w:line="360" w:lineRule="auto"/>
        <w:jc w:val="both"/>
        <w:rPr>
          <w:rFonts w:ascii="Book Antiqua" w:hAnsi="Book Antiqua"/>
          <w:b/>
          <w:sz w:val="24"/>
          <w:szCs w:val="24"/>
        </w:rPr>
      </w:pPr>
      <w:r w:rsidRPr="00106B62">
        <w:rPr>
          <w:rFonts w:ascii="Book Antiqua" w:hAnsi="Book Antiqua"/>
          <w:b/>
          <w:sz w:val="24"/>
          <w:szCs w:val="24"/>
        </w:rPr>
        <w:t>SCREENING PRIOR TO ANTI-TNF THERAPY</w:t>
      </w:r>
    </w:p>
    <w:p w:rsidR="00CD552B" w:rsidRPr="002C72DA" w:rsidRDefault="00CD552B" w:rsidP="00106B62">
      <w:pPr>
        <w:spacing w:after="0" w:line="360" w:lineRule="auto"/>
        <w:contextualSpacing/>
        <w:jc w:val="both"/>
        <w:rPr>
          <w:rFonts w:ascii="Book Antiqua" w:hAnsi="Book Antiqua"/>
          <w:sz w:val="24"/>
          <w:szCs w:val="24"/>
        </w:rPr>
      </w:pPr>
      <w:r w:rsidRPr="002C72DA">
        <w:rPr>
          <w:rFonts w:ascii="Book Antiqua" w:hAnsi="Book Antiqua"/>
          <w:sz w:val="24"/>
          <w:szCs w:val="24"/>
        </w:rPr>
        <w:t>Anti-tumor necrosis factor therapy (anti-TNF) has emerged as an effective treatment for IBD</w:t>
      </w:r>
      <w:r w:rsidRPr="00B957FA">
        <w:rPr>
          <w:rFonts w:ascii="Book Antiqua" w:hAnsi="Book Antiqua"/>
          <w:sz w:val="24"/>
          <w:szCs w:val="24"/>
          <w:vertAlign w:val="superscript"/>
        </w:rPr>
        <w:t>[</w:t>
      </w:r>
      <w:r w:rsidRPr="002C72DA">
        <w:rPr>
          <w:rFonts w:ascii="Book Antiqua" w:hAnsi="Book Antiqua"/>
          <w:sz w:val="24"/>
          <w:szCs w:val="24"/>
          <w:vertAlign w:val="superscript"/>
        </w:rPr>
        <w:t>20-23]</w:t>
      </w:r>
      <w:r>
        <w:rPr>
          <w:rFonts w:ascii="Book Antiqua" w:hAnsi="Book Antiqua"/>
          <w:sz w:val="24"/>
          <w:szCs w:val="24"/>
          <w:lang w:eastAsia="zh-CN"/>
        </w:rPr>
        <w:t>.</w:t>
      </w:r>
      <w:r w:rsidRPr="002C72DA">
        <w:rPr>
          <w:rFonts w:ascii="Book Antiqua" w:hAnsi="Book Antiqua"/>
          <w:sz w:val="24"/>
          <w:szCs w:val="24"/>
        </w:rPr>
        <w:t xml:space="preserve"> It, however, carries risk of infection due to immunosuppression.</w:t>
      </w:r>
      <w:r>
        <w:rPr>
          <w:rFonts w:ascii="Book Antiqua" w:hAnsi="Book Antiqua"/>
          <w:sz w:val="24"/>
          <w:szCs w:val="24"/>
        </w:rPr>
        <w:t xml:space="preserve"> </w:t>
      </w:r>
      <w:r w:rsidRPr="002C72DA">
        <w:rPr>
          <w:rFonts w:ascii="Book Antiqua" w:hAnsi="Book Antiqua"/>
          <w:sz w:val="24"/>
          <w:szCs w:val="24"/>
        </w:rPr>
        <w:t>The incidence of reactivation of latent tuberculosis infection (LTBI) has been shown to be increased among individuals treated with anti-TNF.</w:t>
      </w:r>
      <w:r>
        <w:rPr>
          <w:rFonts w:ascii="Book Antiqua" w:hAnsi="Book Antiqua"/>
          <w:sz w:val="24"/>
          <w:szCs w:val="24"/>
        </w:rPr>
        <w:t xml:space="preserve"> </w:t>
      </w:r>
      <w:r w:rsidRPr="002C72DA">
        <w:rPr>
          <w:rFonts w:ascii="Book Antiqua" w:hAnsi="Book Antiqua"/>
          <w:sz w:val="24"/>
          <w:szCs w:val="24"/>
        </w:rPr>
        <w:t xml:space="preserve">A review of the </w:t>
      </w:r>
      <w:bookmarkStart w:id="21" w:name="OLE_LINK144"/>
      <w:bookmarkStart w:id="22" w:name="OLE_LINK145"/>
      <w:r w:rsidRPr="00506C76">
        <w:rPr>
          <w:rFonts w:ascii="Book Antiqua" w:hAnsi="Book Antiqua" w:cs="Garamond"/>
          <w:sz w:val="24"/>
          <w:szCs w:val="24"/>
        </w:rPr>
        <w:t>United States</w:t>
      </w:r>
      <w:bookmarkEnd w:id="21"/>
      <w:bookmarkEnd w:id="22"/>
      <w:r w:rsidRPr="002C72DA">
        <w:rPr>
          <w:rFonts w:ascii="Book Antiqua" w:hAnsi="Book Antiqua"/>
          <w:sz w:val="24"/>
          <w:szCs w:val="24"/>
        </w:rPr>
        <w:t xml:space="preserve"> Food and Drug Administration Adverse Eve </w:t>
      </w:r>
      <w:proofErr w:type="spellStart"/>
      <w:r w:rsidRPr="002C72DA">
        <w:rPr>
          <w:rFonts w:ascii="Book Antiqua" w:hAnsi="Book Antiqua"/>
          <w:sz w:val="24"/>
          <w:szCs w:val="24"/>
        </w:rPr>
        <w:t>nt</w:t>
      </w:r>
      <w:proofErr w:type="spellEnd"/>
      <w:r w:rsidRPr="002C72DA">
        <w:rPr>
          <w:rFonts w:ascii="Book Antiqua" w:hAnsi="Book Antiqua"/>
          <w:sz w:val="24"/>
          <w:szCs w:val="24"/>
        </w:rPr>
        <w:t xml:space="preserve"> Reporting System found an incidence of 2</w:t>
      </w:r>
      <w:r>
        <w:rPr>
          <w:rFonts w:ascii="Book Antiqua" w:hAnsi="Book Antiqua"/>
          <w:sz w:val="24"/>
          <w:szCs w:val="24"/>
        </w:rPr>
        <w:t>4 cases of tuberculosis per 100</w:t>
      </w:r>
      <w:r w:rsidRPr="002C72DA">
        <w:rPr>
          <w:rFonts w:ascii="Book Antiqua" w:hAnsi="Book Antiqua"/>
          <w:sz w:val="24"/>
          <w:szCs w:val="24"/>
        </w:rPr>
        <w:t>000 per year among those treated with anti-TNF, which translates into a 4 fold increased risk</w:t>
      </w:r>
      <w:r w:rsidRPr="00B957FA">
        <w:rPr>
          <w:rFonts w:ascii="Book Antiqua" w:hAnsi="Book Antiqua"/>
          <w:sz w:val="24"/>
          <w:szCs w:val="24"/>
          <w:vertAlign w:val="superscript"/>
        </w:rPr>
        <w:t>[</w:t>
      </w:r>
      <w:r w:rsidRPr="002C72DA">
        <w:rPr>
          <w:rFonts w:ascii="Book Antiqua" w:hAnsi="Book Antiqua"/>
          <w:sz w:val="24"/>
          <w:szCs w:val="24"/>
          <w:vertAlign w:val="superscript"/>
        </w:rPr>
        <w:t>24]</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Similarly, the incidence of Hepatitis B virus (HBV) reactivation is also increased among these patients</w:t>
      </w:r>
      <w:r w:rsidRPr="00B957FA">
        <w:rPr>
          <w:rFonts w:ascii="Book Antiqua" w:hAnsi="Book Antiqua"/>
          <w:sz w:val="24"/>
          <w:szCs w:val="24"/>
          <w:vertAlign w:val="superscript"/>
        </w:rPr>
        <w:t>[</w:t>
      </w:r>
      <w:r w:rsidRPr="002C72DA">
        <w:rPr>
          <w:rFonts w:ascii="Book Antiqua" w:hAnsi="Book Antiqua"/>
          <w:sz w:val="24"/>
          <w:szCs w:val="24"/>
          <w:vertAlign w:val="superscript"/>
        </w:rPr>
        <w:t>25-27]</w:t>
      </w:r>
      <w:r w:rsidRPr="002C72DA">
        <w:rPr>
          <w:rFonts w:ascii="Book Antiqua" w:hAnsi="Book Antiqua"/>
          <w:sz w:val="24"/>
          <w:szCs w:val="24"/>
        </w:rPr>
        <w:t>.</w:t>
      </w:r>
      <w:r>
        <w:rPr>
          <w:rFonts w:ascii="Book Antiqua" w:hAnsi="Book Antiqua"/>
          <w:sz w:val="24"/>
          <w:szCs w:val="24"/>
        </w:rPr>
        <w:t xml:space="preserve"> </w:t>
      </w:r>
    </w:p>
    <w:p w:rsidR="00CD552B" w:rsidRPr="002C72DA" w:rsidRDefault="00CD552B" w:rsidP="002C72DA">
      <w:pPr>
        <w:spacing w:after="0" w:line="360" w:lineRule="auto"/>
        <w:ind w:firstLine="720"/>
        <w:contextualSpacing/>
        <w:jc w:val="both"/>
        <w:rPr>
          <w:rFonts w:ascii="Book Antiqua" w:hAnsi="Book Antiqua"/>
          <w:sz w:val="24"/>
          <w:szCs w:val="24"/>
        </w:rPr>
      </w:pPr>
      <w:r w:rsidRPr="002C72DA">
        <w:rPr>
          <w:rFonts w:ascii="Book Antiqua" w:hAnsi="Book Antiqua"/>
          <w:sz w:val="24"/>
          <w:szCs w:val="24"/>
        </w:rPr>
        <w:t>In order to minimize this risk, screening measures have been recommended prior to initiating ant-TNF therapy.</w:t>
      </w:r>
      <w:r>
        <w:rPr>
          <w:rFonts w:ascii="Book Antiqua" w:hAnsi="Book Antiqua"/>
          <w:sz w:val="24"/>
          <w:szCs w:val="24"/>
        </w:rPr>
        <w:t xml:space="preserve"> </w:t>
      </w:r>
      <w:r w:rsidRPr="002C72DA">
        <w:rPr>
          <w:rFonts w:ascii="Book Antiqua" w:hAnsi="Book Antiqua"/>
          <w:sz w:val="24"/>
          <w:szCs w:val="24"/>
        </w:rPr>
        <w:t xml:space="preserve">Screening for LTBI and HBV prior to treatment has been </w:t>
      </w:r>
      <w:r w:rsidRPr="002C72DA">
        <w:rPr>
          <w:rFonts w:ascii="Book Antiqua" w:hAnsi="Book Antiqua"/>
          <w:sz w:val="24"/>
          <w:szCs w:val="24"/>
        </w:rPr>
        <w:lastRenderedPageBreak/>
        <w:t>recommended by the US Food and Drug Administration, Health Canada, and all gastrointestinal societies</w:t>
      </w:r>
      <w:r w:rsidRPr="00B957FA">
        <w:rPr>
          <w:rFonts w:ascii="Book Antiqua" w:hAnsi="Book Antiqua"/>
          <w:sz w:val="24"/>
          <w:szCs w:val="24"/>
          <w:vertAlign w:val="superscript"/>
        </w:rPr>
        <w:t>[</w:t>
      </w:r>
      <w:r w:rsidRPr="002C72DA">
        <w:rPr>
          <w:rFonts w:ascii="Book Antiqua" w:hAnsi="Book Antiqua"/>
          <w:sz w:val="24"/>
          <w:szCs w:val="24"/>
          <w:vertAlign w:val="superscript"/>
        </w:rPr>
        <w:t>28-31]</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Screening is effective in reducing infections complications, is easy to perform, and has minimal risks to patients</w:t>
      </w:r>
      <w:r w:rsidRPr="00B957FA">
        <w:rPr>
          <w:rFonts w:ascii="Book Antiqua" w:hAnsi="Book Antiqua"/>
          <w:sz w:val="24"/>
          <w:szCs w:val="24"/>
          <w:vertAlign w:val="superscript"/>
        </w:rPr>
        <w:t>[</w:t>
      </w:r>
      <w:r w:rsidRPr="002C72DA">
        <w:rPr>
          <w:rFonts w:ascii="Book Antiqua" w:hAnsi="Book Antiqua"/>
          <w:sz w:val="24"/>
          <w:szCs w:val="24"/>
          <w:vertAlign w:val="superscript"/>
        </w:rPr>
        <w:t>32-34]</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This involves tuberculin skin testing and chest-X-ray for LTBI and a panel of three serological blood tests for HBV (</w:t>
      </w:r>
      <w:proofErr w:type="spellStart"/>
      <w:r w:rsidRPr="002C72DA">
        <w:rPr>
          <w:rFonts w:ascii="Book Antiqua" w:hAnsi="Book Antiqua"/>
          <w:sz w:val="24"/>
          <w:szCs w:val="24"/>
        </w:rPr>
        <w:t>HBsAg</w:t>
      </w:r>
      <w:proofErr w:type="spellEnd"/>
      <w:r w:rsidRPr="002C72DA">
        <w:rPr>
          <w:rFonts w:ascii="Book Antiqua" w:hAnsi="Book Antiqua"/>
          <w:sz w:val="24"/>
          <w:szCs w:val="24"/>
        </w:rPr>
        <w:t xml:space="preserve">, </w:t>
      </w:r>
      <w:proofErr w:type="spellStart"/>
      <w:r w:rsidRPr="002C72DA">
        <w:rPr>
          <w:rFonts w:ascii="Book Antiqua" w:hAnsi="Book Antiqua"/>
          <w:sz w:val="24"/>
          <w:szCs w:val="24"/>
        </w:rPr>
        <w:t>HBsAb</w:t>
      </w:r>
      <w:proofErr w:type="spellEnd"/>
      <w:r w:rsidRPr="002C72DA">
        <w:rPr>
          <w:rFonts w:ascii="Book Antiqua" w:hAnsi="Book Antiqua"/>
          <w:sz w:val="24"/>
          <w:szCs w:val="24"/>
        </w:rPr>
        <w:t xml:space="preserve">, </w:t>
      </w:r>
      <w:proofErr w:type="spellStart"/>
      <w:r w:rsidRPr="002C72DA">
        <w:rPr>
          <w:rFonts w:ascii="Book Antiqua" w:hAnsi="Book Antiqua"/>
          <w:sz w:val="24"/>
          <w:szCs w:val="24"/>
        </w:rPr>
        <w:t>HBcAb</w:t>
      </w:r>
      <w:proofErr w:type="spellEnd"/>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Adherence to screening with tuberculin skin testing and chest x-ray has been shown to reduce the risk of tuberculosis by 78%-90%</w:t>
      </w:r>
      <w:r w:rsidRPr="00B957FA">
        <w:rPr>
          <w:rFonts w:ascii="Book Antiqua" w:hAnsi="Book Antiqua"/>
          <w:sz w:val="24"/>
          <w:szCs w:val="24"/>
          <w:vertAlign w:val="superscript"/>
        </w:rPr>
        <w:t>[</w:t>
      </w:r>
      <w:r w:rsidRPr="002C72DA">
        <w:rPr>
          <w:rFonts w:ascii="Book Antiqua" w:hAnsi="Book Antiqua"/>
          <w:sz w:val="24"/>
          <w:szCs w:val="24"/>
          <w:vertAlign w:val="superscript"/>
        </w:rPr>
        <w:t>32,33]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Screening for HBV with subsequent vaccination or chemoprophylaxis if indicated has also been shown to be effective</w:t>
      </w:r>
      <w:r w:rsidRPr="00B957FA">
        <w:rPr>
          <w:rFonts w:ascii="Book Antiqua" w:hAnsi="Book Antiqua"/>
          <w:sz w:val="24"/>
          <w:szCs w:val="24"/>
          <w:vertAlign w:val="superscript"/>
        </w:rPr>
        <w:t>[</w:t>
      </w:r>
      <w:r w:rsidRPr="002C72DA">
        <w:rPr>
          <w:rFonts w:ascii="Book Antiqua" w:hAnsi="Book Antiqua"/>
          <w:sz w:val="24"/>
          <w:szCs w:val="24"/>
          <w:vertAlign w:val="superscript"/>
        </w:rPr>
        <w:t>34]</w:t>
      </w:r>
      <w:r w:rsidRPr="002C72DA">
        <w:rPr>
          <w:rFonts w:ascii="Book Antiqua" w:hAnsi="Book Antiqua"/>
          <w:sz w:val="24"/>
          <w:szCs w:val="24"/>
        </w:rPr>
        <w:t>.</w:t>
      </w:r>
      <w:r>
        <w:rPr>
          <w:rFonts w:ascii="Book Antiqua" w:hAnsi="Book Antiqua"/>
          <w:sz w:val="24"/>
          <w:szCs w:val="24"/>
        </w:rPr>
        <w:t xml:space="preserve"> </w:t>
      </w:r>
    </w:p>
    <w:p w:rsidR="00CD552B" w:rsidRPr="002C72DA" w:rsidRDefault="00CD552B" w:rsidP="002C72DA">
      <w:pPr>
        <w:spacing w:after="0" w:line="360" w:lineRule="auto"/>
        <w:ind w:firstLine="720"/>
        <w:jc w:val="both"/>
        <w:rPr>
          <w:rFonts w:ascii="Book Antiqua" w:hAnsi="Book Antiqua"/>
          <w:b/>
          <w:sz w:val="24"/>
          <w:szCs w:val="24"/>
          <w:u w:val="single"/>
        </w:rPr>
      </w:pPr>
      <w:r w:rsidRPr="002C72DA">
        <w:rPr>
          <w:rFonts w:ascii="Book Antiqua" w:hAnsi="Book Antiqua"/>
          <w:sz w:val="24"/>
          <w:szCs w:val="24"/>
        </w:rPr>
        <w:t>Despite these recommendations, cases of severe and sometimes fatal infection with tuberculosis or hepatitis B have been described, and many of these can be attributed to lack of screening</w:t>
      </w:r>
      <w:r w:rsidRPr="00B957FA">
        <w:rPr>
          <w:rFonts w:ascii="Book Antiqua" w:hAnsi="Book Antiqua"/>
          <w:sz w:val="24"/>
          <w:szCs w:val="24"/>
          <w:vertAlign w:val="superscript"/>
        </w:rPr>
        <w:t>[</w:t>
      </w:r>
      <w:r w:rsidRPr="002C72DA">
        <w:rPr>
          <w:rFonts w:ascii="Book Antiqua" w:hAnsi="Book Antiqua"/>
          <w:sz w:val="24"/>
          <w:szCs w:val="24"/>
          <w:vertAlign w:val="superscript"/>
        </w:rPr>
        <w:t>34-36]</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A retrospective review of over 200 patients followed at a large US academic IBD center revealed only 65% of patients were appropriately screened for tuberculosis and 25% screened for hepatitis B</w:t>
      </w:r>
      <w:r w:rsidRPr="00B957FA">
        <w:rPr>
          <w:rFonts w:ascii="Book Antiqua" w:hAnsi="Book Antiqua"/>
          <w:sz w:val="24"/>
          <w:szCs w:val="24"/>
          <w:vertAlign w:val="superscript"/>
        </w:rPr>
        <w:t>[</w:t>
      </w:r>
      <w:r w:rsidRPr="002C72DA">
        <w:rPr>
          <w:rFonts w:ascii="Book Antiqua" w:hAnsi="Book Antiqua"/>
          <w:sz w:val="24"/>
          <w:szCs w:val="24"/>
          <w:vertAlign w:val="superscript"/>
        </w:rPr>
        <w:t>37]</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Similarly, a study from Australia showed that only 50% of gastroenterologists were routinely screening for HBV prior to starting anti-TNF</w:t>
      </w:r>
      <w:r w:rsidRPr="00B957FA">
        <w:rPr>
          <w:rFonts w:ascii="Book Antiqua" w:hAnsi="Book Antiqua"/>
          <w:sz w:val="24"/>
          <w:szCs w:val="24"/>
          <w:vertAlign w:val="superscript"/>
        </w:rPr>
        <w:t>[</w:t>
      </w:r>
      <w:r w:rsidRPr="002C72DA">
        <w:rPr>
          <w:rFonts w:ascii="Book Antiqua" w:hAnsi="Book Antiqua"/>
          <w:sz w:val="24"/>
          <w:szCs w:val="24"/>
          <w:vertAlign w:val="superscript"/>
        </w:rPr>
        <w:t>38]</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This underscores the problem in provider’s adherence to screening.</w:t>
      </w:r>
      <w:r>
        <w:rPr>
          <w:rFonts w:ascii="Book Antiqua" w:hAnsi="Book Antiqua"/>
          <w:sz w:val="24"/>
          <w:szCs w:val="24"/>
        </w:rPr>
        <w:t xml:space="preserve"> </w:t>
      </w:r>
      <w:r w:rsidRPr="002C72DA">
        <w:rPr>
          <w:rFonts w:ascii="Book Antiqua" w:hAnsi="Book Antiqua"/>
          <w:sz w:val="24"/>
          <w:szCs w:val="24"/>
        </w:rPr>
        <w:t>The development of tuberculosis or hepatitis B while on anti-TNF has the potential for high morbidity and mortality.</w:t>
      </w:r>
      <w:r>
        <w:rPr>
          <w:rFonts w:ascii="Book Antiqua" w:hAnsi="Book Antiqua"/>
          <w:sz w:val="24"/>
          <w:szCs w:val="24"/>
        </w:rPr>
        <w:t xml:space="preserve"> </w:t>
      </w:r>
      <w:r w:rsidRPr="002C72DA">
        <w:rPr>
          <w:rFonts w:ascii="Book Antiqua" w:hAnsi="Book Antiqua"/>
          <w:sz w:val="24"/>
          <w:szCs w:val="24"/>
        </w:rPr>
        <w:t>Given the ease and effectiveness of screening and the consequences of lack of screening, one can argue that anti-TNF screening rates less than 100% are unacceptable.</w:t>
      </w:r>
      <w:r>
        <w:rPr>
          <w:rFonts w:ascii="Book Antiqua" w:hAnsi="Book Antiqua"/>
          <w:sz w:val="24"/>
          <w:szCs w:val="24"/>
        </w:rPr>
        <w:t xml:space="preserve">  </w:t>
      </w:r>
    </w:p>
    <w:p w:rsidR="00CD552B" w:rsidRPr="002C72DA" w:rsidRDefault="00CD552B" w:rsidP="002C72DA">
      <w:pPr>
        <w:spacing w:after="0" w:line="360" w:lineRule="auto"/>
        <w:contextualSpacing/>
        <w:jc w:val="both"/>
        <w:rPr>
          <w:rFonts w:ascii="Book Antiqua" w:hAnsi="Book Antiqua"/>
          <w:sz w:val="24"/>
          <w:szCs w:val="24"/>
        </w:rPr>
      </w:pPr>
      <w:r w:rsidRPr="002C72DA">
        <w:rPr>
          <w:rFonts w:ascii="Book Antiqua" w:hAnsi="Book Antiqua"/>
          <w:b/>
          <w:sz w:val="24"/>
          <w:szCs w:val="24"/>
        </w:rPr>
        <w:tab/>
      </w:r>
      <w:r w:rsidRPr="002C72DA">
        <w:rPr>
          <w:rFonts w:ascii="Book Antiqua" w:hAnsi="Book Antiqua"/>
          <w:sz w:val="24"/>
          <w:szCs w:val="24"/>
        </w:rPr>
        <w:t>There is growing literature exploring contributors to this safety problem.</w:t>
      </w:r>
      <w:r>
        <w:rPr>
          <w:rFonts w:ascii="Book Antiqua" w:hAnsi="Book Antiqua"/>
          <w:sz w:val="24"/>
          <w:szCs w:val="24"/>
        </w:rPr>
        <w:t xml:space="preserve"> </w:t>
      </w:r>
      <w:r w:rsidRPr="002C72DA">
        <w:rPr>
          <w:rFonts w:ascii="Book Antiqua" w:hAnsi="Book Antiqua"/>
          <w:sz w:val="24"/>
          <w:szCs w:val="24"/>
        </w:rPr>
        <w:t xml:space="preserve">In their review of 287 IBD patients starting anti-TNF, Vaughn </w:t>
      </w:r>
      <w:r w:rsidRPr="00357864">
        <w:rPr>
          <w:rFonts w:ascii="Book Antiqua" w:hAnsi="Book Antiqua"/>
          <w:i/>
          <w:sz w:val="24"/>
          <w:szCs w:val="24"/>
        </w:rPr>
        <w:t>et al</w:t>
      </w:r>
      <w:r w:rsidRPr="00B957FA">
        <w:rPr>
          <w:rFonts w:ascii="Book Antiqua" w:hAnsi="Book Antiqua"/>
          <w:sz w:val="24"/>
          <w:szCs w:val="24"/>
          <w:vertAlign w:val="superscript"/>
        </w:rPr>
        <w:t>[</w:t>
      </w:r>
      <w:r w:rsidRPr="002C72DA">
        <w:rPr>
          <w:rFonts w:ascii="Book Antiqua" w:hAnsi="Book Antiqua"/>
          <w:sz w:val="24"/>
          <w:szCs w:val="24"/>
          <w:vertAlign w:val="superscript"/>
        </w:rPr>
        <w:t>37]</w:t>
      </w:r>
      <w:r w:rsidRPr="002C72DA">
        <w:rPr>
          <w:rFonts w:ascii="Book Antiqua" w:hAnsi="Book Antiqua"/>
          <w:sz w:val="24"/>
          <w:szCs w:val="24"/>
        </w:rPr>
        <w:t xml:space="preserve"> identified factors most often associated with lack of screening for tuberculosis: previous exposure to anti-TNF </w:t>
      </w:r>
      <w:r>
        <w:rPr>
          <w:rFonts w:ascii="Book Antiqua" w:hAnsi="Book Antiqua"/>
          <w:sz w:val="24"/>
          <w:szCs w:val="24"/>
          <w:lang w:eastAsia="zh-CN"/>
        </w:rPr>
        <w:t>[</w:t>
      </w:r>
      <w:r w:rsidRPr="002C72DA">
        <w:rPr>
          <w:rFonts w:ascii="Book Antiqua" w:hAnsi="Book Antiqua"/>
          <w:sz w:val="24"/>
          <w:szCs w:val="24"/>
        </w:rPr>
        <w:t>OR</w:t>
      </w:r>
      <w:r>
        <w:rPr>
          <w:rFonts w:ascii="Book Antiqua" w:hAnsi="Book Antiqua"/>
          <w:sz w:val="24"/>
          <w:szCs w:val="24"/>
          <w:lang w:eastAsia="zh-CN"/>
        </w:rPr>
        <w:t xml:space="preserve"> =</w:t>
      </w:r>
      <w:r w:rsidRPr="002C72DA">
        <w:rPr>
          <w:rFonts w:ascii="Book Antiqua" w:hAnsi="Book Antiqua"/>
          <w:sz w:val="24"/>
          <w:szCs w:val="24"/>
        </w:rPr>
        <w:t xml:space="preserve"> 5.3</w:t>
      </w:r>
      <w:r>
        <w:rPr>
          <w:rFonts w:ascii="Book Antiqua" w:hAnsi="Book Antiqua"/>
          <w:sz w:val="24"/>
          <w:szCs w:val="24"/>
          <w:lang w:eastAsia="zh-CN"/>
        </w:rPr>
        <w:t xml:space="preserve"> (</w:t>
      </w:r>
      <w:r>
        <w:rPr>
          <w:rFonts w:ascii="Book Antiqua" w:hAnsi="Book Antiqua"/>
          <w:sz w:val="24"/>
          <w:szCs w:val="24"/>
        </w:rPr>
        <w:t>95%</w:t>
      </w:r>
      <w:r w:rsidRPr="002C72DA">
        <w:rPr>
          <w:rFonts w:ascii="Book Antiqua" w:hAnsi="Book Antiqua"/>
          <w:sz w:val="24"/>
          <w:szCs w:val="24"/>
        </w:rPr>
        <w:t>CI</w:t>
      </w:r>
      <w:r>
        <w:rPr>
          <w:rFonts w:ascii="Book Antiqua" w:hAnsi="Book Antiqua"/>
          <w:sz w:val="24"/>
          <w:szCs w:val="24"/>
          <w:lang w:eastAsia="zh-CN"/>
        </w:rPr>
        <w:t xml:space="preserve">: </w:t>
      </w:r>
      <w:r w:rsidRPr="002C72DA">
        <w:rPr>
          <w:rFonts w:ascii="Book Antiqua" w:hAnsi="Book Antiqua"/>
          <w:sz w:val="24"/>
          <w:szCs w:val="24"/>
        </w:rPr>
        <w:t>2.8-10.3</w:t>
      </w:r>
      <w:r>
        <w:rPr>
          <w:rFonts w:ascii="Book Antiqua" w:hAnsi="Book Antiqua"/>
          <w:sz w:val="24"/>
          <w:szCs w:val="24"/>
          <w:lang w:eastAsia="zh-CN"/>
        </w:rPr>
        <w:t>)]</w:t>
      </w:r>
      <w:r w:rsidRPr="002C72DA">
        <w:rPr>
          <w:rFonts w:ascii="Book Antiqua" w:hAnsi="Book Antiqua"/>
          <w:sz w:val="24"/>
          <w:szCs w:val="24"/>
        </w:rPr>
        <w:t xml:space="preserve">, health care providers in practice for more than 10 years </w:t>
      </w:r>
      <w:r>
        <w:rPr>
          <w:rFonts w:ascii="Book Antiqua" w:hAnsi="Book Antiqua"/>
          <w:sz w:val="24"/>
          <w:szCs w:val="24"/>
          <w:lang w:eastAsia="zh-CN"/>
        </w:rPr>
        <w:t>[</w:t>
      </w:r>
      <w:r w:rsidRPr="002C72DA">
        <w:rPr>
          <w:rFonts w:ascii="Book Antiqua" w:hAnsi="Book Antiqua"/>
          <w:sz w:val="24"/>
          <w:szCs w:val="24"/>
        </w:rPr>
        <w:t>2.5</w:t>
      </w:r>
      <w:r>
        <w:rPr>
          <w:rFonts w:ascii="Book Antiqua" w:hAnsi="Book Antiqua"/>
          <w:sz w:val="24"/>
          <w:szCs w:val="24"/>
          <w:vertAlign w:val="superscript"/>
          <w:lang w:eastAsia="zh-CN"/>
        </w:rPr>
        <w:t xml:space="preserve"> </w:t>
      </w:r>
      <w:r>
        <w:rPr>
          <w:rFonts w:ascii="Book Antiqua" w:hAnsi="Book Antiqua"/>
          <w:sz w:val="24"/>
          <w:szCs w:val="24"/>
          <w:lang w:eastAsia="zh-CN"/>
        </w:rPr>
        <w:t>(</w:t>
      </w:r>
      <w:r w:rsidRPr="002C72DA">
        <w:rPr>
          <w:rFonts w:ascii="Book Antiqua" w:hAnsi="Book Antiqua"/>
          <w:sz w:val="24"/>
          <w:szCs w:val="24"/>
        </w:rPr>
        <w:t>95%CI</w:t>
      </w:r>
      <w:r>
        <w:rPr>
          <w:rFonts w:ascii="Book Antiqua" w:hAnsi="Book Antiqua"/>
          <w:sz w:val="24"/>
          <w:szCs w:val="24"/>
          <w:lang w:eastAsia="zh-CN"/>
        </w:rPr>
        <w:t>:</w:t>
      </w:r>
      <w:r w:rsidRPr="002C72DA">
        <w:rPr>
          <w:rFonts w:ascii="Book Antiqua" w:hAnsi="Book Antiqua"/>
          <w:sz w:val="24"/>
          <w:szCs w:val="24"/>
        </w:rPr>
        <w:t xml:space="preserve"> 1.4-4.5</w:t>
      </w:r>
      <w:r>
        <w:rPr>
          <w:rFonts w:ascii="Book Antiqua" w:hAnsi="Book Antiqua"/>
          <w:sz w:val="24"/>
          <w:szCs w:val="24"/>
          <w:lang w:eastAsia="zh-CN"/>
        </w:rPr>
        <w:t>)</w:t>
      </w:r>
      <w:r w:rsidRPr="002C72DA">
        <w:rPr>
          <w:rFonts w:ascii="Book Antiqua" w:hAnsi="Book Antiqua"/>
          <w:sz w:val="24"/>
          <w:szCs w:val="24"/>
        </w:rPr>
        <w:t xml:space="preserve"> and treatment at a non-IBD center </w:t>
      </w:r>
      <w:r>
        <w:rPr>
          <w:rFonts w:ascii="Book Antiqua" w:hAnsi="Book Antiqua"/>
          <w:sz w:val="24"/>
          <w:szCs w:val="24"/>
          <w:lang w:eastAsia="zh-CN"/>
        </w:rPr>
        <w:t>[</w:t>
      </w:r>
      <w:r w:rsidRPr="002C72DA">
        <w:rPr>
          <w:rFonts w:ascii="Book Antiqua" w:hAnsi="Book Antiqua"/>
          <w:sz w:val="24"/>
          <w:szCs w:val="24"/>
        </w:rPr>
        <w:t>1.9</w:t>
      </w:r>
      <w:r>
        <w:rPr>
          <w:rFonts w:ascii="Book Antiqua" w:hAnsi="Book Antiqua"/>
          <w:sz w:val="24"/>
          <w:szCs w:val="24"/>
          <w:lang w:eastAsia="zh-CN"/>
        </w:rPr>
        <w:t xml:space="preserve"> (</w:t>
      </w:r>
      <w:r w:rsidRPr="002C72DA">
        <w:rPr>
          <w:rFonts w:ascii="Book Antiqua" w:hAnsi="Book Antiqua"/>
          <w:sz w:val="24"/>
          <w:szCs w:val="24"/>
        </w:rPr>
        <w:t>95%CI</w:t>
      </w:r>
      <w:r>
        <w:rPr>
          <w:rFonts w:ascii="Book Antiqua" w:hAnsi="Book Antiqua"/>
          <w:sz w:val="24"/>
          <w:szCs w:val="24"/>
          <w:lang w:eastAsia="zh-CN"/>
        </w:rPr>
        <w:t>:</w:t>
      </w:r>
      <w:r w:rsidRPr="002C72DA">
        <w:rPr>
          <w:rFonts w:ascii="Book Antiqua" w:hAnsi="Book Antiqua"/>
          <w:sz w:val="24"/>
          <w:szCs w:val="24"/>
        </w:rPr>
        <w:t xml:space="preserve"> 1-3.4</w:t>
      </w:r>
      <w:r>
        <w:rPr>
          <w:rFonts w:ascii="Book Antiqua" w:hAnsi="Book Antiqua"/>
          <w:sz w:val="24"/>
          <w:szCs w:val="24"/>
          <w:lang w:eastAsia="zh-CN"/>
        </w:rPr>
        <w:t>)</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The factors contributing to lack of HBV screening were the same.</w:t>
      </w:r>
      <w:r>
        <w:rPr>
          <w:rFonts w:ascii="Book Antiqua" w:hAnsi="Book Antiqua"/>
          <w:sz w:val="24"/>
          <w:szCs w:val="24"/>
        </w:rPr>
        <w:t xml:space="preserve"> </w:t>
      </w:r>
      <w:r w:rsidRPr="002C72DA">
        <w:rPr>
          <w:rFonts w:ascii="Book Antiqua" w:hAnsi="Book Antiqua"/>
          <w:sz w:val="24"/>
          <w:szCs w:val="24"/>
        </w:rPr>
        <w:t>These reasons highlight the role of lack of knowledge, as physicians in practice longer or those at a non-IBD center may be less likely to be up to date with current guidelines.</w:t>
      </w:r>
      <w:r>
        <w:rPr>
          <w:rFonts w:ascii="Book Antiqua" w:hAnsi="Book Antiqua"/>
          <w:sz w:val="24"/>
          <w:szCs w:val="24"/>
        </w:rPr>
        <w:t xml:space="preserve"> </w:t>
      </w:r>
      <w:r w:rsidRPr="002C72DA">
        <w:rPr>
          <w:rFonts w:ascii="Book Antiqua" w:hAnsi="Book Antiqua"/>
          <w:sz w:val="24"/>
          <w:szCs w:val="24"/>
        </w:rPr>
        <w:t>Previous exposure to anti-TNF may falsely reassure the prescribing physician that the appropriate work up had already been completed.</w:t>
      </w:r>
      <w:r>
        <w:rPr>
          <w:rFonts w:ascii="Book Antiqua" w:hAnsi="Book Antiqua"/>
          <w:sz w:val="24"/>
          <w:szCs w:val="24"/>
        </w:rPr>
        <w:t xml:space="preserve"> </w:t>
      </w:r>
      <w:r w:rsidRPr="002C72DA">
        <w:rPr>
          <w:rFonts w:ascii="Book Antiqua" w:hAnsi="Book Antiqua"/>
          <w:sz w:val="24"/>
          <w:szCs w:val="24"/>
        </w:rPr>
        <w:t xml:space="preserve">This highlights the contribution of confusion as to who is </w:t>
      </w:r>
      <w:r w:rsidRPr="002C72DA">
        <w:rPr>
          <w:rFonts w:ascii="Book Antiqua" w:hAnsi="Book Antiqua"/>
          <w:sz w:val="24"/>
          <w:szCs w:val="24"/>
        </w:rPr>
        <w:lastRenderedPageBreak/>
        <w:t>responsible for screening.</w:t>
      </w:r>
      <w:r>
        <w:rPr>
          <w:rFonts w:ascii="Book Antiqua" w:hAnsi="Book Antiqua"/>
          <w:sz w:val="24"/>
          <w:szCs w:val="24"/>
        </w:rPr>
        <w:t xml:space="preserve"> </w:t>
      </w:r>
      <w:r w:rsidRPr="002C72DA">
        <w:rPr>
          <w:rFonts w:ascii="Book Antiqua" w:hAnsi="Book Antiqua"/>
          <w:sz w:val="24"/>
          <w:szCs w:val="24"/>
        </w:rPr>
        <w:t>Uncertainty as to how and when to screen is also an important contributor, as evident in a gastroenterology practice audit that showed that while most knew that screening was indicated, there was significant heterogeneity in the type and timing of screening</w:t>
      </w:r>
      <w:r w:rsidRPr="00B957FA">
        <w:rPr>
          <w:rFonts w:ascii="Book Antiqua" w:hAnsi="Book Antiqua"/>
          <w:sz w:val="24"/>
          <w:szCs w:val="24"/>
          <w:vertAlign w:val="superscript"/>
        </w:rPr>
        <w:t>[</w:t>
      </w:r>
      <w:r w:rsidRPr="002C72DA">
        <w:rPr>
          <w:rFonts w:ascii="Book Antiqua" w:hAnsi="Book Antiqua"/>
          <w:sz w:val="24"/>
          <w:szCs w:val="24"/>
          <w:vertAlign w:val="superscript"/>
        </w:rPr>
        <w:t>38]</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Thus, knowledge gaps as to the need for screening, confusion surrounding responsibility for screening, and details regarding how to screen appear to be major contributors to this problem.</w:t>
      </w:r>
    </w:p>
    <w:p w:rsidR="00CD552B" w:rsidRPr="002C72DA" w:rsidRDefault="00CD552B" w:rsidP="002C72DA">
      <w:pPr>
        <w:spacing w:after="0" w:line="360" w:lineRule="auto"/>
        <w:contextualSpacing/>
        <w:jc w:val="both"/>
        <w:rPr>
          <w:rFonts w:ascii="Book Antiqua" w:hAnsi="Book Antiqua"/>
          <w:sz w:val="24"/>
          <w:szCs w:val="24"/>
        </w:rPr>
      </w:pPr>
    </w:p>
    <w:p w:rsidR="00CD552B" w:rsidRPr="00197684" w:rsidRDefault="00CD552B" w:rsidP="002C72DA">
      <w:pPr>
        <w:spacing w:after="0" w:line="360" w:lineRule="auto"/>
        <w:contextualSpacing/>
        <w:jc w:val="both"/>
        <w:rPr>
          <w:rFonts w:ascii="Book Antiqua" w:hAnsi="Book Antiqua"/>
          <w:b/>
          <w:sz w:val="24"/>
          <w:szCs w:val="24"/>
        </w:rPr>
      </w:pPr>
      <w:r w:rsidRPr="00197684">
        <w:rPr>
          <w:rFonts w:ascii="Book Antiqua" w:hAnsi="Book Antiqua"/>
          <w:b/>
          <w:sz w:val="24"/>
          <w:szCs w:val="24"/>
        </w:rPr>
        <w:t>MONITORING THIOPURINE THERAPY</w:t>
      </w:r>
    </w:p>
    <w:p w:rsidR="00CD552B" w:rsidRPr="002C72DA" w:rsidRDefault="00CD552B" w:rsidP="002C72DA">
      <w:pPr>
        <w:spacing w:after="0" w:line="360" w:lineRule="auto"/>
        <w:contextualSpacing/>
        <w:jc w:val="both"/>
        <w:rPr>
          <w:rFonts w:ascii="Book Antiqua" w:hAnsi="Book Antiqua"/>
          <w:sz w:val="24"/>
          <w:szCs w:val="24"/>
        </w:rPr>
      </w:pPr>
      <w:proofErr w:type="spellStart"/>
      <w:r w:rsidRPr="002C72DA">
        <w:rPr>
          <w:rFonts w:ascii="Book Antiqua" w:hAnsi="Book Antiqua"/>
          <w:sz w:val="24"/>
          <w:szCs w:val="24"/>
        </w:rPr>
        <w:t>Thiopurines</w:t>
      </w:r>
      <w:proofErr w:type="spellEnd"/>
      <w:r w:rsidRPr="002C72DA">
        <w:rPr>
          <w:rFonts w:ascii="Book Antiqua" w:hAnsi="Book Antiqua"/>
          <w:sz w:val="24"/>
          <w:szCs w:val="24"/>
        </w:rPr>
        <w:t>, including azathioprine and 6-mercaptopurine, are commonly used in patients with IBD.</w:t>
      </w:r>
      <w:r>
        <w:rPr>
          <w:rFonts w:ascii="Book Antiqua" w:hAnsi="Book Antiqua"/>
          <w:sz w:val="24"/>
          <w:szCs w:val="24"/>
        </w:rPr>
        <w:t xml:space="preserve"> </w:t>
      </w:r>
      <w:r w:rsidRPr="002C72DA">
        <w:rPr>
          <w:rFonts w:ascii="Book Antiqua" w:hAnsi="Book Antiqua"/>
          <w:sz w:val="24"/>
          <w:szCs w:val="24"/>
        </w:rPr>
        <w:t>While most patients tolerate these medications with minimal side effects, ongoing monitoring is required once therapy commences.</w:t>
      </w:r>
      <w:r>
        <w:rPr>
          <w:rFonts w:ascii="Book Antiqua" w:hAnsi="Book Antiqua"/>
          <w:sz w:val="24"/>
          <w:szCs w:val="24"/>
        </w:rPr>
        <w:t xml:space="preserve"> </w:t>
      </w:r>
      <w:r w:rsidRPr="002C72DA">
        <w:rPr>
          <w:rFonts w:ascii="Book Antiqua" w:hAnsi="Book Antiqua"/>
          <w:sz w:val="24"/>
          <w:szCs w:val="24"/>
        </w:rPr>
        <w:t xml:space="preserve">Regular complete blood counts (CBC) are recommended by all published guidelines to monitor for </w:t>
      </w:r>
      <w:proofErr w:type="spellStart"/>
      <w:r w:rsidRPr="002C72DA">
        <w:rPr>
          <w:rFonts w:ascii="Book Antiqua" w:hAnsi="Book Antiqua"/>
          <w:sz w:val="24"/>
          <w:szCs w:val="24"/>
        </w:rPr>
        <w:t>myelosuppression</w:t>
      </w:r>
      <w:proofErr w:type="spellEnd"/>
      <w:r w:rsidRPr="00B957FA">
        <w:rPr>
          <w:rFonts w:ascii="Book Antiqua" w:hAnsi="Book Antiqua"/>
          <w:sz w:val="24"/>
          <w:szCs w:val="24"/>
          <w:vertAlign w:val="superscript"/>
        </w:rPr>
        <w:t>[</w:t>
      </w:r>
      <w:r w:rsidRPr="002C72DA">
        <w:rPr>
          <w:rFonts w:ascii="Book Antiqua" w:hAnsi="Book Antiqua"/>
          <w:sz w:val="24"/>
          <w:szCs w:val="24"/>
          <w:vertAlign w:val="superscript"/>
        </w:rPr>
        <w:t>39-42]</w:t>
      </w:r>
      <w:r w:rsidRPr="002C72DA">
        <w:rPr>
          <w:rFonts w:ascii="Book Antiqua" w:hAnsi="Book Antiqua"/>
          <w:sz w:val="24"/>
          <w:szCs w:val="24"/>
        </w:rPr>
        <w:t xml:space="preserve">, for example weekly CBC within the first month of therapy, every other week for the following two months, and every 3 </w:t>
      </w:r>
      <w:proofErr w:type="spellStart"/>
      <w:r w:rsidRPr="002C72DA">
        <w:rPr>
          <w:rFonts w:ascii="Book Antiqua" w:hAnsi="Book Antiqua"/>
          <w:sz w:val="24"/>
          <w:szCs w:val="24"/>
        </w:rPr>
        <w:t>mo</w:t>
      </w:r>
      <w:proofErr w:type="spellEnd"/>
      <w:r w:rsidRPr="002C72DA">
        <w:rPr>
          <w:rFonts w:ascii="Book Antiqua" w:hAnsi="Book Antiqua"/>
          <w:sz w:val="24"/>
          <w:szCs w:val="24"/>
        </w:rPr>
        <w:t xml:space="preserve"> thereafter.</w:t>
      </w:r>
      <w:r>
        <w:rPr>
          <w:rFonts w:ascii="Book Antiqua" w:hAnsi="Book Antiqua"/>
          <w:sz w:val="24"/>
          <w:szCs w:val="24"/>
        </w:rPr>
        <w:t xml:space="preserve">  </w:t>
      </w:r>
      <w:r w:rsidRPr="002C72DA">
        <w:rPr>
          <w:rFonts w:ascii="Book Antiqua" w:hAnsi="Book Antiqua"/>
          <w:sz w:val="24"/>
          <w:szCs w:val="24"/>
        </w:rPr>
        <w:t xml:space="preserve">While the routine checking of </w:t>
      </w:r>
      <w:proofErr w:type="spellStart"/>
      <w:r w:rsidRPr="002C72DA">
        <w:rPr>
          <w:rFonts w:ascii="Book Antiqua" w:hAnsi="Book Antiqua"/>
          <w:sz w:val="24"/>
          <w:szCs w:val="24"/>
        </w:rPr>
        <w:t>thiopurine</w:t>
      </w:r>
      <w:proofErr w:type="spellEnd"/>
      <w:r w:rsidRPr="002C72DA">
        <w:rPr>
          <w:rFonts w:ascii="Book Antiqua" w:hAnsi="Book Antiqua"/>
          <w:sz w:val="24"/>
          <w:szCs w:val="24"/>
        </w:rPr>
        <w:t xml:space="preserve"> S-</w:t>
      </w:r>
      <w:proofErr w:type="spellStart"/>
      <w:r w:rsidRPr="002C72DA">
        <w:rPr>
          <w:rFonts w:ascii="Book Antiqua" w:hAnsi="Book Antiqua"/>
          <w:sz w:val="24"/>
          <w:szCs w:val="24"/>
        </w:rPr>
        <w:t>methyltransferase</w:t>
      </w:r>
      <w:proofErr w:type="spellEnd"/>
      <w:r w:rsidRPr="002C72DA">
        <w:rPr>
          <w:rFonts w:ascii="Book Antiqua" w:hAnsi="Book Antiqua"/>
          <w:sz w:val="24"/>
          <w:szCs w:val="24"/>
        </w:rPr>
        <w:t xml:space="preserve"> (TPMT) genotype and phenotype status prior to therapy remains controversial, it is strongly recommended by the US Food and Drug Administration and has recently been listed as a quality indicator</w:t>
      </w:r>
      <w:r w:rsidRPr="00B957FA">
        <w:rPr>
          <w:rFonts w:ascii="Book Antiqua" w:hAnsi="Book Antiqua"/>
          <w:sz w:val="24"/>
          <w:szCs w:val="24"/>
          <w:vertAlign w:val="superscript"/>
        </w:rPr>
        <w:t>[</w:t>
      </w:r>
      <w:r w:rsidRPr="002C72DA">
        <w:rPr>
          <w:rFonts w:ascii="Book Antiqua" w:hAnsi="Book Antiqua"/>
          <w:sz w:val="24"/>
          <w:szCs w:val="24"/>
          <w:vertAlign w:val="superscript"/>
        </w:rPr>
        <w:t>31,43]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Regular monitoring of liver chemistries is also recommended by some, although the frequency of which is less clear</w:t>
      </w:r>
      <w:r w:rsidRPr="00B957FA">
        <w:rPr>
          <w:rFonts w:ascii="Book Antiqua" w:hAnsi="Book Antiqua"/>
          <w:sz w:val="24"/>
          <w:szCs w:val="24"/>
          <w:vertAlign w:val="superscript"/>
        </w:rPr>
        <w:t>[</w:t>
      </w:r>
      <w:r w:rsidRPr="002C72DA">
        <w:rPr>
          <w:rFonts w:ascii="Book Antiqua" w:hAnsi="Book Antiqua"/>
          <w:sz w:val="24"/>
          <w:szCs w:val="24"/>
          <w:vertAlign w:val="superscript"/>
        </w:rPr>
        <w:t>42]</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Despite tremendous experience with this class of medication that has been available for over 5 decades, variation in monitoring patients while on this medication is significant and lapses in many best-practice recommendations are noted.</w:t>
      </w:r>
      <w:r>
        <w:rPr>
          <w:rFonts w:ascii="Book Antiqua" w:hAnsi="Book Antiqua"/>
          <w:sz w:val="24"/>
          <w:szCs w:val="24"/>
        </w:rPr>
        <w:t xml:space="preserve">  </w:t>
      </w:r>
      <w:r w:rsidRPr="002C72DA">
        <w:rPr>
          <w:rFonts w:ascii="Book Antiqua" w:hAnsi="Book Antiqua"/>
          <w:sz w:val="24"/>
          <w:szCs w:val="24"/>
        </w:rPr>
        <w:t>A survey of members of the Canadian Association of Gastroenterology revealed that while all providers acknowledged the need to monitor blood counts, there were differences in the frequencies of monitoring</w:t>
      </w:r>
      <w:r w:rsidRPr="00B957FA">
        <w:rPr>
          <w:rFonts w:ascii="Book Antiqua" w:hAnsi="Book Antiqua"/>
          <w:sz w:val="24"/>
          <w:szCs w:val="24"/>
          <w:vertAlign w:val="superscript"/>
        </w:rPr>
        <w:t>[</w:t>
      </w:r>
      <w:r w:rsidRPr="002C72DA">
        <w:rPr>
          <w:rFonts w:ascii="Book Antiqua" w:hAnsi="Book Antiqua"/>
          <w:sz w:val="24"/>
          <w:szCs w:val="24"/>
          <w:vertAlign w:val="superscript"/>
        </w:rPr>
        <w:t>44]</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Forty-two percent of those surveyed checked CBC weekly after starting therapy while 26% said they checked monthly and 23% biweekly during the initial period of treatment.</w:t>
      </w:r>
      <w:r>
        <w:rPr>
          <w:rFonts w:ascii="Book Antiqua" w:hAnsi="Book Antiqua"/>
          <w:sz w:val="24"/>
          <w:szCs w:val="24"/>
        </w:rPr>
        <w:t xml:space="preserve"> </w:t>
      </w:r>
      <w:r w:rsidRPr="002C72DA">
        <w:rPr>
          <w:rFonts w:ascii="Book Antiqua" w:hAnsi="Book Antiqua"/>
          <w:sz w:val="24"/>
          <w:szCs w:val="24"/>
        </w:rPr>
        <w:t>Moreover, only 62% of respondents routinely monitored liver chemistries.</w:t>
      </w:r>
      <w:r>
        <w:rPr>
          <w:rFonts w:ascii="Book Antiqua" w:hAnsi="Book Antiqua"/>
          <w:sz w:val="24"/>
          <w:szCs w:val="24"/>
        </w:rPr>
        <w:t xml:space="preserve"> </w:t>
      </w:r>
      <w:r w:rsidRPr="002C72DA">
        <w:rPr>
          <w:rFonts w:ascii="Book Antiqua" w:hAnsi="Book Antiqua"/>
          <w:sz w:val="24"/>
          <w:szCs w:val="24"/>
        </w:rPr>
        <w:t xml:space="preserve">In terms of routine TPMT testing, an international questionnaire sent to experts in the use of </w:t>
      </w:r>
      <w:proofErr w:type="spellStart"/>
      <w:r w:rsidRPr="002C72DA">
        <w:rPr>
          <w:rFonts w:ascii="Book Antiqua" w:hAnsi="Book Antiqua"/>
          <w:sz w:val="24"/>
          <w:szCs w:val="24"/>
        </w:rPr>
        <w:t>thiopurines</w:t>
      </w:r>
      <w:proofErr w:type="spellEnd"/>
      <w:r w:rsidRPr="002C72DA">
        <w:rPr>
          <w:rFonts w:ascii="Book Antiqua" w:hAnsi="Book Antiqua"/>
          <w:sz w:val="24"/>
          <w:szCs w:val="24"/>
        </w:rPr>
        <w:t xml:space="preserve"> in IBD found that only 30% and 43% routinely ordered genotype and </w:t>
      </w:r>
      <w:r w:rsidRPr="002C72DA">
        <w:rPr>
          <w:rFonts w:ascii="Book Antiqua" w:hAnsi="Book Antiqua"/>
          <w:sz w:val="24"/>
          <w:szCs w:val="24"/>
        </w:rPr>
        <w:lastRenderedPageBreak/>
        <w:t>phenotype testing, respectively</w:t>
      </w:r>
      <w:r w:rsidRPr="00B957FA">
        <w:rPr>
          <w:rFonts w:ascii="Book Antiqua" w:hAnsi="Book Antiqua"/>
          <w:sz w:val="24"/>
          <w:szCs w:val="24"/>
          <w:vertAlign w:val="superscript"/>
        </w:rPr>
        <w:t>[</w:t>
      </w:r>
      <w:r w:rsidRPr="002C72DA">
        <w:rPr>
          <w:rFonts w:ascii="Book Antiqua" w:hAnsi="Book Antiqua"/>
          <w:sz w:val="24"/>
          <w:szCs w:val="24"/>
          <w:vertAlign w:val="superscript"/>
        </w:rPr>
        <w:t>45]</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Lack of reimbursement for testing was the most important predictor of not ordering the test, and almost half of respondents felt that they would incorporate routine testing into their practice if it was reimbursed.</w:t>
      </w:r>
      <w:r>
        <w:rPr>
          <w:rFonts w:ascii="Book Antiqua" w:hAnsi="Book Antiqua"/>
          <w:sz w:val="24"/>
          <w:szCs w:val="24"/>
        </w:rPr>
        <w:t xml:space="preserve"> </w:t>
      </w:r>
    </w:p>
    <w:p w:rsidR="00CD552B" w:rsidRPr="002C72DA" w:rsidRDefault="00CD552B" w:rsidP="002C72DA">
      <w:pPr>
        <w:spacing w:after="0" w:line="360" w:lineRule="auto"/>
        <w:contextualSpacing/>
        <w:jc w:val="both"/>
        <w:rPr>
          <w:rFonts w:ascii="Book Antiqua" w:hAnsi="Book Antiqua"/>
          <w:sz w:val="24"/>
          <w:szCs w:val="24"/>
        </w:rPr>
      </w:pPr>
      <w:r w:rsidRPr="002C72DA">
        <w:rPr>
          <w:rFonts w:ascii="Book Antiqua" w:hAnsi="Book Antiqua"/>
          <w:sz w:val="24"/>
          <w:szCs w:val="24"/>
        </w:rPr>
        <w:tab/>
        <w:t xml:space="preserve">More recently, an association with </w:t>
      </w:r>
      <w:proofErr w:type="spellStart"/>
      <w:r w:rsidRPr="002C72DA">
        <w:rPr>
          <w:rFonts w:ascii="Book Antiqua" w:hAnsi="Book Antiqua"/>
          <w:sz w:val="24"/>
          <w:szCs w:val="24"/>
        </w:rPr>
        <w:t>thiopurine</w:t>
      </w:r>
      <w:proofErr w:type="spellEnd"/>
      <w:r w:rsidRPr="002C72DA">
        <w:rPr>
          <w:rFonts w:ascii="Book Antiqua" w:hAnsi="Book Antiqua"/>
          <w:sz w:val="24"/>
          <w:szCs w:val="24"/>
        </w:rPr>
        <w:t xml:space="preserve"> use and non-melanoma skin cancers (NMSC) has been noted.</w:t>
      </w:r>
      <w:r>
        <w:rPr>
          <w:rFonts w:ascii="Book Antiqua" w:hAnsi="Book Antiqua"/>
          <w:sz w:val="24"/>
          <w:szCs w:val="24"/>
        </w:rPr>
        <w:t xml:space="preserve"> </w:t>
      </w:r>
      <w:r w:rsidRPr="002C72DA">
        <w:rPr>
          <w:rFonts w:ascii="Book Antiqua" w:hAnsi="Book Antiqua"/>
          <w:sz w:val="24"/>
          <w:szCs w:val="24"/>
        </w:rPr>
        <w:t xml:space="preserve">In a review of over 1000 South African IBD patients, a strong association was noted between </w:t>
      </w:r>
      <w:proofErr w:type="spellStart"/>
      <w:r w:rsidRPr="002C72DA">
        <w:rPr>
          <w:rFonts w:ascii="Book Antiqua" w:hAnsi="Book Antiqua"/>
          <w:sz w:val="24"/>
          <w:szCs w:val="24"/>
        </w:rPr>
        <w:t>thiopurine</w:t>
      </w:r>
      <w:proofErr w:type="spellEnd"/>
      <w:r w:rsidRPr="002C72DA">
        <w:rPr>
          <w:rFonts w:ascii="Book Antiqua" w:hAnsi="Book Antiqua"/>
          <w:sz w:val="24"/>
          <w:szCs w:val="24"/>
        </w:rPr>
        <w:t xml:space="preserve"> exposure and NMSC </w:t>
      </w:r>
      <w:r>
        <w:rPr>
          <w:rFonts w:ascii="Book Antiqua" w:hAnsi="Book Antiqua"/>
          <w:sz w:val="24"/>
          <w:szCs w:val="24"/>
          <w:lang w:eastAsia="zh-CN"/>
        </w:rPr>
        <w:t>(</w:t>
      </w:r>
      <w:r w:rsidRPr="002C72DA">
        <w:rPr>
          <w:rFonts w:ascii="Book Antiqua" w:hAnsi="Book Antiqua"/>
          <w:sz w:val="24"/>
          <w:szCs w:val="24"/>
        </w:rPr>
        <w:t xml:space="preserve">OR </w:t>
      </w:r>
      <w:r>
        <w:rPr>
          <w:rFonts w:ascii="Book Antiqua" w:hAnsi="Book Antiqua"/>
          <w:sz w:val="24"/>
          <w:szCs w:val="24"/>
          <w:lang w:eastAsia="zh-CN"/>
        </w:rPr>
        <w:t xml:space="preserve">= </w:t>
      </w:r>
      <w:r w:rsidRPr="002C72DA">
        <w:rPr>
          <w:rFonts w:ascii="Book Antiqua" w:hAnsi="Book Antiqua"/>
          <w:sz w:val="24"/>
          <w:szCs w:val="24"/>
        </w:rPr>
        <w:t>5.0 95%CI</w:t>
      </w:r>
      <w:r>
        <w:rPr>
          <w:rFonts w:ascii="Book Antiqua" w:hAnsi="Book Antiqua"/>
          <w:sz w:val="24"/>
          <w:szCs w:val="24"/>
          <w:lang w:eastAsia="zh-CN"/>
        </w:rPr>
        <w:t xml:space="preserve"> </w:t>
      </w:r>
      <w:r w:rsidRPr="002C72DA">
        <w:rPr>
          <w:rFonts w:ascii="Book Antiqua" w:hAnsi="Book Antiqua"/>
          <w:sz w:val="24"/>
          <w:szCs w:val="24"/>
        </w:rPr>
        <w:t>1.1-22.8</w:t>
      </w:r>
      <w:r>
        <w:rPr>
          <w:rFonts w:ascii="Book Antiqua" w:hAnsi="Book Antiqua"/>
          <w:sz w:val="24"/>
          <w:szCs w:val="24"/>
          <w:lang w:eastAsia="zh-CN"/>
        </w:rPr>
        <w:t>)</w:t>
      </w:r>
      <w:r w:rsidRPr="00B957FA">
        <w:rPr>
          <w:rFonts w:ascii="Book Antiqua" w:hAnsi="Book Antiqua"/>
          <w:sz w:val="24"/>
          <w:szCs w:val="24"/>
          <w:vertAlign w:val="superscript"/>
        </w:rPr>
        <w:t>[</w:t>
      </w:r>
      <w:r w:rsidRPr="002C72DA">
        <w:rPr>
          <w:rFonts w:ascii="Book Antiqua" w:hAnsi="Book Antiqua"/>
          <w:sz w:val="24"/>
          <w:szCs w:val="24"/>
          <w:vertAlign w:val="superscript"/>
        </w:rPr>
        <w:t>46]</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This was similar to the association noted by </w:t>
      </w:r>
      <w:proofErr w:type="spellStart"/>
      <w:r w:rsidRPr="002C72DA">
        <w:rPr>
          <w:rFonts w:ascii="Book Antiqua" w:hAnsi="Book Antiqua"/>
          <w:sz w:val="24"/>
          <w:szCs w:val="24"/>
        </w:rPr>
        <w:t>Peyrin-Biroulet</w:t>
      </w:r>
      <w:proofErr w:type="spellEnd"/>
      <w:r w:rsidRPr="002C72DA">
        <w:rPr>
          <w:rFonts w:ascii="Book Antiqua" w:hAnsi="Book Antiqua"/>
          <w:sz w:val="24"/>
          <w:szCs w:val="24"/>
        </w:rPr>
        <w:t xml:space="preserve"> et al. in which ongoing </w:t>
      </w:r>
      <w:proofErr w:type="spellStart"/>
      <w:r w:rsidRPr="002C72DA">
        <w:rPr>
          <w:rFonts w:ascii="Book Antiqua" w:hAnsi="Book Antiqua"/>
          <w:sz w:val="24"/>
          <w:szCs w:val="24"/>
        </w:rPr>
        <w:t>thiopurine</w:t>
      </w:r>
      <w:proofErr w:type="spellEnd"/>
      <w:r w:rsidRPr="002C72DA">
        <w:rPr>
          <w:rFonts w:ascii="Book Antiqua" w:hAnsi="Book Antiqua"/>
          <w:sz w:val="24"/>
          <w:szCs w:val="24"/>
        </w:rPr>
        <w:t xml:space="preserve"> use had a hazard ratio for NMSC development of 5.9 </w:t>
      </w:r>
      <w:r>
        <w:rPr>
          <w:rFonts w:ascii="Book Antiqua" w:hAnsi="Book Antiqua"/>
          <w:sz w:val="24"/>
          <w:szCs w:val="24"/>
          <w:lang w:eastAsia="zh-CN"/>
        </w:rPr>
        <w:t>(</w:t>
      </w:r>
      <w:r w:rsidRPr="002C72DA">
        <w:rPr>
          <w:rFonts w:ascii="Book Antiqua" w:hAnsi="Book Antiqua"/>
          <w:sz w:val="24"/>
          <w:szCs w:val="24"/>
        </w:rPr>
        <w:t>95%CI</w:t>
      </w:r>
      <w:r>
        <w:rPr>
          <w:rFonts w:ascii="Book Antiqua" w:hAnsi="Book Antiqua"/>
          <w:sz w:val="24"/>
          <w:szCs w:val="24"/>
          <w:lang w:eastAsia="zh-CN"/>
        </w:rPr>
        <w:t xml:space="preserve">: </w:t>
      </w:r>
      <w:r w:rsidRPr="002C72DA">
        <w:rPr>
          <w:rFonts w:ascii="Book Antiqua" w:hAnsi="Book Antiqua"/>
          <w:sz w:val="24"/>
          <w:szCs w:val="24"/>
        </w:rPr>
        <w:t>2.1-16.4</w:t>
      </w:r>
      <w:r>
        <w:rPr>
          <w:rFonts w:ascii="Book Antiqua" w:hAnsi="Book Antiqua"/>
          <w:sz w:val="24"/>
          <w:szCs w:val="24"/>
          <w:lang w:eastAsia="zh-CN"/>
        </w:rPr>
        <w:t>)</w:t>
      </w:r>
      <w:r w:rsidRPr="00B957FA">
        <w:rPr>
          <w:rFonts w:ascii="Book Antiqua" w:hAnsi="Book Antiqua"/>
          <w:sz w:val="24"/>
          <w:szCs w:val="24"/>
          <w:vertAlign w:val="superscript"/>
        </w:rPr>
        <w:t>[</w:t>
      </w:r>
      <w:r w:rsidRPr="002C72DA">
        <w:rPr>
          <w:rFonts w:ascii="Book Antiqua" w:hAnsi="Book Antiqua"/>
          <w:sz w:val="24"/>
          <w:szCs w:val="24"/>
          <w:vertAlign w:val="superscript"/>
        </w:rPr>
        <w:t>47]</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Lifelong, regular dermatologic screening has therefore been recommended</w:t>
      </w:r>
      <w:r w:rsidRPr="00B957FA">
        <w:rPr>
          <w:rFonts w:ascii="Book Antiqua" w:hAnsi="Book Antiqua"/>
          <w:sz w:val="24"/>
          <w:szCs w:val="24"/>
          <w:vertAlign w:val="superscript"/>
        </w:rPr>
        <w:t>[</w:t>
      </w:r>
      <w:r w:rsidRPr="002C72DA">
        <w:rPr>
          <w:rFonts w:ascii="Book Antiqua" w:hAnsi="Book Antiqua"/>
          <w:sz w:val="24"/>
          <w:szCs w:val="24"/>
          <w:vertAlign w:val="superscript"/>
        </w:rPr>
        <w:t>48]</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Nonetheless, a recent survey of dermatologists and gastroenterologist found that only 46% of gastroenterologists were aware of the association between NMSC and immunosuppression</w:t>
      </w:r>
      <w:r w:rsidRPr="00B957FA">
        <w:rPr>
          <w:rFonts w:ascii="Book Antiqua" w:hAnsi="Book Antiqua"/>
          <w:sz w:val="24"/>
          <w:szCs w:val="24"/>
          <w:vertAlign w:val="superscript"/>
        </w:rPr>
        <w:t>[</w:t>
      </w:r>
      <w:r w:rsidRPr="002C72DA">
        <w:rPr>
          <w:rFonts w:ascii="Book Antiqua" w:hAnsi="Book Antiqua"/>
          <w:sz w:val="24"/>
          <w:szCs w:val="24"/>
          <w:vertAlign w:val="superscript"/>
        </w:rPr>
        <w:t>49]</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This implies that at least half of IBD patients are not receiving the recommended screening. </w:t>
      </w:r>
    </w:p>
    <w:p w:rsidR="00CD552B" w:rsidRPr="002C72DA" w:rsidRDefault="00CD552B" w:rsidP="002C72DA">
      <w:pPr>
        <w:spacing w:after="0" w:line="360" w:lineRule="auto"/>
        <w:contextualSpacing/>
        <w:jc w:val="both"/>
        <w:rPr>
          <w:rFonts w:ascii="Book Antiqua" w:hAnsi="Book Antiqua"/>
          <w:b/>
          <w:sz w:val="24"/>
          <w:szCs w:val="24"/>
          <w:u w:val="single"/>
        </w:rPr>
      </w:pPr>
    </w:p>
    <w:p w:rsidR="00CD552B" w:rsidRPr="00A06E4A" w:rsidRDefault="00CD552B" w:rsidP="002C72DA">
      <w:pPr>
        <w:spacing w:after="0" w:line="360" w:lineRule="auto"/>
        <w:contextualSpacing/>
        <w:jc w:val="both"/>
        <w:rPr>
          <w:rFonts w:ascii="Book Antiqua" w:hAnsi="Book Antiqua"/>
          <w:sz w:val="24"/>
          <w:szCs w:val="24"/>
        </w:rPr>
      </w:pPr>
      <w:r w:rsidRPr="00A06E4A">
        <w:rPr>
          <w:rFonts w:ascii="Book Antiqua" w:hAnsi="Book Antiqua"/>
          <w:b/>
          <w:sz w:val="24"/>
          <w:szCs w:val="24"/>
        </w:rPr>
        <w:t>INTERVENTIONS AIMED AT IMPROVEMENT</w:t>
      </w:r>
      <w:r w:rsidRPr="00A06E4A">
        <w:rPr>
          <w:rFonts w:ascii="Book Antiqua" w:hAnsi="Book Antiqua"/>
          <w:sz w:val="24"/>
          <w:szCs w:val="24"/>
        </w:rPr>
        <w:t xml:space="preserve">     </w:t>
      </w:r>
    </w:p>
    <w:p w:rsidR="00CD552B" w:rsidRPr="002C72DA" w:rsidRDefault="00CD552B" w:rsidP="002C72DA">
      <w:pPr>
        <w:spacing w:after="0" w:line="360" w:lineRule="auto"/>
        <w:contextualSpacing/>
        <w:jc w:val="both"/>
        <w:rPr>
          <w:rFonts w:ascii="Book Antiqua" w:hAnsi="Book Antiqua"/>
          <w:sz w:val="24"/>
          <w:szCs w:val="24"/>
        </w:rPr>
      </w:pPr>
      <w:r w:rsidRPr="002C72DA">
        <w:rPr>
          <w:rFonts w:ascii="Book Antiqua" w:hAnsi="Book Antiqua"/>
          <w:sz w:val="24"/>
          <w:szCs w:val="24"/>
        </w:rPr>
        <w:t>In order to adequately address gaps in care, an understanding of the contributing factors to the target problem is essential.</w:t>
      </w:r>
      <w:r>
        <w:rPr>
          <w:rFonts w:ascii="Book Antiqua" w:hAnsi="Book Antiqua"/>
          <w:sz w:val="24"/>
          <w:szCs w:val="24"/>
        </w:rPr>
        <w:t xml:space="preserve"> </w:t>
      </w:r>
      <w:r w:rsidRPr="002C72DA">
        <w:rPr>
          <w:rFonts w:ascii="Book Antiqua" w:hAnsi="Book Antiqua"/>
          <w:sz w:val="24"/>
          <w:szCs w:val="24"/>
        </w:rPr>
        <w:t>While the evidence in support of a potential intervention is often regarded as the most important factor when choosing between potential initiatives focused on improving care, there is often limited supporting research available.</w:t>
      </w:r>
      <w:r>
        <w:rPr>
          <w:rFonts w:ascii="Book Antiqua" w:hAnsi="Book Antiqua"/>
          <w:sz w:val="24"/>
          <w:szCs w:val="24"/>
        </w:rPr>
        <w:t xml:space="preserve"> </w:t>
      </w:r>
      <w:r w:rsidRPr="002C72DA">
        <w:rPr>
          <w:rFonts w:ascii="Book Antiqua" w:hAnsi="Book Antiqua"/>
          <w:sz w:val="24"/>
          <w:szCs w:val="24"/>
        </w:rPr>
        <w:t>As a result, other factors also need to be considered when choosing QI interventions including the prevalence and severity of the problem, the potential for undesirable outcomes as a result of the intervention, cost, complexity, and the ability to generate momentum for future related initiatives</w:t>
      </w:r>
      <w:r w:rsidRPr="00B957FA">
        <w:rPr>
          <w:rFonts w:ascii="Book Antiqua" w:hAnsi="Book Antiqua"/>
          <w:sz w:val="24"/>
          <w:szCs w:val="24"/>
          <w:vertAlign w:val="superscript"/>
        </w:rPr>
        <w:t>[</w:t>
      </w:r>
      <w:r w:rsidRPr="002C72DA">
        <w:rPr>
          <w:rFonts w:ascii="Book Antiqua" w:hAnsi="Book Antiqua"/>
          <w:sz w:val="24"/>
          <w:szCs w:val="24"/>
          <w:vertAlign w:val="superscript"/>
        </w:rPr>
        <w:t>50]</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Moreover, once an intervention has been selected, continuous measurement is essential in order to know if an observed change represents an improvement.</w:t>
      </w:r>
      <w:r>
        <w:rPr>
          <w:rFonts w:ascii="Book Antiqua" w:hAnsi="Book Antiqua"/>
          <w:sz w:val="24"/>
          <w:szCs w:val="24"/>
        </w:rPr>
        <w:t xml:space="preserve"> </w:t>
      </w:r>
      <w:r w:rsidRPr="002C72DA">
        <w:rPr>
          <w:rFonts w:ascii="Book Antiqua" w:hAnsi="Book Antiqua"/>
          <w:sz w:val="24"/>
          <w:szCs w:val="24"/>
        </w:rPr>
        <w:t>Thus, prior to implementing an initiative, well defined measures need to be developed and measured continuously.</w:t>
      </w:r>
      <w:r>
        <w:rPr>
          <w:rFonts w:ascii="Book Antiqua" w:hAnsi="Book Antiqua"/>
          <w:sz w:val="24"/>
          <w:szCs w:val="24"/>
        </w:rPr>
        <w:t xml:space="preserve"> </w:t>
      </w:r>
      <w:r w:rsidRPr="002C72DA">
        <w:rPr>
          <w:rFonts w:ascii="Book Antiqua" w:hAnsi="Book Antiqua"/>
          <w:sz w:val="24"/>
          <w:szCs w:val="24"/>
        </w:rPr>
        <w:t>This will provide support that the initiative is responsible for any observed improvements in performance or alternatively, negative outcomes and unattended consequences.</w:t>
      </w:r>
      <w:r>
        <w:rPr>
          <w:rFonts w:ascii="Book Antiqua" w:hAnsi="Book Antiqua"/>
          <w:sz w:val="24"/>
          <w:szCs w:val="24"/>
        </w:rPr>
        <w:t xml:space="preserve">  </w:t>
      </w:r>
    </w:p>
    <w:p w:rsidR="00CD552B" w:rsidRPr="002C72DA" w:rsidRDefault="00CD552B" w:rsidP="002C72DA">
      <w:pPr>
        <w:spacing w:after="0" w:line="360" w:lineRule="auto"/>
        <w:contextualSpacing/>
        <w:jc w:val="both"/>
        <w:rPr>
          <w:rFonts w:ascii="Book Antiqua" w:hAnsi="Book Antiqua"/>
          <w:i/>
          <w:sz w:val="24"/>
          <w:szCs w:val="24"/>
        </w:rPr>
      </w:pPr>
    </w:p>
    <w:p w:rsidR="00CD552B" w:rsidRPr="00A06E4A" w:rsidRDefault="00CD552B" w:rsidP="002C72DA">
      <w:pPr>
        <w:spacing w:after="0" w:line="360" w:lineRule="auto"/>
        <w:contextualSpacing/>
        <w:jc w:val="both"/>
        <w:rPr>
          <w:rFonts w:ascii="Book Antiqua" w:hAnsi="Book Antiqua"/>
          <w:b/>
          <w:sz w:val="24"/>
          <w:szCs w:val="24"/>
        </w:rPr>
      </w:pPr>
      <w:r w:rsidRPr="00A06E4A">
        <w:rPr>
          <w:rFonts w:ascii="Book Antiqua" w:hAnsi="Book Antiqua"/>
          <w:b/>
          <w:i/>
          <w:sz w:val="24"/>
          <w:szCs w:val="24"/>
        </w:rPr>
        <w:lastRenderedPageBreak/>
        <w:t>Reimbursement programs</w:t>
      </w:r>
      <w:r w:rsidRPr="00A06E4A">
        <w:rPr>
          <w:rFonts w:ascii="Book Antiqua" w:hAnsi="Book Antiqua"/>
          <w:b/>
          <w:sz w:val="24"/>
          <w:szCs w:val="24"/>
        </w:rPr>
        <w:t xml:space="preserve"> </w:t>
      </w:r>
    </w:p>
    <w:p w:rsidR="00CD552B" w:rsidRPr="002C72DA" w:rsidRDefault="00CD552B" w:rsidP="00A06E4A">
      <w:pPr>
        <w:autoSpaceDE w:val="0"/>
        <w:autoSpaceDN w:val="0"/>
        <w:adjustRightInd w:val="0"/>
        <w:spacing w:after="0" w:line="360" w:lineRule="auto"/>
        <w:jc w:val="both"/>
        <w:rPr>
          <w:rFonts w:ascii="Book Antiqua" w:hAnsi="Book Antiqua"/>
          <w:sz w:val="24"/>
          <w:szCs w:val="24"/>
        </w:rPr>
      </w:pPr>
      <w:r w:rsidRPr="002C72DA">
        <w:rPr>
          <w:rFonts w:ascii="Book Antiqua" w:hAnsi="Book Antiqua"/>
          <w:sz w:val="24"/>
          <w:szCs w:val="24"/>
        </w:rPr>
        <w:t>Guidelines have outlined algorithmic approaches for following this complex group of patients.</w:t>
      </w:r>
      <w:r>
        <w:rPr>
          <w:rFonts w:ascii="Book Antiqua" w:hAnsi="Book Antiqua"/>
          <w:sz w:val="24"/>
          <w:szCs w:val="24"/>
        </w:rPr>
        <w:t xml:space="preserve"> </w:t>
      </w:r>
      <w:r w:rsidRPr="002C72DA">
        <w:rPr>
          <w:rFonts w:ascii="Book Antiqua" w:hAnsi="Book Antiqua"/>
          <w:sz w:val="24"/>
          <w:szCs w:val="24"/>
        </w:rPr>
        <w:t>However, the uptake of IBD guidelines by gastroenterologists has been shown to variable</w:t>
      </w:r>
      <w:r w:rsidRPr="00B957FA">
        <w:rPr>
          <w:rFonts w:ascii="Book Antiqua" w:hAnsi="Book Antiqua"/>
          <w:sz w:val="24"/>
          <w:szCs w:val="24"/>
          <w:vertAlign w:val="superscript"/>
        </w:rPr>
        <w:t>[</w:t>
      </w:r>
      <w:r w:rsidRPr="002C72DA">
        <w:rPr>
          <w:rFonts w:ascii="Book Antiqua" w:hAnsi="Book Antiqua"/>
          <w:sz w:val="24"/>
          <w:szCs w:val="24"/>
          <w:vertAlign w:val="superscript"/>
        </w:rPr>
        <w:t>51,52]</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Therefore, other improvement approaches are necessary.</w:t>
      </w:r>
      <w:r>
        <w:rPr>
          <w:rFonts w:ascii="Book Antiqua" w:hAnsi="Book Antiqua"/>
          <w:sz w:val="24"/>
          <w:szCs w:val="24"/>
        </w:rPr>
        <w:t xml:space="preserve"> </w:t>
      </w:r>
      <w:r w:rsidRPr="002C72DA">
        <w:rPr>
          <w:rFonts w:ascii="Book Antiqua" w:hAnsi="Book Antiqua"/>
          <w:sz w:val="24"/>
          <w:szCs w:val="24"/>
        </w:rPr>
        <w:t>In 2006, the American Gastroenterology Association began to develop quality indicators that would be eligible for reimbursement through the Physician Quality Reporting System (PQRS)</w:t>
      </w:r>
      <w:r w:rsidRPr="00B957FA">
        <w:rPr>
          <w:rFonts w:ascii="Book Antiqua" w:hAnsi="Book Antiqua"/>
          <w:sz w:val="24"/>
          <w:szCs w:val="24"/>
          <w:vertAlign w:val="superscript"/>
        </w:rPr>
        <w:t>[</w:t>
      </w:r>
      <w:r w:rsidRPr="002C72DA">
        <w:rPr>
          <w:rFonts w:ascii="Book Antiqua" w:hAnsi="Book Antiqua"/>
          <w:sz w:val="24"/>
          <w:szCs w:val="24"/>
          <w:vertAlign w:val="superscript"/>
        </w:rPr>
        <w:t>53]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Recently, IBD specific measures have been added to this growing list of indicators, and documentation of disease activity was the first such IBD indicator implemented.</w:t>
      </w:r>
      <w:r>
        <w:rPr>
          <w:rFonts w:ascii="Book Antiqua" w:hAnsi="Book Antiqua"/>
          <w:sz w:val="24"/>
          <w:szCs w:val="24"/>
        </w:rPr>
        <w:t xml:space="preserve"> </w:t>
      </w:r>
      <w:r w:rsidRPr="002C72DA">
        <w:rPr>
          <w:rFonts w:ascii="Book Antiqua" w:hAnsi="Book Antiqua"/>
          <w:sz w:val="24"/>
          <w:szCs w:val="24"/>
        </w:rPr>
        <w:t xml:space="preserve">Other IBD indicators eligible for reimbursement through this program include recommending steroid-sparing therapy after 60 </w:t>
      </w:r>
      <w:r>
        <w:rPr>
          <w:rFonts w:ascii="Book Antiqua" w:hAnsi="Book Antiqua"/>
          <w:sz w:val="24"/>
          <w:szCs w:val="24"/>
        </w:rPr>
        <w:t>d</w:t>
      </w:r>
      <w:r w:rsidRPr="002C72DA">
        <w:rPr>
          <w:rFonts w:ascii="Book Antiqua" w:hAnsi="Book Antiqua"/>
          <w:sz w:val="24"/>
          <w:szCs w:val="24"/>
        </w:rPr>
        <w:t xml:space="preserve"> of corticosteroid, assessment of tuberculosis and hepatitis B status prior to anti-TNF therapy, vaccinations, bone loss assessment, and addressing tobacco cessation (Table 1).</w:t>
      </w:r>
      <w:r>
        <w:rPr>
          <w:rFonts w:ascii="Book Antiqua" w:hAnsi="Book Antiqua"/>
          <w:sz w:val="24"/>
          <w:szCs w:val="24"/>
        </w:rPr>
        <w:t xml:space="preserve"> </w:t>
      </w:r>
      <w:r w:rsidRPr="002C72DA">
        <w:rPr>
          <w:rFonts w:ascii="Book Antiqua" w:hAnsi="Book Antiqua"/>
          <w:sz w:val="24"/>
          <w:szCs w:val="24"/>
        </w:rPr>
        <w:t>While the impact of the PQRS on increasing objective assessment of disease activity is not yet known, data extrapolated from other disease states shows promise for the potential beneficial impact of similar reimbursement programs</w:t>
      </w:r>
      <w:r w:rsidRPr="00B957FA">
        <w:rPr>
          <w:rFonts w:ascii="Book Antiqua" w:hAnsi="Book Antiqua"/>
          <w:sz w:val="24"/>
          <w:szCs w:val="24"/>
          <w:vertAlign w:val="superscript"/>
        </w:rPr>
        <w:t>[</w:t>
      </w:r>
      <w:r w:rsidRPr="002C72DA">
        <w:rPr>
          <w:rFonts w:ascii="Book Antiqua" w:hAnsi="Book Antiqua"/>
          <w:sz w:val="24"/>
          <w:szCs w:val="24"/>
          <w:vertAlign w:val="superscript"/>
        </w:rPr>
        <w:t>54]</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Nonetheless, prior to implementing such an intervention, careful study is required as the literature showing the benefits of reimbursement programs on quality are conflicting and some studies identifying unintended consequences, such as providers avoiding the most severely ill patients, a phenomenon known as </w:t>
      </w:r>
      <w:r>
        <w:rPr>
          <w:rFonts w:ascii="Book Antiqua" w:hAnsi="Book Antiqua"/>
          <w:sz w:val="24"/>
          <w:szCs w:val="24"/>
          <w:lang w:eastAsia="zh-CN"/>
        </w:rPr>
        <w:t>“</w:t>
      </w:r>
      <w:r w:rsidRPr="002C72DA">
        <w:rPr>
          <w:rFonts w:ascii="Book Antiqua" w:hAnsi="Book Antiqua"/>
          <w:sz w:val="24"/>
          <w:szCs w:val="24"/>
        </w:rPr>
        <w:t>adverse selection</w:t>
      </w:r>
      <w:r>
        <w:rPr>
          <w:rFonts w:ascii="Book Antiqua" w:hAnsi="Book Antiqua"/>
          <w:sz w:val="24"/>
          <w:szCs w:val="24"/>
          <w:lang w:eastAsia="zh-CN"/>
        </w:rPr>
        <w:t>”</w:t>
      </w:r>
      <w:r w:rsidRPr="00B957FA">
        <w:rPr>
          <w:rFonts w:ascii="Book Antiqua" w:hAnsi="Book Antiqua"/>
          <w:sz w:val="24"/>
          <w:szCs w:val="24"/>
          <w:vertAlign w:val="superscript"/>
        </w:rPr>
        <w:t>[</w:t>
      </w:r>
      <w:r w:rsidRPr="002C72DA">
        <w:rPr>
          <w:rFonts w:ascii="Book Antiqua" w:hAnsi="Book Antiqua"/>
          <w:sz w:val="24"/>
          <w:szCs w:val="24"/>
          <w:vertAlign w:val="superscript"/>
        </w:rPr>
        <w:t>54-57]</w:t>
      </w:r>
      <w:r w:rsidRPr="002C72DA">
        <w:rPr>
          <w:rFonts w:ascii="Book Antiqua" w:hAnsi="Book Antiqua"/>
          <w:sz w:val="24"/>
          <w:szCs w:val="24"/>
        </w:rPr>
        <w:t>.</w:t>
      </w:r>
    </w:p>
    <w:p w:rsidR="00CD552B" w:rsidRPr="002C72DA" w:rsidRDefault="00CD552B" w:rsidP="002C72DA">
      <w:pPr>
        <w:autoSpaceDE w:val="0"/>
        <w:autoSpaceDN w:val="0"/>
        <w:adjustRightInd w:val="0"/>
        <w:spacing w:after="0" w:line="360" w:lineRule="auto"/>
        <w:ind w:firstLine="720"/>
        <w:jc w:val="both"/>
        <w:rPr>
          <w:rFonts w:ascii="Book Antiqua" w:hAnsi="Book Antiqua"/>
          <w:sz w:val="24"/>
          <w:szCs w:val="24"/>
        </w:rPr>
      </w:pPr>
      <w:r w:rsidRPr="002C72DA">
        <w:rPr>
          <w:rFonts w:ascii="Book Antiqua" w:hAnsi="Book Antiqua"/>
          <w:sz w:val="24"/>
          <w:szCs w:val="24"/>
        </w:rPr>
        <w:t xml:space="preserve"> Although not designed for the purposes of a reimbursement program, the </w:t>
      </w:r>
      <w:proofErr w:type="spellStart"/>
      <w:r w:rsidRPr="002C72DA">
        <w:rPr>
          <w:rFonts w:ascii="Book Antiqua" w:hAnsi="Book Antiqua"/>
          <w:sz w:val="24"/>
          <w:szCs w:val="24"/>
        </w:rPr>
        <w:t>Crohn’s</w:t>
      </w:r>
      <w:proofErr w:type="spellEnd"/>
      <w:r w:rsidRPr="002C72DA">
        <w:rPr>
          <w:rFonts w:ascii="Book Antiqua" w:hAnsi="Book Antiqua"/>
          <w:sz w:val="24"/>
          <w:szCs w:val="24"/>
        </w:rPr>
        <w:t xml:space="preserve"> and Colitis Foundation of American have recently sponsored the publication of a set of quality indicators</w:t>
      </w:r>
      <w:r w:rsidRPr="00B957FA">
        <w:rPr>
          <w:rFonts w:ascii="Book Antiqua" w:hAnsi="Book Antiqua"/>
          <w:sz w:val="24"/>
          <w:szCs w:val="24"/>
          <w:vertAlign w:val="superscript"/>
        </w:rPr>
        <w:t>[</w:t>
      </w:r>
      <w:r w:rsidRPr="002C72DA">
        <w:rPr>
          <w:rFonts w:ascii="Book Antiqua" w:hAnsi="Book Antiqua"/>
          <w:sz w:val="24"/>
          <w:szCs w:val="24"/>
          <w:vertAlign w:val="superscript"/>
        </w:rPr>
        <w:t>43]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Both process and outcome indicators were developed that encompass a variety of domains in IBD care including treatment, surveillance, and health care maintenance.</w:t>
      </w:r>
      <w:r>
        <w:rPr>
          <w:rFonts w:ascii="Book Antiqua" w:hAnsi="Book Antiqua"/>
          <w:sz w:val="24"/>
          <w:szCs w:val="24"/>
        </w:rPr>
        <w:t xml:space="preserve"> </w:t>
      </w:r>
      <w:r w:rsidRPr="002C72DA">
        <w:rPr>
          <w:rFonts w:ascii="Book Antiqua" w:hAnsi="Book Antiqua"/>
          <w:sz w:val="24"/>
          <w:szCs w:val="24"/>
        </w:rPr>
        <w:t xml:space="preserve">A number of corticosteroid related indicators are defined such as “IF a patient with IBD requires at least 10 mg prednisone (or equivalent) for 16 </w:t>
      </w:r>
      <w:proofErr w:type="spellStart"/>
      <w:r>
        <w:rPr>
          <w:rFonts w:ascii="Book Antiqua" w:hAnsi="Book Antiqua"/>
          <w:sz w:val="24"/>
          <w:szCs w:val="24"/>
        </w:rPr>
        <w:t>wk</w:t>
      </w:r>
      <w:proofErr w:type="spellEnd"/>
      <w:r w:rsidRPr="002C72DA">
        <w:rPr>
          <w:rFonts w:ascii="Book Antiqua" w:hAnsi="Book Antiqua"/>
          <w:sz w:val="24"/>
          <w:szCs w:val="24"/>
        </w:rPr>
        <w:t xml:space="preserve"> or longer, THEN an appropriately dosed steroid-sparing agent or operation should be recommended” and steroid related outcomes measures including</w:t>
      </w:r>
      <w:r>
        <w:rPr>
          <w:rFonts w:ascii="Book Antiqua" w:hAnsi="Book Antiqua"/>
          <w:sz w:val="24"/>
          <w:szCs w:val="24"/>
          <w:lang w:eastAsia="zh-CN"/>
        </w:rPr>
        <w:t xml:space="preserve">; </w:t>
      </w:r>
      <w:r w:rsidRPr="002C72DA">
        <w:rPr>
          <w:rFonts w:ascii="Book Antiqua" w:hAnsi="Book Antiqua"/>
          <w:sz w:val="24"/>
          <w:szCs w:val="24"/>
        </w:rPr>
        <w:t>(1) proportion of patients with steroid-free clinical remission for a</w:t>
      </w:r>
      <w:r>
        <w:rPr>
          <w:rFonts w:ascii="Book Antiqua" w:hAnsi="Book Antiqua"/>
          <w:sz w:val="24"/>
          <w:szCs w:val="24"/>
          <w:lang w:eastAsia="zh-CN"/>
        </w:rPr>
        <w:t xml:space="preserve"> </w:t>
      </w:r>
      <w:r w:rsidRPr="002C72DA">
        <w:rPr>
          <w:rFonts w:ascii="Book Antiqua" w:hAnsi="Book Antiqua"/>
          <w:sz w:val="24"/>
          <w:szCs w:val="24"/>
        </w:rPr>
        <w:t>12 month period</w:t>
      </w:r>
      <w:r>
        <w:rPr>
          <w:rFonts w:ascii="Book Antiqua" w:hAnsi="Book Antiqua"/>
          <w:sz w:val="24"/>
          <w:szCs w:val="24"/>
          <w:lang w:eastAsia="zh-CN"/>
        </w:rPr>
        <w:t>;</w:t>
      </w:r>
      <w:r w:rsidRPr="002C72DA">
        <w:rPr>
          <w:rFonts w:ascii="Book Antiqua" w:hAnsi="Book Antiqua"/>
          <w:sz w:val="24"/>
          <w:szCs w:val="24"/>
        </w:rPr>
        <w:t xml:space="preserve"> and (2) the proportion of patients currently taking prednisone.</w:t>
      </w:r>
      <w:r>
        <w:rPr>
          <w:rFonts w:ascii="Book Antiqua" w:hAnsi="Book Antiqua"/>
          <w:sz w:val="24"/>
          <w:szCs w:val="24"/>
        </w:rPr>
        <w:t xml:space="preserve"> </w:t>
      </w:r>
      <w:r w:rsidRPr="002C72DA">
        <w:rPr>
          <w:rFonts w:ascii="Book Antiqua" w:hAnsi="Book Antiqua"/>
          <w:sz w:val="24"/>
          <w:szCs w:val="24"/>
        </w:rPr>
        <w:t xml:space="preserve">Screening for latent tuberculosis </w:t>
      </w:r>
      <w:r w:rsidRPr="002C72DA">
        <w:rPr>
          <w:rFonts w:ascii="Book Antiqua" w:hAnsi="Book Antiqua"/>
          <w:sz w:val="24"/>
          <w:szCs w:val="24"/>
        </w:rPr>
        <w:lastRenderedPageBreak/>
        <w:t xml:space="preserve">and hepatitis B prior to therapy with anti-TNFs and TPMT testing prior to </w:t>
      </w:r>
      <w:proofErr w:type="spellStart"/>
      <w:r w:rsidRPr="002C72DA">
        <w:rPr>
          <w:rFonts w:ascii="Book Antiqua" w:hAnsi="Book Antiqua"/>
          <w:sz w:val="24"/>
          <w:szCs w:val="24"/>
        </w:rPr>
        <w:t>thiopurine</w:t>
      </w:r>
      <w:proofErr w:type="spellEnd"/>
      <w:r w:rsidRPr="002C72DA">
        <w:rPr>
          <w:rFonts w:ascii="Book Antiqua" w:hAnsi="Book Antiqua"/>
          <w:sz w:val="24"/>
          <w:szCs w:val="24"/>
        </w:rPr>
        <w:t xml:space="preserve"> therapy are also included.</w:t>
      </w:r>
      <w:r>
        <w:rPr>
          <w:rFonts w:ascii="Book Antiqua" w:hAnsi="Book Antiqua"/>
          <w:sz w:val="24"/>
          <w:szCs w:val="24"/>
        </w:rPr>
        <w:t xml:space="preserve"> </w:t>
      </w:r>
      <w:r w:rsidRPr="002C72DA">
        <w:rPr>
          <w:rFonts w:ascii="Book Antiqua" w:hAnsi="Book Antiqua"/>
          <w:sz w:val="24"/>
          <w:szCs w:val="24"/>
        </w:rPr>
        <w:t>As more quality indicators develop and become increasingly incorporated into the accreditation processes of health care institutions, it is likely that more reimbursement models, or alternatively citations and penalties for under performance, can be expected over the coming years.</w:t>
      </w:r>
    </w:p>
    <w:p w:rsidR="00CD552B" w:rsidRPr="002C72DA" w:rsidRDefault="00CD552B" w:rsidP="002C72DA">
      <w:pPr>
        <w:autoSpaceDE w:val="0"/>
        <w:autoSpaceDN w:val="0"/>
        <w:adjustRightInd w:val="0"/>
        <w:spacing w:after="0" w:line="360" w:lineRule="auto"/>
        <w:ind w:firstLine="720"/>
        <w:jc w:val="both"/>
        <w:rPr>
          <w:rFonts w:ascii="Book Antiqua" w:hAnsi="Book Antiqua"/>
          <w:sz w:val="24"/>
          <w:szCs w:val="24"/>
        </w:rPr>
      </w:pPr>
    </w:p>
    <w:p w:rsidR="00CD552B" w:rsidRPr="00212261" w:rsidRDefault="00CD552B" w:rsidP="002C72DA">
      <w:pPr>
        <w:spacing w:after="0" w:line="360" w:lineRule="auto"/>
        <w:contextualSpacing/>
        <w:jc w:val="both"/>
        <w:rPr>
          <w:rFonts w:ascii="Book Antiqua" w:hAnsi="Book Antiqua"/>
          <w:b/>
          <w:i/>
          <w:sz w:val="24"/>
          <w:szCs w:val="24"/>
        </w:rPr>
      </w:pPr>
      <w:r w:rsidRPr="00212261">
        <w:rPr>
          <w:rFonts w:ascii="Book Antiqua" w:hAnsi="Book Antiqua"/>
          <w:b/>
          <w:i/>
          <w:sz w:val="24"/>
          <w:szCs w:val="24"/>
        </w:rPr>
        <w:t>Quality improvement frameworks</w:t>
      </w:r>
    </w:p>
    <w:p w:rsidR="00CD552B" w:rsidRPr="002C72DA" w:rsidRDefault="00CD552B" w:rsidP="00212261">
      <w:pPr>
        <w:spacing w:after="0" w:line="360" w:lineRule="auto"/>
        <w:contextualSpacing/>
        <w:jc w:val="both"/>
        <w:rPr>
          <w:rFonts w:ascii="Book Antiqua" w:hAnsi="Book Antiqua"/>
          <w:sz w:val="24"/>
          <w:szCs w:val="24"/>
        </w:rPr>
      </w:pPr>
      <w:r w:rsidRPr="002C72DA">
        <w:rPr>
          <w:rFonts w:ascii="Book Antiqua" w:hAnsi="Book Antiqua"/>
          <w:sz w:val="24"/>
          <w:szCs w:val="24"/>
        </w:rPr>
        <w:t>It does not appear that knowledge gaps are solely responsible for barriers in delivering high quality, evidence-based care.</w:t>
      </w:r>
      <w:r>
        <w:rPr>
          <w:rFonts w:ascii="Book Antiqua" w:hAnsi="Book Antiqua"/>
          <w:sz w:val="24"/>
          <w:szCs w:val="24"/>
        </w:rPr>
        <w:t xml:space="preserve"> </w:t>
      </w:r>
      <w:r w:rsidRPr="002C72DA">
        <w:rPr>
          <w:rFonts w:ascii="Book Antiqua" w:hAnsi="Book Antiqua"/>
          <w:sz w:val="24"/>
          <w:szCs w:val="24"/>
        </w:rPr>
        <w:t>In terms of the underuse of steroid sparing agents, for example, the avoidance of prolonged corticosteroid and the importance of transitioning to steroid-sparing agents are not new concepts, have been endorsed by all gastrointestinal societies, and have been highlighted in guidelines for many years.</w:t>
      </w:r>
      <w:r>
        <w:rPr>
          <w:rFonts w:ascii="Book Antiqua" w:hAnsi="Book Antiqua"/>
          <w:sz w:val="24"/>
          <w:szCs w:val="24"/>
        </w:rPr>
        <w:t xml:space="preserve"> </w:t>
      </w:r>
      <w:r w:rsidRPr="002C72DA">
        <w:rPr>
          <w:rFonts w:ascii="Book Antiqua" w:hAnsi="Book Antiqua"/>
          <w:sz w:val="24"/>
          <w:szCs w:val="24"/>
        </w:rPr>
        <w:t xml:space="preserve">This was borne out in a survey of gastroenterologists from 36 countries whereby 100% of those surveyed agreed that there is minimal evidence for continuing high dose corticosteroids for more than 3 </w:t>
      </w:r>
      <w:proofErr w:type="spellStart"/>
      <w:r>
        <w:rPr>
          <w:rFonts w:ascii="Book Antiqua" w:hAnsi="Book Antiqua"/>
          <w:sz w:val="24"/>
          <w:szCs w:val="24"/>
        </w:rPr>
        <w:t>wk</w:t>
      </w:r>
      <w:proofErr w:type="spellEnd"/>
      <w:r w:rsidRPr="002C72DA">
        <w:rPr>
          <w:rFonts w:ascii="Book Antiqua" w:hAnsi="Book Antiqua"/>
          <w:sz w:val="24"/>
          <w:szCs w:val="24"/>
        </w:rPr>
        <w:t xml:space="preserve"> and that steroid-sparing agents should begin to be considered after 2-4 </w:t>
      </w:r>
      <w:proofErr w:type="spellStart"/>
      <w:r>
        <w:rPr>
          <w:rFonts w:ascii="Book Antiqua" w:hAnsi="Book Antiqua"/>
          <w:sz w:val="24"/>
          <w:szCs w:val="24"/>
        </w:rPr>
        <w:t>wk</w:t>
      </w:r>
      <w:proofErr w:type="spellEnd"/>
      <w:r w:rsidRPr="002C72DA">
        <w:rPr>
          <w:rFonts w:ascii="Book Antiqua" w:hAnsi="Book Antiqua"/>
          <w:sz w:val="24"/>
          <w:szCs w:val="24"/>
        </w:rPr>
        <w:t xml:space="preserve"> of therapy</w:t>
      </w:r>
      <w:r w:rsidRPr="00B957FA">
        <w:rPr>
          <w:rFonts w:ascii="Book Antiqua" w:hAnsi="Book Antiqua"/>
          <w:sz w:val="24"/>
          <w:szCs w:val="24"/>
          <w:vertAlign w:val="superscript"/>
        </w:rPr>
        <w:t>[</w:t>
      </w:r>
      <w:r w:rsidRPr="002C72DA">
        <w:rPr>
          <w:rFonts w:ascii="Book Antiqua" w:hAnsi="Book Antiqua"/>
          <w:sz w:val="24"/>
          <w:szCs w:val="24"/>
          <w:vertAlign w:val="superscript"/>
        </w:rPr>
        <w:t>58]</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Therefore other contributors beyond physician knowledge base need to be addressed.</w:t>
      </w:r>
      <w:r>
        <w:rPr>
          <w:rFonts w:ascii="Book Antiqua" w:hAnsi="Book Antiqua"/>
          <w:sz w:val="24"/>
          <w:szCs w:val="24"/>
        </w:rPr>
        <w:t xml:space="preserve"> </w:t>
      </w:r>
      <w:r w:rsidRPr="002C72DA">
        <w:rPr>
          <w:rFonts w:ascii="Book Antiqua" w:hAnsi="Book Antiqua"/>
          <w:sz w:val="24"/>
          <w:szCs w:val="24"/>
        </w:rPr>
        <w:t>Patients often initiate or modify steroid doses on their own without consultation with their health care provider.</w:t>
      </w:r>
      <w:r>
        <w:rPr>
          <w:rFonts w:ascii="Book Antiqua" w:hAnsi="Book Antiqua"/>
          <w:sz w:val="24"/>
          <w:szCs w:val="24"/>
        </w:rPr>
        <w:t xml:space="preserve"> </w:t>
      </w:r>
      <w:r w:rsidRPr="002C72DA">
        <w:rPr>
          <w:rFonts w:ascii="Book Antiqua" w:hAnsi="Book Antiqua"/>
          <w:sz w:val="24"/>
          <w:szCs w:val="24"/>
        </w:rPr>
        <w:t>This may be due to poor access to a timely visit to a gastroenterologist when symptoms first present or when disease activity flares.</w:t>
      </w:r>
      <w:r>
        <w:rPr>
          <w:rFonts w:ascii="Book Antiqua" w:hAnsi="Book Antiqua"/>
          <w:sz w:val="24"/>
          <w:szCs w:val="24"/>
        </w:rPr>
        <w:t xml:space="preserve"> </w:t>
      </w:r>
      <w:r w:rsidRPr="002C72DA">
        <w:rPr>
          <w:rFonts w:ascii="Book Antiqua" w:hAnsi="Book Antiqua"/>
          <w:sz w:val="24"/>
          <w:szCs w:val="24"/>
        </w:rPr>
        <w:t>Early referral to a specialist has been shown to improve IBD outcomes and initiatives aimed at improving access to gastroenterology have been shown to reduce steroid use and increase the use of early steroid-sparing therapy</w:t>
      </w:r>
      <w:r w:rsidRPr="00B957FA">
        <w:rPr>
          <w:rFonts w:ascii="Book Antiqua" w:hAnsi="Book Antiqua"/>
          <w:sz w:val="24"/>
          <w:szCs w:val="24"/>
          <w:vertAlign w:val="superscript"/>
        </w:rPr>
        <w:t>[</w:t>
      </w:r>
      <w:r w:rsidRPr="002C72DA">
        <w:rPr>
          <w:rFonts w:ascii="Book Antiqua" w:hAnsi="Book Antiqua"/>
          <w:sz w:val="24"/>
          <w:szCs w:val="24"/>
          <w:vertAlign w:val="superscript"/>
        </w:rPr>
        <w:t>59]</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A Swedish gastroenterology unit implemented a quality improvement framework whereby a registry of quality metrics was established and performance tracked</w:t>
      </w:r>
      <w:r w:rsidRPr="00B957FA">
        <w:rPr>
          <w:rFonts w:ascii="Book Antiqua" w:hAnsi="Book Antiqua"/>
          <w:sz w:val="24"/>
          <w:szCs w:val="24"/>
          <w:vertAlign w:val="superscript"/>
        </w:rPr>
        <w:t>[</w:t>
      </w:r>
      <w:r w:rsidRPr="002C72DA">
        <w:rPr>
          <w:rFonts w:ascii="Book Antiqua" w:hAnsi="Book Antiqua"/>
          <w:sz w:val="24"/>
          <w:szCs w:val="24"/>
          <w:vertAlign w:val="superscript"/>
        </w:rPr>
        <w:t>60]</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All routine visits were initiated by the clinic, rather than the patients and regular reminders to contact a designated IBD nurse for problems was provided.</w:t>
      </w:r>
      <w:r>
        <w:rPr>
          <w:rFonts w:ascii="Book Antiqua" w:hAnsi="Book Antiqua"/>
          <w:sz w:val="24"/>
          <w:szCs w:val="24"/>
        </w:rPr>
        <w:t xml:space="preserve"> </w:t>
      </w:r>
      <w:r w:rsidRPr="002C72DA">
        <w:rPr>
          <w:rFonts w:ascii="Book Antiqua" w:hAnsi="Book Antiqua"/>
          <w:sz w:val="24"/>
          <w:szCs w:val="24"/>
        </w:rPr>
        <w:t xml:space="preserve">The program resulted in 98% of patients receiving regular IBD follow up visits, less than 3 </w:t>
      </w:r>
      <w:proofErr w:type="spellStart"/>
      <w:r>
        <w:rPr>
          <w:rFonts w:ascii="Book Antiqua" w:hAnsi="Book Antiqua"/>
          <w:sz w:val="24"/>
          <w:szCs w:val="24"/>
        </w:rPr>
        <w:t>wk</w:t>
      </w:r>
      <w:proofErr w:type="spellEnd"/>
      <w:r w:rsidRPr="002C72DA">
        <w:rPr>
          <w:rFonts w:ascii="Book Antiqua" w:hAnsi="Book Antiqua"/>
          <w:sz w:val="24"/>
          <w:szCs w:val="24"/>
        </w:rPr>
        <w:t xml:space="preserve"> between primary care referral and specialist visit, and less than 2 </w:t>
      </w:r>
      <w:r>
        <w:rPr>
          <w:rFonts w:ascii="Book Antiqua" w:hAnsi="Book Antiqua"/>
          <w:sz w:val="24"/>
          <w:szCs w:val="24"/>
        </w:rPr>
        <w:t>d</w:t>
      </w:r>
      <w:r w:rsidRPr="002C72DA">
        <w:rPr>
          <w:rFonts w:ascii="Book Antiqua" w:hAnsi="Book Antiqua"/>
          <w:sz w:val="24"/>
          <w:szCs w:val="24"/>
        </w:rPr>
        <w:t xml:space="preserve"> to schedule an acute patient visit during disease flares.</w:t>
      </w:r>
      <w:r>
        <w:rPr>
          <w:rFonts w:ascii="Book Antiqua" w:hAnsi="Book Antiqua"/>
          <w:sz w:val="24"/>
          <w:szCs w:val="24"/>
        </w:rPr>
        <w:t xml:space="preserve"> </w:t>
      </w:r>
      <w:r w:rsidRPr="002C72DA">
        <w:rPr>
          <w:rFonts w:ascii="Book Antiqua" w:hAnsi="Book Antiqua"/>
          <w:sz w:val="24"/>
          <w:szCs w:val="24"/>
        </w:rPr>
        <w:t xml:space="preserve">This experience highlights that implementing well designed </w:t>
      </w:r>
      <w:r w:rsidRPr="002C72DA">
        <w:rPr>
          <w:rFonts w:ascii="Book Antiqua" w:hAnsi="Book Antiqua"/>
          <w:sz w:val="24"/>
          <w:szCs w:val="24"/>
        </w:rPr>
        <w:lastRenderedPageBreak/>
        <w:t>frameworks, which are common place in other chronic diseases, has the potential to improve quality of care in IBD</w:t>
      </w:r>
      <w:r w:rsidRPr="00B957FA">
        <w:rPr>
          <w:rFonts w:ascii="Book Antiqua" w:hAnsi="Book Antiqua"/>
          <w:sz w:val="24"/>
          <w:szCs w:val="24"/>
          <w:vertAlign w:val="superscript"/>
        </w:rPr>
        <w:t>[</w:t>
      </w:r>
      <w:r w:rsidRPr="002C72DA">
        <w:rPr>
          <w:rFonts w:ascii="Book Antiqua" w:hAnsi="Book Antiqua"/>
          <w:sz w:val="24"/>
          <w:szCs w:val="24"/>
          <w:vertAlign w:val="superscript"/>
        </w:rPr>
        <w:t>61]</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Frameworks need to be developed with the appropriate local context in mind with and some have argued that frameworks do nothing to improve quality but rather improve documentation alone</w:t>
      </w:r>
      <w:r w:rsidRPr="00B957FA">
        <w:rPr>
          <w:rFonts w:ascii="Book Antiqua" w:hAnsi="Book Antiqua"/>
          <w:sz w:val="24"/>
          <w:szCs w:val="24"/>
          <w:vertAlign w:val="superscript"/>
        </w:rPr>
        <w:t>[</w:t>
      </w:r>
      <w:r w:rsidRPr="002C72DA">
        <w:rPr>
          <w:rFonts w:ascii="Book Antiqua" w:hAnsi="Book Antiqua"/>
          <w:sz w:val="24"/>
          <w:szCs w:val="24"/>
          <w:vertAlign w:val="superscript"/>
        </w:rPr>
        <w:t>62]</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This underscores the importance of continuous measurement after implantation to ensure the effort and costs associated are translating to improvements.</w:t>
      </w:r>
    </w:p>
    <w:p w:rsidR="00CD552B" w:rsidRPr="002C72DA" w:rsidRDefault="00CD552B" w:rsidP="002C72DA">
      <w:pPr>
        <w:autoSpaceDE w:val="0"/>
        <w:autoSpaceDN w:val="0"/>
        <w:adjustRightInd w:val="0"/>
        <w:spacing w:after="0" w:line="360" w:lineRule="auto"/>
        <w:jc w:val="both"/>
        <w:rPr>
          <w:rFonts w:ascii="Book Antiqua" w:hAnsi="Book Antiqua"/>
          <w:sz w:val="24"/>
          <w:szCs w:val="24"/>
        </w:rPr>
      </w:pPr>
    </w:p>
    <w:p w:rsidR="00CD552B" w:rsidRPr="00AA3118" w:rsidRDefault="00CD552B" w:rsidP="002C72DA">
      <w:pPr>
        <w:autoSpaceDE w:val="0"/>
        <w:autoSpaceDN w:val="0"/>
        <w:adjustRightInd w:val="0"/>
        <w:spacing w:after="0" w:line="360" w:lineRule="auto"/>
        <w:jc w:val="both"/>
        <w:rPr>
          <w:rFonts w:ascii="Book Antiqua" w:hAnsi="Book Antiqua"/>
          <w:b/>
          <w:sz w:val="24"/>
          <w:szCs w:val="24"/>
        </w:rPr>
      </w:pPr>
      <w:r w:rsidRPr="00AA3118">
        <w:rPr>
          <w:rFonts w:ascii="Book Antiqua" w:hAnsi="Book Antiqua"/>
          <w:b/>
          <w:i/>
          <w:sz w:val="24"/>
          <w:szCs w:val="24"/>
        </w:rPr>
        <w:t>Collaborative efforts in quality improvement</w:t>
      </w:r>
      <w:r w:rsidRPr="00AA3118">
        <w:rPr>
          <w:rFonts w:ascii="Book Antiqua" w:hAnsi="Book Antiqua"/>
          <w:b/>
          <w:sz w:val="24"/>
          <w:szCs w:val="24"/>
        </w:rPr>
        <w:tab/>
      </w:r>
    </w:p>
    <w:p w:rsidR="00CD552B" w:rsidRPr="002C72DA" w:rsidRDefault="00CD552B" w:rsidP="002C72DA">
      <w:pPr>
        <w:autoSpaceDE w:val="0"/>
        <w:autoSpaceDN w:val="0"/>
        <w:adjustRightInd w:val="0"/>
        <w:spacing w:after="0" w:line="360" w:lineRule="auto"/>
        <w:jc w:val="both"/>
        <w:rPr>
          <w:rFonts w:ascii="Book Antiqua" w:hAnsi="Book Antiqua"/>
          <w:sz w:val="24"/>
          <w:szCs w:val="24"/>
        </w:rPr>
      </w:pPr>
      <w:r w:rsidRPr="002C72DA">
        <w:rPr>
          <w:rFonts w:ascii="Book Antiqua" w:hAnsi="Book Antiqua"/>
          <w:sz w:val="24"/>
          <w:szCs w:val="24"/>
        </w:rPr>
        <w:t>Another potential motivator for change is collaborative efforts between institutions.</w:t>
      </w:r>
      <w:r>
        <w:rPr>
          <w:rFonts w:ascii="Book Antiqua" w:hAnsi="Book Antiqua"/>
          <w:sz w:val="24"/>
          <w:szCs w:val="24"/>
        </w:rPr>
        <w:t xml:space="preserve"> </w:t>
      </w:r>
      <w:r w:rsidRPr="002C72DA">
        <w:rPr>
          <w:rFonts w:ascii="Book Antiqua" w:hAnsi="Book Antiqua"/>
          <w:sz w:val="24"/>
          <w:szCs w:val="24"/>
        </w:rPr>
        <w:t>These involve multiple sites working together towards a common improvement goal through receiving training in quality improvement methods, defining QI metrics, tracking performance, and transparency in reporting</w:t>
      </w:r>
      <w:r w:rsidRPr="00B957FA">
        <w:rPr>
          <w:rFonts w:ascii="Book Antiqua" w:hAnsi="Book Antiqua"/>
          <w:sz w:val="24"/>
          <w:szCs w:val="24"/>
          <w:vertAlign w:val="superscript"/>
        </w:rPr>
        <w:t>[</w:t>
      </w:r>
      <w:r w:rsidRPr="002C72DA">
        <w:rPr>
          <w:rFonts w:ascii="Book Antiqua" w:hAnsi="Book Antiqua"/>
          <w:sz w:val="24"/>
          <w:szCs w:val="24"/>
          <w:vertAlign w:val="superscript"/>
        </w:rPr>
        <w:t>63]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 xml:space="preserve">While the use of improvement </w:t>
      </w:r>
      <w:proofErr w:type="spellStart"/>
      <w:r w:rsidRPr="002C72DA">
        <w:rPr>
          <w:rFonts w:ascii="Book Antiqua" w:hAnsi="Book Antiqua"/>
          <w:sz w:val="24"/>
          <w:szCs w:val="24"/>
        </w:rPr>
        <w:t>collaboratives</w:t>
      </w:r>
      <w:proofErr w:type="spellEnd"/>
      <w:r w:rsidRPr="002C72DA">
        <w:rPr>
          <w:rFonts w:ascii="Book Antiqua" w:hAnsi="Book Antiqua"/>
          <w:sz w:val="24"/>
          <w:szCs w:val="24"/>
        </w:rPr>
        <w:t xml:space="preserve"> in inflammatory bowel disease lags behind other chronic diseases, early outcomes of such initiatives have been promising.</w:t>
      </w:r>
      <w:r>
        <w:rPr>
          <w:rFonts w:ascii="Book Antiqua" w:hAnsi="Book Antiqua"/>
          <w:sz w:val="24"/>
          <w:szCs w:val="24"/>
        </w:rPr>
        <w:t xml:space="preserve"> </w:t>
      </w:r>
      <w:r w:rsidRPr="002C72DA">
        <w:rPr>
          <w:rFonts w:ascii="Book Antiqua" w:hAnsi="Book Antiqua"/>
          <w:sz w:val="24"/>
          <w:szCs w:val="24"/>
        </w:rPr>
        <w:t xml:space="preserve">The </w:t>
      </w:r>
      <w:proofErr w:type="spellStart"/>
      <w:r w:rsidRPr="002C72DA">
        <w:rPr>
          <w:rFonts w:ascii="Book Antiqua" w:hAnsi="Book Antiqua"/>
          <w:sz w:val="24"/>
          <w:szCs w:val="24"/>
        </w:rPr>
        <w:t>ImproveCareNow</w:t>
      </w:r>
      <w:proofErr w:type="spellEnd"/>
      <w:r w:rsidRPr="002C72DA">
        <w:rPr>
          <w:rFonts w:ascii="Book Antiqua" w:hAnsi="Book Antiqua"/>
          <w:sz w:val="24"/>
          <w:szCs w:val="24"/>
        </w:rPr>
        <w:t xml:space="preserve"> Network consists of 51 pediatric hospitals across the United States and Europe that adopted the Chronic Illness Care Model and developed standardized practices and measures</w:t>
      </w:r>
      <w:r w:rsidRPr="00B957FA">
        <w:rPr>
          <w:rFonts w:ascii="Book Antiqua" w:hAnsi="Book Antiqua"/>
          <w:sz w:val="24"/>
          <w:szCs w:val="24"/>
          <w:vertAlign w:val="superscript"/>
        </w:rPr>
        <w:t>[</w:t>
      </w:r>
      <w:r w:rsidRPr="002C72DA">
        <w:rPr>
          <w:rFonts w:ascii="Book Antiqua" w:hAnsi="Book Antiqua"/>
          <w:sz w:val="24"/>
          <w:szCs w:val="24"/>
          <w:vertAlign w:val="superscript"/>
        </w:rPr>
        <w:t>64,65]</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Process and outcomes measures were prospectively collected and shared between sites.</w:t>
      </w:r>
      <w:r>
        <w:rPr>
          <w:rFonts w:ascii="Book Antiqua" w:hAnsi="Book Antiqua"/>
          <w:sz w:val="24"/>
          <w:szCs w:val="24"/>
        </w:rPr>
        <w:t xml:space="preserve"> </w:t>
      </w:r>
      <w:r w:rsidRPr="002C72DA">
        <w:rPr>
          <w:rFonts w:ascii="Book Antiqua" w:hAnsi="Book Antiqua"/>
          <w:sz w:val="24"/>
          <w:szCs w:val="24"/>
        </w:rPr>
        <w:t>Early data has shown significant improvements in processes of care and patient outcomes in a variety of care areas.</w:t>
      </w:r>
      <w:r>
        <w:rPr>
          <w:rFonts w:ascii="Book Antiqua" w:hAnsi="Book Antiqua"/>
          <w:sz w:val="24"/>
          <w:szCs w:val="24"/>
        </w:rPr>
        <w:t xml:space="preserve"> </w:t>
      </w:r>
      <w:r w:rsidRPr="002C72DA">
        <w:rPr>
          <w:rFonts w:ascii="Book Antiqua" w:hAnsi="Book Antiqua"/>
          <w:sz w:val="24"/>
          <w:szCs w:val="24"/>
        </w:rPr>
        <w:t>The use of a classification bundles to assess disease location, phenotype, activity, and nutritional/growth parameters at every visits has allowed for standardization between sites.</w:t>
      </w:r>
      <w:r>
        <w:rPr>
          <w:rFonts w:ascii="Book Antiqua" w:hAnsi="Book Antiqua"/>
          <w:sz w:val="24"/>
          <w:szCs w:val="24"/>
        </w:rPr>
        <w:t xml:space="preserve"> </w:t>
      </w:r>
      <w:r w:rsidRPr="002C72DA">
        <w:rPr>
          <w:rFonts w:ascii="Book Antiqua" w:hAnsi="Book Antiqua"/>
          <w:sz w:val="24"/>
          <w:szCs w:val="24"/>
        </w:rPr>
        <w:t>Not only does this improve care, but also allows for collaborative clinical research efforts.</w:t>
      </w:r>
      <w:r>
        <w:rPr>
          <w:rFonts w:ascii="Book Antiqua" w:hAnsi="Book Antiqua"/>
          <w:sz w:val="24"/>
          <w:szCs w:val="24"/>
        </w:rPr>
        <w:t xml:space="preserve"> </w:t>
      </w:r>
      <w:r w:rsidRPr="002C72DA">
        <w:rPr>
          <w:rFonts w:ascii="Book Antiqua" w:hAnsi="Book Antiqua"/>
          <w:sz w:val="24"/>
          <w:szCs w:val="24"/>
        </w:rPr>
        <w:t xml:space="preserve">Other outcomes already reported by the network include a decrease in the number of patients with </w:t>
      </w:r>
      <w:proofErr w:type="spellStart"/>
      <w:r w:rsidRPr="002C72DA">
        <w:rPr>
          <w:rFonts w:ascii="Book Antiqua" w:hAnsi="Book Antiqua"/>
          <w:sz w:val="24"/>
          <w:szCs w:val="24"/>
        </w:rPr>
        <w:t>Crohn’s</w:t>
      </w:r>
      <w:proofErr w:type="spellEnd"/>
      <w:r w:rsidRPr="002C72DA">
        <w:rPr>
          <w:rFonts w:ascii="Book Antiqua" w:hAnsi="Book Antiqua"/>
          <w:sz w:val="24"/>
          <w:szCs w:val="24"/>
        </w:rPr>
        <w:t xml:space="preserve"> disease on corticosteroids and an increase in the number of patients starting </w:t>
      </w:r>
      <w:proofErr w:type="spellStart"/>
      <w:r w:rsidRPr="002C72DA">
        <w:rPr>
          <w:rFonts w:ascii="Book Antiqua" w:hAnsi="Book Antiqua"/>
          <w:sz w:val="24"/>
          <w:szCs w:val="24"/>
        </w:rPr>
        <w:t>thiopurines</w:t>
      </w:r>
      <w:proofErr w:type="spellEnd"/>
      <w:r w:rsidRPr="002C72DA">
        <w:rPr>
          <w:rFonts w:ascii="Book Antiqua" w:hAnsi="Book Antiqua"/>
          <w:sz w:val="24"/>
          <w:szCs w:val="24"/>
        </w:rPr>
        <w:t xml:space="preserve"> with TPMT activity measured.</w:t>
      </w:r>
      <w:r>
        <w:rPr>
          <w:rFonts w:ascii="Book Antiqua" w:hAnsi="Book Antiqua"/>
          <w:sz w:val="24"/>
          <w:szCs w:val="24"/>
        </w:rPr>
        <w:t xml:space="preserve"> </w:t>
      </w:r>
      <w:r w:rsidRPr="002C72DA">
        <w:rPr>
          <w:rFonts w:ascii="Book Antiqua" w:hAnsi="Book Antiqua"/>
          <w:sz w:val="24"/>
          <w:szCs w:val="24"/>
        </w:rPr>
        <w:t>These improvements in process measures are likely responsible for the increased remission rates noted in the participating sites.</w:t>
      </w:r>
      <w:r>
        <w:rPr>
          <w:rFonts w:ascii="Book Antiqua" w:hAnsi="Book Antiqua"/>
          <w:sz w:val="24"/>
          <w:szCs w:val="24"/>
        </w:rPr>
        <w:t xml:space="preserve"> </w:t>
      </w:r>
      <w:r w:rsidRPr="002C72DA">
        <w:rPr>
          <w:rFonts w:ascii="Book Antiqua" w:hAnsi="Book Antiqua"/>
          <w:sz w:val="24"/>
          <w:szCs w:val="24"/>
        </w:rPr>
        <w:t xml:space="preserve">While more data on the efficacy of this and other such </w:t>
      </w:r>
      <w:proofErr w:type="spellStart"/>
      <w:r w:rsidRPr="002C72DA">
        <w:rPr>
          <w:rFonts w:ascii="Book Antiqua" w:hAnsi="Book Antiqua"/>
          <w:sz w:val="24"/>
          <w:szCs w:val="24"/>
        </w:rPr>
        <w:t>collaboratives</w:t>
      </w:r>
      <w:proofErr w:type="spellEnd"/>
      <w:r w:rsidRPr="002C72DA">
        <w:rPr>
          <w:rFonts w:ascii="Book Antiqua" w:hAnsi="Book Antiqua"/>
          <w:sz w:val="24"/>
          <w:szCs w:val="24"/>
        </w:rPr>
        <w:t xml:space="preserve"> are needed, given that an overarching theme of QI is to improve care delivery throughout the entire health care </w:t>
      </w:r>
      <w:r w:rsidRPr="002C72DA">
        <w:rPr>
          <w:rFonts w:ascii="Book Antiqua" w:hAnsi="Book Antiqua"/>
          <w:sz w:val="24"/>
          <w:szCs w:val="24"/>
        </w:rPr>
        <w:lastRenderedPageBreak/>
        <w:t>system, more widespread adoption of such broad, multi-site quality improvement initiatives should be considered</w:t>
      </w:r>
      <w:r>
        <w:rPr>
          <w:rFonts w:ascii="Book Antiqua" w:hAnsi="Book Antiqua"/>
          <w:sz w:val="24"/>
          <w:szCs w:val="24"/>
          <w:lang w:eastAsia="zh-CN"/>
        </w:rPr>
        <w:t>.</w:t>
      </w:r>
      <w:r>
        <w:rPr>
          <w:rFonts w:ascii="Book Antiqua" w:hAnsi="Book Antiqua"/>
          <w:sz w:val="24"/>
          <w:szCs w:val="24"/>
        </w:rPr>
        <w:t xml:space="preserve">  </w:t>
      </w:r>
      <w:r w:rsidRPr="002C72DA">
        <w:rPr>
          <w:rFonts w:ascii="Book Antiqua" w:hAnsi="Book Antiqua"/>
          <w:sz w:val="24"/>
          <w:szCs w:val="24"/>
        </w:rPr>
        <w:t xml:space="preserve"> </w:t>
      </w:r>
    </w:p>
    <w:p w:rsidR="00CD552B" w:rsidRPr="002C72DA" w:rsidRDefault="00CD552B" w:rsidP="002C72DA">
      <w:pPr>
        <w:spacing w:after="0" w:line="360" w:lineRule="auto"/>
        <w:contextualSpacing/>
        <w:jc w:val="both"/>
        <w:rPr>
          <w:rFonts w:ascii="Book Antiqua" w:hAnsi="Book Antiqua"/>
          <w:i/>
          <w:sz w:val="24"/>
          <w:szCs w:val="24"/>
        </w:rPr>
      </w:pPr>
    </w:p>
    <w:p w:rsidR="00CD552B" w:rsidRPr="00183359" w:rsidRDefault="00CD552B" w:rsidP="002C72DA">
      <w:pPr>
        <w:spacing w:after="0" w:line="360" w:lineRule="auto"/>
        <w:contextualSpacing/>
        <w:jc w:val="both"/>
        <w:rPr>
          <w:rFonts w:ascii="Book Antiqua" w:hAnsi="Book Antiqua"/>
          <w:b/>
          <w:i/>
          <w:sz w:val="24"/>
          <w:szCs w:val="24"/>
        </w:rPr>
      </w:pPr>
      <w:r w:rsidRPr="00183359">
        <w:rPr>
          <w:rFonts w:ascii="Book Antiqua" w:hAnsi="Book Antiqua"/>
          <w:b/>
          <w:i/>
          <w:sz w:val="24"/>
          <w:szCs w:val="24"/>
        </w:rPr>
        <w:t>Advancing healthcare information technology</w:t>
      </w:r>
    </w:p>
    <w:p w:rsidR="00CD552B" w:rsidRPr="002C72DA" w:rsidRDefault="00CD552B" w:rsidP="00183359">
      <w:pPr>
        <w:spacing w:after="0" w:line="360" w:lineRule="auto"/>
        <w:contextualSpacing/>
        <w:jc w:val="both"/>
        <w:rPr>
          <w:rFonts w:ascii="Book Antiqua" w:hAnsi="Book Antiqua"/>
          <w:sz w:val="24"/>
          <w:szCs w:val="24"/>
        </w:rPr>
      </w:pPr>
      <w:r w:rsidRPr="002C72DA">
        <w:rPr>
          <w:rFonts w:ascii="Book Antiqua" w:hAnsi="Book Antiqua"/>
          <w:sz w:val="24"/>
          <w:szCs w:val="24"/>
        </w:rPr>
        <w:t>The widespread incorporation for healthcare information technology (HIT) has been identified as essential in order to improve quality, safety, efficiency, and coordination of care by many leaders in the field of QI and patient safety</w:t>
      </w:r>
      <w:r w:rsidRPr="00B957FA">
        <w:rPr>
          <w:rFonts w:ascii="Book Antiqua" w:hAnsi="Book Antiqua"/>
          <w:sz w:val="24"/>
          <w:szCs w:val="24"/>
          <w:vertAlign w:val="superscript"/>
        </w:rPr>
        <w:t>[</w:t>
      </w:r>
      <w:r w:rsidRPr="002C72DA">
        <w:rPr>
          <w:rFonts w:ascii="Book Antiqua" w:hAnsi="Book Antiqua"/>
          <w:sz w:val="24"/>
          <w:szCs w:val="24"/>
          <w:vertAlign w:val="superscript"/>
        </w:rPr>
        <w:t>66]</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Many of the organizations regarded as leaders in the field of QI, such as the Veterans Affairs (VA) system in the United States or the Intermountain Healthcare Network in Utah attribute their success to the early adoption of electronic medical records and ongoing refinement of HIT resources</w:t>
      </w:r>
      <w:r w:rsidRPr="00B957FA">
        <w:rPr>
          <w:rFonts w:ascii="Book Antiqua" w:hAnsi="Book Antiqua"/>
          <w:sz w:val="24"/>
          <w:szCs w:val="24"/>
          <w:vertAlign w:val="superscript"/>
        </w:rPr>
        <w:t>[</w:t>
      </w:r>
      <w:r w:rsidRPr="002C72DA">
        <w:rPr>
          <w:rFonts w:ascii="Book Antiqua" w:hAnsi="Book Antiqua"/>
          <w:sz w:val="24"/>
          <w:szCs w:val="24"/>
          <w:vertAlign w:val="superscript"/>
        </w:rPr>
        <w:t>67]</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Providers delivering care to IBD patients have the potential to benefit from a variety of HIT related interventions including an electronic health record, computerized provider order entry (CPOE), and clinical decision support.</w:t>
      </w:r>
      <w:r>
        <w:rPr>
          <w:rFonts w:ascii="Book Antiqua" w:hAnsi="Book Antiqua"/>
          <w:sz w:val="24"/>
          <w:szCs w:val="24"/>
        </w:rPr>
        <w:t xml:space="preserve">  </w:t>
      </w:r>
      <w:r w:rsidRPr="002C72DA">
        <w:rPr>
          <w:rFonts w:ascii="Book Antiqua" w:hAnsi="Book Antiqua"/>
          <w:sz w:val="24"/>
          <w:szCs w:val="24"/>
        </w:rPr>
        <w:t>If designed well and appropriately adapted to the context of a given institution, an electronic heath record has the potential to improve efficiency, safety, and communication.</w:t>
      </w:r>
      <w:r>
        <w:rPr>
          <w:rFonts w:ascii="Book Antiqua" w:hAnsi="Book Antiqua"/>
          <w:sz w:val="24"/>
          <w:szCs w:val="24"/>
        </w:rPr>
        <w:t xml:space="preserve"> </w:t>
      </w:r>
      <w:r w:rsidRPr="002C72DA">
        <w:rPr>
          <w:rFonts w:ascii="Book Antiqua" w:hAnsi="Book Antiqua"/>
          <w:sz w:val="24"/>
          <w:szCs w:val="24"/>
        </w:rPr>
        <w:t>It also has the potential to engage patients as platforms in which patients are able to access their own health record are increasingly being developed</w:t>
      </w:r>
      <w:r w:rsidRPr="00B957FA">
        <w:rPr>
          <w:rFonts w:ascii="Book Antiqua" w:hAnsi="Book Antiqua"/>
          <w:sz w:val="24"/>
          <w:szCs w:val="24"/>
          <w:vertAlign w:val="superscript"/>
        </w:rPr>
        <w:t>[</w:t>
      </w:r>
      <w:r w:rsidRPr="002C72DA">
        <w:rPr>
          <w:rFonts w:ascii="Book Antiqua" w:hAnsi="Book Antiqua"/>
          <w:sz w:val="24"/>
          <w:szCs w:val="24"/>
          <w:vertAlign w:val="superscript"/>
        </w:rPr>
        <w:t>66]</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This is important in IBD as patients are often young and may travel or move frequently for school and work.</w:t>
      </w:r>
      <w:r>
        <w:rPr>
          <w:rFonts w:ascii="Book Antiqua" w:hAnsi="Book Antiqua"/>
          <w:sz w:val="24"/>
          <w:szCs w:val="24"/>
        </w:rPr>
        <w:t xml:space="preserve">  </w:t>
      </w:r>
      <w:r w:rsidRPr="002C72DA">
        <w:rPr>
          <w:rFonts w:ascii="Book Antiqua" w:hAnsi="Book Antiqua"/>
          <w:sz w:val="24"/>
          <w:szCs w:val="24"/>
        </w:rPr>
        <w:t xml:space="preserve">An electronic record also lends well to automated reminders which could address many areas of care that have been shown to have suboptimal performance such as monitoring blood work on </w:t>
      </w:r>
      <w:proofErr w:type="spellStart"/>
      <w:r w:rsidRPr="002C72DA">
        <w:rPr>
          <w:rFonts w:ascii="Book Antiqua" w:hAnsi="Book Antiqua"/>
          <w:sz w:val="24"/>
          <w:szCs w:val="24"/>
        </w:rPr>
        <w:t>thiopurines</w:t>
      </w:r>
      <w:proofErr w:type="spellEnd"/>
      <w:r w:rsidRPr="002C72DA">
        <w:rPr>
          <w:rFonts w:ascii="Book Antiqua" w:hAnsi="Book Antiqua"/>
          <w:sz w:val="24"/>
          <w:szCs w:val="24"/>
        </w:rPr>
        <w:t xml:space="preserve"> and bone density assessments</w:t>
      </w:r>
      <w:r w:rsidRPr="00B957FA">
        <w:rPr>
          <w:rFonts w:ascii="Book Antiqua" w:hAnsi="Book Antiqua"/>
          <w:sz w:val="24"/>
          <w:szCs w:val="24"/>
          <w:vertAlign w:val="superscript"/>
        </w:rPr>
        <w:t>[</w:t>
      </w:r>
      <w:r w:rsidRPr="002C72DA">
        <w:rPr>
          <w:rFonts w:ascii="Book Antiqua" w:hAnsi="Book Antiqua"/>
          <w:sz w:val="24"/>
          <w:szCs w:val="24"/>
          <w:vertAlign w:val="superscript"/>
        </w:rPr>
        <w:t>63]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CPOE is another HIT intervention that in addition to decreasing medication errors, has the potential to enable drug interaction warnings, monitoring tests, and linkage to decision support systems</w:t>
      </w:r>
      <w:r w:rsidRPr="00B957FA">
        <w:rPr>
          <w:rFonts w:ascii="Book Antiqua" w:hAnsi="Book Antiqua"/>
          <w:sz w:val="24"/>
          <w:szCs w:val="24"/>
          <w:vertAlign w:val="superscript"/>
        </w:rPr>
        <w:t>[</w:t>
      </w:r>
      <w:r w:rsidRPr="002C72DA">
        <w:rPr>
          <w:rFonts w:ascii="Book Antiqua" w:hAnsi="Book Antiqua"/>
          <w:sz w:val="24"/>
          <w:szCs w:val="24"/>
          <w:vertAlign w:val="superscript"/>
        </w:rPr>
        <w:t>66]</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For example, order sets involve a collection of orders or investigations at one location that when designed well, are effective through improving efficiency, decreasing variation, enhancing workflow, and improving communication of evidence based practices</w:t>
      </w:r>
      <w:r w:rsidRPr="00B957FA">
        <w:rPr>
          <w:rFonts w:ascii="Book Antiqua" w:hAnsi="Book Antiqua"/>
          <w:sz w:val="24"/>
          <w:szCs w:val="24"/>
          <w:vertAlign w:val="superscript"/>
        </w:rPr>
        <w:t>[</w:t>
      </w:r>
      <w:r w:rsidRPr="002C72DA">
        <w:rPr>
          <w:rFonts w:ascii="Book Antiqua" w:hAnsi="Book Antiqua"/>
          <w:sz w:val="24"/>
          <w:szCs w:val="24"/>
          <w:vertAlign w:val="superscript"/>
        </w:rPr>
        <w:t>68,69]</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Traditionally, order sets have been paper-based, but electronic order sets have become increasingly popular and have already been evaluated extensively in the patient safety literature.</w:t>
      </w:r>
      <w:r>
        <w:rPr>
          <w:rFonts w:ascii="Book Antiqua" w:hAnsi="Book Antiqua"/>
          <w:sz w:val="24"/>
          <w:szCs w:val="24"/>
        </w:rPr>
        <w:t xml:space="preserve"> </w:t>
      </w:r>
      <w:r w:rsidRPr="002C72DA">
        <w:rPr>
          <w:rFonts w:ascii="Book Antiqua" w:hAnsi="Book Antiqua"/>
          <w:sz w:val="24"/>
          <w:szCs w:val="24"/>
        </w:rPr>
        <w:t xml:space="preserve">Compared to traditional paper order sets, electronic order sets </w:t>
      </w:r>
      <w:r w:rsidRPr="002C72DA">
        <w:rPr>
          <w:rFonts w:ascii="Book Antiqua" w:hAnsi="Book Antiqua"/>
          <w:sz w:val="24"/>
          <w:szCs w:val="24"/>
        </w:rPr>
        <w:lastRenderedPageBreak/>
        <w:t>have been shown to be more readily accessible, easier to link with other relevant order sets, and can be updated in real time</w:t>
      </w:r>
      <w:r w:rsidRPr="00B957FA">
        <w:rPr>
          <w:rFonts w:ascii="Book Antiqua" w:hAnsi="Book Antiqua"/>
          <w:sz w:val="24"/>
          <w:szCs w:val="24"/>
          <w:vertAlign w:val="superscript"/>
        </w:rPr>
        <w:t>[</w:t>
      </w:r>
      <w:r w:rsidRPr="002C72DA">
        <w:rPr>
          <w:rFonts w:ascii="Book Antiqua" w:hAnsi="Book Antiqua"/>
          <w:sz w:val="24"/>
          <w:szCs w:val="24"/>
          <w:vertAlign w:val="superscript"/>
        </w:rPr>
        <w:t>70]</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A number of areas within IBD patient care may be improved with electronic order sets, such as pre anti-TNF screening.</w:t>
      </w:r>
      <w:r>
        <w:rPr>
          <w:rFonts w:ascii="Book Antiqua" w:hAnsi="Book Antiqua"/>
          <w:sz w:val="24"/>
          <w:szCs w:val="24"/>
        </w:rPr>
        <w:t xml:space="preserve"> </w:t>
      </w:r>
      <w:r w:rsidRPr="002C72DA">
        <w:rPr>
          <w:rFonts w:ascii="Book Antiqua" w:hAnsi="Book Antiqua"/>
          <w:sz w:val="24"/>
          <w:szCs w:val="24"/>
        </w:rPr>
        <w:t>While the evidence for order sets improving anti-TNF screening is lacking, examples in other fields support their utility.</w:t>
      </w:r>
      <w:r>
        <w:rPr>
          <w:rFonts w:ascii="Book Antiqua" w:hAnsi="Book Antiqua"/>
          <w:sz w:val="24"/>
          <w:szCs w:val="24"/>
        </w:rPr>
        <w:t xml:space="preserve"> </w:t>
      </w:r>
      <w:r w:rsidRPr="002C72DA">
        <w:rPr>
          <w:rFonts w:ascii="Book Antiqua" w:hAnsi="Book Antiqua"/>
          <w:sz w:val="24"/>
          <w:szCs w:val="24"/>
        </w:rPr>
        <w:t>A pediatric study showed that an order set improved adherence to evidenced based asthma medication behaviors by almost 25%</w:t>
      </w:r>
      <w:r w:rsidRPr="00B957FA">
        <w:rPr>
          <w:rFonts w:ascii="Book Antiqua" w:hAnsi="Book Antiqua"/>
          <w:sz w:val="24"/>
          <w:szCs w:val="24"/>
          <w:vertAlign w:val="superscript"/>
        </w:rPr>
        <w:t>[</w:t>
      </w:r>
      <w:r w:rsidRPr="002C72DA">
        <w:rPr>
          <w:rFonts w:ascii="Book Antiqua" w:hAnsi="Book Antiqua"/>
          <w:sz w:val="24"/>
          <w:szCs w:val="24"/>
          <w:vertAlign w:val="superscript"/>
        </w:rPr>
        <w:t>71]</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While these results are encouraging, the quality of most studies evaluating order sets is not high and often employ simple before and after designs with poor control of biases</w:t>
      </w:r>
      <w:r w:rsidRPr="00B957FA">
        <w:rPr>
          <w:rFonts w:ascii="Book Antiqua" w:hAnsi="Book Antiqua"/>
          <w:sz w:val="24"/>
          <w:szCs w:val="24"/>
          <w:vertAlign w:val="superscript"/>
        </w:rPr>
        <w:t>[</w:t>
      </w:r>
      <w:r w:rsidRPr="002C72DA">
        <w:rPr>
          <w:rFonts w:ascii="Book Antiqua" w:hAnsi="Book Antiqua"/>
          <w:sz w:val="24"/>
          <w:szCs w:val="24"/>
          <w:vertAlign w:val="superscript"/>
        </w:rPr>
        <w:t>72]</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Moreover, some studies have shown unintended consequences of HIT.</w:t>
      </w:r>
      <w:r>
        <w:rPr>
          <w:rFonts w:ascii="Book Antiqua" w:hAnsi="Book Antiqua"/>
          <w:sz w:val="24"/>
          <w:szCs w:val="24"/>
        </w:rPr>
        <w:t xml:space="preserve"> </w:t>
      </w:r>
      <w:r w:rsidRPr="002C72DA">
        <w:rPr>
          <w:rFonts w:ascii="Book Antiqua" w:hAnsi="Book Antiqua"/>
          <w:sz w:val="24"/>
          <w:szCs w:val="24"/>
        </w:rPr>
        <w:t>For example, one study aimed at using an electronic reminder to improve adherence to colon cancer found that following the intervention was unveiled, colon cancer screening adherence actually declined as a result of ineffective reminders and increased fecal occult blood screening rather than colonoscopy</w:t>
      </w:r>
      <w:r w:rsidRPr="002C72DA">
        <w:rPr>
          <w:rFonts w:ascii="Book Antiqua" w:hAnsi="Book Antiqua"/>
          <w:sz w:val="24"/>
          <w:szCs w:val="24"/>
          <w:vertAlign w:val="superscript"/>
        </w:rPr>
        <w:t>[73]</w:t>
      </w:r>
      <w:r w:rsidRPr="002C72DA">
        <w:rPr>
          <w:rFonts w:ascii="Book Antiqua" w:hAnsi="Book Antiqua"/>
          <w:sz w:val="24"/>
          <w:szCs w:val="24"/>
        </w:rPr>
        <w:t>.</w:t>
      </w:r>
      <w:r>
        <w:rPr>
          <w:rFonts w:ascii="Book Antiqua" w:hAnsi="Book Antiqua"/>
          <w:sz w:val="24"/>
          <w:szCs w:val="24"/>
        </w:rPr>
        <w:t xml:space="preserve"> </w:t>
      </w:r>
      <w:r w:rsidRPr="002C72DA">
        <w:rPr>
          <w:rFonts w:ascii="Book Antiqua" w:hAnsi="Book Antiqua"/>
          <w:sz w:val="24"/>
          <w:szCs w:val="24"/>
        </w:rPr>
        <w:t>Nonetheless, the theory behind order set effectiveness is sound and addressed several of the contributors to the anti-TNF safety problem identified above including knowledge gaps and confusion with details as to how to screen.</w:t>
      </w:r>
      <w:r>
        <w:rPr>
          <w:rFonts w:ascii="Book Antiqua" w:hAnsi="Book Antiqua"/>
          <w:sz w:val="24"/>
          <w:szCs w:val="24"/>
        </w:rPr>
        <w:t xml:space="preserve"> </w:t>
      </w:r>
    </w:p>
    <w:p w:rsidR="00CD552B" w:rsidRPr="002C72DA" w:rsidRDefault="00CD552B" w:rsidP="002C72DA">
      <w:pPr>
        <w:autoSpaceDE w:val="0"/>
        <w:autoSpaceDN w:val="0"/>
        <w:adjustRightInd w:val="0"/>
        <w:spacing w:after="0" w:line="360" w:lineRule="auto"/>
        <w:jc w:val="both"/>
        <w:rPr>
          <w:rFonts w:ascii="Book Antiqua" w:hAnsi="Book Antiqua"/>
          <w:b/>
          <w:sz w:val="24"/>
          <w:szCs w:val="24"/>
          <w:u w:val="single"/>
        </w:rPr>
      </w:pPr>
    </w:p>
    <w:p w:rsidR="00CD552B" w:rsidRPr="00183359" w:rsidRDefault="00CD552B" w:rsidP="002C72DA">
      <w:pPr>
        <w:autoSpaceDE w:val="0"/>
        <w:autoSpaceDN w:val="0"/>
        <w:adjustRightInd w:val="0"/>
        <w:spacing w:after="0" w:line="360" w:lineRule="auto"/>
        <w:jc w:val="both"/>
        <w:rPr>
          <w:rFonts w:ascii="Book Antiqua" w:hAnsi="Book Antiqua"/>
          <w:b/>
          <w:sz w:val="24"/>
          <w:szCs w:val="24"/>
        </w:rPr>
      </w:pPr>
      <w:r w:rsidRPr="00183359">
        <w:rPr>
          <w:rFonts w:ascii="Book Antiqua" w:hAnsi="Book Antiqua"/>
          <w:b/>
          <w:sz w:val="24"/>
          <w:szCs w:val="24"/>
        </w:rPr>
        <w:t>CONCLUSION</w:t>
      </w:r>
    </w:p>
    <w:p w:rsidR="00CD552B" w:rsidRPr="002C72DA" w:rsidRDefault="00CD552B" w:rsidP="002C72DA">
      <w:pPr>
        <w:autoSpaceDE w:val="0"/>
        <w:autoSpaceDN w:val="0"/>
        <w:adjustRightInd w:val="0"/>
        <w:spacing w:after="0" w:line="360" w:lineRule="auto"/>
        <w:jc w:val="both"/>
        <w:rPr>
          <w:rFonts w:ascii="Book Antiqua" w:hAnsi="Book Antiqua"/>
          <w:sz w:val="24"/>
          <w:szCs w:val="24"/>
        </w:rPr>
      </w:pPr>
      <w:r w:rsidRPr="002C72DA">
        <w:rPr>
          <w:rFonts w:ascii="Book Antiqua" w:hAnsi="Book Antiqua"/>
          <w:sz w:val="24"/>
          <w:szCs w:val="24"/>
        </w:rPr>
        <w:t>Caring for patients with IBD can be challenging due to the heterogeneous nature of the disease and the lack of consensus in many areas of practice.</w:t>
      </w:r>
      <w:r>
        <w:rPr>
          <w:rFonts w:ascii="Book Antiqua" w:hAnsi="Book Antiqua"/>
          <w:sz w:val="24"/>
          <w:szCs w:val="24"/>
        </w:rPr>
        <w:t xml:space="preserve"> </w:t>
      </w:r>
      <w:r w:rsidRPr="002C72DA">
        <w:rPr>
          <w:rFonts w:ascii="Book Antiqua" w:hAnsi="Book Antiqua"/>
          <w:sz w:val="24"/>
          <w:szCs w:val="24"/>
        </w:rPr>
        <w:t>Variation in practice is therefore unavoidable and does not necessarily imply deficiencies in quality.</w:t>
      </w:r>
      <w:r>
        <w:rPr>
          <w:rFonts w:ascii="Book Antiqua" w:hAnsi="Book Antiqua"/>
          <w:sz w:val="24"/>
          <w:szCs w:val="24"/>
        </w:rPr>
        <w:t xml:space="preserve"> </w:t>
      </w:r>
      <w:r w:rsidRPr="002C72DA">
        <w:rPr>
          <w:rFonts w:ascii="Book Antiqua" w:hAnsi="Book Antiqua"/>
          <w:sz w:val="24"/>
          <w:szCs w:val="24"/>
        </w:rPr>
        <w:t xml:space="preserve">Nonetheless, there are several aspects of IBD care whereby suboptimal performance has been documented and may be amenable to quality improvement initiatives including regular objective assessments of disease activity, recommending steroid sparing therapy, and appropriate monitoring of patients initiating and ongoing </w:t>
      </w:r>
      <w:proofErr w:type="spellStart"/>
      <w:r w:rsidRPr="002C72DA">
        <w:rPr>
          <w:rFonts w:ascii="Book Antiqua" w:hAnsi="Book Antiqua"/>
          <w:sz w:val="24"/>
          <w:szCs w:val="24"/>
        </w:rPr>
        <w:t>immunomodulator</w:t>
      </w:r>
      <w:proofErr w:type="spellEnd"/>
      <w:r w:rsidRPr="002C72DA">
        <w:rPr>
          <w:rFonts w:ascii="Book Antiqua" w:hAnsi="Book Antiqua"/>
          <w:sz w:val="24"/>
          <w:szCs w:val="24"/>
        </w:rPr>
        <w:t xml:space="preserve"> and anti-TNF therapy.</w:t>
      </w:r>
      <w:r>
        <w:rPr>
          <w:rFonts w:ascii="Book Antiqua" w:hAnsi="Book Antiqua"/>
          <w:sz w:val="24"/>
          <w:szCs w:val="24"/>
        </w:rPr>
        <w:t xml:space="preserve"> </w:t>
      </w:r>
      <w:r w:rsidRPr="002C72DA">
        <w:rPr>
          <w:rFonts w:ascii="Book Antiqua" w:hAnsi="Book Antiqua"/>
          <w:sz w:val="24"/>
          <w:szCs w:val="24"/>
        </w:rPr>
        <w:t xml:space="preserve">Reimbursement programs, chronic disease frameworks, QI </w:t>
      </w:r>
      <w:proofErr w:type="spellStart"/>
      <w:r w:rsidRPr="002C72DA">
        <w:rPr>
          <w:rFonts w:ascii="Book Antiqua" w:hAnsi="Book Antiqua"/>
          <w:sz w:val="24"/>
          <w:szCs w:val="24"/>
        </w:rPr>
        <w:t>collaboratives</w:t>
      </w:r>
      <w:proofErr w:type="spellEnd"/>
      <w:r w:rsidRPr="002C72DA">
        <w:rPr>
          <w:rFonts w:ascii="Book Antiqua" w:hAnsi="Book Antiqua"/>
          <w:sz w:val="24"/>
          <w:szCs w:val="24"/>
        </w:rPr>
        <w:t>, and health information technology resources are several potential interventions that may benefit IBD patient care.</w:t>
      </w:r>
      <w:r>
        <w:rPr>
          <w:rFonts w:ascii="Book Antiqua" w:hAnsi="Book Antiqua"/>
          <w:sz w:val="24"/>
          <w:szCs w:val="24"/>
        </w:rPr>
        <w:t xml:space="preserve"> </w:t>
      </w:r>
      <w:r w:rsidRPr="002C72DA">
        <w:rPr>
          <w:rFonts w:ascii="Book Antiqua" w:hAnsi="Book Antiqua"/>
          <w:sz w:val="24"/>
          <w:szCs w:val="24"/>
        </w:rPr>
        <w:t xml:space="preserve">Quality performance indicators are expected to increasingly become incorporated into accreditation and </w:t>
      </w:r>
      <w:r w:rsidRPr="002C72DA">
        <w:rPr>
          <w:rFonts w:ascii="Book Antiqua" w:hAnsi="Book Antiqua"/>
          <w:sz w:val="24"/>
          <w:szCs w:val="24"/>
        </w:rPr>
        <w:lastRenderedPageBreak/>
        <w:t>funding models and it is therefore important that gastroenterologists become familiar with QI concepts and consider implementing initiatives where warranted.</w:t>
      </w:r>
      <w:r>
        <w:rPr>
          <w:rFonts w:ascii="Book Antiqua" w:hAnsi="Book Antiqua"/>
          <w:sz w:val="24"/>
          <w:szCs w:val="24"/>
        </w:rPr>
        <w:t xml:space="preserve">  </w:t>
      </w:r>
    </w:p>
    <w:p w:rsidR="00CD552B" w:rsidRPr="00016485" w:rsidRDefault="00CD552B" w:rsidP="002C72DA">
      <w:pPr>
        <w:spacing w:after="0" w:line="360" w:lineRule="auto"/>
        <w:jc w:val="both"/>
        <w:rPr>
          <w:rFonts w:ascii="Book Antiqua" w:hAnsi="Book Antiqua"/>
          <w:b/>
          <w:sz w:val="24"/>
          <w:szCs w:val="24"/>
        </w:rPr>
      </w:pPr>
      <w:r w:rsidRPr="00016485">
        <w:rPr>
          <w:rFonts w:ascii="Book Antiqua" w:hAnsi="Book Antiqua"/>
          <w:b/>
          <w:sz w:val="24"/>
          <w:szCs w:val="24"/>
        </w:rPr>
        <w:t>REFERENCES</w:t>
      </w:r>
    </w:p>
    <w:p w:rsidR="00CD552B" w:rsidRPr="00142E9D" w:rsidRDefault="00CD552B" w:rsidP="00B67F56">
      <w:pPr>
        <w:spacing w:line="360" w:lineRule="auto"/>
        <w:jc w:val="both"/>
        <w:rPr>
          <w:rFonts w:ascii="Book Antiqua" w:hAnsi="Book Antiqua" w:cs="宋体"/>
          <w:sz w:val="24"/>
          <w:szCs w:val="24"/>
          <w:lang w:eastAsia="zh-CN"/>
        </w:rPr>
      </w:pPr>
      <w:bookmarkStart w:id="23" w:name="OLE_LINK153"/>
      <w:bookmarkStart w:id="24" w:name="OLE_LINK154"/>
      <w:r>
        <w:rPr>
          <w:rFonts w:ascii="Book Antiqua" w:hAnsi="Book Antiqua" w:cs="宋体"/>
          <w:sz w:val="24"/>
          <w:szCs w:val="24"/>
        </w:rPr>
        <w:t>1</w:t>
      </w:r>
      <w:r w:rsidRPr="00462143">
        <w:rPr>
          <w:rFonts w:ascii="Book Antiqua" w:hAnsi="Book Antiqua" w:cs="宋体"/>
          <w:b/>
          <w:sz w:val="24"/>
          <w:szCs w:val="24"/>
        </w:rPr>
        <w:t xml:space="preserve"> </w:t>
      </w:r>
      <w:r w:rsidRPr="00142E9D">
        <w:rPr>
          <w:rFonts w:ascii="Book Antiqua" w:hAnsi="Book Antiqua" w:cs="宋体"/>
          <w:b/>
          <w:sz w:val="24"/>
          <w:szCs w:val="24"/>
        </w:rPr>
        <w:t>Kohn L</w:t>
      </w:r>
      <w:r w:rsidRPr="00142E9D">
        <w:rPr>
          <w:rFonts w:ascii="Book Antiqua" w:hAnsi="Book Antiqua" w:cs="宋体"/>
          <w:sz w:val="24"/>
          <w:szCs w:val="24"/>
        </w:rPr>
        <w:t>, Corrigan J, Donaldson M, eds. To err is Human: Building a Safer Health System. Committee on Quality of Health Care in American, Institute of Medicine. Washington, DC: National Academy</w:t>
      </w:r>
      <w:r>
        <w:rPr>
          <w:rFonts w:ascii="Book Antiqua" w:hAnsi="Book Antiqua" w:cs="宋体"/>
          <w:sz w:val="24"/>
          <w:szCs w:val="24"/>
        </w:rPr>
        <w:t xml:space="preserve"> Press; 2000</w:t>
      </w:r>
    </w:p>
    <w:p w:rsidR="00CD552B" w:rsidRDefault="00CD552B" w:rsidP="00B67F56">
      <w:pPr>
        <w:spacing w:line="360" w:lineRule="auto"/>
        <w:rPr>
          <w:rFonts w:ascii="Book Antiqua" w:hAnsi="Book Antiqua" w:cs="宋体"/>
          <w:sz w:val="24"/>
          <w:szCs w:val="24"/>
        </w:rPr>
      </w:pPr>
      <w:r>
        <w:rPr>
          <w:rFonts w:ascii="Book Antiqua" w:hAnsi="Book Antiqua" w:cs="宋体"/>
          <w:sz w:val="24"/>
          <w:szCs w:val="24"/>
        </w:rPr>
        <w:t xml:space="preserve">2 </w:t>
      </w:r>
      <w:r w:rsidRPr="00142E9D">
        <w:rPr>
          <w:rFonts w:ascii="Book Antiqua" w:hAnsi="Book Antiqua" w:cs="宋体"/>
          <w:sz w:val="24"/>
          <w:szCs w:val="24"/>
        </w:rPr>
        <w:t xml:space="preserve">Institute of Medicine: Medicare: A Strategy for Quality Assurance. Edited by </w:t>
      </w:r>
      <w:proofErr w:type="spellStart"/>
      <w:r w:rsidRPr="00142E9D">
        <w:rPr>
          <w:rFonts w:ascii="Book Antiqua" w:hAnsi="Book Antiqua" w:cs="宋体"/>
          <w:sz w:val="24"/>
          <w:szCs w:val="24"/>
        </w:rPr>
        <w:t>Lohr</w:t>
      </w:r>
      <w:proofErr w:type="spellEnd"/>
      <w:r w:rsidRPr="00142E9D">
        <w:rPr>
          <w:rFonts w:ascii="Book Antiqua" w:hAnsi="Book Antiqua" w:cs="宋体"/>
          <w:sz w:val="24"/>
          <w:szCs w:val="24"/>
        </w:rPr>
        <w:t xml:space="preserve"> </w:t>
      </w:r>
      <w:proofErr w:type="spellStart"/>
      <w:r w:rsidRPr="00142E9D">
        <w:rPr>
          <w:rFonts w:ascii="Book Antiqua" w:hAnsi="Book Antiqua" w:cs="宋体"/>
          <w:sz w:val="24"/>
          <w:szCs w:val="24"/>
        </w:rPr>
        <w:t>KN.Washington</w:t>
      </w:r>
      <w:proofErr w:type="spellEnd"/>
      <w:r w:rsidRPr="00142E9D">
        <w:rPr>
          <w:rFonts w:ascii="Book Antiqua" w:hAnsi="Book Antiqua" w:cs="宋体"/>
          <w:sz w:val="24"/>
          <w:szCs w:val="24"/>
        </w:rPr>
        <w:t xml:space="preserve">, DC: National Academy Press; 1990 </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3 </w:t>
      </w:r>
      <w:proofErr w:type="spellStart"/>
      <w:r w:rsidRPr="00142E9D">
        <w:rPr>
          <w:rFonts w:ascii="Book Antiqua" w:hAnsi="Book Antiqua" w:cs="宋体"/>
          <w:b/>
          <w:bCs/>
          <w:sz w:val="24"/>
          <w:szCs w:val="24"/>
        </w:rPr>
        <w:t>McGlynn</w:t>
      </w:r>
      <w:proofErr w:type="spellEnd"/>
      <w:r w:rsidRPr="00142E9D">
        <w:rPr>
          <w:rFonts w:ascii="Book Antiqua" w:hAnsi="Book Antiqua" w:cs="宋体"/>
          <w:b/>
          <w:bCs/>
          <w:sz w:val="24"/>
          <w:szCs w:val="24"/>
        </w:rPr>
        <w:t xml:space="preserve"> EA</w:t>
      </w:r>
      <w:r w:rsidRPr="00142E9D">
        <w:rPr>
          <w:rFonts w:ascii="Book Antiqua" w:hAnsi="Book Antiqua" w:cs="宋体"/>
          <w:sz w:val="24"/>
          <w:szCs w:val="24"/>
        </w:rPr>
        <w:t xml:space="preserve">, Asch SM, Adams J, </w:t>
      </w:r>
      <w:proofErr w:type="spellStart"/>
      <w:r w:rsidRPr="00142E9D">
        <w:rPr>
          <w:rFonts w:ascii="Book Antiqua" w:hAnsi="Book Antiqua" w:cs="宋体"/>
          <w:sz w:val="24"/>
          <w:szCs w:val="24"/>
        </w:rPr>
        <w:t>Keesey</w:t>
      </w:r>
      <w:proofErr w:type="spellEnd"/>
      <w:r w:rsidRPr="00142E9D">
        <w:rPr>
          <w:rFonts w:ascii="Book Antiqua" w:hAnsi="Book Antiqua" w:cs="宋体"/>
          <w:sz w:val="24"/>
          <w:szCs w:val="24"/>
        </w:rPr>
        <w:t xml:space="preserve"> J, Hicks J, </w:t>
      </w:r>
      <w:proofErr w:type="spellStart"/>
      <w:r w:rsidRPr="00142E9D">
        <w:rPr>
          <w:rFonts w:ascii="Book Antiqua" w:hAnsi="Book Antiqua" w:cs="宋体"/>
          <w:sz w:val="24"/>
          <w:szCs w:val="24"/>
        </w:rPr>
        <w:t>DeCristofaro</w:t>
      </w:r>
      <w:proofErr w:type="spellEnd"/>
      <w:r w:rsidRPr="00142E9D">
        <w:rPr>
          <w:rFonts w:ascii="Book Antiqua" w:hAnsi="Book Antiqua" w:cs="宋体"/>
          <w:sz w:val="24"/>
          <w:szCs w:val="24"/>
        </w:rPr>
        <w:t xml:space="preserve"> A, Kerr EA. The quality of health care delivered to adults in the United States. </w:t>
      </w:r>
      <w:r w:rsidRPr="00142E9D">
        <w:rPr>
          <w:rFonts w:ascii="Book Antiqua" w:hAnsi="Book Antiqua" w:cs="宋体"/>
          <w:i/>
          <w:iCs/>
          <w:sz w:val="24"/>
          <w:szCs w:val="24"/>
        </w:rPr>
        <w:t xml:space="preserve">N </w:t>
      </w:r>
      <w:proofErr w:type="spellStart"/>
      <w:r w:rsidRPr="00142E9D">
        <w:rPr>
          <w:rFonts w:ascii="Book Antiqua" w:hAnsi="Book Antiqua" w:cs="宋体"/>
          <w:i/>
          <w:iCs/>
          <w:sz w:val="24"/>
          <w:szCs w:val="24"/>
        </w:rPr>
        <w:t>Engl</w:t>
      </w:r>
      <w:proofErr w:type="spellEnd"/>
      <w:r w:rsidRPr="00142E9D">
        <w:rPr>
          <w:rFonts w:ascii="Book Antiqua" w:hAnsi="Book Antiqua" w:cs="宋体"/>
          <w:i/>
          <w:iCs/>
          <w:sz w:val="24"/>
          <w:szCs w:val="24"/>
        </w:rPr>
        <w:t xml:space="preserve"> J Med</w:t>
      </w:r>
      <w:r w:rsidRPr="00142E9D">
        <w:rPr>
          <w:rFonts w:ascii="Book Antiqua" w:hAnsi="Book Antiqua" w:cs="宋体"/>
          <w:sz w:val="24"/>
          <w:szCs w:val="24"/>
        </w:rPr>
        <w:t> 2003; </w:t>
      </w:r>
      <w:r w:rsidRPr="00142E9D">
        <w:rPr>
          <w:rFonts w:ascii="Book Antiqua" w:hAnsi="Book Antiqua" w:cs="宋体"/>
          <w:b/>
          <w:bCs/>
          <w:sz w:val="24"/>
          <w:szCs w:val="24"/>
        </w:rPr>
        <w:t>348</w:t>
      </w:r>
      <w:r w:rsidRPr="00142E9D">
        <w:rPr>
          <w:rFonts w:ascii="Book Antiqua" w:hAnsi="Book Antiqua" w:cs="宋体"/>
          <w:sz w:val="24"/>
          <w:szCs w:val="24"/>
        </w:rPr>
        <w:t>: 2635-2645 [PMID: 12826639 DOI: 10.1056/NEJMsa022615]</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4 </w:t>
      </w:r>
      <w:r w:rsidRPr="00142E9D">
        <w:rPr>
          <w:rFonts w:ascii="Book Antiqua" w:hAnsi="Book Antiqua" w:cs="宋体"/>
          <w:b/>
          <w:bCs/>
          <w:sz w:val="24"/>
          <w:szCs w:val="24"/>
        </w:rPr>
        <w:t>Loftus EV</w:t>
      </w:r>
      <w:r w:rsidRPr="00142E9D">
        <w:rPr>
          <w:rFonts w:ascii="Book Antiqua" w:hAnsi="Book Antiqua" w:cs="宋体"/>
          <w:sz w:val="24"/>
          <w:szCs w:val="24"/>
        </w:rPr>
        <w:t>. Clinical epidemiology of inflammatory bowel disease: Incidence, prevalence, and environmental influences. </w:t>
      </w:r>
      <w:r w:rsidRPr="00142E9D">
        <w:rPr>
          <w:rFonts w:ascii="Book Antiqua" w:hAnsi="Book Antiqua" w:cs="宋体"/>
          <w:i/>
          <w:iCs/>
          <w:sz w:val="24"/>
          <w:szCs w:val="24"/>
        </w:rPr>
        <w:t>Gastroenterology</w:t>
      </w:r>
      <w:r w:rsidRPr="00142E9D">
        <w:rPr>
          <w:rFonts w:ascii="Book Antiqua" w:hAnsi="Book Antiqua" w:cs="宋体"/>
          <w:sz w:val="24"/>
          <w:szCs w:val="24"/>
        </w:rPr>
        <w:t> 2004; </w:t>
      </w:r>
      <w:r w:rsidRPr="00142E9D">
        <w:rPr>
          <w:rFonts w:ascii="Book Antiqua" w:hAnsi="Book Antiqua" w:cs="宋体"/>
          <w:b/>
          <w:bCs/>
          <w:sz w:val="24"/>
          <w:szCs w:val="24"/>
        </w:rPr>
        <w:t>126</w:t>
      </w:r>
      <w:r w:rsidRPr="00142E9D">
        <w:rPr>
          <w:rFonts w:ascii="Book Antiqua" w:hAnsi="Book Antiqua" w:cs="宋体"/>
          <w:sz w:val="24"/>
          <w:szCs w:val="24"/>
        </w:rPr>
        <w:t>: 1504-1517 [PMID: 15168363 DOI: 10.1053/j.gastro.2004.01.063]</w:t>
      </w:r>
    </w:p>
    <w:p w:rsidR="00CD552B" w:rsidRPr="0045430A" w:rsidRDefault="00CD552B" w:rsidP="00B67F56">
      <w:pPr>
        <w:spacing w:line="360" w:lineRule="auto"/>
        <w:jc w:val="both"/>
        <w:rPr>
          <w:rFonts w:ascii="Book Antiqua" w:hAnsi="Book Antiqua" w:cs="宋体"/>
          <w:sz w:val="24"/>
          <w:szCs w:val="24"/>
          <w:lang w:val="es-ES"/>
        </w:rPr>
      </w:pPr>
      <w:r w:rsidRPr="00142E9D">
        <w:rPr>
          <w:rFonts w:ascii="Book Antiqua" w:hAnsi="Book Antiqua" w:cs="宋体"/>
          <w:sz w:val="24"/>
          <w:szCs w:val="24"/>
        </w:rPr>
        <w:t>5 </w:t>
      </w:r>
      <w:proofErr w:type="spellStart"/>
      <w:r w:rsidRPr="00142E9D">
        <w:rPr>
          <w:rFonts w:ascii="Book Antiqua" w:hAnsi="Book Antiqua" w:cs="宋体"/>
          <w:b/>
          <w:bCs/>
          <w:sz w:val="24"/>
          <w:szCs w:val="24"/>
        </w:rPr>
        <w:t>Molodecky</w:t>
      </w:r>
      <w:proofErr w:type="spellEnd"/>
      <w:r w:rsidRPr="00142E9D">
        <w:rPr>
          <w:rFonts w:ascii="Book Antiqua" w:hAnsi="Book Antiqua" w:cs="宋体"/>
          <w:b/>
          <w:bCs/>
          <w:sz w:val="24"/>
          <w:szCs w:val="24"/>
        </w:rPr>
        <w:t xml:space="preserve"> NA</w:t>
      </w:r>
      <w:r w:rsidRPr="00142E9D">
        <w:rPr>
          <w:rFonts w:ascii="Book Antiqua" w:hAnsi="Book Antiqua" w:cs="宋体"/>
          <w:sz w:val="24"/>
          <w:szCs w:val="24"/>
        </w:rPr>
        <w:t xml:space="preserve">, Soon IS, Rabi DM, </w:t>
      </w:r>
      <w:proofErr w:type="spellStart"/>
      <w:r w:rsidRPr="00142E9D">
        <w:rPr>
          <w:rFonts w:ascii="Book Antiqua" w:hAnsi="Book Antiqua" w:cs="宋体"/>
          <w:sz w:val="24"/>
          <w:szCs w:val="24"/>
        </w:rPr>
        <w:t>Ghali</w:t>
      </w:r>
      <w:proofErr w:type="spellEnd"/>
      <w:r w:rsidRPr="00142E9D">
        <w:rPr>
          <w:rFonts w:ascii="Book Antiqua" w:hAnsi="Book Antiqua" w:cs="宋体"/>
          <w:sz w:val="24"/>
          <w:szCs w:val="24"/>
        </w:rPr>
        <w:t xml:space="preserve"> WA, Ferris M, </w:t>
      </w:r>
      <w:proofErr w:type="spellStart"/>
      <w:r w:rsidRPr="00142E9D">
        <w:rPr>
          <w:rFonts w:ascii="Book Antiqua" w:hAnsi="Book Antiqua" w:cs="宋体"/>
          <w:sz w:val="24"/>
          <w:szCs w:val="24"/>
        </w:rPr>
        <w:t>Chernoff</w:t>
      </w:r>
      <w:proofErr w:type="spellEnd"/>
      <w:r w:rsidRPr="00142E9D">
        <w:rPr>
          <w:rFonts w:ascii="Book Antiqua" w:hAnsi="Book Antiqua" w:cs="宋体"/>
          <w:sz w:val="24"/>
          <w:szCs w:val="24"/>
        </w:rPr>
        <w:t xml:space="preserve"> G, </w:t>
      </w:r>
      <w:proofErr w:type="spellStart"/>
      <w:r w:rsidRPr="00142E9D">
        <w:rPr>
          <w:rFonts w:ascii="Book Antiqua" w:hAnsi="Book Antiqua" w:cs="宋体"/>
          <w:sz w:val="24"/>
          <w:szCs w:val="24"/>
        </w:rPr>
        <w:t>Benchimol</w:t>
      </w:r>
      <w:proofErr w:type="spellEnd"/>
      <w:r w:rsidRPr="00142E9D">
        <w:rPr>
          <w:rFonts w:ascii="Book Antiqua" w:hAnsi="Book Antiqua" w:cs="宋体"/>
          <w:sz w:val="24"/>
          <w:szCs w:val="24"/>
        </w:rPr>
        <w:t xml:space="preserve"> EI, </w:t>
      </w:r>
      <w:proofErr w:type="spellStart"/>
      <w:r w:rsidRPr="00142E9D">
        <w:rPr>
          <w:rFonts w:ascii="Book Antiqua" w:hAnsi="Book Antiqua" w:cs="宋体"/>
          <w:sz w:val="24"/>
          <w:szCs w:val="24"/>
        </w:rPr>
        <w:t>Panaccione</w:t>
      </w:r>
      <w:proofErr w:type="spellEnd"/>
      <w:r w:rsidRPr="00142E9D">
        <w:rPr>
          <w:rFonts w:ascii="Book Antiqua" w:hAnsi="Book Antiqua" w:cs="宋体"/>
          <w:sz w:val="24"/>
          <w:szCs w:val="24"/>
        </w:rPr>
        <w:t xml:space="preserve"> R, </w:t>
      </w:r>
      <w:proofErr w:type="spellStart"/>
      <w:r w:rsidRPr="00142E9D">
        <w:rPr>
          <w:rFonts w:ascii="Book Antiqua" w:hAnsi="Book Antiqua" w:cs="宋体"/>
          <w:sz w:val="24"/>
          <w:szCs w:val="24"/>
        </w:rPr>
        <w:t>Ghosh</w:t>
      </w:r>
      <w:proofErr w:type="spellEnd"/>
      <w:r w:rsidRPr="00142E9D">
        <w:rPr>
          <w:rFonts w:ascii="Book Antiqua" w:hAnsi="Book Antiqua" w:cs="宋体"/>
          <w:sz w:val="24"/>
          <w:szCs w:val="24"/>
        </w:rPr>
        <w:t xml:space="preserve"> S, </w:t>
      </w:r>
      <w:proofErr w:type="spellStart"/>
      <w:r w:rsidRPr="00142E9D">
        <w:rPr>
          <w:rFonts w:ascii="Book Antiqua" w:hAnsi="Book Antiqua" w:cs="宋体"/>
          <w:sz w:val="24"/>
          <w:szCs w:val="24"/>
        </w:rPr>
        <w:t>Barkema</w:t>
      </w:r>
      <w:proofErr w:type="spellEnd"/>
      <w:r w:rsidRPr="00142E9D">
        <w:rPr>
          <w:rFonts w:ascii="Book Antiqua" w:hAnsi="Book Antiqua" w:cs="宋体"/>
          <w:sz w:val="24"/>
          <w:szCs w:val="24"/>
        </w:rPr>
        <w:t xml:space="preserve"> HW, Kaplan GG. Increasing incidence and prevalence of the inflammatory bowel diseases with time, based on systematic review. </w:t>
      </w:r>
      <w:proofErr w:type="spellStart"/>
      <w:r w:rsidRPr="0045430A">
        <w:rPr>
          <w:rFonts w:ascii="Book Antiqua" w:hAnsi="Book Antiqua" w:cs="宋体"/>
          <w:i/>
          <w:iCs/>
          <w:sz w:val="24"/>
          <w:szCs w:val="24"/>
          <w:lang w:val="es-ES"/>
        </w:rPr>
        <w:t>Gastroenterology</w:t>
      </w:r>
      <w:proofErr w:type="spellEnd"/>
      <w:r w:rsidRPr="0045430A">
        <w:rPr>
          <w:rFonts w:ascii="Book Antiqua" w:hAnsi="Book Antiqua" w:cs="宋体"/>
          <w:sz w:val="24"/>
          <w:szCs w:val="24"/>
          <w:lang w:val="es-ES"/>
        </w:rPr>
        <w:t> 2012; </w:t>
      </w:r>
      <w:r w:rsidRPr="0045430A">
        <w:rPr>
          <w:rFonts w:ascii="Book Antiqua" w:hAnsi="Book Antiqua" w:cs="宋体"/>
          <w:b/>
          <w:bCs/>
          <w:sz w:val="24"/>
          <w:szCs w:val="24"/>
          <w:lang w:val="es-ES"/>
        </w:rPr>
        <w:t>142</w:t>
      </w:r>
      <w:r w:rsidRPr="0045430A">
        <w:rPr>
          <w:rFonts w:ascii="Book Antiqua" w:hAnsi="Book Antiqua" w:cs="宋体"/>
          <w:sz w:val="24"/>
          <w:szCs w:val="24"/>
          <w:lang w:val="es-ES"/>
        </w:rPr>
        <w:t xml:space="preserve">: 46-54.e42; </w:t>
      </w:r>
      <w:proofErr w:type="spellStart"/>
      <w:r w:rsidRPr="0045430A">
        <w:rPr>
          <w:rFonts w:ascii="Book Antiqua" w:hAnsi="Book Antiqua" w:cs="宋体"/>
          <w:sz w:val="24"/>
          <w:szCs w:val="24"/>
          <w:lang w:val="es-ES"/>
        </w:rPr>
        <w:t>quiz</w:t>
      </w:r>
      <w:proofErr w:type="spellEnd"/>
      <w:r w:rsidRPr="0045430A">
        <w:rPr>
          <w:rFonts w:ascii="Book Antiqua" w:hAnsi="Book Antiqua" w:cs="宋体"/>
          <w:sz w:val="24"/>
          <w:szCs w:val="24"/>
          <w:lang w:val="es-ES"/>
        </w:rPr>
        <w:t xml:space="preserve"> e30 [PMID: 22001864 DOI: 10.1053/j.gastro.2011.10.001]</w:t>
      </w:r>
    </w:p>
    <w:p w:rsidR="00CD552B" w:rsidRPr="00142E9D" w:rsidRDefault="00CD552B" w:rsidP="00B67F56">
      <w:pPr>
        <w:spacing w:line="360" w:lineRule="auto"/>
        <w:jc w:val="both"/>
        <w:rPr>
          <w:rFonts w:ascii="Book Antiqua" w:hAnsi="Book Antiqua" w:cs="宋体"/>
          <w:sz w:val="24"/>
          <w:szCs w:val="24"/>
        </w:rPr>
      </w:pPr>
      <w:r w:rsidRPr="0045430A">
        <w:rPr>
          <w:rFonts w:ascii="Book Antiqua" w:hAnsi="Book Antiqua" w:cs="宋体"/>
          <w:sz w:val="24"/>
          <w:szCs w:val="24"/>
          <w:lang w:val="es-ES"/>
        </w:rPr>
        <w:t>6 </w:t>
      </w:r>
      <w:proofErr w:type="spellStart"/>
      <w:r w:rsidRPr="0045430A">
        <w:rPr>
          <w:rFonts w:ascii="Book Antiqua" w:hAnsi="Book Antiqua" w:cs="宋体"/>
          <w:b/>
          <w:bCs/>
          <w:sz w:val="24"/>
          <w:szCs w:val="24"/>
          <w:lang w:val="es-ES"/>
        </w:rPr>
        <w:t>Nguyen</w:t>
      </w:r>
      <w:proofErr w:type="spellEnd"/>
      <w:r w:rsidRPr="0045430A">
        <w:rPr>
          <w:rFonts w:ascii="Book Antiqua" w:hAnsi="Book Antiqua" w:cs="宋体"/>
          <w:b/>
          <w:bCs/>
          <w:sz w:val="24"/>
          <w:szCs w:val="24"/>
          <w:lang w:val="es-ES"/>
        </w:rPr>
        <w:t xml:space="preserve"> GC</w:t>
      </w:r>
      <w:r w:rsidRPr="0045430A">
        <w:rPr>
          <w:rFonts w:ascii="Book Antiqua" w:hAnsi="Book Antiqua" w:cs="宋体"/>
          <w:sz w:val="24"/>
          <w:szCs w:val="24"/>
          <w:lang w:val="es-ES"/>
        </w:rPr>
        <w:t xml:space="preserve">, </w:t>
      </w:r>
      <w:proofErr w:type="spellStart"/>
      <w:r w:rsidRPr="0045430A">
        <w:rPr>
          <w:rFonts w:ascii="Book Antiqua" w:hAnsi="Book Antiqua" w:cs="宋体"/>
          <w:sz w:val="24"/>
          <w:szCs w:val="24"/>
          <w:lang w:val="es-ES"/>
        </w:rPr>
        <w:t>Tuskey</w:t>
      </w:r>
      <w:proofErr w:type="spellEnd"/>
      <w:r w:rsidRPr="0045430A">
        <w:rPr>
          <w:rFonts w:ascii="Book Antiqua" w:hAnsi="Book Antiqua" w:cs="宋体"/>
          <w:sz w:val="24"/>
          <w:szCs w:val="24"/>
          <w:lang w:val="es-ES"/>
        </w:rPr>
        <w:t xml:space="preserve"> A, </w:t>
      </w:r>
      <w:proofErr w:type="spellStart"/>
      <w:r w:rsidRPr="0045430A">
        <w:rPr>
          <w:rFonts w:ascii="Book Antiqua" w:hAnsi="Book Antiqua" w:cs="宋体"/>
          <w:sz w:val="24"/>
          <w:szCs w:val="24"/>
          <w:lang w:val="es-ES"/>
        </w:rPr>
        <w:t>Dassopoulos</w:t>
      </w:r>
      <w:proofErr w:type="spellEnd"/>
      <w:r w:rsidRPr="0045430A">
        <w:rPr>
          <w:rFonts w:ascii="Book Antiqua" w:hAnsi="Book Antiqua" w:cs="宋体"/>
          <w:sz w:val="24"/>
          <w:szCs w:val="24"/>
          <w:lang w:val="es-ES"/>
        </w:rPr>
        <w:t xml:space="preserve"> T, Harris ML, </w:t>
      </w:r>
      <w:proofErr w:type="spellStart"/>
      <w:r w:rsidRPr="0045430A">
        <w:rPr>
          <w:rFonts w:ascii="Book Antiqua" w:hAnsi="Book Antiqua" w:cs="宋体"/>
          <w:sz w:val="24"/>
          <w:szCs w:val="24"/>
          <w:lang w:val="es-ES"/>
        </w:rPr>
        <w:t>Brant</w:t>
      </w:r>
      <w:proofErr w:type="spellEnd"/>
      <w:r w:rsidRPr="0045430A">
        <w:rPr>
          <w:rFonts w:ascii="Book Antiqua" w:hAnsi="Book Antiqua" w:cs="宋体"/>
          <w:sz w:val="24"/>
          <w:szCs w:val="24"/>
          <w:lang w:val="es-ES"/>
        </w:rPr>
        <w:t xml:space="preserve"> SR. </w:t>
      </w:r>
      <w:r w:rsidRPr="00142E9D">
        <w:rPr>
          <w:rFonts w:ascii="Book Antiqua" w:hAnsi="Book Antiqua" w:cs="宋体"/>
          <w:sz w:val="24"/>
          <w:szCs w:val="24"/>
        </w:rPr>
        <w:t>Rising hospitalization rates for inflammatory bowel disease in the United States between 1998 and 2004.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2007; </w:t>
      </w:r>
      <w:r w:rsidRPr="00142E9D">
        <w:rPr>
          <w:rFonts w:ascii="Book Antiqua" w:hAnsi="Book Antiqua" w:cs="宋体"/>
          <w:b/>
          <w:bCs/>
          <w:sz w:val="24"/>
          <w:szCs w:val="24"/>
        </w:rPr>
        <w:t>13</w:t>
      </w:r>
      <w:r w:rsidRPr="00142E9D">
        <w:rPr>
          <w:rFonts w:ascii="Book Antiqua" w:hAnsi="Book Antiqua" w:cs="宋体"/>
          <w:sz w:val="24"/>
          <w:szCs w:val="24"/>
        </w:rPr>
        <w:t>: 1529-1535 [PMID: 17828784 DOI: 10.1002/ibd.20250]</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7 </w:t>
      </w:r>
      <w:proofErr w:type="spellStart"/>
      <w:r w:rsidRPr="00142E9D">
        <w:rPr>
          <w:rFonts w:ascii="Book Antiqua" w:hAnsi="Book Antiqua" w:cs="宋体"/>
          <w:b/>
          <w:bCs/>
          <w:sz w:val="24"/>
          <w:szCs w:val="24"/>
        </w:rPr>
        <w:t>Drossman</w:t>
      </w:r>
      <w:proofErr w:type="spellEnd"/>
      <w:r w:rsidRPr="00142E9D">
        <w:rPr>
          <w:rFonts w:ascii="Book Antiqua" w:hAnsi="Book Antiqua" w:cs="宋体"/>
          <w:b/>
          <w:bCs/>
          <w:sz w:val="24"/>
          <w:szCs w:val="24"/>
        </w:rPr>
        <w:t xml:space="preserve"> DA</w:t>
      </w:r>
      <w:r w:rsidRPr="00142E9D">
        <w:rPr>
          <w:rFonts w:ascii="Book Antiqua" w:hAnsi="Book Antiqua" w:cs="宋体"/>
          <w:sz w:val="24"/>
          <w:szCs w:val="24"/>
        </w:rPr>
        <w:t xml:space="preserve">, Patrick DL, Mitchell CM, </w:t>
      </w:r>
      <w:proofErr w:type="spellStart"/>
      <w:r w:rsidRPr="00142E9D">
        <w:rPr>
          <w:rFonts w:ascii="Book Antiqua" w:hAnsi="Book Antiqua" w:cs="宋体"/>
          <w:sz w:val="24"/>
          <w:szCs w:val="24"/>
        </w:rPr>
        <w:t>Zagami</w:t>
      </w:r>
      <w:proofErr w:type="spellEnd"/>
      <w:r w:rsidRPr="00142E9D">
        <w:rPr>
          <w:rFonts w:ascii="Book Antiqua" w:hAnsi="Book Antiqua" w:cs="宋体"/>
          <w:sz w:val="24"/>
          <w:szCs w:val="24"/>
        </w:rPr>
        <w:t xml:space="preserve"> EA, </w:t>
      </w:r>
      <w:proofErr w:type="spellStart"/>
      <w:r w:rsidRPr="00142E9D">
        <w:rPr>
          <w:rFonts w:ascii="Book Antiqua" w:hAnsi="Book Antiqua" w:cs="宋体"/>
          <w:sz w:val="24"/>
          <w:szCs w:val="24"/>
        </w:rPr>
        <w:t>Appelbaum</w:t>
      </w:r>
      <w:proofErr w:type="spellEnd"/>
      <w:r w:rsidRPr="00142E9D">
        <w:rPr>
          <w:rFonts w:ascii="Book Antiqua" w:hAnsi="Book Antiqua" w:cs="宋体"/>
          <w:sz w:val="24"/>
          <w:szCs w:val="24"/>
        </w:rPr>
        <w:t xml:space="preserve"> MI. Health-related quality of life in inflammatory bowel disease. Functional status and patient worries and concerns. </w:t>
      </w:r>
      <w:r w:rsidRPr="00142E9D">
        <w:rPr>
          <w:rFonts w:ascii="Book Antiqua" w:hAnsi="Book Antiqua" w:cs="宋体"/>
          <w:i/>
          <w:iCs/>
          <w:sz w:val="24"/>
          <w:szCs w:val="24"/>
        </w:rPr>
        <w:t xml:space="preserve">Dig Dis </w:t>
      </w:r>
      <w:proofErr w:type="spellStart"/>
      <w:r w:rsidRPr="00142E9D">
        <w:rPr>
          <w:rFonts w:ascii="Book Antiqua" w:hAnsi="Book Antiqua" w:cs="宋体"/>
          <w:i/>
          <w:iCs/>
          <w:sz w:val="24"/>
          <w:szCs w:val="24"/>
        </w:rPr>
        <w:t>Sci</w:t>
      </w:r>
      <w:proofErr w:type="spellEnd"/>
      <w:r w:rsidRPr="00142E9D">
        <w:rPr>
          <w:rFonts w:ascii="Book Antiqua" w:hAnsi="Book Antiqua" w:cs="宋体"/>
          <w:sz w:val="24"/>
          <w:szCs w:val="24"/>
        </w:rPr>
        <w:t> 1989; </w:t>
      </w:r>
      <w:r w:rsidRPr="00142E9D">
        <w:rPr>
          <w:rFonts w:ascii="Book Antiqua" w:hAnsi="Book Antiqua" w:cs="宋体"/>
          <w:b/>
          <w:bCs/>
          <w:sz w:val="24"/>
          <w:szCs w:val="24"/>
        </w:rPr>
        <w:t>34</w:t>
      </w:r>
      <w:r w:rsidRPr="00142E9D">
        <w:rPr>
          <w:rFonts w:ascii="Book Antiqua" w:hAnsi="Book Antiqua" w:cs="宋体"/>
          <w:sz w:val="24"/>
          <w:szCs w:val="24"/>
        </w:rPr>
        <w:t>: 1379-1386 [PMID: 2766905 DOI: 10.1007/BF01538073]</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lastRenderedPageBreak/>
        <w:t>8 </w:t>
      </w:r>
      <w:proofErr w:type="spellStart"/>
      <w:r w:rsidRPr="00142E9D">
        <w:rPr>
          <w:rFonts w:ascii="Book Antiqua" w:hAnsi="Book Antiqua" w:cs="宋体"/>
          <w:b/>
          <w:bCs/>
          <w:sz w:val="24"/>
          <w:szCs w:val="24"/>
        </w:rPr>
        <w:t>Kappelman</w:t>
      </w:r>
      <w:proofErr w:type="spellEnd"/>
      <w:r w:rsidRPr="00142E9D">
        <w:rPr>
          <w:rFonts w:ascii="Book Antiqua" w:hAnsi="Book Antiqua" w:cs="宋体"/>
          <w:b/>
          <w:bCs/>
          <w:sz w:val="24"/>
          <w:szCs w:val="24"/>
        </w:rPr>
        <w:t xml:space="preserve"> MD</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Rifas-Shiman</w:t>
      </w:r>
      <w:proofErr w:type="spellEnd"/>
      <w:r w:rsidRPr="00142E9D">
        <w:rPr>
          <w:rFonts w:ascii="Book Antiqua" w:hAnsi="Book Antiqua" w:cs="宋体"/>
          <w:sz w:val="24"/>
          <w:szCs w:val="24"/>
        </w:rPr>
        <w:t xml:space="preserve"> SL, </w:t>
      </w:r>
      <w:proofErr w:type="spellStart"/>
      <w:r w:rsidRPr="00142E9D">
        <w:rPr>
          <w:rFonts w:ascii="Book Antiqua" w:hAnsi="Book Antiqua" w:cs="宋体"/>
          <w:sz w:val="24"/>
          <w:szCs w:val="24"/>
        </w:rPr>
        <w:t>Kleinman</w:t>
      </w:r>
      <w:proofErr w:type="spellEnd"/>
      <w:r w:rsidRPr="00142E9D">
        <w:rPr>
          <w:rFonts w:ascii="Book Antiqua" w:hAnsi="Book Antiqua" w:cs="宋体"/>
          <w:sz w:val="24"/>
          <w:szCs w:val="24"/>
        </w:rPr>
        <w:t xml:space="preserve"> K, </w:t>
      </w:r>
      <w:proofErr w:type="spellStart"/>
      <w:r w:rsidRPr="00142E9D">
        <w:rPr>
          <w:rFonts w:ascii="Book Antiqua" w:hAnsi="Book Antiqua" w:cs="宋体"/>
          <w:sz w:val="24"/>
          <w:szCs w:val="24"/>
        </w:rPr>
        <w:t>Ollendorf</w:t>
      </w:r>
      <w:proofErr w:type="spellEnd"/>
      <w:r w:rsidRPr="00142E9D">
        <w:rPr>
          <w:rFonts w:ascii="Book Antiqua" w:hAnsi="Book Antiqua" w:cs="宋体"/>
          <w:sz w:val="24"/>
          <w:szCs w:val="24"/>
        </w:rPr>
        <w:t xml:space="preserve"> D, </w:t>
      </w:r>
      <w:proofErr w:type="spellStart"/>
      <w:r w:rsidRPr="00142E9D">
        <w:rPr>
          <w:rFonts w:ascii="Book Antiqua" w:hAnsi="Book Antiqua" w:cs="宋体"/>
          <w:sz w:val="24"/>
          <w:szCs w:val="24"/>
        </w:rPr>
        <w:t>Bousvaros</w:t>
      </w:r>
      <w:proofErr w:type="spellEnd"/>
      <w:r w:rsidRPr="00142E9D">
        <w:rPr>
          <w:rFonts w:ascii="Book Antiqua" w:hAnsi="Book Antiqua" w:cs="宋体"/>
          <w:sz w:val="24"/>
          <w:szCs w:val="24"/>
        </w:rPr>
        <w:t xml:space="preserve"> A, Grand RJ, Finkelstein JA. The prevalence and geographic distribution of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and ulcerative colitis in the United States. </w:t>
      </w:r>
      <w:proofErr w:type="spellStart"/>
      <w:r w:rsidRPr="00142E9D">
        <w:rPr>
          <w:rFonts w:ascii="Book Antiqua" w:hAnsi="Book Antiqua" w:cs="宋体"/>
          <w:i/>
          <w:iCs/>
          <w:sz w:val="24"/>
          <w:szCs w:val="24"/>
        </w:rPr>
        <w:t>Clin</w:t>
      </w:r>
      <w:proofErr w:type="spellEnd"/>
      <w:r w:rsidRPr="00142E9D">
        <w:rPr>
          <w:rFonts w:ascii="Book Antiqua" w:hAnsi="Book Antiqua" w:cs="宋体"/>
          <w:i/>
          <w:iCs/>
          <w:sz w:val="24"/>
          <w:szCs w:val="24"/>
        </w:rPr>
        <w:t xml:space="preserve"> </w:t>
      </w:r>
      <w:proofErr w:type="spellStart"/>
      <w:r w:rsidRPr="00142E9D">
        <w:rPr>
          <w:rFonts w:ascii="Book Antiqua" w:hAnsi="Book Antiqua" w:cs="宋体"/>
          <w:i/>
          <w:iCs/>
          <w:sz w:val="24"/>
          <w:szCs w:val="24"/>
        </w:rPr>
        <w:t>Gastroenterol</w:t>
      </w:r>
      <w:proofErr w:type="spellEnd"/>
      <w:r w:rsidRPr="00142E9D">
        <w:rPr>
          <w:rFonts w:ascii="Book Antiqua" w:hAnsi="Book Antiqua" w:cs="宋体"/>
          <w:i/>
          <w:iCs/>
          <w:sz w:val="24"/>
          <w:szCs w:val="24"/>
        </w:rPr>
        <w:t xml:space="preserve"> </w:t>
      </w:r>
      <w:proofErr w:type="spellStart"/>
      <w:r w:rsidRPr="00142E9D">
        <w:rPr>
          <w:rFonts w:ascii="Book Antiqua" w:hAnsi="Book Antiqua" w:cs="宋体"/>
          <w:i/>
          <w:iCs/>
          <w:sz w:val="24"/>
          <w:szCs w:val="24"/>
        </w:rPr>
        <w:t>Hepatol</w:t>
      </w:r>
      <w:proofErr w:type="spellEnd"/>
      <w:r w:rsidRPr="00142E9D">
        <w:rPr>
          <w:rFonts w:ascii="Book Antiqua" w:hAnsi="Book Antiqua" w:cs="宋体"/>
          <w:sz w:val="24"/>
          <w:szCs w:val="24"/>
        </w:rPr>
        <w:t> 2007; </w:t>
      </w:r>
      <w:r w:rsidRPr="00142E9D">
        <w:rPr>
          <w:rFonts w:ascii="Book Antiqua" w:hAnsi="Book Antiqua" w:cs="宋体"/>
          <w:b/>
          <w:bCs/>
          <w:sz w:val="24"/>
          <w:szCs w:val="24"/>
        </w:rPr>
        <w:t>5</w:t>
      </w:r>
      <w:r w:rsidRPr="00142E9D">
        <w:rPr>
          <w:rFonts w:ascii="Book Antiqua" w:hAnsi="Book Antiqua" w:cs="宋体"/>
          <w:sz w:val="24"/>
          <w:szCs w:val="24"/>
        </w:rPr>
        <w:t>: 1424-1429 [PMID: 17904915 DOI: 10.1016/j.cgh.2007.07.012]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9 </w:t>
      </w:r>
      <w:proofErr w:type="spellStart"/>
      <w:r w:rsidRPr="00142E9D">
        <w:rPr>
          <w:rFonts w:ascii="Book Antiqua" w:hAnsi="Book Antiqua" w:cs="宋体"/>
          <w:b/>
          <w:bCs/>
          <w:sz w:val="24"/>
          <w:szCs w:val="24"/>
        </w:rPr>
        <w:t>Burisch</w:t>
      </w:r>
      <w:proofErr w:type="spellEnd"/>
      <w:r w:rsidRPr="00142E9D">
        <w:rPr>
          <w:rFonts w:ascii="Book Antiqua" w:hAnsi="Book Antiqua" w:cs="宋体"/>
          <w:b/>
          <w:bCs/>
          <w:sz w:val="24"/>
          <w:szCs w:val="24"/>
        </w:rPr>
        <w:t xml:space="preserve"> J</w:t>
      </w:r>
      <w:r w:rsidRPr="00142E9D">
        <w:rPr>
          <w:rFonts w:ascii="Book Antiqua" w:hAnsi="Book Antiqua" w:cs="宋体"/>
          <w:sz w:val="24"/>
          <w:szCs w:val="24"/>
        </w:rPr>
        <w:t xml:space="preserve">, Jess T, </w:t>
      </w:r>
      <w:proofErr w:type="spellStart"/>
      <w:r w:rsidRPr="00142E9D">
        <w:rPr>
          <w:rFonts w:ascii="Book Antiqua" w:hAnsi="Book Antiqua" w:cs="宋体"/>
          <w:sz w:val="24"/>
          <w:szCs w:val="24"/>
        </w:rPr>
        <w:t>Martinato</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Lakatos</w:t>
      </w:r>
      <w:proofErr w:type="spellEnd"/>
      <w:r w:rsidRPr="00142E9D">
        <w:rPr>
          <w:rFonts w:ascii="Book Antiqua" w:hAnsi="Book Antiqua" w:cs="宋体"/>
          <w:sz w:val="24"/>
          <w:szCs w:val="24"/>
        </w:rPr>
        <w:t xml:space="preserve"> PL. The burden of inflammatory bowel disease in Europe. </w:t>
      </w:r>
      <w:r w:rsidRPr="00142E9D">
        <w:rPr>
          <w:rFonts w:ascii="Book Antiqua" w:hAnsi="Book Antiqua" w:cs="宋体"/>
          <w:i/>
          <w:iCs/>
          <w:sz w:val="24"/>
          <w:szCs w:val="24"/>
        </w:rPr>
        <w:t xml:space="preserve">J </w:t>
      </w:r>
      <w:proofErr w:type="spellStart"/>
      <w:r w:rsidRPr="00142E9D">
        <w:rPr>
          <w:rFonts w:ascii="Book Antiqua" w:hAnsi="Book Antiqua" w:cs="宋体"/>
          <w:i/>
          <w:iCs/>
          <w:sz w:val="24"/>
          <w:szCs w:val="24"/>
        </w:rPr>
        <w:t>Crohns</w:t>
      </w:r>
      <w:proofErr w:type="spellEnd"/>
      <w:r w:rsidRPr="00142E9D">
        <w:rPr>
          <w:rFonts w:ascii="Book Antiqua" w:hAnsi="Book Antiqua" w:cs="宋体"/>
          <w:i/>
          <w:iCs/>
          <w:sz w:val="24"/>
          <w:szCs w:val="24"/>
        </w:rPr>
        <w:t xml:space="preserve"> Colitis</w:t>
      </w:r>
      <w:r w:rsidRPr="00142E9D">
        <w:rPr>
          <w:rFonts w:ascii="Book Antiqua" w:hAnsi="Book Antiqua" w:cs="宋体"/>
          <w:sz w:val="24"/>
          <w:szCs w:val="24"/>
        </w:rPr>
        <w:t> 2013; </w:t>
      </w:r>
      <w:r w:rsidRPr="00142E9D">
        <w:rPr>
          <w:rFonts w:ascii="Book Antiqua" w:hAnsi="Book Antiqua" w:cs="宋体"/>
          <w:b/>
          <w:bCs/>
          <w:sz w:val="24"/>
          <w:szCs w:val="24"/>
        </w:rPr>
        <w:t>7</w:t>
      </w:r>
      <w:r w:rsidRPr="00142E9D">
        <w:rPr>
          <w:rFonts w:ascii="Book Antiqua" w:hAnsi="Book Antiqua" w:cs="宋体"/>
          <w:sz w:val="24"/>
          <w:szCs w:val="24"/>
        </w:rPr>
        <w:t>: 322-337 [PMID: 23395397 DOI: 10.1016/j.crohns.2013.01.010]</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10 </w:t>
      </w:r>
      <w:r w:rsidRPr="00142E9D">
        <w:rPr>
          <w:rFonts w:ascii="Book Antiqua" w:hAnsi="Book Antiqua" w:cs="宋体"/>
          <w:b/>
          <w:bCs/>
          <w:sz w:val="24"/>
          <w:szCs w:val="24"/>
        </w:rPr>
        <w:t>Odes S</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Vardi</w:t>
      </w:r>
      <w:proofErr w:type="spellEnd"/>
      <w:r w:rsidRPr="00142E9D">
        <w:rPr>
          <w:rFonts w:ascii="Book Antiqua" w:hAnsi="Book Antiqua" w:cs="宋体"/>
          <w:sz w:val="24"/>
          <w:szCs w:val="24"/>
        </w:rPr>
        <w:t xml:space="preserve"> H, </w:t>
      </w:r>
      <w:proofErr w:type="spellStart"/>
      <w:r w:rsidRPr="00142E9D">
        <w:rPr>
          <w:rFonts w:ascii="Book Antiqua" w:hAnsi="Book Antiqua" w:cs="宋体"/>
          <w:sz w:val="24"/>
          <w:szCs w:val="24"/>
        </w:rPr>
        <w:t>Friger</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Wolters</w:t>
      </w:r>
      <w:proofErr w:type="spellEnd"/>
      <w:r w:rsidRPr="00142E9D">
        <w:rPr>
          <w:rFonts w:ascii="Book Antiqua" w:hAnsi="Book Antiqua" w:cs="宋体"/>
          <w:sz w:val="24"/>
          <w:szCs w:val="24"/>
        </w:rPr>
        <w:t xml:space="preserve"> F, </w:t>
      </w:r>
      <w:proofErr w:type="spellStart"/>
      <w:r w:rsidRPr="00142E9D">
        <w:rPr>
          <w:rFonts w:ascii="Book Antiqua" w:hAnsi="Book Antiqua" w:cs="宋体"/>
          <w:sz w:val="24"/>
          <w:szCs w:val="24"/>
        </w:rPr>
        <w:t>Russel</w:t>
      </w:r>
      <w:proofErr w:type="spellEnd"/>
      <w:r w:rsidRPr="00142E9D">
        <w:rPr>
          <w:rFonts w:ascii="Book Antiqua" w:hAnsi="Book Antiqua" w:cs="宋体"/>
          <w:sz w:val="24"/>
          <w:szCs w:val="24"/>
        </w:rPr>
        <w:t xml:space="preserve"> MG, Riis L, </w:t>
      </w:r>
      <w:proofErr w:type="spellStart"/>
      <w:r w:rsidRPr="00142E9D">
        <w:rPr>
          <w:rFonts w:ascii="Book Antiqua" w:hAnsi="Book Antiqua" w:cs="宋体"/>
          <w:sz w:val="24"/>
          <w:szCs w:val="24"/>
        </w:rPr>
        <w:t>Munkholm</w:t>
      </w:r>
      <w:proofErr w:type="spellEnd"/>
      <w:r w:rsidRPr="00142E9D">
        <w:rPr>
          <w:rFonts w:ascii="Book Antiqua" w:hAnsi="Book Antiqua" w:cs="宋体"/>
          <w:sz w:val="24"/>
          <w:szCs w:val="24"/>
        </w:rPr>
        <w:t xml:space="preserve"> P, </w:t>
      </w:r>
      <w:proofErr w:type="spellStart"/>
      <w:r w:rsidRPr="00142E9D">
        <w:rPr>
          <w:rFonts w:ascii="Book Antiqua" w:hAnsi="Book Antiqua" w:cs="宋体"/>
          <w:sz w:val="24"/>
          <w:szCs w:val="24"/>
        </w:rPr>
        <w:t>Politi</w:t>
      </w:r>
      <w:proofErr w:type="spellEnd"/>
      <w:r w:rsidRPr="00142E9D">
        <w:rPr>
          <w:rFonts w:ascii="Book Antiqua" w:hAnsi="Book Antiqua" w:cs="宋体"/>
          <w:sz w:val="24"/>
          <w:szCs w:val="24"/>
        </w:rPr>
        <w:t xml:space="preserve"> P, </w:t>
      </w:r>
      <w:proofErr w:type="spellStart"/>
      <w:r w:rsidRPr="00142E9D">
        <w:rPr>
          <w:rFonts w:ascii="Book Antiqua" w:hAnsi="Book Antiqua" w:cs="宋体"/>
          <w:sz w:val="24"/>
          <w:szCs w:val="24"/>
        </w:rPr>
        <w:t>Tsianos</w:t>
      </w:r>
      <w:proofErr w:type="spellEnd"/>
      <w:r w:rsidRPr="00142E9D">
        <w:rPr>
          <w:rFonts w:ascii="Book Antiqua" w:hAnsi="Book Antiqua" w:cs="宋体"/>
          <w:sz w:val="24"/>
          <w:szCs w:val="24"/>
        </w:rPr>
        <w:t xml:space="preserve"> E, </w:t>
      </w:r>
      <w:proofErr w:type="spellStart"/>
      <w:r w:rsidRPr="00142E9D">
        <w:rPr>
          <w:rFonts w:ascii="Book Antiqua" w:hAnsi="Book Antiqua" w:cs="宋体"/>
          <w:sz w:val="24"/>
          <w:szCs w:val="24"/>
        </w:rPr>
        <w:t>Clofent</w:t>
      </w:r>
      <w:proofErr w:type="spellEnd"/>
      <w:r w:rsidRPr="00142E9D">
        <w:rPr>
          <w:rFonts w:ascii="Book Antiqua" w:hAnsi="Book Antiqua" w:cs="宋体"/>
          <w:sz w:val="24"/>
          <w:szCs w:val="24"/>
        </w:rPr>
        <w:t xml:space="preserve"> J, </w:t>
      </w:r>
      <w:proofErr w:type="spellStart"/>
      <w:r w:rsidRPr="00142E9D">
        <w:rPr>
          <w:rFonts w:ascii="Book Antiqua" w:hAnsi="Book Antiqua" w:cs="宋体"/>
          <w:sz w:val="24"/>
          <w:szCs w:val="24"/>
        </w:rPr>
        <w:t>Vermeire</w:t>
      </w:r>
      <w:proofErr w:type="spellEnd"/>
      <w:r w:rsidRPr="00142E9D">
        <w:rPr>
          <w:rFonts w:ascii="Book Antiqua" w:hAnsi="Book Antiqua" w:cs="宋体"/>
          <w:sz w:val="24"/>
          <w:szCs w:val="24"/>
        </w:rPr>
        <w:t xml:space="preserve"> S, </w:t>
      </w:r>
      <w:proofErr w:type="spellStart"/>
      <w:r w:rsidRPr="00142E9D">
        <w:rPr>
          <w:rFonts w:ascii="Book Antiqua" w:hAnsi="Book Antiqua" w:cs="宋体"/>
          <w:sz w:val="24"/>
          <w:szCs w:val="24"/>
        </w:rPr>
        <w:t>Monteiro</w:t>
      </w:r>
      <w:proofErr w:type="spellEnd"/>
      <w:r w:rsidRPr="00142E9D">
        <w:rPr>
          <w:rFonts w:ascii="Book Antiqua" w:hAnsi="Book Antiqua" w:cs="宋体"/>
          <w:sz w:val="24"/>
          <w:szCs w:val="24"/>
        </w:rPr>
        <w:t xml:space="preserve"> E, </w:t>
      </w:r>
      <w:proofErr w:type="spellStart"/>
      <w:r w:rsidRPr="00142E9D">
        <w:rPr>
          <w:rFonts w:ascii="Book Antiqua" w:hAnsi="Book Antiqua" w:cs="宋体"/>
          <w:sz w:val="24"/>
          <w:szCs w:val="24"/>
        </w:rPr>
        <w:t>Mouzas</w:t>
      </w:r>
      <w:proofErr w:type="spellEnd"/>
      <w:r w:rsidRPr="00142E9D">
        <w:rPr>
          <w:rFonts w:ascii="Book Antiqua" w:hAnsi="Book Antiqua" w:cs="宋体"/>
          <w:sz w:val="24"/>
          <w:szCs w:val="24"/>
        </w:rPr>
        <w:t xml:space="preserve"> I, </w:t>
      </w:r>
      <w:proofErr w:type="spellStart"/>
      <w:r w:rsidRPr="00142E9D">
        <w:rPr>
          <w:rFonts w:ascii="Book Antiqua" w:hAnsi="Book Antiqua" w:cs="宋体"/>
          <w:sz w:val="24"/>
          <w:szCs w:val="24"/>
        </w:rPr>
        <w:t>Fornaciari</w:t>
      </w:r>
      <w:proofErr w:type="spellEnd"/>
      <w:r w:rsidRPr="00142E9D">
        <w:rPr>
          <w:rFonts w:ascii="Book Antiqua" w:hAnsi="Book Antiqua" w:cs="宋体"/>
          <w:sz w:val="24"/>
          <w:szCs w:val="24"/>
        </w:rPr>
        <w:t xml:space="preserve"> G, </w:t>
      </w:r>
      <w:proofErr w:type="spellStart"/>
      <w:r w:rsidRPr="00142E9D">
        <w:rPr>
          <w:rFonts w:ascii="Book Antiqua" w:hAnsi="Book Antiqua" w:cs="宋体"/>
          <w:sz w:val="24"/>
          <w:szCs w:val="24"/>
        </w:rPr>
        <w:t>Sijbrandij</w:t>
      </w:r>
      <w:proofErr w:type="spellEnd"/>
      <w:r w:rsidRPr="00142E9D">
        <w:rPr>
          <w:rFonts w:ascii="Book Antiqua" w:hAnsi="Book Antiqua" w:cs="宋体"/>
          <w:sz w:val="24"/>
          <w:szCs w:val="24"/>
        </w:rPr>
        <w:t xml:space="preserve"> J, </w:t>
      </w:r>
      <w:proofErr w:type="spellStart"/>
      <w:r w:rsidRPr="00142E9D">
        <w:rPr>
          <w:rFonts w:ascii="Book Antiqua" w:hAnsi="Book Antiqua" w:cs="宋体"/>
          <w:sz w:val="24"/>
          <w:szCs w:val="24"/>
        </w:rPr>
        <w:t>Limonard</w:t>
      </w:r>
      <w:proofErr w:type="spellEnd"/>
      <w:r w:rsidRPr="00142E9D">
        <w:rPr>
          <w:rFonts w:ascii="Book Antiqua" w:hAnsi="Book Antiqua" w:cs="宋体"/>
          <w:sz w:val="24"/>
          <w:szCs w:val="24"/>
        </w:rPr>
        <w:t xml:space="preserve"> C, Van </w:t>
      </w:r>
      <w:proofErr w:type="spellStart"/>
      <w:r w:rsidRPr="00142E9D">
        <w:rPr>
          <w:rFonts w:ascii="Book Antiqua" w:hAnsi="Book Antiqua" w:cs="宋体"/>
          <w:sz w:val="24"/>
          <w:szCs w:val="24"/>
        </w:rPr>
        <w:t>Zeijl</w:t>
      </w:r>
      <w:proofErr w:type="spellEnd"/>
      <w:r w:rsidRPr="00142E9D">
        <w:rPr>
          <w:rFonts w:ascii="Book Antiqua" w:hAnsi="Book Antiqua" w:cs="宋体"/>
          <w:sz w:val="24"/>
          <w:szCs w:val="24"/>
        </w:rPr>
        <w:t xml:space="preserve"> G, </w:t>
      </w:r>
      <w:proofErr w:type="spellStart"/>
      <w:r w:rsidRPr="00142E9D">
        <w:rPr>
          <w:rFonts w:ascii="Book Antiqua" w:hAnsi="Book Antiqua" w:cs="宋体"/>
          <w:sz w:val="24"/>
          <w:szCs w:val="24"/>
        </w:rPr>
        <w:t>O'morain</w:t>
      </w:r>
      <w:proofErr w:type="spellEnd"/>
      <w:r w:rsidRPr="00142E9D">
        <w:rPr>
          <w:rFonts w:ascii="Book Antiqua" w:hAnsi="Book Antiqua" w:cs="宋体"/>
          <w:sz w:val="24"/>
          <w:szCs w:val="24"/>
        </w:rPr>
        <w:t xml:space="preserve"> C, </w:t>
      </w:r>
      <w:proofErr w:type="spellStart"/>
      <w:r w:rsidRPr="00142E9D">
        <w:rPr>
          <w:rFonts w:ascii="Book Antiqua" w:hAnsi="Book Antiqua" w:cs="宋体"/>
          <w:sz w:val="24"/>
          <w:szCs w:val="24"/>
        </w:rPr>
        <w:t>Moum</w:t>
      </w:r>
      <w:proofErr w:type="spellEnd"/>
      <w:r w:rsidRPr="00142E9D">
        <w:rPr>
          <w:rFonts w:ascii="Book Antiqua" w:hAnsi="Book Antiqua" w:cs="宋体"/>
          <w:sz w:val="24"/>
          <w:szCs w:val="24"/>
        </w:rPr>
        <w:t xml:space="preserve"> B, </w:t>
      </w:r>
      <w:proofErr w:type="spellStart"/>
      <w:r w:rsidRPr="00142E9D">
        <w:rPr>
          <w:rFonts w:ascii="Book Antiqua" w:hAnsi="Book Antiqua" w:cs="宋体"/>
          <w:sz w:val="24"/>
          <w:szCs w:val="24"/>
        </w:rPr>
        <w:t>Vatn</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Stockbrugger</w:t>
      </w:r>
      <w:proofErr w:type="spellEnd"/>
      <w:r w:rsidRPr="00142E9D">
        <w:rPr>
          <w:rFonts w:ascii="Book Antiqua" w:hAnsi="Book Antiqua" w:cs="宋体"/>
          <w:sz w:val="24"/>
          <w:szCs w:val="24"/>
        </w:rPr>
        <w:t xml:space="preserve"> R. Cost analysis and cost determinants in a European inflammatory bowel disease inception cohort with 10 years of follow-up evaluation. </w:t>
      </w:r>
      <w:r w:rsidRPr="00142E9D">
        <w:rPr>
          <w:rFonts w:ascii="Book Antiqua" w:hAnsi="Book Antiqua" w:cs="宋体"/>
          <w:i/>
          <w:iCs/>
          <w:sz w:val="24"/>
          <w:szCs w:val="24"/>
        </w:rPr>
        <w:t>Gastroenterology</w:t>
      </w:r>
      <w:r w:rsidRPr="00142E9D">
        <w:rPr>
          <w:rFonts w:ascii="Book Antiqua" w:hAnsi="Book Antiqua" w:cs="宋体"/>
          <w:sz w:val="24"/>
          <w:szCs w:val="24"/>
        </w:rPr>
        <w:t> 2006; </w:t>
      </w:r>
      <w:r w:rsidRPr="00142E9D">
        <w:rPr>
          <w:rFonts w:ascii="Book Antiqua" w:hAnsi="Book Antiqua" w:cs="宋体"/>
          <w:b/>
          <w:bCs/>
          <w:sz w:val="24"/>
          <w:szCs w:val="24"/>
        </w:rPr>
        <w:t>131</w:t>
      </w:r>
      <w:r w:rsidRPr="00142E9D">
        <w:rPr>
          <w:rFonts w:ascii="Book Antiqua" w:hAnsi="Book Antiqua" w:cs="宋体"/>
          <w:sz w:val="24"/>
          <w:szCs w:val="24"/>
        </w:rPr>
        <w:t>: 719-728 [PMID: 16952541 DOI: 10.1053/j.gastro.2006.05.052]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11 </w:t>
      </w:r>
      <w:proofErr w:type="spellStart"/>
      <w:r w:rsidRPr="00142E9D">
        <w:rPr>
          <w:rFonts w:ascii="Book Antiqua" w:hAnsi="Book Antiqua" w:cs="宋体"/>
          <w:b/>
          <w:bCs/>
          <w:sz w:val="24"/>
          <w:szCs w:val="24"/>
        </w:rPr>
        <w:t>Cellier</w:t>
      </w:r>
      <w:proofErr w:type="spellEnd"/>
      <w:r w:rsidRPr="00142E9D">
        <w:rPr>
          <w:rFonts w:ascii="Book Antiqua" w:hAnsi="Book Antiqua" w:cs="宋体"/>
          <w:b/>
          <w:bCs/>
          <w:sz w:val="24"/>
          <w:szCs w:val="24"/>
        </w:rPr>
        <w:t xml:space="preserve"> C</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Sahmoud</w:t>
      </w:r>
      <w:proofErr w:type="spellEnd"/>
      <w:r w:rsidRPr="00142E9D">
        <w:rPr>
          <w:rFonts w:ascii="Book Antiqua" w:hAnsi="Book Antiqua" w:cs="宋体"/>
          <w:sz w:val="24"/>
          <w:szCs w:val="24"/>
        </w:rPr>
        <w:t xml:space="preserve"> T, </w:t>
      </w:r>
      <w:proofErr w:type="spellStart"/>
      <w:r w:rsidRPr="00142E9D">
        <w:rPr>
          <w:rFonts w:ascii="Book Antiqua" w:hAnsi="Book Antiqua" w:cs="宋体"/>
          <w:sz w:val="24"/>
          <w:szCs w:val="24"/>
        </w:rPr>
        <w:t>Froguel</w:t>
      </w:r>
      <w:proofErr w:type="spellEnd"/>
      <w:r w:rsidRPr="00142E9D">
        <w:rPr>
          <w:rFonts w:ascii="Book Antiqua" w:hAnsi="Book Antiqua" w:cs="宋体"/>
          <w:sz w:val="24"/>
          <w:szCs w:val="24"/>
        </w:rPr>
        <w:t xml:space="preserve"> E, </w:t>
      </w:r>
      <w:proofErr w:type="spellStart"/>
      <w:r w:rsidRPr="00142E9D">
        <w:rPr>
          <w:rFonts w:ascii="Book Antiqua" w:hAnsi="Book Antiqua" w:cs="宋体"/>
          <w:sz w:val="24"/>
          <w:szCs w:val="24"/>
        </w:rPr>
        <w:t>Adenis</w:t>
      </w:r>
      <w:proofErr w:type="spellEnd"/>
      <w:r w:rsidRPr="00142E9D">
        <w:rPr>
          <w:rFonts w:ascii="Book Antiqua" w:hAnsi="Book Antiqua" w:cs="宋体"/>
          <w:sz w:val="24"/>
          <w:szCs w:val="24"/>
        </w:rPr>
        <w:t xml:space="preserve"> A, </w:t>
      </w:r>
      <w:proofErr w:type="spellStart"/>
      <w:r w:rsidRPr="00142E9D">
        <w:rPr>
          <w:rFonts w:ascii="Book Antiqua" w:hAnsi="Book Antiqua" w:cs="宋体"/>
          <w:sz w:val="24"/>
          <w:szCs w:val="24"/>
        </w:rPr>
        <w:t>Belaiche</w:t>
      </w:r>
      <w:proofErr w:type="spellEnd"/>
      <w:r w:rsidRPr="00142E9D">
        <w:rPr>
          <w:rFonts w:ascii="Book Antiqua" w:hAnsi="Book Antiqua" w:cs="宋体"/>
          <w:sz w:val="24"/>
          <w:szCs w:val="24"/>
        </w:rPr>
        <w:t xml:space="preserve"> J, Bretagne JF, </w:t>
      </w:r>
      <w:proofErr w:type="spellStart"/>
      <w:r w:rsidRPr="00142E9D">
        <w:rPr>
          <w:rFonts w:ascii="Book Antiqua" w:hAnsi="Book Antiqua" w:cs="宋体"/>
          <w:sz w:val="24"/>
          <w:szCs w:val="24"/>
        </w:rPr>
        <w:t>Florent</w:t>
      </w:r>
      <w:proofErr w:type="spellEnd"/>
      <w:r w:rsidRPr="00142E9D">
        <w:rPr>
          <w:rFonts w:ascii="Book Antiqua" w:hAnsi="Book Antiqua" w:cs="宋体"/>
          <w:sz w:val="24"/>
          <w:szCs w:val="24"/>
        </w:rPr>
        <w:t xml:space="preserve"> C, </w:t>
      </w:r>
      <w:proofErr w:type="spellStart"/>
      <w:r w:rsidRPr="00142E9D">
        <w:rPr>
          <w:rFonts w:ascii="Book Antiqua" w:hAnsi="Book Antiqua" w:cs="宋体"/>
          <w:sz w:val="24"/>
          <w:szCs w:val="24"/>
        </w:rPr>
        <w:t>Bouvry</w:t>
      </w:r>
      <w:proofErr w:type="spellEnd"/>
      <w:r w:rsidRPr="00142E9D">
        <w:rPr>
          <w:rFonts w:ascii="Book Antiqua" w:hAnsi="Book Antiqua" w:cs="宋体"/>
          <w:sz w:val="24"/>
          <w:szCs w:val="24"/>
        </w:rPr>
        <w:t xml:space="preserve"> M, Mary JY, Modigliani R. Correlations between clinical activity, endoscopic severity, and biological parameters in colonic or </w:t>
      </w:r>
      <w:proofErr w:type="spellStart"/>
      <w:r w:rsidRPr="00142E9D">
        <w:rPr>
          <w:rFonts w:ascii="Book Antiqua" w:hAnsi="Book Antiqua" w:cs="宋体"/>
          <w:sz w:val="24"/>
          <w:szCs w:val="24"/>
        </w:rPr>
        <w:t>ileocolonic</w:t>
      </w:r>
      <w:proofErr w:type="spellEnd"/>
      <w:r w:rsidRPr="00142E9D">
        <w:rPr>
          <w:rFonts w:ascii="Book Antiqua" w:hAnsi="Book Antiqua" w:cs="宋体"/>
          <w:sz w:val="24"/>
          <w:szCs w:val="24"/>
        </w:rPr>
        <w:t xml:space="preserve">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A prospective </w:t>
      </w:r>
      <w:proofErr w:type="spellStart"/>
      <w:r w:rsidRPr="00142E9D">
        <w:rPr>
          <w:rFonts w:ascii="Book Antiqua" w:hAnsi="Book Antiqua" w:cs="宋体"/>
          <w:sz w:val="24"/>
          <w:szCs w:val="24"/>
        </w:rPr>
        <w:t>multicentre</w:t>
      </w:r>
      <w:proofErr w:type="spellEnd"/>
      <w:r w:rsidRPr="00142E9D">
        <w:rPr>
          <w:rFonts w:ascii="Book Antiqua" w:hAnsi="Book Antiqua" w:cs="宋体"/>
          <w:sz w:val="24"/>
          <w:szCs w:val="24"/>
        </w:rPr>
        <w:t xml:space="preserve"> study of 121 cases. The </w:t>
      </w:r>
      <w:proofErr w:type="spellStart"/>
      <w:r w:rsidRPr="00142E9D">
        <w:rPr>
          <w:rFonts w:ascii="Book Antiqua" w:hAnsi="Book Antiqua" w:cs="宋体"/>
          <w:sz w:val="24"/>
          <w:szCs w:val="24"/>
        </w:rPr>
        <w:t>Groupe</w:t>
      </w:r>
      <w:proofErr w:type="spellEnd"/>
      <w:r w:rsidRPr="00142E9D">
        <w:rPr>
          <w:rFonts w:ascii="Book Antiqua" w:hAnsi="Book Antiqua" w:cs="宋体"/>
          <w:sz w:val="24"/>
          <w:szCs w:val="24"/>
        </w:rPr>
        <w:t xml:space="preserve"> </w:t>
      </w:r>
      <w:proofErr w:type="spellStart"/>
      <w:r w:rsidRPr="00142E9D">
        <w:rPr>
          <w:rFonts w:ascii="Book Antiqua" w:hAnsi="Book Antiqua" w:cs="宋体"/>
          <w:sz w:val="24"/>
          <w:szCs w:val="24"/>
        </w:rPr>
        <w:t>d'Etudes</w:t>
      </w:r>
      <w:proofErr w:type="spellEnd"/>
      <w:r w:rsidRPr="00142E9D">
        <w:rPr>
          <w:rFonts w:ascii="Book Antiqua" w:hAnsi="Book Antiqua" w:cs="宋体"/>
          <w:sz w:val="24"/>
          <w:szCs w:val="24"/>
        </w:rPr>
        <w:t xml:space="preserve"> </w:t>
      </w:r>
      <w:proofErr w:type="spellStart"/>
      <w:r w:rsidRPr="00142E9D">
        <w:rPr>
          <w:rFonts w:ascii="Book Antiqua" w:hAnsi="Book Antiqua" w:cs="宋体"/>
          <w:sz w:val="24"/>
          <w:szCs w:val="24"/>
        </w:rPr>
        <w:t>Thérapeutiques</w:t>
      </w:r>
      <w:proofErr w:type="spellEnd"/>
      <w:r w:rsidRPr="00142E9D">
        <w:rPr>
          <w:rFonts w:ascii="Book Antiqua" w:hAnsi="Book Antiqua" w:cs="宋体"/>
          <w:sz w:val="24"/>
          <w:szCs w:val="24"/>
        </w:rPr>
        <w:t xml:space="preserve"> des Affections </w:t>
      </w:r>
      <w:proofErr w:type="spellStart"/>
      <w:r w:rsidRPr="00142E9D">
        <w:rPr>
          <w:rFonts w:ascii="Book Antiqua" w:hAnsi="Book Antiqua" w:cs="宋体"/>
          <w:sz w:val="24"/>
          <w:szCs w:val="24"/>
        </w:rPr>
        <w:t>Inflammatoires</w:t>
      </w:r>
      <w:proofErr w:type="spellEnd"/>
      <w:r w:rsidRPr="00142E9D">
        <w:rPr>
          <w:rFonts w:ascii="Book Antiqua" w:hAnsi="Book Antiqua" w:cs="宋体"/>
          <w:sz w:val="24"/>
          <w:szCs w:val="24"/>
        </w:rPr>
        <w:t xml:space="preserve"> Digestives. </w:t>
      </w:r>
      <w:r w:rsidRPr="00142E9D">
        <w:rPr>
          <w:rFonts w:ascii="Book Antiqua" w:hAnsi="Book Antiqua" w:cs="宋体"/>
          <w:i/>
          <w:iCs/>
          <w:sz w:val="24"/>
          <w:szCs w:val="24"/>
        </w:rPr>
        <w:t>Gut</w:t>
      </w:r>
      <w:r w:rsidRPr="00142E9D">
        <w:rPr>
          <w:rFonts w:ascii="Book Antiqua" w:hAnsi="Book Antiqua" w:cs="宋体"/>
          <w:sz w:val="24"/>
          <w:szCs w:val="24"/>
        </w:rPr>
        <w:t> 1994; </w:t>
      </w:r>
      <w:r w:rsidRPr="00142E9D">
        <w:rPr>
          <w:rFonts w:ascii="Book Antiqua" w:hAnsi="Book Antiqua" w:cs="宋体"/>
          <w:b/>
          <w:bCs/>
          <w:sz w:val="24"/>
          <w:szCs w:val="24"/>
        </w:rPr>
        <w:t>35</w:t>
      </w:r>
      <w:r w:rsidRPr="00142E9D">
        <w:rPr>
          <w:rFonts w:ascii="Book Antiqua" w:hAnsi="Book Antiqua" w:cs="宋体"/>
          <w:sz w:val="24"/>
          <w:szCs w:val="24"/>
        </w:rPr>
        <w:t>: 231-235 [PMID: 7508411 DOI: 10.1136/gut.35.2.231]</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12 </w:t>
      </w:r>
      <w:proofErr w:type="spellStart"/>
      <w:r w:rsidRPr="00142E9D">
        <w:rPr>
          <w:rFonts w:ascii="Book Antiqua" w:hAnsi="Book Antiqua" w:cs="宋体"/>
          <w:b/>
          <w:bCs/>
          <w:sz w:val="24"/>
          <w:szCs w:val="24"/>
        </w:rPr>
        <w:t>Halpin</w:t>
      </w:r>
      <w:proofErr w:type="spellEnd"/>
      <w:r w:rsidRPr="00142E9D">
        <w:rPr>
          <w:rFonts w:ascii="Book Antiqua" w:hAnsi="Book Antiqua" w:cs="宋体"/>
          <w:b/>
          <w:bCs/>
          <w:sz w:val="24"/>
          <w:szCs w:val="24"/>
        </w:rPr>
        <w:t xml:space="preserve"> SJ</w:t>
      </w:r>
      <w:r w:rsidRPr="00142E9D">
        <w:rPr>
          <w:rFonts w:ascii="Book Antiqua" w:hAnsi="Book Antiqua" w:cs="宋体"/>
          <w:sz w:val="24"/>
          <w:szCs w:val="24"/>
        </w:rPr>
        <w:t>, Ford AC. Prevalence of symptoms meeting criteria for irritable bowel syndrome in inflammatory bowel disease: systematic review and meta-analysis. </w:t>
      </w:r>
      <w:r w:rsidRPr="00142E9D">
        <w:rPr>
          <w:rFonts w:ascii="Book Antiqua" w:hAnsi="Book Antiqua" w:cs="宋体"/>
          <w:i/>
          <w:iCs/>
          <w:sz w:val="24"/>
          <w:szCs w:val="24"/>
        </w:rPr>
        <w:t xml:space="preserve">Am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2012; </w:t>
      </w:r>
      <w:r w:rsidRPr="00142E9D">
        <w:rPr>
          <w:rFonts w:ascii="Book Antiqua" w:hAnsi="Book Antiqua" w:cs="宋体"/>
          <w:b/>
          <w:bCs/>
          <w:sz w:val="24"/>
          <w:szCs w:val="24"/>
        </w:rPr>
        <w:t>107</w:t>
      </w:r>
      <w:r w:rsidRPr="00142E9D">
        <w:rPr>
          <w:rFonts w:ascii="Book Antiqua" w:hAnsi="Book Antiqua" w:cs="宋体"/>
          <w:sz w:val="24"/>
          <w:szCs w:val="24"/>
        </w:rPr>
        <w:t>: 1474-1482 [PMID: 22929759 DOI: 10.1038/ajg.2012.260]</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13 </w:t>
      </w:r>
      <w:r w:rsidRPr="00142E9D">
        <w:rPr>
          <w:rFonts w:ascii="Book Antiqua" w:hAnsi="Book Antiqua" w:cs="宋体"/>
          <w:b/>
          <w:bCs/>
          <w:sz w:val="24"/>
          <w:szCs w:val="24"/>
        </w:rPr>
        <w:t>Zimmerman LA</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Srinath</w:t>
      </w:r>
      <w:proofErr w:type="spellEnd"/>
      <w:r w:rsidRPr="00142E9D">
        <w:rPr>
          <w:rFonts w:ascii="Book Antiqua" w:hAnsi="Book Antiqua" w:cs="宋体"/>
          <w:sz w:val="24"/>
          <w:szCs w:val="24"/>
        </w:rPr>
        <w:t xml:space="preserve"> AI, </w:t>
      </w:r>
      <w:proofErr w:type="spellStart"/>
      <w:r w:rsidRPr="00142E9D">
        <w:rPr>
          <w:rFonts w:ascii="Book Antiqua" w:hAnsi="Book Antiqua" w:cs="宋体"/>
          <w:sz w:val="24"/>
          <w:szCs w:val="24"/>
        </w:rPr>
        <w:t>Goyal</w:t>
      </w:r>
      <w:proofErr w:type="spellEnd"/>
      <w:r w:rsidRPr="00142E9D">
        <w:rPr>
          <w:rFonts w:ascii="Book Antiqua" w:hAnsi="Book Antiqua" w:cs="宋体"/>
          <w:sz w:val="24"/>
          <w:szCs w:val="24"/>
        </w:rPr>
        <w:t xml:space="preserve"> A, </w:t>
      </w:r>
      <w:proofErr w:type="spellStart"/>
      <w:r w:rsidRPr="00142E9D">
        <w:rPr>
          <w:rFonts w:ascii="Book Antiqua" w:hAnsi="Book Antiqua" w:cs="宋体"/>
          <w:sz w:val="24"/>
          <w:szCs w:val="24"/>
        </w:rPr>
        <w:t>Bousvaros</w:t>
      </w:r>
      <w:proofErr w:type="spellEnd"/>
      <w:r w:rsidRPr="00142E9D">
        <w:rPr>
          <w:rFonts w:ascii="Book Antiqua" w:hAnsi="Book Antiqua" w:cs="宋体"/>
          <w:sz w:val="24"/>
          <w:szCs w:val="24"/>
        </w:rPr>
        <w:t xml:space="preserve"> A, </w:t>
      </w:r>
      <w:proofErr w:type="spellStart"/>
      <w:r w:rsidRPr="00142E9D">
        <w:rPr>
          <w:rFonts w:ascii="Book Antiqua" w:hAnsi="Book Antiqua" w:cs="宋体"/>
          <w:sz w:val="24"/>
          <w:szCs w:val="24"/>
        </w:rPr>
        <w:t>Ducharme</w:t>
      </w:r>
      <w:proofErr w:type="spellEnd"/>
      <w:r w:rsidRPr="00142E9D">
        <w:rPr>
          <w:rFonts w:ascii="Book Antiqua" w:hAnsi="Book Antiqua" w:cs="宋体"/>
          <w:sz w:val="24"/>
          <w:szCs w:val="24"/>
        </w:rPr>
        <w:t xml:space="preserve"> P, </w:t>
      </w:r>
      <w:proofErr w:type="spellStart"/>
      <w:r w:rsidRPr="00142E9D">
        <w:rPr>
          <w:rFonts w:ascii="Book Antiqua" w:hAnsi="Book Antiqua" w:cs="宋体"/>
          <w:sz w:val="24"/>
          <w:szCs w:val="24"/>
        </w:rPr>
        <w:t>Szigethy</w:t>
      </w:r>
      <w:proofErr w:type="spellEnd"/>
      <w:r w:rsidRPr="00142E9D">
        <w:rPr>
          <w:rFonts w:ascii="Book Antiqua" w:hAnsi="Book Antiqua" w:cs="宋体"/>
          <w:sz w:val="24"/>
          <w:szCs w:val="24"/>
        </w:rPr>
        <w:t xml:space="preserve"> E, </w:t>
      </w:r>
      <w:proofErr w:type="spellStart"/>
      <w:r w:rsidRPr="00142E9D">
        <w:rPr>
          <w:rFonts w:ascii="Book Antiqua" w:hAnsi="Book Antiqua" w:cs="宋体"/>
          <w:sz w:val="24"/>
          <w:szCs w:val="24"/>
        </w:rPr>
        <w:t>Nurko</w:t>
      </w:r>
      <w:proofErr w:type="spellEnd"/>
      <w:r w:rsidRPr="00142E9D">
        <w:rPr>
          <w:rFonts w:ascii="Book Antiqua" w:hAnsi="Book Antiqua" w:cs="宋体"/>
          <w:sz w:val="24"/>
          <w:szCs w:val="24"/>
        </w:rPr>
        <w:t xml:space="preserve"> S. The overlap of functional abdominal pain in pediatric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w:t>
      </w:r>
      <w:r>
        <w:rPr>
          <w:rFonts w:ascii="Book Antiqua" w:hAnsi="Book Antiqua" w:cs="宋体"/>
          <w:sz w:val="24"/>
          <w:szCs w:val="24"/>
        </w:rPr>
        <w:t>2013</w:t>
      </w:r>
      <w:r w:rsidRPr="00142E9D">
        <w:rPr>
          <w:rFonts w:ascii="Book Antiqua" w:hAnsi="Book Antiqua" w:cs="宋体"/>
          <w:sz w:val="24"/>
          <w:szCs w:val="24"/>
        </w:rPr>
        <w:t>; </w:t>
      </w:r>
      <w:r w:rsidRPr="00142E9D">
        <w:rPr>
          <w:rFonts w:ascii="Book Antiqua" w:hAnsi="Book Antiqua" w:cs="宋体"/>
          <w:b/>
          <w:bCs/>
          <w:sz w:val="24"/>
          <w:szCs w:val="24"/>
        </w:rPr>
        <w:t>19</w:t>
      </w:r>
      <w:r w:rsidRPr="00142E9D">
        <w:rPr>
          <w:rFonts w:ascii="Book Antiqua" w:hAnsi="Book Antiqua" w:cs="宋体"/>
          <w:sz w:val="24"/>
          <w:szCs w:val="24"/>
        </w:rPr>
        <w:t>: 826-831 [PMID: 23407043 DOI: 10.1097/MIB.0b013e3182802a0a]</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lastRenderedPageBreak/>
        <w:t>14 </w:t>
      </w:r>
      <w:proofErr w:type="spellStart"/>
      <w:r w:rsidRPr="00142E9D">
        <w:rPr>
          <w:rFonts w:ascii="Book Antiqua" w:hAnsi="Book Antiqua" w:cs="宋体"/>
          <w:b/>
          <w:bCs/>
          <w:sz w:val="24"/>
          <w:szCs w:val="24"/>
        </w:rPr>
        <w:t>Schoepfer</w:t>
      </w:r>
      <w:proofErr w:type="spellEnd"/>
      <w:r w:rsidRPr="00142E9D">
        <w:rPr>
          <w:rFonts w:ascii="Book Antiqua" w:hAnsi="Book Antiqua" w:cs="宋体"/>
          <w:b/>
          <w:bCs/>
          <w:sz w:val="24"/>
          <w:szCs w:val="24"/>
        </w:rPr>
        <w:t xml:space="preserve"> AM</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Beglinger</w:t>
      </w:r>
      <w:proofErr w:type="spellEnd"/>
      <w:r w:rsidRPr="00142E9D">
        <w:rPr>
          <w:rFonts w:ascii="Book Antiqua" w:hAnsi="Book Antiqua" w:cs="宋体"/>
          <w:sz w:val="24"/>
          <w:szCs w:val="24"/>
        </w:rPr>
        <w:t xml:space="preserve"> C, </w:t>
      </w:r>
      <w:proofErr w:type="spellStart"/>
      <w:r w:rsidRPr="00142E9D">
        <w:rPr>
          <w:rFonts w:ascii="Book Antiqua" w:hAnsi="Book Antiqua" w:cs="宋体"/>
          <w:sz w:val="24"/>
          <w:szCs w:val="24"/>
        </w:rPr>
        <w:t>Straumann</w:t>
      </w:r>
      <w:proofErr w:type="spellEnd"/>
      <w:r w:rsidRPr="00142E9D">
        <w:rPr>
          <w:rFonts w:ascii="Book Antiqua" w:hAnsi="Book Antiqua" w:cs="宋体"/>
          <w:sz w:val="24"/>
          <w:szCs w:val="24"/>
        </w:rPr>
        <w:t xml:space="preserve"> A, </w:t>
      </w:r>
      <w:proofErr w:type="spellStart"/>
      <w:r w:rsidRPr="00142E9D">
        <w:rPr>
          <w:rFonts w:ascii="Book Antiqua" w:hAnsi="Book Antiqua" w:cs="宋体"/>
          <w:sz w:val="24"/>
          <w:szCs w:val="24"/>
        </w:rPr>
        <w:t>Safroneeva</w:t>
      </w:r>
      <w:proofErr w:type="spellEnd"/>
      <w:r w:rsidRPr="00142E9D">
        <w:rPr>
          <w:rFonts w:ascii="Book Antiqua" w:hAnsi="Book Antiqua" w:cs="宋体"/>
          <w:sz w:val="24"/>
          <w:szCs w:val="24"/>
        </w:rPr>
        <w:t xml:space="preserve"> E, Romero Y, Armstrong D, Schmidt C, </w:t>
      </w:r>
      <w:proofErr w:type="spellStart"/>
      <w:r w:rsidRPr="00142E9D">
        <w:rPr>
          <w:rFonts w:ascii="Book Antiqua" w:hAnsi="Book Antiqua" w:cs="宋体"/>
          <w:sz w:val="24"/>
          <w:szCs w:val="24"/>
        </w:rPr>
        <w:t>Trummler</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Pittet</w:t>
      </w:r>
      <w:proofErr w:type="spellEnd"/>
      <w:r w:rsidRPr="00142E9D">
        <w:rPr>
          <w:rFonts w:ascii="Book Antiqua" w:hAnsi="Book Antiqua" w:cs="宋体"/>
          <w:sz w:val="24"/>
          <w:szCs w:val="24"/>
        </w:rPr>
        <w:t xml:space="preserve"> V, </w:t>
      </w:r>
      <w:proofErr w:type="spellStart"/>
      <w:r w:rsidRPr="00142E9D">
        <w:rPr>
          <w:rFonts w:ascii="Book Antiqua" w:hAnsi="Book Antiqua" w:cs="宋体"/>
          <w:sz w:val="24"/>
          <w:szCs w:val="24"/>
        </w:rPr>
        <w:t>Vavricka</w:t>
      </w:r>
      <w:proofErr w:type="spellEnd"/>
      <w:r w:rsidRPr="00142E9D">
        <w:rPr>
          <w:rFonts w:ascii="Book Antiqua" w:hAnsi="Book Antiqua" w:cs="宋体"/>
          <w:sz w:val="24"/>
          <w:szCs w:val="24"/>
        </w:rPr>
        <w:t xml:space="preserve"> SR. Fecal </w:t>
      </w:r>
      <w:proofErr w:type="spellStart"/>
      <w:r w:rsidRPr="00142E9D">
        <w:rPr>
          <w:rFonts w:ascii="Book Antiqua" w:hAnsi="Book Antiqua" w:cs="宋体"/>
          <w:sz w:val="24"/>
          <w:szCs w:val="24"/>
        </w:rPr>
        <w:t>calprotectin</w:t>
      </w:r>
      <w:proofErr w:type="spellEnd"/>
      <w:r w:rsidRPr="00142E9D">
        <w:rPr>
          <w:rFonts w:ascii="Book Antiqua" w:hAnsi="Book Antiqua" w:cs="宋体"/>
          <w:sz w:val="24"/>
          <w:szCs w:val="24"/>
        </w:rPr>
        <w:t xml:space="preserve"> more accurately reflects endoscopic activity of ulcerative colitis than the </w:t>
      </w:r>
      <w:proofErr w:type="spellStart"/>
      <w:r w:rsidRPr="00142E9D">
        <w:rPr>
          <w:rFonts w:ascii="Book Antiqua" w:hAnsi="Book Antiqua" w:cs="宋体"/>
          <w:sz w:val="24"/>
          <w:szCs w:val="24"/>
        </w:rPr>
        <w:t>Lichtiger</w:t>
      </w:r>
      <w:proofErr w:type="spellEnd"/>
      <w:r w:rsidRPr="00142E9D">
        <w:rPr>
          <w:rFonts w:ascii="Book Antiqua" w:hAnsi="Book Antiqua" w:cs="宋体"/>
          <w:sz w:val="24"/>
          <w:szCs w:val="24"/>
        </w:rPr>
        <w:t xml:space="preserve"> Index, C-reactive protein, platelets, hemoglobin, and blood leukocytes.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2013; </w:t>
      </w:r>
      <w:r w:rsidRPr="00142E9D">
        <w:rPr>
          <w:rFonts w:ascii="Book Antiqua" w:hAnsi="Book Antiqua" w:cs="宋体"/>
          <w:b/>
          <w:bCs/>
          <w:sz w:val="24"/>
          <w:szCs w:val="24"/>
        </w:rPr>
        <w:t>19</w:t>
      </w:r>
      <w:r w:rsidRPr="00142E9D">
        <w:rPr>
          <w:rFonts w:ascii="Book Antiqua" w:hAnsi="Book Antiqua" w:cs="宋体"/>
          <w:sz w:val="24"/>
          <w:szCs w:val="24"/>
        </w:rPr>
        <w:t>: 332-341 [PMID: 23328771 DOI: 10.1097/MIB.0b013e3182810066]</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15 </w:t>
      </w:r>
      <w:proofErr w:type="spellStart"/>
      <w:r w:rsidRPr="00142E9D">
        <w:rPr>
          <w:rFonts w:ascii="Book Antiqua" w:hAnsi="Book Antiqua" w:cs="宋体"/>
          <w:b/>
          <w:bCs/>
          <w:sz w:val="24"/>
          <w:szCs w:val="24"/>
        </w:rPr>
        <w:t>Benchimol</w:t>
      </w:r>
      <w:proofErr w:type="spellEnd"/>
      <w:r w:rsidRPr="00142E9D">
        <w:rPr>
          <w:rFonts w:ascii="Book Antiqua" w:hAnsi="Book Antiqua" w:cs="宋体"/>
          <w:b/>
          <w:bCs/>
          <w:sz w:val="24"/>
          <w:szCs w:val="24"/>
        </w:rPr>
        <w:t xml:space="preserve"> EI</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Seow</w:t>
      </w:r>
      <w:proofErr w:type="spellEnd"/>
      <w:r w:rsidRPr="00142E9D">
        <w:rPr>
          <w:rFonts w:ascii="Book Antiqua" w:hAnsi="Book Antiqua" w:cs="宋体"/>
          <w:sz w:val="24"/>
          <w:szCs w:val="24"/>
        </w:rPr>
        <w:t xml:space="preserve"> CH, Steinhart AH, Griffiths AM. Traditional corticosteroids for induction of remission in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w:t>
      </w:r>
      <w:r w:rsidRPr="00142E9D">
        <w:rPr>
          <w:rFonts w:ascii="Book Antiqua" w:hAnsi="Book Antiqua" w:cs="宋体"/>
          <w:i/>
          <w:iCs/>
          <w:sz w:val="24"/>
          <w:szCs w:val="24"/>
        </w:rPr>
        <w:t xml:space="preserve">Cochrane Database </w:t>
      </w:r>
      <w:proofErr w:type="spellStart"/>
      <w:r w:rsidRPr="00142E9D">
        <w:rPr>
          <w:rFonts w:ascii="Book Antiqua" w:hAnsi="Book Antiqua" w:cs="宋体"/>
          <w:i/>
          <w:iCs/>
          <w:sz w:val="24"/>
          <w:szCs w:val="24"/>
        </w:rPr>
        <w:t>Syst</w:t>
      </w:r>
      <w:proofErr w:type="spellEnd"/>
      <w:r w:rsidRPr="00142E9D">
        <w:rPr>
          <w:rFonts w:ascii="Book Antiqua" w:hAnsi="Book Antiqua" w:cs="宋体"/>
          <w:i/>
          <w:iCs/>
          <w:sz w:val="24"/>
          <w:szCs w:val="24"/>
        </w:rPr>
        <w:t xml:space="preserve"> Rev</w:t>
      </w:r>
      <w:r w:rsidRPr="00142E9D">
        <w:rPr>
          <w:rFonts w:ascii="Book Antiqua" w:hAnsi="Book Antiqua" w:cs="宋体"/>
          <w:sz w:val="24"/>
          <w:szCs w:val="24"/>
        </w:rPr>
        <w:t> 2008; CD006792 [PMID: 18425970 DOI: 10.1002/14651858]</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16 </w:t>
      </w:r>
      <w:proofErr w:type="spellStart"/>
      <w:r w:rsidRPr="00142E9D">
        <w:rPr>
          <w:rFonts w:ascii="Book Antiqua" w:hAnsi="Book Antiqua" w:cs="宋体"/>
          <w:b/>
          <w:bCs/>
          <w:sz w:val="24"/>
          <w:szCs w:val="24"/>
        </w:rPr>
        <w:t>Munkholm</w:t>
      </w:r>
      <w:proofErr w:type="spellEnd"/>
      <w:r w:rsidRPr="00142E9D">
        <w:rPr>
          <w:rFonts w:ascii="Book Antiqua" w:hAnsi="Book Antiqua" w:cs="宋体"/>
          <w:b/>
          <w:bCs/>
          <w:sz w:val="24"/>
          <w:szCs w:val="24"/>
        </w:rPr>
        <w:t xml:space="preserve"> P</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Langholz</w:t>
      </w:r>
      <w:proofErr w:type="spellEnd"/>
      <w:r w:rsidRPr="00142E9D">
        <w:rPr>
          <w:rFonts w:ascii="Book Antiqua" w:hAnsi="Book Antiqua" w:cs="宋体"/>
          <w:sz w:val="24"/>
          <w:szCs w:val="24"/>
        </w:rPr>
        <w:t xml:space="preserve"> E, </w:t>
      </w:r>
      <w:proofErr w:type="spellStart"/>
      <w:r w:rsidRPr="00142E9D">
        <w:rPr>
          <w:rFonts w:ascii="Book Antiqua" w:hAnsi="Book Antiqua" w:cs="宋体"/>
          <w:sz w:val="24"/>
          <w:szCs w:val="24"/>
        </w:rPr>
        <w:t>Davidsen</w:t>
      </w:r>
      <w:proofErr w:type="spellEnd"/>
      <w:r w:rsidRPr="00142E9D">
        <w:rPr>
          <w:rFonts w:ascii="Book Antiqua" w:hAnsi="Book Antiqua" w:cs="宋体"/>
          <w:sz w:val="24"/>
          <w:szCs w:val="24"/>
        </w:rPr>
        <w:t xml:space="preserve"> M, Binder V. Frequency of glucocorticoid resistance and dependency in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w:t>
      </w:r>
      <w:r w:rsidRPr="00142E9D">
        <w:rPr>
          <w:rFonts w:ascii="Book Antiqua" w:hAnsi="Book Antiqua" w:cs="宋体"/>
          <w:i/>
          <w:iCs/>
          <w:sz w:val="24"/>
          <w:szCs w:val="24"/>
        </w:rPr>
        <w:t>Gut</w:t>
      </w:r>
      <w:r w:rsidRPr="00142E9D">
        <w:rPr>
          <w:rFonts w:ascii="Book Antiqua" w:hAnsi="Book Antiqua" w:cs="宋体"/>
          <w:sz w:val="24"/>
          <w:szCs w:val="24"/>
        </w:rPr>
        <w:t> 1994; </w:t>
      </w:r>
      <w:r w:rsidRPr="00142E9D">
        <w:rPr>
          <w:rFonts w:ascii="Book Antiqua" w:hAnsi="Book Antiqua" w:cs="宋体"/>
          <w:b/>
          <w:bCs/>
          <w:sz w:val="24"/>
          <w:szCs w:val="24"/>
        </w:rPr>
        <w:t>35</w:t>
      </w:r>
      <w:r w:rsidRPr="00142E9D">
        <w:rPr>
          <w:rFonts w:ascii="Book Antiqua" w:hAnsi="Book Antiqua" w:cs="宋体"/>
          <w:sz w:val="24"/>
          <w:szCs w:val="24"/>
        </w:rPr>
        <w:t>: 360-362 [PMID: 8150347]</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17 </w:t>
      </w:r>
      <w:r w:rsidRPr="00142E9D">
        <w:rPr>
          <w:rFonts w:ascii="Book Antiqua" w:hAnsi="Book Antiqua" w:cs="宋体"/>
          <w:b/>
          <w:bCs/>
          <w:sz w:val="24"/>
          <w:szCs w:val="24"/>
        </w:rPr>
        <w:t>Reddy SI</w:t>
      </w:r>
      <w:r w:rsidRPr="00142E9D">
        <w:rPr>
          <w:rFonts w:ascii="Book Antiqua" w:hAnsi="Book Antiqua" w:cs="宋体"/>
          <w:sz w:val="24"/>
          <w:szCs w:val="24"/>
        </w:rPr>
        <w:t xml:space="preserve">, Friedman S, Telford JJ, </w:t>
      </w:r>
      <w:proofErr w:type="spellStart"/>
      <w:r w:rsidRPr="00142E9D">
        <w:rPr>
          <w:rFonts w:ascii="Book Antiqua" w:hAnsi="Book Antiqua" w:cs="宋体"/>
          <w:sz w:val="24"/>
          <w:szCs w:val="24"/>
        </w:rPr>
        <w:t>Strate</w:t>
      </w:r>
      <w:proofErr w:type="spellEnd"/>
      <w:r w:rsidRPr="00142E9D">
        <w:rPr>
          <w:rFonts w:ascii="Book Antiqua" w:hAnsi="Book Antiqua" w:cs="宋体"/>
          <w:sz w:val="24"/>
          <w:szCs w:val="24"/>
        </w:rPr>
        <w:t xml:space="preserve"> L, Ookubo R, Banks PA. Are patients with inflammatory bowel disease receiving optimal care? </w:t>
      </w:r>
      <w:r w:rsidRPr="00142E9D">
        <w:rPr>
          <w:rFonts w:ascii="Book Antiqua" w:hAnsi="Book Antiqua" w:cs="宋体"/>
          <w:i/>
          <w:iCs/>
          <w:sz w:val="24"/>
          <w:szCs w:val="24"/>
        </w:rPr>
        <w:t xml:space="preserve">Am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2005; </w:t>
      </w:r>
      <w:r w:rsidRPr="00142E9D">
        <w:rPr>
          <w:rFonts w:ascii="Book Antiqua" w:hAnsi="Book Antiqua" w:cs="宋体"/>
          <w:b/>
          <w:bCs/>
          <w:sz w:val="24"/>
          <w:szCs w:val="24"/>
        </w:rPr>
        <w:t>100</w:t>
      </w:r>
      <w:r w:rsidRPr="00142E9D">
        <w:rPr>
          <w:rFonts w:ascii="Book Antiqua" w:hAnsi="Book Antiqua" w:cs="宋体"/>
          <w:sz w:val="24"/>
          <w:szCs w:val="24"/>
        </w:rPr>
        <w:t>: 1357-1361 [PMID: 15929770 DOI: 10.1111/j.1572-0241.2005.40849.x]</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18 </w:t>
      </w:r>
      <w:proofErr w:type="spellStart"/>
      <w:r w:rsidRPr="00142E9D">
        <w:rPr>
          <w:rFonts w:ascii="Book Antiqua" w:hAnsi="Book Antiqua" w:cs="宋体"/>
          <w:b/>
          <w:bCs/>
          <w:sz w:val="24"/>
          <w:szCs w:val="24"/>
        </w:rPr>
        <w:t>Herrinton</w:t>
      </w:r>
      <w:proofErr w:type="spellEnd"/>
      <w:r w:rsidRPr="00142E9D">
        <w:rPr>
          <w:rFonts w:ascii="Book Antiqua" w:hAnsi="Book Antiqua" w:cs="宋体"/>
          <w:b/>
          <w:bCs/>
          <w:sz w:val="24"/>
          <w:szCs w:val="24"/>
        </w:rPr>
        <w:t xml:space="preserve"> LJ</w:t>
      </w:r>
      <w:r w:rsidRPr="00142E9D">
        <w:rPr>
          <w:rFonts w:ascii="Book Antiqua" w:hAnsi="Book Antiqua" w:cs="宋体"/>
          <w:sz w:val="24"/>
          <w:szCs w:val="24"/>
        </w:rPr>
        <w:t xml:space="preserve">, Liu L, Fireman B, Lewis JD, Allison JE, Flowers N, </w:t>
      </w:r>
      <w:proofErr w:type="spellStart"/>
      <w:r w:rsidRPr="00142E9D">
        <w:rPr>
          <w:rFonts w:ascii="Book Antiqua" w:hAnsi="Book Antiqua" w:cs="宋体"/>
          <w:sz w:val="24"/>
          <w:szCs w:val="24"/>
        </w:rPr>
        <w:t>Hutfless</w:t>
      </w:r>
      <w:proofErr w:type="spellEnd"/>
      <w:r w:rsidRPr="00142E9D">
        <w:rPr>
          <w:rFonts w:ascii="Book Antiqua" w:hAnsi="Book Antiqua" w:cs="宋体"/>
          <w:sz w:val="24"/>
          <w:szCs w:val="24"/>
        </w:rPr>
        <w:t xml:space="preserve"> S, </w:t>
      </w:r>
      <w:proofErr w:type="spellStart"/>
      <w:r w:rsidRPr="00142E9D">
        <w:rPr>
          <w:rFonts w:ascii="Book Antiqua" w:hAnsi="Book Antiqua" w:cs="宋体"/>
          <w:sz w:val="24"/>
          <w:szCs w:val="24"/>
        </w:rPr>
        <w:t>Velayos</w:t>
      </w:r>
      <w:proofErr w:type="spellEnd"/>
      <w:r w:rsidRPr="00142E9D">
        <w:rPr>
          <w:rFonts w:ascii="Book Antiqua" w:hAnsi="Book Antiqua" w:cs="宋体"/>
          <w:sz w:val="24"/>
          <w:szCs w:val="24"/>
        </w:rPr>
        <w:t xml:space="preserve"> FS, Abramson O, </w:t>
      </w:r>
      <w:proofErr w:type="spellStart"/>
      <w:r w:rsidRPr="00142E9D">
        <w:rPr>
          <w:rFonts w:ascii="Book Antiqua" w:hAnsi="Book Antiqua" w:cs="宋体"/>
          <w:sz w:val="24"/>
          <w:szCs w:val="24"/>
        </w:rPr>
        <w:t>Altschuler</w:t>
      </w:r>
      <w:proofErr w:type="spellEnd"/>
      <w:r w:rsidRPr="00142E9D">
        <w:rPr>
          <w:rFonts w:ascii="Book Antiqua" w:hAnsi="Book Antiqua" w:cs="宋体"/>
          <w:sz w:val="24"/>
          <w:szCs w:val="24"/>
        </w:rPr>
        <w:t xml:space="preserve"> A, Perry GS. Time trends in therapies and outcomes for adult inflammatory bowel disease, Northern California, 1998-2005. </w:t>
      </w:r>
      <w:r w:rsidRPr="00142E9D">
        <w:rPr>
          <w:rFonts w:ascii="Book Antiqua" w:hAnsi="Book Antiqua" w:cs="宋体"/>
          <w:i/>
          <w:iCs/>
          <w:sz w:val="24"/>
          <w:szCs w:val="24"/>
        </w:rPr>
        <w:t>Gastroenterology</w:t>
      </w:r>
      <w:r w:rsidRPr="00142E9D">
        <w:rPr>
          <w:rFonts w:ascii="Book Antiqua" w:hAnsi="Book Antiqua" w:cs="宋体"/>
          <w:sz w:val="24"/>
          <w:szCs w:val="24"/>
        </w:rPr>
        <w:t> 2009; </w:t>
      </w:r>
      <w:r w:rsidRPr="00142E9D">
        <w:rPr>
          <w:rFonts w:ascii="Book Antiqua" w:hAnsi="Book Antiqua" w:cs="宋体"/>
          <w:b/>
          <w:bCs/>
          <w:sz w:val="24"/>
          <w:szCs w:val="24"/>
        </w:rPr>
        <w:t>137</w:t>
      </w:r>
      <w:r w:rsidRPr="00142E9D">
        <w:rPr>
          <w:rFonts w:ascii="Book Antiqua" w:hAnsi="Book Antiqua" w:cs="宋体"/>
          <w:sz w:val="24"/>
          <w:szCs w:val="24"/>
        </w:rPr>
        <w:t>: 502-511 [PMID: 19445944 DOI: 10.1053/j.gastro.2009.04.063]</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19 </w:t>
      </w:r>
      <w:proofErr w:type="spellStart"/>
      <w:r w:rsidRPr="00142E9D">
        <w:rPr>
          <w:rFonts w:ascii="Book Antiqua" w:hAnsi="Book Antiqua" w:cs="宋体"/>
          <w:b/>
          <w:bCs/>
          <w:sz w:val="24"/>
          <w:szCs w:val="24"/>
        </w:rPr>
        <w:t>Kappelman</w:t>
      </w:r>
      <w:proofErr w:type="spellEnd"/>
      <w:r w:rsidRPr="00142E9D">
        <w:rPr>
          <w:rFonts w:ascii="Book Antiqua" w:hAnsi="Book Antiqua" w:cs="宋体"/>
          <w:b/>
          <w:bCs/>
          <w:sz w:val="24"/>
          <w:szCs w:val="24"/>
        </w:rPr>
        <w:t xml:space="preserve"> MD</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Bousvaros</w:t>
      </w:r>
      <w:proofErr w:type="spellEnd"/>
      <w:r w:rsidRPr="00142E9D">
        <w:rPr>
          <w:rFonts w:ascii="Book Antiqua" w:hAnsi="Book Antiqua" w:cs="宋体"/>
          <w:sz w:val="24"/>
          <w:szCs w:val="24"/>
        </w:rPr>
        <w:t xml:space="preserve"> A, </w:t>
      </w:r>
      <w:proofErr w:type="spellStart"/>
      <w:r w:rsidRPr="00142E9D">
        <w:rPr>
          <w:rFonts w:ascii="Book Antiqua" w:hAnsi="Book Antiqua" w:cs="宋体"/>
          <w:sz w:val="24"/>
          <w:szCs w:val="24"/>
        </w:rPr>
        <w:t>Hyams</w:t>
      </w:r>
      <w:proofErr w:type="spellEnd"/>
      <w:r w:rsidRPr="00142E9D">
        <w:rPr>
          <w:rFonts w:ascii="Book Antiqua" w:hAnsi="Book Antiqua" w:cs="宋体"/>
          <w:sz w:val="24"/>
          <w:szCs w:val="24"/>
        </w:rPr>
        <w:t xml:space="preserve"> J, Markowitz J, </w:t>
      </w:r>
      <w:proofErr w:type="spellStart"/>
      <w:r w:rsidRPr="00142E9D">
        <w:rPr>
          <w:rFonts w:ascii="Book Antiqua" w:hAnsi="Book Antiqua" w:cs="宋体"/>
          <w:sz w:val="24"/>
          <w:szCs w:val="24"/>
        </w:rPr>
        <w:t>Pfefferkorn</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Kugathasan</w:t>
      </w:r>
      <w:proofErr w:type="spellEnd"/>
      <w:r w:rsidRPr="00142E9D">
        <w:rPr>
          <w:rFonts w:ascii="Book Antiqua" w:hAnsi="Book Antiqua" w:cs="宋体"/>
          <w:sz w:val="24"/>
          <w:szCs w:val="24"/>
        </w:rPr>
        <w:t xml:space="preserve"> S, Rosh J, </w:t>
      </w:r>
      <w:proofErr w:type="spellStart"/>
      <w:r w:rsidRPr="00142E9D">
        <w:rPr>
          <w:rFonts w:ascii="Book Antiqua" w:hAnsi="Book Antiqua" w:cs="宋体"/>
          <w:sz w:val="24"/>
          <w:szCs w:val="24"/>
        </w:rPr>
        <w:t>Otley</w:t>
      </w:r>
      <w:proofErr w:type="spellEnd"/>
      <w:r w:rsidRPr="00142E9D">
        <w:rPr>
          <w:rFonts w:ascii="Book Antiqua" w:hAnsi="Book Antiqua" w:cs="宋体"/>
          <w:sz w:val="24"/>
          <w:szCs w:val="24"/>
        </w:rPr>
        <w:t xml:space="preserve"> A, Mack D, Griffiths A, Evans J, Grand R, Langton C, </w:t>
      </w:r>
      <w:proofErr w:type="spellStart"/>
      <w:r w:rsidRPr="00142E9D">
        <w:rPr>
          <w:rFonts w:ascii="Book Antiqua" w:hAnsi="Book Antiqua" w:cs="宋体"/>
          <w:sz w:val="24"/>
          <w:szCs w:val="24"/>
        </w:rPr>
        <w:t>Kleinman</w:t>
      </w:r>
      <w:proofErr w:type="spellEnd"/>
      <w:r w:rsidRPr="00142E9D">
        <w:rPr>
          <w:rFonts w:ascii="Book Antiqua" w:hAnsi="Book Antiqua" w:cs="宋体"/>
          <w:sz w:val="24"/>
          <w:szCs w:val="24"/>
        </w:rPr>
        <w:t xml:space="preserve"> K, Finkelstein JA. </w:t>
      </w:r>
      <w:proofErr w:type="spellStart"/>
      <w:r w:rsidRPr="00142E9D">
        <w:rPr>
          <w:rFonts w:ascii="Book Antiqua" w:hAnsi="Book Antiqua" w:cs="宋体"/>
          <w:sz w:val="24"/>
          <w:szCs w:val="24"/>
        </w:rPr>
        <w:t>Intercenter</w:t>
      </w:r>
      <w:proofErr w:type="spellEnd"/>
      <w:r w:rsidRPr="00142E9D">
        <w:rPr>
          <w:rFonts w:ascii="Book Antiqua" w:hAnsi="Book Antiqua" w:cs="宋体"/>
          <w:sz w:val="24"/>
          <w:szCs w:val="24"/>
        </w:rPr>
        <w:t xml:space="preserve"> variation in initial management of children with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2007; </w:t>
      </w:r>
      <w:r w:rsidRPr="00142E9D">
        <w:rPr>
          <w:rFonts w:ascii="Book Antiqua" w:hAnsi="Book Antiqua" w:cs="宋体"/>
          <w:b/>
          <w:bCs/>
          <w:sz w:val="24"/>
          <w:szCs w:val="24"/>
        </w:rPr>
        <w:t>13</w:t>
      </w:r>
      <w:r w:rsidRPr="00142E9D">
        <w:rPr>
          <w:rFonts w:ascii="Book Antiqua" w:hAnsi="Book Antiqua" w:cs="宋体"/>
          <w:sz w:val="24"/>
          <w:szCs w:val="24"/>
        </w:rPr>
        <w:t>: 890-895 [PMID: 17286275 DOI: 10.1002/ibd.20121]</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20 </w:t>
      </w:r>
      <w:proofErr w:type="spellStart"/>
      <w:r w:rsidRPr="00142E9D">
        <w:rPr>
          <w:rFonts w:ascii="Book Antiqua" w:hAnsi="Book Antiqua" w:cs="宋体"/>
          <w:b/>
          <w:bCs/>
          <w:sz w:val="24"/>
          <w:szCs w:val="24"/>
        </w:rPr>
        <w:t>Targan</w:t>
      </w:r>
      <w:proofErr w:type="spellEnd"/>
      <w:r w:rsidRPr="00142E9D">
        <w:rPr>
          <w:rFonts w:ascii="Book Antiqua" w:hAnsi="Book Antiqua" w:cs="宋体"/>
          <w:b/>
          <w:bCs/>
          <w:sz w:val="24"/>
          <w:szCs w:val="24"/>
        </w:rPr>
        <w:t xml:space="preserve"> SR</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Hanauer</w:t>
      </w:r>
      <w:proofErr w:type="spellEnd"/>
      <w:r w:rsidRPr="00142E9D">
        <w:rPr>
          <w:rFonts w:ascii="Book Antiqua" w:hAnsi="Book Antiqua" w:cs="宋体"/>
          <w:sz w:val="24"/>
          <w:szCs w:val="24"/>
        </w:rPr>
        <w:t xml:space="preserve"> SB, van Deventer SJ, Mayer L, Present DH, </w:t>
      </w:r>
      <w:proofErr w:type="spellStart"/>
      <w:r w:rsidRPr="00142E9D">
        <w:rPr>
          <w:rFonts w:ascii="Book Antiqua" w:hAnsi="Book Antiqua" w:cs="宋体"/>
          <w:sz w:val="24"/>
          <w:szCs w:val="24"/>
        </w:rPr>
        <w:t>Braakman</w:t>
      </w:r>
      <w:proofErr w:type="spellEnd"/>
      <w:r w:rsidRPr="00142E9D">
        <w:rPr>
          <w:rFonts w:ascii="Book Antiqua" w:hAnsi="Book Antiqua" w:cs="宋体"/>
          <w:sz w:val="24"/>
          <w:szCs w:val="24"/>
        </w:rPr>
        <w:t xml:space="preserve"> T, </w:t>
      </w:r>
      <w:proofErr w:type="spellStart"/>
      <w:r w:rsidRPr="00142E9D">
        <w:rPr>
          <w:rFonts w:ascii="Book Antiqua" w:hAnsi="Book Antiqua" w:cs="宋体"/>
          <w:sz w:val="24"/>
          <w:szCs w:val="24"/>
        </w:rPr>
        <w:t>DeWoody</w:t>
      </w:r>
      <w:proofErr w:type="spellEnd"/>
      <w:r w:rsidRPr="00142E9D">
        <w:rPr>
          <w:rFonts w:ascii="Book Antiqua" w:hAnsi="Book Antiqua" w:cs="宋体"/>
          <w:sz w:val="24"/>
          <w:szCs w:val="24"/>
        </w:rPr>
        <w:t xml:space="preserve"> KL, </w:t>
      </w:r>
      <w:proofErr w:type="spellStart"/>
      <w:r w:rsidRPr="00142E9D">
        <w:rPr>
          <w:rFonts w:ascii="Book Antiqua" w:hAnsi="Book Antiqua" w:cs="宋体"/>
          <w:sz w:val="24"/>
          <w:szCs w:val="24"/>
        </w:rPr>
        <w:t>Schaible</w:t>
      </w:r>
      <w:proofErr w:type="spellEnd"/>
      <w:r w:rsidRPr="00142E9D">
        <w:rPr>
          <w:rFonts w:ascii="Book Antiqua" w:hAnsi="Book Antiqua" w:cs="宋体"/>
          <w:sz w:val="24"/>
          <w:szCs w:val="24"/>
        </w:rPr>
        <w:t xml:space="preserve"> TF, </w:t>
      </w:r>
      <w:proofErr w:type="spellStart"/>
      <w:r w:rsidRPr="00142E9D">
        <w:rPr>
          <w:rFonts w:ascii="Book Antiqua" w:hAnsi="Book Antiqua" w:cs="宋体"/>
          <w:sz w:val="24"/>
          <w:szCs w:val="24"/>
        </w:rPr>
        <w:t>Rutgeerts</w:t>
      </w:r>
      <w:proofErr w:type="spellEnd"/>
      <w:r w:rsidRPr="00142E9D">
        <w:rPr>
          <w:rFonts w:ascii="Book Antiqua" w:hAnsi="Book Antiqua" w:cs="宋体"/>
          <w:sz w:val="24"/>
          <w:szCs w:val="24"/>
        </w:rPr>
        <w:t xml:space="preserve"> PJ. A short-term study of chimeric monoclonal antibody cA2 to tumor necrosis factor alpha for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cA2 </w:t>
      </w:r>
      <w:r w:rsidRPr="00142E9D">
        <w:rPr>
          <w:rFonts w:ascii="Book Antiqua" w:hAnsi="Book Antiqua" w:cs="宋体"/>
          <w:sz w:val="24"/>
          <w:szCs w:val="24"/>
        </w:rPr>
        <w:lastRenderedPageBreak/>
        <w:t>Study Group. </w:t>
      </w:r>
      <w:r w:rsidRPr="00142E9D">
        <w:rPr>
          <w:rFonts w:ascii="Book Antiqua" w:hAnsi="Book Antiqua" w:cs="宋体"/>
          <w:i/>
          <w:iCs/>
          <w:sz w:val="24"/>
          <w:szCs w:val="24"/>
        </w:rPr>
        <w:t xml:space="preserve">N </w:t>
      </w:r>
      <w:proofErr w:type="spellStart"/>
      <w:r w:rsidRPr="00142E9D">
        <w:rPr>
          <w:rFonts w:ascii="Book Antiqua" w:hAnsi="Book Antiqua" w:cs="宋体"/>
          <w:i/>
          <w:iCs/>
          <w:sz w:val="24"/>
          <w:szCs w:val="24"/>
        </w:rPr>
        <w:t>Engl</w:t>
      </w:r>
      <w:proofErr w:type="spellEnd"/>
      <w:r w:rsidRPr="00142E9D">
        <w:rPr>
          <w:rFonts w:ascii="Book Antiqua" w:hAnsi="Book Antiqua" w:cs="宋体"/>
          <w:i/>
          <w:iCs/>
          <w:sz w:val="24"/>
          <w:szCs w:val="24"/>
        </w:rPr>
        <w:t xml:space="preserve"> J Med</w:t>
      </w:r>
      <w:r w:rsidRPr="00142E9D">
        <w:rPr>
          <w:rFonts w:ascii="Book Antiqua" w:hAnsi="Book Antiqua" w:cs="宋体"/>
          <w:sz w:val="24"/>
          <w:szCs w:val="24"/>
        </w:rPr>
        <w:t> 1997; </w:t>
      </w:r>
      <w:r w:rsidRPr="00142E9D">
        <w:rPr>
          <w:rFonts w:ascii="Book Antiqua" w:hAnsi="Book Antiqua" w:cs="宋体"/>
          <w:b/>
          <w:bCs/>
          <w:sz w:val="24"/>
          <w:szCs w:val="24"/>
        </w:rPr>
        <w:t>337</w:t>
      </w:r>
      <w:r w:rsidRPr="00142E9D">
        <w:rPr>
          <w:rFonts w:ascii="Book Antiqua" w:hAnsi="Book Antiqua" w:cs="宋体"/>
          <w:sz w:val="24"/>
          <w:szCs w:val="24"/>
        </w:rPr>
        <w:t>: 1029-1035 [PMID: 9321530 DOI: 10.1056/NEJM199710093371502]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21 </w:t>
      </w:r>
      <w:proofErr w:type="spellStart"/>
      <w:r w:rsidRPr="00142E9D">
        <w:rPr>
          <w:rFonts w:ascii="Book Antiqua" w:hAnsi="Book Antiqua" w:cs="宋体"/>
          <w:b/>
          <w:bCs/>
          <w:sz w:val="24"/>
          <w:szCs w:val="24"/>
        </w:rPr>
        <w:t>Hanauer</w:t>
      </w:r>
      <w:proofErr w:type="spellEnd"/>
      <w:r w:rsidRPr="00142E9D">
        <w:rPr>
          <w:rFonts w:ascii="Book Antiqua" w:hAnsi="Book Antiqua" w:cs="宋体"/>
          <w:b/>
          <w:bCs/>
          <w:sz w:val="24"/>
          <w:szCs w:val="24"/>
        </w:rPr>
        <w:t xml:space="preserve"> SB</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Feagan</w:t>
      </w:r>
      <w:proofErr w:type="spellEnd"/>
      <w:r w:rsidRPr="00142E9D">
        <w:rPr>
          <w:rFonts w:ascii="Book Antiqua" w:hAnsi="Book Antiqua" w:cs="宋体"/>
          <w:sz w:val="24"/>
          <w:szCs w:val="24"/>
        </w:rPr>
        <w:t xml:space="preserve"> BG, Lichtenstein GR, Mayer LF, Schreiber S, </w:t>
      </w:r>
      <w:proofErr w:type="spellStart"/>
      <w:r w:rsidRPr="00142E9D">
        <w:rPr>
          <w:rFonts w:ascii="Book Antiqua" w:hAnsi="Book Antiqua" w:cs="宋体"/>
          <w:sz w:val="24"/>
          <w:szCs w:val="24"/>
        </w:rPr>
        <w:t>Colombel</w:t>
      </w:r>
      <w:proofErr w:type="spellEnd"/>
      <w:r w:rsidRPr="00142E9D">
        <w:rPr>
          <w:rFonts w:ascii="Book Antiqua" w:hAnsi="Book Antiqua" w:cs="宋体"/>
          <w:sz w:val="24"/>
          <w:szCs w:val="24"/>
        </w:rPr>
        <w:t xml:space="preserve"> JF, </w:t>
      </w:r>
      <w:proofErr w:type="spellStart"/>
      <w:r w:rsidRPr="00142E9D">
        <w:rPr>
          <w:rFonts w:ascii="Book Antiqua" w:hAnsi="Book Antiqua" w:cs="宋体"/>
          <w:sz w:val="24"/>
          <w:szCs w:val="24"/>
        </w:rPr>
        <w:t>Rachmilewitz</w:t>
      </w:r>
      <w:proofErr w:type="spellEnd"/>
      <w:r w:rsidRPr="00142E9D">
        <w:rPr>
          <w:rFonts w:ascii="Book Antiqua" w:hAnsi="Book Antiqua" w:cs="宋体"/>
          <w:sz w:val="24"/>
          <w:szCs w:val="24"/>
        </w:rPr>
        <w:t xml:space="preserve"> D, Wolf DC, Olson A, </w:t>
      </w:r>
      <w:proofErr w:type="spellStart"/>
      <w:r w:rsidRPr="00142E9D">
        <w:rPr>
          <w:rFonts w:ascii="Book Antiqua" w:hAnsi="Book Antiqua" w:cs="宋体"/>
          <w:sz w:val="24"/>
          <w:szCs w:val="24"/>
        </w:rPr>
        <w:t>Bao</w:t>
      </w:r>
      <w:proofErr w:type="spellEnd"/>
      <w:r w:rsidRPr="00142E9D">
        <w:rPr>
          <w:rFonts w:ascii="Book Antiqua" w:hAnsi="Book Antiqua" w:cs="宋体"/>
          <w:sz w:val="24"/>
          <w:szCs w:val="24"/>
        </w:rPr>
        <w:t xml:space="preserve"> W, </w:t>
      </w:r>
      <w:proofErr w:type="spellStart"/>
      <w:r w:rsidRPr="00142E9D">
        <w:rPr>
          <w:rFonts w:ascii="Book Antiqua" w:hAnsi="Book Antiqua" w:cs="宋体"/>
          <w:sz w:val="24"/>
          <w:szCs w:val="24"/>
        </w:rPr>
        <w:t>Rutgeerts</w:t>
      </w:r>
      <w:proofErr w:type="spellEnd"/>
      <w:r w:rsidRPr="00142E9D">
        <w:rPr>
          <w:rFonts w:ascii="Book Antiqua" w:hAnsi="Book Antiqua" w:cs="宋体"/>
          <w:sz w:val="24"/>
          <w:szCs w:val="24"/>
        </w:rPr>
        <w:t xml:space="preserve"> P. Maintenance infliximab for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the ACCENT I </w:t>
      </w:r>
      <w:proofErr w:type="spellStart"/>
      <w:r w:rsidRPr="00142E9D">
        <w:rPr>
          <w:rFonts w:ascii="Book Antiqua" w:hAnsi="Book Antiqua" w:cs="宋体"/>
          <w:sz w:val="24"/>
          <w:szCs w:val="24"/>
        </w:rPr>
        <w:t>randomised</w:t>
      </w:r>
      <w:proofErr w:type="spellEnd"/>
      <w:r w:rsidRPr="00142E9D">
        <w:rPr>
          <w:rFonts w:ascii="Book Antiqua" w:hAnsi="Book Antiqua" w:cs="宋体"/>
          <w:sz w:val="24"/>
          <w:szCs w:val="24"/>
        </w:rPr>
        <w:t xml:space="preserve"> trial. </w:t>
      </w:r>
      <w:r w:rsidRPr="00142E9D">
        <w:rPr>
          <w:rFonts w:ascii="Book Antiqua" w:hAnsi="Book Antiqua" w:cs="宋体"/>
          <w:i/>
          <w:iCs/>
          <w:sz w:val="24"/>
          <w:szCs w:val="24"/>
        </w:rPr>
        <w:t>Lancet</w:t>
      </w:r>
      <w:r w:rsidRPr="00142E9D">
        <w:rPr>
          <w:rFonts w:ascii="Book Antiqua" w:hAnsi="Book Antiqua" w:cs="宋体"/>
          <w:sz w:val="24"/>
          <w:szCs w:val="24"/>
        </w:rPr>
        <w:t> 2002; </w:t>
      </w:r>
      <w:r w:rsidRPr="00142E9D">
        <w:rPr>
          <w:rFonts w:ascii="Book Antiqua" w:hAnsi="Book Antiqua" w:cs="宋体"/>
          <w:b/>
          <w:bCs/>
          <w:sz w:val="24"/>
          <w:szCs w:val="24"/>
        </w:rPr>
        <w:t>359</w:t>
      </w:r>
      <w:r w:rsidRPr="00142E9D">
        <w:rPr>
          <w:rFonts w:ascii="Book Antiqua" w:hAnsi="Book Antiqua" w:cs="宋体"/>
          <w:sz w:val="24"/>
          <w:szCs w:val="24"/>
        </w:rPr>
        <w:t>: 1541-1549 [PMID: 12047962 DOI: 10.1016/S0140-6736(02)08512-4]</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22 </w:t>
      </w:r>
      <w:proofErr w:type="spellStart"/>
      <w:r w:rsidRPr="00142E9D">
        <w:rPr>
          <w:rFonts w:ascii="Book Antiqua" w:hAnsi="Book Antiqua" w:cs="宋体"/>
          <w:b/>
          <w:bCs/>
          <w:sz w:val="24"/>
          <w:szCs w:val="24"/>
        </w:rPr>
        <w:t>Rutgeerts</w:t>
      </w:r>
      <w:proofErr w:type="spellEnd"/>
      <w:r w:rsidRPr="00142E9D">
        <w:rPr>
          <w:rFonts w:ascii="Book Antiqua" w:hAnsi="Book Antiqua" w:cs="宋体"/>
          <w:b/>
          <w:bCs/>
          <w:sz w:val="24"/>
          <w:szCs w:val="24"/>
        </w:rPr>
        <w:t xml:space="preserve"> P</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Sandborn</w:t>
      </w:r>
      <w:proofErr w:type="spellEnd"/>
      <w:r w:rsidRPr="00142E9D">
        <w:rPr>
          <w:rFonts w:ascii="Book Antiqua" w:hAnsi="Book Antiqua" w:cs="宋体"/>
          <w:sz w:val="24"/>
          <w:szCs w:val="24"/>
        </w:rPr>
        <w:t xml:space="preserve"> WJ, </w:t>
      </w:r>
      <w:proofErr w:type="spellStart"/>
      <w:r w:rsidRPr="00142E9D">
        <w:rPr>
          <w:rFonts w:ascii="Book Antiqua" w:hAnsi="Book Antiqua" w:cs="宋体"/>
          <w:sz w:val="24"/>
          <w:szCs w:val="24"/>
        </w:rPr>
        <w:t>Feagan</w:t>
      </w:r>
      <w:proofErr w:type="spellEnd"/>
      <w:r w:rsidRPr="00142E9D">
        <w:rPr>
          <w:rFonts w:ascii="Book Antiqua" w:hAnsi="Book Antiqua" w:cs="宋体"/>
          <w:sz w:val="24"/>
          <w:szCs w:val="24"/>
        </w:rPr>
        <w:t xml:space="preserve"> BG, </w:t>
      </w:r>
      <w:proofErr w:type="spellStart"/>
      <w:r w:rsidRPr="00142E9D">
        <w:rPr>
          <w:rFonts w:ascii="Book Antiqua" w:hAnsi="Book Antiqua" w:cs="宋体"/>
          <w:sz w:val="24"/>
          <w:szCs w:val="24"/>
        </w:rPr>
        <w:t>Reinisch</w:t>
      </w:r>
      <w:proofErr w:type="spellEnd"/>
      <w:r w:rsidRPr="00142E9D">
        <w:rPr>
          <w:rFonts w:ascii="Book Antiqua" w:hAnsi="Book Antiqua" w:cs="宋体"/>
          <w:sz w:val="24"/>
          <w:szCs w:val="24"/>
        </w:rPr>
        <w:t xml:space="preserve"> W, Olson A, </w:t>
      </w:r>
      <w:proofErr w:type="spellStart"/>
      <w:r w:rsidRPr="00142E9D">
        <w:rPr>
          <w:rFonts w:ascii="Book Antiqua" w:hAnsi="Book Antiqua" w:cs="宋体"/>
          <w:sz w:val="24"/>
          <w:szCs w:val="24"/>
        </w:rPr>
        <w:t>Johanns</w:t>
      </w:r>
      <w:proofErr w:type="spellEnd"/>
      <w:r w:rsidRPr="00142E9D">
        <w:rPr>
          <w:rFonts w:ascii="Book Antiqua" w:hAnsi="Book Antiqua" w:cs="宋体"/>
          <w:sz w:val="24"/>
          <w:szCs w:val="24"/>
        </w:rPr>
        <w:t xml:space="preserve"> J, Travers S, </w:t>
      </w:r>
      <w:proofErr w:type="spellStart"/>
      <w:r w:rsidRPr="00142E9D">
        <w:rPr>
          <w:rFonts w:ascii="Book Antiqua" w:hAnsi="Book Antiqua" w:cs="宋体"/>
          <w:sz w:val="24"/>
          <w:szCs w:val="24"/>
        </w:rPr>
        <w:t>Rachmilewitz</w:t>
      </w:r>
      <w:proofErr w:type="spellEnd"/>
      <w:r w:rsidRPr="00142E9D">
        <w:rPr>
          <w:rFonts w:ascii="Book Antiqua" w:hAnsi="Book Antiqua" w:cs="宋体"/>
          <w:sz w:val="24"/>
          <w:szCs w:val="24"/>
        </w:rPr>
        <w:t xml:space="preserve"> D, </w:t>
      </w:r>
      <w:proofErr w:type="spellStart"/>
      <w:r w:rsidRPr="00142E9D">
        <w:rPr>
          <w:rFonts w:ascii="Book Antiqua" w:hAnsi="Book Antiqua" w:cs="宋体"/>
          <w:sz w:val="24"/>
          <w:szCs w:val="24"/>
        </w:rPr>
        <w:t>Hanauer</w:t>
      </w:r>
      <w:proofErr w:type="spellEnd"/>
      <w:r w:rsidRPr="00142E9D">
        <w:rPr>
          <w:rFonts w:ascii="Book Antiqua" w:hAnsi="Book Antiqua" w:cs="宋体"/>
          <w:sz w:val="24"/>
          <w:szCs w:val="24"/>
        </w:rPr>
        <w:t xml:space="preserve"> SB, Lichtenstein GR, de Villiers WJ, Present D, Sands BE, </w:t>
      </w:r>
      <w:proofErr w:type="spellStart"/>
      <w:r w:rsidRPr="00142E9D">
        <w:rPr>
          <w:rFonts w:ascii="Book Antiqua" w:hAnsi="Book Antiqua" w:cs="宋体"/>
          <w:sz w:val="24"/>
          <w:szCs w:val="24"/>
        </w:rPr>
        <w:t>Colombel</w:t>
      </w:r>
      <w:proofErr w:type="spellEnd"/>
      <w:r w:rsidRPr="00142E9D">
        <w:rPr>
          <w:rFonts w:ascii="Book Antiqua" w:hAnsi="Book Antiqua" w:cs="宋体"/>
          <w:sz w:val="24"/>
          <w:szCs w:val="24"/>
        </w:rPr>
        <w:t xml:space="preserve"> JF. Infliximab for induction and maintenance therapy for ulcerative colitis. </w:t>
      </w:r>
      <w:r w:rsidRPr="00142E9D">
        <w:rPr>
          <w:rFonts w:ascii="Book Antiqua" w:hAnsi="Book Antiqua" w:cs="宋体"/>
          <w:i/>
          <w:iCs/>
          <w:sz w:val="24"/>
          <w:szCs w:val="24"/>
        </w:rPr>
        <w:t xml:space="preserve">N </w:t>
      </w:r>
      <w:proofErr w:type="spellStart"/>
      <w:r w:rsidRPr="00142E9D">
        <w:rPr>
          <w:rFonts w:ascii="Book Antiqua" w:hAnsi="Book Antiqua" w:cs="宋体"/>
          <w:i/>
          <w:iCs/>
          <w:sz w:val="24"/>
          <w:szCs w:val="24"/>
        </w:rPr>
        <w:t>Engl</w:t>
      </w:r>
      <w:proofErr w:type="spellEnd"/>
      <w:r w:rsidRPr="00142E9D">
        <w:rPr>
          <w:rFonts w:ascii="Book Antiqua" w:hAnsi="Book Antiqua" w:cs="宋体"/>
          <w:i/>
          <w:iCs/>
          <w:sz w:val="24"/>
          <w:szCs w:val="24"/>
        </w:rPr>
        <w:t xml:space="preserve"> J Med</w:t>
      </w:r>
      <w:r w:rsidRPr="00142E9D">
        <w:rPr>
          <w:rFonts w:ascii="Book Antiqua" w:hAnsi="Book Antiqua" w:cs="宋体"/>
          <w:sz w:val="24"/>
          <w:szCs w:val="24"/>
        </w:rPr>
        <w:t> 2005; </w:t>
      </w:r>
      <w:r w:rsidRPr="00142E9D">
        <w:rPr>
          <w:rFonts w:ascii="Book Antiqua" w:hAnsi="Book Antiqua" w:cs="宋体"/>
          <w:b/>
          <w:bCs/>
          <w:sz w:val="24"/>
          <w:szCs w:val="24"/>
        </w:rPr>
        <w:t>353</w:t>
      </w:r>
      <w:r w:rsidRPr="00142E9D">
        <w:rPr>
          <w:rFonts w:ascii="Book Antiqua" w:hAnsi="Book Antiqua" w:cs="宋体"/>
          <w:sz w:val="24"/>
          <w:szCs w:val="24"/>
        </w:rPr>
        <w:t>: 2462-2476 [PMID: 16339095 DOI: 10.1056/NEJMoa050516]</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23 </w:t>
      </w:r>
      <w:proofErr w:type="spellStart"/>
      <w:r w:rsidRPr="00142E9D">
        <w:rPr>
          <w:rFonts w:ascii="Book Antiqua" w:hAnsi="Book Antiqua" w:cs="宋体"/>
          <w:b/>
          <w:bCs/>
          <w:sz w:val="24"/>
          <w:szCs w:val="24"/>
        </w:rPr>
        <w:t>Feagan</w:t>
      </w:r>
      <w:proofErr w:type="spellEnd"/>
      <w:r w:rsidRPr="00142E9D">
        <w:rPr>
          <w:rFonts w:ascii="Book Antiqua" w:hAnsi="Book Antiqua" w:cs="宋体"/>
          <w:b/>
          <w:bCs/>
          <w:sz w:val="24"/>
          <w:szCs w:val="24"/>
        </w:rPr>
        <w:t xml:space="preserve"> BG</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Reinisch</w:t>
      </w:r>
      <w:proofErr w:type="spellEnd"/>
      <w:r w:rsidRPr="00142E9D">
        <w:rPr>
          <w:rFonts w:ascii="Book Antiqua" w:hAnsi="Book Antiqua" w:cs="宋体"/>
          <w:sz w:val="24"/>
          <w:szCs w:val="24"/>
        </w:rPr>
        <w:t xml:space="preserve"> W, </w:t>
      </w:r>
      <w:proofErr w:type="spellStart"/>
      <w:r w:rsidRPr="00142E9D">
        <w:rPr>
          <w:rFonts w:ascii="Book Antiqua" w:hAnsi="Book Antiqua" w:cs="宋体"/>
          <w:sz w:val="24"/>
          <w:szCs w:val="24"/>
        </w:rPr>
        <w:t>Rutgeerts</w:t>
      </w:r>
      <w:proofErr w:type="spellEnd"/>
      <w:r w:rsidRPr="00142E9D">
        <w:rPr>
          <w:rFonts w:ascii="Book Antiqua" w:hAnsi="Book Antiqua" w:cs="宋体"/>
          <w:sz w:val="24"/>
          <w:szCs w:val="24"/>
        </w:rPr>
        <w:t xml:space="preserve"> P, </w:t>
      </w:r>
      <w:proofErr w:type="spellStart"/>
      <w:r w:rsidRPr="00142E9D">
        <w:rPr>
          <w:rFonts w:ascii="Book Antiqua" w:hAnsi="Book Antiqua" w:cs="宋体"/>
          <w:sz w:val="24"/>
          <w:szCs w:val="24"/>
        </w:rPr>
        <w:t>Sandborn</w:t>
      </w:r>
      <w:proofErr w:type="spellEnd"/>
      <w:r w:rsidRPr="00142E9D">
        <w:rPr>
          <w:rFonts w:ascii="Book Antiqua" w:hAnsi="Book Antiqua" w:cs="宋体"/>
          <w:sz w:val="24"/>
          <w:szCs w:val="24"/>
        </w:rPr>
        <w:t xml:space="preserve"> WJ, Yan S, Eisenberg D, </w:t>
      </w:r>
      <w:proofErr w:type="spellStart"/>
      <w:r w:rsidRPr="00142E9D">
        <w:rPr>
          <w:rFonts w:ascii="Book Antiqua" w:hAnsi="Book Antiqua" w:cs="宋体"/>
          <w:sz w:val="24"/>
          <w:szCs w:val="24"/>
        </w:rPr>
        <w:t>Bala</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Johanns</w:t>
      </w:r>
      <w:proofErr w:type="spellEnd"/>
      <w:r w:rsidRPr="00142E9D">
        <w:rPr>
          <w:rFonts w:ascii="Book Antiqua" w:hAnsi="Book Antiqua" w:cs="宋体"/>
          <w:sz w:val="24"/>
          <w:szCs w:val="24"/>
        </w:rPr>
        <w:t xml:space="preserve"> J, Olson A, </w:t>
      </w:r>
      <w:proofErr w:type="spellStart"/>
      <w:r w:rsidRPr="00142E9D">
        <w:rPr>
          <w:rFonts w:ascii="Book Antiqua" w:hAnsi="Book Antiqua" w:cs="宋体"/>
          <w:sz w:val="24"/>
          <w:szCs w:val="24"/>
        </w:rPr>
        <w:t>Hanauer</w:t>
      </w:r>
      <w:proofErr w:type="spellEnd"/>
      <w:r w:rsidRPr="00142E9D">
        <w:rPr>
          <w:rFonts w:ascii="Book Antiqua" w:hAnsi="Book Antiqua" w:cs="宋体"/>
          <w:sz w:val="24"/>
          <w:szCs w:val="24"/>
        </w:rPr>
        <w:t xml:space="preserve"> SB. The effects of infliximab therapy on health-related quality of life in ulcerative colitis patients. </w:t>
      </w:r>
      <w:r w:rsidRPr="00142E9D">
        <w:rPr>
          <w:rFonts w:ascii="Book Antiqua" w:hAnsi="Book Antiqua" w:cs="宋体"/>
          <w:i/>
          <w:iCs/>
          <w:sz w:val="24"/>
          <w:szCs w:val="24"/>
        </w:rPr>
        <w:t xml:space="preserve">Am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2007; </w:t>
      </w:r>
      <w:r w:rsidRPr="00142E9D">
        <w:rPr>
          <w:rFonts w:ascii="Book Antiqua" w:hAnsi="Book Antiqua" w:cs="宋体"/>
          <w:b/>
          <w:bCs/>
          <w:sz w:val="24"/>
          <w:szCs w:val="24"/>
        </w:rPr>
        <w:t>102</w:t>
      </w:r>
      <w:r w:rsidRPr="00142E9D">
        <w:rPr>
          <w:rFonts w:ascii="Book Antiqua" w:hAnsi="Book Antiqua" w:cs="宋体"/>
          <w:sz w:val="24"/>
          <w:szCs w:val="24"/>
        </w:rPr>
        <w:t>: 794-802 [PMID: 17324131 DOI: 10.1111/j.1572-0241.2007.01094.x]</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24 </w:t>
      </w:r>
      <w:r w:rsidRPr="00142E9D">
        <w:rPr>
          <w:rFonts w:ascii="Book Antiqua" w:hAnsi="Book Antiqua" w:cs="宋体"/>
          <w:b/>
          <w:bCs/>
          <w:sz w:val="24"/>
          <w:szCs w:val="24"/>
        </w:rPr>
        <w:t>Keane J</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Gershon</w:t>
      </w:r>
      <w:proofErr w:type="spellEnd"/>
      <w:r w:rsidRPr="00142E9D">
        <w:rPr>
          <w:rFonts w:ascii="Book Antiqua" w:hAnsi="Book Antiqua" w:cs="宋体"/>
          <w:sz w:val="24"/>
          <w:szCs w:val="24"/>
        </w:rPr>
        <w:t xml:space="preserve"> S, Wise RP, </w:t>
      </w:r>
      <w:proofErr w:type="spellStart"/>
      <w:r w:rsidRPr="00142E9D">
        <w:rPr>
          <w:rFonts w:ascii="Book Antiqua" w:hAnsi="Book Antiqua" w:cs="宋体"/>
          <w:sz w:val="24"/>
          <w:szCs w:val="24"/>
        </w:rPr>
        <w:t>Mirabile-Levens</w:t>
      </w:r>
      <w:proofErr w:type="spellEnd"/>
      <w:r w:rsidRPr="00142E9D">
        <w:rPr>
          <w:rFonts w:ascii="Book Antiqua" w:hAnsi="Book Antiqua" w:cs="宋体"/>
          <w:sz w:val="24"/>
          <w:szCs w:val="24"/>
        </w:rPr>
        <w:t xml:space="preserve"> E, </w:t>
      </w:r>
      <w:proofErr w:type="spellStart"/>
      <w:r w:rsidRPr="00142E9D">
        <w:rPr>
          <w:rFonts w:ascii="Book Antiqua" w:hAnsi="Book Antiqua" w:cs="宋体"/>
          <w:sz w:val="24"/>
          <w:szCs w:val="24"/>
        </w:rPr>
        <w:t>Kasznica</w:t>
      </w:r>
      <w:proofErr w:type="spellEnd"/>
      <w:r w:rsidRPr="00142E9D">
        <w:rPr>
          <w:rFonts w:ascii="Book Antiqua" w:hAnsi="Book Antiqua" w:cs="宋体"/>
          <w:sz w:val="24"/>
          <w:szCs w:val="24"/>
        </w:rPr>
        <w:t xml:space="preserve"> J, </w:t>
      </w:r>
      <w:proofErr w:type="spellStart"/>
      <w:r w:rsidRPr="00142E9D">
        <w:rPr>
          <w:rFonts w:ascii="Book Antiqua" w:hAnsi="Book Antiqua" w:cs="宋体"/>
          <w:sz w:val="24"/>
          <w:szCs w:val="24"/>
        </w:rPr>
        <w:t>Schwieterman</w:t>
      </w:r>
      <w:proofErr w:type="spellEnd"/>
      <w:r w:rsidRPr="00142E9D">
        <w:rPr>
          <w:rFonts w:ascii="Book Antiqua" w:hAnsi="Book Antiqua" w:cs="宋体"/>
          <w:sz w:val="24"/>
          <w:szCs w:val="24"/>
        </w:rPr>
        <w:t xml:space="preserve"> WD, Siegel JN, Braun MM. Tuberculosis associated with infliximab, a tumor necrosis factor alpha-neutralizing agent. </w:t>
      </w:r>
      <w:r w:rsidRPr="00142E9D">
        <w:rPr>
          <w:rFonts w:ascii="Book Antiqua" w:hAnsi="Book Antiqua" w:cs="宋体"/>
          <w:i/>
          <w:iCs/>
          <w:sz w:val="24"/>
          <w:szCs w:val="24"/>
        </w:rPr>
        <w:t xml:space="preserve">N </w:t>
      </w:r>
      <w:proofErr w:type="spellStart"/>
      <w:r w:rsidRPr="00142E9D">
        <w:rPr>
          <w:rFonts w:ascii="Book Antiqua" w:hAnsi="Book Antiqua" w:cs="宋体"/>
          <w:i/>
          <w:iCs/>
          <w:sz w:val="24"/>
          <w:szCs w:val="24"/>
        </w:rPr>
        <w:t>Engl</w:t>
      </w:r>
      <w:proofErr w:type="spellEnd"/>
      <w:r w:rsidRPr="00142E9D">
        <w:rPr>
          <w:rFonts w:ascii="Book Antiqua" w:hAnsi="Book Antiqua" w:cs="宋体"/>
          <w:i/>
          <w:iCs/>
          <w:sz w:val="24"/>
          <w:szCs w:val="24"/>
        </w:rPr>
        <w:t xml:space="preserve"> J Med</w:t>
      </w:r>
      <w:r w:rsidRPr="00142E9D">
        <w:rPr>
          <w:rFonts w:ascii="Book Antiqua" w:hAnsi="Book Antiqua" w:cs="宋体"/>
          <w:sz w:val="24"/>
          <w:szCs w:val="24"/>
        </w:rPr>
        <w:t> 2001; </w:t>
      </w:r>
      <w:r w:rsidRPr="00142E9D">
        <w:rPr>
          <w:rFonts w:ascii="Book Antiqua" w:hAnsi="Book Antiqua" w:cs="宋体"/>
          <w:b/>
          <w:bCs/>
          <w:sz w:val="24"/>
          <w:szCs w:val="24"/>
        </w:rPr>
        <w:t>345</w:t>
      </w:r>
      <w:r w:rsidRPr="00142E9D">
        <w:rPr>
          <w:rFonts w:ascii="Book Antiqua" w:hAnsi="Book Antiqua" w:cs="宋体"/>
          <w:sz w:val="24"/>
          <w:szCs w:val="24"/>
        </w:rPr>
        <w:t>: 1098-1104 [PMID: 11596589 DOI: 10.1056/NEJMoa011110]</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25 </w:t>
      </w:r>
      <w:r w:rsidRPr="00142E9D">
        <w:rPr>
          <w:rFonts w:ascii="Book Antiqua" w:hAnsi="Book Antiqua" w:cs="宋体"/>
          <w:b/>
          <w:bCs/>
          <w:sz w:val="24"/>
          <w:szCs w:val="24"/>
        </w:rPr>
        <w:t xml:space="preserve">del Valle </w:t>
      </w:r>
      <w:proofErr w:type="spellStart"/>
      <w:r w:rsidRPr="00142E9D">
        <w:rPr>
          <w:rFonts w:ascii="Book Antiqua" w:hAnsi="Book Antiqua" w:cs="宋体"/>
          <w:b/>
          <w:bCs/>
          <w:sz w:val="24"/>
          <w:szCs w:val="24"/>
        </w:rPr>
        <w:t>García</w:t>
      </w:r>
      <w:proofErr w:type="spellEnd"/>
      <w:r w:rsidRPr="00142E9D">
        <w:rPr>
          <w:rFonts w:ascii="Book Antiqua" w:hAnsi="Book Antiqua" w:cs="宋体"/>
          <w:b/>
          <w:bCs/>
          <w:sz w:val="24"/>
          <w:szCs w:val="24"/>
        </w:rPr>
        <w:t>-Sánchez M</w:t>
      </w:r>
      <w:r w:rsidRPr="00142E9D">
        <w:rPr>
          <w:rFonts w:ascii="Book Antiqua" w:hAnsi="Book Antiqua" w:cs="宋体"/>
          <w:sz w:val="24"/>
          <w:szCs w:val="24"/>
        </w:rPr>
        <w:t xml:space="preserve">, Gómez-Camacho F, </w:t>
      </w:r>
      <w:proofErr w:type="spellStart"/>
      <w:r w:rsidRPr="00142E9D">
        <w:rPr>
          <w:rFonts w:ascii="Book Antiqua" w:hAnsi="Book Antiqua" w:cs="宋体"/>
          <w:sz w:val="24"/>
          <w:szCs w:val="24"/>
        </w:rPr>
        <w:t>Poyato</w:t>
      </w:r>
      <w:proofErr w:type="spellEnd"/>
      <w:r w:rsidRPr="00142E9D">
        <w:rPr>
          <w:rFonts w:ascii="Book Antiqua" w:hAnsi="Book Antiqua" w:cs="宋体"/>
          <w:sz w:val="24"/>
          <w:szCs w:val="24"/>
        </w:rPr>
        <w:t xml:space="preserve">-González A, Iglesias-Flores EM, de Dios-Vega JF, Sancho-Zapatero R. Infliximab therapy in a patient with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and chronic hepatitis B virus infection.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2004; </w:t>
      </w:r>
      <w:r w:rsidRPr="00142E9D">
        <w:rPr>
          <w:rFonts w:ascii="Book Antiqua" w:hAnsi="Book Antiqua" w:cs="宋体"/>
          <w:b/>
          <w:bCs/>
          <w:sz w:val="24"/>
          <w:szCs w:val="24"/>
        </w:rPr>
        <w:t>10</w:t>
      </w:r>
      <w:r w:rsidRPr="00142E9D">
        <w:rPr>
          <w:rFonts w:ascii="Book Antiqua" w:hAnsi="Book Antiqua" w:cs="宋体"/>
          <w:sz w:val="24"/>
          <w:szCs w:val="24"/>
        </w:rPr>
        <w:t>: 701-702 [PMID: 15472541 DOI: 10.1097/00054725-200409000-00035]</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26 </w:t>
      </w:r>
      <w:proofErr w:type="spellStart"/>
      <w:r w:rsidRPr="00142E9D">
        <w:rPr>
          <w:rFonts w:ascii="Book Antiqua" w:hAnsi="Book Antiqua" w:cs="宋体"/>
          <w:b/>
          <w:bCs/>
          <w:sz w:val="24"/>
          <w:szCs w:val="24"/>
        </w:rPr>
        <w:t>Esteve</w:t>
      </w:r>
      <w:proofErr w:type="spellEnd"/>
      <w:r w:rsidRPr="00142E9D">
        <w:rPr>
          <w:rFonts w:ascii="Book Antiqua" w:hAnsi="Book Antiqua" w:cs="宋体"/>
          <w:b/>
          <w:bCs/>
          <w:sz w:val="24"/>
          <w:szCs w:val="24"/>
        </w:rPr>
        <w:t xml:space="preserve"> M</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Saro</w:t>
      </w:r>
      <w:proofErr w:type="spellEnd"/>
      <w:r w:rsidRPr="00142E9D">
        <w:rPr>
          <w:rFonts w:ascii="Book Antiqua" w:hAnsi="Book Antiqua" w:cs="宋体"/>
          <w:sz w:val="24"/>
          <w:szCs w:val="24"/>
        </w:rPr>
        <w:t xml:space="preserve"> C, González-</w:t>
      </w:r>
      <w:proofErr w:type="spellStart"/>
      <w:r w:rsidRPr="00142E9D">
        <w:rPr>
          <w:rFonts w:ascii="Book Antiqua" w:hAnsi="Book Antiqua" w:cs="宋体"/>
          <w:sz w:val="24"/>
          <w:szCs w:val="24"/>
        </w:rPr>
        <w:t>Huix</w:t>
      </w:r>
      <w:proofErr w:type="spellEnd"/>
      <w:r w:rsidRPr="00142E9D">
        <w:rPr>
          <w:rFonts w:ascii="Book Antiqua" w:hAnsi="Book Antiqua" w:cs="宋体"/>
          <w:sz w:val="24"/>
          <w:szCs w:val="24"/>
        </w:rPr>
        <w:t xml:space="preserve"> F, Suarez F, </w:t>
      </w:r>
      <w:proofErr w:type="spellStart"/>
      <w:r w:rsidRPr="00142E9D">
        <w:rPr>
          <w:rFonts w:ascii="Book Antiqua" w:hAnsi="Book Antiqua" w:cs="宋体"/>
          <w:sz w:val="24"/>
          <w:szCs w:val="24"/>
        </w:rPr>
        <w:t>Forné</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Viver</w:t>
      </w:r>
      <w:proofErr w:type="spellEnd"/>
      <w:r w:rsidRPr="00142E9D">
        <w:rPr>
          <w:rFonts w:ascii="Book Antiqua" w:hAnsi="Book Antiqua" w:cs="宋体"/>
          <w:sz w:val="24"/>
          <w:szCs w:val="24"/>
        </w:rPr>
        <w:t xml:space="preserve"> JM. Chronic hepatitis B reactivation following infliximab therapy in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patients: need for primary prophylaxis. </w:t>
      </w:r>
      <w:r w:rsidRPr="00142E9D">
        <w:rPr>
          <w:rFonts w:ascii="Book Antiqua" w:hAnsi="Book Antiqua" w:cs="宋体"/>
          <w:i/>
          <w:iCs/>
          <w:sz w:val="24"/>
          <w:szCs w:val="24"/>
        </w:rPr>
        <w:t>Gut</w:t>
      </w:r>
      <w:r w:rsidRPr="00142E9D">
        <w:rPr>
          <w:rFonts w:ascii="Book Antiqua" w:hAnsi="Book Antiqua" w:cs="宋体"/>
          <w:sz w:val="24"/>
          <w:szCs w:val="24"/>
        </w:rPr>
        <w:t> 2004; </w:t>
      </w:r>
      <w:r w:rsidRPr="00142E9D">
        <w:rPr>
          <w:rFonts w:ascii="Book Antiqua" w:hAnsi="Book Antiqua" w:cs="宋体"/>
          <w:b/>
          <w:bCs/>
          <w:sz w:val="24"/>
          <w:szCs w:val="24"/>
        </w:rPr>
        <w:t>53</w:t>
      </w:r>
      <w:r w:rsidRPr="00142E9D">
        <w:rPr>
          <w:rFonts w:ascii="Book Antiqua" w:hAnsi="Book Antiqua" w:cs="宋体"/>
          <w:sz w:val="24"/>
          <w:szCs w:val="24"/>
        </w:rPr>
        <w:t>: 1363-1365 [PMID: 15306601 DOI: 10.1136/gut.2004.040675]</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lastRenderedPageBreak/>
        <w:t>27 </w:t>
      </w:r>
      <w:proofErr w:type="spellStart"/>
      <w:r w:rsidRPr="00142E9D">
        <w:rPr>
          <w:rFonts w:ascii="Book Antiqua" w:hAnsi="Book Antiqua" w:cs="宋体"/>
          <w:b/>
          <w:bCs/>
          <w:sz w:val="24"/>
          <w:szCs w:val="24"/>
        </w:rPr>
        <w:t>Millonig</w:t>
      </w:r>
      <w:proofErr w:type="spellEnd"/>
      <w:r w:rsidRPr="00142E9D">
        <w:rPr>
          <w:rFonts w:ascii="Book Antiqua" w:hAnsi="Book Antiqua" w:cs="宋体"/>
          <w:b/>
          <w:bCs/>
          <w:sz w:val="24"/>
          <w:szCs w:val="24"/>
        </w:rPr>
        <w:t xml:space="preserve"> G</w:t>
      </w:r>
      <w:r w:rsidRPr="00142E9D">
        <w:rPr>
          <w:rFonts w:ascii="Book Antiqua" w:hAnsi="Book Antiqua" w:cs="宋体"/>
          <w:sz w:val="24"/>
          <w:szCs w:val="24"/>
        </w:rPr>
        <w:t xml:space="preserve">, Kern M, </w:t>
      </w:r>
      <w:proofErr w:type="spellStart"/>
      <w:r w:rsidRPr="00142E9D">
        <w:rPr>
          <w:rFonts w:ascii="Book Antiqua" w:hAnsi="Book Antiqua" w:cs="宋体"/>
          <w:sz w:val="24"/>
          <w:szCs w:val="24"/>
        </w:rPr>
        <w:t>Ludwiczek</w:t>
      </w:r>
      <w:proofErr w:type="spellEnd"/>
      <w:r w:rsidRPr="00142E9D">
        <w:rPr>
          <w:rFonts w:ascii="Book Antiqua" w:hAnsi="Book Antiqua" w:cs="宋体"/>
          <w:sz w:val="24"/>
          <w:szCs w:val="24"/>
        </w:rPr>
        <w:t xml:space="preserve"> O, </w:t>
      </w:r>
      <w:proofErr w:type="spellStart"/>
      <w:r w:rsidRPr="00142E9D">
        <w:rPr>
          <w:rFonts w:ascii="Book Antiqua" w:hAnsi="Book Antiqua" w:cs="宋体"/>
          <w:sz w:val="24"/>
          <w:szCs w:val="24"/>
        </w:rPr>
        <w:t>Nachbaur</w:t>
      </w:r>
      <w:proofErr w:type="spellEnd"/>
      <w:r w:rsidRPr="00142E9D">
        <w:rPr>
          <w:rFonts w:ascii="Book Antiqua" w:hAnsi="Book Antiqua" w:cs="宋体"/>
          <w:sz w:val="24"/>
          <w:szCs w:val="24"/>
        </w:rPr>
        <w:t xml:space="preserve"> K, Vogel W. </w:t>
      </w:r>
      <w:proofErr w:type="spellStart"/>
      <w:r w:rsidRPr="00142E9D">
        <w:rPr>
          <w:rFonts w:ascii="Book Antiqua" w:hAnsi="Book Antiqua" w:cs="宋体"/>
          <w:sz w:val="24"/>
          <w:szCs w:val="24"/>
        </w:rPr>
        <w:t>Subfulminant</w:t>
      </w:r>
      <w:proofErr w:type="spellEnd"/>
      <w:r w:rsidRPr="00142E9D">
        <w:rPr>
          <w:rFonts w:ascii="Book Antiqua" w:hAnsi="Book Antiqua" w:cs="宋体"/>
          <w:sz w:val="24"/>
          <w:szCs w:val="24"/>
        </w:rPr>
        <w:t xml:space="preserve"> hepatitis B after infliximab in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need for HBV-screening? </w:t>
      </w:r>
      <w:r w:rsidRPr="00142E9D">
        <w:rPr>
          <w:rFonts w:ascii="Book Antiqua" w:hAnsi="Book Antiqua" w:cs="宋体"/>
          <w:i/>
          <w:iCs/>
          <w:sz w:val="24"/>
          <w:szCs w:val="24"/>
        </w:rPr>
        <w:t xml:space="preserve">World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2006; </w:t>
      </w:r>
      <w:r w:rsidRPr="00142E9D">
        <w:rPr>
          <w:rFonts w:ascii="Book Antiqua" w:hAnsi="Book Antiqua" w:cs="宋体"/>
          <w:b/>
          <w:bCs/>
          <w:sz w:val="24"/>
          <w:szCs w:val="24"/>
        </w:rPr>
        <w:t>12</w:t>
      </w:r>
      <w:r w:rsidRPr="00142E9D">
        <w:rPr>
          <w:rFonts w:ascii="Book Antiqua" w:hAnsi="Book Antiqua" w:cs="宋体"/>
          <w:sz w:val="24"/>
          <w:szCs w:val="24"/>
        </w:rPr>
        <w:t>: 974-976 [PMID: 16521231]</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28 </w:t>
      </w:r>
      <w:proofErr w:type="spellStart"/>
      <w:r w:rsidRPr="00142E9D">
        <w:rPr>
          <w:rFonts w:ascii="Book Antiqua" w:hAnsi="Book Antiqua" w:cs="宋体"/>
          <w:b/>
          <w:bCs/>
          <w:sz w:val="24"/>
          <w:szCs w:val="24"/>
        </w:rPr>
        <w:t>Kornbluth</w:t>
      </w:r>
      <w:proofErr w:type="spellEnd"/>
      <w:r w:rsidRPr="00142E9D">
        <w:rPr>
          <w:rFonts w:ascii="Book Antiqua" w:hAnsi="Book Antiqua" w:cs="宋体"/>
          <w:b/>
          <w:bCs/>
          <w:sz w:val="24"/>
          <w:szCs w:val="24"/>
        </w:rPr>
        <w:t xml:space="preserve"> A</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Sachar</w:t>
      </w:r>
      <w:proofErr w:type="spellEnd"/>
      <w:r w:rsidRPr="00142E9D">
        <w:rPr>
          <w:rFonts w:ascii="Book Antiqua" w:hAnsi="Book Antiqua" w:cs="宋体"/>
          <w:sz w:val="24"/>
          <w:szCs w:val="24"/>
        </w:rPr>
        <w:t xml:space="preserve"> DB. Ulcerative colitis practice guidelines in adults: American College Of Gastroenterology, Practice Parameters Committee. </w:t>
      </w:r>
      <w:r w:rsidRPr="00142E9D">
        <w:rPr>
          <w:rFonts w:ascii="Book Antiqua" w:hAnsi="Book Antiqua" w:cs="宋体"/>
          <w:i/>
          <w:iCs/>
          <w:sz w:val="24"/>
          <w:szCs w:val="24"/>
        </w:rPr>
        <w:t xml:space="preserve">Am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2010; </w:t>
      </w:r>
      <w:r w:rsidRPr="00142E9D">
        <w:rPr>
          <w:rFonts w:ascii="Book Antiqua" w:hAnsi="Book Antiqua" w:cs="宋体"/>
          <w:b/>
          <w:bCs/>
          <w:sz w:val="24"/>
          <w:szCs w:val="24"/>
        </w:rPr>
        <w:t>105</w:t>
      </w:r>
      <w:r w:rsidRPr="00142E9D">
        <w:rPr>
          <w:rFonts w:ascii="Book Antiqua" w:hAnsi="Book Antiqua" w:cs="宋体"/>
          <w:sz w:val="24"/>
          <w:szCs w:val="24"/>
        </w:rPr>
        <w:t>: 501-23; quiz 524 [PMID: 20068560 DOI: 10.1038/ajg.2009.727]</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29 </w:t>
      </w:r>
      <w:r w:rsidRPr="00142E9D">
        <w:rPr>
          <w:rFonts w:ascii="Book Antiqua" w:hAnsi="Book Antiqua" w:cs="宋体"/>
          <w:b/>
          <w:bCs/>
          <w:sz w:val="24"/>
          <w:szCs w:val="24"/>
        </w:rPr>
        <w:t>Lichtenstein GR</w:t>
      </w:r>
      <w:r w:rsidRPr="00142E9D">
        <w:rPr>
          <w:rFonts w:ascii="Book Antiqua" w:hAnsi="Book Antiqua" w:cs="宋体"/>
          <w:sz w:val="24"/>
          <w:szCs w:val="24"/>
        </w:rPr>
        <w:t xml:space="preserve">, Abreu MT, Cohen R, </w:t>
      </w:r>
      <w:proofErr w:type="spellStart"/>
      <w:r w:rsidRPr="00142E9D">
        <w:rPr>
          <w:rFonts w:ascii="Book Antiqua" w:hAnsi="Book Antiqua" w:cs="宋体"/>
          <w:sz w:val="24"/>
          <w:szCs w:val="24"/>
        </w:rPr>
        <w:t>Tremaine</w:t>
      </w:r>
      <w:proofErr w:type="spellEnd"/>
      <w:r w:rsidRPr="00142E9D">
        <w:rPr>
          <w:rFonts w:ascii="Book Antiqua" w:hAnsi="Book Antiqua" w:cs="宋体"/>
          <w:sz w:val="24"/>
          <w:szCs w:val="24"/>
        </w:rPr>
        <w:t xml:space="preserve"> W. American Gastroenterological Association Institute medical position statement on corticosteroids, </w:t>
      </w:r>
      <w:proofErr w:type="spellStart"/>
      <w:r w:rsidRPr="00142E9D">
        <w:rPr>
          <w:rFonts w:ascii="Book Antiqua" w:hAnsi="Book Antiqua" w:cs="宋体"/>
          <w:sz w:val="24"/>
          <w:szCs w:val="24"/>
        </w:rPr>
        <w:t>immunomodulators</w:t>
      </w:r>
      <w:proofErr w:type="spellEnd"/>
      <w:r w:rsidRPr="00142E9D">
        <w:rPr>
          <w:rFonts w:ascii="Book Antiqua" w:hAnsi="Book Antiqua" w:cs="宋体"/>
          <w:sz w:val="24"/>
          <w:szCs w:val="24"/>
        </w:rPr>
        <w:t>, and infliximab in inflammatory bowel disease. </w:t>
      </w:r>
      <w:r w:rsidRPr="00142E9D">
        <w:rPr>
          <w:rFonts w:ascii="Book Antiqua" w:hAnsi="Book Antiqua" w:cs="宋体"/>
          <w:i/>
          <w:iCs/>
          <w:sz w:val="24"/>
          <w:szCs w:val="24"/>
        </w:rPr>
        <w:t>Gastroenterology</w:t>
      </w:r>
      <w:r w:rsidRPr="00142E9D">
        <w:rPr>
          <w:rFonts w:ascii="Book Antiqua" w:hAnsi="Book Antiqua" w:cs="宋体"/>
          <w:sz w:val="24"/>
          <w:szCs w:val="24"/>
        </w:rPr>
        <w:t> 2006; </w:t>
      </w:r>
      <w:r w:rsidRPr="00142E9D">
        <w:rPr>
          <w:rFonts w:ascii="Book Antiqua" w:hAnsi="Book Antiqua" w:cs="宋体"/>
          <w:b/>
          <w:bCs/>
          <w:sz w:val="24"/>
          <w:szCs w:val="24"/>
        </w:rPr>
        <w:t>130</w:t>
      </w:r>
      <w:r w:rsidRPr="00142E9D">
        <w:rPr>
          <w:rFonts w:ascii="Book Antiqua" w:hAnsi="Book Antiqua" w:cs="宋体"/>
          <w:sz w:val="24"/>
          <w:szCs w:val="24"/>
        </w:rPr>
        <w:t>: 935-939 [PMID: 16530531 DOI: 10.1053/j.gastro.2006.01.047]</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30 </w:t>
      </w:r>
      <w:proofErr w:type="spellStart"/>
      <w:r w:rsidRPr="00142E9D">
        <w:rPr>
          <w:rFonts w:ascii="Book Antiqua" w:hAnsi="Book Antiqua" w:cs="宋体"/>
          <w:b/>
          <w:bCs/>
          <w:sz w:val="24"/>
          <w:szCs w:val="24"/>
        </w:rPr>
        <w:t>Sadowski</w:t>
      </w:r>
      <w:proofErr w:type="spellEnd"/>
      <w:r w:rsidRPr="00142E9D">
        <w:rPr>
          <w:rFonts w:ascii="Book Antiqua" w:hAnsi="Book Antiqua" w:cs="宋体"/>
          <w:b/>
          <w:bCs/>
          <w:sz w:val="24"/>
          <w:szCs w:val="24"/>
        </w:rPr>
        <w:t xml:space="preserve"> DC</w:t>
      </w:r>
      <w:r w:rsidRPr="00142E9D">
        <w:rPr>
          <w:rFonts w:ascii="Book Antiqua" w:hAnsi="Book Antiqua" w:cs="宋体"/>
          <w:sz w:val="24"/>
          <w:szCs w:val="24"/>
        </w:rPr>
        <w:t xml:space="preserve">, Bernstein CN, </w:t>
      </w:r>
      <w:proofErr w:type="spellStart"/>
      <w:r w:rsidRPr="00142E9D">
        <w:rPr>
          <w:rFonts w:ascii="Book Antiqua" w:hAnsi="Book Antiqua" w:cs="宋体"/>
          <w:sz w:val="24"/>
          <w:szCs w:val="24"/>
        </w:rPr>
        <w:t>Bitton</w:t>
      </w:r>
      <w:proofErr w:type="spellEnd"/>
      <w:r w:rsidRPr="00142E9D">
        <w:rPr>
          <w:rFonts w:ascii="Book Antiqua" w:hAnsi="Book Antiqua" w:cs="宋体"/>
          <w:sz w:val="24"/>
          <w:szCs w:val="24"/>
        </w:rPr>
        <w:t xml:space="preserve"> A, </w:t>
      </w:r>
      <w:proofErr w:type="spellStart"/>
      <w:r w:rsidRPr="00142E9D">
        <w:rPr>
          <w:rFonts w:ascii="Book Antiqua" w:hAnsi="Book Antiqua" w:cs="宋体"/>
          <w:sz w:val="24"/>
          <w:szCs w:val="24"/>
        </w:rPr>
        <w:t>Croitoru</w:t>
      </w:r>
      <w:proofErr w:type="spellEnd"/>
      <w:r w:rsidRPr="00142E9D">
        <w:rPr>
          <w:rFonts w:ascii="Book Antiqua" w:hAnsi="Book Antiqua" w:cs="宋体"/>
          <w:sz w:val="24"/>
          <w:szCs w:val="24"/>
        </w:rPr>
        <w:t xml:space="preserve"> K, </w:t>
      </w:r>
      <w:proofErr w:type="spellStart"/>
      <w:r w:rsidRPr="00142E9D">
        <w:rPr>
          <w:rFonts w:ascii="Book Antiqua" w:hAnsi="Book Antiqua" w:cs="宋体"/>
          <w:sz w:val="24"/>
          <w:szCs w:val="24"/>
        </w:rPr>
        <w:t>Fedorak</w:t>
      </w:r>
      <w:proofErr w:type="spellEnd"/>
      <w:r w:rsidRPr="00142E9D">
        <w:rPr>
          <w:rFonts w:ascii="Book Antiqua" w:hAnsi="Book Antiqua" w:cs="宋体"/>
          <w:sz w:val="24"/>
          <w:szCs w:val="24"/>
        </w:rPr>
        <w:t xml:space="preserve"> RN, Griffiths A. Canadian Association of Gastroenterology Clinical Practice Guidelines: The use of </w:t>
      </w:r>
      <w:proofErr w:type="spellStart"/>
      <w:r w:rsidRPr="00142E9D">
        <w:rPr>
          <w:rFonts w:ascii="Book Antiqua" w:hAnsi="Book Antiqua" w:cs="宋体"/>
          <w:sz w:val="24"/>
          <w:szCs w:val="24"/>
        </w:rPr>
        <w:t>tumour</w:t>
      </w:r>
      <w:proofErr w:type="spellEnd"/>
      <w:r w:rsidRPr="00142E9D">
        <w:rPr>
          <w:rFonts w:ascii="Book Antiqua" w:hAnsi="Book Antiqua" w:cs="宋体"/>
          <w:sz w:val="24"/>
          <w:szCs w:val="24"/>
        </w:rPr>
        <w:t xml:space="preserve"> necrosis factor-alpha antagonist therapy in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w:t>
      </w:r>
      <w:r w:rsidRPr="00142E9D">
        <w:rPr>
          <w:rFonts w:ascii="Book Antiqua" w:hAnsi="Book Antiqua" w:cs="宋体"/>
          <w:i/>
          <w:iCs/>
          <w:sz w:val="24"/>
          <w:szCs w:val="24"/>
        </w:rPr>
        <w:t xml:space="preserve">Can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2009; </w:t>
      </w:r>
      <w:r w:rsidRPr="00142E9D">
        <w:rPr>
          <w:rFonts w:ascii="Book Antiqua" w:hAnsi="Book Antiqua" w:cs="宋体"/>
          <w:b/>
          <w:bCs/>
          <w:sz w:val="24"/>
          <w:szCs w:val="24"/>
        </w:rPr>
        <w:t>23</w:t>
      </w:r>
      <w:r w:rsidRPr="00142E9D">
        <w:rPr>
          <w:rFonts w:ascii="Book Antiqua" w:hAnsi="Book Antiqua" w:cs="宋体"/>
          <w:sz w:val="24"/>
          <w:szCs w:val="24"/>
        </w:rPr>
        <w:t>: 185-202 [PMID: 19319383]</w:t>
      </w:r>
    </w:p>
    <w:p w:rsidR="00CD552B" w:rsidRPr="00142E9D" w:rsidRDefault="00CD552B" w:rsidP="00B67F56">
      <w:pPr>
        <w:spacing w:line="360" w:lineRule="auto"/>
        <w:jc w:val="both"/>
        <w:rPr>
          <w:rFonts w:ascii="Book Antiqua" w:hAnsi="Book Antiqua" w:cs="宋体"/>
          <w:sz w:val="24"/>
          <w:szCs w:val="24"/>
        </w:rPr>
      </w:pPr>
      <w:r>
        <w:rPr>
          <w:rFonts w:ascii="Book Antiqua" w:hAnsi="Book Antiqua" w:cs="宋体"/>
          <w:sz w:val="24"/>
          <w:szCs w:val="24"/>
        </w:rPr>
        <w:t xml:space="preserve">31 </w:t>
      </w:r>
      <w:r w:rsidRPr="00142E9D">
        <w:rPr>
          <w:rFonts w:ascii="Book Antiqua" w:hAnsi="Book Antiqua" w:cs="宋体"/>
          <w:sz w:val="24"/>
          <w:szCs w:val="24"/>
        </w:rPr>
        <w:t xml:space="preserve"> www.fda.gov/Safety/MedWatch/SafetyInformation/SafetyAlertsforHumanMedicalProducts/ucm155493.htm. Accessed September 16, 2012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32 </w:t>
      </w:r>
      <w:r w:rsidRPr="00142E9D">
        <w:rPr>
          <w:rFonts w:ascii="Book Antiqua" w:hAnsi="Book Antiqua" w:cs="宋体"/>
          <w:b/>
          <w:bCs/>
          <w:sz w:val="24"/>
          <w:szCs w:val="24"/>
        </w:rPr>
        <w:t>Carmona L</w:t>
      </w:r>
      <w:r w:rsidRPr="00142E9D">
        <w:rPr>
          <w:rFonts w:ascii="Book Antiqua" w:hAnsi="Book Antiqua" w:cs="宋体"/>
          <w:sz w:val="24"/>
          <w:szCs w:val="24"/>
        </w:rPr>
        <w:t>, Gómez-</w:t>
      </w:r>
      <w:proofErr w:type="spellStart"/>
      <w:r w:rsidRPr="00142E9D">
        <w:rPr>
          <w:rFonts w:ascii="Book Antiqua" w:hAnsi="Book Antiqua" w:cs="宋体"/>
          <w:sz w:val="24"/>
          <w:szCs w:val="24"/>
        </w:rPr>
        <w:t>Reino</w:t>
      </w:r>
      <w:proofErr w:type="spellEnd"/>
      <w:r w:rsidRPr="00142E9D">
        <w:rPr>
          <w:rFonts w:ascii="Book Antiqua" w:hAnsi="Book Antiqua" w:cs="宋体"/>
          <w:sz w:val="24"/>
          <w:szCs w:val="24"/>
        </w:rPr>
        <w:t xml:space="preserve"> JJ, Rodríguez-</w:t>
      </w:r>
      <w:proofErr w:type="spellStart"/>
      <w:r w:rsidRPr="00142E9D">
        <w:rPr>
          <w:rFonts w:ascii="Book Antiqua" w:hAnsi="Book Antiqua" w:cs="宋体"/>
          <w:sz w:val="24"/>
          <w:szCs w:val="24"/>
        </w:rPr>
        <w:t>Valverde</w:t>
      </w:r>
      <w:proofErr w:type="spellEnd"/>
      <w:r w:rsidRPr="00142E9D">
        <w:rPr>
          <w:rFonts w:ascii="Book Antiqua" w:hAnsi="Book Antiqua" w:cs="宋体"/>
          <w:sz w:val="24"/>
          <w:szCs w:val="24"/>
        </w:rPr>
        <w:t xml:space="preserve"> V, Montero D, </w:t>
      </w:r>
      <w:proofErr w:type="spellStart"/>
      <w:r w:rsidRPr="00142E9D">
        <w:rPr>
          <w:rFonts w:ascii="Book Antiqua" w:hAnsi="Book Antiqua" w:cs="宋体"/>
          <w:sz w:val="24"/>
          <w:szCs w:val="24"/>
        </w:rPr>
        <w:t>Pascual</w:t>
      </w:r>
      <w:proofErr w:type="spellEnd"/>
      <w:r w:rsidRPr="00142E9D">
        <w:rPr>
          <w:rFonts w:ascii="Book Antiqua" w:hAnsi="Book Antiqua" w:cs="宋体"/>
          <w:sz w:val="24"/>
          <w:szCs w:val="24"/>
        </w:rPr>
        <w:t xml:space="preserve">-Gómez E, </w:t>
      </w:r>
      <w:proofErr w:type="spellStart"/>
      <w:r w:rsidRPr="00142E9D">
        <w:rPr>
          <w:rFonts w:ascii="Book Antiqua" w:hAnsi="Book Antiqua" w:cs="宋体"/>
          <w:sz w:val="24"/>
          <w:szCs w:val="24"/>
        </w:rPr>
        <w:t>Mola</w:t>
      </w:r>
      <w:proofErr w:type="spellEnd"/>
      <w:r w:rsidRPr="00142E9D">
        <w:rPr>
          <w:rFonts w:ascii="Book Antiqua" w:hAnsi="Book Antiqua" w:cs="宋体"/>
          <w:sz w:val="24"/>
          <w:szCs w:val="24"/>
        </w:rPr>
        <w:t xml:space="preserve"> EM, </w:t>
      </w:r>
      <w:proofErr w:type="spellStart"/>
      <w:r w:rsidRPr="00142E9D">
        <w:rPr>
          <w:rFonts w:ascii="Book Antiqua" w:hAnsi="Book Antiqua" w:cs="宋体"/>
          <w:sz w:val="24"/>
          <w:szCs w:val="24"/>
        </w:rPr>
        <w:t>Carreño</w:t>
      </w:r>
      <w:proofErr w:type="spellEnd"/>
      <w:r w:rsidRPr="00142E9D">
        <w:rPr>
          <w:rFonts w:ascii="Book Antiqua" w:hAnsi="Book Antiqua" w:cs="宋体"/>
          <w:sz w:val="24"/>
          <w:szCs w:val="24"/>
        </w:rPr>
        <w:t xml:space="preserve"> L, Figueroa M. Effectiveness of recommendations to prevent reactivation of latent tuberculosis infection in patients treated with tumor necrosis factor antagonists. </w:t>
      </w:r>
      <w:r w:rsidRPr="00142E9D">
        <w:rPr>
          <w:rFonts w:ascii="Book Antiqua" w:hAnsi="Book Antiqua" w:cs="宋体"/>
          <w:i/>
          <w:iCs/>
          <w:sz w:val="24"/>
          <w:szCs w:val="24"/>
        </w:rPr>
        <w:t>Arthritis Rheum</w:t>
      </w:r>
      <w:r w:rsidRPr="00142E9D">
        <w:rPr>
          <w:rFonts w:ascii="Book Antiqua" w:hAnsi="Book Antiqua" w:cs="宋体"/>
          <w:sz w:val="24"/>
          <w:szCs w:val="24"/>
        </w:rPr>
        <w:t> 2005; </w:t>
      </w:r>
      <w:r w:rsidRPr="00142E9D">
        <w:rPr>
          <w:rFonts w:ascii="Book Antiqua" w:hAnsi="Book Antiqua" w:cs="宋体"/>
          <w:b/>
          <w:bCs/>
          <w:sz w:val="24"/>
          <w:szCs w:val="24"/>
        </w:rPr>
        <w:t>52</w:t>
      </w:r>
      <w:r w:rsidRPr="00142E9D">
        <w:rPr>
          <w:rFonts w:ascii="Book Antiqua" w:hAnsi="Book Antiqua" w:cs="宋体"/>
          <w:sz w:val="24"/>
          <w:szCs w:val="24"/>
        </w:rPr>
        <w:t>: 1766-1772 [PMID: 15934089 DOI: 10.1002/art.21043]</w:t>
      </w:r>
    </w:p>
    <w:p w:rsidR="00CD552B" w:rsidRPr="00142E9D" w:rsidRDefault="00CD552B" w:rsidP="00B67F56">
      <w:pPr>
        <w:spacing w:line="360" w:lineRule="auto"/>
        <w:jc w:val="both"/>
        <w:rPr>
          <w:rFonts w:ascii="Book Antiqua" w:hAnsi="Book Antiqua" w:cs="宋体"/>
          <w:sz w:val="24"/>
          <w:szCs w:val="24"/>
        </w:rPr>
      </w:pPr>
      <w:r>
        <w:rPr>
          <w:rFonts w:ascii="Book Antiqua" w:hAnsi="Book Antiqua" w:cs="宋体"/>
          <w:sz w:val="24"/>
          <w:szCs w:val="24"/>
        </w:rPr>
        <w:t xml:space="preserve">33 </w:t>
      </w:r>
      <w:r w:rsidRPr="00142E9D">
        <w:rPr>
          <w:rFonts w:ascii="Book Antiqua" w:hAnsi="Book Antiqua" w:cs="宋体"/>
          <w:b/>
          <w:sz w:val="24"/>
          <w:szCs w:val="24"/>
        </w:rPr>
        <w:t>Perez JL</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Kupper</w:t>
      </w:r>
      <w:proofErr w:type="spellEnd"/>
      <w:r w:rsidRPr="00142E9D">
        <w:rPr>
          <w:rFonts w:ascii="Book Antiqua" w:hAnsi="Book Antiqua" w:cs="宋体"/>
          <w:sz w:val="24"/>
          <w:szCs w:val="24"/>
        </w:rPr>
        <w:t xml:space="preserve"> H, Spencer-Green GT. Impact of Screening for Latent TB Prior to initiation of Anti-TNF Therapy in North America and Europe. Ann Rheum Dis 2006; 64(Suppl. III): 86. Abstract</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lastRenderedPageBreak/>
        <w:t>34 </w:t>
      </w:r>
      <w:proofErr w:type="spellStart"/>
      <w:r w:rsidRPr="00142E9D">
        <w:rPr>
          <w:rFonts w:ascii="Book Antiqua" w:hAnsi="Book Antiqua" w:cs="宋体"/>
          <w:b/>
          <w:bCs/>
          <w:sz w:val="24"/>
          <w:szCs w:val="24"/>
        </w:rPr>
        <w:t>Gisbert</w:t>
      </w:r>
      <w:proofErr w:type="spellEnd"/>
      <w:r w:rsidRPr="00142E9D">
        <w:rPr>
          <w:rFonts w:ascii="Book Antiqua" w:hAnsi="Book Antiqua" w:cs="宋体"/>
          <w:b/>
          <w:bCs/>
          <w:sz w:val="24"/>
          <w:szCs w:val="24"/>
        </w:rPr>
        <w:t xml:space="preserve"> JP</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Chaparro</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Esteve</w:t>
      </w:r>
      <w:proofErr w:type="spellEnd"/>
      <w:r w:rsidRPr="00142E9D">
        <w:rPr>
          <w:rFonts w:ascii="Book Antiqua" w:hAnsi="Book Antiqua" w:cs="宋体"/>
          <w:sz w:val="24"/>
          <w:szCs w:val="24"/>
        </w:rPr>
        <w:t xml:space="preserve"> M. Review article: prevention and management of hepatitis B and C infection in patients with inflammatory bowel disease. </w:t>
      </w:r>
      <w:r w:rsidRPr="00142E9D">
        <w:rPr>
          <w:rFonts w:ascii="Book Antiqua" w:hAnsi="Book Antiqua" w:cs="宋体"/>
          <w:i/>
          <w:iCs/>
          <w:sz w:val="24"/>
          <w:szCs w:val="24"/>
        </w:rPr>
        <w:t xml:space="preserve">Aliment </w:t>
      </w:r>
      <w:proofErr w:type="spellStart"/>
      <w:r w:rsidRPr="00142E9D">
        <w:rPr>
          <w:rFonts w:ascii="Book Antiqua" w:hAnsi="Book Antiqua" w:cs="宋体"/>
          <w:i/>
          <w:iCs/>
          <w:sz w:val="24"/>
          <w:szCs w:val="24"/>
        </w:rPr>
        <w:t>Pharmacol</w:t>
      </w:r>
      <w:proofErr w:type="spellEnd"/>
      <w:r w:rsidRPr="00142E9D">
        <w:rPr>
          <w:rFonts w:ascii="Book Antiqua" w:hAnsi="Book Antiqua" w:cs="宋体"/>
          <w:i/>
          <w:iCs/>
          <w:sz w:val="24"/>
          <w:szCs w:val="24"/>
        </w:rPr>
        <w:t xml:space="preserve"> </w:t>
      </w:r>
      <w:proofErr w:type="spellStart"/>
      <w:r w:rsidRPr="00142E9D">
        <w:rPr>
          <w:rFonts w:ascii="Book Antiqua" w:hAnsi="Book Antiqua" w:cs="宋体"/>
          <w:i/>
          <w:iCs/>
          <w:sz w:val="24"/>
          <w:szCs w:val="24"/>
        </w:rPr>
        <w:t>Ther</w:t>
      </w:r>
      <w:proofErr w:type="spellEnd"/>
      <w:r w:rsidRPr="00142E9D">
        <w:rPr>
          <w:rFonts w:ascii="Book Antiqua" w:hAnsi="Book Antiqua" w:cs="宋体"/>
          <w:sz w:val="24"/>
          <w:szCs w:val="24"/>
        </w:rPr>
        <w:t> 2011; </w:t>
      </w:r>
      <w:r w:rsidRPr="00142E9D">
        <w:rPr>
          <w:rFonts w:ascii="Book Antiqua" w:hAnsi="Book Antiqua" w:cs="宋体"/>
          <w:b/>
          <w:bCs/>
          <w:sz w:val="24"/>
          <w:szCs w:val="24"/>
        </w:rPr>
        <w:t>33</w:t>
      </w:r>
      <w:r w:rsidRPr="00142E9D">
        <w:rPr>
          <w:rFonts w:ascii="Book Antiqua" w:hAnsi="Book Antiqua" w:cs="宋体"/>
          <w:sz w:val="24"/>
          <w:szCs w:val="24"/>
        </w:rPr>
        <w:t>: 619-633 [PMID: 21416659 DOI: 10.1111/j.1365-2036.2010.04570.x]</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35 </w:t>
      </w:r>
      <w:proofErr w:type="spellStart"/>
      <w:r w:rsidRPr="00142E9D">
        <w:rPr>
          <w:rFonts w:ascii="Book Antiqua" w:hAnsi="Book Antiqua" w:cs="宋体"/>
          <w:b/>
          <w:bCs/>
          <w:sz w:val="24"/>
          <w:szCs w:val="24"/>
        </w:rPr>
        <w:t>Melmed</w:t>
      </w:r>
      <w:proofErr w:type="spellEnd"/>
      <w:r w:rsidRPr="00142E9D">
        <w:rPr>
          <w:rFonts w:ascii="Book Antiqua" w:hAnsi="Book Antiqua" w:cs="宋体"/>
          <w:b/>
          <w:bCs/>
          <w:sz w:val="24"/>
          <w:szCs w:val="24"/>
        </w:rPr>
        <w:t xml:space="preserve"> GY</w:t>
      </w:r>
      <w:r w:rsidRPr="00142E9D">
        <w:rPr>
          <w:rFonts w:ascii="Book Antiqua" w:hAnsi="Book Antiqua" w:cs="宋体"/>
          <w:sz w:val="24"/>
          <w:szCs w:val="24"/>
        </w:rPr>
        <w:t xml:space="preserve">. Vaccination strategies for patients with inflammatory bowel disease on </w:t>
      </w:r>
      <w:proofErr w:type="spellStart"/>
      <w:r w:rsidRPr="00142E9D">
        <w:rPr>
          <w:rFonts w:ascii="Book Antiqua" w:hAnsi="Book Antiqua" w:cs="宋体"/>
          <w:sz w:val="24"/>
          <w:szCs w:val="24"/>
        </w:rPr>
        <w:t>immunomodulators</w:t>
      </w:r>
      <w:proofErr w:type="spellEnd"/>
      <w:r w:rsidRPr="00142E9D">
        <w:rPr>
          <w:rFonts w:ascii="Book Antiqua" w:hAnsi="Book Antiqua" w:cs="宋体"/>
          <w:sz w:val="24"/>
          <w:szCs w:val="24"/>
        </w:rPr>
        <w:t xml:space="preserve"> and biologics.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2009; </w:t>
      </w:r>
      <w:r w:rsidRPr="00142E9D">
        <w:rPr>
          <w:rFonts w:ascii="Book Antiqua" w:hAnsi="Book Antiqua" w:cs="宋体"/>
          <w:b/>
          <w:bCs/>
          <w:sz w:val="24"/>
          <w:szCs w:val="24"/>
        </w:rPr>
        <w:t>15</w:t>
      </w:r>
      <w:r w:rsidRPr="00142E9D">
        <w:rPr>
          <w:rFonts w:ascii="Book Antiqua" w:hAnsi="Book Antiqua" w:cs="宋体"/>
          <w:sz w:val="24"/>
          <w:szCs w:val="24"/>
        </w:rPr>
        <w:t>: 1410-1416 [PMID: 19462435 DOI: 10.1002/ibd.20943]</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36 </w:t>
      </w:r>
      <w:proofErr w:type="spellStart"/>
      <w:r w:rsidRPr="00142E9D">
        <w:rPr>
          <w:rFonts w:ascii="Book Antiqua" w:hAnsi="Book Antiqua" w:cs="宋体"/>
          <w:b/>
          <w:bCs/>
          <w:sz w:val="24"/>
          <w:szCs w:val="24"/>
        </w:rPr>
        <w:t>Mankia</w:t>
      </w:r>
      <w:proofErr w:type="spellEnd"/>
      <w:r w:rsidRPr="00142E9D">
        <w:rPr>
          <w:rFonts w:ascii="Book Antiqua" w:hAnsi="Book Antiqua" w:cs="宋体"/>
          <w:b/>
          <w:bCs/>
          <w:sz w:val="24"/>
          <w:szCs w:val="24"/>
        </w:rPr>
        <w:t xml:space="preserve"> S</w:t>
      </w:r>
      <w:r w:rsidRPr="00142E9D">
        <w:rPr>
          <w:rFonts w:ascii="Book Antiqua" w:hAnsi="Book Antiqua" w:cs="宋体"/>
          <w:sz w:val="24"/>
          <w:szCs w:val="24"/>
        </w:rPr>
        <w:t xml:space="preserve">, Peters JE, Kang S, Moore S, </w:t>
      </w:r>
      <w:proofErr w:type="spellStart"/>
      <w:r w:rsidRPr="00142E9D">
        <w:rPr>
          <w:rFonts w:ascii="Book Antiqua" w:hAnsi="Book Antiqua" w:cs="宋体"/>
          <w:sz w:val="24"/>
          <w:szCs w:val="24"/>
        </w:rPr>
        <w:t>Ehrenstein</w:t>
      </w:r>
      <w:proofErr w:type="spellEnd"/>
      <w:r w:rsidRPr="00142E9D">
        <w:rPr>
          <w:rFonts w:ascii="Book Antiqua" w:hAnsi="Book Antiqua" w:cs="宋体"/>
          <w:sz w:val="24"/>
          <w:szCs w:val="24"/>
        </w:rPr>
        <w:t xml:space="preserve"> MR. Tuberculosis and anti-TNF treatment: experience of a central London hospital. </w:t>
      </w:r>
      <w:proofErr w:type="spellStart"/>
      <w:r w:rsidRPr="00142E9D">
        <w:rPr>
          <w:rFonts w:ascii="Book Antiqua" w:hAnsi="Book Antiqua" w:cs="宋体"/>
          <w:i/>
          <w:iCs/>
          <w:sz w:val="24"/>
          <w:szCs w:val="24"/>
        </w:rPr>
        <w:t>Clin</w:t>
      </w:r>
      <w:proofErr w:type="spellEnd"/>
      <w:r w:rsidRPr="00142E9D">
        <w:rPr>
          <w:rFonts w:ascii="Book Antiqua" w:hAnsi="Book Antiqua" w:cs="宋体"/>
          <w:i/>
          <w:iCs/>
          <w:sz w:val="24"/>
          <w:szCs w:val="24"/>
        </w:rPr>
        <w:t xml:space="preserve"> </w:t>
      </w:r>
      <w:proofErr w:type="spellStart"/>
      <w:r w:rsidRPr="00142E9D">
        <w:rPr>
          <w:rFonts w:ascii="Book Antiqua" w:hAnsi="Book Antiqua" w:cs="宋体"/>
          <w:i/>
          <w:iCs/>
          <w:sz w:val="24"/>
          <w:szCs w:val="24"/>
        </w:rPr>
        <w:t>Rheumatol</w:t>
      </w:r>
      <w:proofErr w:type="spellEnd"/>
      <w:r w:rsidRPr="00142E9D">
        <w:rPr>
          <w:rFonts w:ascii="Book Antiqua" w:hAnsi="Book Antiqua" w:cs="宋体"/>
          <w:sz w:val="24"/>
          <w:szCs w:val="24"/>
        </w:rPr>
        <w:t> 2011; </w:t>
      </w:r>
      <w:r w:rsidRPr="00142E9D">
        <w:rPr>
          <w:rFonts w:ascii="Book Antiqua" w:hAnsi="Book Antiqua" w:cs="宋体"/>
          <w:b/>
          <w:bCs/>
          <w:sz w:val="24"/>
          <w:szCs w:val="24"/>
        </w:rPr>
        <w:t>30</w:t>
      </w:r>
      <w:r w:rsidRPr="00142E9D">
        <w:rPr>
          <w:rFonts w:ascii="Book Antiqua" w:hAnsi="Book Antiqua" w:cs="宋体"/>
          <w:sz w:val="24"/>
          <w:szCs w:val="24"/>
        </w:rPr>
        <w:t>: 399-401 [PMID: 20972591 DOI: 10.1007/s10067-010-1605-1]</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37 </w:t>
      </w:r>
      <w:r w:rsidRPr="00142E9D">
        <w:rPr>
          <w:rFonts w:ascii="Book Antiqua" w:hAnsi="Book Antiqua" w:cs="宋体"/>
          <w:b/>
          <w:bCs/>
          <w:sz w:val="24"/>
          <w:szCs w:val="24"/>
        </w:rPr>
        <w:t>Vaughn BP</w:t>
      </w:r>
      <w:r w:rsidRPr="00142E9D">
        <w:rPr>
          <w:rFonts w:ascii="Book Antiqua" w:hAnsi="Book Antiqua" w:cs="宋体"/>
          <w:sz w:val="24"/>
          <w:szCs w:val="24"/>
        </w:rPr>
        <w:t xml:space="preserve">, Doherty GA, </w:t>
      </w:r>
      <w:proofErr w:type="spellStart"/>
      <w:r w:rsidRPr="00142E9D">
        <w:rPr>
          <w:rFonts w:ascii="Book Antiqua" w:hAnsi="Book Antiqua" w:cs="宋体"/>
          <w:sz w:val="24"/>
          <w:szCs w:val="24"/>
        </w:rPr>
        <w:t>Gautam</w:t>
      </w:r>
      <w:proofErr w:type="spellEnd"/>
      <w:r w:rsidRPr="00142E9D">
        <w:rPr>
          <w:rFonts w:ascii="Book Antiqua" w:hAnsi="Book Antiqua" w:cs="宋体"/>
          <w:sz w:val="24"/>
          <w:szCs w:val="24"/>
        </w:rPr>
        <w:t xml:space="preserve"> S, Moss AC, </w:t>
      </w:r>
      <w:proofErr w:type="spellStart"/>
      <w:r w:rsidRPr="00142E9D">
        <w:rPr>
          <w:rFonts w:ascii="Book Antiqua" w:hAnsi="Book Antiqua" w:cs="宋体"/>
          <w:sz w:val="24"/>
          <w:szCs w:val="24"/>
        </w:rPr>
        <w:t>Cheifetz</w:t>
      </w:r>
      <w:proofErr w:type="spellEnd"/>
      <w:r w:rsidRPr="00142E9D">
        <w:rPr>
          <w:rFonts w:ascii="Book Antiqua" w:hAnsi="Book Antiqua" w:cs="宋体"/>
          <w:sz w:val="24"/>
          <w:szCs w:val="24"/>
        </w:rPr>
        <w:t xml:space="preserve"> AS. Screening for tuberculosis and hepatitis B prior to the initiation of anti-tumor necrosis therapy.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2012; </w:t>
      </w:r>
      <w:r w:rsidRPr="00142E9D">
        <w:rPr>
          <w:rFonts w:ascii="Book Antiqua" w:hAnsi="Book Antiqua" w:cs="宋体"/>
          <w:b/>
          <w:bCs/>
          <w:sz w:val="24"/>
          <w:szCs w:val="24"/>
        </w:rPr>
        <w:t>18</w:t>
      </w:r>
      <w:r w:rsidRPr="00142E9D">
        <w:rPr>
          <w:rFonts w:ascii="Book Antiqua" w:hAnsi="Book Antiqua" w:cs="宋体"/>
          <w:sz w:val="24"/>
          <w:szCs w:val="24"/>
        </w:rPr>
        <w:t>: 1057-1063 [PMID: 21953829 DOI: 10.1002/ibd.21824]</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38 </w:t>
      </w:r>
      <w:r w:rsidRPr="00142E9D">
        <w:rPr>
          <w:rFonts w:ascii="Book Antiqua" w:hAnsi="Book Antiqua" w:cs="宋体"/>
          <w:b/>
          <w:bCs/>
          <w:sz w:val="24"/>
          <w:szCs w:val="24"/>
        </w:rPr>
        <w:t>Gupta A</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Macrae</w:t>
      </w:r>
      <w:proofErr w:type="spellEnd"/>
      <w:r w:rsidRPr="00142E9D">
        <w:rPr>
          <w:rFonts w:ascii="Book Antiqua" w:hAnsi="Book Antiqua" w:cs="宋体"/>
          <w:sz w:val="24"/>
          <w:szCs w:val="24"/>
        </w:rPr>
        <w:t xml:space="preserve"> FA, Gibson PR. Vaccination and screening for infections in patients with inflammatory bowel disease: a survey of Australian gastroenterologists. </w:t>
      </w:r>
      <w:r w:rsidRPr="00142E9D">
        <w:rPr>
          <w:rFonts w:ascii="Book Antiqua" w:hAnsi="Book Antiqua" w:cs="宋体"/>
          <w:i/>
          <w:iCs/>
          <w:sz w:val="24"/>
          <w:szCs w:val="24"/>
        </w:rPr>
        <w:t>Intern Med J</w:t>
      </w:r>
      <w:r w:rsidRPr="00142E9D">
        <w:rPr>
          <w:rFonts w:ascii="Book Antiqua" w:hAnsi="Book Antiqua" w:cs="宋体"/>
          <w:sz w:val="24"/>
          <w:szCs w:val="24"/>
        </w:rPr>
        <w:t> 2011; </w:t>
      </w:r>
      <w:r w:rsidRPr="00142E9D">
        <w:rPr>
          <w:rFonts w:ascii="Book Antiqua" w:hAnsi="Book Antiqua" w:cs="宋体"/>
          <w:b/>
          <w:bCs/>
          <w:sz w:val="24"/>
          <w:szCs w:val="24"/>
        </w:rPr>
        <w:t>41</w:t>
      </w:r>
      <w:r w:rsidRPr="00142E9D">
        <w:rPr>
          <w:rFonts w:ascii="Book Antiqua" w:hAnsi="Book Antiqua" w:cs="宋体"/>
          <w:sz w:val="24"/>
          <w:szCs w:val="24"/>
        </w:rPr>
        <w:t>: 462-467 [PMID: 19849740 DOI: 10.1111/j.1445-5994.2009.02114.x]</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39 </w:t>
      </w:r>
      <w:proofErr w:type="spellStart"/>
      <w:r w:rsidRPr="00142E9D">
        <w:rPr>
          <w:rFonts w:ascii="Book Antiqua" w:hAnsi="Book Antiqua" w:cs="宋体"/>
          <w:b/>
          <w:bCs/>
          <w:sz w:val="24"/>
          <w:szCs w:val="24"/>
        </w:rPr>
        <w:t>Mowat</w:t>
      </w:r>
      <w:proofErr w:type="spellEnd"/>
      <w:r w:rsidRPr="00142E9D">
        <w:rPr>
          <w:rFonts w:ascii="Book Antiqua" w:hAnsi="Book Antiqua" w:cs="宋体"/>
          <w:b/>
          <w:bCs/>
          <w:sz w:val="24"/>
          <w:szCs w:val="24"/>
        </w:rPr>
        <w:t xml:space="preserve"> C</w:t>
      </w:r>
      <w:r w:rsidRPr="00142E9D">
        <w:rPr>
          <w:rFonts w:ascii="Book Antiqua" w:hAnsi="Book Antiqua" w:cs="宋体"/>
          <w:sz w:val="24"/>
          <w:szCs w:val="24"/>
        </w:rPr>
        <w:t xml:space="preserve">, Cole A, Windsor A, Ahmad T, </w:t>
      </w:r>
      <w:proofErr w:type="spellStart"/>
      <w:r w:rsidRPr="00142E9D">
        <w:rPr>
          <w:rFonts w:ascii="Book Antiqua" w:hAnsi="Book Antiqua" w:cs="宋体"/>
          <w:sz w:val="24"/>
          <w:szCs w:val="24"/>
        </w:rPr>
        <w:t>Arnott</w:t>
      </w:r>
      <w:proofErr w:type="spellEnd"/>
      <w:r w:rsidRPr="00142E9D">
        <w:rPr>
          <w:rFonts w:ascii="Book Antiqua" w:hAnsi="Book Antiqua" w:cs="宋体"/>
          <w:sz w:val="24"/>
          <w:szCs w:val="24"/>
        </w:rPr>
        <w:t xml:space="preserve"> I, Driscoll R, </w:t>
      </w:r>
      <w:proofErr w:type="spellStart"/>
      <w:r w:rsidRPr="00142E9D">
        <w:rPr>
          <w:rFonts w:ascii="Book Antiqua" w:hAnsi="Book Antiqua" w:cs="宋体"/>
          <w:sz w:val="24"/>
          <w:szCs w:val="24"/>
        </w:rPr>
        <w:t>Mitton</w:t>
      </w:r>
      <w:proofErr w:type="spellEnd"/>
      <w:r w:rsidRPr="00142E9D">
        <w:rPr>
          <w:rFonts w:ascii="Book Antiqua" w:hAnsi="Book Antiqua" w:cs="宋体"/>
          <w:sz w:val="24"/>
          <w:szCs w:val="24"/>
        </w:rPr>
        <w:t xml:space="preserve"> S, Orchard T, </w:t>
      </w:r>
      <w:proofErr w:type="spellStart"/>
      <w:r w:rsidRPr="00142E9D">
        <w:rPr>
          <w:rFonts w:ascii="Book Antiqua" w:hAnsi="Book Antiqua" w:cs="宋体"/>
          <w:sz w:val="24"/>
          <w:szCs w:val="24"/>
        </w:rPr>
        <w:t>Rutter</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Younge</w:t>
      </w:r>
      <w:proofErr w:type="spellEnd"/>
      <w:r w:rsidRPr="00142E9D">
        <w:rPr>
          <w:rFonts w:ascii="Book Antiqua" w:hAnsi="Book Antiqua" w:cs="宋体"/>
          <w:sz w:val="24"/>
          <w:szCs w:val="24"/>
        </w:rPr>
        <w:t xml:space="preserve"> L, Lees C, Ho GT, </w:t>
      </w:r>
      <w:proofErr w:type="spellStart"/>
      <w:r w:rsidRPr="00142E9D">
        <w:rPr>
          <w:rFonts w:ascii="Book Antiqua" w:hAnsi="Book Antiqua" w:cs="宋体"/>
          <w:sz w:val="24"/>
          <w:szCs w:val="24"/>
        </w:rPr>
        <w:t>Satsangi</w:t>
      </w:r>
      <w:proofErr w:type="spellEnd"/>
      <w:r w:rsidRPr="00142E9D">
        <w:rPr>
          <w:rFonts w:ascii="Book Antiqua" w:hAnsi="Book Antiqua" w:cs="宋体"/>
          <w:sz w:val="24"/>
          <w:szCs w:val="24"/>
        </w:rPr>
        <w:t xml:space="preserve"> J, Bloom S. Guidelines for the management of inflammatory bowel disease in adults. </w:t>
      </w:r>
      <w:r w:rsidRPr="00142E9D">
        <w:rPr>
          <w:rFonts w:ascii="Book Antiqua" w:hAnsi="Book Antiqua" w:cs="宋体"/>
          <w:i/>
          <w:iCs/>
          <w:sz w:val="24"/>
          <w:szCs w:val="24"/>
        </w:rPr>
        <w:t>Gut</w:t>
      </w:r>
      <w:r w:rsidRPr="00142E9D">
        <w:rPr>
          <w:rFonts w:ascii="Book Antiqua" w:hAnsi="Book Antiqua" w:cs="宋体"/>
          <w:sz w:val="24"/>
          <w:szCs w:val="24"/>
        </w:rPr>
        <w:t> 2011; </w:t>
      </w:r>
      <w:r w:rsidRPr="00142E9D">
        <w:rPr>
          <w:rFonts w:ascii="Book Antiqua" w:hAnsi="Book Antiqua" w:cs="宋体"/>
          <w:b/>
          <w:bCs/>
          <w:sz w:val="24"/>
          <w:szCs w:val="24"/>
        </w:rPr>
        <w:t>60</w:t>
      </w:r>
      <w:r w:rsidRPr="00142E9D">
        <w:rPr>
          <w:rFonts w:ascii="Book Antiqua" w:hAnsi="Book Antiqua" w:cs="宋体"/>
          <w:sz w:val="24"/>
          <w:szCs w:val="24"/>
        </w:rPr>
        <w:t>: 571-607 [PMID: 21464096 DOI: 10.1136/gut.2010.224154]</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40 </w:t>
      </w:r>
      <w:r w:rsidRPr="00142E9D">
        <w:rPr>
          <w:rFonts w:ascii="Book Antiqua" w:hAnsi="Book Antiqua" w:cs="宋体"/>
          <w:b/>
          <w:bCs/>
          <w:sz w:val="24"/>
          <w:szCs w:val="24"/>
        </w:rPr>
        <w:t>Lichtenstein GR</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Hanauer</w:t>
      </w:r>
      <w:proofErr w:type="spellEnd"/>
      <w:r w:rsidRPr="00142E9D">
        <w:rPr>
          <w:rFonts w:ascii="Book Antiqua" w:hAnsi="Book Antiqua" w:cs="宋体"/>
          <w:sz w:val="24"/>
          <w:szCs w:val="24"/>
        </w:rPr>
        <w:t xml:space="preserve"> SB, </w:t>
      </w:r>
      <w:proofErr w:type="spellStart"/>
      <w:r w:rsidRPr="00142E9D">
        <w:rPr>
          <w:rFonts w:ascii="Book Antiqua" w:hAnsi="Book Antiqua" w:cs="宋体"/>
          <w:sz w:val="24"/>
          <w:szCs w:val="24"/>
        </w:rPr>
        <w:t>Sandborn</w:t>
      </w:r>
      <w:proofErr w:type="spellEnd"/>
      <w:r w:rsidRPr="00142E9D">
        <w:rPr>
          <w:rFonts w:ascii="Book Antiqua" w:hAnsi="Book Antiqua" w:cs="宋体"/>
          <w:sz w:val="24"/>
          <w:szCs w:val="24"/>
        </w:rPr>
        <w:t xml:space="preserve"> WJ. Management of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in adults. </w:t>
      </w:r>
      <w:r w:rsidRPr="00142E9D">
        <w:rPr>
          <w:rFonts w:ascii="Book Antiqua" w:hAnsi="Book Antiqua" w:cs="宋体"/>
          <w:i/>
          <w:iCs/>
          <w:sz w:val="24"/>
          <w:szCs w:val="24"/>
        </w:rPr>
        <w:t xml:space="preserve">Am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2009; </w:t>
      </w:r>
      <w:r w:rsidRPr="00142E9D">
        <w:rPr>
          <w:rFonts w:ascii="Book Antiqua" w:hAnsi="Book Antiqua" w:cs="宋体"/>
          <w:b/>
          <w:bCs/>
          <w:sz w:val="24"/>
          <w:szCs w:val="24"/>
        </w:rPr>
        <w:t>104</w:t>
      </w:r>
      <w:r w:rsidRPr="00142E9D">
        <w:rPr>
          <w:rFonts w:ascii="Book Antiqua" w:hAnsi="Book Antiqua" w:cs="宋体"/>
          <w:sz w:val="24"/>
          <w:szCs w:val="24"/>
        </w:rPr>
        <w:t>: 465-83; quiz 464, 484 [PMID: 19174807 DOI: 10.1038/ajg.2008.168]</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41 </w:t>
      </w:r>
      <w:r w:rsidRPr="00142E9D">
        <w:rPr>
          <w:rFonts w:ascii="Book Antiqua" w:hAnsi="Book Antiqua" w:cs="宋体"/>
          <w:b/>
          <w:bCs/>
          <w:sz w:val="24"/>
          <w:szCs w:val="24"/>
        </w:rPr>
        <w:t>Levesque BG</w:t>
      </w:r>
      <w:r w:rsidRPr="00142E9D">
        <w:rPr>
          <w:rFonts w:ascii="Book Antiqua" w:hAnsi="Book Antiqua" w:cs="宋体"/>
          <w:sz w:val="24"/>
          <w:szCs w:val="24"/>
        </w:rPr>
        <w:t xml:space="preserve">, Loftus EV. Initiating azathioprine for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w:t>
      </w:r>
      <w:proofErr w:type="spellStart"/>
      <w:r w:rsidRPr="00142E9D">
        <w:rPr>
          <w:rFonts w:ascii="Book Antiqua" w:hAnsi="Book Antiqua" w:cs="宋体"/>
          <w:i/>
          <w:iCs/>
          <w:sz w:val="24"/>
          <w:szCs w:val="24"/>
        </w:rPr>
        <w:t>Clin</w:t>
      </w:r>
      <w:proofErr w:type="spellEnd"/>
      <w:r w:rsidRPr="00142E9D">
        <w:rPr>
          <w:rFonts w:ascii="Book Antiqua" w:hAnsi="Book Antiqua" w:cs="宋体"/>
          <w:i/>
          <w:iCs/>
          <w:sz w:val="24"/>
          <w:szCs w:val="24"/>
        </w:rPr>
        <w:t xml:space="preserve"> </w:t>
      </w:r>
      <w:proofErr w:type="spellStart"/>
      <w:r w:rsidRPr="00142E9D">
        <w:rPr>
          <w:rFonts w:ascii="Book Antiqua" w:hAnsi="Book Antiqua" w:cs="宋体"/>
          <w:i/>
          <w:iCs/>
          <w:sz w:val="24"/>
          <w:szCs w:val="24"/>
        </w:rPr>
        <w:t>Gastroenterol</w:t>
      </w:r>
      <w:proofErr w:type="spellEnd"/>
      <w:r w:rsidRPr="00142E9D">
        <w:rPr>
          <w:rFonts w:ascii="Book Antiqua" w:hAnsi="Book Antiqua" w:cs="宋体"/>
          <w:i/>
          <w:iCs/>
          <w:sz w:val="24"/>
          <w:szCs w:val="24"/>
        </w:rPr>
        <w:t xml:space="preserve"> </w:t>
      </w:r>
      <w:proofErr w:type="spellStart"/>
      <w:r w:rsidRPr="00142E9D">
        <w:rPr>
          <w:rFonts w:ascii="Book Antiqua" w:hAnsi="Book Antiqua" w:cs="宋体"/>
          <w:i/>
          <w:iCs/>
          <w:sz w:val="24"/>
          <w:szCs w:val="24"/>
        </w:rPr>
        <w:t>Hepatol</w:t>
      </w:r>
      <w:proofErr w:type="spellEnd"/>
      <w:r w:rsidRPr="00142E9D">
        <w:rPr>
          <w:rFonts w:ascii="Book Antiqua" w:hAnsi="Book Antiqua" w:cs="宋体"/>
          <w:sz w:val="24"/>
          <w:szCs w:val="24"/>
        </w:rPr>
        <w:t> 2012; </w:t>
      </w:r>
      <w:r w:rsidRPr="00142E9D">
        <w:rPr>
          <w:rFonts w:ascii="Book Antiqua" w:hAnsi="Book Antiqua" w:cs="宋体"/>
          <w:b/>
          <w:bCs/>
          <w:sz w:val="24"/>
          <w:szCs w:val="24"/>
        </w:rPr>
        <w:t>10</w:t>
      </w:r>
      <w:r w:rsidRPr="00142E9D">
        <w:rPr>
          <w:rFonts w:ascii="Book Antiqua" w:hAnsi="Book Antiqua" w:cs="宋体"/>
          <w:sz w:val="24"/>
          <w:szCs w:val="24"/>
        </w:rPr>
        <w:t>: 460-465 [PMID: 22330233 DOI: 10.1016/j.cgh.2012.01.018]</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lastRenderedPageBreak/>
        <w:t>42 </w:t>
      </w:r>
      <w:proofErr w:type="spellStart"/>
      <w:r w:rsidRPr="00142E9D">
        <w:rPr>
          <w:rFonts w:ascii="Book Antiqua" w:hAnsi="Book Antiqua" w:cs="宋体"/>
          <w:b/>
          <w:bCs/>
          <w:sz w:val="24"/>
          <w:szCs w:val="24"/>
        </w:rPr>
        <w:t>Costantino</w:t>
      </w:r>
      <w:proofErr w:type="spellEnd"/>
      <w:r w:rsidRPr="00142E9D">
        <w:rPr>
          <w:rFonts w:ascii="Book Antiqua" w:hAnsi="Book Antiqua" w:cs="宋体"/>
          <w:b/>
          <w:bCs/>
          <w:sz w:val="24"/>
          <w:szCs w:val="24"/>
        </w:rPr>
        <w:t xml:space="preserve"> G</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Furfaro</w:t>
      </w:r>
      <w:proofErr w:type="spellEnd"/>
      <w:r w:rsidRPr="00142E9D">
        <w:rPr>
          <w:rFonts w:ascii="Book Antiqua" w:hAnsi="Book Antiqua" w:cs="宋体"/>
          <w:sz w:val="24"/>
          <w:szCs w:val="24"/>
        </w:rPr>
        <w:t xml:space="preserve"> F, Belvedere A, </w:t>
      </w:r>
      <w:proofErr w:type="spellStart"/>
      <w:r w:rsidRPr="00142E9D">
        <w:rPr>
          <w:rFonts w:ascii="Book Antiqua" w:hAnsi="Book Antiqua" w:cs="宋体"/>
          <w:sz w:val="24"/>
          <w:szCs w:val="24"/>
        </w:rPr>
        <w:t>Alibrandi</w:t>
      </w:r>
      <w:proofErr w:type="spellEnd"/>
      <w:r w:rsidRPr="00142E9D">
        <w:rPr>
          <w:rFonts w:ascii="Book Antiqua" w:hAnsi="Book Antiqua" w:cs="宋体"/>
          <w:sz w:val="24"/>
          <w:szCs w:val="24"/>
        </w:rPr>
        <w:t xml:space="preserve"> A, Fries W. </w:t>
      </w:r>
      <w:proofErr w:type="spellStart"/>
      <w:r w:rsidRPr="00142E9D">
        <w:rPr>
          <w:rFonts w:ascii="Book Antiqua" w:hAnsi="Book Antiqua" w:cs="宋体"/>
          <w:sz w:val="24"/>
          <w:szCs w:val="24"/>
        </w:rPr>
        <w:t>Thiopurine</w:t>
      </w:r>
      <w:proofErr w:type="spellEnd"/>
      <w:r w:rsidRPr="00142E9D">
        <w:rPr>
          <w:rFonts w:ascii="Book Antiqua" w:hAnsi="Book Antiqua" w:cs="宋体"/>
          <w:sz w:val="24"/>
          <w:szCs w:val="24"/>
        </w:rPr>
        <w:t xml:space="preserve"> treatment in inflammatory bowel disease: response predictors, safety, and withdrawal in follow-up. </w:t>
      </w:r>
      <w:r w:rsidRPr="00142E9D">
        <w:rPr>
          <w:rFonts w:ascii="Book Antiqua" w:hAnsi="Book Antiqua" w:cs="宋体"/>
          <w:i/>
          <w:iCs/>
          <w:sz w:val="24"/>
          <w:szCs w:val="24"/>
        </w:rPr>
        <w:t xml:space="preserve">J </w:t>
      </w:r>
      <w:proofErr w:type="spellStart"/>
      <w:r w:rsidRPr="00142E9D">
        <w:rPr>
          <w:rFonts w:ascii="Book Antiqua" w:hAnsi="Book Antiqua" w:cs="宋体"/>
          <w:i/>
          <w:iCs/>
          <w:sz w:val="24"/>
          <w:szCs w:val="24"/>
        </w:rPr>
        <w:t>Crohns</w:t>
      </w:r>
      <w:proofErr w:type="spellEnd"/>
      <w:r w:rsidRPr="00142E9D">
        <w:rPr>
          <w:rFonts w:ascii="Book Antiqua" w:hAnsi="Book Antiqua" w:cs="宋体"/>
          <w:i/>
          <w:iCs/>
          <w:sz w:val="24"/>
          <w:szCs w:val="24"/>
        </w:rPr>
        <w:t xml:space="preserve"> Colitis</w:t>
      </w:r>
      <w:r w:rsidRPr="00142E9D">
        <w:rPr>
          <w:rFonts w:ascii="Book Antiqua" w:hAnsi="Book Antiqua" w:cs="宋体"/>
          <w:sz w:val="24"/>
          <w:szCs w:val="24"/>
        </w:rPr>
        <w:t> 2012; </w:t>
      </w:r>
      <w:r w:rsidRPr="00142E9D">
        <w:rPr>
          <w:rFonts w:ascii="Book Antiqua" w:hAnsi="Book Antiqua" w:cs="宋体"/>
          <w:b/>
          <w:bCs/>
          <w:sz w:val="24"/>
          <w:szCs w:val="24"/>
        </w:rPr>
        <w:t>6</w:t>
      </w:r>
      <w:r w:rsidRPr="00142E9D">
        <w:rPr>
          <w:rFonts w:ascii="Book Antiqua" w:hAnsi="Book Antiqua" w:cs="宋体"/>
          <w:sz w:val="24"/>
          <w:szCs w:val="24"/>
        </w:rPr>
        <w:t>: 588-596 [PMID: 22398045 DOI: 10.1016/j.crohns.2011.11.007]</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43 </w:t>
      </w:r>
      <w:proofErr w:type="spellStart"/>
      <w:r w:rsidRPr="00142E9D">
        <w:rPr>
          <w:rFonts w:ascii="Book Antiqua" w:hAnsi="Book Antiqua" w:cs="宋体"/>
          <w:b/>
          <w:bCs/>
          <w:sz w:val="24"/>
          <w:szCs w:val="24"/>
        </w:rPr>
        <w:t>Melmed</w:t>
      </w:r>
      <w:proofErr w:type="spellEnd"/>
      <w:r w:rsidRPr="00142E9D">
        <w:rPr>
          <w:rFonts w:ascii="Book Antiqua" w:hAnsi="Book Antiqua" w:cs="宋体"/>
          <w:b/>
          <w:bCs/>
          <w:sz w:val="24"/>
          <w:szCs w:val="24"/>
        </w:rPr>
        <w:t xml:space="preserve"> GY</w:t>
      </w:r>
      <w:r w:rsidRPr="00142E9D">
        <w:rPr>
          <w:rFonts w:ascii="Book Antiqua" w:hAnsi="Book Antiqua" w:cs="宋体"/>
          <w:sz w:val="24"/>
          <w:szCs w:val="24"/>
        </w:rPr>
        <w:t xml:space="preserve">, Siegel CA, Spiegel BM, Allen JI, </w:t>
      </w:r>
      <w:proofErr w:type="spellStart"/>
      <w:r w:rsidRPr="00142E9D">
        <w:rPr>
          <w:rFonts w:ascii="Book Antiqua" w:hAnsi="Book Antiqua" w:cs="宋体"/>
          <w:sz w:val="24"/>
          <w:szCs w:val="24"/>
        </w:rPr>
        <w:t>Cima</w:t>
      </w:r>
      <w:proofErr w:type="spellEnd"/>
      <w:r w:rsidRPr="00142E9D">
        <w:rPr>
          <w:rFonts w:ascii="Book Antiqua" w:hAnsi="Book Antiqua" w:cs="宋体"/>
          <w:sz w:val="24"/>
          <w:szCs w:val="24"/>
        </w:rPr>
        <w:t xml:space="preserve"> R, </w:t>
      </w:r>
      <w:proofErr w:type="spellStart"/>
      <w:r w:rsidRPr="00142E9D">
        <w:rPr>
          <w:rFonts w:ascii="Book Antiqua" w:hAnsi="Book Antiqua" w:cs="宋体"/>
          <w:sz w:val="24"/>
          <w:szCs w:val="24"/>
        </w:rPr>
        <w:t>Colombel</w:t>
      </w:r>
      <w:proofErr w:type="spellEnd"/>
      <w:r w:rsidRPr="00142E9D">
        <w:rPr>
          <w:rFonts w:ascii="Book Antiqua" w:hAnsi="Book Antiqua" w:cs="宋体"/>
          <w:sz w:val="24"/>
          <w:szCs w:val="24"/>
        </w:rPr>
        <w:t xml:space="preserve"> JF, </w:t>
      </w:r>
      <w:proofErr w:type="spellStart"/>
      <w:r w:rsidRPr="00142E9D">
        <w:rPr>
          <w:rFonts w:ascii="Book Antiqua" w:hAnsi="Book Antiqua" w:cs="宋体"/>
          <w:sz w:val="24"/>
          <w:szCs w:val="24"/>
        </w:rPr>
        <w:t>Dassopoulos</w:t>
      </w:r>
      <w:proofErr w:type="spellEnd"/>
      <w:r w:rsidRPr="00142E9D">
        <w:rPr>
          <w:rFonts w:ascii="Book Antiqua" w:hAnsi="Book Antiqua" w:cs="宋体"/>
          <w:sz w:val="24"/>
          <w:szCs w:val="24"/>
        </w:rPr>
        <w:t xml:space="preserve"> T, Denson LA, Dudley-Brown S, Garb A, </w:t>
      </w:r>
      <w:proofErr w:type="spellStart"/>
      <w:r w:rsidRPr="00142E9D">
        <w:rPr>
          <w:rFonts w:ascii="Book Antiqua" w:hAnsi="Book Antiqua" w:cs="宋体"/>
          <w:sz w:val="24"/>
          <w:szCs w:val="24"/>
        </w:rPr>
        <w:t>Hanauer</w:t>
      </w:r>
      <w:proofErr w:type="spellEnd"/>
      <w:r w:rsidRPr="00142E9D">
        <w:rPr>
          <w:rFonts w:ascii="Book Antiqua" w:hAnsi="Book Antiqua" w:cs="宋体"/>
          <w:sz w:val="24"/>
          <w:szCs w:val="24"/>
        </w:rPr>
        <w:t xml:space="preserve"> SB, </w:t>
      </w:r>
      <w:proofErr w:type="spellStart"/>
      <w:r w:rsidRPr="00142E9D">
        <w:rPr>
          <w:rFonts w:ascii="Book Antiqua" w:hAnsi="Book Antiqua" w:cs="宋体"/>
          <w:sz w:val="24"/>
          <w:szCs w:val="24"/>
        </w:rPr>
        <w:t>Kappelman</w:t>
      </w:r>
      <w:proofErr w:type="spellEnd"/>
      <w:r w:rsidRPr="00142E9D">
        <w:rPr>
          <w:rFonts w:ascii="Book Antiqua" w:hAnsi="Book Antiqua" w:cs="宋体"/>
          <w:sz w:val="24"/>
          <w:szCs w:val="24"/>
        </w:rPr>
        <w:t xml:space="preserve"> MD, Lewis JD, Lynch I, Moynihan A, Rubin DT, Sartor RB, Schwartz RM, Wolf DC, Ullman TA. Quality indicators for inflammatory bowel disease: development of process and outcome measures.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2013; </w:t>
      </w:r>
      <w:r w:rsidRPr="00142E9D">
        <w:rPr>
          <w:rFonts w:ascii="Book Antiqua" w:hAnsi="Book Antiqua" w:cs="宋体"/>
          <w:b/>
          <w:bCs/>
          <w:sz w:val="24"/>
          <w:szCs w:val="24"/>
        </w:rPr>
        <w:t>19</w:t>
      </w:r>
      <w:r w:rsidRPr="00142E9D">
        <w:rPr>
          <w:rFonts w:ascii="Book Antiqua" w:hAnsi="Book Antiqua" w:cs="宋体"/>
          <w:sz w:val="24"/>
          <w:szCs w:val="24"/>
        </w:rPr>
        <w:t>: 662-668 [PMID: 23388547 DOI: 10.1097/mib.0b013e31828278a2]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44 </w:t>
      </w:r>
      <w:r w:rsidRPr="00142E9D">
        <w:rPr>
          <w:rFonts w:ascii="Book Antiqua" w:hAnsi="Book Antiqua" w:cs="宋体"/>
          <w:b/>
          <w:bCs/>
          <w:sz w:val="24"/>
          <w:szCs w:val="24"/>
        </w:rPr>
        <w:t>Wallace TM</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Veldhuyzen</w:t>
      </w:r>
      <w:proofErr w:type="spellEnd"/>
      <w:r w:rsidRPr="00142E9D">
        <w:rPr>
          <w:rFonts w:ascii="Book Antiqua" w:hAnsi="Book Antiqua" w:cs="宋体"/>
          <w:sz w:val="24"/>
          <w:szCs w:val="24"/>
        </w:rPr>
        <w:t xml:space="preserve"> van </w:t>
      </w:r>
      <w:proofErr w:type="spellStart"/>
      <w:r w:rsidRPr="00142E9D">
        <w:rPr>
          <w:rFonts w:ascii="Book Antiqua" w:hAnsi="Book Antiqua" w:cs="宋体"/>
          <w:sz w:val="24"/>
          <w:szCs w:val="24"/>
        </w:rPr>
        <w:t>Zanten</w:t>
      </w:r>
      <w:proofErr w:type="spellEnd"/>
      <w:r w:rsidRPr="00142E9D">
        <w:rPr>
          <w:rFonts w:ascii="Book Antiqua" w:hAnsi="Book Antiqua" w:cs="宋体"/>
          <w:sz w:val="24"/>
          <w:szCs w:val="24"/>
        </w:rPr>
        <w:t xml:space="preserve"> SJ. Frequency of use and standards of care for the use of azathioprine and 6-mercaptopurine in the treatment of inflammatory bowel disease: a systematic review of the literature and a survey of Canadian gastroenterologists. </w:t>
      </w:r>
      <w:r w:rsidRPr="00142E9D">
        <w:rPr>
          <w:rFonts w:ascii="Book Antiqua" w:hAnsi="Book Antiqua" w:cs="宋体"/>
          <w:i/>
          <w:iCs/>
          <w:sz w:val="24"/>
          <w:szCs w:val="24"/>
        </w:rPr>
        <w:t xml:space="preserve">Can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2001; </w:t>
      </w:r>
      <w:r w:rsidRPr="00142E9D">
        <w:rPr>
          <w:rFonts w:ascii="Book Antiqua" w:hAnsi="Book Antiqua" w:cs="宋体"/>
          <w:b/>
          <w:bCs/>
          <w:sz w:val="24"/>
          <w:szCs w:val="24"/>
        </w:rPr>
        <w:t>15</w:t>
      </w:r>
      <w:r w:rsidRPr="00142E9D">
        <w:rPr>
          <w:rFonts w:ascii="Book Antiqua" w:hAnsi="Book Antiqua" w:cs="宋体"/>
          <w:sz w:val="24"/>
          <w:szCs w:val="24"/>
        </w:rPr>
        <w:t>: 21-28 [PMID: 11173323]</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45 </w:t>
      </w:r>
      <w:proofErr w:type="spellStart"/>
      <w:r w:rsidRPr="00142E9D">
        <w:rPr>
          <w:rFonts w:ascii="Book Antiqua" w:hAnsi="Book Antiqua" w:cs="宋体"/>
          <w:b/>
          <w:bCs/>
          <w:sz w:val="24"/>
          <w:szCs w:val="24"/>
        </w:rPr>
        <w:t>Roblin</w:t>
      </w:r>
      <w:proofErr w:type="spellEnd"/>
      <w:r w:rsidRPr="00142E9D">
        <w:rPr>
          <w:rFonts w:ascii="Book Antiqua" w:hAnsi="Book Antiqua" w:cs="宋体"/>
          <w:b/>
          <w:bCs/>
          <w:sz w:val="24"/>
          <w:szCs w:val="24"/>
        </w:rPr>
        <w:t xml:space="preserve"> X</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Oussalah</w:t>
      </w:r>
      <w:proofErr w:type="spellEnd"/>
      <w:r w:rsidRPr="00142E9D">
        <w:rPr>
          <w:rFonts w:ascii="Book Antiqua" w:hAnsi="Book Antiqua" w:cs="宋体"/>
          <w:sz w:val="24"/>
          <w:szCs w:val="24"/>
        </w:rPr>
        <w:t xml:space="preserve"> A, </w:t>
      </w:r>
      <w:proofErr w:type="spellStart"/>
      <w:r w:rsidRPr="00142E9D">
        <w:rPr>
          <w:rFonts w:ascii="Book Antiqua" w:hAnsi="Book Antiqua" w:cs="宋体"/>
          <w:sz w:val="24"/>
          <w:szCs w:val="24"/>
        </w:rPr>
        <w:t>Chevaux</w:t>
      </w:r>
      <w:proofErr w:type="spellEnd"/>
      <w:r w:rsidRPr="00142E9D">
        <w:rPr>
          <w:rFonts w:ascii="Book Antiqua" w:hAnsi="Book Antiqua" w:cs="宋体"/>
          <w:sz w:val="24"/>
          <w:szCs w:val="24"/>
        </w:rPr>
        <w:t xml:space="preserve"> JB, Sparrow M, </w:t>
      </w:r>
      <w:proofErr w:type="spellStart"/>
      <w:r w:rsidRPr="00142E9D">
        <w:rPr>
          <w:rFonts w:ascii="Book Antiqua" w:hAnsi="Book Antiqua" w:cs="宋体"/>
          <w:sz w:val="24"/>
          <w:szCs w:val="24"/>
        </w:rPr>
        <w:t>Peyrin-Biroulet</w:t>
      </w:r>
      <w:proofErr w:type="spellEnd"/>
      <w:r w:rsidRPr="00142E9D">
        <w:rPr>
          <w:rFonts w:ascii="Book Antiqua" w:hAnsi="Book Antiqua" w:cs="宋体"/>
          <w:sz w:val="24"/>
          <w:szCs w:val="24"/>
        </w:rPr>
        <w:t xml:space="preserve"> L. Use of </w:t>
      </w:r>
      <w:proofErr w:type="spellStart"/>
      <w:r w:rsidRPr="00142E9D">
        <w:rPr>
          <w:rFonts w:ascii="Book Antiqua" w:hAnsi="Book Antiqua" w:cs="宋体"/>
          <w:sz w:val="24"/>
          <w:szCs w:val="24"/>
        </w:rPr>
        <w:t>thiopurine</w:t>
      </w:r>
      <w:proofErr w:type="spellEnd"/>
      <w:r w:rsidRPr="00142E9D">
        <w:rPr>
          <w:rFonts w:ascii="Book Antiqua" w:hAnsi="Book Antiqua" w:cs="宋体"/>
          <w:sz w:val="24"/>
          <w:szCs w:val="24"/>
        </w:rPr>
        <w:t xml:space="preserve"> testing in the management of inflammatory bowel diseases in clinical practice: a worldwide survey of experts.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2011; </w:t>
      </w:r>
      <w:r w:rsidRPr="00142E9D">
        <w:rPr>
          <w:rFonts w:ascii="Book Antiqua" w:hAnsi="Book Antiqua" w:cs="宋体"/>
          <w:b/>
          <w:bCs/>
          <w:sz w:val="24"/>
          <w:szCs w:val="24"/>
        </w:rPr>
        <w:t>17</w:t>
      </w:r>
      <w:r w:rsidRPr="00142E9D">
        <w:rPr>
          <w:rFonts w:ascii="Book Antiqua" w:hAnsi="Book Antiqua" w:cs="宋体"/>
          <w:sz w:val="24"/>
          <w:szCs w:val="24"/>
        </w:rPr>
        <w:t>: 2480-2487 [PMID: 21351210 DOI: 10.1002/ibd.21662]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46 </w:t>
      </w:r>
      <w:proofErr w:type="spellStart"/>
      <w:r w:rsidRPr="00142E9D">
        <w:rPr>
          <w:rFonts w:ascii="Book Antiqua" w:hAnsi="Book Antiqua" w:cs="宋体"/>
          <w:b/>
          <w:bCs/>
          <w:sz w:val="24"/>
          <w:szCs w:val="24"/>
        </w:rPr>
        <w:t>Setshedi</w:t>
      </w:r>
      <w:proofErr w:type="spellEnd"/>
      <w:r w:rsidRPr="00142E9D">
        <w:rPr>
          <w:rFonts w:ascii="Book Antiqua" w:hAnsi="Book Antiqua" w:cs="宋体"/>
          <w:b/>
          <w:bCs/>
          <w:sz w:val="24"/>
          <w:szCs w:val="24"/>
        </w:rPr>
        <w:t xml:space="preserve"> M</w:t>
      </w:r>
      <w:r w:rsidRPr="00142E9D">
        <w:rPr>
          <w:rFonts w:ascii="Book Antiqua" w:hAnsi="Book Antiqua" w:cs="宋体"/>
          <w:sz w:val="24"/>
          <w:szCs w:val="24"/>
        </w:rPr>
        <w:t xml:space="preserve">, Epstein D, Winter TA, Myer L, </w:t>
      </w:r>
      <w:proofErr w:type="spellStart"/>
      <w:r w:rsidRPr="00142E9D">
        <w:rPr>
          <w:rFonts w:ascii="Book Antiqua" w:hAnsi="Book Antiqua" w:cs="宋体"/>
          <w:sz w:val="24"/>
          <w:szCs w:val="24"/>
        </w:rPr>
        <w:t>Watermeyer</w:t>
      </w:r>
      <w:proofErr w:type="spellEnd"/>
      <w:r w:rsidRPr="00142E9D">
        <w:rPr>
          <w:rFonts w:ascii="Book Antiqua" w:hAnsi="Book Antiqua" w:cs="宋体"/>
          <w:sz w:val="24"/>
          <w:szCs w:val="24"/>
        </w:rPr>
        <w:t xml:space="preserve"> G, </w:t>
      </w:r>
      <w:proofErr w:type="spellStart"/>
      <w:r w:rsidRPr="00142E9D">
        <w:rPr>
          <w:rFonts w:ascii="Book Antiqua" w:hAnsi="Book Antiqua" w:cs="宋体"/>
          <w:sz w:val="24"/>
          <w:szCs w:val="24"/>
        </w:rPr>
        <w:t>Hift</w:t>
      </w:r>
      <w:proofErr w:type="spellEnd"/>
      <w:r w:rsidRPr="00142E9D">
        <w:rPr>
          <w:rFonts w:ascii="Book Antiqua" w:hAnsi="Book Antiqua" w:cs="宋体"/>
          <w:sz w:val="24"/>
          <w:szCs w:val="24"/>
        </w:rPr>
        <w:t xml:space="preserve"> R. Use of </w:t>
      </w:r>
      <w:proofErr w:type="spellStart"/>
      <w:r w:rsidRPr="00142E9D">
        <w:rPr>
          <w:rFonts w:ascii="Book Antiqua" w:hAnsi="Book Antiqua" w:cs="宋体"/>
          <w:sz w:val="24"/>
          <w:szCs w:val="24"/>
        </w:rPr>
        <w:t>thiopurines</w:t>
      </w:r>
      <w:proofErr w:type="spellEnd"/>
      <w:r w:rsidRPr="00142E9D">
        <w:rPr>
          <w:rFonts w:ascii="Book Antiqua" w:hAnsi="Book Antiqua" w:cs="宋体"/>
          <w:sz w:val="24"/>
          <w:szCs w:val="24"/>
        </w:rPr>
        <w:t xml:space="preserve"> in the treatment of inflammatory bowel disease is associated with an increased risk of non-melanoma skin cancer in an at-risk population: a cohort study. </w:t>
      </w:r>
      <w:r w:rsidRPr="00142E9D">
        <w:rPr>
          <w:rFonts w:ascii="Book Antiqua" w:hAnsi="Book Antiqua" w:cs="宋体"/>
          <w:i/>
          <w:iCs/>
          <w:sz w:val="24"/>
          <w:szCs w:val="24"/>
        </w:rPr>
        <w:t xml:space="preserve">J </w:t>
      </w:r>
      <w:proofErr w:type="spellStart"/>
      <w:r w:rsidRPr="00142E9D">
        <w:rPr>
          <w:rFonts w:ascii="Book Antiqua" w:hAnsi="Book Antiqua" w:cs="宋体"/>
          <w:i/>
          <w:iCs/>
          <w:sz w:val="24"/>
          <w:szCs w:val="24"/>
        </w:rPr>
        <w:t>Gastroenterol</w:t>
      </w:r>
      <w:proofErr w:type="spellEnd"/>
      <w:r w:rsidRPr="00142E9D">
        <w:rPr>
          <w:rFonts w:ascii="Book Antiqua" w:hAnsi="Book Antiqua" w:cs="宋体"/>
          <w:i/>
          <w:iCs/>
          <w:sz w:val="24"/>
          <w:szCs w:val="24"/>
        </w:rPr>
        <w:t xml:space="preserve"> </w:t>
      </w:r>
      <w:proofErr w:type="spellStart"/>
      <w:r w:rsidRPr="00142E9D">
        <w:rPr>
          <w:rFonts w:ascii="Book Antiqua" w:hAnsi="Book Antiqua" w:cs="宋体"/>
          <w:i/>
          <w:iCs/>
          <w:sz w:val="24"/>
          <w:szCs w:val="24"/>
        </w:rPr>
        <w:t>Hepatol</w:t>
      </w:r>
      <w:proofErr w:type="spellEnd"/>
      <w:r w:rsidRPr="00142E9D">
        <w:rPr>
          <w:rFonts w:ascii="Book Antiqua" w:hAnsi="Book Antiqua" w:cs="宋体"/>
          <w:sz w:val="24"/>
          <w:szCs w:val="24"/>
        </w:rPr>
        <w:t> 2012; </w:t>
      </w:r>
      <w:r w:rsidRPr="00142E9D">
        <w:rPr>
          <w:rFonts w:ascii="Book Antiqua" w:hAnsi="Book Antiqua" w:cs="宋体"/>
          <w:b/>
          <w:bCs/>
          <w:sz w:val="24"/>
          <w:szCs w:val="24"/>
        </w:rPr>
        <w:t>27</w:t>
      </w:r>
      <w:r w:rsidRPr="00142E9D">
        <w:rPr>
          <w:rFonts w:ascii="Book Antiqua" w:hAnsi="Book Antiqua" w:cs="宋体"/>
          <w:sz w:val="24"/>
          <w:szCs w:val="24"/>
        </w:rPr>
        <w:t>: 385-389 [PMID: 21793904 DOI: 10.1111/j.1440-1746.2011.06865.x]</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47 </w:t>
      </w:r>
      <w:proofErr w:type="spellStart"/>
      <w:r w:rsidRPr="00142E9D">
        <w:rPr>
          <w:rFonts w:ascii="Book Antiqua" w:hAnsi="Book Antiqua" w:cs="宋体"/>
          <w:b/>
          <w:bCs/>
          <w:sz w:val="24"/>
          <w:szCs w:val="24"/>
        </w:rPr>
        <w:t>Peyrin-Biroulet</w:t>
      </w:r>
      <w:proofErr w:type="spellEnd"/>
      <w:r w:rsidRPr="00142E9D">
        <w:rPr>
          <w:rFonts w:ascii="Book Antiqua" w:hAnsi="Book Antiqua" w:cs="宋体"/>
          <w:b/>
          <w:bCs/>
          <w:sz w:val="24"/>
          <w:szCs w:val="24"/>
        </w:rPr>
        <w:t xml:space="preserve"> L</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Khosrotehrani</w:t>
      </w:r>
      <w:proofErr w:type="spellEnd"/>
      <w:r w:rsidRPr="00142E9D">
        <w:rPr>
          <w:rFonts w:ascii="Book Antiqua" w:hAnsi="Book Antiqua" w:cs="宋体"/>
          <w:sz w:val="24"/>
          <w:szCs w:val="24"/>
        </w:rPr>
        <w:t xml:space="preserve"> K, </w:t>
      </w:r>
      <w:proofErr w:type="spellStart"/>
      <w:r w:rsidRPr="00142E9D">
        <w:rPr>
          <w:rFonts w:ascii="Book Antiqua" w:hAnsi="Book Antiqua" w:cs="宋体"/>
          <w:sz w:val="24"/>
          <w:szCs w:val="24"/>
        </w:rPr>
        <w:t>Carrat</w:t>
      </w:r>
      <w:proofErr w:type="spellEnd"/>
      <w:r w:rsidRPr="00142E9D">
        <w:rPr>
          <w:rFonts w:ascii="Book Antiqua" w:hAnsi="Book Antiqua" w:cs="宋体"/>
          <w:sz w:val="24"/>
          <w:szCs w:val="24"/>
        </w:rPr>
        <w:t xml:space="preserve"> F, </w:t>
      </w:r>
      <w:proofErr w:type="spellStart"/>
      <w:r w:rsidRPr="00142E9D">
        <w:rPr>
          <w:rFonts w:ascii="Book Antiqua" w:hAnsi="Book Antiqua" w:cs="宋体"/>
          <w:sz w:val="24"/>
          <w:szCs w:val="24"/>
        </w:rPr>
        <w:t>Bouvier</w:t>
      </w:r>
      <w:proofErr w:type="spellEnd"/>
      <w:r w:rsidRPr="00142E9D">
        <w:rPr>
          <w:rFonts w:ascii="Book Antiqua" w:hAnsi="Book Antiqua" w:cs="宋体"/>
          <w:sz w:val="24"/>
          <w:szCs w:val="24"/>
        </w:rPr>
        <w:t xml:space="preserve"> AM, </w:t>
      </w:r>
      <w:proofErr w:type="spellStart"/>
      <w:r w:rsidRPr="00142E9D">
        <w:rPr>
          <w:rFonts w:ascii="Book Antiqua" w:hAnsi="Book Antiqua" w:cs="宋体"/>
          <w:sz w:val="24"/>
          <w:szCs w:val="24"/>
        </w:rPr>
        <w:t>Chevaux</w:t>
      </w:r>
      <w:proofErr w:type="spellEnd"/>
      <w:r w:rsidRPr="00142E9D">
        <w:rPr>
          <w:rFonts w:ascii="Book Antiqua" w:hAnsi="Book Antiqua" w:cs="宋体"/>
          <w:sz w:val="24"/>
          <w:szCs w:val="24"/>
        </w:rPr>
        <w:t xml:space="preserve"> JB, Simon T, </w:t>
      </w:r>
      <w:proofErr w:type="spellStart"/>
      <w:r w:rsidRPr="00142E9D">
        <w:rPr>
          <w:rFonts w:ascii="Book Antiqua" w:hAnsi="Book Antiqua" w:cs="宋体"/>
          <w:sz w:val="24"/>
          <w:szCs w:val="24"/>
        </w:rPr>
        <w:t>Carbonnel</w:t>
      </w:r>
      <w:proofErr w:type="spellEnd"/>
      <w:r w:rsidRPr="00142E9D">
        <w:rPr>
          <w:rFonts w:ascii="Book Antiqua" w:hAnsi="Book Antiqua" w:cs="宋体"/>
          <w:sz w:val="24"/>
          <w:szCs w:val="24"/>
        </w:rPr>
        <w:t xml:space="preserve"> F, </w:t>
      </w:r>
      <w:proofErr w:type="spellStart"/>
      <w:r w:rsidRPr="00142E9D">
        <w:rPr>
          <w:rFonts w:ascii="Book Antiqua" w:hAnsi="Book Antiqua" w:cs="宋体"/>
          <w:sz w:val="24"/>
          <w:szCs w:val="24"/>
        </w:rPr>
        <w:t>Colombel</w:t>
      </w:r>
      <w:proofErr w:type="spellEnd"/>
      <w:r w:rsidRPr="00142E9D">
        <w:rPr>
          <w:rFonts w:ascii="Book Antiqua" w:hAnsi="Book Antiqua" w:cs="宋体"/>
          <w:sz w:val="24"/>
          <w:szCs w:val="24"/>
        </w:rPr>
        <w:t xml:space="preserve"> JF, </w:t>
      </w:r>
      <w:proofErr w:type="spellStart"/>
      <w:r w:rsidRPr="00142E9D">
        <w:rPr>
          <w:rFonts w:ascii="Book Antiqua" w:hAnsi="Book Antiqua" w:cs="宋体"/>
          <w:sz w:val="24"/>
          <w:szCs w:val="24"/>
        </w:rPr>
        <w:t>Dupas</w:t>
      </w:r>
      <w:proofErr w:type="spellEnd"/>
      <w:r w:rsidRPr="00142E9D">
        <w:rPr>
          <w:rFonts w:ascii="Book Antiqua" w:hAnsi="Book Antiqua" w:cs="宋体"/>
          <w:sz w:val="24"/>
          <w:szCs w:val="24"/>
        </w:rPr>
        <w:t xml:space="preserve"> JL, </w:t>
      </w:r>
      <w:proofErr w:type="spellStart"/>
      <w:r w:rsidRPr="00142E9D">
        <w:rPr>
          <w:rFonts w:ascii="Book Antiqua" w:hAnsi="Book Antiqua" w:cs="宋体"/>
          <w:sz w:val="24"/>
          <w:szCs w:val="24"/>
        </w:rPr>
        <w:t>Godeberge</w:t>
      </w:r>
      <w:proofErr w:type="spellEnd"/>
      <w:r w:rsidRPr="00142E9D">
        <w:rPr>
          <w:rFonts w:ascii="Book Antiqua" w:hAnsi="Book Antiqua" w:cs="宋体"/>
          <w:sz w:val="24"/>
          <w:szCs w:val="24"/>
        </w:rPr>
        <w:t xml:space="preserve"> P, </w:t>
      </w:r>
      <w:proofErr w:type="spellStart"/>
      <w:r w:rsidRPr="00142E9D">
        <w:rPr>
          <w:rFonts w:ascii="Book Antiqua" w:hAnsi="Book Antiqua" w:cs="宋体"/>
          <w:sz w:val="24"/>
          <w:szCs w:val="24"/>
        </w:rPr>
        <w:t>Hugot</w:t>
      </w:r>
      <w:proofErr w:type="spellEnd"/>
      <w:r w:rsidRPr="00142E9D">
        <w:rPr>
          <w:rFonts w:ascii="Book Antiqua" w:hAnsi="Book Antiqua" w:cs="宋体"/>
          <w:sz w:val="24"/>
          <w:szCs w:val="24"/>
        </w:rPr>
        <w:t xml:space="preserve"> JP, </w:t>
      </w:r>
      <w:proofErr w:type="spellStart"/>
      <w:r w:rsidRPr="00142E9D">
        <w:rPr>
          <w:rFonts w:ascii="Book Antiqua" w:hAnsi="Book Antiqua" w:cs="宋体"/>
          <w:sz w:val="24"/>
          <w:szCs w:val="24"/>
        </w:rPr>
        <w:t>Lémann</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Nahon</w:t>
      </w:r>
      <w:proofErr w:type="spellEnd"/>
      <w:r w:rsidRPr="00142E9D">
        <w:rPr>
          <w:rFonts w:ascii="Book Antiqua" w:hAnsi="Book Antiqua" w:cs="宋体"/>
          <w:sz w:val="24"/>
          <w:szCs w:val="24"/>
        </w:rPr>
        <w:t xml:space="preserve"> S, </w:t>
      </w:r>
      <w:proofErr w:type="spellStart"/>
      <w:r w:rsidRPr="00142E9D">
        <w:rPr>
          <w:rFonts w:ascii="Book Antiqua" w:hAnsi="Book Antiqua" w:cs="宋体"/>
          <w:sz w:val="24"/>
          <w:szCs w:val="24"/>
        </w:rPr>
        <w:t>Sabaté</w:t>
      </w:r>
      <w:proofErr w:type="spellEnd"/>
      <w:r w:rsidRPr="00142E9D">
        <w:rPr>
          <w:rFonts w:ascii="Book Antiqua" w:hAnsi="Book Antiqua" w:cs="宋体"/>
          <w:sz w:val="24"/>
          <w:szCs w:val="24"/>
        </w:rPr>
        <w:t xml:space="preserve"> JM, </w:t>
      </w:r>
      <w:proofErr w:type="spellStart"/>
      <w:r w:rsidRPr="00142E9D">
        <w:rPr>
          <w:rFonts w:ascii="Book Antiqua" w:hAnsi="Book Antiqua" w:cs="宋体"/>
          <w:sz w:val="24"/>
          <w:szCs w:val="24"/>
        </w:rPr>
        <w:t>Tucat</w:t>
      </w:r>
      <w:proofErr w:type="spellEnd"/>
      <w:r w:rsidRPr="00142E9D">
        <w:rPr>
          <w:rFonts w:ascii="Book Antiqua" w:hAnsi="Book Antiqua" w:cs="宋体"/>
          <w:sz w:val="24"/>
          <w:szCs w:val="24"/>
        </w:rPr>
        <w:t xml:space="preserve"> G, </w:t>
      </w:r>
      <w:proofErr w:type="spellStart"/>
      <w:r w:rsidRPr="00142E9D">
        <w:rPr>
          <w:rFonts w:ascii="Book Antiqua" w:hAnsi="Book Antiqua" w:cs="宋体"/>
          <w:sz w:val="24"/>
          <w:szCs w:val="24"/>
        </w:rPr>
        <w:t>Beaugerie</w:t>
      </w:r>
      <w:proofErr w:type="spellEnd"/>
      <w:r w:rsidRPr="00142E9D">
        <w:rPr>
          <w:rFonts w:ascii="Book Antiqua" w:hAnsi="Book Antiqua" w:cs="宋体"/>
          <w:sz w:val="24"/>
          <w:szCs w:val="24"/>
        </w:rPr>
        <w:t xml:space="preserve"> L. Increased risk for </w:t>
      </w:r>
      <w:proofErr w:type="spellStart"/>
      <w:r w:rsidRPr="00142E9D">
        <w:rPr>
          <w:rFonts w:ascii="Book Antiqua" w:hAnsi="Book Antiqua" w:cs="宋体"/>
          <w:sz w:val="24"/>
          <w:szCs w:val="24"/>
        </w:rPr>
        <w:t>nonmelanoma</w:t>
      </w:r>
      <w:proofErr w:type="spellEnd"/>
      <w:r w:rsidRPr="00142E9D">
        <w:rPr>
          <w:rFonts w:ascii="Book Antiqua" w:hAnsi="Book Antiqua" w:cs="宋体"/>
          <w:sz w:val="24"/>
          <w:szCs w:val="24"/>
        </w:rPr>
        <w:t xml:space="preserve"> skin cancers in patients who receive </w:t>
      </w:r>
      <w:proofErr w:type="spellStart"/>
      <w:r w:rsidRPr="00142E9D">
        <w:rPr>
          <w:rFonts w:ascii="Book Antiqua" w:hAnsi="Book Antiqua" w:cs="宋体"/>
          <w:sz w:val="24"/>
          <w:szCs w:val="24"/>
        </w:rPr>
        <w:t>thiopurines</w:t>
      </w:r>
      <w:proofErr w:type="spellEnd"/>
      <w:r w:rsidRPr="00142E9D">
        <w:rPr>
          <w:rFonts w:ascii="Book Antiqua" w:hAnsi="Book Antiqua" w:cs="宋体"/>
          <w:sz w:val="24"/>
          <w:szCs w:val="24"/>
        </w:rPr>
        <w:t xml:space="preserve"> for inflammatory bowel </w:t>
      </w:r>
      <w:r w:rsidRPr="00142E9D">
        <w:rPr>
          <w:rFonts w:ascii="Book Antiqua" w:hAnsi="Book Antiqua" w:cs="宋体"/>
          <w:sz w:val="24"/>
          <w:szCs w:val="24"/>
        </w:rPr>
        <w:lastRenderedPageBreak/>
        <w:t>disease. </w:t>
      </w:r>
      <w:r w:rsidRPr="00142E9D">
        <w:rPr>
          <w:rFonts w:ascii="Book Antiqua" w:hAnsi="Book Antiqua" w:cs="宋体"/>
          <w:i/>
          <w:iCs/>
          <w:sz w:val="24"/>
          <w:szCs w:val="24"/>
        </w:rPr>
        <w:t>Gastroenterology</w:t>
      </w:r>
      <w:r w:rsidRPr="00142E9D">
        <w:rPr>
          <w:rFonts w:ascii="Book Antiqua" w:hAnsi="Book Antiqua" w:cs="宋体"/>
          <w:sz w:val="24"/>
          <w:szCs w:val="24"/>
        </w:rPr>
        <w:t> 2011; </w:t>
      </w:r>
      <w:r w:rsidRPr="00142E9D">
        <w:rPr>
          <w:rFonts w:ascii="Book Antiqua" w:hAnsi="Book Antiqua" w:cs="宋体"/>
          <w:b/>
          <w:bCs/>
          <w:sz w:val="24"/>
          <w:szCs w:val="24"/>
        </w:rPr>
        <w:t>141</w:t>
      </w:r>
      <w:r w:rsidRPr="00142E9D">
        <w:rPr>
          <w:rFonts w:ascii="Book Antiqua" w:hAnsi="Book Antiqua" w:cs="宋体"/>
          <w:sz w:val="24"/>
          <w:szCs w:val="24"/>
        </w:rPr>
        <w:t>: 1621-28.e1-5 [PMID: 21708105 DOI: 10.1053/j.gastro.2011.06.050]</w:t>
      </w:r>
    </w:p>
    <w:p w:rsidR="00CD552B" w:rsidRPr="00142E9D" w:rsidRDefault="00CD552B" w:rsidP="00B67F56">
      <w:pPr>
        <w:spacing w:line="360" w:lineRule="auto"/>
        <w:jc w:val="both"/>
        <w:rPr>
          <w:rFonts w:ascii="Book Antiqua" w:hAnsi="Book Antiqua" w:cs="宋体"/>
          <w:sz w:val="24"/>
          <w:szCs w:val="24"/>
        </w:rPr>
      </w:pPr>
      <w:r>
        <w:rPr>
          <w:rFonts w:ascii="Book Antiqua" w:hAnsi="Book Antiqua" w:cs="宋体"/>
          <w:sz w:val="24"/>
          <w:szCs w:val="24"/>
        </w:rPr>
        <w:t>48</w:t>
      </w:r>
      <w:r w:rsidRPr="00142E9D">
        <w:rPr>
          <w:rFonts w:ascii="Book Antiqua" w:hAnsi="Book Antiqua" w:cs="宋体"/>
          <w:sz w:val="24"/>
          <w:szCs w:val="24"/>
        </w:rPr>
        <w:t xml:space="preserve"> Extra-intestinal malignancies in inflammatory bowel disease: Results of the 3rd ECCO Pathogenesis Scientific Workshop (III). </w:t>
      </w:r>
      <w:r w:rsidRPr="00142E9D">
        <w:rPr>
          <w:rFonts w:ascii="Book Antiqua" w:hAnsi="Book Antiqua" w:cs="宋体"/>
          <w:i/>
          <w:iCs/>
          <w:sz w:val="24"/>
          <w:szCs w:val="24"/>
        </w:rPr>
        <w:t xml:space="preserve">J </w:t>
      </w:r>
      <w:proofErr w:type="spellStart"/>
      <w:r w:rsidRPr="00142E9D">
        <w:rPr>
          <w:rFonts w:ascii="Book Antiqua" w:hAnsi="Book Antiqua" w:cs="宋体"/>
          <w:i/>
          <w:iCs/>
          <w:sz w:val="24"/>
          <w:szCs w:val="24"/>
        </w:rPr>
        <w:t>Crohns</w:t>
      </w:r>
      <w:proofErr w:type="spellEnd"/>
      <w:r w:rsidRPr="00142E9D">
        <w:rPr>
          <w:rFonts w:ascii="Book Antiqua" w:hAnsi="Book Antiqua" w:cs="宋体"/>
          <w:i/>
          <w:iCs/>
          <w:sz w:val="24"/>
          <w:szCs w:val="24"/>
        </w:rPr>
        <w:t xml:space="preserve"> Colitis</w:t>
      </w:r>
      <w:r w:rsidRPr="00142E9D">
        <w:rPr>
          <w:rFonts w:ascii="Book Antiqua" w:hAnsi="Book Antiqua" w:cs="宋体"/>
          <w:sz w:val="24"/>
          <w:szCs w:val="24"/>
        </w:rPr>
        <w:t> 2013; [PMID: 23721759 DOI: 10.1016/j.crohns.2013.04.006]</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49 </w:t>
      </w:r>
      <w:r w:rsidRPr="00142E9D">
        <w:rPr>
          <w:rFonts w:ascii="Book Antiqua" w:hAnsi="Book Antiqua" w:cs="宋体"/>
          <w:b/>
          <w:bCs/>
          <w:sz w:val="24"/>
          <w:szCs w:val="24"/>
        </w:rPr>
        <w:t>De Luca JF</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Severino</w:t>
      </w:r>
      <w:proofErr w:type="spellEnd"/>
      <w:r w:rsidRPr="00142E9D">
        <w:rPr>
          <w:rFonts w:ascii="Book Antiqua" w:hAnsi="Book Antiqua" w:cs="宋体"/>
          <w:sz w:val="24"/>
          <w:szCs w:val="24"/>
        </w:rPr>
        <w:t xml:space="preserve"> R, Lee YS, Johnson D. Dermatologist and gastroenterologist awareness of the potential of </w:t>
      </w:r>
      <w:proofErr w:type="spellStart"/>
      <w:r w:rsidRPr="00142E9D">
        <w:rPr>
          <w:rFonts w:ascii="Book Antiqua" w:hAnsi="Book Antiqua" w:cs="宋体"/>
          <w:sz w:val="24"/>
          <w:szCs w:val="24"/>
        </w:rPr>
        <w:t>immunosuppressants</w:t>
      </w:r>
      <w:proofErr w:type="spellEnd"/>
      <w:r w:rsidRPr="00142E9D">
        <w:rPr>
          <w:rFonts w:ascii="Book Antiqua" w:hAnsi="Book Antiqua" w:cs="宋体"/>
          <w:sz w:val="24"/>
          <w:szCs w:val="24"/>
        </w:rPr>
        <w:t xml:space="preserve"> used to treat inflammatory bowel disease to cause non-melanoma skin cancer. </w:t>
      </w:r>
      <w:proofErr w:type="spellStart"/>
      <w:r w:rsidRPr="00142E9D">
        <w:rPr>
          <w:rFonts w:ascii="Book Antiqua" w:hAnsi="Book Antiqua" w:cs="宋体"/>
          <w:i/>
          <w:iCs/>
          <w:sz w:val="24"/>
          <w:szCs w:val="24"/>
        </w:rPr>
        <w:t>Int</w:t>
      </w:r>
      <w:proofErr w:type="spellEnd"/>
      <w:r w:rsidRPr="00142E9D">
        <w:rPr>
          <w:rFonts w:ascii="Book Antiqua" w:hAnsi="Book Antiqua" w:cs="宋体"/>
          <w:i/>
          <w:iCs/>
          <w:sz w:val="24"/>
          <w:szCs w:val="24"/>
        </w:rPr>
        <w:t xml:space="preserve"> J </w:t>
      </w:r>
      <w:proofErr w:type="spellStart"/>
      <w:r w:rsidRPr="00142E9D">
        <w:rPr>
          <w:rFonts w:ascii="Book Antiqua" w:hAnsi="Book Antiqua" w:cs="宋体"/>
          <w:i/>
          <w:iCs/>
          <w:sz w:val="24"/>
          <w:szCs w:val="24"/>
        </w:rPr>
        <w:t>Dermatol</w:t>
      </w:r>
      <w:proofErr w:type="spellEnd"/>
      <w:r w:rsidRPr="00142E9D">
        <w:rPr>
          <w:rFonts w:ascii="Book Antiqua" w:hAnsi="Book Antiqua" w:cs="宋体"/>
          <w:sz w:val="24"/>
          <w:szCs w:val="24"/>
        </w:rPr>
        <w:t> 2013; </w:t>
      </w:r>
      <w:r w:rsidRPr="00142E9D">
        <w:rPr>
          <w:rFonts w:ascii="Book Antiqua" w:hAnsi="Book Antiqua" w:cs="宋体"/>
          <w:b/>
          <w:bCs/>
          <w:sz w:val="24"/>
          <w:szCs w:val="24"/>
        </w:rPr>
        <w:t>52</w:t>
      </w:r>
      <w:r w:rsidRPr="00142E9D">
        <w:rPr>
          <w:rFonts w:ascii="Book Antiqua" w:hAnsi="Book Antiqua" w:cs="宋体"/>
          <w:sz w:val="24"/>
          <w:szCs w:val="24"/>
        </w:rPr>
        <w:t>: 955-959 [PMID: 23556532 DOI: 10.1111/j.1365-4632.2012.5612.x]</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50 </w:t>
      </w:r>
      <w:proofErr w:type="spellStart"/>
      <w:r w:rsidRPr="00142E9D">
        <w:rPr>
          <w:rFonts w:ascii="Book Antiqua" w:hAnsi="Book Antiqua" w:cs="宋体"/>
          <w:b/>
          <w:bCs/>
          <w:sz w:val="24"/>
          <w:szCs w:val="24"/>
        </w:rPr>
        <w:t>Ranji</w:t>
      </w:r>
      <w:proofErr w:type="spellEnd"/>
      <w:r w:rsidRPr="00142E9D">
        <w:rPr>
          <w:rFonts w:ascii="Book Antiqua" w:hAnsi="Book Antiqua" w:cs="宋体"/>
          <w:b/>
          <w:bCs/>
          <w:sz w:val="24"/>
          <w:szCs w:val="24"/>
        </w:rPr>
        <w:t xml:space="preserve"> SR</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Shojania</w:t>
      </w:r>
      <w:proofErr w:type="spellEnd"/>
      <w:r w:rsidRPr="00142E9D">
        <w:rPr>
          <w:rFonts w:ascii="Book Antiqua" w:hAnsi="Book Antiqua" w:cs="宋体"/>
          <w:sz w:val="24"/>
          <w:szCs w:val="24"/>
        </w:rPr>
        <w:t xml:space="preserve"> KG. Implementing patient safety interventions in your hospital: what to try and what to avoid. </w:t>
      </w:r>
      <w:r w:rsidRPr="00142E9D">
        <w:rPr>
          <w:rFonts w:ascii="Book Antiqua" w:hAnsi="Book Antiqua" w:cs="宋体"/>
          <w:i/>
          <w:iCs/>
          <w:sz w:val="24"/>
          <w:szCs w:val="24"/>
        </w:rPr>
        <w:t xml:space="preserve">Med </w:t>
      </w:r>
      <w:proofErr w:type="spellStart"/>
      <w:r w:rsidRPr="00142E9D">
        <w:rPr>
          <w:rFonts w:ascii="Book Antiqua" w:hAnsi="Book Antiqua" w:cs="宋体"/>
          <w:i/>
          <w:iCs/>
          <w:sz w:val="24"/>
          <w:szCs w:val="24"/>
        </w:rPr>
        <w:t>Clin</w:t>
      </w:r>
      <w:proofErr w:type="spellEnd"/>
      <w:r w:rsidRPr="00142E9D">
        <w:rPr>
          <w:rFonts w:ascii="Book Antiqua" w:hAnsi="Book Antiqua" w:cs="宋体"/>
          <w:i/>
          <w:iCs/>
          <w:sz w:val="24"/>
          <w:szCs w:val="24"/>
        </w:rPr>
        <w:t xml:space="preserve"> North Am</w:t>
      </w:r>
      <w:r w:rsidRPr="00142E9D">
        <w:rPr>
          <w:rFonts w:ascii="Book Antiqua" w:hAnsi="Book Antiqua" w:cs="宋体"/>
          <w:sz w:val="24"/>
          <w:szCs w:val="24"/>
        </w:rPr>
        <w:t> 2008; </w:t>
      </w:r>
      <w:r w:rsidRPr="00142E9D">
        <w:rPr>
          <w:rFonts w:ascii="Book Antiqua" w:hAnsi="Book Antiqua" w:cs="宋体"/>
          <w:b/>
          <w:bCs/>
          <w:sz w:val="24"/>
          <w:szCs w:val="24"/>
        </w:rPr>
        <w:t>92</w:t>
      </w:r>
      <w:r w:rsidRPr="00142E9D">
        <w:rPr>
          <w:rFonts w:ascii="Book Antiqua" w:hAnsi="Book Antiqua" w:cs="宋体"/>
          <w:sz w:val="24"/>
          <w:szCs w:val="24"/>
        </w:rPr>
        <w:t>: 275-93, vii-viii [PMID: 18298979 DOI: 10.1016/j.mcna.2007.10.007]</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51 </w:t>
      </w:r>
      <w:proofErr w:type="spellStart"/>
      <w:r w:rsidRPr="00142E9D">
        <w:rPr>
          <w:rFonts w:ascii="Book Antiqua" w:hAnsi="Book Antiqua" w:cs="宋体"/>
          <w:b/>
          <w:bCs/>
          <w:sz w:val="24"/>
          <w:szCs w:val="24"/>
        </w:rPr>
        <w:t>Altschuler</w:t>
      </w:r>
      <w:proofErr w:type="spellEnd"/>
      <w:r w:rsidRPr="00142E9D">
        <w:rPr>
          <w:rFonts w:ascii="Book Antiqua" w:hAnsi="Book Antiqua" w:cs="宋体"/>
          <w:b/>
          <w:bCs/>
          <w:sz w:val="24"/>
          <w:szCs w:val="24"/>
        </w:rPr>
        <w:t xml:space="preserve"> A</w:t>
      </w:r>
      <w:r w:rsidRPr="00142E9D">
        <w:rPr>
          <w:rFonts w:ascii="Book Antiqua" w:hAnsi="Book Antiqua" w:cs="宋体"/>
          <w:sz w:val="24"/>
          <w:szCs w:val="24"/>
        </w:rPr>
        <w:t xml:space="preserve">, Collins B, Lewis JD, </w:t>
      </w:r>
      <w:proofErr w:type="spellStart"/>
      <w:r w:rsidRPr="00142E9D">
        <w:rPr>
          <w:rFonts w:ascii="Book Antiqua" w:hAnsi="Book Antiqua" w:cs="宋体"/>
          <w:sz w:val="24"/>
          <w:szCs w:val="24"/>
        </w:rPr>
        <w:t>Velayos</w:t>
      </w:r>
      <w:proofErr w:type="spellEnd"/>
      <w:r w:rsidRPr="00142E9D">
        <w:rPr>
          <w:rFonts w:ascii="Book Antiqua" w:hAnsi="Book Antiqua" w:cs="宋体"/>
          <w:sz w:val="24"/>
          <w:szCs w:val="24"/>
        </w:rPr>
        <w:t xml:space="preserve"> F, Allison JE, </w:t>
      </w:r>
      <w:proofErr w:type="spellStart"/>
      <w:r w:rsidRPr="00142E9D">
        <w:rPr>
          <w:rFonts w:ascii="Book Antiqua" w:hAnsi="Book Antiqua" w:cs="宋体"/>
          <w:sz w:val="24"/>
          <w:szCs w:val="24"/>
        </w:rPr>
        <w:t>Hutfless</w:t>
      </w:r>
      <w:proofErr w:type="spellEnd"/>
      <w:r w:rsidRPr="00142E9D">
        <w:rPr>
          <w:rFonts w:ascii="Book Antiqua" w:hAnsi="Book Antiqua" w:cs="宋体"/>
          <w:sz w:val="24"/>
          <w:szCs w:val="24"/>
        </w:rPr>
        <w:t xml:space="preserve"> S, Liu L, </w:t>
      </w:r>
      <w:proofErr w:type="spellStart"/>
      <w:r w:rsidRPr="00142E9D">
        <w:rPr>
          <w:rFonts w:ascii="Book Antiqua" w:hAnsi="Book Antiqua" w:cs="宋体"/>
          <w:sz w:val="24"/>
          <w:szCs w:val="24"/>
        </w:rPr>
        <w:t>Herrinton</w:t>
      </w:r>
      <w:proofErr w:type="spellEnd"/>
      <w:r w:rsidRPr="00142E9D">
        <w:rPr>
          <w:rFonts w:ascii="Book Antiqua" w:hAnsi="Book Antiqua" w:cs="宋体"/>
          <w:sz w:val="24"/>
          <w:szCs w:val="24"/>
        </w:rPr>
        <w:t xml:space="preserve"> LJ. Gastroenterologists' attitudes and self-reported practices regarding inflammatory bowel disease.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2008; </w:t>
      </w:r>
      <w:r w:rsidRPr="00142E9D">
        <w:rPr>
          <w:rFonts w:ascii="Book Antiqua" w:hAnsi="Book Antiqua" w:cs="宋体"/>
          <w:b/>
          <w:bCs/>
          <w:sz w:val="24"/>
          <w:szCs w:val="24"/>
        </w:rPr>
        <w:t>14</w:t>
      </w:r>
      <w:r w:rsidRPr="00142E9D">
        <w:rPr>
          <w:rFonts w:ascii="Book Antiqua" w:hAnsi="Book Antiqua" w:cs="宋体"/>
          <w:sz w:val="24"/>
          <w:szCs w:val="24"/>
        </w:rPr>
        <w:t>: 992-999 [PMID: 18300277 DOI: 10.1002/ibd.20416]</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52 </w:t>
      </w:r>
      <w:proofErr w:type="spellStart"/>
      <w:r w:rsidRPr="00142E9D">
        <w:rPr>
          <w:rFonts w:ascii="Book Antiqua" w:hAnsi="Book Antiqua" w:cs="宋体"/>
          <w:b/>
          <w:bCs/>
          <w:sz w:val="24"/>
          <w:szCs w:val="24"/>
        </w:rPr>
        <w:t>Wagnon</w:t>
      </w:r>
      <w:proofErr w:type="spellEnd"/>
      <w:r w:rsidRPr="00142E9D">
        <w:rPr>
          <w:rFonts w:ascii="Book Antiqua" w:hAnsi="Book Antiqua" w:cs="宋体"/>
          <w:b/>
          <w:bCs/>
          <w:sz w:val="24"/>
          <w:szCs w:val="24"/>
        </w:rPr>
        <w:t xml:space="preserve"> JH</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Leiman</w:t>
      </w:r>
      <w:proofErr w:type="spellEnd"/>
      <w:r w:rsidRPr="00142E9D">
        <w:rPr>
          <w:rFonts w:ascii="Book Antiqua" w:hAnsi="Book Antiqua" w:cs="宋体"/>
          <w:sz w:val="24"/>
          <w:szCs w:val="24"/>
        </w:rPr>
        <w:t xml:space="preserve"> DA, Ayers GD, Schwartz DA. Survey of gastroenterologists' awareness and implementation of AGA guidelines on osteoporosis in inflammatory bowel disease patients: are the guidelines being used and what are the barriers to their use?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2009; </w:t>
      </w:r>
      <w:r w:rsidRPr="00142E9D">
        <w:rPr>
          <w:rFonts w:ascii="Book Antiqua" w:hAnsi="Book Antiqua" w:cs="宋体"/>
          <w:b/>
          <w:bCs/>
          <w:sz w:val="24"/>
          <w:szCs w:val="24"/>
        </w:rPr>
        <w:t>15</w:t>
      </w:r>
      <w:r w:rsidRPr="00142E9D">
        <w:rPr>
          <w:rFonts w:ascii="Book Antiqua" w:hAnsi="Book Antiqua" w:cs="宋体"/>
          <w:sz w:val="24"/>
          <w:szCs w:val="24"/>
        </w:rPr>
        <w:t>: 1082-1089 [PMID: 19137605 DOI: 10.1002/ibd.20857]</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53 http: //www.gastro.org/practice/quality-initiatives/cms-physician-qualitative-report-initiative pqrs2012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54 </w:t>
      </w:r>
      <w:r w:rsidRPr="00142E9D">
        <w:rPr>
          <w:rFonts w:ascii="Book Antiqua" w:hAnsi="Book Antiqua" w:cs="宋体"/>
          <w:b/>
          <w:bCs/>
          <w:sz w:val="24"/>
          <w:szCs w:val="24"/>
        </w:rPr>
        <w:t>Ryan AM</w:t>
      </w:r>
      <w:r w:rsidRPr="00142E9D">
        <w:rPr>
          <w:rFonts w:ascii="Book Antiqua" w:hAnsi="Book Antiqua" w:cs="宋体"/>
          <w:sz w:val="24"/>
          <w:szCs w:val="24"/>
        </w:rPr>
        <w:t>, Doran T. The effect of improving processes of care on patient outcomes: evidence from the United Kingdom's quality and outcomes framework. </w:t>
      </w:r>
      <w:r w:rsidRPr="00142E9D">
        <w:rPr>
          <w:rFonts w:ascii="Book Antiqua" w:hAnsi="Book Antiqua" w:cs="宋体"/>
          <w:i/>
          <w:iCs/>
          <w:sz w:val="24"/>
          <w:szCs w:val="24"/>
        </w:rPr>
        <w:t>Med Care</w:t>
      </w:r>
      <w:r w:rsidRPr="00142E9D">
        <w:rPr>
          <w:rFonts w:ascii="Book Antiqua" w:hAnsi="Book Antiqua" w:cs="宋体"/>
          <w:sz w:val="24"/>
          <w:szCs w:val="24"/>
        </w:rPr>
        <w:t> 2012; </w:t>
      </w:r>
      <w:r w:rsidRPr="00142E9D">
        <w:rPr>
          <w:rFonts w:ascii="Book Antiqua" w:hAnsi="Book Antiqua" w:cs="宋体"/>
          <w:b/>
          <w:bCs/>
          <w:sz w:val="24"/>
          <w:szCs w:val="24"/>
        </w:rPr>
        <w:t>50</w:t>
      </w:r>
      <w:r w:rsidRPr="00142E9D">
        <w:rPr>
          <w:rFonts w:ascii="Book Antiqua" w:hAnsi="Book Antiqua" w:cs="宋体"/>
          <w:sz w:val="24"/>
          <w:szCs w:val="24"/>
        </w:rPr>
        <w:t>: 191-199 [PMID: 22329994 DOI: 10.1097/MLR.0b013e318244e6b5]</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lastRenderedPageBreak/>
        <w:t>55 </w:t>
      </w:r>
      <w:proofErr w:type="spellStart"/>
      <w:r w:rsidRPr="00142E9D">
        <w:rPr>
          <w:rFonts w:ascii="Book Antiqua" w:hAnsi="Book Antiqua" w:cs="宋体"/>
          <w:b/>
          <w:bCs/>
          <w:sz w:val="24"/>
          <w:szCs w:val="24"/>
        </w:rPr>
        <w:t>Jha</w:t>
      </w:r>
      <w:proofErr w:type="spellEnd"/>
      <w:r w:rsidRPr="00142E9D">
        <w:rPr>
          <w:rFonts w:ascii="Book Antiqua" w:hAnsi="Book Antiqua" w:cs="宋体"/>
          <w:b/>
          <w:bCs/>
          <w:sz w:val="24"/>
          <w:szCs w:val="24"/>
        </w:rPr>
        <w:t xml:space="preserve"> AK</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Joynt</w:t>
      </w:r>
      <w:proofErr w:type="spellEnd"/>
      <w:r w:rsidRPr="00142E9D">
        <w:rPr>
          <w:rFonts w:ascii="Book Antiqua" w:hAnsi="Book Antiqua" w:cs="宋体"/>
          <w:sz w:val="24"/>
          <w:szCs w:val="24"/>
        </w:rPr>
        <w:t xml:space="preserve"> KE, </w:t>
      </w:r>
      <w:proofErr w:type="spellStart"/>
      <w:r w:rsidRPr="00142E9D">
        <w:rPr>
          <w:rFonts w:ascii="Book Antiqua" w:hAnsi="Book Antiqua" w:cs="宋体"/>
          <w:sz w:val="24"/>
          <w:szCs w:val="24"/>
        </w:rPr>
        <w:t>Orav</w:t>
      </w:r>
      <w:proofErr w:type="spellEnd"/>
      <w:r w:rsidRPr="00142E9D">
        <w:rPr>
          <w:rFonts w:ascii="Book Antiqua" w:hAnsi="Book Antiqua" w:cs="宋体"/>
          <w:sz w:val="24"/>
          <w:szCs w:val="24"/>
        </w:rPr>
        <w:t xml:space="preserve"> EJ, Epstein AM. The long-term effect of premier pay for performance on patient outcomes. </w:t>
      </w:r>
      <w:r w:rsidRPr="00142E9D">
        <w:rPr>
          <w:rFonts w:ascii="Book Antiqua" w:hAnsi="Book Antiqua" w:cs="宋体"/>
          <w:i/>
          <w:iCs/>
          <w:sz w:val="24"/>
          <w:szCs w:val="24"/>
        </w:rPr>
        <w:t xml:space="preserve">N </w:t>
      </w:r>
      <w:proofErr w:type="spellStart"/>
      <w:r w:rsidRPr="00142E9D">
        <w:rPr>
          <w:rFonts w:ascii="Book Antiqua" w:hAnsi="Book Antiqua" w:cs="宋体"/>
          <w:i/>
          <w:iCs/>
          <w:sz w:val="24"/>
          <w:szCs w:val="24"/>
        </w:rPr>
        <w:t>Engl</w:t>
      </w:r>
      <w:proofErr w:type="spellEnd"/>
      <w:r w:rsidRPr="00142E9D">
        <w:rPr>
          <w:rFonts w:ascii="Book Antiqua" w:hAnsi="Book Antiqua" w:cs="宋体"/>
          <w:i/>
          <w:iCs/>
          <w:sz w:val="24"/>
          <w:szCs w:val="24"/>
        </w:rPr>
        <w:t xml:space="preserve"> J Med</w:t>
      </w:r>
      <w:r w:rsidRPr="00142E9D">
        <w:rPr>
          <w:rFonts w:ascii="Book Antiqua" w:hAnsi="Book Antiqua" w:cs="宋体"/>
          <w:sz w:val="24"/>
          <w:szCs w:val="24"/>
        </w:rPr>
        <w:t> 2012; </w:t>
      </w:r>
      <w:r w:rsidRPr="00142E9D">
        <w:rPr>
          <w:rFonts w:ascii="Book Antiqua" w:hAnsi="Book Antiqua" w:cs="宋体"/>
          <w:b/>
          <w:bCs/>
          <w:sz w:val="24"/>
          <w:szCs w:val="24"/>
        </w:rPr>
        <w:t>366</w:t>
      </w:r>
      <w:r w:rsidRPr="00142E9D">
        <w:rPr>
          <w:rFonts w:ascii="Book Antiqua" w:hAnsi="Book Antiqua" w:cs="宋体"/>
          <w:sz w:val="24"/>
          <w:szCs w:val="24"/>
        </w:rPr>
        <w:t>: 1606-1615 [PMID: 22455751 DOI: 10.1056/NEJMsa1112351]</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56 </w:t>
      </w:r>
      <w:r w:rsidRPr="00142E9D">
        <w:rPr>
          <w:rFonts w:ascii="Book Antiqua" w:hAnsi="Book Antiqua" w:cs="宋体"/>
          <w:b/>
          <w:bCs/>
          <w:sz w:val="24"/>
          <w:szCs w:val="24"/>
        </w:rPr>
        <w:t>Petersen LA</w:t>
      </w:r>
      <w:r w:rsidRPr="00142E9D">
        <w:rPr>
          <w:rFonts w:ascii="Book Antiqua" w:hAnsi="Book Antiqua" w:cs="宋体"/>
          <w:sz w:val="24"/>
          <w:szCs w:val="24"/>
        </w:rPr>
        <w:t xml:space="preserve">, Woodard LD, </w:t>
      </w:r>
      <w:proofErr w:type="spellStart"/>
      <w:r w:rsidRPr="00142E9D">
        <w:rPr>
          <w:rFonts w:ascii="Book Antiqua" w:hAnsi="Book Antiqua" w:cs="宋体"/>
          <w:sz w:val="24"/>
          <w:szCs w:val="24"/>
        </w:rPr>
        <w:t>Urech</w:t>
      </w:r>
      <w:proofErr w:type="spellEnd"/>
      <w:r w:rsidRPr="00142E9D">
        <w:rPr>
          <w:rFonts w:ascii="Book Antiqua" w:hAnsi="Book Antiqua" w:cs="宋体"/>
          <w:sz w:val="24"/>
          <w:szCs w:val="24"/>
        </w:rPr>
        <w:t xml:space="preserve"> T, </w:t>
      </w:r>
      <w:proofErr w:type="spellStart"/>
      <w:r w:rsidRPr="00142E9D">
        <w:rPr>
          <w:rFonts w:ascii="Book Antiqua" w:hAnsi="Book Antiqua" w:cs="宋体"/>
          <w:sz w:val="24"/>
          <w:szCs w:val="24"/>
        </w:rPr>
        <w:t>Daw</w:t>
      </w:r>
      <w:proofErr w:type="spellEnd"/>
      <w:r w:rsidRPr="00142E9D">
        <w:rPr>
          <w:rFonts w:ascii="Book Antiqua" w:hAnsi="Book Antiqua" w:cs="宋体"/>
          <w:sz w:val="24"/>
          <w:szCs w:val="24"/>
        </w:rPr>
        <w:t xml:space="preserve"> C, </w:t>
      </w:r>
      <w:proofErr w:type="spellStart"/>
      <w:r w:rsidRPr="00142E9D">
        <w:rPr>
          <w:rFonts w:ascii="Book Antiqua" w:hAnsi="Book Antiqua" w:cs="宋体"/>
          <w:sz w:val="24"/>
          <w:szCs w:val="24"/>
        </w:rPr>
        <w:t>Sookanan</w:t>
      </w:r>
      <w:proofErr w:type="spellEnd"/>
      <w:r w:rsidRPr="00142E9D">
        <w:rPr>
          <w:rFonts w:ascii="Book Antiqua" w:hAnsi="Book Antiqua" w:cs="宋体"/>
          <w:sz w:val="24"/>
          <w:szCs w:val="24"/>
        </w:rPr>
        <w:t xml:space="preserve"> S. Does pay-for-performance improve the quality of health care? </w:t>
      </w:r>
      <w:r w:rsidRPr="00142E9D">
        <w:rPr>
          <w:rFonts w:ascii="Book Antiqua" w:hAnsi="Book Antiqua" w:cs="宋体"/>
          <w:i/>
          <w:iCs/>
          <w:sz w:val="24"/>
          <w:szCs w:val="24"/>
        </w:rPr>
        <w:t>Ann Intern Med</w:t>
      </w:r>
      <w:r w:rsidRPr="00142E9D">
        <w:rPr>
          <w:rFonts w:ascii="Book Antiqua" w:hAnsi="Book Antiqua" w:cs="宋体"/>
          <w:sz w:val="24"/>
          <w:szCs w:val="24"/>
        </w:rPr>
        <w:t> 2006; </w:t>
      </w:r>
      <w:r w:rsidRPr="00142E9D">
        <w:rPr>
          <w:rFonts w:ascii="Book Antiqua" w:hAnsi="Book Antiqua" w:cs="宋体"/>
          <w:b/>
          <w:bCs/>
          <w:sz w:val="24"/>
          <w:szCs w:val="24"/>
        </w:rPr>
        <w:t>145</w:t>
      </w:r>
      <w:r w:rsidRPr="00142E9D">
        <w:rPr>
          <w:rFonts w:ascii="Book Antiqua" w:hAnsi="Book Antiqua" w:cs="宋体"/>
          <w:sz w:val="24"/>
          <w:szCs w:val="24"/>
        </w:rPr>
        <w:t>: 265-272 [PMID: 16908917 DOI: 10.7326/0003-4819-145-4-200608150-00006]</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57 </w:t>
      </w:r>
      <w:proofErr w:type="spellStart"/>
      <w:r w:rsidRPr="00142E9D">
        <w:rPr>
          <w:rFonts w:ascii="Book Antiqua" w:hAnsi="Book Antiqua" w:cs="宋体"/>
          <w:b/>
          <w:bCs/>
          <w:sz w:val="24"/>
          <w:szCs w:val="24"/>
        </w:rPr>
        <w:t>Shen</w:t>
      </w:r>
      <w:proofErr w:type="spellEnd"/>
      <w:r w:rsidRPr="00142E9D">
        <w:rPr>
          <w:rFonts w:ascii="Book Antiqua" w:hAnsi="Book Antiqua" w:cs="宋体"/>
          <w:b/>
          <w:bCs/>
          <w:sz w:val="24"/>
          <w:szCs w:val="24"/>
        </w:rPr>
        <w:t xml:space="preserve"> Y</w:t>
      </w:r>
      <w:r w:rsidRPr="00142E9D">
        <w:rPr>
          <w:rFonts w:ascii="Book Antiqua" w:hAnsi="Book Antiqua" w:cs="宋体"/>
          <w:sz w:val="24"/>
          <w:szCs w:val="24"/>
        </w:rPr>
        <w:t>. Selection incentives in a performance-based contracting system. </w:t>
      </w:r>
      <w:r w:rsidRPr="00142E9D">
        <w:rPr>
          <w:rFonts w:ascii="Book Antiqua" w:hAnsi="Book Antiqua" w:cs="宋体"/>
          <w:i/>
          <w:iCs/>
          <w:sz w:val="24"/>
          <w:szCs w:val="24"/>
        </w:rPr>
        <w:t xml:space="preserve">Health </w:t>
      </w:r>
      <w:proofErr w:type="spellStart"/>
      <w:r w:rsidRPr="00142E9D">
        <w:rPr>
          <w:rFonts w:ascii="Book Antiqua" w:hAnsi="Book Antiqua" w:cs="宋体"/>
          <w:i/>
          <w:iCs/>
          <w:sz w:val="24"/>
          <w:szCs w:val="24"/>
        </w:rPr>
        <w:t>Serv</w:t>
      </w:r>
      <w:proofErr w:type="spellEnd"/>
      <w:r w:rsidRPr="00142E9D">
        <w:rPr>
          <w:rFonts w:ascii="Book Antiqua" w:hAnsi="Book Antiqua" w:cs="宋体"/>
          <w:i/>
          <w:iCs/>
          <w:sz w:val="24"/>
          <w:szCs w:val="24"/>
        </w:rPr>
        <w:t xml:space="preserve"> Res</w:t>
      </w:r>
      <w:r w:rsidRPr="00142E9D">
        <w:rPr>
          <w:rFonts w:ascii="Book Antiqua" w:hAnsi="Book Antiqua" w:cs="宋体"/>
          <w:sz w:val="24"/>
          <w:szCs w:val="24"/>
        </w:rPr>
        <w:t> 2003; </w:t>
      </w:r>
      <w:r w:rsidRPr="00142E9D">
        <w:rPr>
          <w:rFonts w:ascii="Book Antiqua" w:hAnsi="Book Antiqua" w:cs="宋体"/>
          <w:b/>
          <w:bCs/>
          <w:sz w:val="24"/>
          <w:szCs w:val="24"/>
        </w:rPr>
        <w:t>38</w:t>
      </w:r>
      <w:r w:rsidRPr="00142E9D">
        <w:rPr>
          <w:rFonts w:ascii="Book Antiqua" w:hAnsi="Book Antiqua" w:cs="宋体"/>
          <w:sz w:val="24"/>
          <w:szCs w:val="24"/>
        </w:rPr>
        <w:t>: 535-552 [PMID: 12785560 DOI: 10.1111/1475-6773.00132]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58 </w:t>
      </w:r>
      <w:proofErr w:type="spellStart"/>
      <w:r w:rsidRPr="00142E9D">
        <w:rPr>
          <w:rFonts w:ascii="Book Antiqua" w:hAnsi="Book Antiqua" w:cs="宋体"/>
          <w:b/>
          <w:bCs/>
          <w:sz w:val="24"/>
          <w:szCs w:val="24"/>
        </w:rPr>
        <w:t>Panaccione</w:t>
      </w:r>
      <w:proofErr w:type="spellEnd"/>
      <w:r w:rsidRPr="00142E9D">
        <w:rPr>
          <w:rFonts w:ascii="Book Antiqua" w:hAnsi="Book Antiqua" w:cs="宋体"/>
          <w:b/>
          <w:bCs/>
          <w:sz w:val="24"/>
          <w:szCs w:val="24"/>
        </w:rPr>
        <w:t xml:space="preserve"> R</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Hibi</w:t>
      </w:r>
      <w:proofErr w:type="spellEnd"/>
      <w:r w:rsidRPr="00142E9D">
        <w:rPr>
          <w:rFonts w:ascii="Book Antiqua" w:hAnsi="Book Antiqua" w:cs="宋体"/>
          <w:sz w:val="24"/>
          <w:szCs w:val="24"/>
        </w:rPr>
        <w:t xml:space="preserve"> T, </w:t>
      </w:r>
      <w:proofErr w:type="spellStart"/>
      <w:r w:rsidRPr="00142E9D">
        <w:rPr>
          <w:rFonts w:ascii="Book Antiqua" w:hAnsi="Book Antiqua" w:cs="宋体"/>
          <w:sz w:val="24"/>
          <w:szCs w:val="24"/>
        </w:rPr>
        <w:t>Peyrin-Biroulet</w:t>
      </w:r>
      <w:proofErr w:type="spellEnd"/>
      <w:r w:rsidRPr="00142E9D">
        <w:rPr>
          <w:rFonts w:ascii="Book Antiqua" w:hAnsi="Book Antiqua" w:cs="宋体"/>
          <w:sz w:val="24"/>
          <w:szCs w:val="24"/>
        </w:rPr>
        <w:t xml:space="preserve"> L, Schreiber S. Implementing changes in clinical practice to improve the management of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w:t>
      </w:r>
      <w:r w:rsidRPr="00142E9D">
        <w:rPr>
          <w:rFonts w:ascii="Book Antiqua" w:hAnsi="Book Antiqua" w:cs="宋体"/>
          <w:i/>
          <w:iCs/>
          <w:sz w:val="24"/>
          <w:szCs w:val="24"/>
        </w:rPr>
        <w:t xml:space="preserve">J </w:t>
      </w:r>
      <w:proofErr w:type="spellStart"/>
      <w:r w:rsidRPr="00142E9D">
        <w:rPr>
          <w:rFonts w:ascii="Book Antiqua" w:hAnsi="Book Antiqua" w:cs="宋体"/>
          <w:i/>
          <w:iCs/>
          <w:sz w:val="24"/>
          <w:szCs w:val="24"/>
        </w:rPr>
        <w:t>Crohns</w:t>
      </w:r>
      <w:proofErr w:type="spellEnd"/>
      <w:r w:rsidRPr="00142E9D">
        <w:rPr>
          <w:rFonts w:ascii="Book Antiqua" w:hAnsi="Book Antiqua" w:cs="宋体"/>
          <w:i/>
          <w:iCs/>
          <w:sz w:val="24"/>
          <w:szCs w:val="24"/>
        </w:rPr>
        <w:t xml:space="preserve"> Colitis</w:t>
      </w:r>
      <w:r w:rsidRPr="00142E9D">
        <w:rPr>
          <w:rFonts w:ascii="Book Antiqua" w:hAnsi="Book Antiqua" w:cs="宋体"/>
          <w:sz w:val="24"/>
          <w:szCs w:val="24"/>
        </w:rPr>
        <w:t> 2012; </w:t>
      </w:r>
      <w:r w:rsidRPr="00142E9D">
        <w:rPr>
          <w:rFonts w:ascii="Book Antiqua" w:hAnsi="Book Antiqua" w:cs="宋体"/>
          <w:b/>
          <w:bCs/>
          <w:sz w:val="24"/>
          <w:szCs w:val="24"/>
        </w:rPr>
        <w:t xml:space="preserve">6 </w:t>
      </w:r>
      <w:proofErr w:type="spellStart"/>
      <w:r w:rsidRPr="00142E9D">
        <w:rPr>
          <w:rFonts w:ascii="Book Antiqua" w:hAnsi="Book Antiqua" w:cs="宋体"/>
          <w:bCs/>
          <w:sz w:val="24"/>
          <w:szCs w:val="24"/>
        </w:rPr>
        <w:t>Suppl</w:t>
      </w:r>
      <w:proofErr w:type="spellEnd"/>
      <w:r w:rsidRPr="00142E9D">
        <w:rPr>
          <w:rFonts w:ascii="Book Antiqua" w:hAnsi="Book Antiqua" w:cs="宋体"/>
          <w:bCs/>
          <w:sz w:val="24"/>
          <w:szCs w:val="24"/>
        </w:rPr>
        <w:t xml:space="preserve"> 2</w:t>
      </w:r>
      <w:r w:rsidRPr="00142E9D">
        <w:rPr>
          <w:rFonts w:ascii="Book Antiqua" w:hAnsi="Book Antiqua" w:cs="宋体"/>
          <w:sz w:val="24"/>
          <w:szCs w:val="24"/>
        </w:rPr>
        <w:t>: S235-S242 [PMID: 22463930 DOI: 10.1016/S1873-9946(12)60503-0]</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59 </w:t>
      </w:r>
      <w:r w:rsidRPr="00142E9D">
        <w:rPr>
          <w:rFonts w:ascii="Book Antiqua" w:hAnsi="Book Antiqua" w:cs="宋体"/>
          <w:b/>
          <w:bCs/>
          <w:sz w:val="24"/>
          <w:szCs w:val="24"/>
        </w:rPr>
        <w:t>Nguyen GC</w:t>
      </w:r>
      <w:r w:rsidRPr="00142E9D">
        <w:rPr>
          <w:rFonts w:ascii="Book Antiqua" w:hAnsi="Book Antiqua" w:cs="宋体"/>
          <w:sz w:val="24"/>
          <w:szCs w:val="24"/>
        </w:rPr>
        <w:t xml:space="preserve">, Nugent Z, Shaw S, Bernstein CN. Outcomes of patients with </w:t>
      </w:r>
      <w:proofErr w:type="spellStart"/>
      <w:r w:rsidRPr="00142E9D">
        <w:rPr>
          <w:rFonts w:ascii="Book Antiqua" w:hAnsi="Book Antiqua" w:cs="宋体"/>
          <w:sz w:val="24"/>
          <w:szCs w:val="24"/>
        </w:rPr>
        <w:t>Crohn's</w:t>
      </w:r>
      <w:proofErr w:type="spellEnd"/>
      <w:r w:rsidRPr="00142E9D">
        <w:rPr>
          <w:rFonts w:ascii="Book Antiqua" w:hAnsi="Book Antiqua" w:cs="宋体"/>
          <w:sz w:val="24"/>
          <w:szCs w:val="24"/>
        </w:rPr>
        <w:t xml:space="preserve"> disease improved from 1988 to 2008 and were associated with increased specialist care. </w:t>
      </w:r>
      <w:r w:rsidRPr="00142E9D">
        <w:rPr>
          <w:rFonts w:ascii="Book Antiqua" w:hAnsi="Book Antiqua" w:cs="宋体"/>
          <w:i/>
          <w:iCs/>
          <w:sz w:val="24"/>
          <w:szCs w:val="24"/>
        </w:rPr>
        <w:t>Gastroenterology</w:t>
      </w:r>
      <w:r w:rsidRPr="00142E9D">
        <w:rPr>
          <w:rFonts w:ascii="Book Antiqua" w:hAnsi="Book Antiqua" w:cs="宋体"/>
          <w:sz w:val="24"/>
          <w:szCs w:val="24"/>
        </w:rPr>
        <w:t> 2011; </w:t>
      </w:r>
      <w:r w:rsidRPr="00142E9D">
        <w:rPr>
          <w:rFonts w:ascii="Book Antiqua" w:hAnsi="Book Antiqua" w:cs="宋体"/>
          <w:b/>
          <w:bCs/>
          <w:sz w:val="24"/>
          <w:szCs w:val="24"/>
        </w:rPr>
        <w:t>141</w:t>
      </w:r>
      <w:r w:rsidRPr="00142E9D">
        <w:rPr>
          <w:rFonts w:ascii="Book Antiqua" w:hAnsi="Book Antiqua" w:cs="宋体"/>
          <w:sz w:val="24"/>
          <w:szCs w:val="24"/>
        </w:rPr>
        <w:t>: 90-97 [PMID: 21458455 DOI: 10.1053/j.gastro.2011.03.050]</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60 </w:t>
      </w:r>
      <w:proofErr w:type="spellStart"/>
      <w:r w:rsidRPr="00142E9D">
        <w:rPr>
          <w:rFonts w:ascii="Book Antiqua" w:hAnsi="Book Antiqua" w:cs="宋体"/>
          <w:b/>
          <w:bCs/>
          <w:sz w:val="24"/>
          <w:szCs w:val="24"/>
        </w:rPr>
        <w:t>Rejler</w:t>
      </w:r>
      <w:proofErr w:type="spellEnd"/>
      <w:r w:rsidRPr="00142E9D">
        <w:rPr>
          <w:rFonts w:ascii="Book Antiqua" w:hAnsi="Book Antiqua" w:cs="宋体"/>
          <w:b/>
          <w:bCs/>
          <w:sz w:val="24"/>
          <w:szCs w:val="24"/>
        </w:rPr>
        <w:t xml:space="preserve"> M</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Tholstrup</w:t>
      </w:r>
      <w:proofErr w:type="spellEnd"/>
      <w:r w:rsidRPr="00142E9D">
        <w:rPr>
          <w:rFonts w:ascii="Book Antiqua" w:hAnsi="Book Antiqua" w:cs="宋体"/>
          <w:sz w:val="24"/>
          <w:szCs w:val="24"/>
        </w:rPr>
        <w:t xml:space="preserve"> J, </w:t>
      </w:r>
      <w:proofErr w:type="spellStart"/>
      <w:r w:rsidRPr="00142E9D">
        <w:rPr>
          <w:rFonts w:ascii="Book Antiqua" w:hAnsi="Book Antiqua" w:cs="宋体"/>
          <w:sz w:val="24"/>
          <w:szCs w:val="24"/>
        </w:rPr>
        <w:t>Elg</w:t>
      </w:r>
      <w:proofErr w:type="spellEnd"/>
      <w:r w:rsidRPr="00142E9D">
        <w:rPr>
          <w:rFonts w:ascii="Book Antiqua" w:hAnsi="Book Antiqua" w:cs="宋体"/>
          <w:sz w:val="24"/>
          <w:szCs w:val="24"/>
        </w:rPr>
        <w:t xml:space="preserve"> M, </w:t>
      </w:r>
      <w:proofErr w:type="spellStart"/>
      <w:r w:rsidRPr="00142E9D">
        <w:rPr>
          <w:rFonts w:ascii="Book Antiqua" w:hAnsi="Book Antiqua" w:cs="宋体"/>
          <w:sz w:val="24"/>
          <w:szCs w:val="24"/>
        </w:rPr>
        <w:t>Spångéus</w:t>
      </w:r>
      <w:proofErr w:type="spellEnd"/>
      <w:r w:rsidRPr="00142E9D">
        <w:rPr>
          <w:rFonts w:ascii="Book Antiqua" w:hAnsi="Book Antiqua" w:cs="宋体"/>
          <w:sz w:val="24"/>
          <w:szCs w:val="24"/>
        </w:rPr>
        <w:t xml:space="preserve"> A, </w:t>
      </w:r>
      <w:proofErr w:type="spellStart"/>
      <w:r w:rsidRPr="00142E9D">
        <w:rPr>
          <w:rFonts w:ascii="Book Antiqua" w:hAnsi="Book Antiqua" w:cs="宋体"/>
          <w:sz w:val="24"/>
          <w:szCs w:val="24"/>
        </w:rPr>
        <w:t>Gäre</w:t>
      </w:r>
      <w:proofErr w:type="spellEnd"/>
      <w:r w:rsidRPr="00142E9D">
        <w:rPr>
          <w:rFonts w:ascii="Book Antiqua" w:hAnsi="Book Antiqua" w:cs="宋体"/>
          <w:sz w:val="24"/>
          <w:szCs w:val="24"/>
        </w:rPr>
        <w:t xml:space="preserve"> BA. Framework for assessing quality of care for inflammatory bowel disease in Sweden. </w:t>
      </w:r>
      <w:r w:rsidRPr="00142E9D">
        <w:rPr>
          <w:rFonts w:ascii="Book Antiqua" w:hAnsi="Book Antiqua" w:cs="宋体"/>
          <w:i/>
          <w:iCs/>
          <w:sz w:val="24"/>
          <w:szCs w:val="24"/>
        </w:rPr>
        <w:t xml:space="preserve">World J </w:t>
      </w:r>
      <w:proofErr w:type="spellStart"/>
      <w:r w:rsidRPr="00142E9D">
        <w:rPr>
          <w:rFonts w:ascii="Book Antiqua" w:hAnsi="Book Antiqua" w:cs="宋体"/>
          <w:i/>
          <w:iCs/>
          <w:sz w:val="24"/>
          <w:szCs w:val="24"/>
        </w:rPr>
        <w:t>Gastroenterol</w:t>
      </w:r>
      <w:proofErr w:type="spellEnd"/>
      <w:r w:rsidRPr="00142E9D">
        <w:rPr>
          <w:rFonts w:ascii="Book Antiqua" w:hAnsi="Book Antiqua" w:cs="宋体"/>
          <w:sz w:val="24"/>
          <w:szCs w:val="24"/>
        </w:rPr>
        <w:t> 2012; </w:t>
      </w:r>
      <w:r w:rsidRPr="00142E9D">
        <w:rPr>
          <w:rFonts w:ascii="Book Antiqua" w:hAnsi="Book Antiqua" w:cs="宋体"/>
          <w:b/>
          <w:bCs/>
          <w:sz w:val="24"/>
          <w:szCs w:val="24"/>
        </w:rPr>
        <w:t>18</w:t>
      </w:r>
      <w:r w:rsidRPr="00142E9D">
        <w:rPr>
          <w:rFonts w:ascii="Book Antiqua" w:hAnsi="Book Antiqua" w:cs="宋体"/>
          <w:sz w:val="24"/>
          <w:szCs w:val="24"/>
        </w:rPr>
        <w:t>: 1085-1092 [PMID: 22416183 DOI: 10.3748/wjg.v18.i10.1085]</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61 </w:t>
      </w:r>
      <w:proofErr w:type="spellStart"/>
      <w:r w:rsidRPr="00142E9D">
        <w:rPr>
          <w:rFonts w:ascii="Book Antiqua" w:hAnsi="Book Antiqua" w:cs="宋体"/>
          <w:b/>
          <w:bCs/>
          <w:sz w:val="24"/>
          <w:szCs w:val="24"/>
        </w:rPr>
        <w:t>Bodenheimer</w:t>
      </w:r>
      <w:proofErr w:type="spellEnd"/>
      <w:r w:rsidRPr="00142E9D">
        <w:rPr>
          <w:rFonts w:ascii="Book Antiqua" w:hAnsi="Book Antiqua" w:cs="宋体"/>
          <w:b/>
          <w:bCs/>
          <w:sz w:val="24"/>
          <w:szCs w:val="24"/>
        </w:rPr>
        <w:t xml:space="preserve"> T</w:t>
      </w:r>
      <w:r w:rsidRPr="00142E9D">
        <w:rPr>
          <w:rFonts w:ascii="Book Antiqua" w:hAnsi="Book Antiqua" w:cs="宋体"/>
          <w:sz w:val="24"/>
          <w:szCs w:val="24"/>
        </w:rPr>
        <w:t xml:space="preserve">, Wagner EH, </w:t>
      </w:r>
      <w:proofErr w:type="spellStart"/>
      <w:r w:rsidRPr="00142E9D">
        <w:rPr>
          <w:rFonts w:ascii="Book Antiqua" w:hAnsi="Book Antiqua" w:cs="宋体"/>
          <w:sz w:val="24"/>
          <w:szCs w:val="24"/>
        </w:rPr>
        <w:t>Grumbach</w:t>
      </w:r>
      <w:proofErr w:type="spellEnd"/>
      <w:r w:rsidRPr="00142E9D">
        <w:rPr>
          <w:rFonts w:ascii="Book Antiqua" w:hAnsi="Book Antiqua" w:cs="宋体"/>
          <w:sz w:val="24"/>
          <w:szCs w:val="24"/>
        </w:rPr>
        <w:t xml:space="preserve"> K. Improving primary care for patients with chronic illness: the chronic care model, Part 2. </w:t>
      </w:r>
      <w:r w:rsidRPr="00142E9D">
        <w:rPr>
          <w:rFonts w:ascii="Book Antiqua" w:hAnsi="Book Antiqua" w:cs="宋体"/>
          <w:i/>
          <w:iCs/>
          <w:sz w:val="24"/>
          <w:szCs w:val="24"/>
        </w:rPr>
        <w:t>JAMA</w:t>
      </w:r>
      <w:r w:rsidRPr="00142E9D">
        <w:rPr>
          <w:rFonts w:ascii="Book Antiqua" w:hAnsi="Book Antiqua" w:cs="宋体"/>
          <w:sz w:val="24"/>
          <w:szCs w:val="24"/>
        </w:rPr>
        <w:t> 2002; </w:t>
      </w:r>
      <w:r w:rsidRPr="00142E9D">
        <w:rPr>
          <w:rFonts w:ascii="Book Antiqua" w:hAnsi="Book Antiqua" w:cs="宋体"/>
          <w:b/>
          <w:bCs/>
          <w:sz w:val="24"/>
          <w:szCs w:val="24"/>
        </w:rPr>
        <w:t>288</w:t>
      </w:r>
      <w:r w:rsidRPr="00142E9D">
        <w:rPr>
          <w:rFonts w:ascii="Book Antiqua" w:hAnsi="Book Antiqua" w:cs="宋体"/>
          <w:sz w:val="24"/>
          <w:szCs w:val="24"/>
        </w:rPr>
        <w:t>: 1909-1914 [PMID: 12377092 DOI: 10.1001/jama.288.15.1909]</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62 </w:t>
      </w:r>
      <w:r w:rsidRPr="00142E9D">
        <w:rPr>
          <w:rFonts w:ascii="Book Antiqua" w:hAnsi="Book Antiqua" w:cs="宋体"/>
          <w:b/>
          <w:bCs/>
          <w:sz w:val="24"/>
          <w:szCs w:val="24"/>
        </w:rPr>
        <w:t>Ashworth M</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Kordowicz</w:t>
      </w:r>
      <w:proofErr w:type="spellEnd"/>
      <w:r w:rsidRPr="00142E9D">
        <w:rPr>
          <w:rFonts w:ascii="Book Antiqua" w:hAnsi="Book Antiqua" w:cs="宋体"/>
          <w:sz w:val="24"/>
          <w:szCs w:val="24"/>
        </w:rPr>
        <w:t xml:space="preserve"> M. Quality and Outcomes Framework: smoke and mirrors? </w:t>
      </w:r>
      <w:proofErr w:type="spellStart"/>
      <w:r w:rsidRPr="00142E9D">
        <w:rPr>
          <w:rFonts w:ascii="Book Antiqua" w:hAnsi="Book Antiqua" w:cs="宋体"/>
          <w:i/>
          <w:iCs/>
          <w:sz w:val="24"/>
          <w:szCs w:val="24"/>
        </w:rPr>
        <w:t>Qual</w:t>
      </w:r>
      <w:proofErr w:type="spellEnd"/>
      <w:r w:rsidRPr="00142E9D">
        <w:rPr>
          <w:rFonts w:ascii="Book Antiqua" w:hAnsi="Book Antiqua" w:cs="宋体"/>
          <w:i/>
          <w:iCs/>
          <w:sz w:val="24"/>
          <w:szCs w:val="24"/>
        </w:rPr>
        <w:t xml:space="preserve"> Prim Care</w:t>
      </w:r>
      <w:r w:rsidRPr="00142E9D">
        <w:rPr>
          <w:rFonts w:ascii="Book Antiqua" w:hAnsi="Book Antiqua" w:cs="宋体"/>
          <w:sz w:val="24"/>
          <w:szCs w:val="24"/>
        </w:rPr>
        <w:t> 2010; </w:t>
      </w:r>
      <w:r w:rsidRPr="00142E9D">
        <w:rPr>
          <w:rFonts w:ascii="Book Antiqua" w:hAnsi="Book Antiqua" w:cs="宋体"/>
          <w:b/>
          <w:bCs/>
          <w:sz w:val="24"/>
          <w:szCs w:val="24"/>
        </w:rPr>
        <w:t>18</w:t>
      </w:r>
      <w:r w:rsidRPr="00142E9D">
        <w:rPr>
          <w:rFonts w:ascii="Book Antiqua" w:hAnsi="Book Antiqua" w:cs="宋体"/>
          <w:sz w:val="24"/>
          <w:szCs w:val="24"/>
        </w:rPr>
        <w:t>: 127-131 [PMID: 20529474]</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lastRenderedPageBreak/>
        <w:t>63 </w:t>
      </w:r>
      <w:proofErr w:type="spellStart"/>
      <w:r w:rsidRPr="00142E9D">
        <w:rPr>
          <w:rFonts w:ascii="Book Antiqua" w:hAnsi="Book Antiqua" w:cs="宋体"/>
          <w:b/>
          <w:bCs/>
          <w:sz w:val="24"/>
          <w:szCs w:val="24"/>
        </w:rPr>
        <w:t>Kappelman</w:t>
      </w:r>
      <w:proofErr w:type="spellEnd"/>
      <w:r w:rsidRPr="00142E9D">
        <w:rPr>
          <w:rFonts w:ascii="Book Antiqua" w:hAnsi="Book Antiqua" w:cs="宋体"/>
          <w:b/>
          <w:bCs/>
          <w:sz w:val="24"/>
          <w:szCs w:val="24"/>
        </w:rPr>
        <w:t xml:space="preserve"> MD</w:t>
      </w:r>
      <w:r w:rsidRPr="00142E9D">
        <w:rPr>
          <w:rFonts w:ascii="Book Antiqua" w:hAnsi="Book Antiqua" w:cs="宋体"/>
          <w:sz w:val="24"/>
          <w:szCs w:val="24"/>
        </w:rPr>
        <w:t>, Palmer L, Boyle BM, Rubin DT. Quality of care in inflammatory bowel disease: a review and discussion. </w:t>
      </w:r>
      <w:proofErr w:type="spellStart"/>
      <w:r w:rsidRPr="00142E9D">
        <w:rPr>
          <w:rFonts w:ascii="Book Antiqua" w:hAnsi="Book Antiqua" w:cs="宋体"/>
          <w:i/>
          <w:iCs/>
          <w:sz w:val="24"/>
          <w:szCs w:val="24"/>
        </w:rPr>
        <w:t>Inflamm</w:t>
      </w:r>
      <w:proofErr w:type="spellEnd"/>
      <w:r w:rsidRPr="00142E9D">
        <w:rPr>
          <w:rFonts w:ascii="Book Antiqua" w:hAnsi="Book Antiqua" w:cs="宋体"/>
          <w:i/>
          <w:iCs/>
          <w:sz w:val="24"/>
          <w:szCs w:val="24"/>
        </w:rPr>
        <w:t xml:space="preserve"> Bowel Dis</w:t>
      </w:r>
      <w:r w:rsidRPr="00142E9D">
        <w:rPr>
          <w:rFonts w:ascii="Book Antiqua" w:hAnsi="Book Antiqua" w:cs="宋体"/>
          <w:sz w:val="24"/>
          <w:szCs w:val="24"/>
        </w:rPr>
        <w:t> 2010; </w:t>
      </w:r>
      <w:r w:rsidRPr="00142E9D">
        <w:rPr>
          <w:rFonts w:ascii="Book Antiqua" w:hAnsi="Book Antiqua" w:cs="宋体"/>
          <w:b/>
          <w:bCs/>
          <w:sz w:val="24"/>
          <w:szCs w:val="24"/>
        </w:rPr>
        <w:t>16</w:t>
      </w:r>
      <w:r w:rsidRPr="00142E9D">
        <w:rPr>
          <w:rFonts w:ascii="Book Antiqua" w:hAnsi="Book Antiqua" w:cs="宋体"/>
          <w:sz w:val="24"/>
          <w:szCs w:val="24"/>
        </w:rPr>
        <w:t>: 125-133 [PMID: 19572335 DOI: 10.1002/ibd.21028]</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64 </w:t>
      </w:r>
      <w:r w:rsidRPr="00142E9D">
        <w:rPr>
          <w:rFonts w:ascii="Book Antiqua" w:hAnsi="Book Antiqua" w:cs="宋体"/>
          <w:b/>
          <w:bCs/>
          <w:sz w:val="24"/>
          <w:szCs w:val="24"/>
        </w:rPr>
        <w:t>Crandall WV</w:t>
      </w:r>
      <w:r w:rsidRPr="00142E9D">
        <w:rPr>
          <w:rFonts w:ascii="Book Antiqua" w:hAnsi="Book Antiqua" w:cs="宋体"/>
          <w:sz w:val="24"/>
          <w:szCs w:val="24"/>
        </w:rPr>
        <w:t xml:space="preserve">, Margolis PA, </w:t>
      </w:r>
      <w:proofErr w:type="spellStart"/>
      <w:r w:rsidRPr="00142E9D">
        <w:rPr>
          <w:rFonts w:ascii="Book Antiqua" w:hAnsi="Book Antiqua" w:cs="宋体"/>
          <w:sz w:val="24"/>
          <w:szCs w:val="24"/>
        </w:rPr>
        <w:t>Kappelman</w:t>
      </w:r>
      <w:proofErr w:type="spellEnd"/>
      <w:r w:rsidRPr="00142E9D">
        <w:rPr>
          <w:rFonts w:ascii="Book Antiqua" w:hAnsi="Book Antiqua" w:cs="宋体"/>
          <w:sz w:val="24"/>
          <w:szCs w:val="24"/>
        </w:rPr>
        <w:t xml:space="preserve"> MD, King EC, Pratt JM, Boyle BM, Duffy LF, </w:t>
      </w:r>
      <w:proofErr w:type="spellStart"/>
      <w:r w:rsidRPr="00142E9D">
        <w:rPr>
          <w:rFonts w:ascii="Book Antiqua" w:hAnsi="Book Antiqua" w:cs="宋体"/>
          <w:sz w:val="24"/>
          <w:szCs w:val="24"/>
        </w:rPr>
        <w:t>Grunow</w:t>
      </w:r>
      <w:proofErr w:type="spellEnd"/>
      <w:r w:rsidRPr="00142E9D">
        <w:rPr>
          <w:rFonts w:ascii="Book Antiqua" w:hAnsi="Book Antiqua" w:cs="宋体"/>
          <w:sz w:val="24"/>
          <w:szCs w:val="24"/>
        </w:rPr>
        <w:t xml:space="preserve"> JE, Kim SC, </w:t>
      </w:r>
      <w:proofErr w:type="spellStart"/>
      <w:r w:rsidRPr="00142E9D">
        <w:rPr>
          <w:rFonts w:ascii="Book Antiqua" w:hAnsi="Book Antiqua" w:cs="宋体"/>
          <w:sz w:val="24"/>
          <w:szCs w:val="24"/>
        </w:rPr>
        <w:t>Leibowitz</w:t>
      </w:r>
      <w:proofErr w:type="spellEnd"/>
      <w:r w:rsidRPr="00142E9D">
        <w:rPr>
          <w:rFonts w:ascii="Book Antiqua" w:hAnsi="Book Antiqua" w:cs="宋体"/>
          <w:sz w:val="24"/>
          <w:szCs w:val="24"/>
        </w:rPr>
        <w:t xml:space="preserve"> I, Schoen BT, </w:t>
      </w:r>
      <w:proofErr w:type="spellStart"/>
      <w:r w:rsidRPr="00142E9D">
        <w:rPr>
          <w:rFonts w:ascii="Book Antiqua" w:hAnsi="Book Antiqua" w:cs="宋体"/>
          <w:sz w:val="24"/>
          <w:szCs w:val="24"/>
        </w:rPr>
        <w:t>Colletti</w:t>
      </w:r>
      <w:proofErr w:type="spellEnd"/>
      <w:r w:rsidRPr="00142E9D">
        <w:rPr>
          <w:rFonts w:ascii="Book Antiqua" w:hAnsi="Book Antiqua" w:cs="宋体"/>
          <w:sz w:val="24"/>
          <w:szCs w:val="24"/>
        </w:rPr>
        <w:t xml:space="preserve"> RB. Improved outcomes in a quality improvement collaborative for pediatric inflammatory bowel disease. </w:t>
      </w:r>
      <w:r w:rsidRPr="00142E9D">
        <w:rPr>
          <w:rFonts w:ascii="Book Antiqua" w:hAnsi="Book Antiqua" w:cs="宋体"/>
          <w:i/>
          <w:iCs/>
          <w:sz w:val="24"/>
          <w:szCs w:val="24"/>
        </w:rPr>
        <w:t>Pediatrics</w:t>
      </w:r>
      <w:r w:rsidRPr="00142E9D">
        <w:rPr>
          <w:rFonts w:ascii="Book Antiqua" w:hAnsi="Book Antiqua" w:cs="宋体"/>
          <w:sz w:val="24"/>
          <w:szCs w:val="24"/>
        </w:rPr>
        <w:t> 2012; </w:t>
      </w:r>
      <w:r w:rsidRPr="00142E9D">
        <w:rPr>
          <w:rFonts w:ascii="Book Antiqua" w:hAnsi="Book Antiqua" w:cs="宋体"/>
          <w:b/>
          <w:bCs/>
          <w:sz w:val="24"/>
          <w:szCs w:val="24"/>
        </w:rPr>
        <w:t>129</w:t>
      </w:r>
      <w:r w:rsidRPr="00142E9D">
        <w:rPr>
          <w:rFonts w:ascii="Book Antiqua" w:hAnsi="Book Antiqua" w:cs="宋体"/>
          <w:sz w:val="24"/>
          <w:szCs w:val="24"/>
        </w:rPr>
        <w:t>: e1030-e1041 [PMID: 22412030 DOI: 10.1542/peds.2011-1700]</w:t>
      </w:r>
    </w:p>
    <w:p w:rsidR="00CD552B" w:rsidRPr="00142E9D" w:rsidRDefault="00CD552B" w:rsidP="00B67F56">
      <w:pPr>
        <w:spacing w:line="360" w:lineRule="auto"/>
        <w:jc w:val="both"/>
        <w:rPr>
          <w:rFonts w:ascii="Book Antiqua" w:hAnsi="Book Antiqua" w:cs="宋体"/>
          <w:sz w:val="24"/>
          <w:szCs w:val="24"/>
        </w:rPr>
      </w:pPr>
      <w:r>
        <w:rPr>
          <w:rFonts w:ascii="Book Antiqua" w:hAnsi="Book Antiqua" w:cs="宋体"/>
          <w:sz w:val="24"/>
          <w:szCs w:val="24"/>
        </w:rPr>
        <w:t>65</w:t>
      </w:r>
      <w:r w:rsidRPr="00142E9D">
        <w:rPr>
          <w:rFonts w:ascii="Book Antiqua" w:hAnsi="Book Antiqua" w:cs="宋体"/>
          <w:sz w:val="24"/>
          <w:szCs w:val="24"/>
        </w:rPr>
        <w:t xml:space="preserve"> improvecarenow.org. Accessed May 30, 2013</w:t>
      </w:r>
    </w:p>
    <w:p w:rsidR="00CD552B" w:rsidRPr="00142E9D" w:rsidRDefault="00CD552B" w:rsidP="00B67F56">
      <w:pPr>
        <w:spacing w:line="360" w:lineRule="auto"/>
        <w:jc w:val="both"/>
        <w:rPr>
          <w:rFonts w:ascii="Book Antiqua" w:hAnsi="Book Antiqua" w:cs="宋体"/>
          <w:sz w:val="24"/>
          <w:szCs w:val="24"/>
        </w:rPr>
      </w:pPr>
      <w:r>
        <w:rPr>
          <w:rFonts w:ascii="Book Antiqua" w:hAnsi="Book Antiqua" w:cs="宋体"/>
          <w:sz w:val="24"/>
          <w:szCs w:val="24"/>
        </w:rPr>
        <w:t xml:space="preserve">66 </w:t>
      </w:r>
      <w:proofErr w:type="spellStart"/>
      <w:r w:rsidRPr="00142E9D">
        <w:rPr>
          <w:rFonts w:ascii="Book Antiqua" w:hAnsi="Book Antiqua" w:cs="宋体"/>
          <w:sz w:val="24"/>
          <w:szCs w:val="24"/>
        </w:rPr>
        <w:t>Wachter</w:t>
      </w:r>
      <w:proofErr w:type="spellEnd"/>
      <w:r w:rsidRPr="00142E9D">
        <w:rPr>
          <w:rFonts w:ascii="Book Antiqua" w:hAnsi="Book Antiqua" w:cs="宋体"/>
          <w:sz w:val="24"/>
          <w:szCs w:val="24"/>
        </w:rPr>
        <w:t xml:space="preserve"> R. (2012). Understanding Patient Safety. McGraw Hill. Chapter 13-Information </w:t>
      </w:r>
      <w:proofErr w:type="spellStart"/>
      <w:r w:rsidRPr="00142E9D">
        <w:rPr>
          <w:rFonts w:ascii="Book Antiqua" w:hAnsi="Book Antiqua" w:cs="宋体"/>
          <w:sz w:val="24"/>
          <w:szCs w:val="24"/>
        </w:rPr>
        <w:t>Techonology</w:t>
      </w:r>
      <w:proofErr w:type="spellEnd"/>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67 </w:t>
      </w:r>
      <w:proofErr w:type="spellStart"/>
      <w:r w:rsidRPr="00142E9D">
        <w:rPr>
          <w:rFonts w:ascii="Book Antiqua" w:hAnsi="Book Antiqua" w:cs="宋体"/>
          <w:b/>
          <w:bCs/>
          <w:sz w:val="24"/>
          <w:szCs w:val="24"/>
        </w:rPr>
        <w:t>Jha</w:t>
      </w:r>
      <w:proofErr w:type="spellEnd"/>
      <w:r w:rsidRPr="00142E9D">
        <w:rPr>
          <w:rFonts w:ascii="Book Antiqua" w:hAnsi="Book Antiqua" w:cs="宋体"/>
          <w:b/>
          <w:bCs/>
          <w:sz w:val="24"/>
          <w:szCs w:val="24"/>
        </w:rPr>
        <w:t xml:space="preserve"> AK</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DesRoches</w:t>
      </w:r>
      <w:proofErr w:type="spellEnd"/>
      <w:r w:rsidRPr="00142E9D">
        <w:rPr>
          <w:rFonts w:ascii="Book Antiqua" w:hAnsi="Book Antiqua" w:cs="宋体"/>
          <w:sz w:val="24"/>
          <w:szCs w:val="24"/>
        </w:rPr>
        <w:t xml:space="preserve"> CM, Campbell EG, </w:t>
      </w:r>
      <w:proofErr w:type="spellStart"/>
      <w:r w:rsidRPr="00142E9D">
        <w:rPr>
          <w:rFonts w:ascii="Book Antiqua" w:hAnsi="Book Antiqua" w:cs="宋体"/>
          <w:sz w:val="24"/>
          <w:szCs w:val="24"/>
        </w:rPr>
        <w:t>Donelan</w:t>
      </w:r>
      <w:proofErr w:type="spellEnd"/>
      <w:r w:rsidRPr="00142E9D">
        <w:rPr>
          <w:rFonts w:ascii="Book Antiqua" w:hAnsi="Book Antiqua" w:cs="宋体"/>
          <w:sz w:val="24"/>
          <w:szCs w:val="24"/>
        </w:rPr>
        <w:t xml:space="preserve"> K, </w:t>
      </w:r>
      <w:proofErr w:type="spellStart"/>
      <w:r w:rsidRPr="00142E9D">
        <w:rPr>
          <w:rFonts w:ascii="Book Antiqua" w:hAnsi="Book Antiqua" w:cs="宋体"/>
          <w:sz w:val="24"/>
          <w:szCs w:val="24"/>
        </w:rPr>
        <w:t>Rao</w:t>
      </w:r>
      <w:proofErr w:type="spellEnd"/>
      <w:r w:rsidRPr="00142E9D">
        <w:rPr>
          <w:rFonts w:ascii="Book Antiqua" w:hAnsi="Book Antiqua" w:cs="宋体"/>
          <w:sz w:val="24"/>
          <w:szCs w:val="24"/>
        </w:rPr>
        <w:t xml:space="preserve"> SR, Ferris TG, Shields A, Rosenbaum S, Blumenthal D. Use of electronic health records in U.S. hospitals. </w:t>
      </w:r>
      <w:r w:rsidRPr="00142E9D">
        <w:rPr>
          <w:rFonts w:ascii="Book Antiqua" w:hAnsi="Book Antiqua" w:cs="宋体"/>
          <w:i/>
          <w:iCs/>
          <w:sz w:val="24"/>
          <w:szCs w:val="24"/>
        </w:rPr>
        <w:t xml:space="preserve">N </w:t>
      </w:r>
      <w:proofErr w:type="spellStart"/>
      <w:r w:rsidRPr="00142E9D">
        <w:rPr>
          <w:rFonts w:ascii="Book Antiqua" w:hAnsi="Book Antiqua" w:cs="宋体"/>
          <w:i/>
          <w:iCs/>
          <w:sz w:val="24"/>
          <w:szCs w:val="24"/>
        </w:rPr>
        <w:t>Engl</w:t>
      </w:r>
      <w:proofErr w:type="spellEnd"/>
      <w:r w:rsidRPr="00142E9D">
        <w:rPr>
          <w:rFonts w:ascii="Book Antiqua" w:hAnsi="Book Antiqua" w:cs="宋体"/>
          <w:i/>
          <w:iCs/>
          <w:sz w:val="24"/>
          <w:szCs w:val="24"/>
        </w:rPr>
        <w:t xml:space="preserve"> J Med</w:t>
      </w:r>
      <w:r w:rsidRPr="00142E9D">
        <w:rPr>
          <w:rFonts w:ascii="Book Antiqua" w:hAnsi="Book Antiqua" w:cs="宋体"/>
          <w:sz w:val="24"/>
          <w:szCs w:val="24"/>
        </w:rPr>
        <w:t> 2009; </w:t>
      </w:r>
      <w:r w:rsidRPr="00142E9D">
        <w:rPr>
          <w:rFonts w:ascii="Book Antiqua" w:hAnsi="Book Antiqua" w:cs="宋体"/>
          <w:b/>
          <w:bCs/>
          <w:sz w:val="24"/>
          <w:szCs w:val="24"/>
        </w:rPr>
        <w:t>360</w:t>
      </w:r>
      <w:r w:rsidRPr="00142E9D">
        <w:rPr>
          <w:rFonts w:ascii="Book Antiqua" w:hAnsi="Book Antiqua" w:cs="宋体"/>
          <w:sz w:val="24"/>
          <w:szCs w:val="24"/>
        </w:rPr>
        <w:t>: 1628-1638 [PMID: 19321858 DOI: 10.1056/NEJMsa0900592]</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68 </w:t>
      </w:r>
      <w:r w:rsidRPr="00142E9D">
        <w:rPr>
          <w:rFonts w:ascii="Book Antiqua" w:hAnsi="Book Antiqua" w:cs="宋体"/>
          <w:b/>
          <w:bCs/>
          <w:sz w:val="24"/>
          <w:szCs w:val="24"/>
        </w:rPr>
        <w:t>Chan J</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Shojania</w:t>
      </w:r>
      <w:proofErr w:type="spellEnd"/>
      <w:r w:rsidRPr="00142E9D">
        <w:rPr>
          <w:rFonts w:ascii="Book Antiqua" w:hAnsi="Book Antiqua" w:cs="宋体"/>
          <w:sz w:val="24"/>
          <w:szCs w:val="24"/>
        </w:rPr>
        <w:t xml:space="preserve"> KG, </w:t>
      </w:r>
      <w:proofErr w:type="spellStart"/>
      <w:r w:rsidRPr="00142E9D">
        <w:rPr>
          <w:rFonts w:ascii="Book Antiqua" w:hAnsi="Book Antiqua" w:cs="宋体"/>
          <w:sz w:val="24"/>
          <w:szCs w:val="24"/>
        </w:rPr>
        <w:t>Easty</w:t>
      </w:r>
      <w:proofErr w:type="spellEnd"/>
      <w:r w:rsidRPr="00142E9D">
        <w:rPr>
          <w:rFonts w:ascii="Book Antiqua" w:hAnsi="Book Antiqua" w:cs="宋体"/>
          <w:sz w:val="24"/>
          <w:szCs w:val="24"/>
        </w:rPr>
        <w:t xml:space="preserve"> AC, </w:t>
      </w:r>
      <w:proofErr w:type="spellStart"/>
      <w:r w:rsidRPr="00142E9D">
        <w:rPr>
          <w:rFonts w:ascii="Book Antiqua" w:hAnsi="Book Antiqua" w:cs="宋体"/>
          <w:sz w:val="24"/>
          <w:szCs w:val="24"/>
        </w:rPr>
        <w:t>Etchells</w:t>
      </w:r>
      <w:proofErr w:type="spellEnd"/>
      <w:r w:rsidRPr="00142E9D">
        <w:rPr>
          <w:rFonts w:ascii="Book Antiqua" w:hAnsi="Book Antiqua" w:cs="宋体"/>
          <w:sz w:val="24"/>
          <w:szCs w:val="24"/>
        </w:rPr>
        <w:t xml:space="preserve"> EE. Does user-</w:t>
      </w:r>
      <w:proofErr w:type="spellStart"/>
      <w:r w:rsidRPr="00142E9D">
        <w:rPr>
          <w:rFonts w:ascii="Book Antiqua" w:hAnsi="Book Antiqua" w:cs="宋体"/>
          <w:sz w:val="24"/>
          <w:szCs w:val="24"/>
        </w:rPr>
        <w:t>centred</w:t>
      </w:r>
      <w:proofErr w:type="spellEnd"/>
      <w:r w:rsidRPr="00142E9D">
        <w:rPr>
          <w:rFonts w:ascii="Book Antiqua" w:hAnsi="Book Antiqua" w:cs="宋体"/>
          <w:sz w:val="24"/>
          <w:szCs w:val="24"/>
        </w:rPr>
        <w:t xml:space="preserve"> design affect the efficiency, usability and safety of CPOE order sets? </w:t>
      </w:r>
      <w:r w:rsidRPr="00142E9D">
        <w:rPr>
          <w:rFonts w:ascii="Book Antiqua" w:hAnsi="Book Antiqua" w:cs="宋体"/>
          <w:i/>
          <w:iCs/>
          <w:sz w:val="24"/>
          <w:szCs w:val="24"/>
        </w:rPr>
        <w:t xml:space="preserve">J Am Med Inform </w:t>
      </w:r>
      <w:proofErr w:type="spellStart"/>
      <w:r w:rsidRPr="00142E9D">
        <w:rPr>
          <w:rFonts w:ascii="Book Antiqua" w:hAnsi="Book Antiqua" w:cs="宋体"/>
          <w:i/>
          <w:iCs/>
          <w:sz w:val="24"/>
          <w:szCs w:val="24"/>
        </w:rPr>
        <w:t>Assoc</w:t>
      </w:r>
      <w:proofErr w:type="spellEnd"/>
      <w:r w:rsidRPr="00142E9D">
        <w:rPr>
          <w:rFonts w:ascii="Book Antiqua" w:hAnsi="Book Antiqua" w:cs="宋体"/>
          <w:sz w:val="24"/>
          <w:szCs w:val="24"/>
        </w:rPr>
        <w:t> 2011; </w:t>
      </w:r>
      <w:r w:rsidRPr="00142E9D">
        <w:rPr>
          <w:rFonts w:ascii="Book Antiqua" w:hAnsi="Book Antiqua" w:cs="宋体"/>
          <w:b/>
          <w:bCs/>
          <w:sz w:val="24"/>
          <w:szCs w:val="24"/>
        </w:rPr>
        <w:t>18</w:t>
      </w:r>
      <w:r w:rsidRPr="00142E9D">
        <w:rPr>
          <w:rFonts w:ascii="Book Antiqua" w:hAnsi="Book Antiqua" w:cs="宋体"/>
          <w:sz w:val="24"/>
          <w:szCs w:val="24"/>
        </w:rPr>
        <w:t>: 276-281 [PMID: 21486886 DOI: 10.1136/amiajnl-2010-000026]</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69 </w:t>
      </w:r>
      <w:proofErr w:type="spellStart"/>
      <w:r w:rsidRPr="00142E9D">
        <w:rPr>
          <w:rFonts w:ascii="Book Antiqua" w:hAnsi="Book Antiqua" w:cs="宋体"/>
          <w:b/>
          <w:bCs/>
          <w:sz w:val="24"/>
          <w:szCs w:val="24"/>
        </w:rPr>
        <w:t>McGreevey</w:t>
      </w:r>
      <w:proofErr w:type="spellEnd"/>
      <w:r w:rsidRPr="00142E9D">
        <w:rPr>
          <w:rFonts w:ascii="Book Antiqua" w:hAnsi="Book Antiqua" w:cs="宋体"/>
          <w:b/>
          <w:bCs/>
          <w:sz w:val="24"/>
          <w:szCs w:val="24"/>
        </w:rPr>
        <w:t xml:space="preserve"> JD</w:t>
      </w:r>
      <w:r w:rsidRPr="00142E9D">
        <w:rPr>
          <w:rFonts w:ascii="Book Antiqua" w:hAnsi="Book Antiqua" w:cs="宋体"/>
          <w:sz w:val="24"/>
          <w:szCs w:val="24"/>
        </w:rPr>
        <w:t>. Order sets in electronic health records: principles of good practice. </w:t>
      </w:r>
      <w:r w:rsidRPr="00142E9D">
        <w:rPr>
          <w:rFonts w:ascii="Book Antiqua" w:hAnsi="Book Antiqua" w:cs="宋体"/>
          <w:i/>
          <w:iCs/>
          <w:sz w:val="24"/>
          <w:szCs w:val="24"/>
        </w:rPr>
        <w:t>Chest</w:t>
      </w:r>
      <w:r w:rsidRPr="00142E9D">
        <w:rPr>
          <w:rFonts w:ascii="Book Antiqua" w:hAnsi="Book Antiqua" w:cs="宋体"/>
          <w:sz w:val="24"/>
          <w:szCs w:val="24"/>
        </w:rPr>
        <w:t> 2013; </w:t>
      </w:r>
      <w:r w:rsidRPr="00142E9D">
        <w:rPr>
          <w:rFonts w:ascii="Book Antiqua" w:hAnsi="Book Antiqua" w:cs="宋体"/>
          <w:b/>
          <w:bCs/>
          <w:sz w:val="24"/>
          <w:szCs w:val="24"/>
        </w:rPr>
        <w:t>143</w:t>
      </w:r>
      <w:r w:rsidRPr="00142E9D">
        <w:rPr>
          <w:rFonts w:ascii="Book Antiqua" w:hAnsi="Book Antiqua" w:cs="宋体"/>
          <w:sz w:val="24"/>
          <w:szCs w:val="24"/>
        </w:rPr>
        <w:t>: 228-235 [PMID: 23276846 DOI: 10.1378/chest.12-0949]</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70 </w:t>
      </w:r>
      <w:proofErr w:type="spellStart"/>
      <w:r w:rsidRPr="00142E9D">
        <w:rPr>
          <w:rFonts w:ascii="Book Antiqua" w:hAnsi="Book Antiqua" w:cs="宋体"/>
          <w:b/>
          <w:bCs/>
          <w:sz w:val="24"/>
          <w:szCs w:val="24"/>
        </w:rPr>
        <w:t>Bobb</w:t>
      </w:r>
      <w:proofErr w:type="spellEnd"/>
      <w:r w:rsidRPr="00142E9D">
        <w:rPr>
          <w:rFonts w:ascii="Book Antiqua" w:hAnsi="Book Antiqua" w:cs="宋体"/>
          <w:b/>
          <w:bCs/>
          <w:sz w:val="24"/>
          <w:szCs w:val="24"/>
        </w:rPr>
        <w:t xml:space="preserve"> AM</w:t>
      </w:r>
      <w:r w:rsidRPr="00142E9D">
        <w:rPr>
          <w:rFonts w:ascii="Book Antiqua" w:hAnsi="Book Antiqua" w:cs="宋体"/>
          <w:sz w:val="24"/>
          <w:szCs w:val="24"/>
        </w:rPr>
        <w:t>, Payne TH, Gross PA. Viewpoint: controversies surrounding use of order sets for clinical decision support in computerized provider order entry. </w:t>
      </w:r>
      <w:r w:rsidRPr="00142E9D">
        <w:rPr>
          <w:rFonts w:ascii="Book Antiqua" w:hAnsi="Book Antiqua" w:cs="宋体"/>
          <w:i/>
          <w:iCs/>
          <w:sz w:val="24"/>
          <w:szCs w:val="24"/>
        </w:rPr>
        <w:t xml:space="preserve">J Am Med Inform </w:t>
      </w:r>
      <w:proofErr w:type="spellStart"/>
      <w:r w:rsidRPr="00142E9D">
        <w:rPr>
          <w:rFonts w:ascii="Book Antiqua" w:hAnsi="Book Antiqua" w:cs="宋体"/>
          <w:i/>
          <w:iCs/>
          <w:sz w:val="24"/>
          <w:szCs w:val="24"/>
        </w:rPr>
        <w:t>Assoc</w:t>
      </w:r>
      <w:proofErr w:type="spellEnd"/>
      <w:r w:rsidRPr="00142E9D">
        <w:rPr>
          <w:rFonts w:ascii="Book Antiqua" w:hAnsi="Book Antiqua" w:cs="宋体"/>
          <w:sz w:val="24"/>
          <w:szCs w:val="24"/>
        </w:rPr>
        <w:t> </w:t>
      </w:r>
      <w:r>
        <w:rPr>
          <w:rFonts w:ascii="Book Antiqua" w:hAnsi="Book Antiqua" w:cs="宋体"/>
          <w:sz w:val="24"/>
          <w:szCs w:val="24"/>
        </w:rPr>
        <w:t>2007</w:t>
      </w:r>
      <w:r w:rsidRPr="00142E9D">
        <w:rPr>
          <w:rFonts w:ascii="Book Antiqua" w:hAnsi="Book Antiqua" w:cs="宋体"/>
          <w:sz w:val="24"/>
          <w:szCs w:val="24"/>
        </w:rPr>
        <w:t>; </w:t>
      </w:r>
      <w:r w:rsidRPr="00142E9D">
        <w:rPr>
          <w:rFonts w:ascii="Book Antiqua" w:hAnsi="Book Antiqua" w:cs="宋体"/>
          <w:b/>
          <w:bCs/>
          <w:sz w:val="24"/>
          <w:szCs w:val="24"/>
        </w:rPr>
        <w:t>14</w:t>
      </w:r>
      <w:r w:rsidRPr="00142E9D">
        <w:rPr>
          <w:rFonts w:ascii="Book Antiqua" w:hAnsi="Book Antiqua" w:cs="宋体"/>
          <w:sz w:val="24"/>
          <w:szCs w:val="24"/>
        </w:rPr>
        <w:t>: 41-47 [PMID: 17068352 DOI: 10.1197/jamia.M2184]</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71 </w:t>
      </w:r>
      <w:proofErr w:type="spellStart"/>
      <w:r w:rsidRPr="00142E9D">
        <w:rPr>
          <w:rFonts w:ascii="Book Antiqua" w:hAnsi="Book Antiqua" w:cs="宋体"/>
          <w:b/>
          <w:bCs/>
          <w:sz w:val="24"/>
          <w:szCs w:val="24"/>
        </w:rPr>
        <w:t>Chisolm</w:t>
      </w:r>
      <w:proofErr w:type="spellEnd"/>
      <w:r w:rsidRPr="00142E9D">
        <w:rPr>
          <w:rFonts w:ascii="Book Antiqua" w:hAnsi="Book Antiqua" w:cs="宋体"/>
          <w:b/>
          <w:bCs/>
          <w:sz w:val="24"/>
          <w:szCs w:val="24"/>
        </w:rPr>
        <w:t xml:space="preserve"> DJ</w:t>
      </w:r>
      <w:r w:rsidRPr="00142E9D">
        <w:rPr>
          <w:rFonts w:ascii="Book Antiqua" w:hAnsi="Book Antiqua" w:cs="宋体"/>
          <w:sz w:val="24"/>
          <w:szCs w:val="24"/>
        </w:rPr>
        <w:t xml:space="preserve">, </w:t>
      </w:r>
      <w:proofErr w:type="spellStart"/>
      <w:r w:rsidRPr="00142E9D">
        <w:rPr>
          <w:rFonts w:ascii="Book Antiqua" w:hAnsi="Book Antiqua" w:cs="宋体"/>
          <w:sz w:val="24"/>
          <w:szCs w:val="24"/>
        </w:rPr>
        <w:t>McAlearney</w:t>
      </w:r>
      <w:proofErr w:type="spellEnd"/>
      <w:r w:rsidRPr="00142E9D">
        <w:rPr>
          <w:rFonts w:ascii="Book Antiqua" w:hAnsi="Book Antiqua" w:cs="宋体"/>
          <w:sz w:val="24"/>
          <w:szCs w:val="24"/>
        </w:rPr>
        <w:t xml:space="preserve"> AS, </w:t>
      </w:r>
      <w:proofErr w:type="spellStart"/>
      <w:r w:rsidRPr="00142E9D">
        <w:rPr>
          <w:rFonts w:ascii="Book Antiqua" w:hAnsi="Book Antiqua" w:cs="宋体"/>
          <w:sz w:val="24"/>
          <w:szCs w:val="24"/>
        </w:rPr>
        <w:t>Veneris</w:t>
      </w:r>
      <w:proofErr w:type="spellEnd"/>
      <w:r w:rsidRPr="00142E9D">
        <w:rPr>
          <w:rFonts w:ascii="Book Antiqua" w:hAnsi="Book Antiqua" w:cs="宋体"/>
          <w:sz w:val="24"/>
          <w:szCs w:val="24"/>
        </w:rPr>
        <w:t xml:space="preserve"> S, Fisher D, </w:t>
      </w:r>
      <w:proofErr w:type="spellStart"/>
      <w:r w:rsidRPr="00142E9D">
        <w:rPr>
          <w:rFonts w:ascii="Book Antiqua" w:hAnsi="Book Antiqua" w:cs="宋体"/>
          <w:sz w:val="24"/>
          <w:szCs w:val="24"/>
        </w:rPr>
        <w:t>Holtzlander</w:t>
      </w:r>
      <w:proofErr w:type="spellEnd"/>
      <w:r w:rsidRPr="00142E9D">
        <w:rPr>
          <w:rFonts w:ascii="Book Antiqua" w:hAnsi="Book Antiqua" w:cs="宋体"/>
          <w:sz w:val="24"/>
          <w:szCs w:val="24"/>
        </w:rPr>
        <w:t xml:space="preserve"> M, McCoy KS. The role of computerized order sets in pediatric inpatient asthma treatment. </w:t>
      </w:r>
      <w:proofErr w:type="spellStart"/>
      <w:r w:rsidRPr="00142E9D">
        <w:rPr>
          <w:rFonts w:ascii="Book Antiqua" w:hAnsi="Book Antiqua" w:cs="宋体"/>
          <w:i/>
          <w:iCs/>
          <w:sz w:val="24"/>
          <w:szCs w:val="24"/>
        </w:rPr>
        <w:t>Pediatr</w:t>
      </w:r>
      <w:proofErr w:type="spellEnd"/>
      <w:r w:rsidRPr="00142E9D">
        <w:rPr>
          <w:rFonts w:ascii="Book Antiqua" w:hAnsi="Book Antiqua" w:cs="宋体"/>
          <w:i/>
          <w:iCs/>
          <w:sz w:val="24"/>
          <w:szCs w:val="24"/>
        </w:rPr>
        <w:t xml:space="preserve"> Allergy </w:t>
      </w:r>
      <w:proofErr w:type="spellStart"/>
      <w:r w:rsidRPr="00142E9D">
        <w:rPr>
          <w:rFonts w:ascii="Book Antiqua" w:hAnsi="Book Antiqua" w:cs="宋体"/>
          <w:i/>
          <w:iCs/>
          <w:sz w:val="24"/>
          <w:szCs w:val="24"/>
        </w:rPr>
        <w:t>Immunol</w:t>
      </w:r>
      <w:proofErr w:type="spellEnd"/>
      <w:r w:rsidRPr="00142E9D">
        <w:rPr>
          <w:rFonts w:ascii="Book Antiqua" w:hAnsi="Book Antiqua" w:cs="宋体"/>
          <w:sz w:val="24"/>
          <w:szCs w:val="24"/>
        </w:rPr>
        <w:t> 2006; </w:t>
      </w:r>
      <w:r w:rsidRPr="00142E9D">
        <w:rPr>
          <w:rFonts w:ascii="Book Antiqua" w:hAnsi="Book Antiqua" w:cs="宋体"/>
          <w:b/>
          <w:bCs/>
          <w:sz w:val="24"/>
          <w:szCs w:val="24"/>
        </w:rPr>
        <w:t>17</w:t>
      </w:r>
      <w:r w:rsidRPr="00142E9D">
        <w:rPr>
          <w:rFonts w:ascii="Book Antiqua" w:hAnsi="Book Antiqua" w:cs="宋体"/>
          <w:sz w:val="24"/>
          <w:szCs w:val="24"/>
        </w:rPr>
        <w:t>: 199-206 [PMID: 16672007 DOI: 10.1111/j.1399-3038.2005.00362.x]</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lastRenderedPageBreak/>
        <w:t>72 </w:t>
      </w:r>
      <w:r w:rsidRPr="00142E9D">
        <w:rPr>
          <w:rFonts w:ascii="Book Antiqua" w:hAnsi="Book Antiqua" w:cs="宋体"/>
          <w:b/>
          <w:bCs/>
          <w:sz w:val="24"/>
          <w:szCs w:val="24"/>
        </w:rPr>
        <w:t>Chan AJ</w:t>
      </w:r>
      <w:r w:rsidRPr="00142E9D">
        <w:rPr>
          <w:rFonts w:ascii="Book Antiqua" w:hAnsi="Book Antiqua" w:cs="宋体"/>
          <w:sz w:val="24"/>
          <w:szCs w:val="24"/>
        </w:rPr>
        <w:t xml:space="preserve">, Chan J, </w:t>
      </w:r>
      <w:proofErr w:type="spellStart"/>
      <w:r w:rsidRPr="00142E9D">
        <w:rPr>
          <w:rFonts w:ascii="Book Antiqua" w:hAnsi="Book Antiqua" w:cs="宋体"/>
          <w:sz w:val="24"/>
          <w:szCs w:val="24"/>
        </w:rPr>
        <w:t>Cafazzo</w:t>
      </w:r>
      <w:proofErr w:type="spellEnd"/>
      <w:r w:rsidRPr="00142E9D">
        <w:rPr>
          <w:rFonts w:ascii="Book Antiqua" w:hAnsi="Book Antiqua" w:cs="宋体"/>
          <w:sz w:val="24"/>
          <w:szCs w:val="24"/>
        </w:rPr>
        <w:t xml:space="preserve"> JA, </w:t>
      </w:r>
      <w:proofErr w:type="spellStart"/>
      <w:r w:rsidRPr="00142E9D">
        <w:rPr>
          <w:rFonts w:ascii="Book Antiqua" w:hAnsi="Book Antiqua" w:cs="宋体"/>
          <w:sz w:val="24"/>
          <w:szCs w:val="24"/>
        </w:rPr>
        <w:t>Rossos</w:t>
      </w:r>
      <w:proofErr w:type="spellEnd"/>
      <w:r w:rsidRPr="00142E9D">
        <w:rPr>
          <w:rFonts w:ascii="Book Antiqua" w:hAnsi="Book Antiqua" w:cs="宋体"/>
          <w:sz w:val="24"/>
          <w:szCs w:val="24"/>
        </w:rPr>
        <w:t xml:space="preserve"> PG, Tripp T, </w:t>
      </w:r>
      <w:proofErr w:type="spellStart"/>
      <w:r w:rsidRPr="00142E9D">
        <w:rPr>
          <w:rFonts w:ascii="Book Antiqua" w:hAnsi="Book Antiqua" w:cs="宋体"/>
          <w:sz w:val="24"/>
          <w:szCs w:val="24"/>
        </w:rPr>
        <w:t>Shojania</w:t>
      </w:r>
      <w:proofErr w:type="spellEnd"/>
      <w:r w:rsidRPr="00142E9D">
        <w:rPr>
          <w:rFonts w:ascii="Book Antiqua" w:hAnsi="Book Antiqua" w:cs="宋体"/>
          <w:sz w:val="24"/>
          <w:szCs w:val="24"/>
        </w:rPr>
        <w:t xml:space="preserve"> K, Khan T, </w:t>
      </w:r>
      <w:proofErr w:type="spellStart"/>
      <w:r w:rsidRPr="00142E9D">
        <w:rPr>
          <w:rFonts w:ascii="Book Antiqua" w:hAnsi="Book Antiqua" w:cs="宋体"/>
          <w:sz w:val="24"/>
          <w:szCs w:val="24"/>
        </w:rPr>
        <w:t>Easty</w:t>
      </w:r>
      <w:proofErr w:type="spellEnd"/>
      <w:r w:rsidRPr="00142E9D">
        <w:rPr>
          <w:rFonts w:ascii="Book Antiqua" w:hAnsi="Book Antiqua" w:cs="宋体"/>
          <w:sz w:val="24"/>
          <w:szCs w:val="24"/>
        </w:rPr>
        <w:t xml:space="preserve"> AC. Order sets in health care: a systematic review of their effects. </w:t>
      </w:r>
      <w:proofErr w:type="spellStart"/>
      <w:r w:rsidRPr="00142E9D">
        <w:rPr>
          <w:rFonts w:ascii="Book Antiqua" w:hAnsi="Book Antiqua" w:cs="宋体"/>
          <w:i/>
          <w:iCs/>
          <w:sz w:val="24"/>
          <w:szCs w:val="24"/>
        </w:rPr>
        <w:t>Int</w:t>
      </w:r>
      <w:proofErr w:type="spellEnd"/>
      <w:r w:rsidRPr="00142E9D">
        <w:rPr>
          <w:rFonts w:ascii="Book Antiqua" w:hAnsi="Book Antiqua" w:cs="宋体"/>
          <w:i/>
          <w:iCs/>
          <w:sz w:val="24"/>
          <w:szCs w:val="24"/>
        </w:rPr>
        <w:t xml:space="preserve"> J </w:t>
      </w:r>
      <w:proofErr w:type="spellStart"/>
      <w:r w:rsidRPr="00142E9D">
        <w:rPr>
          <w:rFonts w:ascii="Book Antiqua" w:hAnsi="Book Antiqua" w:cs="宋体"/>
          <w:i/>
          <w:iCs/>
          <w:sz w:val="24"/>
          <w:szCs w:val="24"/>
        </w:rPr>
        <w:t>Technol</w:t>
      </w:r>
      <w:proofErr w:type="spellEnd"/>
      <w:r w:rsidRPr="00142E9D">
        <w:rPr>
          <w:rFonts w:ascii="Book Antiqua" w:hAnsi="Book Antiqua" w:cs="宋体"/>
          <w:i/>
          <w:iCs/>
          <w:sz w:val="24"/>
          <w:szCs w:val="24"/>
        </w:rPr>
        <w:t xml:space="preserve"> Assess Health Care</w:t>
      </w:r>
      <w:r w:rsidRPr="00142E9D">
        <w:rPr>
          <w:rFonts w:ascii="Book Antiqua" w:hAnsi="Book Antiqua" w:cs="宋体"/>
          <w:sz w:val="24"/>
          <w:szCs w:val="24"/>
        </w:rPr>
        <w:t> 2012; </w:t>
      </w:r>
      <w:r w:rsidRPr="00142E9D">
        <w:rPr>
          <w:rFonts w:ascii="Book Antiqua" w:hAnsi="Book Antiqua" w:cs="宋体"/>
          <w:b/>
          <w:bCs/>
          <w:sz w:val="24"/>
          <w:szCs w:val="24"/>
        </w:rPr>
        <w:t>28</w:t>
      </w:r>
      <w:r w:rsidRPr="00142E9D">
        <w:rPr>
          <w:rFonts w:ascii="Book Antiqua" w:hAnsi="Book Antiqua" w:cs="宋体"/>
          <w:sz w:val="24"/>
          <w:szCs w:val="24"/>
        </w:rPr>
        <w:t>: 235-240 [PMID: 22980699 DOI: 10.1017/S0266462312000281]</w:t>
      </w:r>
    </w:p>
    <w:p w:rsidR="00CD552B" w:rsidRPr="00142E9D" w:rsidRDefault="00CD552B" w:rsidP="00B67F56">
      <w:pPr>
        <w:spacing w:line="360" w:lineRule="auto"/>
        <w:jc w:val="both"/>
        <w:rPr>
          <w:rFonts w:ascii="Book Antiqua" w:hAnsi="Book Antiqua" w:cs="宋体"/>
          <w:sz w:val="24"/>
          <w:szCs w:val="24"/>
        </w:rPr>
      </w:pPr>
      <w:r w:rsidRPr="00142E9D">
        <w:rPr>
          <w:rFonts w:ascii="Book Antiqua" w:hAnsi="Book Antiqua" w:cs="宋体"/>
          <w:sz w:val="24"/>
          <w:szCs w:val="24"/>
        </w:rPr>
        <w:t>73 </w:t>
      </w:r>
      <w:proofErr w:type="spellStart"/>
      <w:r w:rsidRPr="00142E9D">
        <w:rPr>
          <w:rFonts w:ascii="Book Antiqua" w:hAnsi="Book Antiqua" w:cs="宋体"/>
          <w:b/>
          <w:bCs/>
          <w:sz w:val="24"/>
          <w:szCs w:val="24"/>
        </w:rPr>
        <w:t>Bian</w:t>
      </w:r>
      <w:proofErr w:type="spellEnd"/>
      <w:r w:rsidRPr="00142E9D">
        <w:rPr>
          <w:rFonts w:ascii="Book Antiqua" w:hAnsi="Book Antiqua" w:cs="宋体"/>
          <w:b/>
          <w:bCs/>
          <w:sz w:val="24"/>
          <w:szCs w:val="24"/>
        </w:rPr>
        <w:t xml:space="preserve"> J</w:t>
      </w:r>
      <w:r w:rsidRPr="00142E9D">
        <w:rPr>
          <w:rFonts w:ascii="Book Antiqua" w:hAnsi="Book Antiqua" w:cs="宋体"/>
          <w:sz w:val="24"/>
          <w:szCs w:val="24"/>
        </w:rPr>
        <w:t xml:space="preserve">, Bennett CL, Fisher DA, </w:t>
      </w:r>
      <w:proofErr w:type="spellStart"/>
      <w:r w:rsidRPr="00142E9D">
        <w:rPr>
          <w:rFonts w:ascii="Book Antiqua" w:hAnsi="Book Antiqua" w:cs="宋体"/>
          <w:sz w:val="24"/>
          <w:szCs w:val="24"/>
        </w:rPr>
        <w:t>Ribeiro</w:t>
      </w:r>
      <w:proofErr w:type="spellEnd"/>
      <w:r w:rsidRPr="00142E9D">
        <w:rPr>
          <w:rFonts w:ascii="Book Antiqua" w:hAnsi="Book Antiqua" w:cs="宋体"/>
          <w:sz w:val="24"/>
          <w:szCs w:val="24"/>
        </w:rPr>
        <w:t xml:space="preserve"> M, Lipscomb J. Unintended consequences of health information technology: evidence from veterans affairs colorectal cancer oncology watch intervention. </w:t>
      </w:r>
      <w:r w:rsidRPr="00142E9D">
        <w:rPr>
          <w:rFonts w:ascii="Book Antiqua" w:hAnsi="Book Antiqua" w:cs="宋体"/>
          <w:i/>
          <w:iCs/>
          <w:sz w:val="24"/>
          <w:szCs w:val="24"/>
        </w:rPr>
        <w:t xml:space="preserve">J </w:t>
      </w:r>
      <w:proofErr w:type="spellStart"/>
      <w:r w:rsidRPr="00142E9D">
        <w:rPr>
          <w:rFonts w:ascii="Book Antiqua" w:hAnsi="Book Antiqua" w:cs="宋体"/>
          <w:i/>
          <w:iCs/>
          <w:sz w:val="24"/>
          <w:szCs w:val="24"/>
        </w:rPr>
        <w:t>Clin</w:t>
      </w:r>
      <w:proofErr w:type="spellEnd"/>
      <w:r w:rsidRPr="00142E9D">
        <w:rPr>
          <w:rFonts w:ascii="Book Antiqua" w:hAnsi="Book Antiqua" w:cs="宋体"/>
          <w:i/>
          <w:iCs/>
          <w:sz w:val="24"/>
          <w:szCs w:val="24"/>
        </w:rPr>
        <w:t xml:space="preserve"> </w:t>
      </w:r>
      <w:proofErr w:type="spellStart"/>
      <w:r w:rsidRPr="00142E9D">
        <w:rPr>
          <w:rFonts w:ascii="Book Antiqua" w:hAnsi="Book Antiqua" w:cs="宋体"/>
          <w:i/>
          <w:iCs/>
          <w:sz w:val="24"/>
          <w:szCs w:val="24"/>
        </w:rPr>
        <w:t>Oncol</w:t>
      </w:r>
      <w:proofErr w:type="spellEnd"/>
      <w:r w:rsidRPr="00142E9D">
        <w:rPr>
          <w:rFonts w:ascii="Book Antiqua" w:hAnsi="Book Antiqua" w:cs="宋体"/>
          <w:sz w:val="24"/>
          <w:szCs w:val="24"/>
        </w:rPr>
        <w:t> 2012; </w:t>
      </w:r>
      <w:r w:rsidRPr="00142E9D">
        <w:rPr>
          <w:rFonts w:ascii="Book Antiqua" w:hAnsi="Book Antiqua" w:cs="宋体"/>
          <w:b/>
          <w:bCs/>
          <w:sz w:val="24"/>
          <w:szCs w:val="24"/>
        </w:rPr>
        <w:t>30</w:t>
      </w:r>
      <w:r w:rsidRPr="00142E9D">
        <w:rPr>
          <w:rFonts w:ascii="Book Antiqua" w:hAnsi="Book Antiqua" w:cs="宋体"/>
          <w:sz w:val="24"/>
          <w:szCs w:val="24"/>
        </w:rPr>
        <w:t>: 3947-3952 [PMID: 23045582 DOI: 10.1200/JCO.2011.39.7448]</w:t>
      </w:r>
    </w:p>
    <w:bookmarkEnd w:id="23"/>
    <w:bookmarkEnd w:id="24"/>
    <w:p w:rsidR="00CD552B" w:rsidRPr="002C72DA" w:rsidRDefault="00CD552B" w:rsidP="002C72DA">
      <w:pPr>
        <w:spacing w:after="0" w:line="360" w:lineRule="auto"/>
        <w:jc w:val="both"/>
        <w:rPr>
          <w:rFonts w:ascii="Book Antiqua" w:hAnsi="Book Antiqua"/>
          <w:sz w:val="24"/>
          <w:szCs w:val="24"/>
        </w:rPr>
      </w:pPr>
    </w:p>
    <w:p w:rsidR="00CD552B" w:rsidRDefault="00CD552B" w:rsidP="00505839">
      <w:pPr>
        <w:spacing w:line="360" w:lineRule="auto"/>
        <w:jc w:val="right"/>
        <w:rPr>
          <w:rFonts w:ascii="Book Antiqua" w:hAnsi="Book Antiqua"/>
          <w:b/>
          <w:bCs/>
          <w:color w:val="000000"/>
          <w:sz w:val="24"/>
        </w:rPr>
      </w:pPr>
      <w:bookmarkStart w:id="25" w:name="OLE_LINK12"/>
      <w:bookmarkStart w:id="26" w:name="OLE_LINK11"/>
      <w:bookmarkStart w:id="27" w:name="OLE_LINK118"/>
      <w:bookmarkStart w:id="28" w:name="OLE_LINK194"/>
      <w:bookmarkStart w:id="29" w:name="OLE_LINK85"/>
      <w:bookmarkStart w:id="30" w:name="OLE_LINK80"/>
      <w:bookmarkStart w:id="31" w:name="OLE_LINK20"/>
      <w:r>
        <w:rPr>
          <w:rStyle w:val="a5"/>
          <w:rFonts w:ascii="Book Antiqua" w:hAnsi="Book Antiqua"/>
          <w:noProof/>
          <w:color w:val="000000"/>
          <w:sz w:val="24"/>
          <w:szCs w:val="24"/>
        </w:rPr>
        <w:t>P-Reviewer</w:t>
      </w:r>
      <w:bookmarkEnd w:id="25"/>
      <w:bookmarkEnd w:id="26"/>
      <w:r>
        <w:rPr>
          <w:rStyle w:val="a5"/>
          <w:rFonts w:ascii="Book Antiqua" w:hAnsi="Book Antiqua"/>
          <w:noProof/>
          <w:color w:val="000000"/>
          <w:sz w:val="24"/>
          <w:szCs w:val="24"/>
          <w:lang w:eastAsia="zh-CN"/>
        </w:rPr>
        <w:t>s</w:t>
      </w:r>
      <w:r w:rsidRPr="00F07AA5">
        <w:rPr>
          <w:rStyle w:val="a5"/>
          <w:rFonts w:ascii="Book Antiqua" w:hAnsi="Book Antiqua"/>
          <w:b w:val="0"/>
          <w:noProof/>
          <w:color w:val="000000"/>
          <w:sz w:val="24"/>
          <w:szCs w:val="24"/>
          <w:lang w:eastAsia="zh-CN"/>
        </w:rPr>
        <w:t xml:space="preserve"> Arias M, Bressler B, </w:t>
      </w:r>
      <w:r>
        <w:rPr>
          <w:rFonts w:ascii="Book Antiqua" w:hAnsi="Book Antiqua"/>
          <w:bCs/>
          <w:color w:val="000000"/>
          <w:sz w:val="24"/>
        </w:rPr>
        <w:t>Jiang</w:t>
      </w:r>
      <w:r>
        <w:rPr>
          <w:rFonts w:ascii="Book Antiqua" w:hAnsi="Book Antiqua"/>
          <w:bCs/>
          <w:color w:val="000000"/>
          <w:sz w:val="24"/>
          <w:lang w:eastAsia="zh-CN"/>
        </w:rPr>
        <w:t xml:space="preserve"> </w:t>
      </w:r>
      <w:r w:rsidRPr="001C22D8">
        <w:rPr>
          <w:rFonts w:ascii="Book Antiqua" w:hAnsi="Book Antiqua"/>
          <w:bCs/>
          <w:color w:val="000000"/>
          <w:sz w:val="24"/>
        </w:rPr>
        <w:t>G</w:t>
      </w:r>
      <w:r>
        <w:rPr>
          <w:rFonts w:ascii="Book Antiqua" w:hAnsi="Book Antiqua"/>
          <w:bCs/>
          <w:color w:val="000000"/>
          <w:sz w:val="24"/>
          <w:lang w:eastAsia="zh-CN"/>
        </w:rPr>
        <w:t xml:space="preserve">L, Yan </w:t>
      </w:r>
      <w:r w:rsidRPr="001C22D8">
        <w:rPr>
          <w:rFonts w:ascii="Book Antiqua" w:hAnsi="Book Antiqua"/>
          <w:bCs/>
          <w:color w:val="000000"/>
          <w:sz w:val="24"/>
          <w:lang w:eastAsia="zh-CN"/>
        </w:rPr>
        <w:t>Y</w:t>
      </w:r>
      <w:r>
        <w:rPr>
          <w:rFonts w:ascii="Book Antiqua" w:hAnsi="Book Antiqua"/>
          <w:bCs/>
          <w:color w:val="000000"/>
          <w:sz w:val="24"/>
          <w:lang w:eastAsia="zh-CN"/>
        </w:rPr>
        <w:t xml:space="preserve">, </w:t>
      </w:r>
      <w:r>
        <w:rPr>
          <w:rFonts w:ascii="Book Antiqua" w:hAnsi="Book Antiqua"/>
          <w:b/>
          <w:bCs/>
          <w:color w:val="000000"/>
          <w:sz w:val="24"/>
        </w:rPr>
        <w:t xml:space="preserve">    S-Editor </w:t>
      </w:r>
      <w:r>
        <w:rPr>
          <w:rFonts w:ascii="Book Antiqua" w:hAnsi="Book Antiqua"/>
          <w:bCs/>
          <w:color w:val="000000"/>
          <w:sz w:val="24"/>
        </w:rPr>
        <w:t xml:space="preserve">Wen LL  </w:t>
      </w:r>
      <w:r>
        <w:rPr>
          <w:rFonts w:ascii="Book Antiqua" w:hAnsi="Book Antiqua"/>
          <w:b/>
          <w:bCs/>
          <w:color w:val="000000"/>
          <w:sz w:val="24"/>
        </w:rPr>
        <w:t xml:space="preserve">         </w:t>
      </w:r>
      <w:r>
        <w:rPr>
          <w:rFonts w:ascii="Book Antiqua" w:hAnsi="Book Antiqua"/>
          <w:color w:val="000000"/>
          <w:sz w:val="24"/>
        </w:rPr>
        <w:t xml:space="preserve">  </w:t>
      </w:r>
      <w:r>
        <w:rPr>
          <w:rFonts w:ascii="Book Antiqua" w:hAnsi="Book Antiqua"/>
          <w:b/>
          <w:bCs/>
          <w:color w:val="000000"/>
          <w:sz w:val="24"/>
        </w:rPr>
        <w:t xml:space="preserve">L-Editor                </w:t>
      </w:r>
      <w:r>
        <w:rPr>
          <w:rFonts w:ascii="Book Antiqua" w:hAnsi="Book Antiqua"/>
          <w:color w:val="000000"/>
          <w:sz w:val="24"/>
        </w:rPr>
        <w:t xml:space="preserve">  </w:t>
      </w:r>
      <w:r>
        <w:rPr>
          <w:rFonts w:ascii="Book Antiqua" w:hAnsi="Book Antiqua"/>
          <w:b/>
          <w:bCs/>
          <w:color w:val="000000"/>
          <w:sz w:val="24"/>
        </w:rPr>
        <w:t>E-Editor</w:t>
      </w:r>
      <w:bookmarkEnd w:id="27"/>
      <w:bookmarkEnd w:id="28"/>
      <w:bookmarkEnd w:id="29"/>
      <w:bookmarkEnd w:id="30"/>
      <w:bookmarkEnd w:id="31"/>
    </w:p>
    <w:p w:rsidR="00CD552B" w:rsidRPr="001C22D8"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Pr="00B67F56" w:rsidRDefault="00CD552B" w:rsidP="002C72DA">
      <w:pPr>
        <w:spacing w:after="0" w:line="360" w:lineRule="auto"/>
        <w:jc w:val="both"/>
        <w:rPr>
          <w:rFonts w:ascii="Book Antiqua" w:hAnsi="Book Antiqua"/>
          <w:sz w:val="24"/>
          <w:szCs w:val="24"/>
          <w:lang w:eastAsia="zh-CN"/>
        </w:rPr>
      </w:pPr>
    </w:p>
    <w:p w:rsidR="00CD552B" w:rsidRPr="00213C8F" w:rsidRDefault="00CD552B" w:rsidP="002C72DA">
      <w:pPr>
        <w:spacing w:after="0" w:line="360" w:lineRule="auto"/>
        <w:jc w:val="both"/>
        <w:rPr>
          <w:rFonts w:ascii="Book Antiqua" w:hAnsi="Book Antiqua"/>
          <w:b/>
          <w:sz w:val="24"/>
          <w:szCs w:val="24"/>
          <w:lang w:eastAsia="zh-CN"/>
        </w:rPr>
      </w:pPr>
      <w:r w:rsidRPr="00213C8F">
        <w:rPr>
          <w:rFonts w:ascii="Book Antiqua" w:hAnsi="Book Antiqua"/>
          <w:b/>
          <w:sz w:val="24"/>
          <w:szCs w:val="24"/>
        </w:rPr>
        <w:t>Table 1 American Gastroenterology Association Physician Quality Reporting System inflammatory bowel disease measures</w:t>
      </w:r>
    </w:p>
    <w:tbl>
      <w:tblPr>
        <w:tblW w:w="0" w:type="auto"/>
        <w:tblBorders>
          <w:top w:val="single" w:sz="4" w:space="0" w:color="auto"/>
          <w:bottom w:val="single" w:sz="4" w:space="0" w:color="auto"/>
        </w:tblBorders>
        <w:tblLook w:val="00A0" w:firstRow="1" w:lastRow="0" w:firstColumn="1" w:lastColumn="0" w:noHBand="0" w:noVBand="0"/>
      </w:tblPr>
      <w:tblGrid>
        <w:gridCol w:w="9576"/>
      </w:tblGrid>
      <w:tr w:rsidR="00CD552B" w:rsidRPr="007C6A4B" w:rsidTr="007C6A4B">
        <w:tc>
          <w:tcPr>
            <w:tcW w:w="9576" w:type="dxa"/>
            <w:tcBorders>
              <w:top w:val="single" w:sz="4" w:space="0" w:color="auto"/>
              <w:bottom w:val="single" w:sz="4" w:space="0" w:color="auto"/>
            </w:tcBorders>
          </w:tcPr>
          <w:p w:rsidR="00CD552B" w:rsidRPr="007C6A4B" w:rsidRDefault="00CD552B" w:rsidP="007C6A4B">
            <w:pPr>
              <w:spacing w:after="0"/>
              <w:ind w:left="360"/>
              <w:rPr>
                <w:rFonts w:ascii="Book Antiqua" w:hAnsi="Book Antiqua"/>
                <w:sz w:val="24"/>
                <w:szCs w:val="24"/>
              </w:rPr>
            </w:pPr>
            <w:r w:rsidRPr="007C6A4B">
              <w:rPr>
                <w:rFonts w:ascii="Book Antiqua" w:hAnsi="Book Antiqua"/>
                <w:sz w:val="24"/>
                <w:szCs w:val="24"/>
              </w:rPr>
              <w:t>IBD type, location and activity all documented</w:t>
            </w:r>
          </w:p>
          <w:p w:rsidR="00CD552B" w:rsidRPr="007C6A4B" w:rsidRDefault="00CD552B" w:rsidP="007C6A4B">
            <w:pPr>
              <w:spacing w:after="0"/>
              <w:ind w:left="360"/>
              <w:rPr>
                <w:rFonts w:ascii="Book Antiqua" w:hAnsi="Book Antiqua"/>
                <w:sz w:val="24"/>
                <w:szCs w:val="24"/>
              </w:rPr>
            </w:pPr>
            <w:r w:rsidRPr="007C6A4B">
              <w:rPr>
                <w:rFonts w:ascii="Book Antiqua" w:hAnsi="Book Antiqua"/>
                <w:sz w:val="24"/>
                <w:szCs w:val="24"/>
              </w:rPr>
              <w:t>Corticosteroid sparing therapy after 60 d</w:t>
            </w:r>
          </w:p>
          <w:p w:rsidR="00CD552B" w:rsidRPr="007C6A4B" w:rsidRDefault="00CD552B" w:rsidP="007C6A4B">
            <w:pPr>
              <w:spacing w:after="0"/>
              <w:ind w:left="360"/>
              <w:rPr>
                <w:rFonts w:ascii="Book Antiqua" w:hAnsi="Book Antiqua"/>
                <w:sz w:val="24"/>
                <w:szCs w:val="24"/>
              </w:rPr>
            </w:pPr>
            <w:r w:rsidRPr="007C6A4B">
              <w:rPr>
                <w:rFonts w:ascii="Book Antiqua" w:hAnsi="Book Antiqua"/>
                <w:sz w:val="24"/>
                <w:szCs w:val="24"/>
              </w:rPr>
              <w:t>Bone loss assessment</w:t>
            </w:r>
          </w:p>
          <w:p w:rsidR="00CD552B" w:rsidRPr="007C6A4B" w:rsidRDefault="00CD552B" w:rsidP="007C6A4B">
            <w:pPr>
              <w:spacing w:after="0"/>
              <w:ind w:left="360"/>
              <w:rPr>
                <w:rFonts w:ascii="Book Antiqua" w:hAnsi="Book Antiqua"/>
                <w:sz w:val="24"/>
                <w:szCs w:val="24"/>
              </w:rPr>
            </w:pPr>
            <w:r w:rsidRPr="007C6A4B">
              <w:rPr>
                <w:rFonts w:ascii="Book Antiqua" w:hAnsi="Book Antiqua"/>
                <w:sz w:val="24"/>
                <w:szCs w:val="24"/>
              </w:rPr>
              <w:t>Influenza immunization</w:t>
            </w:r>
          </w:p>
          <w:p w:rsidR="00CD552B" w:rsidRPr="007C6A4B" w:rsidRDefault="00CD552B" w:rsidP="007C6A4B">
            <w:pPr>
              <w:spacing w:after="0"/>
              <w:ind w:left="360"/>
              <w:rPr>
                <w:rFonts w:ascii="Book Antiqua" w:hAnsi="Book Antiqua"/>
                <w:sz w:val="24"/>
                <w:szCs w:val="24"/>
              </w:rPr>
            </w:pPr>
            <w:r w:rsidRPr="007C6A4B">
              <w:rPr>
                <w:rFonts w:ascii="Book Antiqua" w:hAnsi="Book Antiqua"/>
                <w:sz w:val="24"/>
                <w:szCs w:val="24"/>
              </w:rPr>
              <w:t>Pneumococcal immunization</w:t>
            </w:r>
          </w:p>
          <w:p w:rsidR="00CD552B" w:rsidRPr="007C6A4B" w:rsidRDefault="00CD552B" w:rsidP="007C6A4B">
            <w:pPr>
              <w:spacing w:after="0"/>
              <w:ind w:left="360"/>
              <w:rPr>
                <w:rFonts w:ascii="Book Antiqua" w:hAnsi="Book Antiqua"/>
                <w:sz w:val="24"/>
                <w:szCs w:val="24"/>
              </w:rPr>
            </w:pPr>
            <w:r w:rsidRPr="007C6A4B">
              <w:rPr>
                <w:rFonts w:ascii="Book Antiqua" w:hAnsi="Book Antiqua"/>
                <w:sz w:val="24"/>
                <w:szCs w:val="24"/>
              </w:rPr>
              <w:t>Testing for latent tuberculosis before initiating anti-TNF therapy</w:t>
            </w:r>
          </w:p>
          <w:p w:rsidR="00CD552B" w:rsidRPr="007C6A4B" w:rsidRDefault="00CD552B" w:rsidP="007C6A4B">
            <w:pPr>
              <w:spacing w:after="0"/>
              <w:ind w:left="360"/>
              <w:rPr>
                <w:rFonts w:ascii="Book Antiqua" w:hAnsi="Book Antiqua"/>
                <w:sz w:val="24"/>
                <w:szCs w:val="24"/>
              </w:rPr>
            </w:pPr>
            <w:r w:rsidRPr="007C6A4B">
              <w:rPr>
                <w:rFonts w:ascii="Book Antiqua" w:hAnsi="Book Antiqua"/>
                <w:sz w:val="24"/>
                <w:szCs w:val="24"/>
              </w:rPr>
              <w:t>Assessment of Hepatitis B status before initiating anti-TNF therapy</w:t>
            </w:r>
          </w:p>
          <w:p w:rsidR="00CD552B" w:rsidRPr="007C6A4B" w:rsidRDefault="00CD552B" w:rsidP="007C6A4B">
            <w:pPr>
              <w:spacing w:after="0"/>
              <w:ind w:left="360"/>
              <w:rPr>
                <w:rFonts w:ascii="Book Antiqua" w:hAnsi="Book Antiqua"/>
                <w:sz w:val="24"/>
                <w:szCs w:val="24"/>
              </w:rPr>
            </w:pPr>
            <w:r w:rsidRPr="007C6A4B">
              <w:rPr>
                <w:rFonts w:ascii="Book Antiqua" w:hAnsi="Book Antiqua"/>
                <w:sz w:val="24"/>
                <w:szCs w:val="24"/>
              </w:rPr>
              <w:t>Tobacco use: screening and cessation intervention</w:t>
            </w:r>
          </w:p>
        </w:tc>
      </w:tr>
    </w:tbl>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r w:rsidRPr="009203BC">
        <w:rPr>
          <w:rFonts w:ascii="Book Antiqua" w:hAnsi="Book Antiqua"/>
          <w:sz w:val="24"/>
          <w:szCs w:val="24"/>
        </w:rPr>
        <w:t>IBD</w:t>
      </w:r>
      <w:r>
        <w:rPr>
          <w:rFonts w:ascii="Book Antiqua" w:hAnsi="Book Antiqua"/>
          <w:sz w:val="24"/>
          <w:szCs w:val="24"/>
          <w:lang w:eastAsia="zh-CN"/>
        </w:rPr>
        <w:t xml:space="preserve">: </w:t>
      </w:r>
      <w:r w:rsidRPr="002C72DA">
        <w:rPr>
          <w:rFonts w:ascii="Book Antiqua" w:hAnsi="Book Antiqua"/>
          <w:sz w:val="24"/>
          <w:szCs w:val="24"/>
        </w:rPr>
        <w:t>Inflammatory bowel disease</w:t>
      </w:r>
      <w:r>
        <w:rPr>
          <w:rFonts w:ascii="Book Antiqua" w:hAnsi="Book Antiqua"/>
          <w:sz w:val="24"/>
          <w:szCs w:val="24"/>
          <w:lang w:eastAsia="zh-CN"/>
        </w:rPr>
        <w:t xml:space="preserve">; </w:t>
      </w:r>
      <w:r w:rsidRPr="009203BC">
        <w:rPr>
          <w:rFonts w:ascii="Book Antiqua" w:hAnsi="Book Antiqua"/>
          <w:sz w:val="24"/>
          <w:szCs w:val="24"/>
        </w:rPr>
        <w:t>TNF</w:t>
      </w:r>
      <w:r>
        <w:rPr>
          <w:rFonts w:ascii="Book Antiqua" w:hAnsi="Book Antiqua"/>
          <w:sz w:val="24"/>
          <w:szCs w:val="24"/>
          <w:lang w:eastAsia="zh-CN"/>
        </w:rPr>
        <w:t xml:space="preserve">: </w:t>
      </w:r>
      <w:r w:rsidRPr="002C72DA">
        <w:rPr>
          <w:rFonts w:ascii="Book Antiqua" w:hAnsi="Book Antiqua"/>
          <w:sz w:val="24"/>
          <w:szCs w:val="24"/>
        </w:rPr>
        <w:t>Tumor necrosis factor</w:t>
      </w:r>
      <w:r>
        <w:rPr>
          <w:rFonts w:ascii="Book Antiqua" w:hAnsi="Book Antiqua"/>
          <w:sz w:val="24"/>
          <w:szCs w:val="24"/>
          <w:lang w:eastAsia="zh-CN"/>
        </w:rPr>
        <w:t>.</w:t>
      </w: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p w:rsidR="00CD552B" w:rsidRDefault="00CD552B" w:rsidP="002C72DA">
      <w:pPr>
        <w:spacing w:after="0" w:line="360" w:lineRule="auto"/>
        <w:jc w:val="both"/>
        <w:rPr>
          <w:rFonts w:ascii="Book Antiqua" w:hAnsi="Book Antiqua"/>
          <w:sz w:val="24"/>
          <w:szCs w:val="24"/>
          <w:lang w:eastAsia="zh-CN"/>
        </w:rPr>
      </w:pPr>
    </w:p>
    <w:sectPr w:rsidR="00CD552B" w:rsidSect="006D1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69" w:rsidRDefault="00057269" w:rsidP="00EA07F5">
      <w:pPr>
        <w:spacing w:after="0"/>
      </w:pPr>
      <w:r>
        <w:separator/>
      </w:r>
    </w:p>
  </w:endnote>
  <w:endnote w:type="continuationSeparator" w:id="0">
    <w:p w:rsidR="00057269" w:rsidRDefault="00057269" w:rsidP="00EA0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69" w:rsidRDefault="00057269" w:rsidP="00EA07F5">
      <w:pPr>
        <w:spacing w:after="0"/>
      </w:pPr>
      <w:r>
        <w:separator/>
      </w:r>
    </w:p>
  </w:footnote>
  <w:footnote w:type="continuationSeparator" w:id="0">
    <w:p w:rsidR="00057269" w:rsidRDefault="00057269" w:rsidP="00EA07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6EF"/>
    <w:multiLevelType w:val="hybridMultilevel"/>
    <w:tmpl w:val="9E64EC34"/>
    <w:lvl w:ilvl="0" w:tplc="6FFEDC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52341A2"/>
    <w:multiLevelType w:val="hybridMultilevel"/>
    <w:tmpl w:val="870A1690"/>
    <w:lvl w:ilvl="0" w:tplc="25BCEF4A">
      <w:start w:val="18"/>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D24C1B"/>
    <w:multiLevelType w:val="hybridMultilevel"/>
    <w:tmpl w:val="1A7C54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1B20A8A"/>
    <w:multiLevelType w:val="hybridMultilevel"/>
    <w:tmpl w:val="F6E43A80"/>
    <w:lvl w:ilvl="0" w:tplc="C0122B8A">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78D25BD4"/>
    <w:multiLevelType w:val="multilevel"/>
    <w:tmpl w:val="799AA3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BE78A3"/>
    <w:multiLevelType w:val="hybridMultilevel"/>
    <w:tmpl w:val="334434D4"/>
    <w:lvl w:ilvl="0" w:tplc="68E8E89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20"/>
    <w:rsid w:val="0000103F"/>
    <w:rsid w:val="00004A70"/>
    <w:rsid w:val="00007D01"/>
    <w:rsid w:val="00016485"/>
    <w:rsid w:val="00021E1E"/>
    <w:rsid w:val="00040850"/>
    <w:rsid w:val="00057269"/>
    <w:rsid w:val="00070B8D"/>
    <w:rsid w:val="000835D9"/>
    <w:rsid w:val="0008557E"/>
    <w:rsid w:val="000A7009"/>
    <w:rsid w:val="000D62D8"/>
    <w:rsid w:val="000E128D"/>
    <w:rsid w:val="00106B62"/>
    <w:rsid w:val="00115A65"/>
    <w:rsid w:val="00142E9D"/>
    <w:rsid w:val="001614E7"/>
    <w:rsid w:val="0016480C"/>
    <w:rsid w:val="00172FD7"/>
    <w:rsid w:val="00183359"/>
    <w:rsid w:val="00197684"/>
    <w:rsid w:val="001A6525"/>
    <w:rsid w:val="001B578A"/>
    <w:rsid w:val="001C22D8"/>
    <w:rsid w:val="001D7967"/>
    <w:rsid w:val="00212261"/>
    <w:rsid w:val="00213C8F"/>
    <w:rsid w:val="00234C2A"/>
    <w:rsid w:val="002418FC"/>
    <w:rsid w:val="00242113"/>
    <w:rsid w:val="00246A36"/>
    <w:rsid w:val="00276842"/>
    <w:rsid w:val="002846A5"/>
    <w:rsid w:val="002A5586"/>
    <w:rsid w:val="002C5A7A"/>
    <w:rsid w:val="002C72DA"/>
    <w:rsid w:val="002D0BC9"/>
    <w:rsid w:val="002F2A00"/>
    <w:rsid w:val="002F5773"/>
    <w:rsid w:val="00300FA4"/>
    <w:rsid w:val="0031738E"/>
    <w:rsid w:val="003217F6"/>
    <w:rsid w:val="003408E1"/>
    <w:rsid w:val="003536B1"/>
    <w:rsid w:val="00357864"/>
    <w:rsid w:val="003604D4"/>
    <w:rsid w:val="003740D4"/>
    <w:rsid w:val="00395CD2"/>
    <w:rsid w:val="003A28B7"/>
    <w:rsid w:val="003A4B51"/>
    <w:rsid w:val="003B24D4"/>
    <w:rsid w:val="003C6070"/>
    <w:rsid w:val="003E3CFC"/>
    <w:rsid w:val="003E486F"/>
    <w:rsid w:val="004010A0"/>
    <w:rsid w:val="00401BDE"/>
    <w:rsid w:val="00414A82"/>
    <w:rsid w:val="0042003D"/>
    <w:rsid w:val="00421E83"/>
    <w:rsid w:val="004233BB"/>
    <w:rsid w:val="00423DC8"/>
    <w:rsid w:val="00434E06"/>
    <w:rsid w:val="0043591F"/>
    <w:rsid w:val="004449D6"/>
    <w:rsid w:val="0045430A"/>
    <w:rsid w:val="00460F48"/>
    <w:rsid w:val="00462143"/>
    <w:rsid w:val="004625D1"/>
    <w:rsid w:val="0048248F"/>
    <w:rsid w:val="00484756"/>
    <w:rsid w:val="004931F7"/>
    <w:rsid w:val="004A5B50"/>
    <w:rsid w:val="004D64BA"/>
    <w:rsid w:val="004E53D0"/>
    <w:rsid w:val="004F6B21"/>
    <w:rsid w:val="005032C5"/>
    <w:rsid w:val="00505839"/>
    <w:rsid w:val="00506C76"/>
    <w:rsid w:val="005506A4"/>
    <w:rsid w:val="00567375"/>
    <w:rsid w:val="005676CC"/>
    <w:rsid w:val="005759B7"/>
    <w:rsid w:val="00577389"/>
    <w:rsid w:val="005879A0"/>
    <w:rsid w:val="00596292"/>
    <w:rsid w:val="005A76C2"/>
    <w:rsid w:val="005C6A5F"/>
    <w:rsid w:val="005F7417"/>
    <w:rsid w:val="006003C4"/>
    <w:rsid w:val="00601763"/>
    <w:rsid w:val="00621F64"/>
    <w:rsid w:val="006236FA"/>
    <w:rsid w:val="006520B6"/>
    <w:rsid w:val="00654761"/>
    <w:rsid w:val="00667C22"/>
    <w:rsid w:val="00671994"/>
    <w:rsid w:val="00675161"/>
    <w:rsid w:val="0067547D"/>
    <w:rsid w:val="00677A94"/>
    <w:rsid w:val="00691EB2"/>
    <w:rsid w:val="006B3F9A"/>
    <w:rsid w:val="006C2DF1"/>
    <w:rsid w:val="006D13A1"/>
    <w:rsid w:val="006D1A7B"/>
    <w:rsid w:val="006E5C05"/>
    <w:rsid w:val="006F37B9"/>
    <w:rsid w:val="006F4C0C"/>
    <w:rsid w:val="00704EF6"/>
    <w:rsid w:val="00717230"/>
    <w:rsid w:val="007324C8"/>
    <w:rsid w:val="00747FBF"/>
    <w:rsid w:val="00770BBB"/>
    <w:rsid w:val="007743A5"/>
    <w:rsid w:val="0078784C"/>
    <w:rsid w:val="007C6A4B"/>
    <w:rsid w:val="007F1FA7"/>
    <w:rsid w:val="00806010"/>
    <w:rsid w:val="0081205D"/>
    <w:rsid w:val="00853A1C"/>
    <w:rsid w:val="00854D45"/>
    <w:rsid w:val="0087423A"/>
    <w:rsid w:val="00884AC9"/>
    <w:rsid w:val="008A557E"/>
    <w:rsid w:val="008D2696"/>
    <w:rsid w:val="008E4C5C"/>
    <w:rsid w:val="009203BC"/>
    <w:rsid w:val="009204A4"/>
    <w:rsid w:val="0092217F"/>
    <w:rsid w:val="00940E9F"/>
    <w:rsid w:val="00954BB7"/>
    <w:rsid w:val="00960F92"/>
    <w:rsid w:val="0097685E"/>
    <w:rsid w:val="00983F4A"/>
    <w:rsid w:val="0099327F"/>
    <w:rsid w:val="009E1432"/>
    <w:rsid w:val="009F0EDE"/>
    <w:rsid w:val="009F3312"/>
    <w:rsid w:val="00A06E4A"/>
    <w:rsid w:val="00A07CEB"/>
    <w:rsid w:val="00A22581"/>
    <w:rsid w:val="00A32896"/>
    <w:rsid w:val="00A36340"/>
    <w:rsid w:val="00A50311"/>
    <w:rsid w:val="00A9207D"/>
    <w:rsid w:val="00A94D71"/>
    <w:rsid w:val="00AA3118"/>
    <w:rsid w:val="00AB7ACB"/>
    <w:rsid w:val="00AC3569"/>
    <w:rsid w:val="00AD6AEA"/>
    <w:rsid w:val="00AE0A32"/>
    <w:rsid w:val="00AF3D76"/>
    <w:rsid w:val="00B04B33"/>
    <w:rsid w:val="00B24433"/>
    <w:rsid w:val="00B24C71"/>
    <w:rsid w:val="00B25850"/>
    <w:rsid w:val="00B540B0"/>
    <w:rsid w:val="00B578DF"/>
    <w:rsid w:val="00B66340"/>
    <w:rsid w:val="00B67F56"/>
    <w:rsid w:val="00B77C1E"/>
    <w:rsid w:val="00B91532"/>
    <w:rsid w:val="00B917DF"/>
    <w:rsid w:val="00B9255F"/>
    <w:rsid w:val="00B957FA"/>
    <w:rsid w:val="00BA6E14"/>
    <w:rsid w:val="00BC6EF5"/>
    <w:rsid w:val="00BE2095"/>
    <w:rsid w:val="00BF2D79"/>
    <w:rsid w:val="00C115ED"/>
    <w:rsid w:val="00C14B33"/>
    <w:rsid w:val="00C21BA2"/>
    <w:rsid w:val="00C43C90"/>
    <w:rsid w:val="00C6194D"/>
    <w:rsid w:val="00C63593"/>
    <w:rsid w:val="00C76831"/>
    <w:rsid w:val="00C874EC"/>
    <w:rsid w:val="00CB4095"/>
    <w:rsid w:val="00CB54D1"/>
    <w:rsid w:val="00CC4A43"/>
    <w:rsid w:val="00CD552B"/>
    <w:rsid w:val="00CE0403"/>
    <w:rsid w:val="00D005B8"/>
    <w:rsid w:val="00D12EE1"/>
    <w:rsid w:val="00D3093A"/>
    <w:rsid w:val="00D37F8F"/>
    <w:rsid w:val="00D44CCE"/>
    <w:rsid w:val="00D50FCE"/>
    <w:rsid w:val="00D57FD7"/>
    <w:rsid w:val="00D722DA"/>
    <w:rsid w:val="00D86D96"/>
    <w:rsid w:val="00D93A16"/>
    <w:rsid w:val="00DA0BA4"/>
    <w:rsid w:val="00DC26FF"/>
    <w:rsid w:val="00DD0E3F"/>
    <w:rsid w:val="00DD6735"/>
    <w:rsid w:val="00DF4258"/>
    <w:rsid w:val="00E02C00"/>
    <w:rsid w:val="00E34206"/>
    <w:rsid w:val="00E4781C"/>
    <w:rsid w:val="00E66C96"/>
    <w:rsid w:val="00E66D84"/>
    <w:rsid w:val="00EA07F5"/>
    <w:rsid w:val="00EC5E9A"/>
    <w:rsid w:val="00EE1817"/>
    <w:rsid w:val="00EF57DE"/>
    <w:rsid w:val="00F00474"/>
    <w:rsid w:val="00F07AA5"/>
    <w:rsid w:val="00F10A11"/>
    <w:rsid w:val="00F15679"/>
    <w:rsid w:val="00F2611D"/>
    <w:rsid w:val="00F41E9D"/>
    <w:rsid w:val="00F5293C"/>
    <w:rsid w:val="00F66BAA"/>
    <w:rsid w:val="00F67C34"/>
    <w:rsid w:val="00F76020"/>
    <w:rsid w:val="00F81B2F"/>
    <w:rsid w:val="00F8391E"/>
    <w:rsid w:val="00F854CC"/>
    <w:rsid w:val="00F85C7E"/>
    <w:rsid w:val="00F96C67"/>
    <w:rsid w:val="00FA1D58"/>
    <w:rsid w:val="00FA4C75"/>
    <w:rsid w:val="00FA4CD6"/>
    <w:rsid w:val="00FB2EEA"/>
    <w:rsid w:val="00FD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A1"/>
    <w:pPr>
      <w:spacing w:after="20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4D45"/>
    <w:pPr>
      <w:ind w:left="720"/>
      <w:contextualSpacing/>
    </w:pPr>
  </w:style>
  <w:style w:type="character" w:styleId="a4">
    <w:name w:val="Hyperlink"/>
    <w:basedOn w:val="a0"/>
    <w:uiPriority w:val="99"/>
    <w:rsid w:val="00EF57DE"/>
    <w:rPr>
      <w:rFonts w:cs="Times New Roman"/>
      <w:color w:val="0000FF"/>
      <w:u w:val="single"/>
    </w:rPr>
  </w:style>
  <w:style w:type="paragraph" w:customStyle="1" w:styleId="Title1">
    <w:name w:val="Title1"/>
    <w:basedOn w:val="a"/>
    <w:uiPriority w:val="99"/>
    <w:rsid w:val="00EF57DE"/>
    <w:pPr>
      <w:spacing w:before="100" w:beforeAutospacing="1" w:after="100" w:afterAutospacing="1"/>
    </w:pPr>
    <w:rPr>
      <w:rFonts w:ascii="Times New Roman" w:hAnsi="Times New Roman"/>
      <w:sz w:val="24"/>
      <w:szCs w:val="24"/>
    </w:rPr>
  </w:style>
  <w:style w:type="paragraph" w:customStyle="1" w:styleId="desc">
    <w:name w:val="desc"/>
    <w:basedOn w:val="a"/>
    <w:uiPriority w:val="99"/>
    <w:rsid w:val="00EF57DE"/>
    <w:pPr>
      <w:spacing w:before="100" w:beforeAutospacing="1" w:after="100" w:afterAutospacing="1"/>
    </w:pPr>
    <w:rPr>
      <w:rFonts w:ascii="Times New Roman" w:hAnsi="Times New Roman"/>
      <w:sz w:val="24"/>
      <w:szCs w:val="24"/>
    </w:rPr>
  </w:style>
  <w:style w:type="paragraph" w:customStyle="1" w:styleId="details">
    <w:name w:val="details"/>
    <w:basedOn w:val="a"/>
    <w:uiPriority w:val="99"/>
    <w:rsid w:val="00EF57DE"/>
    <w:pPr>
      <w:spacing w:before="100" w:beforeAutospacing="1" w:after="100" w:afterAutospacing="1"/>
    </w:pPr>
    <w:rPr>
      <w:rFonts w:ascii="Times New Roman" w:hAnsi="Times New Roman"/>
      <w:sz w:val="24"/>
      <w:szCs w:val="24"/>
    </w:rPr>
  </w:style>
  <w:style w:type="character" w:customStyle="1" w:styleId="jrnl">
    <w:name w:val="jrnl"/>
    <w:basedOn w:val="a0"/>
    <w:uiPriority w:val="99"/>
    <w:rsid w:val="00EF57DE"/>
    <w:rPr>
      <w:rFonts w:cs="Times New Roman"/>
    </w:rPr>
  </w:style>
  <w:style w:type="character" w:styleId="a5">
    <w:name w:val="Strong"/>
    <w:basedOn w:val="a0"/>
    <w:uiPriority w:val="99"/>
    <w:qFormat/>
    <w:rsid w:val="00BF2D79"/>
    <w:rPr>
      <w:rFonts w:cs="Times New Roman"/>
      <w:b/>
      <w:bCs/>
    </w:rPr>
  </w:style>
  <w:style w:type="character" w:customStyle="1" w:styleId="apple-converted-space">
    <w:name w:val="apple-converted-space"/>
    <w:basedOn w:val="a0"/>
    <w:uiPriority w:val="99"/>
    <w:rsid w:val="00BF2D79"/>
    <w:rPr>
      <w:rFonts w:cs="Times New Roman"/>
    </w:rPr>
  </w:style>
  <w:style w:type="character" w:styleId="a6">
    <w:name w:val="annotation reference"/>
    <w:basedOn w:val="a0"/>
    <w:uiPriority w:val="99"/>
    <w:rsid w:val="00EC5E9A"/>
    <w:rPr>
      <w:rFonts w:cs="Times New Roman"/>
      <w:sz w:val="16"/>
      <w:szCs w:val="16"/>
    </w:rPr>
  </w:style>
  <w:style w:type="paragraph" w:styleId="a7">
    <w:name w:val="annotation text"/>
    <w:basedOn w:val="a"/>
    <w:link w:val="Char"/>
    <w:uiPriority w:val="99"/>
    <w:rsid w:val="00EC5E9A"/>
    <w:rPr>
      <w:sz w:val="20"/>
      <w:szCs w:val="20"/>
    </w:rPr>
  </w:style>
  <w:style w:type="character" w:customStyle="1" w:styleId="Char">
    <w:name w:val="批注文字 Char"/>
    <w:basedOn w:val="a0"/>
    <w:link w:val="a7"/>
    <w:uiPriority w:val="99"/>
    <w:locked/>
    <w:rsid w:val="00EC5E9A"/>
    <w:rPr>
      <w:rFonts w:cs="Times New Roman"/>
      <w:sz w:val="20"/>
      <w:szCs w:val="20"/>
    </w:rPr>
  </w:style>
  <w:style w:type="paragraph" w:styleId="a8">
    <w:name w:val="annotation subject"/>
    <w:basedOn w:val="a7"/>
    <w:next w:val="a7"/>
    <w:link w:val="Char0"/>
    <w:uiPriority w:val="99"/>
    <w:semiHidden/>
    <w:rsid w:val="00EC5E9A"/>
    <w:rPr>
      <w:b/>
      <w:bCs/>
    </w:rPr>
  </w:style>
  <w:style w:type="character" w:customStyle="1" w:styleId="Char0">
    <w:name w:val="批注主题 Char"/>
    <w:basedOn w:val="Char"/>
    <w:link w:val="a8"/>
    <w:uiPriority w:val="99"/>
    <w:semiHidden/>
    <w:locked/>
    <w:rsid w:val="00EC5E9A"/>
    <w:rPr>
      <w:rFonts w:cs="Times New Roman"/>
      <w:b/>
      <w:bCs/>
      <w:sz w:val="20"/>
      <w:szCs w:val="20"/>
    </w:rPr>
  </w:style>
  <w:style w:type="paragraph" w:styleId="a9">
    <w:name w:val="Balloon Text"/>
    <w:basedOn w:val="a"/>
    <w:link w:val="Char1"/>
    <w:uiPriority w:val="99"/>
    <w:semiHidden/>
    <w:rsid w:val="00EC5E9A"/>
    <w:pPr>
      <w:spacing w:after="0"/>
    </w:pPr>
    <w:rPr>
      <w:rFonts w:ascii="Tahoma" w:hAnsi="Tahoma" w:cs="Tahoma"/>
      <w:sz w:val="16"/>
      <w:szCs w:val="16"/>
    </w:rPr>
  </w:style>
  <w:style w:type="character" w:customStyle="1" w:styleId="Char1">
    <w:name w:val="批注框文本 Char"/>
    <w:basedOn w:val="a0"/>
    <w:link w:val="a9"/>
    <w:uiPriority w:val="99"/>
    <w:semiHidden/>
    <w:locked/>
    <w:rsid w:val="00EC5E9A"/>
    <w:rPr>
      <w:rFonts w:ascii="Tahoma" w:hAnsi="Tahoma" w:cs="Tahoma"/>
      <w:sz w:val="16"/>
      <w:szCs w:val="16"/>
    </w:rPr>
  </w:style>
  <w:style w:type="character" w:customStyle="1" w:styleId="hui12181">
    <w:name w:val="hui12181"/>
    <w:basedOn w:val="a0"/>
    <w:uiPriority w:val="99"/>
    <w:rsid w:val="000D62D8"/>
    <w:rPr>
      <w:rFonts w:ascii="Arial" w:hAnsi="Arial" w:cs="Arial"/>
      <w:color w:val="333333"/>
      <w:sz w:val="18"/>
      <w:szCs w:val="18"/>
      <w:u w:val="none"/>
      <w:effect w:val="none"/>
    </w:rPr>
  </w:style>
  <w:style w:type="table" w:styleId="aa">
    <w:name w:val="Table Grid"/>
    <w:basedOn w:val="a1"/>
    <w:uiPriority w:val="99"/>
    <w:rsid w:val="009203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EA07F5"/>
    <w:pPr>
      <w:tabs>
        <w:tab w:val="center" w:pos="4320"/>
        <w:tab w:val="right" w:pos="8640"/>
      </w:tabs>
    </w:pPr>
  </w:style>
  <w:style w:type="character" w:customStyle="1" w:styleId="Char2">
    <w:name w:val="页眉 Char"/>
    <w:basedOn w:val="a0"/>
    <w:link w:val="ab"/>
    <w:uiPriority w:val="99"/>
    <w:rsid w:val="00EA07F5"/>
    <w:rPr>
      <w:kern w:val="0"/>
      <w:sz w:val="22"/>
      <w:lang w:eastAsia="en-US"/>
    </w:rPr>
  </w:style>
  <w:style w:type="paragraph" w:styleId="ac">
    <w:name w:val="footer"/>
    <w:basedOn w:val="a"/>
    <w:link w:val="Char3"/>
    <w:uiPriority w:val="99"/>
    <w:unhideWhenUsed/>
    <w:rsid w:val="00EA07F5"/>
    <w:pPr>
      <w:tabs>
        <w:tab w:val="center" w:pos="4320"/>
        <w:tab w:val="right" w:pos="8640"/>
      </w:tabs>
    </w:pPr>
  </w:style>
  <w:style w:type="character" w:customStyle="1" w:styleId="Char3">
    <w:name w:val="页脚 Char"/>
    <w:basedOn w:val="a0"/>
    <w:link w:val="ac"/>
    <w:uiPriority w:val="99"/>
    <w:rsid w:val="00EA07F5"/>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A1"/>
    <w:pPr>
      <w:spacing w:after="20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4D45"/>
    <w:pPr>
      <w:ind w:left="720"/>
      <w:contextualSpacing/>
    </w:pPr>
  </w:style>
  <w:style w:type="character" w:styleId="a4">
    <w:name w:val="Hyperlink"/>
    <w:basedOn w:val="a0"/>
    <w:uiPriority w:val="99"/>
    <w:rsid w:val="00EF57DE"/>
    <w:rPr>
      <w:rFonts w:cs="Times New Roman"/>
      <w:color w:val="0000FF"/>
      <w:u w:val="single"/>
    </w:rPr>
  </w:style>
  <w:style w:type="paragraph" w:customStyle="1" w:styleId="Title1">
    <w:name w:val="Title1"/>
    <w:basedOn w:val="a"/>
    <w:uiPriority w:val="99"/>
    <w:rsid w:val="00EF57DE"/>
    <w:pPr>
      <w:spacing w:before="100" w:beforeAutospacing="1" w:after="100" w:afterAutospacing="1"/>
    </w:pPr>
    <w:rPr>
      <w:rFonts w:ascii="Times New Roman" w:hAnsi="Times New Roman"/>
      <w:sz w:val="24"/>
      <w:szCs w:val="24"/>
    </w:rPr>
  </w:style>
  <w:style w:type="paragraph" w:customStyle="1" w:styleId="desc">
    <w:name w:val="desc"/>
    <w:basedOn w:val="a"/>
    <w:uiPriority w:val="99"/>
    <w:rsid w:val="00EF57DE"/>
    <w:pPr>
      <w:spacing w:before="100" w:beforeAutospacing="1" w:after="100" w:afterAutospacing="1"/>
    </w:pPr>
    <w:rPr>
      <w:rFonts w:ascii="Times New Roman" w:hAnsi="Times New Roman"/>
      <w:sz w:val="24"/>
      <w:szCs w:val="24"/>
    </w:rPr>
  </w:style>
  <w:style w:type="paragraph" w:customStyle="1" w:styleId="details">
    <w:name w:val="details"/>
    <w:basedOn w:val="a"/>
    <w:uiPriority w:val="99"/>
    <w:rsid w:val="00EF57DE"/>
    <w:pPr>
      <w:spacing w:before="100" w:beforeAutospacing="1" w:after="100" w:afterAutospacing="1"/>
    </w:pPr>
    <w:rPr>
      <w:rFonts w:ascii="Times New Roman" w:hAnsi="Times New Roman"/>
      <w:sz w:val="24"/>
      <w:szCs w:val="24"/>
    </w:rPr>
  </w:style>
  <w:style w:type="character" w:customStyle="1" w:styleId="jrnl">
    <w:name w:val="jrnl"/>
    <w:basedOn w:val="a0"/>
    <w:uiPriority w:val="99"/>
    <w:rsid w:val="00EF57DE"/>
    <w:rPr>
      <w:rFonts w:cs="Times New Roman"/>
    </w:rPr>
  </w:style>
  <w:style w:type="character" w:styleId="a5">
    <w:name w:val="Strong"/>
    <w:basedOn w:val="a0"/>
    <w:uiPriority w:val="99"/>
    <w:qFormat/>
    <w:rsid w:val="00BF2D79"/>
    <w:rPr>
      <w:rFonts w:cs="Times New Roman"/>
      <w:b/>
      <w:bCs/>
    </w:rPr>
  </w:style>
  <w:style w:type="character" w:customStyle="1" w:styleId="apple-converted-space">
    <w:name w:val="apple-converted-space"/>
    <w:basedOn w:val="a0"/>
    <w:uiPriority w:val="99"/>
    <w:rsid w:val="00BF2D79"/>
    <w:rPr>
      <w:rFonts w:cs="Times New Roman"/>
    </w:rPr>
  </w:style>
  <w:style w:type="character" w:styleId="a6">
    <w:name w:val="annotation reference"/>
    <w:basedOn w:val="a0"/>
    <w:uiPriority w:val="99"/>
    <w:rsid w:val="00EC5E9A"/>
    <w:rPr>
      <w:rFonts w:cs="Times New Roman"/>
      <w:sz w:val="16"/>
      <w:szCs w:val="16"/>
    </w:rPr>
  </w:style>
  <w:style w:type="paragraph" w:styleId="a7">
    <w:name w:val="annotation text"/>
    <w:basedOn w:val="a"/>
    <w:link w:val="Char"/>
    <w:uiPriority w:val="99"/>
    <w:rsid w:val="00EC5E9A"/>
    <w:rPr>
      <w:sz w:val="20"/>
      <w:szCs w:val="20"/>
    </w:rPr>
  </w:style>
  <w:style w:type="character" w:customStyle="1" w:styleId="Char">
    <w:name w:val="批注文字 Char"/>
    <w:basedOn w:val="a0"/>
    <w:link w:val="a7"/>
    <w:uiPriority w:val="99"/>
    <w:locked/>
    <w:rsid w:val="00EC5E9A"/>
    <w:rPr>
      <w:rFonts w:cs="Times New Roman"/>
      <w:sz w:val="20"/>
      <w:szCs w:val="20"/>
    </w:rPr>
  </w:style>
  <w:style w:type="paragraph" w:styleId="a8">
    <w:name w:val="annotation subject"/>
    <w:basedOn w:val="a7"/>
    <w:next w:val="a7"/>
    <w:link w:val="Char0"/>
    <w:uiPriority w:val="99"/>
    <w:semiHidden/>
    <w:rsid w:val="00EC5E9A"/>
    <w:rPr>
      <w:b/>
      <w:bCs/>
    </w:rPr>
  </w:style>
  <w:style w:type="character" w:customStyle="1" w:styleId="Char0">
    <w:name w:val="批注主题 Char"/>
    <w:basedOn w:val="Char"/>
    <w:link w:val="a8"/>
    <w:uiPriority w:val="99"/>
    <w:semiHidden/>
    <w:locked/>
    <w:rsid w:val="00EC5E9A"/>
    <w:rPr>
      <w:rFonts w:cs="Times New Roman"/>
      <w:b/>
      <w:bCs/>
      <w:sz w:val="20"/>
      <w:szCs w:val="20"/>
    </w:rPr>
  </w:style>
  <w:style w:type="paragraph" w:styleId="a9">
    <w:name w:val="Balloon Text"/>
    <w:basedOn w:val="a"/>
    <w:link w:val="Char1"/>
    <w:uiPriority w:val="99"/>
    <w:semiHidden/>
    <w:rsid w:val="00EC5E9A"/>
    <w:pPr>
      <w:spacing w:after="0"/>
    </w:pPr>
    <w:rPr>
      <w:rFonts w:ascii="Tahoma" w:hAnsi="Tahoma" w:cs="Tahoma"/>
      <w:sz w:val="16"/>
      <w:szCs w:val="16"/>
    </w:rPr>
  </w:style>
  <w:style w:type="character" w:customStyle="1" w:styleId="Char1">
    <w:name w:val="批注框文本 Char"/>
    <w:basedOn w:val="a0"/>
    <w:link w:val="a9"/>
    <w:uiPriority w:val="99"/>
    <w:semiHidden/>
    <w:locked/>
    <w:rsid w:val="00EC5E9A"/>
    <w:rPr>
      <w:rFonts w:ascii="Tahoma" w:hAnsi="Tahoma" w:cs="Tahoma"/>
      <w:sz w:val="16"/>
      <w:szCs w:val="16"/>
    </w:rPr>
  </w:style>
  <w:style w:type="character" w:customStyle="1" w:styleId="hui12181">
    <w:name w:val="hui12181"/>
    <w:basedOn w:val="a0"/>
    <w:uiPriority w:val="99"/>
    <w:rsid w:val="000D62D8"/>
    <w:rPr>
      <w:rFonts w:ascii="Arial" w:hAnsi="Arial" w:cs="Arial"/>
      <w:color w:val="333333"/>
      <w:sz w:val="18"/>
      <w:szCs w:val="18"/>
      <w:u w:val="none"/>
      <w:effect w:val="none"/>
    </w:rPr>
  </w:style>
  <w:style w:type="table" w:styleId="aa">
    <w:name w:val="Table Grid"/>
    <w:basedOn w:val="a1"/>
    <w:uiPriority w:val="99"/>
    <w:rsid w:val="009203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EA07F5"/>
    <w:pPr>
      <w:tabs>
        <w:tab w:val="center" w:pos="4320"/>
        <w:tab w:val="right" w:pos="8640"/>
      </w:tabs>
    </w:pPr>
  </w:style>
  <w:style w:type="character" w:customStyle="1" w:styleId="Char2">
    <w:name w:val="页眉 Char"/>
    <w:basedOn w:val="a0"/>
    <w:link w:val="ab"/>
    <w:uiPriority w:val="99"/>
    <w:rsid w:val="00EA07F5"/>
    <w:rPr>
      <w:kern w:val="0"/>
      <w:sz w:val="22"/>
      <w:lang w:eastAsia="en-US"/>
    </w:rPr>
  </w:style>
  <w:style w:type="paragraph" w:styleId="ac">
    <w:name w:val="footer"/>
    <w:basedOn w:val="a"/>
    <w:link w:val="Char3"/>
    <w:uiPriority w:val="99"/>
    <w:unhideWhenUsed/>
    <w:rsid w:val="00EA07F5"/>
    <w:pPr>
      <w:tabs>
        <w:tab w:val="center" w:pos="4320"/>
        <w:tab w:val="right" w:pos="8640"/>
      </w:tabs>
    </w:pPr>
  </w:style>
  <w:style w:type="character" w:customStyle="1" w:styleId="Char3">
    <w:name w:val="页脚 Char"/>
    <w:basedOn w:val="a0"/>
    <w:link w:val="ac"/>
    <w:uiPriority w:val="99"/>
    <w:rsid w:val="00EA07F5"/>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20">
      <w:marLeft w:val="0"/>
      <w:marRight w:val="0"/>
      <w:marTop w:val="0"/>
      <w:marBottom w:val="0"/>
      <w:divBdr>
        <w:top w:val="none" w:sz="0" w:space="0" w:color="auto"/>
        <w:left w:val="none" w:sz="0" w:space="0" w:color="auto"/>
        <w:bottom w:val="none" w:sz="0" w:space="0" w:color="auto"/>
        <w:right w:val="none" w:sz="0" w:space="0" w:color="auto"/>
      </w:divBdr>
      <w:divsChild>
        <w:div w:id="114181945">
          <w:marLeft w:val="0"/>
          <w:marRight w:val="0"/>
          <w:marTop w:val="0"/>
          <w:marBottom w:val="0"/>
          <w:divBdr>
            <w:top w:val="none" w:sz="0" w:space="0" w:color="auto"/>
            <w:left w:val="none" w:sz="0" w:space="0" w:color="auto"/>
            <w:bottom w:val="none" w:sz="0" w:space="0" w:color="auto"/>
            <w:right w:val="none" w:sz="0" w:space="0" w:color="auto"/>
          </w:divBdr>
          <w:divsChild>
            <w:div w:id="114181956">
              <w:marLeft w:val="0"/>
              <w:marRight w:val="0"/>
              <w:marTop w:val="0"/>
              <w:marBottom w:val="0"/>
              <w:divBdr>
                <w:top w:val="none" w:sz="0" w:space="0" w:color="auto"/>
                <w:left w:val="none" w:sz="0" w:space="0" w:color="auto"/>
                <w:bottom w:val="none" w:sz="0" w:space="0" w:color="auto"/>
                <w:right w:val="none" w:sz="0" w:space="0" w:color="auto"/>
              </w:divBdr>
              <w:divsChild>
                <w:div w:id="114181929">
                  <w:marLeft w:val="0"/>
                  <w:marRight w:val="0"/>
                  <w:marTop w:val="0"/>
                  <w:marBottom w:val="0"/>
                  <w:divBdr>
                    <w:top w:val="none" w:sz="0" w:space="0" w:color="auto"/>
                    <w:left w:val="none" w:sz="0" w:space="0" w:color="auto"/>
                    <w:bottom w:val="none" w:sz="0" w:space="0" w:color="auto"/>
                    <w:right w:val="none" w:sz="0" w:space="0" w:color="auto"/>
                  </w:divBdr>
                  <w:divsChild>
                    <w:div w:id="114181950">
                      <w:marLeft w:val="0"/>
                      <w:marRight w:val="0"/>
                      <w:marTop w:val="0"/>
                      <w:marBottom w:val="0"/>
                      <w:divBdr>
                        <w:top w:val="none" w:sz="0" w:space="0" w:color="auto"/>
                        <w:left w:val="none" w:sz="0" w:space="0" w:color="auto"/>
                        <w:bottom w:val="none" w:sz="0" w:space="0" w:color="auto"/>
                        <w:right w:val="none" w:sz="0" w:space="0" w:color="auto"/>
                      </w:divBdr>
                      <w:divsChild>
                        <w:div w:id="1141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931">
      <w:marLeft w:val="0"/>
      <w:marRight w:val="0"/>
      <w:marTop w:val="0"/>
      <w:marBottom w:val="0"/>
      <w:divBdr>
        <w:top w:val="none" w:sz="0" w:space="0" w:color="auto"/>
        <w:left w:val="none" w:sz="0" w:space="0" w:color="auto"/>
        <w:bottom w:val="none" w:sz="0" w:space="0" w:color="auto"/>
        <w:right w:val="none" w:sz="0" w:space="0" w:color="auto"/>
      </w:divBdr>
      <w:divsChild>
        <w:div w:id="114181947">
          <w:marLeft w:val="0"/>
          <w:marRight w:val="0"/>
          <w:marTop w:val="0"/>
          <w:marBottom w:val="0"/>
          <w:divBdr>
            <w:top w:val="none" w:sz="0" w:space="0" w:color="auto"/>
            <w:left w:val="none" w:sz="0" w:space="0" w:color="auto"/>
            <w:bottom w:val="none" w:sz="0" w:space="0" w:color="auto"/>
            <w:right w:val="none" w:sz="0" w:space="0" w:color="auto"/>
          </w:divBdr>
          <w:divsChild>
            <w:div w:id="114181933">
              <w:marLeft w:val="0"/>
              <w:marRight w:val="0"/>
              <w:marTop w:val="0"/>
              <w:marBottom w:val="0"/>
              <w:divBdr>
                <w:top w:val="none" w:sz="0" w:space="0" w:color="auto"/>
                <w:left w:val="none" w:sz="0" w:space="0" w:color="auto"/>
                <w:bottom w:val="none" w:sz="0" w:space="0" w:color="auto"/>
                <w:right w:val="none" w:sz="0" w:space="0" w:color="auto"/>
              </w:divBdr>
              <w:divsChild>
                <w:div w:id="114181943">
                  <w:marLeft w:val="0"/>
                  <w:marRight w:val="0"/>
                  <w:marTop w:val="0"/>
                  <w:marBottom w:val="0"/>
                  <w:divBdr>
                    <w:top w:val="none" w:sz="0" w:space="0" w:color="auto"/>
                    <w:left w:val="none" w:sz="0" w:space="0" w:color="auto"/>
                    <w:bottom w:val="none" w:sz="0" w:space="0" w:color="auto"/>
                    <w:right w:val="none" w:sz="0" w:space="0" w:color="auto"/>
                  </w:divBdr>
                  <w:divsChild>
                    <w:div w:id="114181927">
                      <w:marLeft w:val="0"/>
                      <w:marRight w:val="0"/>
                      <w:marTop w:val="0"/>
                      <w:marBottom w:val="0"/>
                      <w:divBdr>
                        <w:top w:val="none" w:sz="0" w:space="0" w:color="auto"/>
                        <w:left w:val="none" w:sz="0" w:space="0" w:color="auto"/>
                        <w:bottom w:val="none" w:sz="0" w:space="0" w:color="auto"/>
                        <w:right w:val="none" w:sz="0" w:space="0" w:color="auto"/>
                      </w:divBdr>
                      <w:divsChild>
                        <w:div w:id="1141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941">
      <w:marLeft w:val="0"/>
      <w:marRight w:val="0"/>
      <w:marTop w:val="0"/>
      <w:marBottom w:val="0"/>
      <w:divBdr>
        <w:top w:val="none" w:sz="0" w:space="0" w:color="auto"/>
        <w:left w:val="none" w:sz="0" w:space="0" w:color="auto"/>
        <w:bottom w:val="none" w:sz="0" w:space="0" w:color="auto"/>
        <w:right w:val="none" w:sz="0" w:space="0" w:color="auto"/>
      </w:divBdr>
      <w:divsChild>
        <w:div w:id="114181954">
          <w:marLeft w:val="0"/>
          <w:marRight w:val="0"/>
          <w:marTop w:val="0"/>
          <w:marBottom w:val="0"/>
          <w:divBdr>
            <w:top w:val="none" w:sz="0" w:space="0" w:color="auto"/>
            <w:left w:val="none" w:sz="0" w:space="0" w:color="auto"/>
            <w:bottom w:val="none" w:sz="0" w:space="0" w:color="auto"/>
            <w:right w:val="none" w:sz="0" w:space="0" w:color="auto"/>
          </w:divBdr>
          <w:divsChild>
            <w:div w:id="114181953">
              <w:marLeft w:val="0"/>
              <w:marRight w:val="0"/>
              <w:marTop w:val="0"/>
              <w:marBottom w:val="0"/>
              <w:divBdr>
                <w:top w:val="none" w:sz="0" w:space="0" w:color="auto"/>
                <w:left w:val="none" w:sz="0" w:space="0" w:color="auto"/>
                <w:bottom w:val="none" w:sz="0" w:space="0" w:color="auto"/>
                <w:right w:val="none" w:sz="0" w:space="0" w:color="auto"/>
              </w:divBdr>
              <w:divsChild>
                <w:div w:id="114181939">
                  <w:marLeft w:val="0"/>
                  <w:marRight w:val="0"/>
                  <w:marTop w:val="0"/>
                  <w:marBottom w:val="0"/>
                  <w:divBdr>
                    <w:top w:val="none" w:sz="0" w:space="0" w:color="auto"/>
                    <w:left w:val="none" w:sz="0" w:space="0" w:color="auto"/>
                    <w:bottom w:val="none" w:sz="0" w:space="0" w:color="auto"/>
                    <w:right w:val="none" w:sz="0" w:space="0" w:color="auto"/>
                  </w:divBdr>
                  <w:divsChild>
                    <w:div w:id="114181923">
                      <w:marLeft w:val="0"/>
                      <w:marRight w:val="0"/>
                      <w:marTop w:val="0"/>
                      <w:marBottom w:val="0"/>
                      <w:divBdr>
                        <w:top w:val="none" w:sz="0" w:space="0" w:color="auto"/>
                        <w:left w:val="none" w:sz="0" w:space="0" w:color="auto"/>
                        <w:bottom w:val="none" w:sz="0" w:space="0" w:color="auto"/>
                        <w:right w:val="none" w:sz="0" w:space="0" w:color="auto"/>
                      </w:divBdr>
                      <w:divsChild>
                        <w:div w:id="114181951">
                          <w:marLeft w:val="0"/>
                          <w:marRight w:val="0"/>
                          <w:marTop w:val="0"/>
                          <w:marBottom w:val="0"/>
                          <w:divBdr>
                            <w:top w:val="none" w:sz="0" w:space="0" w:color="auto"/>
                            <w:left w:val="none" w:sz="0" w:space="0" w:color="auto"/>
                            <w:bottom w:val="none" w:sz="0" w:space="0" w:color="auto"/>
                            <w:right w:val="none" w:sz="0" w:space="0" w:color="auto"/>
                          </w:divBdr>
                          <w:divsChild>
                            <w:div w:id="114181932">
                              <w:marLeft w:val="0"/>
                              <w:marRight w:val="0"/>
                              <w:marTop w:val="0"/>
                              <w:marBottom w:val="0"/>
                              <w:divBdr>
                                <w:top w:val="none" w:sz="0" w:space="0" w:color="auto"/>
                                <w:left w:val="none" w:sz="0" w:space="0" w:color="auto"/>
                                <w:bottom w:val="none" w:sz="0" w:space="0" w:color="auto"/>
                                <w:right w:val="none" w:sz="0" w:space="0" w:color="auto"/>
                              </w:divBdr>
                              <w:divsChild>
                                <w:div w:id="114181938">
                                  <w:marLeft w:val="0"/>
                                  <w:marRight w:val="0"/>
                                  <w:marTop w:val="0"/>
                                  <w:marBottom w:val="0"/>
                                  <w:divBdr>
                                    <w:top w:val="none" w:sz="0" w:space="0" w:color="auto"/>
                                    <w:left w:val="none" w:sz="0" w:space="0" w:color="auto"/>
                                    <w:bottom w:val="none" w:sz="0" w:space="0" w:color="auto"/>
                                    <w:right w:val="none" w:sz="0" w:space="0" w:color="auto"/>
                                  </w:divBdr>
                                  <w:divsChild>
                                    <w:div w:id="114181921">
                                      <w:marLeft w:val="0"/>
                                      <w:marRight w:val="0"/>
                                      <w:marTop w:val="0"/>
                                      <w:marBottom w:val="0"/>
                                      <w:divBdr>
                                        <w:top w:val="none" w:sz="0" w:space="0" w:color="auto"/>
                                        <w:left w:val="none" w:sz="0" w:space="0" w:color="auto"/>
                                        <w:bottom w:val="none" w:sz="0" w:space="0" w:color="auto"/>
                                        <w:right w:val="none" w:sz="0" w:space="0" w:color="auto"/>
                                      </w:divBdr>
                                      <w:divsChild>
                                        <w:div w:id="1141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81942">
      <w:marLeft w:val="0"/>
      <w:marRight w:val="0"/>
      <w:marTop w:val="0"/>
      <w:marBottom w:val="0"/>
      <w:divBdr>
        <w:top w:val="none" w:sz="0" w:space="0" w:color="auto"/>
        <w:left w:val="none" w:sz="0" w:space="0" w:color="auto"/>
        <w:bottom w:val="none" w:sz="0" w:space="0" w:color="auto"/>
        <w:right w:val="none" w:sz="0" w:space="0" w:color="auto"/>
      </w:divBdr>
      <w:divsChild>
        <w:div w:id="114181926">
          <w:marLeft w:val="0"/>
          <w:marRight w:val="0"/>
          <w:marTop w:val="0"/>
          <w:marBottom w:val="0"/>
          <w:divBdr>
            <w:top w:val="none" w:sz="0" w:space="0" w:color="auto"/>
            <w:left w:val="none" w:sz="0" w:space="0" w:color="auto"/>
            <w:bottom w:val="none" w:sz="0" w:space="0" w:color="auto"/>
            <w:right w:val="none" w:sz="0" w:space="0" w:color="auto"/>
          </w:divBdr>
          <w:divsChild>
            <w:div w:id="114181937">
              <w:marLeft w:val="0"/>
              <w:marRight w:val="0"/>
              <w:marTop w:val="0"/>
              <w:marBottom w:val="0"/>
              <w:divBdr>
                <w:top w:val="none" w:sz="0" w:space="0" w:color="auto"/>
                <w:left w:val="none" w:sz="0" w:space="0" w:color="auto"/>
                <w:bottom w:val="none" w:sz="0" w:space="0" w:color="auto"/>
                <w:right w:val="none" w:sz="0" w:space="0" w:color="auto"/>
              </w:divBdr>
              <w:divsChild>
                <w:div w:id="114181958">
                  <w:marLeft w:val="0"/>
                  <w:marRight w:val="0"/>
                  <w:marTop w:val="0"/>
                  <w:marBottom w:val="0"/>
                  <w:divBdr>
                    <w:top w:val="none" w:sz="0" w:space="0" w:color="auto"/>
                    <w:left w:val="none" w:sz="0" w:space="0" w:color="auto"/>
                    <w:bottom w:val="none" w:sz="0" w:space="0" w:color="auto"/>
                    <w:right w:val="none" w:sz="0" w:space="0" w:color="auto"/>
                  </w:divBdr>
                  <w:divsChild>
                    <w:div w:id="114181961">
                      <w:marLeft w:val="0"/>
                      <w:marRight w:val="0"/>
                      <w:marTop w:val="0"/>
                      <w:marBottom w:val="0"/>
                      <w:divBdr>
                        <w:top w:val="none" w:sz="0" w:space="0" w:color="auto"/>
                        <w:left w:val="none" w:sz="0" w:space="0" w:color="auto"/>
                        <w:bottom w:val="none" w:sz="0" w:space="0" w:color="auto"/>
                        <w:right w:val="none" w:sz="0" w:space="0" w:color="auto"/>
                      </w:divBdr>
                      <w:divsChild>
                        <w:div w:id="1141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944">
      <w:marLeft w:val="0"/>
      <w:marRight w:val="0"/>
      <w:marTop w:val="0"/>
      <w:marBottom w:val="0"/>
      <w:divBdr>
        <w:top w:val="none" w:sz="0" w:space="0" w:color="auto"/>
        <w:left w:val="none" w:sz="0" w:space="0" w:color="auto"/>
        <w:bottom w:val="none" w:sz="0" w:space="0" w:color="auto"/>
        <w:right w:val="none" w:sz="0" w:space="0" w:color="auto"/>
      </w:divBdr>
      <w:divsChild>
        <w:div w:id="114181957">
          <w:marLeft w:val="0"/>
          <w:marRight w:val="0"/>
          <w:marTop w:val="0"/>
          <w:marBottom w:val="0"/>
          <w:divBdr>
            <w:top w:val="none" w:sz="0" w:space="0" w:color="auto"/>
            <w:left w:val="none" w:sz="0" w:space="0" w:color="auto"/>
            <w:bottom w:val="none" w:sz="0" w:space="0" w:color="auto"/>
            <w:right w:val="none" w:sz="0" w:space="0" w:color="auto"/>
          </w:divBdr>
        </w:div>
      </w:divsChild>
    </w:div>
    <w:div w:id="114181948">
      <w:marLeft w:val="0"/>
      <w:marRight w:val="0"/>
      <w:marTop w:val="0"/>
      <w:marBottom w:val="0"/>
      <w:divBdr>
        <w:top w:val="none" w:sz="0" w:space="0" w:color="auto"/>
        <w:left w:val="none" w:sz="0" w:space="0" w:color="auto"/>
        <w:bottom w:val="none" w:sz="0" w:space="0" w:color="auto"/>
        <w:right w:val="none" w:sz="0" w:space="0" w:color="auto"/>
      </w:divBdr>
      <w:divsChild>
        <w:div w:id="114181935">
          <w:marLeft w:val="0"/>
          <w:marRight w:val="0"/>
          <w:marTop w:val="0"/>
          <w:marBottom w:val="0"/>
          <w:divBdr>
            <w:top w:val="none" w:sz="0" w:space="0" w:color="auto"/>
            <w:left w:val="none" w:sz="0" w:space="0" w:color="auto"/>
            <w:bottom w:val="none" w:sz="0" w:space="0" w:color="auto"/>
            <w:right w:val="none" w:sz="0" w:space="0" w:color="auto"/>
          </w:divBdr>
          <w:divsChild>
            <w:div w:id="114181940">
              <w:marLeft w:val="0"/>
              <w:marRight w:val="0"/>
              <w:marTop w:val="0"/>
              <w:marBottom w:val="0"/>
              <w:divBdr>
                <w:top w:val="none" w:sz="0" w:space="0" w:color="auto"/>
                <w:left w:val="none" w:sz="0" w:space="0" w:color="auto"/>
                <w:bottom w:val="none" w:sz="0" w:space="0" w:color="auto"/>
                <w:right w:val="none" w:sz="0" w:space="0" w:color="auto"/>
              </w:divBdr>
              <w:divsChild>
                <w:div w:id="114181930">
                  <w:marLeft w:val="0"/>
                  <w:marRight w:val="0"/>
                  <w:marTop w:val="0"/>
                  <w:marBottom w:val="0"/>
                  <w:divBdr>
                    <w:top w:val="none" w:sz="0" w:space="0" w:color="auto"/>
                    <w:left w:val="none" w:sz="0" w:space="0" w:color="auto"/>
                    <w:bottom w:val="none" w:sz="0" w:space="0" w:color="auto"/>
                    <w:right w:val="none" w:sz="0" w:space="0" w:color="auto"/>
                  </w:divBdr>
                  <w:divsChild>
                    <w:div w:id="114181924">
                      <w:marLeft w:val="0"/>
                      <w:marRight w:val="0"/>
                      <w:marTop w:val="0"/>
                      <w:marBottom w:val="0"/>
                      <w:divBdr>
                        <w:top w:val="none" w:sz="0" w:space="0" w:color="auto"/>
                        <w:left w:val="none" w:sz="0" w:space="0" w:color="auto"/>
                        <w:bottom w:val="none" w:sz="0" w:space="0" w:color="auto"/>
                        <w:right w:val="none" w:sz="0" w:space="0" w:color="auto"/>
                      </w:divBdr>
                      <w:divsChild>
                        <w:div w:id="114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955">
      <w:marLeft w:val="0"/>
      <w:marRight w:val="0"/>
      <w:marTop w:val="0"/>
      <w:marBottom w:val="0"/>
      <w:divBdr>
        <w:top w:val="none" w:sz="0" w:space="0" w:color="auto"/>
        <w:left w:val="none" w:sz="0" w:space="0" w:color="auto"/>
        <w:bottom w:val="none" w:sz="0" w:space="0" w:color="auto"/>
        <w:right w:val="none" w:sz="0" w:space="0" w:color="auto"/>
      </w:divBdr>
    </w:div>
    <w:div w:id="114181959">
      <w:marLeft w:val="0"/>
      <w:marRight w:val="0"/>
      <w:marTop w:val="0"/>
      <w:marBottom w:val="0"/>
      <w:divBdr>
        <w:top w:val="none" w:sz="0" w:space="0" w:color="auto"/>
        <w:left w:val="none" w:sz="0" w:space="0" w:color="auto"/>
        <w:bottom w:val="none" w:sz="0" w:space="0" w:color="auto"/>
        <w:right w:val="none" w:sz="0" w:space="0" w:color="auto"/>
      </w:divBdr>
      <w:divsChild>
        <w:div w:id="114181936">
          <w:marLeft w:val="0"/>
          <w:marRight w:val="0"/>
          <w:marTop w:val="0"/>
          <w:marBottom w:val="0"/>
          <w:divBdr>
            <w:top w:val="none" w:sz="0" w:space="0" w:color="auto"/>
            <w:left w:val="none" w:sz="0" w:space="0" w:color="auto"/>
            <w:bottom w:val="none" w:sz="0" w:space="0" w:color="auto"/>
            <w:right w:val="none" w:sz="0" w:space="0" w:color="auto"/>
          </w:divBdr>
          <w:divsChild>
            <w:div w:id="114181934">
              <w:marLeft w:val="0"/>
              <w:marRight w:val="0"/>
              <w:marTop w:val="0"/>
              <w:marBottom w:val="0"/>
              <w:divBdr>
                <w:top w:val="none" w:sz="0" w:space="0" w:color="auto"/>
                <w:left w:val="none" w:sz="0" w:space="0" w:color="auto"/>
                <w:bottom w:val="none" w:sz="0" w:space="0" w:color="auto"/>
                <w:right w:val="none" w:sz="0" w:space="0" w:color="auto"/>
              </w:divBdr>
              <w:divsChild>
                <w:div w:id="114181952">
                  <w:marLeft w:val="0"/>
                  <w:marRight w:val="0"/>
                  <w:marTop w:val="0"/>
                  <w:marBottom w:val="0"/>
                  <w:divBdr>
                    <w:top w:val="none" w:sz="0" w:space="0" w:color="auto"/>
                    <w:left w:val="none" w:sz="0" w:space="0" w:color="auto"/>
                    <w:bottom w:val="none" w:sz="0" w:space="0" w:color="auto"/>
                    <w:right w:val="none" w:sz="0" w:space="0" w:color="auto"/>
                  </w:divBdr>
                  <w:divsChild>
                    <w:div w:id="114181960">
                      <w:marLeft w:val="0"/>
                      <w:marRight w:val="0"/>
                      <w:marTop w:val="0"/>
                      <w:marBottom w:val="0"/>
                      <w:divBdr>
                        <w:top w:val="none" w:sz="0" w:space="0" w:color="auto"/>
                        <w:left w:val="none" w:sz="0" w:space="0" w:color="auto"/>
                        <w:bottom w:val="none" w:sz="0" w:space="0" w:color="auto"/>
                        <w:right w:val="none" w:sz="0" w:space="0" w:color="auto"/>
                      </w:divBdr>
                      <w:divsChild>
                        <w:div w:id="1141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7341</Words>
  <Characters>41845</Characters>
  <Application>Microsoft Office Word</Application>
  <DocSecurity>0</DocSecurity>
  <Lines>348</Lines>
  <Paragraphs>98</Paragraphs>
  <ScaleCrop>false</ScaleCrop>
  <Company>Hewlett-Packard Company</Company>
  <LinksUpToDate>false</LinksUpToDate>
  <CharactersWithSpaces>49088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LS Ma</cp:lastModifiedBy>
  <cp:revision>2</cp:revision>
  <dcterms:created xsi:type="dcterms:W3CDTF">2013-08-20T00:49:00Z</dcterms:created>
  <dcterms:modified xsi:type="dcterms:W3CDTF">2013-08-20T00:49:00Z</dcterms:modified>
</cp:coreProperties>
</file>